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76AAA" w14:textId="77777777" w:rsidR="00A77B3E" w:rsidRPr="009830E2" w:rsidRDefault="00116DD6" w:rsidP="006B3673">
      <w:pPr>
        <w:spacing w:line="360" w:lineRule="auto"/>
        <w:jc w:val="both"/>
        <w:rPr>
          <w:color w:val="000000" w:themeColor="text1"/>
        </w:rPr>
      </w:pPr>
      <w:r w:rsidRPr="009830E2">
        <w:rPr>
          <w:rFonts w:ascii="Book Antiqua" w:eastAsia="Book Antiqua" w:hAnsi="Book Antiqua" w:cs="Book Antiqua"/>
          <w:b/>
          <w:color w:val="000000" w:themeColor="text1"/>
        </w:rPr>
        <w:t xml:space="preserve">Name of Journal: </w:t>
      </w:r>
      <w:r w:rsidRPr="009830E2">
        <w:rPr>
          <w:rFonts w:ascii="Book Antiqua" w:eastAsia="Book Antiqua" w:hAnsi="Book Antiqua" w:cs="Book Antiqua"/>
          <w:i/>
          <w:color w:val="000000" w:themeColor="text1"/>
        </w:rPr>
        <w:t>World Journal of Clinical Cases</w:t>
      </w:r>
    </w:p>
    <w:p w14:paraId="2283A1E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NO: </w:t>
      </w:r>
      <w:r w:rsidRPr="009830E2">
        <w:rPr>
          <w:rFonts w:ascii="Book Antiqua" w:eastAsia="Book Antiqua" w:hAnsi="Book Antiqua" w:cs="Book Antiqua"/>
          <w:color w:val="000000" w:themeColor="text1"/>
        </w:rPr>
        <w:t>57712</w:t>
      </w:r>
    </w:p>
    <w:p w14:paraId="2EE6B97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Type: </w:t>
      </w:r>
      <w:r w:rsidRPr="009830E2">
        <w:rPr>
          <w:rFonts w:ascii="Book Antiqua" w:eastAsia="Book Antiqua" w:hAnsi="Book Antiqua" w:cs="Book Antiqua"/>
          <w:color w:val="000000" w:themeColor="text1"/>
        </w:rPr>
        <w:t>CASE REPORT</w:t>
      </w:r>
    </w:p>
    <w:p w14:paraId="6466CE71" w14:textId="77777777" w:rsidR="00A77B3E" w:rsidRPr="009830E2" w:rsidRDefault="00A77B3E">
      <w:pPr>
        <w:spacing w:line="360" w:lineRule="auto"/>
        <w:jc w:val="both"/>
        <w:rPr>
          <w:color w:val="000000" w:themeColor="text1"/>
        </w:rPr>
      </w:pPr>
    </w:p>
    <w:p w14:paraId="570AC3A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Myeloid neoplasm with eosinophilia and rearrangement of platelet-derived growth factor receptor beta gene in children: Two case reports</w:t>
      </w:r>
    </w:p>
    <w:p w14:paraId="5301C300" w14:textId="77777777" w:rsidR="00A77B3E" w:rsidRPr="009830E2" w:rsidRDefault="00A77B3E">
      <w:pPr>
        <w:spacing w:line="360" w:lineRule="auto"/>
        <w:jc w:val="both"/>
        <w:rPr>
          <w:color w:val="000000" w:themeColor="text1"/>
        </w:rPr>
      </w:pPr>
    </w:p>
    <w:p w14:paraId="05A2BA35"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Wang SC </w:t>
      </w:r>
      <w:r w:rsidRPr="009830E2">
        <w:rPr>
          <w:rFonts w:ascii="Book Antiqua" w:eastAsia="Book Antiqua" w:hAnsi="Book Antiqua" w:cs="Book Antiqua"/>
          <w:i/>
          <w:iCs/>
          <w:color w:val="000000" w:themeColor="text1"/>
        </w:rPr>
        <w:t>et al.</w:t>
      </w:r>
      <w:r w:rsidRPr="009830E2">
        <w:rPr>
          <w:rFonts w:ascii="Book Antiqua" w:eastAsia="Book Antiqua" w:hAnsi="Book Antiqua" w:cs="Book Antiqua"/>
          <w:color w:val="000000" w:themeColor="text1"/>
        </w:rPr>
        <w:t xml:space="preserve"> Pediatric myeloid neoplasm with PDGFRB rearrangement</w:t>
      </w:r>
    </w:p>
    <w:p w14:paraId="4ECE499C" w14:textId="77777777" w:rsidR="00A77B3E" w:rsidRPr="009830E2" w:rsidRDefault="00A77B3E">
      <w:pPr>
        <w:spacing w:line="360" w:lineRule="auto"/>
        <w:jc w:val="both"/>
        <w:rPr>
          <w:color w:val="000000" w:themeColor="text1"/>
        </w:rPr>
      </w:pPr>
    </w:p>
    <w:p w14:paraId="5AEAD50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Shi-Chong Wang, Wen-Yu Yang</w:t>
      </w:r>
    </w:p>
    <w:p w14:paraId="7DFAD124" w14:textId="77777777" w:rsidR="00A77B3E" w:rsidRPr="009830E2" w:rsidRDefault="00A77B3E">
      <w:pPr>
        <w:spacing w:line="360" w:lineRule="auto"/>
        <w:jc w:val="both"/>
        <w:rPr>
          <w:color w:val="000000" w:themeColor="text1"/>
        </w:rPr>
      </w:pPr>
    </w:p>
    <w:p w14:paraId="1A36585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Shi-Chong Wang, Wen-Yu Yang, </w:t>
      </w:r>
      <w:r w:rsidRPr="009830E2">
        <w:rPr>
          <w:rFonts w:ascii="Book Antiqua" w:eastAsia="Book Antiqua" w:hAnsi="Book Antiqua" w:cs="Book Antiqua"/>
          <w:color w:val="000000" w:themeColor="text1"/>
        </w:rPr>
        <w:t>State Key Laboratory of Experimental Hematology, National Clinical Research Center for Blood Diseases, Institute of Hematology &amp; Blood Diseases Hospital, Chinese Academy of Medical Sciences &amp; Peking Union Medical College, Tianjin 300020, China</w:t>
      </w:r>
    </w:p>
    <w:p w14:paraId="31E83B5B" w14:textId="77777777" w:rsidR="00A77B3E" w:rsidRPr="009830E2" w:rsidRDefault="00A77B3E">
      <w:pPr>
        <w:spacing w:line="360" w:lineRule="auto"/>
        <w:jc w:val="both"/>
        <w:rPr>
          <w:color w:val="000000" w:themeColor="text1"/>
        </w:rPr>
      </w:pPr>
    </w:p>
    <w:p w14:paraId="3539D08D" w14:textId="6FE7A04C"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Author contributions: </w:t>
      </w:r>
      <w:r w:rsidRPr="009830E2">
        <w:rPr>
          <w:rFonts w:ascii="Book Antiqua" w:eastAsia="Book Antiqua" w:hAnsi="Book Antiqua" w:cs="Book Antiqua"/>
          <w:color w:val="000000" w:themeColor="text1"/>
        </w:rPr>
        <w:t xml:space="preserve">Wang SC </w:t>
      </w:r>
      <w:r w:rsidR="00E13421" w:rsidRPr="009830E2">
        <w:rPr>
          <w:rFonts w:ascii="Book Antiqua" w:eastAsia="Book Antiqua" w:hAnsi="Book Antiqua" w:cs="Book Antiqua"/>
          <w:color w:val="000000" w:themeColor="text1"/>
        </w:rPr>
        <w:t>collected the data and wrote</w:t>
      </w:r>
      <w:r w:rsidRPr="009830E2">
        <w:rPr>
          <w:rFonts w:ascii="Book Antiqua" w:eastAsia="Book Antiqua" w:hAnsi="Book Antiqua" w:cs="Book Antiqua"/>
          <w:color w:val="000000" w:themeColor="text1"/>
        </w:rPr>
        <w:t xml:space="preserve"> the manuscript; Yang WY </w:t>
      </w:r>
      <w:r w:rsidR="00E13421" w:rsidRPr="009830E2">
        <w:rPr>
          <w:rFonts w:ascii="Book Antiqua" w:eastAsia="Book Antiqua" w:hAnsi="Book Antiqua" w:cs="Book Antiqua"/>
          <w:color w:val="000000" w:themeColor="text1"/>
        </w:rPr>
        <w:t>revised the manuscript for important intellectual content and English language</w:t>
      </w:r>
      <w:r w:rsidRPr="009830E2">
        <w:rPr>
          <w:rFonts w:ascii="Book Antiqua" w:eastAsia="Book Antiqua" w:hAnsi="Book Antiqua" w:cs="Book Antiqua"/>
          <w:color w:val="000000" w:themeColor="text1"/>
        </w:rPr>
        <w:t xml:space="preserve">; </w:t>
      </w:r>
      <w:r w:rsidR="006B3673">
        <w:rPr>
          <w:rFonts w:ascii="Book Antiqua" w:eastAsia="Book Antiqua" w:hAnsi="Book Antiqua" w:cs="Book Antiqua"/>
          <w:color w:val="000000" w:themeColor="text1"/>
        </w:rPr>
        <w:t>A</w:t>
      </w:r>
      <w:r w:rsidRPr="009830E2">
        <w:rPr>
          <w:rFonts w:ascii="Book Antiqua" w:eastAsia="Book Antiqua" w:hAnsi="Book Antiqua" w:cs="Book Antiqua"/>
          <w:color w:val="000000" w:themeColor="text1"/>
        </w:rPr>
        <w:t>ll authors approved the final version of the manuscript.</w:t>
      </w:r>
    </w:p>
    <w:p w14:paraId="0602776F" w14:textId="77777777" w:rsidR="00A77B3E" w:rsidRPr="009830E2" w:rsidRDefault="00A77B3E">
      <w:pPr>
        <w:spacing w:line="360" w:lineRule="auto"/>
        <w:jc w:val="both"/>
        <w:rPr>
          <w:color w:val="000000" w:themeColor="text1"/>
        </w:rPr>
      </w:pPr>
    </w:p>
    <w:p w14:paraId="27AC985F" w14:textId="034E8E16"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Corresponding author: Wen-Yu Yang, PhD, Chief Doctor,</w:t>
      </w:r>
      <w:r w:rsidR="009A60CC" w:rsidRPr="009830E2">
        <w:rPr>
          <w:rFonts w:ascii="Book Antiqua" w:eastAsia="Book Antiqua" w:hAnsi="Book Antiqua" w:cs="Book Antiqua"/>
          <w:b/>
          <w:bCs/>
          <w:color w:val="000000" w:themeColor="text1"/>
        </w:rPr>
        <w:t xml:space="preserve"> </w:t>
      </w:r>
      <w:r w:rsidRPr="009830E2">
        <w:rPr>
          <w:rFonts w:ascii="Book Antiqua" w:eastAsia="Book Antiqua" w:hAnsi="Book Antiqua" w:cs="Book Antiqua"/>
          <w:color w:val="000000" w:themeColor="text1"/>
        </w:rPr>
        <w:t>State Key Laboratory of Experimental Hematology, National Clinical Research Center for Blood Diseases, Institute of Hematology &amp; Blood Diseases Hospital, Chinese Academy of Medical Sciences &amp; Peking Union Medical College, No. 288</w:t>
      </w:r>
      <w:r w:rsidR="004357C4"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Nanjing Road, Tianjin 300020, China. yangwenyu@ihcams.ac.cn</w:t>
      </w:r>
    </w:p>
    <w:p w14:paraId="235E2D16" w14:textId="77777777" w:rsidR="00A77B3E" w:rsidRPr="009830E2" w:rsidRDefault="00A77B3E">
      <w:pPr>
        <w:spacing w:line="360" w:lineRule="auto"/>
        <w:jc w:val="both"/>
        <w:rPr>
          <w:color w:val="000000" w:themeColor="text1"/>
        </w:rPr>
      </w:pPr>
    </w:p>
    <w:p w14:paraId="6EF45DC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Received: </w:t>
      </w:r>
      <w:r w:rsidRPr="009830E2">
        <w:rPr>
          <w:rFonts w:ascii="Book Antiqua" w:eastAsia="Book Antiqua" w:hAnsi="Book Antiqua" w:cs="Book Antiqua"/>
          <w:color w:val="000000" w:themeColor="text1"/>
        </w:rPr>
        <w:t>June 24, 2020</w:t>
      </w:r>
    </w:p>
    <w:p w14:paraId="2FBEDC1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Revised: </w:t>
      </w:r>
      <w:r w:rsidRPr="009830E2">
        <w:rPr>
          <w:rFonts w:ascii="Book Antiqua" w:eastAsia="Book Antiqua" w:hAnsi="Book Antiqua" w:cs="Book Antiqua"/>
          <w:color w:val="000000" w:themeColor="text1"/>
        </w:rPr>
        <w:t>October 22, 2020</w:t>
      </w:r>
    </w:p>
    <w:p w14:paraId="480DF968" w14:textId="57B7AC68"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Accepted: </w:t>
      </w:r>
      <w:r w:rsidR="005A06FC" w:rsidRPr="009830E2">
        <w:rPr>
          <w:rFonts w:ascii="Book Antiqua" w:eastAsia="Book Antiqua" w:hAnsi="Book Antiqua" w:cs="Book Antiqua"/>
          <w:color w:val="000000" w:themeColor="text1"/>
        </w:rPr>
        <w:t>November 12, 2020</w:t>
      </w:r>
    </w:p>
    <w:p w14:paraId="5B25D43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 xml:space="preserve">Published online: </w:t>
      </w:r>
    </w:p>
    <w:p w14:paraId="554AF5C1" w14:textId="77777777" w:rsidR="00000000" w:rsidRPr="009830E2" w:rsidRDefault="007E70B0">
      <w:pPr>
        <w:spacing w:line="360" w:lineRule="auto"/>
        <w:jc w:val="both"/>
        <w:rPr>
          <w:color w:val="000000" w:themeColor="text1"/>
        </w:rPr>
        <w:sectPr w:rsidR="00000000" w:rsidRPr="009830E2">
          <w:footerReference w:type="default" r:id="rId6"/>
          <w:pgSz w:w="12240" w:h="15840"/>
          <w:pgMar w:top="1440" w:right="1440" w:bottom="1440" w:left="1440" w:header="720" w:footer="720" w:gutter="0"/>
          <w:cols w:space="720"/>
          <w:docGrid w:linePitch="360"/>
        </w:sectPr>
      </w:pPr>
    </w:p>
    <w:p w14:paraId="37C2DAA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lastRenderedPageBreak/>
        <w:t>Abstract</w:t>
      </w:r>
    </w:p>
    <w:p w14:paraId="494B4E4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BACKGROUND</w:t>
      </w:r>
    </w:p>
    <w:p w14:paraId="6907AFB2" w14:textId="7F25CF5D"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Myeloid neoplasm (MN) with eosinophilia and rearrangement of platelet-derived growth factor receptor beta (PDGFRB) shows a good </w:t>
      </w:r>
      <w:r w:rsidR="00E13421" w:rsidRPr="009830E2">
        <w:rPr>
          <w:rFonts w:ascii="Book Antiqua" w:eastAsia="Book Antiqua" w:hAnsi="Book Antiqua" w:cs="Book Antiqua"/>
          <w:color w:val="000000" w:themeColor="text1"/>
        </w:rPr>
        <w:t xml:space="preserve">therapeutic </w:t>
      </w:r>
      <w:r w:rsidRPr="009830E2">
        <w:rPr>
          <w:rFonts w:ascii="Book Antiqua" w:eastAsia="Book Antiqua" w:hAnsi="Book Antiqua" w:cs="Book Antiqua"/>
          <w:color w:val="000000" w:themeColor="text1"/>
        </w:rPr>
        <w:t>response to imatinib in adults</w:t>
      </w:r>
      <w:r w:rsidR="00E13421" w:rsidRPr="009830E2">
        <w:rPr>
          <w:rFonts w:ascii="Book Antiqua" w:eastAsia="Book Antiqua" w:hAnsi="Book Antiqua" w:cs="Book Antiqua"/>
          <w:color w:val="000000" w:themeColor="text1"/>
        </w:rPr>
        <w:t xml:space="preserve">. MN is </w:t>
      </w:r>
      <w:r w:rsidRPr="009830E2">
        <w:rPr>
          <w:rFonts w:ascii="Book Antiqua" w:eastAsia="Book Antiqua" w:hAnsi="Book Antiqua" w:cs="Book Antiqua"/>
          <w:color w:val="000000" w:themeColor="text1"/>
        </w:rPr>
        <w:t xml:space="preserve">rarely found in children, and the </w:t>
      </w:r>
      <w:r w:rsidR="00E13421" w:rsidRPr="009830E2">
        <w:rPr>
          <w:rFonts w:ascii="Book Antiqua" w:eastAsia="Book Antiqua" w:hAnsi="Book Antiqua" w:cs="Book Antiqua"/>
          <w:color w:val="000000" w:themeColor="text1"/>
        </w:rPr>
        <w:t xml:space="preserve">efficacy </w:t>
      </w:r>
      <w:r w:rsidRPr="009830E2">
        <w:rPr>
          <w:rFonts w:ascii="Book Antiqua" w:eastAsia="Book Antiqua" w:hAnsi="Book Antiqua" w:cs="Book Antiqua"/>
          <w:color w:val="000000" w:themeColor="text1"/>
        </w:rPr>
        <w:t>of imatinib on pediatric patients remain unclear.</w:t>
      </w:r>
    </w:p>
    <w:p w14:paraId="66EC23B1" w14:textId="77777777" w:rsidR="00A77B3E" w:rsidRPr="009830E2" w:rsidRDefault="00A77B3E">
      <w:pPr>
        <w:spacing w:line="360" w:lineRule="auto"/>
        <w:jc w:val="both"/>
        <w:rPr>
          <w:color w:val="000000" w:themeColor="text1"/>
        </w:rPr>
      </w:pPr>
    </w:p>
    <w:p w14:paraId="0C2229F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CASE SUMMARY</w:t>
      </w:r>
    </w:p>
    <w:p w14:paraId="15B0114B" w14:textId="177DB2A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We report </w:t>
      </w:r>
      <w:r w:rsidR="006B3673">
        <w:rPr>
          <w:rFonts w:ascii="Book Antiqua" w:eastAsia="Book Antiqua" w:hAnsi="Book Antiqua" w:cs="Book Antiqua"/>
          <w:color w:val="000000" w:themeColor="text1"/>
        </w:rPr>
        <w:t>2</w:t>
      </w:r>
      <w:r w:rsidR="006B3673" w:rsidRPr="009830E2">
        <w:rPr>
          <w:rFonts w:ascii="Book Antiqua" w:eastAsia="Book Antiqua" w:hAnsi="Book Antiqua" w:cs="Book Antiqua"/>
          <w:color w:val="000000" w:themeColor="text1"/>
        </w:rPr>
        <w:t xml:space="preserve"> </w:t>
      </w:r>
      <w:r w:rsidR="00E13421" w:rsidRPr="009830E2">
        <w:rPr>
          <w:rFonts w:ascii="Book Antiqua" w:eastAsia="Book Antiqua" w:hAnsi="Book Antiqua" w:cs="Book Antiqua"/>
          <w:color w:val="000000" w:themeColor="text1"/>
        </w:rPr>
        <w:t xml:space="preserve">pediatric </w:t>
      </w:r>
      <w:r w:rsidRPr="009830E2">
        <w:rPr>
          <w:rFonts w:ascii="Book Antiqua" w:eastAsia="Book Antiqua" w:hAnsi="Book Antiqua" w:cs="Book Antiqua"/>
          <w:color w:val="000000" w:themeColor="text1"/>
        </w:rPr>
        <w:t xml:space="preserve">cases diagnosed with MN with eosinophilia and PDGFRB rearrangement </w:t>
      </w:r>
      <w:r w:rsidR="00E13421" w:rsidRPr="009830E2">
        <w:rPr>
          <w:rFonts w:ascii="Book Antiqua" w:eastAsia="Book Antiqua" w:hAnsi="Book Antiqua" w:cs="Book Antiqua"/>
          <w:color w:val="000000" w:themeColor="text1"/>
        </w:rPr>
        <w:t>who were</w:t>
      </w:r>
      <w:r w:rsidRPr="009830E2">
        <w:rPr>
          <w:rFonts w:ascii="Book Antiqua" w:eastAsia="Book Antiqua" w:hAnsi="Book Antiqua" w:cs="Book Antiqua"/>
          <w:color w:val="000000" w:themeColor="text1"/>
        </w:rPr>
        <w:t xml:space="preserve"> treated with imatinib. Case 1 was a 1-year-old girl admitted to the hospital because of “abdominal distension with hyperleukocytosis for 3 mo”. She had leukocytosis, anemia, and eosinophilia </w:t>
      </w:r>
      <w:r w:rsidR="00E13421"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the absolute eosinophil count (AEC) was 8960/</w:t>
      </w:r>
      <w:proofErr w:type="spellStart"/>
      <w:r w:rsidRPr="009830E2">
        <w:rPr>
          <w:rFonts w:ascii="Book Antiqua" w:eastAsia="Book Antiqua" w:hAnsi="Book Antiqua" w:cs="Book Antiqua"/>
          <w:color w:val="000000" w:themeColor="text1"/>
        </w:rPr>
        <w:t>μL</w:t>
      </w:r>
      <w:proofErr w:type="spellEnd"/>
      <w:r w:rsidR="00E13421"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and her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(FISH) test revealed that PDGFRB rearrangement was detected in 70% of 500 interphase cells. Case 2 was a 2-year-old girl admitted to the hospital because of “recurrent fever and rashes for 1 mo”. Her blood cell count showed an </w:t>
      </w:r>
      <w:r w:rsidRPr="009830E2">
        <w:rPr>
          <w:rFonts w:ascii="Book Antiqua" w:eastAsia="Book Antiqua" w:hAnsi="Book Antiqua" w:cs="Book Antiqua"/>
          <w:color w:val="000000"/>
        </w:rPr>
        <w:t>AEC</w:t>
      </w:r>
      <w:r w:rsidRPr="009830E2">
        <w:rPr>
          <w:rFonts w:ascii="Book Antiqua" w:eastAsia="Book Antiqua" w:hAnsi="Book Antiqua" w:cs="Book Antiqua"/>
          <w:color w:val="000000" w:themeColor="text1"/>
        </w:rPr>
        <w:t xml:space="preserve"> of 3540/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xml:space="preserve">. The </w:t>
      </w:r>
      <w:r w:rsidRPr="009830E2">
        <w:rPr>
          <w:rFonts w:ascii="Book Antiqua" w:eastAsia="Book Antiqua" w:hAnsi="Book Antiqua" w:cs="Book Antiqua"/>
          <w:color w:val="000000"/>
        </w:rPr>
        <w:t>FISH</w:t>
      </w:r>
      <w:r w:rsidRPr="009830E2">
        <w:rPr>
          <w:rFonts w:ascii="Book Antiqua" w:eastAsia="Book Antiqua" w:hAnsi="Book Antiqua" w:cs="Book Antiqua"/>
          <w:color w:val="000000" w:themeColor="text1"/>
        </w:rPr>
        <w:t xml:space="preserve"> test revealed that PDGFRB rearrangement was detected in 71% of 500 interphase cells. Both </w:t>
      </w:r>
      <w:r w:rsidR="00E13421" w:rsidRPr="009830E2">
        <w:rPr>
          <w:rFonts w:ascii="Book Antiqua" w:eastAsia="Book Antiqua" w:hAnsi="Book Antiqua" w:cs="Book Antiqua"/>
          <w:color w:val="000000" w:themeColor="text1"/>
        </w:rPr>
        <w:t>patients</w:t>
      </w:r>
      <w:r w:rsidRPr="009830E2">
        <w:rPr>
          <w:rFonts w:ascii="Book Antiqua" w:eastAsia="Book Antiqua" w:hAnsi="Book Antiqua" w:cs="Book Antiqua"/>
          <w:color w:val="000000" w:themeColor="text1"/>
        </w:rPr>
        <w:t xml:space="preserve"> were diagnosed as MN with eosinophilia and PDGFRB rearrangement. Imatinib was added into their treatment regimen. As expected, complete hematologic remission was achieved after 1 mo of treatment, and symptoms disappeared.</w:t>
      </w:r>
    </w:p>
    <w:p w14:paraId="1E941EB3" w14:textId="77777777" w:rsidR="00A77B3E" w:rsidRPr="009830E2" w:rsidRDefault="00A77B3E">
      <w:pPr>
        <w:spacing w:line="360" w:lineRule="auto"/>
        <w:jc w:val="both"/>
        <w:rPr>
          <w:color w:val="000000" w:themeColor="text1"/>
        </w:rPr>
      </w:pPr>
    </w:p>
    <w:p w14:paraId="336A723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CONCLUSION</w:t>
      </w:r>
    </w:p>
    <w:p w14:paraId="15ABD8B6" w14:textId="6E2DF501"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Although MN with eosinophilia and PDGFRB rearrangement usually </w:t>
      </w:r>
      <w:r w:rsidR="00E13421" w:rsidRPr="009830E2">
        <w:rPr>
          <w:rFonts w:ascii="Book Antiqua" w:eastAsia="Book Antiqua" w:hAnsi="Book Antiqua" w:cs="Book Antiqua"/>
          <w:color w:val="000000" w:themeColor="text1"/>
        </w:rPr>
        <w:t xml:space="preserve">occurs </w:t>
      </w:r>
      <w:r w:rsidRPr="009830E2">
        <w:rPr>
          <w:rFonts w:ascii="Book Antiqua" w:eastAsia="Book Antiqua" w:hAnsi="Book Antiqua" w:cs="Book Antiqua"/>
          <w:color w:val="000000" w:themeColor="text1"/>
        </w:rPr>
        <w:t>in adults, it can be found in children</w:t>
      </w:r>
      <w:r w:rsidR="00E13421" w:rsidRPr="009830E2">
        <w:rPr>
          <w:rFonts w:ascii="Book Antiqua" w:eastAsia="Book Antiqua" w:hAnsi="Book Antiqua" w:cs="Book Antiqua"/>
          <w:color w:val="000000" w:themeColor="text1"/>
        </w:rPr>
        <w:t>. T</w:t>
      </w:r>
      <w:r w:rsidRPr="009830E2">
        <w:rPr>
          <w:rFonts w:ascii="Book Antiqua" w:eastAsia="Book Antiqua" w:hAnsi="Book Antiqua" w:cs="Book Antiqua"/>
          <w:color w:val="000000" w:themeColor="text1"/>
        </w:rPr>
        <w:t xml:space="preserve">he therapeutic </w:t>
      </w:r>
      <w:r w:rsidR="00E13421" w:rsidRPr="009830E2">
        <w:rPr>
          <w:rFonts w:ascii="Book Antiqua" w:eastAsia="Book Antiqua" w:hAnsi="Book Antiqua" w:cs="Book Antiqua"/>
          <w:color w:val="000000" w:themeColor="text1"/>
        </w:rPr>
        <w:t xml:space="preserve">benefits </w:t>
      </w:r>
      <w:r w:rsidRPr="009830E2">
        <w:rPr>
          <w:rFonts w:ascii="Book Antiqua" w:eastAsia="Book Antiqua" w:hAnsi="Book Antiqua" w:cs="Book Antiqua"/>
          <w:color w:val="000000" w:themeColor="text1"/>
        </w:rPr>
        <w:t xml:space="preserve">of imatinib </w:t>
      </w:r>
      <w:r w:rsidR="00E13421" w:rsidRPr="009830E2">
        <w:rPr>
          <w:rFonts w:ascii="Book Antiqua" w:eastAsia="Book Antiqua" w:hAnsi="Book Antiqua" w:cs="Book Antiqua"/>
          <w:color w:val="000000" w:themeColor="text1"/>
        </w:rPr>
        <w:t>i</w:t>
      </w:r>
      <w:r w:rsidRPr="009830E2">
        <w:rPr>
          <w:rFonts w:ascii="Book Antiqua" w:eastAsia="Book Antiqua" w:hAnsi="Book Antiqua" w:cs="Book Antiqua"/>
          <w:color w:val="000000" w:themeColor="text1"/>
        </w:rPr>
        <w:t xml:space="preserve">n these </w:t>
      </w:r>
      <w:r w:rsidR="006B3673">
        <w:rPr>
          <w:rFonts w:ascii="Book Antiqua" w:eastAsia="Book Antiqua" w:hAnsi="Book Antiqua" w:cs="Book Antiqua"/>
          <w:color w:val="000000" w:themeColor="text1"/>
        </w:rPr>
        <w:t>2</w:t>
      </w:r>
      <w:r w:rsidR="006B3673"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 xml:space="preserve">pediatric patients were consistent with its </w:t>
      </w:r>
      <w:r w:rsidR="00E13421" w:rsidRPr="009830E2">
        <w:rPr>
          <w:rFonts w:ascii="Book Antiqua" w:eastAsia="Book Antiqua" w:hAnsi="Book Antiqua" w:cs="Book Antiqua"/>
          <w:color w:val="000000" w:themeColor="text1"/>
        </w:rPr>
        <w:t xml:space="preserve">reported </w:t>
      </w:r>
      <w:r w:rsidRPr="009830E2">
        <w:rPr>
          <w:rFonts w:ascii="Book Antiqua" w:eastAsia="Book Antiqua" w:hAnsi="Book Antiqua" w:cs="Book Antiqua"/>
          <w:color w:val="000000" w:themeColor="text1"/>
        </w:rPr>
        <w:t>effect</w:t>
      </w:r>
      <w:r w:rsidR="00E13421" w:rsidRPr="009830E2">
        <w:rPr>
          <w:rFonts w:ascii="Book Antiqua" w:eastAsia="Book Antiqua" w:hAnsi="Book Antiqua" w:cs="Book Antiqua"/>
          <w:color w:val="000000" w:themeColor="text1"/>
        </w:rPr>
        <w:t>s in</w:t>
      </w:r>
      <w:r w:rsidRPr="009830E2">
        <w:rPr>
          <w:rFonts w:ascii="Book Antiqua" w:eastAsia="Book Antiqua" w:hAnsi="Book Antiqua" w:cs="Book Antiqua"/>
          <w:color w:val="000000" w:themeColor="text1"/>
        </w:rPr>
        <w:t xml:space="preserve"> adult patients.</w:t>
      </w:r>
    </w:p>
    <w:p w14:paraId="7CA56AD9" w14:textId="77777777" w:rsidR="00A77B3E" w:rsidRPr="009830E2" w:rsidRDefault="00A77B3E">
      <w:pPr>
        <w:spacing w:line="360" w:lineRule="auto"/>
        <w:jc w:val="both"/>
        <w:rPr>
          <w:color w:val="000000" w:themeColor="text1"/>
        </w:rPr>
      </w:pPr>
    </w:p>
    <w:p w14:paraId="7100F18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Key Words: </w:t>
      </w:r>
      <w:r w:rsidRPr="009830E2">
        <w:rPr>
          <w:rFonts w:ascii="Book Antiqua" w:eastAsia="Book Antiqua" w:hAnsi="Book Antiqua" w:cs="Book Antiqua"/>
          <w:color w:val="000000" w:themeColor="text1"/>
        </w:rPr>
        <w:t>Myeloid neoplasm; Platelet-derived growth factor receptor beta rearrangement; Eosinophilia; Children; Imatinib; Case report</w:t>
      </w:r>
    </w:p>
    <w:p w14:paraId="4C3EBB0F" w14:textId="77777777" w:rsidR="00A77B3E" w:rsidRPr="009830E2" w:rsidRDefault="00A77B3E">
      <w:pPr>
        <w:spacing w:line="360" w:lineRule="auto"/>
        <w:jc w:val="both"/>
        <w:rPr>
          <w:color w:val="000000" w:themeColor="text1"/>
        </w:rPr>
      </w:pPr>
    </w:p>
    <w:p w14:paraId="1D9B016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lastRenderedPageBreak/>
        <w:t xml:space="preserve">Wang SC, Yang WY. Myeloid neoplasm with eosinophilia and rearrangement of platelet-derived growth factor receptor beta gene in children: Two case reports. </w:t>
      </w:r>
      <w:r w:rsidRPr="009830E2">
        <w:rPr>
          <w:rFonts w:ascii="Book Antiqua" w:eastAsia="Book Antiqua" w:hAnsi="Book Antiqua" w:cs="Book Antiqua"/>
          <w:i/>
          <w:iCs/>
          <w:color w:val="000000" w:themeColor="text1"/>
        </w:rPr>
        <w:t>World J Clin Cases</w:t>
      </w:r>
      <w:r w:rsidRPr="009830E2">
        <w:rPr>
          <w:rFonts w:ascii="Book Antiqua" w:eastAsia="Book Antiqua" w:hAnsi="Book Antiqua" w:cs="Book Antiqua"/>
          <w:color w:val="000000" w:themeColor="text1"/>
        </w:rPr>
        <w:t xml:space="preserve"> 2020; In press</w:t>
      </w:r>
    </w:p>
    <w:p w14:paraId="5E915C73" w14:textId="77777777" w:rsidR="00A77B3E" w:rsidRPr="009830E2" w:rsidRDefault="00A77B3E">
      <w:pPr>
        <w:spacing w:line="360" w:lineRule="auto"/>
        <w:jc w:val="both"/>
        <w:rPr>
          <w:color w:val="000000" w:themeColor="text1"/>
        </w:rPr>
      </w:pPr>
    </w:p>
    <w:p w14:paraId="0994A30A" w14:textId="38A96262" w:rsidR="00A77B3E" w:rsidRPr="009830E2" w:rsidRDefault="00116DD6">
      <w:pPr>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 xml:space="preserve">Core Tip: </w:t>
      </w:r>
      <w:r w:rsidRPr="009830E2">
        <w:rPr>
          <w:rFonts w:ascii="Book Antiqua" w:eastAsia="Book Antiqua" w:hAnsi="Book Antiqua" w:cs="Book Antiqua"/>
          <w:color w:val="000000" w:themeColor="text1"/>
        </w:rPr>
        <w:t xml:space="preserve">In the present report, we describe </w:t>
      </w:r>
      <w:r w:rsidR="006B3673">
        <w:rPr>
          <w:rFonts w:ascii="Book Antiqua" w:eastAsia="Book Antiqua" w:hAnsi="Book Antiqua" w:cs="Book Antiqua"/>
          <w:color w:val="000000" w:themeColor="text1"/>
        </w:rPr>
        <w:t>2</w:t>
      </w:r>
      <w:r w:rsidRPr="009830E2">
        <w:rPr>
          <w:rFonts w:ascii="Book Antiqua" w:eastAsia="Book Antiqua" w:hAnsi="Book Antiqua" w:cs="Book Antiqua"/>
          <w:color w:val="000000" w:themeColor="text1"/>
        </w:rPr>
        <w:t xml:space="preserve"> pediatric patients diagnosed as myeloid neoplasm (MN) with eosinophilia and platelet-derived growth factor receptor beta (PDGFRB) rearrangement and reviewed </w:t>
      </w:r>
      <w:r w:rsidR="006B36DC" w:rsidRPr="009830E2">
        <w:rPr>
          <w:rFonts w:ascii="Book Antiqua" w:eastAsia="Book Antiqua" w:hAnsi="Book Antiqua" w:cs="Book Antiqua"/>
          <w:color w:val="000000" w:themeColor="text1"/>
        </w:rPr>
        <w:t xml:space="preserve">the </w:t>
      </w:r>
      <w:r w:rsidRPr="009830E2">
        <w:rPr>
          <w:rFonts w:ascii="Book Antiqua" w:eastAsia="Book Antiqua" w:hAnsi="Book Antiqua" w:cs="Book Antiqua"/>
          <w:color w:val="000000" w:themeColor="text1"/>
        </w:rPr>
        <w:t xml:space="preserve">relative literature to analyze the clinical and therapeutic features </w:t>
      </w:r>
      <w:r w:rsidR="00E13421" w:rsidRPr="009830E2">
        <w:rPr>
          <w:rFonts w:ascii="Book Antiqua" w:eastAsia="Book Antiqua" w:hAnsi="Book Antiqua" w:cs="Book Antiqua"/>
          <w:color w:val="000000" w:themeColor="text1"/>
        </w:rPr>
        <w:t xml:space="preserve">of </w:t>
      </w:r>
      <w:r w:rsidRPr="009830E2">
        <w:rPr>
          <w:rFonts w:ascii="Book Antiqua" w:eastAsia="Book Antiqua" w:hAnsi="Book Antiqua" w:cs="Book Antiqua"/>
          <w:color w:val="000000" w:themeColor="text1"/>
        </w:rPr>
        <w:t xml:space="preserve">this rare clinical entity. Although </w:t>
      </w:r>
      <w:r w:rsidRPr="009830E2">
        <w:rPr>
          <w:rFonts w:ascii="Book Antiqua" w:eastAsia="Book Antiqua" w:hAnsi="Book Antiqua" w:cs="Book Antiqua"/>
          <w:color w:val="000000"/>
        </w:rPr>
        <w:t xml:space="preserve">MN </w:t>
      </w:r>
      <w:r w:rsidRPr="009830E2">
        <w:rPr>
          <w:rFonts w:ascii="Book Antiqua" w:eastAsia="Book Antiqua" w:hAnsi="Book Antiqua" w:cs="Book Antiqua"/>
          <w:color w:val="000000" w:themeColor="text1"/>
        </w:rPr>
        <w:t xml:space="preserve">with </w:t>
      </w:r>
      <w:r w:rsidRPr="009830E2">
        <w:rPr>
          <w:rFonts w:ascii="Book Antiqua" w:eastAsia="Book Antiqua" w:hAnsi="Book Antiqua" w:cs="Book Antiqua"/>
          <w:color w:val="000000"/>
        </w:rPr>
        <w:t xml:space="preserve">PDGFRB </w:t>
      </w:r>
      <w:r w:rsidRPr="009830E2">
        <w:rPr>
          <w:rFonts w:ascii="Book Antiqua" w:eastAsia="Book Antiqua" w:hAnsi="Book Antiqua" w:cs="Book Antiqua"/>
          <w:color w:val="000000" w:themeColor="text1"/>
        </w:rPr>
        <w:t xml:space="preserve">rearrangement rarely occurs in children, </w:t>
      </w:r>
      <w:r w:rsidR="006B36DC" w:rsidRPr="009830E2">
        <w:rPr>
          <w:rFonts w:ascii="Book Antiqua" w:eastAsia="Book Antiqua" w:hAnsi="Book Antiqua" w:cs="Book Antiqua"/>
          <w:color w:val="000000" w:themeColor="text1"/>
        </w:rPr>
        <w:t xml:space="preserve">awareness </w:t>
      </w:r>
      <w:r w:rsidRPr="009830E2">
        <w:rPr>
          <w:rFonts w:ascii="Book Antiqua" w:eastAsia="Book Antiqua" w:hAnsi="Book Antiqua" w:cs="Book Antiqua"/>
          <w:color w:val="000000" w:themeColor="text1"/>
        </w:rPr>
        <w:t xml:space="preserve">should </w:t>
      </w:r>
      <w:r w:rsidR="006B36DC" w:rsidRPr="009830E2">
        <w:rPr>
          <w:rFonts w:ascii="Book Antiqua" w:eastAsia="Book Antiqua" w:hAnsi="Book Antiqua" w:cs="Book Antiqua"/>
          <w:color w:val="000000" w:themeColor="text1"/>
        </w:rPr>
        <w:t xml:space="preserve">be </w:t>
      </w:r>
      <w:r w:rsidR="00E13421" w:rsidRPr="009830E2">
        <w:rPr>
          <w:rFonts w:ascii="Book Antiqua" w:eastAsia="Book Antiqua" w:hAnsi="Book Antiqua" w:cs="Book Antiqua"/>
          <w:color w:val="000000" w:themeColor="text1"/>
        </w:rPr>
        <w:t>increase</w:t>
      </w:r>
      <w:r w:rsidR="006B36DC"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for the possibility of this disease</w:t>
      </w:r>
      <w:r w:rsidR="00E13421" w:rsidRPr="009830E2">
        <w:rPr>
          <w:rFonts w:ascii="Book Antiqua" w:eastAsia="Book Antiqua" w:hAnsi="Book Antiqua" w:cs="Book Antiqua"/>
          <w:color w:val="000000" w:themeColor="text1"/>
        </w:rPr>
        <w:t xml:space="preserve">. Detection of </w:t>
      </w:r>
      <w:r w:rsidRPr="009830E2">
        <w:rPr>
          <w:rFonts w:ascii="Book Antiqua" w:eastAsia="Book Antiqua" w:hAnsi="Book Antiqua" w:cs="Book Antiqua"/>
          <w:color w:val="000000" w:themeColor="text1"/>
        </w:rPr>
        <w:t xml:space="preserve">the mutant gene by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w:t>
      </w:r>
      <w:r w:rsidR="00E13421" w:rsidRPr="009830E2">
        <w:rPr>
          <w:rFonts w:ascii="Book Antiqua" w:eastAsia="Book Antiqua" w:hAnsi="Book Antiqua" w:cs="Book Antiqua"/>
          <w:color w:val="000000" w:themeColor="text1"/>
        </w:rPr>
        <w:t>is</w:t>
      </w:r>
      <w:r w:rsidRPr="009830E2">
        <w:rPr>
          <w:rFonts w:ascii="Book Antiqua" w:eastAsia="Book Antiqua" w:hAnsi="Book Antiqua" w:cs="Book Antiqua"/>
          <w:color w:val="000000" w:themeColor="text1"/>
        </w:rPr>
        <w:t xml:space="preserve"> necessary once the disease is suspected. Imatinib had a considerable effect on children, though the dose of imatinib is still unclear. Moreover, </w:t>
      </w:r>
      <w:r w:rsidR="006B36DC" w:rsidRPr="009830E2">
        <w:rPr>
          <w:rFonts w:ascii="Book Antiqua" w:eastAsia="Book Antiqua" w:hAnsi="Book Antiqua" w:cs="Book Antiqua"/>
          <w:color w:val="000000" w:themeColor="text1"/>
        </w:rPr>
        <w:t xml:space="preserve">additional attention should be paid regarding </w:t>
      </w:r>
      <w:r w:rsidRPr="009830E2">
        <w:rPr>
          <w:rFonts w:ascii="Book Antiqua" w:eastAsia="Book Antiqua" w:hAnsi="Book Antiqua" w:cs="Book Antiqua"/>
          <w:color w:val="000000" w:themeColor="text1"/>
        </w:rPr>
        <w:t>the prognosis, life expectancy, side effects</w:t>
      </w:r>
      <w:r w:rsidR="006B36DC"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and quality</w:t>
      </w:r>
      <w:r w:rsidR="006B36DC" w:rsidRPr="009830E2">
        <w:rPr>
          <w:rFonts w:ascii="Book Antiqua" w:eastAsia="Book Antiqua" w:hAnsi="Book Antiqua" w:cs="Book Antiqua"/>
          <w:color w:val="000000" w:themeColor="text1"/>
        </w:rPr>
        <w:t xml:space="preserve"> of life</w:t>
      </w:r>
      <w:r w:rsidRPr="009830E2">
        <w:rPr>
          <w:rFonts w:ascii="Book Antiqua" w:eastAsia="Book Antiqua" w:hAnsi="Book Antiqua" w:cs="Book Antiqua"/>
          <w:color w:val="000000" w:themeColor="text1"/>
        </w:rPr>
        <w:t xml:space="preserve"> of these pediatric patients.</w:t>
      </w:r>
    </w:p>
    <w:p w14:paraId="6AA765F0" w14:textId="32FEA492" w:rsidR="006B36DC" w:rsidRPr="009830E2" w:rsidRDefault="006B36DC">
      <w:pPr>
        <w:spacing w:line="360" w:lineRule="auto"/>
        <w:jc w:val="both"/>
        <w:rPr>
          <w:rFonts w:ascii="Book Antiqua" w:eastAsia="Book Antiqua" w:hAnsi="Book Antiqua" w:cs="Book Antiqua"/>
          <w:color w:val="000000" w:themeColor="text1"/>
        </w:rPr>
      </w:pPr>
    </w:p>
    <w:p w14:paraId="559560CE" w14:textId="77777777" w:rsidR="006B36DC" w:rsidRPr="009830E2" w:rsidRDefault="006B36DC">
      <w:pPr>
        <w:spacing w:line="360" w:lineRule="auto"/>
        <w:jc w:val="both"/>
        <w:rPr>
          <w:color w:val="000000" w:themeColor="text1"/>
        </w:rPr>
      </w:pPr>
    </w:p>
    <w:p w14:paraId="263F6265" w14:textId="59E04BCA" w:rsidR="006B3673" w:rsidRDefault="006B3673">
      <w:pPr>
        <w:rPr>
          <w:color w:val="000000" w:themeColor="text1"/>
        </w:rPr>
      </w:pPr>
      <w:r>
        <w:rPr>
          <w:color w:val="000000" w:themeColor="text1"/>
        </w:rPr>
        <w:br w:type="page"/>
      </w:r>
    </w:p>
    <w:p w14:paraId="68AE732A" w14:textId="77777777" w:rsidR="00A77B3E" w:rsidRPr="009830E2" w:rsidRDefault="00116DD6" w:rsidP="006B3673">
      <w:pPr>
        <w:spacing w:line="360" w:lineRule="auto"/>
        <w:jc w:val="both"/>
        <w:rPr>
          <w:color w:val="000000" w:themeColor="text1"/>
        </w:rPr>
      </w:pPr>
      <w:r w:rsidRPr="009830E2">
        <w:rPr>
          <w:rFonts w:ascii="Book Antiqua" w:eastAsia="Book Antiqua" w:hAnsi="Book Antiqua" w:cs="Book Antiqua"/>
          <w:b/>
          <w:caps/>
          <w:color w:val="000000" w:themeColor="text1"/>
          <w:u w:val="single"/>
        </w:rPr>
        <w:lastRenderedPageBreak/>
        <w:t>INTRODUCTION</w:t>
      </w:r>
    </w:p>
    <w:p w14:paraId="0784EE20" w14:textId="1FD1DC88"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Myeloid neoplasms (MN) with eosinophilia and rearrangement of platelet-derived growth factor receptor beta (PDGFRB) usually occurs in adults, while it is rarely found in children</w:t>
      </w:r>
      <w:r w:rsidRPr="009830E2">
        <w:rPr>
          <w:rFonts w:ascii="Book Antiqua" w:eastAsia="Book Antiqua" w:hAnsi="Book Antiqua" w:cs="Book Antiqua"/>
          <w:color w:val="000000" w:themeColor="text1"/>
          <w:vertAlign w:val="superscript"/>
        </w:rPr>
        <w:t>[1]</w:t>
      </w:r>
      <w:r w:rsidRPr="009830E2">
        <w:rPr>
          <w:rFonts w:ascii="Book Antiqua" w:eastAsia="Book Antiqua" w:hAnsi="Book Antiqua" w:cs="Book Antiqua"/>
          <w:color w:val="000000" w:themeColor="text1"/>
        </w:rPr>
        <w:t>. Identification of the genes involved in the pathogenesis of MN is crucial for the guidance of treatment. Imatinib is recommended for adult patients with PDGFRB rearrangement due to its sustained hematologic remission and low toxicity</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Literature review </w:t>
      </w:r>
      <w:r w:rsidR="006B36DC" w:rsidRPr="009830E2">
        <w:rPr>
          <w:rFonts w:ascii="Book Antiqua" w:eastAsia="Book Antiqua" w:hAnsi="Book Antiqua" w:cs="Book Antiqua"/>
          <w:color w:val="000000" w:themeColor="text1"/>
        </w:rPr>
        <w:t xml:space="preserve">showed </w:t>
      </w:r>
      <w:r w:rsidRPr="009830E2">
        <w:rPr>
          <w:rFonts w:ascii="Book Antiqua" w:eastAsia="Book Antiqua" w:hAnsi="Book Antiqua" w:cs="Book Antiqua"/>
          <w:color w:val="000000" w:themeColor="text1"/>
        </w:rPr>
        <w:t xml:space="preserve">that only six children diagnosed as MN with PDGFRB rearrangement </w:t>
      </w:r>
      <w:r w:rsidR="006B36DC" w:rsidRPr="009830E2">
        <w:rPr>
          <w:rFonts w:ascii="Book Antiqua" w:eastAsia="Book Antiqua" w:hAnsi="Book Antiqua" w:cs="Book Antiqua"/>
          <w:color w:val="000000" w:themeColor="text1"/>
        </w:rPr>
        <w:t xml:space="preserve">had </w:t>
      </w:r>
      <w:r w:rsidRPr="009830E2">
        <w:rPr>
          <w:rFonts w:ascii="Book Antiqua" w:eastAsia="Book Antiqua" w:hAnsi="Book Antiqua" w:cs="Book Antiqua"/>
          <w:color w:val="000000" w:themeColor="text1"/>
        </w:rPr>
        <w:t xml:space="preserve">been treated with imatinib. In the present report, we describe </w:t>
      </w:r>
      <w:r w:rsidR="006B3673">
        <w:rPr>
          <w:rFonts w:ascii="Book Antiqua" w:eastAsia="Book Antiqua" w:hAnsi="Book Antiqua" w:cs="Book Antiqua"/>
          <w:color w:val="000000" w:themeColor="text1"/>
        </w:rPr>
        <w:t>2</w:t>
      </w:r>
      <w:r w:rsidRPr="009830E2">
        <w:rPr>
          <w:rFonts w:ascii="Book Antiqua" w:eastAsia="Book Antiqua" w:hAnsi="Book Antiqua" w:cs="Book Antiqua"/>
          <w:color w:val="000000" w:themeColor="text1"/>
        </w:rPr>
        <w:t xml:space="preserve"> pediatric patients diagnosed as MN with eosinophilia and PDGFRB rearrangement and reviewed </w:t>
      </w:r>
      <w:r w:rsidR="006B36DC" w:rsidRPr="009830E2">
        <w:rPr>
          <w:rFonts w:ascii="Book Antiqua" w:eastAsia="Book Antiqua" w:hAnsi="Book Antiqua" w:cs="Book Antiqua"/>
          <w:color w:val="000000" w:themeColor="text1"/>
        </w:rPr>
        <w:t xml:space="preserve">the </w:t>
      </w:r>
      <w:r w:rsidRPr="009830E2">
        <w:rPr>
          <w:rFonts w:ascii="Book Antiqua" w:eastAsia="Book Antiqua" w:hAnsi="Book Antiqua" w:cs="Book Antiqua"/>
          <w:color w:val="000000" w:themeColor="text1"/>
        </w:rPr>
        <w:t>relative literature to analyze the clinical and therapeutic features of this rare clinical entity.</w:t>
      </w:r>
    </w:p>
    <w:p w14:paraId="11AFE944" w14:textId="77777777" w:rsidR="00A77B3E" w:rsidRPr="009830E2" w:rsidRDefault="00A77B3E">
      <w:pPr>
        <w:spacing w:line="360" w:lineRule="auto"/>
        <w:ind w:firstLine="240"/>
        <w:jc w:val="both"/>
        <w:rPr>
          <w:color w:val="000000" w:themeColor="text1"/>
        </w:rPr>
      </w:pPr>
    </w:p>
    <w:p w14:paraId="24948C8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CASE PRESENTATION</w:t>
      </w:r>
    </w:p>
    <w:p w14:paraId="596DD512"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1</w:t>
      </w:r>
    </w:p>
    <w:p w14:paraId="6593F2C5"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Chief complaint: </w:t>
      </w:r>
      <w:r w:rsidRPr="009830E2">
        <w:rPr>
          <w:rFonts w:ascii="Book Antiqua" w:eastAsia="Book Antiqua" w:hAnsi="Book Antiqua" w:cs="Book Antiqua"/>
          <w:color w:val="000000" w:themeColor="text1"/>
        </w:rPr>
        <w:t>A 1-year-old girl was admitted to the hospital because of “abdominal distension with hyperleukocytosis for 3 mo”.</w:t>
      </w:r>
    </w:p>
    <w:p w14:paraId="77D56A98" w14:textId="77777777" w:rsidR="00A77B3E" w:rsidRPr="009830E2" w:rsidRDefault="00A77B3E">
      <w:pPr>
        <w:spacing w:line="360" w:lineRule="auto"/>
        <w:jc w:val="both"/>
        <w:rPr>
          <w:color w:val="000000" w:themeColor="text1"/>
        </w:rPr>
      </w:pPr>
    </w:p>
    <w:p w14:paraId="51675329" w14:textId="51062320"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present illness:</w:t>
      </w:r>
      <w:r w:rsidRPr="009830E2">
        <w:rPr>
          <w:rFonts w:ascii="Book Antiqua" w:eastAsia="Book Antiqua" w:hAnsi="Book Antiqua" w:cs="Book Antiqua"/>
          <w:color w:val="000000" w:themeColor="text1"/>
        </w:rPr>
        <w:t xml:space="preserve"> This girl was found to have a bulged abdominal lump 3 mo ago, and the </w:t>
      </w:r>
      <w:r w:rsidR="006B36DC" w:rsidRPr="009830E2">
        <w:rPr>
          <w:rFonts w:ascii="Book Antiqua" w:eastAsia="Book Antiqua" w:hAnsi="Book Antiqua" w:cs="Book Antiqua"/>
          <w:color w:val="000000" w:themeColor="text1"/>
        </w:rPr>
        <w:t xml:space="preserve">routine </w:t>
      </w:r>
      <w:r w:rsidRPr="009830E2">
        <w:rPr>
          <w:rFonts w:ascii="Book Antiqua" w:eastAsia="Book Antiqua" w:hAnsi="Book Antiqua" w:cs="Book Antiqua"/>
          <w:color w:val="000000" w:themeColor="text1"/>
        </w:rPr>
        <w:t xml:space="preserve">blood </w:t>
      </w:r>
      <w:r w:rsidR="006B36DC" w:rsidRPr="009830E2">
        <w:rPr>
          <w:rFonts w:ascii="Book Antiqua" w:eastAsia="Book Antiqua" w:hAnsi="Book Antiqua" w:cs="Book Antiqua"/>
          <w:color w:val="000000" w:themeColor="text1"/>
        </w:rPr>
        <w:t xml:space="preserve">tests </w:t>
      </w:r>
      <w:r w:rsidRPr="009830E2">
        <w:rPr>
          <w:rFonts w:ascii="Book Antiqua" w:eastAsia="Book Antiqua" w:hAnsi="Book Antiqua" w:cs="Book Antiqua"/>
          <w:color w:val="000000" w:themeColor="text1"/>
        </w:rPr>
        <w:t xml:space="preserve">showed that she had leukocytosis [white blood cell (WBC) count 56000/μL] and anemia (9.5 g/dL hemoglobin). She was admitted to the Institute of Hematology and Blood Diseases Hospital for further examination. </w:t>
      </w:r>
    </w:p>
    <w:p w14:paraId="03EE352C" w14:textId="77777777" w:rsidR="00A77B3E" w:rsidRPr="009830E2" w:rsidRDefault="00A77B3E">
      <w:pPr>
        <w:spacing w:line="360" w:lineRule="auto"/>
        <w:jc w:val="both"/>
        <w:rPr>
          <w:color w:val="000000" w:themeColor="text1"/>
        </w:rPr>
      </w:pPr>
    </w:p>
    <w:p w14:paraId="647A945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past illness:</w:t>
      </w:r>
      <w:r w:rsidRPr="009830E2">
        <w:rPr>
          <w:rFonts w:ascii="Book Antiqua" w:eastAsia="Book Antiqua" w:hAnsi="Book Antiqua" w:cs="Book Antiqua"/>
          <w:color w:val="000000" w:themeColor="text1"/>
        </w:rPr>
        <w:t xml:space="preserve"> The patient had no history of other significant medical conditions.</w:t>
      </w:r>
    </w:p>
    <w:p w14:paraId="4D992EF6" w14:textId="77777777" w:rsidR="00A77B3E" w:rsidRPr="009830E2" w:rsidRDefault="00A77B3E">
      <w:pPr>
        <w:spacing w:line="360" w:lineRule="auto"/>
        <w:jc w:val="both"/>
        <w:rPr>
          <w:color w:val="000000" w:themeColor="text1"/>
        </w:rPr>
      </w:pPr>
    </w:p>
    <w:p w14:paraId="08AB620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Personal and family history:</w:t>
      </w:r>
      <w:r w:rsidRPr="009830E2">
        <w:rPr>
          <w:rFonts w:ascii="Book Antiqua" w:eastAsia="Book Antiqua" w:hAnsi="Book Antiqua" w:cs="Book Antiqua"/>
          <w:color w:val="000000" w:themeColor="text1"/>
        </w:rPr>
        <w:t xml:space="preserve"> The patient had no significant personal and family history.</w:t>
      </w:r>
    </w:p>
    <w:p w14:paraId="31DD0F32" w14:textId="77777777" w:rsidR="00A77B3E" w:rsidRPr="009830E2" w:rsidRDefault="00A77B3E">
      <w:pPr>
        <w:spacing w:line="360" w:lineRule="auto"/>
        <w:jc w:val="both"/>
        <w:rPr>
          <w:color w:val="000000" w:themeColor="text1"/>
        </w:rPr>
      </w:pPr>
    </w:p>
    <w:p w14:paraId="089CCAC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Physical examination:</w:t>
      </w:r>
      <w:r w:rsidRPr="009830E2">
        <w:rPr>
          <w:rFonts w:ascii="Book Antiqua" w:eastAsia="Book Antiqua" w:hAnsi="Book Antiqua" w:cs="Book Antiqua"/>
          <w:color w:val="000000" w:themeColor="text1"/>
        </w:rPr>
        <w:t xml:space="preserve"> Physical examination revealed a pale appearance and splenomegaly. </w:t>
      </w:r>
    </w:p>
    <w:p w14:paraId="021C176D" w14:textId="77777777" w:rsidR="00A77B3E" w:rsidRPr="009830E2" w:rsidRDefault="00A77B3E">
      <w:pPr>
        <w:spacing w:line="360" w:lineRule="auto"/>
        <w:jc w:val="both"/>
        <w:rPr>
          <w:color w:val="000000" w:themeColor="text1"/>
        </w:rPr>
      </w:pPr>
    </w:p>
    <w:p w14:paraId="0ABB6FFE" w14:textId="737E54A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Laboratory examinations:</w:t>
      </w:r>
      <w:r w:rsidRPr="009830E2">
        <w:rPr>
          <w:rFonts w:ascii="Book Antiqua" w:eastAsia="Book Antiqua" w:hAnsi="Book Antiqua" w:cs="Book Antiqua"/>
          <w:color w:val="000000" w:themeColor="text1"/>
        </w:rPr>
        <w:t xml:space="preserve"> Her blood cell count showed that the WBC was 112000/μL, hemoglobin was 10.2 g/dL, and platelet count was 333000/μL. Differential blood count was 69% neutrophils, 20% lymphocytes, 3% monocytes, and 8% eosinophils, with an absolute monocyte count</w:t>
      </w:r>
      <w:r w:rsidRPr="009830E2">
        <w:rPr>
          <w:rFonts w:ascii="Book Antiqua" w:eastAsia="Book Antiqua" w:hAnsi="Book Antiqua" w:cs="Book Antiqua"/>
          <w:color w:val="000000"/>
        </w:rPr>
        <w:t xml:space="preserve"> (AMC) </w:t>
      </w:r>
      <w:r w:rsidRPr="009830E2">
        <w:rPr>
          <w:rFonts w:ascii="Book Antiqua" w:eastAsia="Book Antiqua" w:hAnsi="Book Antiqua" w:cs="Book Antiqua"/>
          <w:color w:val="000000" w:themeColor="text1"/>
        </w:rPr>
        <w:t>of 8960/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xml:space="preserve">. Bone marrow (BM) biopsy showed extreme myelomonocytic hyperplasia, neutrophils were prominently increased (mainly in metamyelocyte and stab granulocyte), eosinophils were relatively increased (12%), erythrocytes were decreased, and some small megakaryocytes were observed (Figure 1A). Karyotype analysis of the BM was 46, XX in 20/20 metaphases (Figure 1B).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(FISH) test revealed that PDGFRB rearrangement was detected in 70% of 500 interphase cells (Figure 1C). Moreover, whole-genome sequencing revealed no mutations, and quantitative </w:t>
      </w:r>
      <w:r w:rsidR="006B36DC" w:rsidRPr="009830E2">
        <w:rPr>
          <w:rFonts w:ascii="Book Antiqua" w:eastAsia="Book Antiqua" w:hAnsi="Book Antiqua" w:cs="Book Antiqua"/>
          <w:color w:val="000000" w:themeColor="text1"/>
        </w:rPr>
        <w:t>polymerase chain reaction</w:t>
      </w:r>
      <w:r w:rsidRPr="009830E2">
        <w:rPr>
          <w:rFonts w:ascii="Book Antiqua" w:eastAsia="Book Antiqua" w:hAnsi="Book Antiqua" w:cs="Book Antiqua"/>
          <w:color w:val="000000" w:themeColor="text1"/>
        </w:rPr>
        <w:t xml:space="preserve"> was negative.</w:t>
      </w:r>
    </w:p>
    <w:p w14:paraId="53C40A03" w14:textId="77777777" w:rsidR="00A77B3E" w:rsidRPr="009830E2" w:rsidRDefault="00A77B3E">
      <w:pPr>
        <w:spacing w:line="360" w:lineRule="auto"/>
        <w:jc w:val="both"/>
        <w:rPr>
          <w:color w:val="000000" w:themeColor="text1"/>
        </w:rPr>
      </w:pPr>
    </w:p>
    <w:p w14:paraId="22C10267" w14:textId="5083205A"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Imaging examinations:</w:t>
      </w:r>
      <w:r w:rsidRPr="009830E2">
        <w:rPr>
          <w:rFonts w:ascii="Book Antiqua" w:eastAsia="Book Antiqua" w:hAnsi="Book Antiqua" w:cs="Book Antiqua"/>
          <w:color w:val="000000" w:themeColor="text1"/>
        </w:rPr>
        <w:t xml:space="preserve"> Ultrasound of the abdomen supported medium splenomegaly, measuring 9.1 </w:t>
      </w:r>
      <w:r w:rsidR="00B866B7" w:rsidRPr="009830E2">
        <w:rPr>
          <w:rFonts w:ascii="Book Antiqua" w:eastAsia="Book Antiqua" w:hAnsi="Book Antiqua" w:cs="Book Antiqua"/>
          <w:color w:val="000000" w:themeColor="text1"/>
        </w:rPr>
        <w:t xml:space="preserve">cm </w:t>
      </w:r>
      <w:r w:rsidRPr="009830E2">
        <w:rPr>
          <w:rFonts w:ascii="Book Antiqua" w:eastAsia="Book Antiqua" w:hAnsi="Book Antiqua" w:cs="Book Antiqua"/>
          <w:color w:val="000000" w:themeColor="text1"/>
        </w:rPr>
        <w:t xml:space="preserve">× 3.4 </w:t>
      </w:r>
      <w:r w:rsidR="00B866B7" w:rsidRPr="009830E2">
        <w:rPr>
          <w:rFonts w:ascii="Book Antiqua" w:eastAsia="Book Antiqua" w:hAnsi="Book Antiqua" w:cs="Book Antiqua"/>
          <w:color w:val="000000" w:themeColor="text1"/>
        </w:rPr>
        <w:t xml:space="preserve">cm </w:t>
      </w:r>
      <w:r w:rsidRPr="009830E2">
        <w:rPr>
          <w:rFonts w:ascii="Book Antiqua" w:eastAsia="Book Antiqua" w:hAnsi="Book Antiqua" w:cs="Book Antiqua"/>
          <w:color w:val="000000" w:themeColor="text1"/>
        </w:rPr>
        <w:t>× 4.4 cm with no abnormal function of the liver.</w:t>
      </w:r>
    </w:p>
    <w:p w14:paraId="6185F47F" w14:textId="77777777" w:rsidR="00A77B3E" w:rsidRPr="009830E2" w:rsidRDefault="00A77B3E">
      <w:pPr>
        <w:spacing w:line="360" w:lineRule="auto"/>
        <w:jc w:val="both"/>
        <w:rPr>
          <w:color w:val="000000" w:themeColor="text1"/>
        </w:rPr>
      </w:pPr>
    </w:p>
    <w:p w14:paraId="6B018620" w14:textId="422E654F"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Diagnostic assessment:</w:t>
      </w:r>
      <w:r w:rsidRPr="009830E2">
        <w:rPr>
          <w:rFonts w:ascii="Book Antiqua" w:eastAsia="Book Antiqua" w:hAnsi="Book Antiqua" w:cs="Book Antiqua"/>
          <w:color w:val="000000" w:themeColor="text1"/>
        </w:rPr>
        <w:t xml:space="preserve"> BM aspiration showed that the proportion of medullary blasts was less than 20%, and the negative results of the BCR-ABL fusion gene excluded </w:t>
      </w:r>
      <w:proofErr w:type="spellStart"/>
      <w:r w:rsidRPr="009830E2">
        <w:rPr>
          <w:rFonts w:ascii="Book Antiqua" w:eastAsia="Book Antiqua" w:hAnsi="Book Antiqua" w:cs="Book Antiqua"/>
          <w:color w:val="000000" w:themeColor="text1"/>
        </w:rPr>
        <w:t>BCl</w:t>
      </w:r>
      <w:proofErr w:type="spellEnd"/>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ABL</w:t>
      </w:r>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chronic myelogenous leukemia</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Regarding the</w:t>
      </w:r>
      <w:r w:rsidRPr="009830E2">
        <w:rPr>
          <w:rFonts w:ascii="Book Antiqua" w:eastAsia="Book Antiqua" w:hAnsi="Book Antiqua" w:cs="Book Antiqua"/>
          <w:color w:val="000000" w:themeColor="text1"/>
        </w:rPr>
        <w:t xml:space="preserve"> other fusion gene, the FISH test showed no rearrangement of platelet-derived growth factor receptor alpha (PDGFRA), cytokine receptor-like factor 2 (CRLF2), or mixed-lineage leukemia</w:t>
      </w:r>
      <w:r w:rsidRPr="009830E2">
        <w:rPr>
          <w:rFonts w:ascii="Book Antiqua" w:eastAsia="Book Antiqua" w:hAnsi="Book Antiqua" w:cs="Book Antiqua"/>
          <w:color w:val="000000"/>
        </w:rPr>
        <w:t xml:space="preserve"> (MLL) </w:t>
      </w:r>
      <w:r w:rsidRPr="009830E2">
        <w:rPr>
          <w:rFonts w:ascii="Book Antiqua" w:eastAsia="Book Antiqua" w:hAnsi="Book Antiqua" w:cs="Book Antiqua"/>
          <w:color w:val="000000" w:themeColor="text1"/>
        </w:rPr>
        <w:t>gene, and the P53/CEP17 mutational analyses were negative. Her clinical performance and laboratory examination met the diagnostic criteria of myeloid neoplasm with eosinophilia.</w:t>
      </w:r>
    </w:p>
    <w:p w14:paraId="6126072F" w14:textId="77777777" w:rsidR="00A77B3E" w:rsidRPr="009830E2" w:rsidRDefault="00A77B3E">
      <w:pPr>
        <w:spacing w:line="360" w:lineRule="auto"/>
        <w:jc w:val="both"/>
        <w:rPr>
          <w:color w:val="000000" w:themeColor="text1"/>
        </w:rPr>
      </w:pPr>
    </w:p>
    <w:p w14:paraId="0AEE6E32" w14:textId="7571B8BE"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aps/>
          <w:color w:val="000000" w:themeColor="text1"/>
        </w:rPr>
        <w:t>C</w:t>
      </w:r>
      <w:r w:rsidR="00D360E7" w:rsidRPr="009830E2">
        <w:rPr>
          <w:rFonts w:ascii="Book Antiqua" w:eastAsia="Book Antiqua" w:hAnsi="Book Antiqua" w:cs="Book Antiqua"/>
          <w:b/>
          <w:bCs/>
          <w:i/>
          <w:iCs/>
          <w:color w:val="000000" w:themeColor="text1"/>
        </w:rPr>
        <w:t>ase</w:t>
      </w:r>
      <w:r w:rsidRPr="009830E2">
        <w:rPr>
          <w:rFonts w:ascii="Book Antiqua" w:eastAsia="Book Antiqua" w:hAnsi="Book Antiqua" w:cs="Book Antiqua"/>
          <w:b/>
          <w:bCs/>
          <w:i/>
          <w:iCs/>
          <w:caps/>
          <w:color w:val="000000" w:themeColor="text1"/>
        </w:rPr>
        <w:t xml:space="preserve"> 2 </w:t>
      </w:r>
    </w:p>
    <w:p w14:paraId="780618A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Chief complaint:</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A 2-year-old girl was admitted to the hospital because of “recurrent fever and rashes for 1 mo”. </w:t>
      </w:r>
    </w:p>
    <w:p w14:paraId="1CECAA1E" w14:textId="77777777" w:rsidR="00A77B3E" w:rsidRPr="009830E2" w:rsidRDefault="00A77B3E">
      <w:pPr>
        <w:spacing w:line="360" w:lineRule="auto"/>
        <w:jc w:val="both"/>
        <w:rPr>
          <w:color w:val="000000" w:themeColor="text1"/>
        </w:rPr>
      </w:pPr>
    </w:p>
    <w:p w14:paraId="3E4706A8" w14:textId="4D527899"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History of present illness:</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The girl was found with a subcutaneous nodule on her extremity 1 mo ago, and her parents </w:t>
      </w:r>
      <w:r w:rsidR="007E2951" w:rsidRPr="009830E2">
        <w:rPr>
          <w:rFonts w:ascii="Book Antiqua" w:eastAsia="Book Antiqua" w:hAnsi="Book Antiqua" w:cs="Book Antiqua"/>
          <w:color w:val="000000" w:themeColor="text1"/>
        </w:rPr>
        <w:t>were not concerned</w:t>
      </w:r>
      <w:r w:rsidRPr="009830E2">
        <w:rPr>
          <w:rFonts w:ascii="Book Antiqua" w:eastAsia="Book Antiqua" w:hAnsi="Book Antiqua" w:cs="Book Antiqua"/>
          <w:color w:val="000000" w:themeColor="text1"/>
        </w:rPr>
        <w:t xml:space="preserve"> until </w:t>
      </w:r>
      <w:r w:rsidR="007E2951" w:rsidRPr="009830E2">
        <w:rPr>
          <w:rFonts w:ascii="Book Antiqua" w:eastAsia="Book Antiqua" w:hAnsi="Book Antiqua" w:cs="Book Antiqua"/>
          <w:color w:val="000000" w:themeColor="text1"/>
        </w:rPr>
        <w:t xml:space="preserve">onset of </w:t>
      </w:r>
      <w:r w:rsidRPr="009830E2">
        <w:rPr>
          <w:rFonts w:ascii="Book Antiqua" w:eastAsia="Book Antiqua" w:hAnsi="Book Antiqua" w:cs="Book Antiqua"/>
          <w:color w:val="000000" w:themeColor="text1"/>
        </w:rPr>
        <w:t xml:space="preserve">recurrent fever. She went to our hospital for further examination. </w:t>
      </w:r>
    </w:p>
    <w:p w14:paraId="45D738FE" w14:textId="77777777" w:rsidR="00A77B3E" w:rsidRPr="009830E2" w:rsidRDefault="00A77B3E">
      <w:pPr>
        <w:spacing w:line="360" w:lineRule="auto"/>
        <w:jc w:val="both"/>
        <w:rPr>
          <w:color w:val="000000" w:themeColor="text1"/>
        </w:rPr>
      </w:pPr>
    </w:p>
    <w:p w14:paraId="6CB2399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past illness:</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The patient had no history of other significant medical conditions.</w:t>
      </w:r>
    </w:p>
    <w:p w14:paraId="4FFE1411" w14:textId="77777777" w:rsidR="003B0C84" w:rsidRPr="009830E2" w:rsidRDefault="003B0C84">
      <w:pPr>
        <w:spacing w:line="360" w:lineRule="auto"/>
        <w:jc w:val="both"/>
        <w:rPr>
          <w:rFonts w:ascii="Book Antiqua" w:eastAsia="Book Antiqua" w:hAnsi="Book Antiqua" w:cs="Book Antiqua"/>
          <w:b/>
          <w:bCs/>
          <w:color w:val="000000" w:themeColor="text1"/>
        </w:rPr>
      </w:pPr>
    </w:p>
    <w:p w14:paraId="0C5772F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Personal and family history: </w:t>
      </w:r>
      <w:r w:rsidRPr="009830E2">
        <w:rPr>
          <w:rFonts w:ascii="Book Antiqua" w:eastAsia="Book Antiqua" w:hAnsi="Book Antiqua" w:cs="Book Antiqua"/>
          <w:color w:val="000000" w:themeColor="text1"/>
        </w:rPr>
        <w:t>The patient had no significant personal and family history.</w:t>
      </w:r>
    </w:p>
    <w:p w14:paraId="11E1B71C" w14:textId="77777777" w:rsidR="00A77B3E" w:rsidRPr="009830E2" w:rsidRDefault="00A77B3E">
      <w:pPr>
        <w:spacing w:line="360" w:lineRule="auto"/>
        <w:jc w:val="both"/>
        <w:rPr>
          <w:color w:val="000000" w:themeColor="text1"/>
        </w:rPr>
      </w:pPr>
    </w:p>
    <w:p w14:paraId="1B3A770E" w14:textId="639591C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Physical examination:</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Physical examination showed </w:t>
      </w:r>
      <w:r w:rsidR="007E2951" w:rsidRPr="009830E2">
        <w:rPr>
          <w:rFonts w:ascii="Book Antiqua" w:eastAsia="Book Antiqua" w:hAnsi="Book Antiqua" w:cs="Book Antiqua"/>
          <w:color w:val="000000" w:themeColor="text1"/>
        </w:rPr>
        <w:t xml:space="preserve">a </w:t>
      </w:r>
      <w:r w:rsidRPr="009830E2">
        <w:rPr>
          <w:rFonts w:ascii="Book Antiqua" w:eastAsia="Book Antiqua" w:hAnsi="Book Antiqua" w:cs="Book Antiqua"/>
          <w:color w:val="000000" w:themeColor="text1"/>
        </w:rPr>
        <w:t xml:space="preserve">pale </w:t>
      </w:r>
      <w:r w:rsidR="007E2951" w:rsidRPr="009830E2">
        <w:rPr>
          <w:rFonts w:ascii="Book Antiqua" w:eastAsia="Book Antiqua" w:hAnsi="Book Antiqua" w:cs="Book Antiqua"/>
          <w:color w:val="000000" w:themeColor="text1"/>
        </w:rPr>
        <w:t xml:space="preserve">appearance </w:t>
      </w:r>
      <w:r w:rsidRPr="009830E2">
        <w:rPr>
          <w:rFonts w:ascii="Book Antiqua" w:eastAsia="Book Antiqua" w:hAnsi="Book Antiqua" w:cs="Book Antiqua"/>
          <w:color w:val="000000" w:themeColor="text1"/>
        </w:rPr>
        <w:t xml:space="preserve">and splenomegaly. </w:t>
      </w:r>
    </w:p>
    <w:p w14:paraId="2CF60B4F" w14:textId="77777777" w:rsidR="00A77B3E" w:rsidRPr="009830E2" w:rsidRDefault="00A77B3E">
      <w:pPr>
        <w:spacing w:line="360" w:lineRule="auto"/>
        <w:jc w:val="both"/>
        <w:rPr>
          <w:color w:val="000000" w:themeColor="text1"/>
        </w:rPr>
      </w:pPr>
    </w:p>
    <w:p w14:paraId="761CAA84" w14:textId="6FE96B2F"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Laboratory examinations:</w:t>
      </w:r>
      <w:r w:rsidRPr="009830E2">
        <w:rPr>
          <w:rFonts w:ascii="Book Antiqua" w:eastAsia="Book Antiqua" w:hAnsi="Book Antiqua" w:cs="Book Antiqua"/>
          <w:color w:val="000000" w:themeColor="text1"/>
        </w:rPr>
        <w:t xml:space="preserve"> Her </w:t>
      </w:r>
      <w:r w:rsidR="007E2951" w:rsidRPr="009830E2">
        <w:rPr>
          <w:rFonts w:ascii="Book Antiqua" w:eastAsia="Book Antiqua" w:hAnsi="Book Antiqua" w:cs="Book Antiqua"/>
          <w:color w:val="000000" w:themeColor="text1"/>
        </w:rPr>
        <w:t xml:space="preserve">routine </w:t>
      </w:r>
      <w:r w:rsidRPr="009830E2">
        <w:rPr>
          <w:rFonts w:ascii="Book Antiqua" w:eastAsia="Book Antiqua" w:hAnsi="Book Antiqua" w:cs="Book Antiqua"/>
          <w:color w:val="000000" w:themeColor="text1"/>
        </w:rPr>
        <w:t>blood test revealed that the WBC count was 34000/μL, hemoglobin was 7.1 g/dL, and platelet count was 36000/μL × 10</w:t>
      </w:r>
      <w:r w:rsidRPr="009830E2">
        <w:rPr>
          <w:rFonts w:ascii="Book Antiqua" w:eastAsia="Book Antiqua" w:hAnsi="Book Antiqua" w:cs="Book Antiqua"/>
          <w:color w:val="000000" w:themeColor="text1"/>
          <w:vertAlign w:val="superscript"/>
        </w:rPr>
        <w:t>9</w:t>
      </w:r>
      <w:r w:rsidRPr="009830E2">
        <w:rPr>
          <w:rFonts w:ascii="Book Antiqua" w:eastAsia="Book Antiqua" w:hAnsi="Book Antiqua" w:cs="Book Antiqua"/>
          <w:color w:val="000000" w:themeColor="text1"/>
        </w:rPr>
        <w:t xml:space="preserve">/L. Differential blood count showed that the proportions of neutrophils and lymphocytes were 55.4% and 22.2%, respectively, the proportion of monocytes was 11.4% with an </w:t>
      </w:r>
      <w:r w:rsidRPr="009830E2">
        <w:rPr>
          <w:rFonts w:ascii="Book Antiqua" w:eastAsia="Book Antiqua" w:hAnsi="Book Antiqua" w:cs="Book Antiqua"/>
          <w:color w:val="000000"/>
        </w:rPr>
        <w:t xml:space="preserve">AMC </w:t>
      </w:r>
      <w:r w:rsidRPr="009830E2">
        <w:rPr>
          <w:rFonts w:ascii="Book Antiqua" w:eastAsia="Book Antiqua" w:hAnsi="Book Antiqua" w:cs="Book Antiqua"/>
          <w:color w:val="000000" w:themeColor="text1"/>
        </w:rPr>
        <w:t>of 3900/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and the proportion of eosinophils was 10.4% with an absolute eosinophil count of 3540/μL. BM biopsy displayed myelomonocytic hyperplasia and granulocytosis with left shift, eosinophils were relatively increased (13.5%), and the megakaryocytes were decreased (Figure 2A). Cytogenetic analysis showed that the karyotype was 46, XX, t(1;5)(q21;q33)</w:t>
      </w:r>
      <w:r w:rsidRPr="009830E2">
        <w:rPr>
          <w:rFonts w:ascii="Book Antiqua" w:eastAsia="Book Antiqua" w:hAnsi="Book Antiqua" w:cs="Book Antiqua"/>
          <w:color w:val="000000" w:themeColor="text1"/>
          <w:vertAlign w:val="superscript"/>
        </w:rPr>
        <w:t>[19]</w:t>
      </w:r>
      <w:r w:rsidRPr="009830E2">
        <w:rPr>
          <w:rFonts w:ascii="Book Antiqua" w:eastAsia="Book Antiqua" w:hAnsi="Book Antiqua" w:cs="Book Antiqua"/>
          <w:color w:val="000000" w:themeColor="text1"/>
        </w:rPr>
        <w:t>/46,XX</w:t>
      </w:r>
      <w:r w:rsidRPr="009830E2">
        <w:rPr>
          <w:rFonts w:ascii="Book Antiqua" w:eastAsia="Book Antiqua" w:hAnsi="Book Antiqua" w:cs="Book Antiqua"/>
          <w:color w:val="000000" w:themeColor="text1"/>
          <w:vertAlign w:val="superscript"/>
        </w:rPr>
        <w:t>[1]</w:t>
      </w:r>
      <w:r w:rsidRPr="009830E2">
        <w:rPr>
          <w:rFonts w:ascii="Book Antiqua" w:eastAsia="Book Antiqua" w:hAnsi="Book Antiqua" w:cs="Book Antiqua"/>
          <w:color w:val="000000" w:themeColor="text1"/>
        </w:rPr>
        <w:t xml:space="preserve"> in 20/20 metaphases (Figure 2B). There was no evidence of the BCR-ABL fusion gene, and the FISH test showed no rearrangement of PDGFRA, </w:t>
      </w:r>
      <w:r w:rsidRPr="009830E2">
        <w:rPr>
          <w:rFonts w:ascii="Book Antiqua" w:eastAsia="Book Antiqua" w:hAnsi="Book Antiqua" w:cs="Book Antiqua"/>
          <w:color w:val="000000"/>
        </w:rPr>
        <w:t>CRLF2</w:t>
      </w:r>
      <w:r w:rsidRPr="009830E2">
        <w:rPr>
          <w:rFonts w:ascii="Book Antiqua" w:eastAsia="Book Antiqua" w:hAnsi="Book Antiqua" w:cs="Book Antiqua"/>
          <w:color w:val="000000" w:themeColor="text1"/>
        </w:rPr>
        <w:t xml:space="preserve">, or </w:t>
      </w:r>
      <w:r w:rsidRPr="009830E2">
        <w:rPr>
          <w:rFonts w:ascii="Book Antiqua" w:eastAsia="Book Antiqua" w:hAnsi="Book Antiqua" w:cs="Book Antiqua"/>
          <w:color w:val="000000"/>
        </w:rPr>
        <w:t>MLL</w:t>
      </w:r>
      <w:r w:rsidRPr="009830E2">
        <w:rPr>
          <w:rFonts w:ascii="Book Antiqua" w:eastAsia="Book Antiqua" w:hAnsi="Book Antiqua" w:cs="Book Antiqua"/>
          <w:color w:val="000000" w:themeColor="text1"/>
        </w:rPr>
        <w:t>. P53/CEP17 mutational analyses were negative. The FISH test revealed that PDGFRB rearrangement was detected in 71% of 500 interphase cells (Figure 2C).</w:t>
      </w:r>
    </w:p>
    <w:p w14:paraId="44C67B78" w14:textId="77777777" w:rsidR="00A77B3E" w:rsidRPr="009830E2" w:rsidRDefault="00A77B3E">
      <w:pPr>
        <w:spacing w:line="360" w:lineRule="auto"/>
        <w:jc w:val="both"/>
        <w:rPr>
          <w:color w:val="000000" w:themeColor="text1"/>
        </w:rPr>
      </w:pPr>
    </w:p>
    <w:p w14:paraId="0D7B8BA1" w14:textId="472858F4"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Imaging examinations:</w:t>
      </w:r>
      <w:r w:rsidRPr="009830E2">
        <w:rPr>
          <w:rFonts w:ascii="Book Antiqua" w:eastAsia="Book Antiqua" w:hAnsi="Book Antiqua" w:cs="Book Antiqua"/>
          <w:color w:val="000000" w:themeColor="text1"/>
        </w:rPr>
        <w:t xml:space="preserve"> Ultrasound of the abdomen showed the enlarged liver with 3 cm</w:t>
      </w:r>
      <w:r w:rsidR="007E2951" w:rsidRPr="009830E2">
        <w:rPr>
          <w:rFonts w:ascii="Book Antiqua" w:eastAsia="Book Antiqua" w:hAnsi="Book Antiqua" w:cs="Book Antiqua"/>
          <w:color w:val="000000" w:themeColor="text1"/>
        </w:rPr>
        <w:t xml:space="preserve"> was</w:t>
      </w:r>
      <w:r w:rsidRPr="009830E2">
        <w:rPr>
          <w:rFonts w:ascii="Book Antiqua" w:eastAsia="Book Antiqua" w:hAnsi="Book Antiqua" w:cs="Book Antiqua"/>
          <w:color w:val="000000" w:themeColor="text1"/>
        </w:rPr>
        <w:t xml:space="preserve"> below the left costal margin, and the enlarged spleen was below the pelvic rim. </w:t>
      </w:r>
    </w:p>
    <w:p w14:paraId="57A85B94" w14:textId="77777777" w:rsidR="00A77B3E" w:rsidRPr="009830E2" w:rsidRDefault="00A77B3E">
      <w:pPr>
        <w:spacing w:line="360" w:lineRule="auto"/>
        <w:jc w:val="both"/>
        <w:rPr>
          <w:color w:val="000000" w:themeColor="text1"/>
        </w:rPr>
      </w:pPr>
    </w:p>
    <w:p w14:paraId="70CE3087" w14:textId="141C886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 xml:space="preserve">Diagnostic assessment: </w:t>
      </w:r>
      <w:r w:rsidRPr="009830E2">
        <w:rPr>
          <w:rFonts w:ascii="Book Antiqua" w:eastAsia="Book Antiqua" w:hAnsi="Book Antiqua" w:cs="Book Antiqua"/>
          <w:color w:val="000000" w:themeColor="text1"/>
        </w:rPr>
        <w:t xml:space="preserve">BM aspiration showed that the proportion of medullary blasts was less than 20%, and the negative results of the BCR-ABL fusion gene excluded </w:t>
      </w:r>
      <w:proofErr w:type="spellStart"/>
      <w:r w:rsidRPr="009830E2">
        <w:rPr>
          <w:rFonts w:ascii="Book Antiqua" w:eastAsia="Book Antiqua" w:hAnsi="Book Antiqua" w:cs="Book Antiqua"/>
          <w:color w:val="000000" w:themeColor="text1"/>
        </w:rPr>
        <w:t>BCl</w:t>
      </w:r>
      <w:proofErr w:type="spellEnd"/>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ABL</w:t>
      </w:r>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chronic myelogenous leukemia</w:t>
      </w:r>
      <w:r w:rsidRPr="009830E2">
        <w:rPr>
          <w:rFonts w:ascii="Book Antiqua" w:eastAsia="Book Antiqua" w:hAnsi="Book Antiqua" w:cs="Book Antiqua"/>
          <w:color w:val="000000" w:themeColor="text1"/>
        </w:rPr>
        <w:t xml:space="preserve">. </w:t>
      </w:r>
    </w:p>
    <w:p w14:paraId="31289D3C" w14:textId="77777777" w:rsidR="00A77B3E" w:rsidRPr="009830E2" w:rsidRDefault="00A77B3E">
      <w:pPr>
        <w:spacing w:line="360" w:lineRule="auto"/>
        <w:jc w:val="both"/>
        <w:rPr>
          <w:color w:val="000000" w:themeColor="text1"/>
        </w:rPr>
      </w:pPr>
    </w:p>
    <w:p w14:paraId="7E24D9B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FINAL DIAGNOSIS</w:t>
      </w:r>
    </w:p>
    <w:p w14:paraId="66C22AC8" w14:textId="0BEDB43F" w:rsidR="00A77B3E" w:rsidRPr="009830E2" w:rsidRDefault="007E2951">
      <w:pPr>
        <w:spacing w:line="360" w:lineRule="auto"/>
        <w:jc w:val="both"/>
        <w:rPr>
          <w:color w:val="000000" w:themeColor="text1"/>
        </w:rPr>
      </w:pPr>
      <w:r w:rsidRPr="009830E2">
        <w:rPr>
          <w:rFonts w:ascii="Book Antiqua" w:eastAsia="Book Antiqua" w:hAnsi="Book Antiqua" w:cs="Book Antiqua"/>
          <w:color w:val="000000" w:themeColor="text1"/>
        </w:rPr>
        <w:t>Based on</w:t>
      </w:r>
      <w:r w:rsidR="00116DD6" w:rsidRPr="009830E2">
        <w:rPr>
          <w:rFonts w:ascii="Book Antiqua" w:eastAsia="Book Antiqua" w:hAnsi="Book Antiqua" w:cs="Book Antiqua"/>
          <w:color w:val="000000" w:themeColor="text1"/>
        </w:rPr>
        <w:t xml:space="preserve"> clinical performance and laboratory examination, both of their diagnoses were revised as MN with eosinophilia and PDGFRB rearrangement according to revised 2016 World Health Organization classification of MN and eosinophilic disorders</w:t>
      </w:r>
      <w:r w:rsidR="00116DD6" w:rsidRPr="009830E2">
        <w:rPr>
          <w:rFonts w:ascii="Book Antiqua" w:eastAsia="Book Antiqua" w:hAnsi="Book Antiqua" w:cs="Book Antiqua"/>
          <w:color w:val="000000" w:themeColor="text1"/>
          <w:vertAlign w:val="superscript"/>
        </w:rPr>
        <w:t>[1]</w:t>
      </w:r>
      <w:r w:rsidR="00116DD6" w:rsidRPr="009830E2">
        <w:rPr>
          <w:rFonts w:ascii="Book Antiqua" w:eastAsia="Book Antiqua" w:hAnsi="Book Antiqua" w:cs="Book Antiqua"/>
          <w:color w:val="000000" w:themeColor="text1"/>
        </w:rPr>
        <w:t xml:space="preserve">. </w:t>
      </w:r>
    </w:p>
    <w:p w14:paraId="41F03610" w14:textId="77777777" w:rsidR="00A77B3E" w:rsidRPr="009830E2" w:rsidRDefault="00A77B3E">
      <w:pPr>
        <w:spacing w:line="360" w:lineRule="auto"/>
        <w:jc w:val="both"/>
        <w:rPr>
          <w:color w:val="000000" w:themeColor="text1"/>
        </w:rPr>
      </w:pPr>
    </w:p>
    <w:p w14:paraId="3756E3DF"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TREATMENT</w:t>
      </w:r>
    </w:p>
    <w:p w14:paraId="1B70B69C" w14:textId="66234581" w:rsidR="00A77B3E" w:rsidRPr="009830E2" w:rsidRDefault="007E2951">
      <w:pPr>
        <w:spacing w:line="360" w:lineRule="auto"/>
        <w:jc w:val="both"/>
        <w:rPr>
          <w:color w:val="000000" w:themeColor="text1"/>
        </w:rPr>
      </w:pPr>
      <w:r w:rsidRPr="009830E2">
        <w:rPr>
          <w:rFonts w:ascii="Book Antiqua" w:eastAsia="Book Antiqua" w:hAnsi="Book Antiqua" w:cs="Book Antiqua"/>
          <w:color w:val="000000" w:themeColor="text1"/>
        </w:rPr>
        <w:t>Taking into consideration several previous case reports</w:t>
      </w:r>
      <w:r w:rsidR="00116DD6" w:rsidRPr="009830E2">
        <w:rPr>
          <w:rFonts w:ascii="Book Antiqua" w:eastAsia="Book Antiqua" w:hAnsi="Book Antiqua" w:cs="Book Antiqua"/>
          <w:color w:val="000000" w:themeColor="text1"/>
        </w:rPr>
        <w:t xml:space="preserve"> and the physical condition of these pediatric patient</w:t>
      </w:r>
      <w:r w:rsidRPr="009830E2">
        <w:rPr>
          <w:rFonts w:ascii="Book Antiqua" w:eastAsia="Book Antiqua" w:hAnsi="Book Antiqua" w:cs="Book Antiqua"/>
          <w:color w:val="000000" w:themeColor="text1"/>
        </w:rPr>
        <w:t>s</w:t>
      </w:r>
      <w:r w:rsidR="00116DD6" w:rsidRPr="009830E2">
        <w:rPr>
          <w:rFonts w:ascii="Book Antiqua" w:eastAsia="Book Antiqua" w:hAnsi="Book Antiqua" w:cs="Book Antiqua"/>
          <w:color w:val="000000" w:themeColor="text1"/>
        </w:rPr>
        <w:t>, we suggested 100 mg imatinib (200 mg/m</w:t>
      </w:r>
      <w:r w:rsidR="00116DD6" w:rsidRPr="009830E2">
        <w:rPr>
          <w:rFonts w:ascii="Book Antiqua" w:eastAsia="Book Antiqua" w:hAnsi="Book Antiqua" w:cs="Book Antiqua"/>
          <w:color w:val="000000" w:themeColor="text1"/>
          <w:vertAlign w:val="superscript"/>
        </w:rPr>
        <w:t>2</w:t>
      </w:r>
      <w:r w:rsidR="00116DD6" w:rsidRPr="009830E2">
        <w:rPr>
          <w:rFonts w:ascii="Book Antiqua" w:eastAsia="Book Antiqua" w:hAnsi="Book Antiqua" w:cs="Book Antiqua"/>
          <w:color w:val="000000" w:themeColor="text1"/>
        </w:rPr>
        <w:t xml:space="preserve">) per day for their treatment. Both of them </w:t>
      </w:r>
      <w:r w:rsidR="0089139A" w:rsidRPr="009830E2">
        <w:rPr>
          <w:rFonts w:ascii="Book Antiqua" w:eastAsia="Book Antiqua" w:hAnsi="Book Antiqua" w:cs="Book Antiqua"/>
          <w:color w:val="000000" w:themeColor="text1"/>
        </w:rPr>
        <w:t>responded exquisitely</w:t>
      </w:r>
      <w:r w:rsidR="00116DD6" w:rsidRPr="009830E2">
        <w:rPr>
          <w:rFonts w:ascii="Book Antiqua" w:eastAsia="Book Antiqua" w:hAnsi="Book Antiqua" w:cs="Book Antiqua"/>
          <w:color w:val="000000" w:themeColor="text1"/>
        </w:rPr>
        <w:t xml:space="preserve"> to imatinib. </w:t>
      </w:r>
    </w:p>
    <w:p w14:paraId="4E1A34EB" w14:textId="77777777" w:rsidR="00A77B3E" w:rsidRPr="009830E2" w:rsidRDefault="00A77B3E">
      <w:pPr>
        <w:spacing w:line="360" w:lineRule="auto"/>
        <w:jc w:val="both"/>
        <w:rPr>
          <w:color w:val="000000" w:themeColor="text1"/>
        </w:rPr>
      </w:pPr>
    </w:p>
    <w:p w14:paraId="5E6D08B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OUTCOME AND FOLLOW-UP</w:t>
      </w:r>
    </w:p>
    <w:p w14:paraId="17F348A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1</w:t>
      </w:r>
    </w:p>
    <w:p w14:paraId="6B377DD8" w14:textId="3E12EE5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The patient had a good response to imatinib therapy and </w:t>
      </w:r>
      <w:r w:rsidR="0089139A" w:rsidRPr="009830E2">
        <w:rPr>
          <w:rFonts w:ascii="Book Antiqua" w:eastAsia="Book Antiqua" w:hAnsi="Book Antiqua" w:cs="Book Antiqua"/>
          <w:color w:val="000000" w:themeColor="text1"/>
        </w:rPr>
        <w:t xml:space="preserve">achieved </w:t>
      </w:r>
      <w:r w:rsidRPr="009830E2">
        <w:rPr>
          <w:rFonts w:ascii="Book Antiqua" w:eastAsia="Book Antiqua" w:hAnsi="Book Antiqua" w:cs="Book Antiqua"/>
          <w:color w:val="000000" w:themeColor="text1"/>
        </w:rPr>
        <w:t xml:space="preserve">complete hematologic remission (CHR) after 1 mo. She was on maintenance therapy and remained </w:t>
      </w:r>
      <w:r w:rsidR="0089139A" w:rsidRPr="009830E2">
        <w:rPr>
          <w:rFonts w:ascii="Book Antiqua" w:eastAsia="Book Antiqua" w:hAnsi="Book Antiqua" w:cs="Book Antiqua"/>
          <w:color w:val="000000" w:themeColor="text1"/>
        </w:rPr>
        <w:t xml:space="preserve">in </w:t>
      </w:r>
      <w:r w:rsidRPr="009830E2">
        <w:rPr>
          <w:rFonts w:ascii="Book Antiqua" w:eastAsia="Book Antiqua" w:hAnsi="Book Antiqua" w:cs="Book Antiqua"/>
          <w:color w:val="000000" w:themeColor="text1"/>
        </w:rPr>
        <w:t>good</w:t>
      </w:r>
      <w:r w:rsidR="0089139A" w:rsidRPr="009830E2">
        <w:rPr>
          <w:rFonts w:ascii="Book Antiqua" w:eastAsia="Book Antiqua" w:hAnsi="Book Antiqua" w:cs="Book Antiqua"/>
          <w:color w:val="000000" w:themeColor="text1"/>
        </w:rPr>
        <w:t xml:space="preserve"> condition</w:t>
      </w:r>
      <w:r w:rsidRPr="009830E2">
        <w:rPr>
          <w:rFonts w:ascii="Book Antiqua" w:eastAsia="Book Antiqua" w:hAnsi="Book Antiqua" w:cs="Book Antiqua"/>
          <w:color w:val="000000" w:themeColor="text1"/>
        </w:rPr>
        <w:t xml:space="preserve"> </w:t>
      </w:r>
      <w:r w:rsidR="0089139A" w:rsidRPr="009830E2">
        <w:rPr>
          <w:rFonts w:ascii="Book Antiqua" w:eastAsia="Book Antiqua" w:hAnsi="Book Antiqua" w:cs="Book Antiqua"/>
          <w:color w:val="000000" w:themeColor="text1"/>
        </w:rPr>
        <w:t>during the</w:t>
      </w:r>
      <w:r w:rsidRPr="009830E2">
        <w:rPr>
          <w:rFonts w:ascii="Book Antiqua" w:eastAsia="Book Antiqua" w:hAnsi="Book Antiqua" w:cs="Book Antiqua"/>
          <w:color w:val="000000" w:themeColor="text1"/>
        </w:rPr>
        <w:t xml:space="preserve"> 1 year</w:t>
      </w:r>
      <w:r w:rsidR="0089139A" w:rsidRPr="009830E2">
        <w:rPr>
          <w:rFonts w:ascii="Book Antiqua" w:eastAsia="Book Antiqua" w:hAnsi="Book Antiqua" w:cs="Book Antiqua"/>
          <w:color w:val="000000" w:themeColor="text1"/>
        </w:rPr>
        <w:t xml:space="preserve"> of close follow-up</w:t>
      </w:r>
      <w:r w:rsidRPr="009830E2">
        <w:rPr>
          <w:rFonts w:ascii="Book Antiqua" w:eastAsia="Book Antiqua" w:hAnsi="Book Antiqua" w:cs="Book Antiqua"/>
          <w:color w:val="000000" w:themeColor="text1"/>
        </w:rPr>
        <w:t xml:space="preserve">. </w:t>
      </w:r>
    </w:p>
    <w:p w14:paraId="4AE3AA60" w14:textId="77777777" w:rsidR="00A77B3E" w:rsidRPr="009830E2" w:rsidRDefault="00A77B3E">
      <w:pPr>
        <w:spacing w:line="360" w:lineRule="auto"/>
        <w:jc w:val="both"/>
        <w:rPr>
          <w:color w:val="000000" w:themeColor="text1"/>
        </w:rPr>
      </w:pPr>
    </w:p>
    <w:p w14:paraId="1B0BF5B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2</w:t>
      </w:r>
    </w:p>
    <w:p w14:paraId="34DE93AC" w14:textId="17BCE31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Complete resolution of leukocytosis and normal </w:t>
      </w:r>
      <w:r w:rsidR="0089139A" w:rsidRPr="009830E2">
        <w:rPr>
          <w:rFonts w:ascii="Book Antiqua" w:eastAsia="Book Antiqua" w:hAnsi="Book Antiqua" w:cs="Book Antiqua"/>
          <w:color w:val="000000" w:themeColor="text1"/>
        </w:rPr>
        <w:t xml:space="preserve">spleen </w:t>
      </w:r>
      <w:r w:rsidRPr="009830E2">
        <w:rPr>
          <w:rFonts w:ascii="Book Antiqua" w:eastAsia="Book Antiqua" w:hAnsi="Book Antiqua" w:cs="Book Antiqua"/>
          <w:color w:val="000000" w:themeColor="text1"/>
        </w:rPr>
        <w:t xml:space="preserve">size were achieved after 1 mo. The patient was closely followed up every 2 mo. Until now, the patient </w:t>
      </w:r>
      <w:r w:rsidR="0089139A" w:rsidRPr="009830E2">
        <w:rPr>
          <w:rFonts w:ascii="Book Antiqua" w:eastAsia="Book Antiqua" w:hAnsi="Book Antiqua" w:cs="Book Antiqua"/>
          <w:color w:val="000000" w:themeColor="text1"/>
        </w:rPr>
        <w:t>still receives</w:t>
      </w:r>
      <w:r w:rsidRPr="009830E2">
        <w:rPr>
          <w:rFonts w:ascii="Book Antiqua" w:eastAsia="Book Antiqua" w:hAnsi="Book Antiqua" w:cs="Book Antiqua"/>
          <w:color w:val="000000" w:themeColor="text1"/>
        </w:rPr>
        <w:t xml:space="preserve"> 100 mg of imatinib per day, and hematologic remission and normal size of spleen </w:t>
      </w:r>
      <w:r w:rsidR="0089139A" w:rsidRPr="009830E2">
        <w:rPr>
          <w:rFonts w:ascii="Book Antiqua" w:eastAsia="Book Antiqua" w:hAnsi="Book Antiqua" w:cs="Book Antiqua"/>
          <w:color w:val="000000" w:themeColor="text1"/>
        </w:rPr>
        <w:t xml:space="preserve">have </w:t>
      </w:r>
      <w:r w:rsidRPr="009830E2">
        <w:rPr>
          <w:rFonts w:ascii="Book Antiqua" w:eastAsia="Book Antiqua" w:hAnsi="Book Antiqua" w:cs="Book Antiqua"/>
          <w:color w:val="000000" w:themeColor="text1"/>
        </w:rPr>
        <w:t>remained for more than 2 years.</w:t>
      </w:r>
    </w:p>
    <w:p w14:paraId="59D402AD" w14:textId="77777777" w:rsidR="00A77B3E" w:rsidRPr="009830E2" w:rsidRDefault="00A77B3E">
      <w:pPr>
        <w:spacing w:line="360" w:lineRule="auto"/>
        <w:jc w:val="both"/>
        <w:rPr>
          <w:color w:val="000000" w:themeColor="text1"/>
        </w:rPr>
      </w:pPr>
    </w:p>
    <w:p w14:paraId="357794D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DISCUSSION</w:t>
      </w:r>
    </w:p>
    <w:p w14:paraId="4795EED2" w14:textId="11AB36BC"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In 2008, </w:t>
      </w:r>
      <w:r w:rsidR="0089139A" w:rsidRPr="009830E2">
        <w:rPr>
          <w:rFonts w:ascii="Book Antiqua" w:eastAsia="Book Antiqua" w:hAnsi="Book Antiqua" w:cs="Book Antiqua"/>
          <w:color w:val="000000" w:themeColor="text1"/>
        </w:rPr>
        <w:t xml:space="preserve">the </w:t>
      </w:r>
      <w:r w:rsidR="007E2951" w:rsidRPr="009830E2">
        <w:rPr>
          <w:rFonts w:ascii="Book Antiqua" w:eastAsia="Book Antiqua" w:hAnsi="Book Antiqua" w:cs="Book Antiqua"/>
          <w:color w:val="000000" w:themeColor="text1"/>
        </w:rPr>
        <w:t xml:space="preserve">World Health Organization </w:t>
      </w:r>
      <w:r w:rsidRPr="009830E2">
        <w:rPr>
          <w:rFonts w:ascii="Book Antiqua" w:eastAsia="Book Antiqua" w:hAnsi="Book Antiqua" w:cs="Book Antiqua"/>
          <w:color w:val="000000" w:themeColor="text1"/>
        </w:rPr>
        <w:t xml:space="preserve">has endorsed a semi‐molecular classification scheme of disease subtypes “myeloid neoplasms with eosinophilia and rearrangement of </w:t>
      </w:r>
      <w:r w:rsidRPr="009830E2">
        <w:rPr>
          <w:rFonts w:ascii="Book Antiqua" w:eastAsia="Book Antiqua" w:hAnsi="Book Antiqua" w:cs="Book Antiqua"/>
          <w:color w:val="000000" w:themeColor="text1"/>
        </w:rPr>
        <w:lastRenderedPageBreak/>
        <w:t>PDGFRA, PDGFRB, or fibroblast growth factor receptor 1 (FGFR1)”. One previous study</w:t>
      </w:r>
      <w:r w:rsidRPr="009830E2">
        <w:rPr>
          <w:rFonts w:ascii="Book Antiqua" w:eastAsia="Book Antiqua" w:hAnsi="Book Antiqua" w:cs="Book Antiqua"/>
          <w:color w:val="000000" w:themeColor="text1"/>
          <w:vertAlign w:val="superscript"/>
        </w:rPr>
        <w:t>[3]</w:t>
      </w:r>
      <w:r w:rsidRPr="009830E2">
        <w:rPr>
          <w:rFonts w:ascii="Book Antiqua" w:eastAsia="Book Antiqua" w:hAnsi="Book Antiqua" w:cs="Book Antiqua"/>
          <w:color w:val="000000" w:themeColor="text1"/>
        </w:rPr>
        <w:t xml:space="preserve"> revealed that the incidence of myeloproliferative neoplasms (MPN) with PDGFRB rearrangement is 1.8% of MPN (10/556), with a median age of 61 years. The identification of MN patients with rearrangements of PDGFRA/B has significant implications for treatment and prognosis. It has been reported that high rates (&gt; 90%) of CHR and complete molecular remissions (CMR) have been achieved in adult MN patients on imatinib therapy. These durable responses can be translated into excellent progression-free and overall survival, while hematopoietic stem cell transplantation (HSCT) remains the only approach to cure the disease</w:t>
      </w:r>
      <w:r w:rsidRPr="009830E2">
        <w:rPr>
          <w:rFonts w:ascii="Book Antiqua" w:eastAsia="Book Antiqua" w:hAnsi="Book Antiqua" w:cs="Book Antiqua"/>
          <w:color w:val="000000" w:themeColor="text1"/>
          <w:vertAlign w:val="superscript"/>
        </w:rPr>
        <w:t>[4]</w:t>
      </w:r>
      <w:r w:rsidRPr="009830E2">
        <w:rPr>
          <w:rFonts w:ascii="Book Antiqua" w:eastAsia="Book Antiqua" w:hAnsi="Book Antiqua" w:cs="Book Antiqua"/>
          <w:color w:val="000000" w:themeColor="text1"/>
        </w:rPr>
        <w:t xml:space="preserve">. Since </w:t>
      </w:r>
      <w:r w:rsidR="008F1296" w:rsidRPr="009830E2">
        <w:rPr>
          <w:rFonts w:ascii="Book Antiqua" w:eastAsia="Book Antiqua" w:hAnsi="Book Antiqua" w:cs="Book Antiqua"/>
          <w:color w:val="000000" w:themeColor="text1"/>
        </w:rPr>
        <w:t xml:space="preserve">this </w:t>
      </w:r>
      <w:r w:rsidRPr="009830E2">
        <w:rPr>
          <w:rFonts w:ascii="Book Antiqua" w:eastAsia="Book Antiqua" w:hAnsi="Book Antiqua" w:cs="Book Antiqua"/>
          <w:color w:val="000000" w:themeColor="text1"/>
        </w:rPr>
        <w:t xml:space="preserve">disorder is rarely described in children, there is no guideline for pediatric MN patients with PDGFRB rearrangement, and the existing diagnosis and treatment are based on the guidelines for adult patients. </w:t>
      </w:r>
    </w:p>
    <w:p w14:paraId="737CB177" w14:textId="0FCA47A9" w:rsidR="008F1296" w:rsidRPr="009830E2" w:rsidRDefault="00116DD6">
      <w:pPr>
        <w:spacing w:line="360" w:lineRule="auto"/>
        <w:ind w:firstLine="240"/>
        <w:jc w:val="both"/>
        <w:rPr>
          <w:rFonts w:ascii="Book Antiqua" w:eastAsia="Book Antiqua" w:hAnsi="Book Antiqua" w:cs="Book Antiqua"/>
          <w:color w:val="000000" w:themeColor="text1"/>
        </w:rPr>
      </w:pPr>
      <w:r w:rsidRPr="009830E2">
        <w:rPr>
          <w:rFonts w:ascii="Book Antiqua" w:eastAsia="Book Antiqua" w:hAnsi="Book Antiqua" w:cs="Book Antiqua"/>
          <w:color w:val="000000" w:themeColor="text1"/>
        </w:rPr>
        <w:t>We searched PubMed and CNKI databases for the terms “child, PDGFRB rearrangement and imatinib</w:t>
      </w:r>
      <w:r w:rsidRPr="009830E2">
        <w:rPr>
          <w:rFonts w:ascii="Book Antiqua" w:eastAsia="Book Antiqua" w:hAnsi="Book Antiqua" w:cs="Book Antiqua"/>
          <w:i/>
          <w:iCs/>
          <w:color w:val="000000" w:themeColor="text1"/>
        </w:rPr>
        <w:t>”.</w:t>
      </w:r>
      <w:r w:rsidRPr="009830E2">
        <w:rPr>
          <w:rFonts w:ascii="Book Antiqua" w:eastAsia="Book Antiqua" w:hAnsi="Book Antiqua" w:cs="Book Antiqua"/>
          <w:color w:val="000000" w:themeColor="text1"/>
        </w:rPr>
        <w:t xml:space="preserve"> There are only six </w:t>
      </w:r>
      <w:r w:rsidR="008F1296" w:rsidRPr="009830E2">
        <w:rPr>
          <w:rFonts w:ascii="Book Antiqua" w:eastAsia="Book Antiqua" w:hAnsi="Book Antiqua" w:cs="Book Antiqua"/>
          <w:color w:val="000000" w:themeColor="text1"/>
        </w:rPr>
        <w:t>reported c</w:t>
      </w:r>
      <w:r w:rsidRPr="009830E2">
        <w:rPr>
          <w:rFonts w:ascii="Book Antiqua" w:eastAsia="Book Antiqua" w:hAnsi="Book Antiqua" w:cs="Book Antiqua"/>
          <w:color w:val="000000" w:themeColor="text1"/>
        </w:rPr>
        <w:t>ases</w:t>
      </w:r>
      <w:r w:rsidRPr="009830E2">
        <w:rPr>
          <w:rFonts w:ascii="Book Antiqua" w:eastAsia="Book Antiqua" w:hAnsi="Book Antiqua" w:cs="Book Antiqua"/>
          <w:color w:val="000000" w:themeColor="text1"/>
          <w:vertAlign w:val="superscript"/>
        </w:rPr>
        <w:t>[5-9]</w:t>
      </w:r>
      <w:r w:rsidRPr="009830E2">
        <w:rPr>
          <w:rFonts w:ascii="Book Antiqua" w:eastAsia="Book Antiqua" w:hAnsi="Book Antiqua" w:cs="Book Antiqua"/>
          <w:color w:val="000000" w:themeColor="text1"/>
        </w:rPr>
        <w:t xml:space="preserve"> of pediatric MN patients with PDGFRB rearrangement (Table 1). The patients’ age ranged from 0 to 8 years. All the children present</w:t>
      </w:r>
      <w:r w:rsidR="008F1296" w:rsidRPr="009830E2">
        <w:rPr>
          <w:rFonts w:ascii="Book Antiqua" w:eastAsia="Book Antiqua" w:hAnsi="Book Antiqua" w:cs="Book Antiqua"/>
          <w:color w:val="000000" w:themeColor="text1"/>
        </w:rPr>
        <w:t>ed</w:t>
      </w:r>
      <w:r w:rsidRPr="009830E2">
        <w:rPr>
          <w:rFonts w:ascii="Book Antiqua" w:eastAsia="Book Antiqua" w:hAnsi="Book Antiqua" w:cs="Book Antiqua"/>
          <w:color w:val="000000" w:themeColor="text1"/>
        </w:rPr>
        <w:t xml:space="preserve"> with leukocytosis, eosinophilia, and splenomegaly, and their molecular biological examination show the PDGFRB rearrangement. All patients had an abnormal karyotype involved in translocation of 5q31-33, which is a hotspot for diverse chromosomal aberrations in rearrangements of PDGFRB and formation of PDGFRB fusion genes (except one whose karyotype was unknown). Other common symptoms include anemia (6/8), thrombocytopenia (3/8), fever, and rashes. All of them receive</w:t>
      </w:r>
      <w:r w:rsidR="008F1296"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imatinib therapy</w:t>
      </w:r>
      <w:r w:rsidR="008F1296"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the initial doses range from 340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to 200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and the dose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reduced to 100-185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during maintenance therapy. Children achieve</w:t>
      </w:r>
      <w:r w:rsidR="008F1296"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the hematologic response after the use of imatinib, and the complete cytogenetic response and CMR </w:t>
      </w:r>
      <w:r w:rsidR="008F1296" w:rsidRPr="009830E2">
        <w:rPr>
          <w:rFonts w:ascii="Book Antiqua" w:eastAsia="Book Antiqua" w:hAnsi="Book Antiqua" w:cs="Book Antiqua"/>
          <w:color w:val="000000" w:themeColor="text1"/>
        </w:rPr>
        <w:t>was</w:t>
      </w:r>
      <w:r w:rsidRPr="009830E2">
        <w:rPr>
          <w:rFonts w:ascii="Book Antiqua" w:eastAsia="Book Antiqua" w:hAnsi="Book Antiqua" w:cs="Book Antiqua"/>
          <w:color w:val="000000" w:themeColor="text1"/>
        </w:rPr>
        <w:t xml:space="preserve"> usually achieved at 1 mo after the therapy, which is consistent with its effect on adults. </w:t>
      </w:r>
    </w:p>
    <w:p w14:paraId="5DF7CBA6" w14:textId="4CDDE8DA"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 xml:space="preserve">The common side effects of imatinib are nausea, vomiting, tiredness, edema, myelotoxicity, and so on. The treatment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suspended in one patient</w:t>
      </w:r>
      <w:r w:rsidRPr="009830E2">
        <w:rPr>
          <w:rFonts w:ascii="Book Antiqua" w:eastAsia="Book Antiqua" w:hAnsi="Book Antiqua" w:cs="Book Antiqua"/>
          <w:color w:val="000000" w:themeColor="text1"/>
          <w:vertAlign w:val="superscript"/>
        </w:rPr>
        <w:t>[7]</w:t>
      </w:r>
      <w:r w:rsidRPr="009830E2">
        <w:rPr>
          <w:rFonts w:ascii="Book Antiqua" w:eastAsia="Book Antiqua" w:hAnsi="Book Antiqua" w:cs="Book Antiqua"/>
          <w:color w:val="000000" w:themeColor="text1"/>
        </w:rPr>
        <w:t xml:space="preserve"> for 1 mo because of the gastrointestinal reaction</w:t>
      </w:r>
      <w:r w:rsidR="008F1296" w:rsidRPr="009830E2">
        <w:rPr>
          <w:rFonts w:ascii="Book Antiqua" w:eastAsia="Book Antiqua" w:hAnsi="Book Antiqua" w:cs="Book Antiqua"/>
          <w:color w:val="000000" w:themeColor="text1"/>
        </w:rPr>
        <w:t xml:space="preserve"> and was</w:t>
      </w:r>
      <w:r w:rsidRPr="009830E2">
        <w:rPr>
          <w:rFonts w:ascii="Book Antiqua" w:eastAsia="Book Antiqua" w:hAnsi="Book Antiqua" w:cs="Book Antiqua"/>
          <w:color w:val="000000" w:themeColor="text1"/>
        </w:rPr>
        <w:t xml:space="preserve"> restarted due to the molecular relapse, and the </w:t>
      </w:r>
      <w:r w:rsidRPr="009830E2">
        <w:rPr>
          <w:rFonts w:ascii="Book Antiqua" w:eastAsia="Book Antiqua" w:hAnsi="Book Antiqua" w:cs="Book Antiqua"/>
          <w:color w:val="000000" w:themeColor="text1"/>
        </w:rPr>
        <w:lastRenderedPageBreak/>
        <w:t>patient achieves hematologic release after 2 mo. These findings suggest that temporary suspension of the drug may cause relapse, while patients can still benefit from such therapy when the treatment is resumed. Other patients are tolerant to the drug. One of the patients</w:t>
      </w:r>
      <w:r w:rsidRPr="009830E2">
        <w:rPr>
          <w:rFonts w:ascii="Book Antiqua" w:eastAsia="Book Antiqua" w:hAnsi="Book Antiqua" w:cs="Book Antiqua"/>
          <w:color w:val="000000" w:themeColor="text1"/>
          <w:vertAlign w:val="superscript"/>
        </w:rPr>
        <w:t>[9]</w:t>
      </w:r>
      <w:r w:rsidRPr="009830E2">
        <w:rPr>
          <w:rFonts w:ascii="Book Antiqua" w:eastAsia="Book Antiqua" w:hAnsi="Book Antiqua" w:cs="Book Antiqua"/>
          <w:color w:val="000000" w:themeColor="text1"/>
        </w:rPr>
        <w:t xml:space="preserve"> under</w:t>
      </w:r>
      <w:r w:rsidR="008F1296" w:rsidRPr="009830E2">
        <w:rPr>
          <w:rFonts w:ascii="Book Antiqua" w:eastAsia="Book Antiqua" w:hAnsi="Book Antiqua" w:cs="Book Antiqua"/>
          <w:color w:val="000000" w:themeColor="text1"/>
        </w:rPr>
        <w:t>went</w:t>
      </w:r>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rPr>
        <w:t xml:space="preserve">HSCT </w:t>
      </w:r>
      <w:r w:rsidRPr="009830E2">
        <w:rPr>
          <w:rFonts w:ascii="Book Antiqua" w:eastAsia="Book Antiqua" w:hAnsi="Book Antiqua" w:cs="Book Antiqua"/>
          <w:color w:val="000000" w:themeColor="text1"/>
        </w:rPr>
        <w:t xml:space="preserve">because of the inconvenience of taking daily pills. Besides, there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no resistance to imatinib reported in children.</w:t>
      </w:r>
    </w:p>
    <w:p w14:paraId="064C8596" w14:textId="783AD5F3"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Consist</w:t>
      </w:r>
      <w:r w:rsidR="008F1296" w:rsidRPr="009830E2">
        <w:rPr>
          <w:rFonts w:ascii="Book Antiqua" w:eastAsia="Book Antiqua" w:hAnsi="Book Antiqua" w:cs="Book Antiqua"/>
          <w:color w:val="000000" w:themeColor="text1"/>
        </w:rPr>
        <w:t>ent</w:t>
      </w:r>
      <w:r w:rsidRPr="009830E2">
        <w:rPr>
          <w:rFonts w:ascii="Book Antiqua" w:eastAsia="Book Antiqua" w:hAnsi="Book Antiqua" w:cs="Book Antiqua"/>
          <w:color w:val="000000" w:themeColor="text1"/>
        </w:rPr>
        <w:t xml:space="preserve"> with these patients, both of our patients presented with leukocytosis, eosinophilia, and splenomegaly, their BM aspiration showed myelomonocytic hyperplasia, and the proportion of medullary blasts was less than 20%, which reminded us</w:t>
      </w:r>
      <w:r w:rsidR="008F1296" w:rsidRPr="009830E2">
        <w:rPr>
          <w:rFonts w:ascii="Book Antiqua" w:eastAsia="Book Antiqua" w:hAnsi="Book Antiqua" w:cs="Book Antiqua"/>
          <w:color w:val="000000" w:themeColor="text1"/>
        </w:rPr>
        <w:t xml:space="preserve"> of</w:t>
      </w:r>
      <w:r w:rsidRPr="009830E2">
        <w:rPr>
          <w:rFonts w:ascii="Book Antiqua" w:eastAsia="Book Antiqua" w:hAnsi="Book Antiqua" w:cs="Book Antiqua"/>
          <w:color w:val="000000" w:themeColor="text1"/>
        </w:rPr>
        <w:t xml:space="preserve"> the possibility of myeloproliferative diseases. Considering that the eosinophilia with no obvious cause is a possible hematological neoplasm with clonal eosinophilia, we tested their peripheral blood analysis for PDGFRA, PDGFRB, FGFR1</w:t>
      </w:r>
      <w:r w:rsidR="008F1296"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i/>
          <w:iCs/>
          <w:color w:val="000000" w:themeColor="text1"/>
        </w:rPr>
        <w:t>etc.</w:t>
      </w:r>
      <w:r w:rsidRPr="009830E2">
        <w:rPr>
          <w:rFonts w:ascii="Book Antiqua" w:eastAsia="Book Antiqua" w:hAnsi="Book Antiqua" w:cs="Book Antiqua"/>
          <w:color w:val="000000" w:themeColor="text1"/>
        </w:rPr>
        <w:t xml:space="preserve"> by FISH</w:t>
      </w:r>
      <w:r w:rsidRPr="009830E2">
        <w:rPr>
          <w:rFonts w:ascii="Book Antiqua" w:eastAsia="Book Antiqua" w:hAnsi="Book Antiqua" w:cs="Book Antiqua"/>
          <w:color w:val="000000" w:themeColor="text1"/>
          <w:vertAlign w:val="superscript"/>
        </w:rPr>
        <w:t>[10]</w:t>
      </w:r>
      <w:r w:rsidRPr="009830E2">
        <w:rPr>
          <w:rFonts w:ascii="Book Antiqua" w:eastAsia="Book Antiqua" w:hAnsi="Book Antiqua" w:cs="Book Antiqua"/>
          <w:color w:val="000000" w:themeColor="text1"/>
        </w:rPr>
        <w:t xml:space="preserve">. PDGFRB is usually associated with reciprocal translocations of 5q31–33 region thus presenting an abnormal karyotype. However, the karyotype in case 1 was normal, while the PDGFRB rearrangement detected by FISH was positive. This condition has been reported in adult cases, which may be caused by cryptic rearrangements, suggesting the necessity of the detection by molecular technology. </w:t>
      </w:r>
    </w:p>
    <w:p w14:paraId="40AD7CA5" w14:textId="0ED16702"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After clarifying the diagnosis</w:t>
      </w:r>
      <w:r w:rsidR="008F1296" w:rsidRPr="009830E2">
        <w:rPr>
          <w:rFonts w:ascii="Book Antiqua" w:eastAsia="Book Antiqua" w:hAnsi="Book Antiqua" w:cs="Book Antiqua"/>
          <w:color w:val="000000" w:themeColor="text1"/>
        </w:rPr>
        <w:t xml:space="preserve"> and</w:t>
      </w:r>
      <w:r w:rsidRPr="009830E2">
        <w:rPr>
          <w:rFonts w:ascii="Book Antiqua" w:eastAsia="Book Antiqua" w:hAnsi="Book Antiqua" w:cs="Book Antiqua"/>
          <w:color w:val="000000" w:themeColor="text1"/>
        </w:rPr>
        <w:t xml:space="preserve"> </w:t>
      </w:r>
      <w:r w:rsidR="008F1296" w:rsidRPr="009830E2">
        <w:rPr>
          <w:rFonts w:ascii="Book Antiqua" w:eastAsia="Book Antiqua" w:hAnsi="Book Antiqua" w:cs="Book Antiqua"/>
          <w:color w:val="000000" w:themeColor="text1"/>
        </w:rPr>
        <w:t>reviewing</w:t>
      </w:r>
      <w:r w:rsidRPr="009830E2">
        <w:rPr>
          <w:rFonts w:ascii="Book Antiqua" w:eastAsia="Book Antiqua" w:hAnsi="Book Antiqua" w:cs="Book Antiqua"/>
          <w:color w:val="000000" w:themeColor="text1"/>
        </w:rPr>
        <w:t xml:space="preserve"> imatinib treatment in adults, as well as the patients before, we suggested 100 mg imatinib (200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per day for their treatment. Both patients we reported achieved hematologic release within 1 mo after </w:t>
      </w:r>
      <w:r w:rsidR="008F1296" w:rsidRPr="009830E2">
        <w:rPr>
          <w:rFonts w:ascii="Book Antiqua" w:eastAsia="Book Antiqua" w:hAnsi="Book Antiqua" w:cs="Book Antiqua"/>
          <w:color w:val="000000" w:themeColor="text1"/>
        </w:rPr>
        <w:t xml:space="preserve">initiation of </w:t>
      </w:r>
      <w:r w:rsidRPr="009830E2">
        <w:rPr>
          <w:rFonts w:ascii="Book Antiqua" w:eastAsia="Book Antiqua" w:hAnsi="Book Antiqua" w:cs="Book Antiqua"/>
          <w:color w:val="000000" w:themeColor="text1"/>
        </w:rPr>
        <w:t xml:space="preserve">the imatinib treatment, attained clinical remissions, and remained in sustained remission. Collectively, imatinib had a considerable effect on children. Patients could rapidly achieve CHR and CMR after the use of imatinib. </w:t>
      </w:r>
    </w:p>
    <w:p w14:paraId="5A93A5C6" w14:textId="77777777" w:rsidR="00A77B3E" w:rsidRPr="009830E2" w:rsidRDefault="00A77B3E">
      <w:pPr>
        <w:spacing w:line="360" w:lineRule="auto"/>
        <w:jc w:val="both"/>
        <w:rPr>
          <w:color w:val="000000" w:themeColor="text1"/>
        </w:rPr>
      </w:pPr>
    </w:p>
    <w:p w14:paraId="6D4B82F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CONCLUSION</w:t>
      </w:r>
    </w:p>
    <w:p w14:paraId="04ECC029" w14:textId="6089240C"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Although MN with eosinophilia and rearrangement of PDGFRB rarely occurs in children, we should </w:t>
      </w:r>
      <w:r w:rsidR="008F1296" w:rsidRPr="009830E2">
        <w:rPr>
          <w:rFonts w:ascii="Book Antiqua" w:eastAsia="Book Antiqua" w:hAnsi="Book Antiqua" w:cs="Book Antiqua"/>
          <w:color w:val="000000" w:themeColor="text1"/>
        </w:rPr>
        <w:t>increase our awareness</w:t>
      </w:r>
      <w:r w:rsidRPr="009830E2">
        <w:rPr>
          <w:rFonts w:ascii="Book Antiqua" w:eastAsia="Book Antiqua" w:hAnsi="Book Antiqua" w:cs="Book Antiqua"/>
          <w:color w:val="000000" w:themeColor="text1"/>
        </w:rPr>
        <w:t xml:space="preserve"> for the possibility of this disease</w:t>
      </w:r>
      <w:r w:rsidR="008F1296"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 xml:space="preserve">PDGFRA, PDGFRB, or FGFR1 by FISH are necessary once the disease is suspected. Moreover, we should pay more attention to the prognosis, life expectancy, side effects, and </w:t>
      </w:r>
      <w:r w:rsidR="008F1296" w:rsidRPr="009830E2">
        <w:rPr>
          <w:rFonts w:ascii="Book Antiqua" w:eastAsia="Book Antiqua" w:hAnsi="Book Antiqua" w:cs="Book Antiqua"/>
          <w:color w:val="000000" w:themeColor="text1"/>
        </w:rPr>
        <w:t>quality of life</w:t>
      </w:r>
      <w:r w:rsidRPr="009830E2">
        <w:rPr>
          <w:rFonts w:ascii="Book Antiqua" w:eastAsia="Book Antiqua" w:hAnsi="Book Antiqua" w:cs="Book Antiqua"/>
          <w:color w:val="000000" w:themeColor="text1"/>
        </w:rPr>
        <w:t xml:space="preserve"> of these pediatric patients. The dose of imatinib for treatment is still unclear. For more </w:t>
      </w:r>
      <w:r w:rsidRPr="009830E2">
        <w:rPr>
          <w:rFonts w:ascii="Book Antiqua" w:eastAsia="Book Antiqua" w:hAnsi="Book Antiqua" w:cs="Book Antiqua"/>
          <w:color w:val="000000" w:themeColor="text1"/>
        </w:rPr>
        <w:lastRenderedPageBreak/>
        <w:t xml:space="preserve">information about pediatric MN with eosinophilia and rearrangement of PDGFRB, </w:t>
      </w:r>
      <w:r w:rsidR="008F1296" w:rsidRPr="009830E2">
        <w:rPr>
          <w:rFonts w:ascii="Book Antiqua" w:eastAsia="Book Antiqua" w:hAnsi="Book Antiqua" w:cs="Book Antiqua"/>
          <w:color w:val="000000" w:themeColor="text1"/>
        </w:rPr>
        <w:t xml:space="preserve">a </w:t>
      </w:r>
      <w:r w:rsidRPr="009830E2">
        <w:rPr>
          <w:rFonts w:ascii="Book Antiqua" w:eastAsia="Book Antiqua" w:hAnsi="Book Antiqua" w:cs="Book Antiqua"/>
          <w:color w:val="000000" w:themeColor="text1"/>
        </w:rPr>
        <w:t>multicenter clinical study</w:t>
      </w:r>
      <w:r w:rsidR="008F1296" w:rsidRPr="009830E2">
        <w:rPr>
          <w:rFonts w:ascii="Book Antiqua" w:eastAsia="Book Antiqua" w:hAnsi="Book Antiqua" w:cs="Book Antiqua"/>
          <w:color w:val="000000" w:themeColor="text1"/>
        </w:rPr>
        <w:t xml:space="preserve"> with</w:t>
      </w:r>
      <w:r w:rsidRPr="009830E2">
        <w:rPr>
          <w:rFonts w:ascii="Book Antiqua" w:eastAsia="Book Antiqua" w:hAnsi="Book Antiqua" w:cs="Book Antiqua"/>
          <w:color w:val="000000" w:themeColor="text1"/>
        </w:rPr>
        <w:t xml:space="preserve"> long-term follow up</w:t>
      </w:r>
      <w:r w:rsidR="008F1296" w:rsidRPr="009830E2">
        <w:rPr>
          <w:rFonts w:ascii="Book Antiqua" w:eastAsia="Book Antiqua" w:hAnsi="Book Antiqua" w:cs="Book Antiqua"/>
          <w:color w:val="000000" w:themeColor="text1"/>
        </w:rPr>
        <w:t xml:space="preserve"> is required</w:t>
      </w:r>
      <w:r w:rsidRPr="009830E2">
        <w:rPr>
          <w:rFonts w:ascii="Book Antiqua" w:eastAsia="Book Antiqua" w:hAnsi="Book Antiqua" w:cs="Book Antiqua"/>
          <w:color w:val="000000" w:themeColor="text1"/>
        </w:rPr>
        <w:t>.</w:t>
      </w:r>
    </w:p>
    <w:p w14:paraId="0994AACE" w14:textId="77777777" w:rsidR="00A77B3E" w:rsidRPr="009830E2" w:rsidRDefault="00A77B3E">
      <w:pPr>
        <w:spacing w:line="360" w:lineRule="auto"/>
        <w:jc w:val="both"/>
        <w:rPr>
          <w:color w:val="000000" w:themeColor="text1"/>
        </w:rPr>
      </w:pPr>
    </w:p>
    <w:p w14:paraId="2769665F"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ACKNOWLEDGEMENTS</w:t>
      </w:r>
    </w:p>
    <w:p w14:paraId="11891392" w14:textId="0838C2A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I would like to express my gratitude to all those who helped me during the writing of this report. Thanks for the patients, thanks for the guidance of doctors and nurses, thanks for my parents always </w:t>
      </w:r>
      <w:r w:rsidR="008F1296" w:rsidRPr="009830E2">
        <w:rPr>
          <w:rFonts w:ascii="Book Antiqua" w:eastAsia="Book Antiqua" w:hAnsi="Book Antiqua" w:cs="Book Antiqua"/>
          <w:color w:val="000000" w:themeColor="text1"/>
        </w:rPr>
        <w:t xml:space="preserve">supporting </w:t>
      </w:r>
      <w:r w:rsidRPr="009830E2">
        <w:rPr>
          <w:rFonts w:ascii="Book Antiqua" w:eastAsia="Book Antiqua" w:hAnsi="Book Antiqua" w:cs="Book Antiqua"/>
          <w:color w:val="000000" w:themeColor="text1"/>
        </w:rPr>
        <w:t>me.</w:t>
      </w:r>
    </w:p>
    <w:p w14:paraId="52C07F56" w14:textId="77777777" w:rsidR="00A77B3E" w:rsidRPr="009830E2" w:rsidRDefault="00A77B3E">
      <w:pPr>
        <w:spacing w:line="360" w:lineRule="auto"/>
        <w:jc w:val="both"/>
        <w:rPr>
          <w:color w:val="000000" w:themeColor="text1"/>
        </w:rPr>
      </w:pPr>
    </w:p>
    <w:p w14:paraId="3DE1E20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REFERENCES</w:t>
      </w:r>
    </w:p>
    <w:p w14:paraId="1DA913F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1 </w:t>
      </w:r>
      <w:r w:rsidRPr="009830E2">
        <w:rPr>
          <w:rFonts w:ascii="Book Antiqua" w:eastAsia="Book Antiqua" w:hAnsi="Book Antiqua" w:cs="Book Antiqua"/>
          <w:b/>
          <w:bCs/>
          <w:color w:val="000000" w:themeColor="text1"/>
        </w:rPr>
        <w:t>Shomali W</w:t>
      </w:r>
      <w:r w:rsidRPr="009830E2">
        <w:rPr>
          <w:rFonts w:ascii="Book Antiqua" w:eastAsia="Book Antiqua" w:hAnsi="Book Antiqua" w:cs="Book Antiqua"/>
          <w:color w:val="000000" w:themeColor="text1"/>
        </w:rPr>
        <w:t xml:space="preserve">, Gotlib J. World Health Organization-defined eosinophilic disorders: 2019 update on diagnosis, risk stratification, and management. </w:t>
      </w:r>
      <w:r w:rsidRPr="009830E2">
        <w:rPr>
          <w:rFonts w:ascii="Book Antiqua" w:eastAsia="Book Antiqua" w:hAnsi="Book Antiqua" w:cs="Book Antiqua"/>
          <w:i/>
          <w:iCs/>
          <w:color w:val="000000" w:themeColor="text1"/>
        </w:rPr>
        <w:t xml:space="preserve">Am J </w:t>
      </w:r>
      <w:proofErr w:type="spellStart"/>
      <w:r w:rsidRPr="009830E2">
        <w:rPr>
          <w:rFonts w:ascii="Book Antiqua" w:eastAsia="Book Antiqua" w:hAnsi="Book Antiqua" w:cs="Book Antiqua"/>
          <w:i/>
          <w:iCs/>
          <w:color w:val="000000" w:themeColor="text1"/>
        </w:rPr>
        <w:t>Hematol</w:t>
      </w:r>
      <w:proofErr w:type="spellEnd"/>
      <w:r w:rsidRPr="009830E2">
        <w:rPr>
          <w:rFonts w:ascii="Book Antiqua" w:eastAsia="Book Antiqua" w:hAnsi="Book Antiqua" w:cs="Book Antiqua"/>
          <w:color w:val="000000" w:themeColor="text1"/>
        </w:rPr>
        <w:t xml:space="preserve"> 2019; </w:t>
      </w:r>
      <w:r w:rsidRPr="009830E2">
        <w:rPr>
          <w:rFonts w:ascii="Book Antiqua" w:eastAsia="Book Antiqua" w:hAnsi="Book Antiqua" w:cs="Book Antiqua"/>
          <w:b/>
          <w:bCs/>
          <w:color w:val="000000" w:themeColor="text1"/>
        </w:rPr>
        <w:t>94</w:t>
      </w:r>
      <w:r w:rsidRPr="009830E2">
        <w:rPr>
          <w:rFonts w:ascii="Book Antiqua" w:eastAsia="Book Antiqua" w:hAnsi="Book Antiqua" w:cs="Book Antiqua"/>
          <w:color w:val="000000" w:themeColor="text1"/>
        </w:rPr>
        <w:t>: 1149-1167 [PMID: 31423623 DOI: 10.1002/ajh.25617]</w:t>
      </w:r>
    </w:p>
    <w:p w14:paraId="7A6EBF8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2 </w:t>
      </w:r>
      <w:r w:rsidRPr="009830E2">
        <w:rPr>
          <w:rFonts w:ascii="Book Antiqua" w:eastAsia="Book Antiqua" w:hAnsi="Book Antiqua" w:cs="Book Antiqua"/>
          <w:b/>
          <w:bCs/>
          <w:color w:val="000000" w:themeColor="text1"/>
        </w:rPr>
        <w:t>David M</w:t>
      </w:r>
      <w:r w:rsidRPr="009830E2">
        <w:rPr>
          <w:rFonts w:ascii="Book Antiqua" w:eastAsia="Book Antiqua" w:hAnsi="Book Antiqua" w:cs="Book Antiqua"/>
          <w:color w:val="000000" w:themeColor="text1"/>
        </w:rPr>
        <w:t xml:space="preserve">, Cross NC, </w:t>
      </w:r>
      <w:proofErr w:type="spellStart"/>
      <w:r w:rsidRPr="009830E2">
        <w:rPr>
          <w:rFonts w:ascii="Book Antiqua" w:eastAsia="Book Antiqua" w:hAnsi="Book Antiqua" w:cs="Book Antiqua"/>
          <w:color w:val="000000" w:themeColor="text1"/>
        </w:rPr>
        <w:t>Burgstaller</w:t>
      </w:r>
      <w:proofErr w:type="spellEnd"/>
      <w:r w:rsidRPr="009830E2">
        <w:rPr>
          <w:rFonts w:ascii="Book Antiqua" w:eastAsia="Book Antiqua" w:hAnsi="Book Antiqua" w:cs="Book Antiqua"/>
          <w:color w:val="000000" w:themeColor="text1"/>
        </w:rPr>
        <w:t xml:space="preserve"> S, Chase A, Curtis C, Dang R, </w:t>
      </w:r>
      <w:proofErr w:type="spellStart"/>
      <w:r w:rsidRPr="009830E2">
        <w:rPr>
          <w:rFonts w:ascii="Book Antiqua" w:eastAsia="Book Antiqua" w:hAnsi="Book Antiqua" w:cs="Book Antiqua"/>
          <w:color w:val="000000" w:themeColor="text1"/>
        </w:rPr>
        <w:t>Gardembas</w:t>
      </w:r>
      <w:proofErr w:type="spellEnd"/>
      <w:r w:rsidRPr="009830E2">
        <w:rPr>
          <w:rFonts w:ascii="Book Antiqua" w:eastAsia="Book Antiqua" w:hAnsi="Book Antiqua" w:cs="Book Antiqua"/>
          <w:color w:val="000000" w:themeColor="text1"/>
        </w:rPr>
        <w:t xml:space="preserve"> M, Goldman JM, Grand F, Hughes G, </w:t>
      </w:r>
      <w:proofErr w:type="spellStart"/>
      <w:r w:rsidRPr="009830E2">
        <w:rPr>
          <w:rFonts w:ascii="Book Antiqua" w:eastAsia="Book Antiqua" w:hAnsi="Book Antiqua" w:cs="Book Antiqua"/>
          <w:color w:val="000000" w:themeColor="text1"/>
        </w:rPr>
        <w:t>Huguet</w:t>
      </w:r>
      <w:proofErr w:type="spellEnd"/>
      <w:r w:rsidRPr="009830E2">
        <w:rPr>
          <w:rFonts w:ascii="Book Antiqua" w:eastAsia="Book Antiqua" w:hAnsi="Book Antiqua" w:cs="Book Antiqua"/>
          <w:color w:val="000000" w:themeColor="text1"/>
        </w:rPr>
        <w:t xml:space="preserve"> F, Lavender L, McArthur GA, Mahon FX, </w:t>
      </w:r>
      <w:proofErr w:type="spellStart"/>
      <w:r w:rsidRPr="009830E2">
        <w:rPr>
          <w:rFonts w:ascii="Book Antiqua" w:eastAsia="Book Antiqua" w:hAnsi="Book Antiqua" w:cs="Book Antiqua"/>
          <w:color w:val="000000" w:themeColor="text1"/>
        </w:rPr>
        <w:t>Massimini</w:t>
      </w:r>
      <w:proofErr w:type="spellEnd"/>
      <w:r w:rsidRPr="009830E2">
        <w:rPr>
          <w:rFonts w:ascii="Book Antiqua" w:eastAsia="Book Antiqua" w:hAnsi="Book Antiqua" w:cs="Book Antiqua"/>
          <w:color w:val="000000" w:themeColor="text1"/>
        </w:rPr>
        <w:t xml:space="preserve"> G, Melo J, </w:t>
      </w:r>
      <w:proofErr w:type="spellStart"/>
      <w:r w:rsidRPr="009830E2">
        <w:rPr>
          <w:rFonts w:ascii="Book Antiqua" w:eastAsia="Book Antiqua" w:hAnsi="Book Antiqua" w:cs="Book Antiqua"/>
          <w:color w:val="000000" w:themeColor="text1"/>
        </w:rPr>
        <w:t>Rousselot</w:t>
      </w:r>
      <w:proofErr w:type="spellEnd"/>
      <w:r w:rsidRPr="009830E2">
        <w:rPr>
          <w:rFonts w:ascii="Book Antiqua" w:eastAsia="Book Antiqua" w:hAnsi="Book Antiqua" w:cs="Book Antiqua"/>
          <w:color w:val="000000" w:themeColor="text1"/>
        </w:rPr>
        <w:t xml:space="preserve"> P, Russell-Jones RJ, Seymour JF, Smith G, Stark A, Waghorn K, </w:t>
      </w:r>
      <w:proofErr w:type="spellStart"/>
      <w:r w:rsidRPr="009830E2">
        <w:rPr>
          <w:rFonts w:ascii="Book Antiqua" w:eastAsia="Book Antiqua" w:hAnsi="Book Antiqua" w:cs="Book Antiqua"/>
          <w:color w:val="000000" w:themeColor="text1"/>
        </w:rPr>
        <w:t>Nikolova</w:t>
      </w:r>
      <w:proofErr w:type="spellEnd"/>
      <w:r w:rsidRPr="009830E2">
        <w:rPr>
          <w:rFonts w:ascii="Book Antiqua" w:eastAsia="Book Antiqua" w:hAnsi="Book Antiqua" w:cs="Book Antiqua"/>
          <w:color w:val="000000" w:themeColor="text1"/>
        </w:rPr>
        <w:t xml:space="preserve"> Z, </w:t>
      </w:r>
      <w:proofErr w:type="spellStart"/>
      <w:r w:rsidRPr="009830E2">
        <w:rPr>
          <w:rFonts w:ascii="Book Antiqua" w:eastAsia="Book Antiqua" w:hAnsi="Book Antiqua" w:cs="Book Antiqua"/>
          <w:color w:val="000000" w:themeColor="text1"/>
        </w:rPr>
        <w:t>Apperley</w:t>
      </w:r>
      <w:proofErr w:type="spellEnd"/>
      <w:r w:rsidRPr="009830E2">
        <w:rPr>
          <w:rFonts w:ascii="Book Antiqua" w:eastAsia="Book Antiqua" w:hAnsi="Book Antiqua" w:cs="Book Antiqua"/>
          <w:color w:val="000000" w:themeColor="text1"/>
        </w:rPr>
        <w:t xml:space="preserve"> JF. Durable responses to imatinib in patients with PDGFRB fusion gene-positive and BCR-ABL-negative chronic myeloproliferative disorders. </w:t>
      </w:r>
      <w:r w:rsidRPr="009830E2">
        <w:rPr>
          <w:rFonts w:ascii="Book Antiqua" w:eastAsia="Book Antiqua" w:hAnsi="Book Antiqua" w:cs="Book Antiqua"/>
          <w:i/>
          <w:iCs/>
          <w:color w:val="000000" w:themeColor="text1"/>
        </w:rPr>
        <w:t>Blood</w:t>
      </w:r>
      <w:r w:rsidRPr="009830E2">
        <w:rPr>
          <w:rFonts w:ascii="Book Antiqua" w:eastAsia="Book Antiqua" w:hAnsi="Book Antiqua" w:cs="Book Antiqua"/>
          <w:color w:val="000000" w:themeColor="text1"/>
        </w:rPr>
        <w:t xml:space="preserve"> 2007; </w:t>
      </w:r>
      <w:r w:rsidRPr="009830E2">
        <w:rPr>
          <w:rFonts w:ascii="Book Antiqua" w:eastAsia="Book Antiqua" w:hAnsi="Book Antiqua" w:cs="Book Antiqua"/>
          <w:b/>
          <w:bCs/>
          <w:color w:val="000000" w:themeColor="text1"/>
        </w:rPr>
        <w:t>109</w:t>
      </w:r>
      <w:r w:rsidRPr="009830E2">
        <w:rPr>
          <w:rFonts w:ascii="Book Antiqua" w:eastAsia="Book Antiqua" w:hAnsi="Book Antiqua" w:cs="Book Antiqua"/>
          <w:color w:val="000000" w:themeColor="text1"/>
        </w:rPr>
        <w:t>: 61-64 [PMID: 16960151 DOI: 10.1182/blood-2006-05-024828]</w:t>
      </w:r>
    </w:p>
    <w:p w14:paraId="05B6294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3 </w:t>
      </w:r>
      <w:proofErr w:type="spellStart"/>
      <w:r w:rsidRPr="009830E2">
        <w:rPr>
          <w:rFonts w:ascii="Book Antiqua" w:eastAsia="Book Antiqua" w:hAnsi="Book Antiqua" w:cs="Book Antiqua"/>
          <w:b/>
          <w:bCs/>
          <w:color w:val="000000" w:themeColor="text1"/>
        </w:rPr>
        <w:t>Arefi</w:t>
      </w:r>
      <w:proofErr w:type="spellEnd"/>
      <w:r w:rsidRPr="009830E2">
        <w:rPr>
          <w:rFonts w:ascii="Book Antiqua" w:eastAsia="Book Antiqua" w:hAnsi="Book Antiqua" w:cs="Book Antiqua"/>
          <w:b/>
          <w:bCs/>
          <w:color w:val="000000" w:themeColor="text1"/>
        </w:rPr>
        <w:t xml:space="preserve"> M</w:t>
      </w:r>
      <w:r w:rsidRPr="009830E2">
        <w:rPr>
          <w:rFonts w:ascii="Book Antiqua" w:eastAsia="Book Antiqua" w:hAnsi="Book Antiqua" w:cs="Book Antiqua"/>
          <w:color w:val="000000" w:themeColor="text1"/>
        </w:rPr>
        <w:t xml:space="preserve">, García JL, </w:t>
      </w:r>
      <w:proofErr w:type="spellStart"/>
      <w:r w:rsidRPr="009830E2">
        <w:rPr>
          <w:rFonts w:ascii="Book Antiqua" w:eastAsia="Book Antiqua" w:hAnsi="Book Antiqua" w:cs="Book Antiqua"/>
          <w:color w:val="000000" w:themeColor="text1"/>
        </w:rPr>
        <w:t>Peñarrubia</w:t>
      </w:r>
      <w:proofErr w:type="spellEnd"/>
      <w:r w:rsidRPr="009830E2">
        <w:rPr>
          <w:rFonts w:ascii="Book Antiqua" w:eastAsia="Book Antiqua" w:hAnsi="Book Antiqua" w:cs="Book Antiqua"/>
          <w:color w:val="000000" w:themeColor="text1"/>
        </w:rPr>
        <w:t xml:space="preserve"> MJ, </w:t>
      </w:r>
      <w:proofErr w:type="spellStart"/>
      <w:r w:rsidRPr="009830E2">
        <w:rPr>
          <w:rFonts w:ascii="Book Antiqua" w:eastAsia="Book Antiqua" w:hAnsi="Book Antiqua" w:cs="Book Antiqua"/>
          <w:color w:val="000000" w:themeColor="text1"/>
        </w:rPr>
        <w:t>Queizán</w:t>
      </w:r>
      <w:proofErr w:type="spellEnd"/>
      <w:r w:rsidRPr="009830E2">
        <w:rPr>
          <w:rFonts w:ascii="Book Antiqua" w:eastAsia="Book Antiqua" w:hAnsi="Book Antiqua" w:cs="Book Antiqua"/>
          <w:color w:val="000000" w:themeColor="text1"/>
        </w:rPr>
        <w:t xml:space="preserve"> JA, </w:t>
      </w:r>
      <w:proofErr w:type="spellStart"/>
      <w:r w:rsidRPr="009830E2">
        <w:rPr>
          <w:rFonts w:ascii="Book Antiqua" w:eastAsia="Book Antiqua" w:hAnsi="Book Antiqua" w:cs="Book Antiqua"/>
          <w:color w:val="000000" w:themeColor="text1"/>
        </w:rPr>
        <w:t>Hermosín</w:t>
      </w:r>
      <w:proofErr w:type="spellEnd"/>
      <w:r w:rsidRPr="009830E2">
        <w:rPr>
          <w:rFonts w:ascii="Book Antiqua" w:eastAsia="Book Antiqua" w:hAnsi="Book Antiqua" w:cs="Book Antiqua"/>
          <w:color w:val="000000" w:themeColor="text1"/>
        </w:rPr>
        <w:t xml:space="preserve"> L, López-Corral L, </w:t>
      </w:r>
      <w:proofErr w:type="spellStart"/>
      <w:r w:rsidRPr="009830E2">
        <w:rPr>
          <w:rFonts w:ascii="Book Antiqua" w:eastAsia="Book Antiqua" w:hAnsi="Book Antiqua" w:cs="Book Antiqua"/>
          <w:color w:val="000000" w:themeColor="text1"/>
        </w:rPr>
        <w:t>Megido</w:t>
      </w:r>
      <w:proofErr w:type="spellEnd"/>
      <w:r w:rsidRPr="009830E2">
        <w:rPr>
          <w:rFonts w:ascii="Book Antiqua" w:eastAsia="Book Antiqua" w:hAnsi="Book Antiqua" w:cs="Book Antiqua"/>
          <w:color w:val="000000" w:themeColor="text1"/>
        </w:rPr>
        <w:t xml:space="preserve"> M, </w:t>
      </w:r>
      <w:proofErr w:type="spellStart"/>
      <w:r w:rsidRPr="009830E2">
        <w:rPr>
          <w:rFonts w:ascii="Book Antiqua" w:eastAsia="Book Antiqua" w:hAnsi="Book Antiqua" w:cs="Book Antiqua"/>
          <w:color w:val="000000" w:themeColor="text1"/>
        </w:rPr>
        <w:t>Giraldo</w:t>
      </w:r>
      <w:proofErr w:type="spellEnd"/>
      <w:r w:rsidRPr="009830E2">
        <w:rPr>
          <w:rFonts w:ascii="Book Antiqua" w:eastAsia="Book Antiqua" w:hAnsi="Book Antiqua" w:cs="Book Antiqua"/>
          <w:color w:val="000000" w:themeColor="text1"/>
        </w:rPr>
        <w:t xml:space="preserve"> P, de las Heras N, Vanegas RJ, Gutiérrez NC, Hernández-Rivas JM. Incidence and clinical characteristics of myeloproliferative neoplasms displaying a PDGFRB rearrangement. </w:t>
      </w:r>
      <w:r w:rsidRPr="009830E2">
        <w:rPr>
          <w:rFonts w:ascii="Book Antiqua" w:eastAsia="Book Antiqua" w:hAnsi="Book Antiqua" w:cs="Book Antiqua"/>
          <w:i/>
          <w:iCs/>
          <w:color w:val="000000" w:themeColor="text1"/>
        </w:rPr>
        <w:t xml:space="preserve">Eur J </w:t>
      </w:r>
      <w:proofErr w:type="spellStart"/>
      <w:r w:rsidRPr="009830E2">
        <w:rPr>
          <w:rFonts w:ascii="Book Antiqua" w:eastAsia="Book Antiqua" w:hAnsi="Book Antiqua" w:cs="Book Antiqua"/>
          <w:i/>
          <w:iCs/>
          <w:color w:val="000000" w:themeColor="text1"/>
        </w:rPr>
        <w:t>Haematol</w:t>
      </w:r>
      <w:proofErr w:type="spellEnd"/>
      <w:r w:rsidRPr="009830E2">
        <w:rPr>
          <w:rFonts w:ascii="Book Antiqua" w:eastAsia="Book Antiqua" w:hAnsi="Book Antiqua" w:cs="Book Antiqua"/>
          <w:color w:val="000000" w:themeColor="text1"/>
        </w:rPr>
        <w:t xml:space="preserve"> 2012; </w:t>
      </w:r>
      <w:r w:rsidRPr="009830E2">
        <w:rPr>
          <w:rFonts w:ascii="Book Antiqua" w:eastAsia="Book Antiqua" w:hAnsi="Book Antiqua" w:cs="Book Antiqua"/>
          <w:b/>
          <w:bCs/>
          <w:color w:val="000000" w:themeColor="text1"/>
        </w:rPr>
        <w:t>89</w:t>
      </w:r>
      <w:r w:rsidRPr="009830E2">
        <w:rPr>
          <w:rFonts w:ascii="Book Antiqua" w:eastAsia="Book Antiqua" w:hAnsi="Book Antiqua" w:cs="Book Antiqua"/>
          <w:color w:val="000000" w:themeColor="text1"/>
        </w:rPr>
        <w:t>: 37-41 [PMID: 22587685 DOI: 10.1111/j.1600-0609.2012.01799.x]</w:t>
      </w:r>
    </w:p>
    <w:p w14:paraId="385A929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4 </w:t>
      </w:r>
      <w:r w:rsidRPr="009830E2">
        <w:rPr>
          <w:rFonts w:ascii="Book Antiqua" w:eastAsia="Book Antiqua" w:hAnsi="Book Antiqua" w:cs="Book Antiqua"/>
          <w:b/>
          <w:bCs/>
          <w:color w:val="000000" w:themeColor="text1"/>
        </w:rPr>
        <w:t>Baer C</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color w:val="000000" w:themeColor="text1"/>
        </w:rPr>
        <w:t>Muehlbacher</w:t>
      </w:r>
      <w:proofErr w:type="spellEnd"/>
      <w:r w:rsidRPr="009830E2">
        <w:rPr>
          <w:rFonts w:ascii="Book Antiqua" w:eastAsia="Book Antiqua" w:hAnsi="Book Antiqua" w:cs="Book Antiqua"/>
          <w:color w:val="000000" w:themeColor="text1"/>
        </w:rPr>
        <w:t xml:space="preserve"> V, Kern W, </w:t>
      </w:r>
      <w:proofErr w:type="spellStart"/>
      <w:r w:rsidRPr="009830E2">
        <w:rPr>
          <w:rFonts w:ascii="Book Antiqua" w:eastAsia="Book Antiqua" w:hAnsi="Book Antiqua" w:cs="Book Antiqua"/>
          <w:color w:val="000000" w:themeColor="text1"/>
        </w:rPr>
        <w:t>Haferlach</w:t>
      </w:r>
      <w:proofErr w:type="spellEnd"/>
      <w:r w:rsidRPr="009830E2">
        <w:rPr>
          <w:rFonts w:ascii="Book Antiqua" w:eastAsia="Book Antiqua" w:hAnsi="Book Antiqua" w:cs="Book Antiqua"/>
          <w:color w:val="000000" w:themeColor="text1"/>
        </w:rPr>
        <w:t xml:space="preserve"> C, </w:t>
      </w:r>
      <w:proofErr w:type="spellStart"/>
      <w:r w:rsidRPr="009830E2">
        <w:rPr>
          <w:rFonts w:ascii="Book Antiqua" w:eastAsia="Book Antiqua" w:hAnsi="Book Antiqua" w:cs="Book Antiqua"/>
          <w:color w:val="000000" w:themeColor="text1"/>
        </w:rPr>
        <w:t>Haferlach</w:t>
      </w:r>
      <w:proofErr w:type="spellEnd"/>
      <w:r w:rsidRPr="009830E2">
        <w:rPr>
          <w:rFonts w:ascii="Book Antiqua" w:eastAsia="Book Antiqua" w:hAnsi="Book Antiqua" w:cs="Book Antiqua"/>
          <w:color w:val="000000" w:themeColor="text1"/>
        </w:rPr>
        <w:t xml:space="preserve"> T. Molecular genetic characterization of myeloid/Lymphoid neoplasms associated with eosinophilia and rearrangement of </w:t>
      </w:r>
      <w:r w:rsidRPr="009830E2">
        <w:rPr>
          <w:rFonts w:ascii="Book Antiqua" w:eastAsia="Book Antiqua" w:hAnsi="Book Antiqua" w:cs="Book Antiqua"/>
          <w:i/>
          <w:iCs/>
          <w:color w:val="000000" w:themeColor="text1"/>
        </w:rPr>
        <w:t>PDGFRA, PDGFRB, FGFR1</w:t>
      </w:r>
      <w:r w:rsidRPr="009830E2">
        <w:rPr>
          <w:rFonts w:ascii="Book Antiqua" w:eastAsia="Book Antiqua" w:hAnsi="Book Antiqua" w:cs="Book Antiqua"/>
          <w:color w:val="000000" w:themeColor="text1"/>
        </w:rPr>
        <w:t xml:space="preserve"> or </w:t>
      </w:r>
      <w:r w:rsidRPr="009830E2">
        <w:rPr>
          <w:rFonts w:ascii="Book Antiqua" w:eastAsia="Book Antiqua" w:hAnsi="Book Antiqua" w:cs="Book Antiqua"/>
          <w:i/>
          <w:iCs/>
          <w:color w:val="000000" w:themeColor="text1"/>
        </w:rPr>
        <w:t>PCM1-JAK2</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i/>
          <w:iCs/>
          <w:color w:val="000000" w:themeColor="text1"/>
        </w:rPr>
        <w:t>Haematologica</w:t>
      </w:r>
      <w:proofErr w:type="spellEnd"/>
      <w:r w:rsidRPr="009830E2">
        <w:rPr>
          <w:rFonts w:ascii="Book Antiqua" w:eastAsia="Book Antiqua" w:hAnsi="Book Antiqua" w:cs="Book Antiqua"/>
          <w:color w:val="000000" w:themeColor="text1"/>
        </w:rPr>
        <w:t xml:space="preserve"> 2018; </w:t>
      </w:r>
      <w:r w:rsidRPr="009830E2">
        <w:rPr>
          <w:rFonts w:ascii="Book Antiqua" w:eastAsia="Book Antiqua" w:hAnsi="Book Antiqua" w:cs="Book Antiqua"/>
          <w:b/>
          <w:bCs/>
          <w:color w:val="000000" w:themeColor="text1"/>
        </w:rPr>
        <w:t>103</w:t>
      </w:r>
      <w:r w:rsidRPr="009830E2">
        <w:rPr>
          <w:rFonts w:ascii="Book Antiqua" w:eastAsia="Book Antiqua" w:hAnsi="Book Antiqua" w:cs="Book Antiqua"/>
          <w:color w:val="000000" w:themeColor="text1"/>
        </w:rPr>
        <w:t>: e348-e350 [PMID: 29567772 DOI: 10.3324/haematol.2017.187302]</w:t>
      </w:r>
    </w:p>
    <w:p w14:paraId="05B65FC2"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5 </w:t>
      </w:r>
      <w:r w:rsidRPr="009830E2">
        <w:rPr>
          <w:rFonts w:ascii="Book Antiqua" w:eastAsia="Book Antiqua" w:hAnsi="Book Antiqua" w:cs="Book Antiqua"/>
          <w:b/>
          <w:bCs/>
          <w:color w:val="000000" w:themeColor="text1"/>
        </w:rPr>
        <w:t>Wilkinson K</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color w:val="000000" w:themeColor="text1"/>
        </w:rPr>
        <w:t>Velloso</w:t>
      </w:r>
      <w:proofErr w:type="spellEnd"/>
      <w:r w:rsidRPr="009830E2">
        <w:rPr>
          <w:rFonts w:ascii="Book Antiqua" w:eastAsia="Book Antiqua" w:hAnsi="Book Antiqua" w:cs="Book Antiqua"/>
          <w:color w:val="000000" w:themeColor="text1"/>
        </w:rPr>
        <w:t xml:space="preserve"> ER, Lopes LF, Lee C, Aster JC, Shipp MA, Aguiar RC. Cloning of the t(1;5)(q23;q33) in a myeloproliferative disorder associated with eosinophilia: </w:t>
      </w:r>
      <w:r w:rsidRPr="009830E2">
        <w:rPr>
          <w:rFonts w:ascii="Book Antiqua" w:eastAsia="Book Antiqua" w:hAnsi="Book Antiqua" w:cs="Book Antiqua"/>
          <w:color w:val="000000" w:themeColor="text1"/>
        </w:rPr>
        <w:lastRenderedPageBreak/>
        <w:t xml:space="preserve">involvement of PDGFRB and response to imatinib. </w:t>
      </w:r>
      <w:r w:rsidRPr="009830E2">
        <w:rPr>
          <w:rFonts w:ascii="Book Antiqua" w:eastAsia="Book Antiqua" w:hAnsi="Book Antiqua" w:cs="Book Antiqua"/>
          <w:i/>
          <w:iCs/>
          <w:color w:val="000000" w:themeColor="text1"/>
        </w:rPr>
        <w:t>Blood</w:t>
      </w:r>
      <w:r w:rsidRPr="009830E2">
        <w:rPr>
          <w:rFonts w:ascii="Book Antiqua" w:eastAsia="Book Antiqua" w:hAnsi="Book Antiqua" w:cs="Book Antiqua"/>
          <w:color w:val="000000" w:themeColor="text1"/>
        </w:rPr>
        <w:t xml:space="preserve"> 2003; </w:t>
      </w:r>
      <w:r w:rsidRPr="009830E2">
        <w:rPr>
          <w:rFonts w:ascii="Book Antiqua" w:eastAsia="Book Antiqua" w:hAnsi="Book Antiqua" w:cs="Book Antiqua"/>
          <w:b/>
          <w:bCs/>
          <w:color w:val="000000" w:themeColor="text1"/>
        </w:rPr>
        <w:t>102</w:t>
      </w:r>
      <w:r w:rsidRPr="009830E2">
        <w:rPr>
          <w:rFonts w:ascii="Book Antiqua" w:eastAsia="Book Antiqua" w:hAnsi="Book Antiqua" w:cs="Book Antiqua"/>
          <w:color w:val="000000" w:themeColor="text1"/>
        </w:rPr>
        <w:t>: 4187-4190 [PMID: 12907457 DOI: 10.1182/blood-2003-04-1150]</w:t>
      </w:r>
    </w:p>
    <w:p w14:paraId="40845218" w14:textId="59D8E580"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6 </w:t>
      </w:r>
      <w:r w:rsidRPr="009830E2">
        <w:rPr>
          <w:rFonts w:ascii="Book Antiqua" w:eastAsia="Book Antiqua" w:hAnsi="Book Antiqua" w:cs="Book Antiqua"/>
          <w:b/>
          <w:bCs/>
          <w:color w:val="000000" w:themeColor="text1"/>
        </w:rPr>
        <w:t>Abraham SM,</w:t>
      </w:r>
      <w:r w:rsidRPr="009830E2">
        <w:rPr>
          <w:rFonts w:ascii="Book Antiqua" w:eastAsia="Book Antiqua" w:hAnsi="Book Antiqua" w:cs="Book Antiqua"/>
          <w:color w:val="000000" w:themeColor="text1"/>
        </w:rPr>
        <w:t xml:space="preserve"> Salama ME, Jacobsen JR, Hancock J, </w:t>
      </w:r>
      <w:proofErr w:type="spellStart"/>
      <w:r w:rsidRPr="009830E2">
        <w:rPr>
          <w:rFonts w:ascii="Book Antiqua" w:eastAsia="Book Antiqua" w:hAnsi="Book Antiqua" w:cs="Book Antiqua"/>
          <w:color w:val="000000" w:themeColor="text1"/>
        </w:rPr>
        <w:t>Fluchel</w:t>
      </w:r>
      <w:proofErr w:type="spellEnd"/>
      <w:r w:rsidRPr="009830E2">
        <w:rPr>
          <w:rFonts w:ascii="Book Antiqua" w:eastAsia="Book Antiqua" w:hAnsi="Book Antiqua" w:cs="Book Antiqua"/>
          <w:color w:val="000000" w:themeColor="text1"/>
        </w:rPr>
        <w:t xml:space="preserve"> M. Myeloid Neoplasm with PDGFRB Translocation, t(1;5)(q21;q33): A Congenital Presentation of An Imatinib Responsive Congenital JMML with Eosinophilia. </w:t>
      </w:r>
      <w:r w:rsidRPr="009830E2">
        <w:rPr>
          <w:rFonts w:ascii="Book Antiqua" w:eastAsia="Book Antiqua" w:hAnsi="Book Antiqua" w:cs="Book Antiqua"/>
          <w:i/>
          <w:iCs/>
          <w:color w:val="000000" w:themeColor="text1"/>
        </w:rPr>
        <w:t>Blood</w:t>
      </w:r>
      <w:r w:rsidR="00A009AF" w:rsidRPr="009830E2">
        <w:rPr>
          <w:rFonts w:ascii="Book Antiqua" w:eastAsia="Book Antiqua" w:hAnsi="Book Antiqua" w:cs="Book Antiqua"/>
          <w:i/>
          <w:iCs/>
          <w:color w:val="000000" w:themeColor="text1"/>
        </w:rPr>
        <w:t xml:space="preserve"> </w:t>
      </w:r>
      <w:r w:rsidRPr="009830E2">
        <w:rPr>
          <w:rFonts w:ascii="Book Antiqua" w:eastAsia="Book Antiqua" w:hAnsi="Book Antiqua" w:cs="Book Antiqua"/>
          <w:color w:val="000000" w:themeColor="text1"/>
        </w:rPr>
        <w:t>2010;</w:t>
      </w:r>
      <w:r w:rsidR="00A009AF"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b/>
          <w:bCs/>
          <w:color w:val="000000" w:themeColor="text1"/>
        </w:rPr>
        <w:t>116</w:t>
      </w:r>
      <w:r w:rsidRPr="009830E2">
        <w:rPr>
          <w:rFonts w:ascii="Book Antiqua" w:eastAsia="Book Antiqua" w:hAnsi="Book Antiqua" w:cs="Book Antiqua"/>
          <w:color w:val="000000" w:themeColor="text1"/>
        </w:rPr>
        <w:t>:</w:t>
      </w:r>
      <w:r w:rsidR="00A009AF"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4092 [DOI: 10.1182/blood.V116.21.4092.4092]</w:t>
      </w:r>
      <w:r w:rsidR="00A009AF" w:rsidRPr="009830E2">
        <w:rPr>
          <w:rFonts w:ascii="Book Antiqua" w:eastAsia="Book Antiqua" w:hAnsi="Book Antiqua" w:cs="Book Antiqua"/>
          <w:color w:val="000000" w:themeColor="text1"/>
        </w:rPr>
        <w:t xml:space="preserve"> </w:t>
      </w:r>
    </w:p>
    <w:p w14:paraId="2F4E3A8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7 </w:t>
      </w:r>
      <w:r w:rsidRPr="009830E2">
        <w:rPr>
          <w:rFonts w:ascii="Book Antiqua" w:eastAsia="Book Antiqua" w:hAnsi="Book Antiqua" w:cs="Book Antiqua"/>
          <w:b/>
          <w:bCs/>
          <w:color w:val="000000" w:themeColor="text1"/>
        </w:rPr>
        <w:t>Li Z</w:t>
      </w:r>
      <w:r w:rsidRPr="009830E2">
        <w:rPr>
          <w:rFonts w:ascii="Book Antiqua" w:eastAsia="Book Antiqua" w:hAnsi="Book Antiqua" w:cs="Book Antiqua"/>
          <w:color w:val="000000" w:themeColor="text1"/>
        </w:rPr>
        <w:t xml:space="preserve">, Yang R, Zhao J, Yuan R, Lu Q, Li Q, </w:t>
      </w:r>
      <w:proofErr w:type="spellStart"/>
      <w:r w:rsidRPr="009830E2">
        <w:rPr>
          <w:rFonts w:ascii="Book Antiqua" w:eastAsia="Book Antiqua" w:hAnsi="Book Antiqua" w:cs="Book Antiqua"/>
          <w:color w:val="000000" w:themeColor="text1"/>
        </w:rPr>
        <w:t>Tse</w:t>
      </w:r>
      <w:proofErr w:type="spellEnd"/>
      <w:r w:rsidRPr="009830E2">
        <w:rPr>
          <w:rFonts w:ascii="Book Antiqua" w:eastAsia="Book Antiqua" w:hAnsi="Book Antiqua" w:cs="Book Antiqua"/>
          <w:color w:val="000000" w:themeColor="text1"/>
        </w:rPr>
        <w:t xml:space="preserve"> W. Molecular diagnosis and targeted therapy of a pediatric chronic eosinophilic leukemia patient carrying TPM3-PDGFRB fusion. </w:t>
      </w:r>
      <w:proofErr w:type="spellStart"/>
      <w:r w:rsidRPr="009830E2">
        <w:rPr>
          <w:rFonts w:ascii="Book Antiqua" w:eastAsia="Book Antiqua" w:hAnsi="Book Antiqua" w:cs="Book Antiqua"/>
          <w:i/>
          <w:iCs/>
          <w:color w:val="000000" w:themeColor="text1"/>
        </w:rPr>
        <w:t>Pediatr</w:t>
      </w:r>
      <w:proofErr w:type="spellEnd"/>
      <w:r w:rsidRPr="009830E2">
        <w:rPr>
          <w:rFonts w:ascii="Book Antiqua" w:eastAsia="Book Antiqua" w:hAnsi="Book Antiqua" w:cs="Book Antiqua"/>
          <w:i/>
          <w:iCs/>
          <w:color w:val="000000" w:themeColor="text1"/>
        </w:rPr>
        <w:t xml:space="preserve"> Blood Cancer</w:t>
      </w:r>
      <w:r w:rsidRPr="009830E2">
        <w:rPr>
          <w:rFonts w:ascii="Book Antiqua" w:eastAsia="Book Antiqua" w:hAnsi="Book Antiqua" w:cs="Book Antiqua"/>
          <w:color w:val="000000" w:themeColor="text1"/>
        </w:rPr>
        <w:t xml:space="preserve"> 2011; </w:t>
      </w:r>
      <w:r w:rsidRPr="009830E2">
        <w:rPr>
          <w:rFonts w:ascii="Book Antiqua" w:eastAsia="Book Antiqua" w:hAnsi="Book Antiqua" w:cs="Book Antiqua"/>
          <w:b/>
          <w:bCs/>
          <w:color w:val="000000" w:themeColor="text1"/>
        </w:rPr>
        <w:t>56</w:t>
      </w:r>
      <w:r w:rsidRPr="009830E2">
        <w:rPr>
          <w:rFonts w:ascii="Book Antiqua" w:eastAsia="Book Antiqua" w:hAnsi="Book Antiqua" w:cs="Book Antiqua"/>
          <w:color w:val="000000" w:themeColor="text1"/>
        </w:rPr>
        <w:t>: 463-466 [PMID: 21072821 DOI: 10.1002/pbc.22800]</w:t>
      </w:r>
    </w:p>
    <w:p w14:paraId="67286F1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8 </w:t>
      </w:r>
      <w:r w:rsidRPr="009830E2">
        <w:rPr>
          <w:rFonts w:ascii="Book Antiqua" w:eastAsia="Book Antiqua" w:hAnsi="Book Antiqua" w:cs="Book Antiqua"/>
          <w:b/>
          <w:bCs/>
          <w:color w:val="000000" w:themeColor="text1"/>
        </w:rPr>
        <w:t>Abraham S</w:t>
      </w:r>
      <w:r w:rsidRPr="009830E2">
        <w:rPr>
          <w:rFonts w:ascii="Book Antiqua" w:eastAsia="Book Antiqua" w:hAnsi="Book Antiqua" w:cs="Book Antiqua"/>
          <w:color w:val="000000" w:themeColor="text1"/>
        </w:rPr>
        <w:t xml:space="preserve">, Salama M, Hancock J, Jacobsen J, </w:t>
      </w:r>
      <w:proofErr w:type="spellStart"/>
      <w:r w:rsidRPr="009830E2">
        <w:rPr>
          <w:rFonts w:ascii="Book Antiqua" w:eastAsia="Book Antiqua" w:hAnsi="Book Antiqua" w:cs="Book Antiqua"/>
          <w:color w:val="000000" w:themeColor="text1"/>
        </w:rPr>
        <w:t>Fluchel</w:t>
      </w:r>
      <w:proofErr w:type="spellEnd"/>
      <w:r w:rsidRPr="009830E2">
        <w:rPr>
          <w:rFonts w:ascii="Book Antiqua" w:eastAsia="Book Antiqua" w:hAnsi="Book Antiqua" w:cs="Book Antiqua"/>
          <w:color w:val="000000" w:themeColor="text1"/>
        </w:rPr>
        <w:t xml:space="preserve"> M. Congenital and childhood myeloproliferative disorders with eosinophilia responsive to imatinib. </w:t>
      </w:r>
      <w:proofErr w:type="spellStart"/>
      <w:r w:rsidRPr="009830E2">
        <w:rPr>
          <w:rFonts w:ascii="Book Antiqua" w:eastAsia="Book Antiqua" w:hAnsi="Book Antiqua" w:cs="Book Antiqua"/>
          <w:i/>
          <w:iCs/>
          <w:color w:val="000000" w:themeColor="text1"/>
        </w:rPr>
        <w:t>Pediatr</w:t>
      </w:r>
      <w:proofErr w:type="spellEnd"/>
      <w:r w:rsidRPr="009830E2">
        <w:rPr>
          <w:rFonts w:ascii="Book Antiqua" w:eastAsia="Book Antiqua" w:hAnsi="Book Antiqua" w:cs="Book Antiqua"/>
          <w:i/>
          <w:iCs/>
          <w:color w:val="000000" w:themeColor="text1"/>
        </w:rPr>
        <w:t xml:space="preserve"> Blood Cancer</w:t>
      </w:r>
      <w:r w:rsidRPr="009830E2">
        <w:rPr>
          <w:rFonts w:ascii="Book Antiqua" w:eastAsia="Book Antiqua" w:hAnsi="Book Antiqua" w:cs="Book Antiqua"/>
          <w:color w:val="000000" w:themeColor="text1"/>
        </w:rPr>
        <w:t xml:space="preserve"> 2012; </w:t>
      </w:r>
      <w:r w:rsidRPr="009830E2">
        <w:rPr>
          <w:rFonts w:ascii="Book Antiqua" w:eastAsia="Book Antiqua" w:hAnsi="Book Antiqua" w:cs="Book Antiqua"/>
          <w:b/>
          <w:bCs/>
          <w:color w:val="000000" w:themeColor="text1"/>
        </w:rPr>
        <w:t>59</w:t>
      </w:r>
      <w:r w:rsidRPr="009830E2">
        <w:rPr>
          <w:rFonts w:ascii="Book Antiqua" w:eastAsia="Book Antiqua" w:hAnsi="Book Antiqua" w:cs="Book Antiqua"/>
          <w:color w:val="000000" w:themeColor="text1"/>
        </w:rPr>
        <w:t>: 928-929 [PMID: 22488677 DOI: 10.1002/pbc.24148]</w:t>
      </w:r>
    </w:p>
    <w:p w14:paraId="153B811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9 </w:t>
      </w:r>
      <w:r w:rsidRPr="009830E2">
        <w:rPr>
          <w:rFonts w:ascii="Book Antiqua" w:eastAsia="Book Antiqua" w:hAnsi="Book Antiqua" w:cs="Book Antiqua"/>
          <w:b/>
          <w:bCs/>
          <w:color w:val="000000" w:themeColor="text1"/>
        </w:rPr>
        <w:t>Zhang XY</w:t>
      </w:r>
      <w:r w:rsidRPr="009830E2">
        <w:rPr>
          <w:rFonts w:ascii="Book Antiqua" w:eastAsia="Book Antiqua" w:hAnsi="Book Antiqua" w:cs="Book Antiqua"/>
          <w:color w:val="000000" w:themeColor="text1"/>
        </w:rPr>
        <w:t xml:space="preserve">, Liu TF, Li CW, Li QH, Zhu XF. [Pediatric myeloid neoplasms associated with eosinophilia and platelet-derived growth factor receptor beta gene rearrangement: a case report and literature review]. </w:t>
      </w:r>
      <w:proofErr w:type="spellStart"/>
      <w:r w:rsidRPr="009830E2">
        <w:rPr>
          <w:rFonts w:ascii="Book Antiqua" w:eastAsia="Book Antiqua" w:hAnsi="Book Antiqua" w:cs="Book Antiqua"/>
          <w:i/>
          <w:iCs/>
          <w:color w:val="000000" w:themeColor="text1"/>
        </w:rPr>
        <w:t>Zhonghua</w:t>
      </w:r>
      <w:proofErr w:type="spellEnd"/>
      <w:r w:rsidRPr="009830E2">
        <w:rPr>
          <w:rFonts w:ascii="Book Antiqua" w:eastAsia="Book Antiqua" w:hAnsi="Book Antiqua" w:cs="Book Antiqua"/>
          <w:i/>
          <w:iCs/>
          <w:color w:val="000000" w:themeColor="text1"/>
        </w:rPr>
        <w:t xml:space="preserve"> Er </w:t>
      </w:r>
      <w:proofErr w:type="spellStart"/>
      <w:r w:rsidRPr="009830E2">
        <w:rPr>
          <w:rFonts w:ascii="Book Antiqua" w:eastAsia="Book Antiqua" w:hAnsi="Book Antiqua" w:cs="Book Antiqua"/>
          <w:i/>
          <w:iCs/>
          <w:color w:val="000000" w:themeColor="text1"/>
        </w:rPr>
        <w:t>Ke</w:t>
      </w:r>
      <w:proofErr w:type="spellEnd"/>
      <w:r w:rsidRPr="009830E2">
        <w:rPr>
          <w:rFonts w:ascii="Book Antiqua" w:eastAsia="Book Antiqua" w:hAnsi="Book Antiqua" w:cs="Book Antiqua"/>
          <w:i/>
          <w:iCs/>
          <w:color w:val="000000" w:themeColor="text1"/>
        </w:rPr>
        <w:t xml:space="preserve"> Za Zhi</w:t>
      </w:r>
      <w:r w:rsidRPr="009830E2">
        <w:rPr>
          <w:rFonts w:ascii="Book Antiqua" w:eastAsia="Book Antiqua" w:hAnsi="Book Antiqua" w:cs="Book Antiqua"/>
          <w:color w:val="000000" w:themeColor="text1"/>
        </w:rPr>
        <w:t xml:space="preserve"> 2018; </w:t>
      </w:r>
      <w:r w:rsidRPr="009830E2">
        <w:rPr>
          <w:rFonts w:ascii="Book Antiqua" w:eastAsia="Book Antiqua" w:hAnsi="Book Antiqua" w:cs="Book Antiqua"/>
          <w:b/>
          <w:bCs/>
          <w:color w:val="000000" w:themeColor="text1"/>
        </w:rPr>
        <w:t>56</w:t>
      </w:r>
      <w:r w:rsidRPr="009830E2">
        <w:rPr>
          <w:rFonts w:ascii="Book Antiqua" w:eastAsia="Book Antiqua" w:hAnsi="Book Antiqua" w:cs="Book Antiqua"/>
          <w:color w:val="000000" w:themeColor="text1"/>
        </w:rPr>
        <w:t>: 34-38 [PMID: 29342995 DOI: 10.3760/cma.j.issn.0578-1310.2018.01.009]</w:t>
      </w:r>
    </w:p>
    <w:p w14:paraId="26D4ACE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10 </w:t>
      </w:r>
      <w:r w:rsidRPr="009830E2">
        <w:rPr>
          <w:rFonts w:ascii="Book Antiqua" w:eastAsia="Book Antiqua" w:hAnsi="Book Antiqua" w:cs="Book Antiqua"/>
          <w:b/>
          <w:bCs/>
          <w:color w:val="000000" w:themeColor="text1"/>
        </w:rPr>
        <w:t>Butt NM</w:t>
      </w:r>
      <w:r w:rsidRPr="009830E2">
        <w:rPr>
          <w:rFonts w:ascii="Book Antiqua" w:eastAsia="Book Antiqua" w:hAnsi="Book Antiqua" w:cs="Book Antiqua"/>
          <w:color w:val="000000" w:themeColor="text1"/>
        </w:rPr>
        <w:t xml:space="preserve">, Lambert J, Ali S, Beer PA, Cross NC, Duncombe A, Ewing J, Harrison CN, </w:t>
      </w:r>
      <w:proofErr w:type="spellStart"/>
      <w:r w:rsidRPr="009830E2">
        <w:rPr>
          <w:rFonts w:ascii="Book Antiqua" w:eastAsia="Book Antiqua" w:hAnsi="Book Antiqua" w:cs="Book Antiqua"/>
          <w:color w:val="000000" w:themeColor="text1"/>
        </w:rPr>
        <w:t>Knapper</w:t>
      </w:r>
      <w:proofErr w:type="spellEnd"/>
      <w:r w:rsidRPr="009830E2">
        <w:rPr>
          <w:rFonts w:ascii="Book Antiqua" w:eastAsia="Book Antiqua" w:hAnsi="Book Antiqua" w:cs="Book Antiqua"/>
          <w:color w:val="000000" w:themeColor="text1"/>
        </w:rPr>
        <w:t xml:space="preserve"> S, </w:t>
      </w:r>
      <w:proofErr w:type="spellStart"/>
      <w:r w:rsidRPr="009830E2">
        <w:rPr>
          <w:rFonts w:ascii="Book Antiqua" w:eastAsia="Book Antiqua" w:hAnsi="Book Antiqua" w:cs="Book Antiqua"/>
          <w:color w:val="000000" w:themeColor="text1"/>
        </w:rPr>
        <w:t>McLornan</w:t>
      </w:r>
      <w:proofErr w:type="spellEnd"/>
      <w:r w:rsidRPr="009830E2">
        <w:rPr>
          <w:rFonts w:ascii="Book Antiqua" w:eastAsia="Book Antiqua" w:hAnsi="Book Antiqua" w:cs="Book Antiqua"/>
          <w:color w:val="000000" w:themeColor="text1"/>
        </w:rPr>
        <w:t xml:space="preserve"> D, Mead AJ, </w:t>
      </w:r>
      <w:proofErr w:type="spellStart"/>
      <w:r w:rsidRPr="009830E2">
        <w:rPr>
          <w:rFonts w:ascii="Book Antiqua" w:eastAsia="Book Antiqua" w:hAnsi="Book Antiqua" w:cs="Book Antiqua"/>
          <w:color w:val="000000" w:themeColor="text1"/>
        </w:rPr>
        <w:t>Radia</w:t>
      </w:r>
      <w:proofErr w:type="spellEnd"/>
      <w:r w:rsidRPr="009830E2">
        <w:rPr>
          <w:rFonts w:ascii="Book Antiqua" w:eastAsia="Book Antiqua" w:hAnsi="Book Antiqua" w:cs="Book Antiqua"/>
          <w:color w:val="000000" w:themeColor="text1"/>
        </w:rPr>
        <w:t xml:space="preserve"> D, Bain BJ; British Committee for Standards in </w:t>
      </w:r>
      <w:proofErr w:type="spellStart"/>
      <w:r w:rsidRPr="009830E2">
        <w:rPr>
          <w:rFonts w:ascii="Book Antiqua" w:eastAsia="Book Antiqua" w:hAnsi="Book Antiqua" w:cs="Book Antiqua"/>
          <w:color w:val="000000" w:themeColor="text1"/>
        </w:rPr>
        <w:t>Haematology</w:t>
      </w:r>
      <w:proofErr w:type="spellEnd"/>
      <w:r w:rsidRPr="009830E2">
        <w:rPr>
          <w:rFonts w:ascii="Book Antiqua" w:eastAsia="Book Antiqua" w:hAnsi="Book Antiqua" w:cs="Book Antiqua"/>
          <w:color w:val="000000" w:themeColor="text1"/>
        </w:rPr>
        <w:t xml:space="preserve">. Guideline for the investigation and management of eosinophilia. </w:t>
      </w:r>
      <w:r w:rsidRPr="009830E2">
        <w:rPr>
          <w:rFonts w:ascii="Book Antiqua" w:eastAsia="Book Antiqua" w:hAnsi="Book Antiqua" w:cs="Book Antiqua"/>
          <w:i/>
          <w:iCs/>
          <w:color w:val="000000" w:themeColor="text1"/>
        </w:rPr>
        <w:t xml:space="preserve">Br J </w:t>
      </w:r>
      <w:proofErr w:type="spellStart"/>
      <w:r w:rsidRPr="009830E2">
        <w:rPr>
          <w:rFonts w:ascii="Book Antiqua" w:eastAsia="Book Antiqua" w:hAnsi="Book Antiqua" w:cs="Book Antiqua"/>
          <w:i/>
          <w:iCs/>
          <w:color w:val="000000" w:themeColor="text1"/>
        </w:rPr>
        <w:t>Haematol</w:t>
      </w:r>
      <w:proofErr w:type="spellEnd"/>
      <w:r w:rsidRPr="009830E2">
        <w:rPr>
          <w:rFonts w:ascii="Book Antiqua" w:eastAsia="Book Antiqua" w:hAnsi="Book Antiqua" w:cs="Book Antiqua"/>
          <w:color w:val="000000" w:themeColor="text1"/>
        </w:rPr>
        <w:t xml:space="preserve"> 2017; </w:t>
      </w:r>
      <w:r w:rsidRPr="009830E2">
        <w:rPr>
          <w:rFonts w:ascii="Book Antiqua" w:eastAsia="Book Antiqua" w:hAnsi="Book Antiqua" w:cs="Book Antiqua"/>
          <w:b/>
          <w:bCs/>
          <w:color w:val="000000" w:themeColor="text1"/>
        </w:rPr>
        <w:t>176</w:t>
      </w:r>
      <w:r w:rsidRPr="009830E2">
        <w:rPr>
          <w:rFonts w:ascii="Book Antiqua" w:eastAsia="Book Antiqua" w:hAnsi="Book Antiqua" w:cs="Book Antiqua"/>
          <w:color w:val="000000" w:themeColor="text1"/>
        </w:rPr>
        <w:t>: 553-572 [PMID: 28112388 DOI: 10.1111/bjh.14488]</w:t>
      </w:r>
    </w:p>
    <w:p w14:paraId="47FA917B" w14:textId="77777777" w:rsidR="00000000" w:rsidRPr="009830E2" w:rsidRDefault="007E70B0">
      <w:pPr>
        <w:spacing w:line="360" w:lineRule="auto"/>
        <w:jc w:val="both"/>
        <w:rPr>
          <w:color w:val="000000" w:themeColor="text1"/>
        </w:rPr>
        <w:sectPr w:rsidR="00000000" w:rsidRPr="009830E2">
          <w:pgSz w:w="12240" w:h="15840"/>
          <w:pgMar w:top="1440" w:right="1440" w:bottom="1440" w:left="1440" w:header="720" w:footer="720" w:gutter="0"/>
          <w:cols w:space="720"/>
          <w:docGrid w:linePitch="360"/>
        </w:sectPr>
      </w:pPr>
    </w:p>
    <w:p w14:paraId="72ABFAE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lastRenderedPageBreak/>
        <w:t>Footnotes</w:t>
      </w:r>
    </w:p>
    <w:p w14:paraId="4AC5DE0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Informed consent statement: </w:t>
      </w:r>
      <w:r w:rsidRPr="009830E2">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23E4095D" w14:textId="77777777" w:rsidR="00A77B3E" w:rsidRPr="009830E2" w:rsidRDefault="00A77B3E">
      <w:pPr>
        <w:spacing w:line="360" w:lineRule="auto"/>
        <w:jc w:val="both"/>
        <w:rPr>
          <w:color w:val="000000" w:themeColor="text1"/>
        </w:rPr>
      </w:pPr>
    </w:p>
    <w:p w14:paraId="7E48058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Conflict-of-interest statement: </w:t>
      </w:r>
      <w:r w:rsidRPr="009830E2">
        <w:rPr>
          <w:rFonts w:ascii="Book Antiqua" w:eastAsia="Book Antiqua" w:hAnsi="Book Antiqua" w:cs="Book Antiqua"/>
          <w:color w:val="000000" w:themeColor="text1"/>
        </w:rPr>
        <w:t>The authors declare no conflicts of interest.</w:t>
      </w:r>
    </w:p>
    <w:p w14:paraId="2C0A1172" w14:textId="77777777" w:rsidR="00A77B3E" w:rsidRPr="009830E2" w:rsidRDefault="00A77B3E">
      <w:pPr>
        <w:spacing w:line="360" w:lineRule="auto"/>
        <w:jc w:val="both"/>
        <w:rPr>
          <w:color w:val="000000" w:themeColor="text1"/>
        </w:rPr>
      </w:pPr>
    </w:p>
    <w:p w14:paraId="194C1BC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CARE Checklist (2016) statement: </w:t>
      </w:r>
      <w:r w:rsidRPr="009830E2">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7D37C10" w14:textId="77777777" w:rsidR="00A77B3E" w:rsidRPr="009830E2" w:rsidRDefault="00A77B3E">
      <w:pPr>
        <w:spacing w:line="360" w:lineRule="auto"/>
        <w:jc w:val="both"/>
        <w:rPr>
          <w:color w:val="000000" w:themeColor="text1"/>
        </w:rPr>
      </w:pPr>
    </w:p>
    <w:p w14:paraId="274B3D9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Open-Access: </w:t>
      </w:r>
      <w:r w:rsidRPr="009830E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85AFA8" w14:textId="77777777" w:rsidR="00A77B3E" w:rsidRPr="009830E2" w:rsidRDefault="00A77B3E">
      <w:pPr>
        <w:spacing w:line="360" w:lineRule="auto"/>
        <w:jc w:val="both"/>
        <w:rPr>
          <w:color w:val="000000" w:themeColor="text1"/>
        </w:rPr>
      </w:pPr>
    </w:p>
    <w:p w14:paraId="7FB07A8C" w14:textId="22CC3C8A"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source: </w:t>
      </w:r>
      <w:r w:rsidRPr="009830E2">
        <w:rPr>
          <w:rFonts w:ascii="Book Antiqua" w:eastAsia="Book Antiqua" w:hAnsi="Book Antiqua" w:cs="Book Antiqua"/>
          <w:color w:val="000000" w:themeColor="text1"/>
        </w:rPr>
        <w:t xml:space="preserve">Unsolicited </w:t>
      </w:r>
      <w:r w:rsidR="000F3EEA" w:rsidRPr="009830E2">
        <w:rPr>
          <w:rFonts w:ascii="Book Antiqua" w:eastAsia="Book Antiqua" w:hAnsi="Book Antiqua" w:cs="Book Antiqua"/>
          <w:color w:val="000000" w:themeColor="text1"/>
        </w:rPr>
        <w:t>m</w:t>
      </w:r>
      <w:r w:rsidRPr="009830E2">
        <w:rPr>
          <w:rFonts w:ascii="Book Antiqua" w:eastAsia="Book Antiqua" w:hAnsi="Book Antiqua" w:cs="Book Antiqua"/>
          <w:color w:val="000000" w:themeColor="text1"/>
        </w:rPr>
        <w:t>anuscript</w:t>
      </w:r>
    </w:p>
    <w:p w14:paraId="305A47BE" w14:textId="77777777" w:rsidR="00A77B3E" w:rsidRPr="009830E2" w:rsidRDefault="00A77B3E">
      <w:pPr>
        <w:spacing w:line="360" w:lineRule="auto"/>
        <w:jc w:val="both"/>
        <w:rPr>
          <w:color w:val="000000" w:themeColor="text1"/>
        </w:rPr>
      </w:pPr>
    </w:p>
    <w:p w14:paraId="127F19A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Peer-review started: </w:t>
      </w:r>
      <w:r w:rsidRPr="009830E2">
        <w:rPr>
          <w:rFonts w:ascii="Book Antiqua" w:eastAsia="Book Antiqua" w:hAnsi="Book Antiqua" w:cs="Book Antiqua"/>
          <w:color w:val="000000" w:themeColor="text1"/>
        </w:rPr>
        <w:t>June 24, 2020</w:t>
      </w:r>
    </w:p>
    <w:p w14:paraId="3108803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First decision: </w:t>
      </w:r>
      <w:r w:rsidRPr="009830E2">
        <w:rPr>
          <w:rFonts w:ascii="Book Antiqua" w:eastAsia="Book Antiqua" w:hAnsi="Book Antiqua" w:cs="Book Antiqua"/>
          <w:color w:val="000000" w:themeColor="text1"/>
        </w:rPr>
        <w:t>October 18, 2020</w:t>
      </w:r>
    </w:p>
    <w:p w14:paraId="2E2AFE85"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Article in press: </w:t>
      </w:r>
    </w:p>
    <w:p w14:paraId="4272ED90" w14:textId="77777777" w:rsidR="00A77B3E" w:rsidRPr="009830E2" w:rsidRDefault="00A77B3E">
      <w:pPr>
        <w:spacing w:line="360" w:lineRule="auto"/>
        <w:jc w:val="both"/>
        <w:rPr>
          <w:color w:val="000000" w:themeColor="text1"/>
        </w:rPr>
      </w:pPr>
    </w:p>
    <w:p w14:paraId="4E107E7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Specialty type: </w:t>
      </w:r>
      <w:r w:rsidRPr="009830E2">
        <w:rPr>
          <w:rFonts w:ascii="Book Antiqua" w:eastAsia="Book Antiqua" w:hAnsi="Book Antiqua" w:cs="Book Antiqua"/>
          <w:color w:val="000000" w:themeColor="text1"/>
        </w:rPr>
        <w:t>Hematology</w:t>
      </w:r>
    </w:p>
    <w:p w14:paraId="69D043D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Country/Territory of origin: </w:t>
      </w:r>
      <w:r w:rsidRPr="009830E2">
        <w:rPr>
          <w:rFonts w:ascii="Book Antiqua" w:eastAsia="Book Antiqua" w:hAnsi="Book Antiqua" w:cs="Book Antiqua"/>
          <w:color w:val="000000" w:themeColor="text1"/>
        </w:rPr>
        <w:t>China</w:t>
      </w:r>
    </w:p>
    <w:p w14:paraId="75C77A2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Peer-review report’s scientific quality classification</w:t>
      </w:r>
    </w:p>
    <w:p w14:paraId="00A6FFD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A (Excellent): 0</w:t>
      </w:r>
    </w:p>
    <w:p w14:paraId="21B1BFB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B (Very good): B</w:t>
      </w:r>
    </w:p>
    <w:p w14:paraId="3B1566F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C (Good): 0</w:t>
      </w:r>
    </w:p>
    <w:p w14:paraId="3F1BE4A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D (Fair): 0</w:t>
      </w:r>
    </w:p>
    <w:p w14:paraId="2C1F2DB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lastRenderedPageBreak/>
        <w:t>Grade E (Poor): 0</w:t>
      </w:r>
    </w:p>
    <w:p w14:paraId="4329798E" w14:textId="77777777" w:rsidR="00A77B3E" w:rsidRPr="009830E2" w:rsidRDefault="00A77B3E">
      <w:pPr>
        <w:spacing w:line="360" w:lineRule="auto"/>
        <w:jc w:val="both"/>
        <w:rPr>
          <w:color w:val="000000" w:themeColor="text1"/>
        </w:rPr>
      </w:pPr>
    </w:p>
    <w:p w14:paraId="29291FA5" w14:textId="78095751" w:rsidR="00A009AF" w:rsidRPr="009830E2" w:rsidRDefault="00116DD6">
      <w:pPr>
        <w:spacing w:line="360" w:lineRule="auto"/>
        <w:jc w:val="both"/>
        <w:rPr>
          <w:rFonts w:ascii="Book Antiqua" w:eastAsia="Book Antiqua" w:hAnsi="Book Antiqua" w:cs="Book Antiqua"/>
          <w:b/>
          <w:color w:val="000000" w:themeColor="text1"/>
        </w:rPr>
      </w:pPr>
      <w:r w:rsidRPr="009830E2">
        <w:rPr>
          <w:rFonts w:ascii="Book Antiqua" w:eastAsia="Book Antiqua" w:hAnsi="Book Antiqua" w:cs="Book Antiqua"/>
          <w:b/>
          <w:color w:val="000000" w:themeColor="text1"/>
        </w:rPr>
        <w:t xml:space="preserve">P-Reviewer: </w:t>
      </w:r>
      <w:r w:rsidRPr="009830E2">
        <w:rPr>
          <w:rFonts w:ascii="Book Antiqua" w:eastAsia="Book Antiqua" w:hAnsi="Book Antiqua" w:cs="Book Antiqua"/>
          <w:color w:val="000000" w:themeColor="text1"/>
        </w:rPr>
        <w:t>Rolla G</w:t>
      </w:r>
      <w:r w:rsidRPr="009830E2">
        <w:rPr>
          <w:rFonts w:ascii="Book Antiqua" w:eastAsia="Book Antiqua" w:hAnsi="Book Antiqua" w:cs="Book Antiqua"/>
          <w:b/>
          <w:color w:val="000000" w:themeColor="text1"/>
        </w:rPr>
        <w:t xml:space="preserve"> S-Editor: </w:t>
      </w:r>
      <w:r w:rsidRPr="009830E2">
        <w:rPr>
          <w:rFonts w:ascii="Book Antiqua" w:eastAsia="Book Antiqua" w:hAnsi="Book Antiqua" w:cs="Book Antiqua"/>
          <w:color w:val="000000" w:themeColor="text1"/>
        </w:rPr>
        <w:t xml:space="preserve">Liu </w:t>
      </w:r>
      <w:r w:rsidR="00A009AF" w:rsidRPr="009830E2">
        <w:rPr>
          <w:rFonts w:ascii="Book Antiqua" w:eastAsia="Book Antiqua" w:hAnsi="Book Antiqua" w:cs="Book Antiqua"/>
          <w:color w:val="000000" w:themeColor="text1"/>
        </w:rPr>
        <w:t>M</w:t>
      </w:r>
      <w:r w:rsidR="000F3EEA"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b/>
          <w:color w:val="000000" w:themeColor="text1"/>
        </w:rPr>
        <w:t xml:space="preserve">L-Editor: </w:t>
      </w:r>
      <w:r w:rsidR="00DC13FD" w:rsidRPr="009830E2">
        <w:rPr>
          <w:rFonts w:ascii="Book Antiqua" w:eastAsia="Book Antiqua" w:hAnsi="Book Antiqua" w:cs="Book Antiqua"/>
          <w:bCs/>
          <w:color w:val="000000" w:themeColor="text1"/>
        </w:rPr>
        <w:t>Filipodia</w:t>
      </w:r>
      <w:r w:rsidRPr="009830E2">
        <w:rPr>
          <w:rFonts w:ascii="Book Antiqua" w:eastAsia="Book Antiqua" w:hAnsi="Book Antiqua" w:cs="Book Antiqua"/>
          <w:b/>
          <w:color w:val="000000" w:themeColor="text1"/>
        </w:rPr>
        <w:t xml:space="preserve"> P-Editor: </w:t>
      </w:r>
    </w:p>
    <w:p w14:paraId="6F95AD10" w14:textId="77777777" w:rsidR="00A009AF" w:rsidRPr="009830E2" w:rsidRDefault="00A009AF">
      <w:pPr>
        <w:adjustRightInd w:val="0"/>
        <w:snapToGrid w:val="0"/>
        <w:spacing w:line="360" w:lineRule="auto"/>
        <w:jc w:val="both"/>
        <w:rPr>
          <w:rFonts w:ascii="Book Antiqua" w:eastAsia="Book Antiqua" w:hAnsi="Book Antiqua" w:cs="Book Antiqua"/>
          <w:b/>
          <w:color w:val="000000" w:themeColor="text1"/>
        </w:rPr>
      </w:pPr>
      <w:r w:rsidRPr="009830E2">
        <w:rPr>
          <w:rFonts w:ascii="Book Antiqua" w:eastAsia="Book Antiqua" w:hAnsi="Book Antiqua" w:cs="Book Antiqua"/>
          <w:b/>
          <w:color w:val="000000" w:themeColor="text1"/>
        </w:rPr>
        <w:br w:type="page"/>
      </w:r>
      <w:r w:rsidRPr="009830E2">
        <w:rPr>
          <w:rFonts w:ascii="Book Antiqua" w:eastAsia="Book Antiqua" w:hAnsi="Book Antiqua" w:cs="Book Antiqua"/>
          <w:b/>
          <w:color w:val="000000" w:themeColor="text1"/>
        </w:rPr>
        <w:lastRenderedPageBreak/>
        <w:t>Figure Legends</w:t>
      </w:r>
    </w:p>
    <w:p w14:paraId="5C1D31E7" w14:textId="77777777" w:rsidR="00A009AF" w:rsidRPr="009830E2" w:rsidRDefault="00A009AF">
      <w:pPr>
        <w:adjustRightInd w:val="0"/>
        <w:snapToGrid w:val="0"/>
        <w:spacing w:line="360" w:lineRule="auto"/>
        <w:jc w:val="both"/>
        <w:rPr>
          <w:rFonts w:ascii="Book Antiqua" w:hAnsi="Book Antiqua"/>
          <w:color w:val="000000" w:themeColor="text1"/>
        </w:rPr>
      </w:pPr>
      <w:r w:rsidRPr="009830E2">
        <w:rPr>
          <w:rFonts w:ascii="Book Antiqua" w:hAnsi="Book Antiqua"/>
          <w:noProof/>
          <w:color w:val="000000" w:themeColor="text1"/>
          <w:lang w:eastAsia="zh-CN"/>
        </w:rPr>
        <w:drawing>
          <wp:inline distT="0" distB="0" distL="0" distR="0" wp14:anchorId="3DB0FA70" wp14:editId="7B518444">
            <wp:extent cx="5939624" cy="14393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8809" cy="1453684"/>
                    </a:xfrm>
                    <a:prstGeom prst="rect">
                      <a:avLst/>
                    </a:prstGeom>
                    <a:noFill/>
                  </pic:spPr>
                </pic:pic>
              </a:graphicData>
            </a:graphic>
          </wp:inline>
        </w:drawing>
      </w:r>
    </w:p>
    <w:p w14:paraId="671044C1" w14:textId="77777777" w:rsidR="00A009AF" w:rsidRPr="009830E2" w:rsidRDefault="00A009AF">
      <w:pPr>
        <w:adjustRightInd w:val="0"/>
        <w:snapToGrid w:val="0"/>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Figure 1 Myeloid neoplasm with eosinophilia and platelet-derived growth factor receptor beta rearrangement.</w:t>
      </w:r>
      <w:r w:rsidRPr="009830E2">
        <w:rPr>
          <w:rFonts w:ascii="Book Antiqua" w:eastAsia="Book Antiqua" w:hAnsi="Book Antiqua" w:cs="Book Antiqua"/>
          <w:color w:val="000000" w:themeColor="text1"/>
        </w:rPr>
        <w:t xml:space="preserve"> A: Myelomonocyte hyperplasia and eosinophilia (aspirate smears, Wright-Giemsa stain, 1000 ×); B: Normal karyotype with 46, XX; C: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revealed platelet-derived growth factor receptor beta rearrangement.</w:t>
      </w:r>
    </w:p>
    <w:p w14:paraId="762A9825" w14:textId="77777777" w:rsidR="00A009AF" w:rsidRPr="009830E2" w:rsidRDefault="00A009AF">
      <w:pPr>
        <w:adjustRightInd w:val="0"/>
        <w:snapToGrid w:val="0"/>
        <w:spacing w:line="360" w:lineRule="auto"/>
        <w:jc w:val="both"/>
        <w:rPr>
          <w:rFonts w:ascii="Book Antiqua" w:hAnsi="Book Antiqua"/>
          <w:color w:val="000000" w:themeColor="text1"/>
        </w:rPr>
      </w:pPr>
      <w:r w:rsidRPr="009830E2">
        <w:rPr>
          <w:rFonts w:ascii="Book Antiqua" w:eastAsia="Book Antiqua" w:hAnsi="Book Antiqua" w:cs="Book Antiqua"/>
          <w:color w:val="000000" w:themeColor="text1"/>
        </w:rPr>
        <w:br w:type="page"/>
      </w:r>
      <w:r w:rsidRPr="009830E2">
        <w:rPr>
          <w:rFonts w:ascii="Book Antiqua" w:eastAsia="Book Antiqua" w:hAnsi="Book Antiqua" w:cs="Book Antiqua"/>
          <w:noProof/>
          <w:color w:val="000000" w:themeColor="text1"/>
          <w:lang w:eastAsia="zh-CN"/>
        </w:rPr>
        <w:lastRenderedPageBreak/>
        <w:drawing>
          <wp:inline distT="0" distB="0" distL="0" distR="0" wp14:anchorId="77ED626E" wp14:editId="16815AAE">
            <wp:extent cx="5956801" cy="14471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4550" cy="1463596"/>
                    </a:xfrm>
                    <a:prstGeom prst="rect">
                      <a:avLst/>
                    </a:prstGeom>
                    <a:noFill/>
                  </pic:spPr>
                </pic:pic>
              </a:graphicData>
            </a:graphic>
          </wp:inline>
        </w:drawing>
      </w:r>
    </w:p>
    <w:p w14:paraId="5B1BC331" w14:textId="7546591B" w:rsidR="00A009AF" w:rsidRPr="009830E2" w:rsidRDefault="00A009AF">
      <w:pPr>
        <w:adjustRightInd w:val="0"/>
        <w:snapToGrid w:val="0"/>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Figure 2 Myeloid neoplasm with eosinophilia and platelet-derived growth factor receptor beta rearrangement.</w:t>
      </w:r>
      <w:r w:rsidRPr="009830E2">
        <w:rPr>
          <w:rFonts w:ascii="Book Antiqua" w:eastAsia="Book Antiqua" w:hAnsi="Book Antiqua" w:cs="Book Antiqua"/>
          <w:color w:val="000000" w:themeColor="text1"/>
        </w:rPr>
        <w:t xml:space="preserve"> A: Myelomonocyte hyperplasia (aspirate smears, Wright-Giemsa stain, 1000 ×); B: Karyotype with 46, XX, t(1;5)(q21;q33); C: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revealed platelet-derived growth factor receptor beta rearrangement. </w:t>
      </w:r>
    </w:p>
    <w:p w14:paraId="531C2377" w14:textId="77777777" w:rsidR="00A009AF" w:rsidRPr="009830E2" w:rsidRDefault="00A009AF">
      <w:pPr>
        <w:adjustRightInd w:val="0"/>
        <w:snapToGrid w:val="0"/>
        <w:spacing w:line="360" w:lineRule="auto"/>
        <w:jc w:val="both"/>
        <w:rPr>
          <w:rFonts w:ascii="Book Antiqua" w:eastAsia="Book Antiqua" w:hAnsi="Book Antiqua" w:cs="Book Antiqua"/>
          <w:b/>
          <w:bCs/>
          <w:color w:val="000000" w:themeColor="text1"/>
        </w:rPr>
      </w:pPr>
      <w:r w:rsidRPr="009830E2">
        <w:rPr>
          <w:rFonts w:ascii="Book Antiqua" w:eastAsia="Book Antiqua" w:hAnsi="Book Antiqua" w:cs="Book Antiqua"/>
          <w:color w:val="000000" w:themeColor="text1"/>
        </w:rPr>
        <w:br w:type="page"/>
      </w:r>
      <w:r w:rsidRPr="009830E2">
        <w:rPr>
          <w:rFonts w:ascii="Book Antiqua" w:eastAsia="Book Antiqua" w:hAnsi="Book Antiqua" w:cs="Book Antiqua"/>
          <w:b/>
          <w:bCs/>
          <w:color w:val="000000" w:themeColor="text1"/>
        </w:rPr>
        <w:lastRenderedPageBreak/>
        <w:t>Table 1 Literature review of children diagnosed with myeloid neoplasm with eosinophilia and platelet-derived growth factor receptor beta rearrangement and treated with imatinib</w:t>
      </w:r>
    </w:p>
    <w:tbl>
      <w:tblPr>
        <w:tblW w:w="10348" w:type="dxa"/>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709"/>
        <w:gridCol w:w="709"/>
        <w:gridCol w:w="850"/>
        <w:gridCol w:w="1701"/>
        <w:gridCol w:w="993"/>
        <w:gridCol w:w="2126"/>
        <w:gridCol w:w="1559"/>
      </w:tblGrid>
      <w:tr w:rsidR="006B3673" w:rsidRPr="006B3673" w14:paraId="66709F1A" w14:textId="77777777" w:rsidTr="008E29A6">
        <w:tc>
          <w:tcPr>
            <w:tcW w:w="1701" w:type="dxa"/>
            <w:tcBorders>
              <w:top w:val="single" w:sz="4" w:space="0" w:color="auto"/>
              <w:bottom w:val="single" w:sz="4" w:space="0" w:color="auto"/>
            </w:tcBorders>
            <w:shd w:val="clear" w:color="auto" w:fill="auto"/>
          </w:tcPr>
          <w:p w14:paraId="79895EF3"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Diagnosis</w:t>
            </w:r>
          </w:p>
        </w:tc>
        <w:tc>
          <w:tcPr>
            <w:tcW w:w="709" w:type="dxa"/>
            <w:tcBorders>
              <w:top w:val="single" w:sz="4" w:space="0" w:color="auto"/>
              <w:bottom w:val="single" w:sz="4" w:space="0" w:color="auto"/>
            </w:tcBorders>
            <w:shd w:val="clear" w:color="auto" w:fill="auto"/>
          </w:tcPr>
          <w:p w14:paraId="260C7E80"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Age</w:t>
            </w:r>
          </w:p>
        </w:tc>
        <w:tc>
          <w:tcPr>
            <w:tcW w:w="709" w:type="dxa"/>
            <w:tcBorders>
              <w:top w:val="single" w:sz="4" w:space="0" w:color="auto"/>
              <w:bottom w:val="single" w:sz="4" w:space="0" w:color="auto"/>
            </w:tcBorders>
            <w:shd w:val="clear" w:color="auto" w:fill="auto"/>
          </w:tcPr>
          <w:p w14:paraId="485DAF78"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Sex</w:t>
            </w:r>
          </w:p>
        </w:tc>
        <w:tc>
          <w:tcPr>
            <w:tcW w:w="850" w:type="dxa"/>
            <w:tcBorders>
              <w:top w:val="single" w:sz="4" w:space="0" w:color="auto"/>
              <w:bottom w:val="single" w:sz="4" w:space="0" w:color="auto"/>
            </w:tcBorders>
            <w:shd w:val="clear" w:color="auto" w:fill="auto"/>
          </w:tcPr>
          <w:p w14:paraId="4D21668F"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Karyotype</w:t>
            </w:r>
          </w:p>
        </w:tc>
        <w:tc>
          <w:tcPr>
            <w:tcW w:w="1701" w:type="dxa"/>
            <w:tcBorders>
              <w:top w:val="single" w:sz="4" w:space="0" w:color="auto"/>
              <w:bottom w:val="single" w:sz="4" w:space="0" w:color="auto"/>
            </w:tcBorders>
            <w:shd w:val="clear" w:color="auto" w:fill="auto"/>
          </w:tcPr>
          <w:p w14:paraId="15685F3B"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Dose of imatinib</w:t>
            </w:r>
          </w:p>
        </w:tc>
        <w:tc>
          <w:tcPr>
            <w:tcW w:w="993" w:type="dxa"/>
            <w:tcBorders>
              <w:top w:val="single" w:sz="4" w:space="0" w:color="auto"/>
              <w:bottom w:val="single" w:sz="4" w:space="0" w:color="auto"/>
            </w:tcBorders>
            <w:shd w:val="clear" w:color="auto" w:fill="auto"/>
          </w:tcPr>
          <w:p w14:paraId="601A27C2"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Duration to complete remission</w:t>
            </w:r>
          </w:p>
        </w:tc>
        <w:tc>
          <w:tcPr>
            <w:tcW w:w="2126" w:type="dxa"/>
            <w:tcBorders>
              <w:top w:val="single" w:sz="4" w:space="0" w:color="auto"/>
              <w:bottom w:val="single" w:sz="4" w:space="0" w:color="auto"/>
            </w:tcBorders>
            <w:shd w:val="clear" w:color="auto" w:fill="auto"/>
          </w:tcPr>
          <w:p w14:paraId="667428B2"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Clinical character</w:t>
            </w:r>
          </w:p>
        </w:tc>
        <w:tc>
          <w:tcPr>
            <w:tcW w:w="1559" w:type="dxa"/>
            <w:tcBorders>
              <w:top w:val="single" w:sz="4" w:space="0" w:color="auto"/>
              <w:bottom w:val="single" w:sz="4" w:space="0" w:color="auto"/>
            </w:tcBorders>
            <w:shd w:val="clear" w:color="auto" w:fill="auto"/>
          </w:tcPr>
          <w:p w14:paraId="114A3219" w14:textId="2321B39F" w:rsidR="00A009AF" w:rsidRPr="009830E2" w:rsidRDefault="00862C4B">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Ref.</w:t>
            </w:r>
          </w:p>
        </w:tc>
      </w:tr>
      <w:tr w:rsidR="006B3673" w:rsidRPr="006B3673" w14:paraId="5646AE08" w14:textId="77777777" w:rsidTr="008E29A6">
        <w:tc>
          <w:tcPr>
            <w:tcW w:w="1701" w:type="dxa"/>
            <w:tcBorders>
              <w:top w:val="single" w:sz="4" w:space="0" w:color="auto"/>
            </w:tcBorders>
            <w:shd w:val="clear" w:color="auto" w:fill="auto"/>
          </w:tcPr>
          <w:p w14:paraId="0994A73A"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MDS/MPD syndrome with eosinophilia</w:t>
            </w:r>
          </w:p>
        </w:tc>
        <w:tc>
          <w:tcPr>
            <w:tcW w:w="709" w:type="dxa"/>
            <w:tcBorders>
              <w:top w:val="single" w:sz="4" w:space="0" w:color="auto"/>
            </w:tcBorders>
            <w:shd w:val="clear" w:color="auto" w:fill="auto"/>
          </w:tcPr>
          <w:p w14:paraId="26E01C7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11 mo</w:t>
            </w:r>
          </w:p>
        </w:tc>
        <w:tc>
          <w:tcPr>
            <w:tcW w:w="709" w:type="dxa"/>
            <w:tcBorders>
              <w:top w:val="single" w:sz="4" w:space="0" w:color="auto"/>
            </w:tcBorders>
            <w:shd w:val="clear" w:color="auto" w:fill="auto"/>
          </w:tcPr>
          <w:p w14:paraId="7EAFA94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tcBorders>
              <w:top w:val="single" w:sz="4" w:space="0" w:color="auto"/>
            </w:tcBorders>
            <w:shd w:val="clear" w:color="auto" w:fill="auto"/>
          </w:tcPr>
          <w:p w14:paraId="33FE42F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t(1;5)(q23;q33)</w:t>
            </w:r>
          </w:p>
        </w:tc>
        <w:tc>
          <w:tcPr>
            <w:tcW w:w="1701" w:type="dxa"/>
            <w:tcBorders>
              <w:top w:val="single" w:sz="4" w:space="0" w:color="auto"/>
            </w:tcBorders>
            <w:shd w:val="clear" w:color="auto" w:fill="auto"/>
          </w:tcPr>
          <w:p w14:paraId="3C5CCC4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w:t>
            </w:r>
          </w:p>
        </w:tc>
        <w:tc>
          <w:tcPr>
            <w:tcW w:w="993" w:type="dxa"/>
            <w:tcBorders>
              <w:top w:val="single" w:sz="4" w:space="0" w:color="auto"/>
            </w:tcBorders>
            <w:shd w:val="clear" w:color="auto" w:fill="auto"/>
          </w:tcPr>
          <w:p w14:paraId="4F15E75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5 mo</w:t>
            </w:r>
          </w:p>
        </w:tc>
        <w:tc>
          <w:tcPr>
            <w:tcW w:w="2126" w:type="dxa"/>
            <w:tcBorders>
              <w:top w:val="single" w:sz="4" w:space="0" w:color="auto"/>
            </w:tcBorders>
            <w:shd w:val="clear" w:color="auto" w:fill="auto"/>
          </w:tcPr>
          <w:p w14:paraId="1658876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 leukocytosis eosinophilia, and thrombocytopenia hepatosplenomegaly.</w:t>
            </w:r>
          </w:p>
        </w:tc>
        <w:tc>
          <w:tcPr>
            <w:tcW w:w="1559" w:type="dxa"/>
            <w:tcBorders>
              <w:top w:val="single" w:sz="4" w:space="0" w:color="auto"/>
            </w:tcBorders>
            <w:shd w:val="clear" w:color="auto" w:fill="auto"/>
          </w:tcPr>
          <w:p w14:paraId="5D4FB7AF" w14:textId="28A4B10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Wilkinson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[5]</w:t>
            </w:r>
            <w:r w:rsidRPr="009830E2">
              <w:rPr>
                <w:rFonts w:ascii="Book Antiqua" w:eastAsia="等线" w:hAnsi="Book Antiqua"/>
                <w:color w:val="000000" w:themeColor="text1"/>
                <w:kern w:val="2"/>
                <w:lang w:eastAsia="zh-CN"/>
              </w:rPr>
              <w:t xml:space="preserve"> </w:t>
            </w:r>
          </w:p>
        </w:tc>
      </w:tr>
      <w:tr w:rsidR="006B3673" w:rsidRPr="006B3673" w14:paraId="5FD84DF3" w14:textId="77777777" w:rsidTr="008E29A6">
        <w:tc>
          <w:tcPr>
            <w:tcW w:w="1701" w:type="dxa"/>
            <w:shd w:val="clear" w:color="auto" w:fill="auto"/>
          </w:tcPr>
          <w:p w14:paraId="708F539A"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JMML</w:t>
            </w:r>
          </w:p>
        </w:tc>
        <w:tc>
          <w:tcPr>
            <w:tcW w:w="709" w:type="dxa"/>
            <w:shd w:val="clear" w:color="auto" w:fill="auto"/>
          </w:tcPr>
          <w:p w14:paraId="45872DF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Newborn</w:t>
            </w:r>
          </w:p>
        </w:tc>
        <w:tc>
          <w:tcPr>
            <w:tcW w:w="709" w:type="dxa"/>
            <w:shd w:val="clear" w:color="auto" w:fill="auto"/>
          </w:tcPr>
          <w:p w14:paraId="6DFB094F"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52A11ED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 q21;q33)</w:t>
            </w:r>
          </w:p>
        </w:tc>
        <w:tc>
          <w:tcPr>
            <w:tcW w:w="1701" w:type="dxa"/>
            <w:shd w:val="clear" w:color="auto" w:fill="auto"/>
          </w:tcPr>
          <w:p w14:paraId="0A2859B3" w14:textId="28A47F90"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370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4905E1B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01B14AC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Leukocytosis with eosinophilia, thrombocytopenia and anemia hepatomegaly, </w:t>
            </w:r>
          </w:p>
        </w:tc>
        <w:tc>
          <w:tcPr>
            <w:tcW w:w="1559" w:type="dxa"/>
            <w:shd w:val="clear" w:color="auto" w:fill="auto"/>
          </w:tcPr>
          <w:p w14:paraId="098F7716" w14:textId="2C1BBD6F"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[6]</w:t>
            </w:r>
          </w:p>
        </w:tc>
      </w:tr>
      <w:tr w:rsidR="006B3673" w:rsidRPr="006B3673" w14:paraId="134591FB" w14:textId="77777777" w:rsidTr="008E29A6">
        <w:tc>
          <w:tcPr>
            <w:tcW w:w="1701" w:type="dxa"/>
            <w:shd w:val="clear" w:color="auto" w:fill="auto"/>
          </w:tcPr>
          <w:p w14:paraId="083354A3"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CEL</w:t>
            </w:r>
          </w:p>
        </w:tc>
        <w:tc>
          <w:tcPr>
            <w:tcW w:w="709" w:type="dxa"/>
            <w:shd w:val="clear" w:color="auto" w:fill="auto"/>
          </w:tcPr>
          <w:p w14:paraId="3442B4F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8 yr</w:t>
            </w:r>
          </w:p>
        </w:tc>
        <w:tc>
          <w:tcPr>
            <w:tcW w:w="709" w:type="dxa"/>
            <w:shd w:val="clear" w:color="auto" w:fill="auto"/>
          </w:tcPr>
          <w:p w14:paraId="7E24AFE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607D4B1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t(1;5)(q21; 33)</w:t>
            </w:r>
          </w:p>
        </w:tc>
        <w:tc>
          <w:tcPr>
            <w:tcW w:w="1701" w:type="dxa"/>
            <w:shd w:val="clear" w:color="auto" w:fill="auto"/>
          </w:tcPr>
          <w:p w14:paraId="41B7B735" w14:textId="77777777" w:rsidR="00A009AF" w:rsidRPr="009830E2" w:rsidRDefault="00A009AF">
            <w:pPr>
              <w:widowControl w:val="0"/>
              <w:adjustRightInd w:val="0"/>
              <w:snapToGrid w:val="0"/>
              <w:spacing w:line="360" w:lineRule="auto"/>
              <w:ind w:left="120" w:hangingChars="50" w:hanging="120"/>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 xml:space="preserve"> daily</w:t>
            </w:r>
          </w:p>
        </w:tc>
        <w:tc>
          <w:tcPr>
            <w:tcW w:w="993" w:type="dxa"/>
            <w:shd w:val="clear" w:color="auto" w:fill="auto"/>
          </w:tcPr>
          <w:p w14:paraId="3FFC490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4C89F35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 and leukocytosis eosinophilia, hepatosplenomegaly.</w:t>
            </w:r>
          </w:p>
        </w:tc>
        <w:tc>
          <w:tcPr>
            <w:tcW w:w="1559" w:type="dxa"/>
            <w:shd w:val="clear" w:color="auto" w:fill="auto"/>
          </w:tcPr>
          <w:p w14:paraId="63496F74" w14:textId="7098582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Li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[7]</w:t>
            </w:r>
          </w:p>
        </w:tc>
      </w:tr>
      <w:tr w:rsidR="006B3673" w:rsidRPr="006B3673" w14:paraId="19FCB430" w14:textId="77777777" w:rsidTr="008E29A6">
        <w:tc>
          <w:tcPr>
            <w:tcW w:w="1701" w:type="dxa"/>
            <w:shd w:val="clear" w:color="auto" w:fill="auto"/>
          </w:tcPr>
          <w:p w14:paraId="6EFDFFAE"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Myeloid neoplasms associated </w:t>
            </w:r>
            <w:r w:rsidRPr="009830E2">
              <w:rPr>
                <w:rFonts w:ascii="Book Antiqua" w:eastAsia="等线" w:hAnsi="Book Antiqua"/>
                <w:color w:val="000000" w:themeColor="text1"/>
                <w:kern w:val="2"/>
                <w:lang w:eastAsia="zh-CN"/>
              </w:rPr>
              <w:lastRenderedPageBreak/>
              <w:t>with the PDGFRB rearrangement</w:t>
            </w:r>
          </w:p>
        </w:tc>
        <w:tc>
          <w:tcPr>
            <w:tcW w:w="709" w:type="dxa"/>
            <w:shd w:val="clear" w:color="auto" w:fill="auto"/>
          </w:tcPr>
          <w:p w14:paraId="2146AA9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1mo</w:t>
            </w:r>
          </w:p>
        </w:tc>
        <w:tc>
          <w:tcPr>
            <w:tcW w:w="709" w:type="dxa"/>
            <w:shd w:val="clear" w:color="auto" w:fill="auto"/>
          </w:tcPr>
          <w:p w14:paraId="2F0AA6B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46A98D3F"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 (q21; 33)</w:t>
            </w:r>
          </w:p>
        </w:tc>
        <w:tc>
          <w:tcPr>
            <w:tcW w:w="1701" w:type="dxa"/>
            <w:shd w:val="clear" w:color="auto" w:fill="auto"/>
          </w:tcPr>
          <w:p w14:paraId="719C8585" w14:textId="6A465E8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340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/d---170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1CBB452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5758397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Anemia and leukocytosis eosinophils, </w:t>
            </w:r>
            <w:r w:rsidRPr="009830E2">
              <w:rPr>
                <w:rFonts w:ascii="Book Antiqua" w:eastAsia="等线" w:hAnsi="Book Antiqua"/>
                <w:color w:val="000000" w:themeColor="text1"/>
                <w:kern w:val="2"/>
                <w:lang w:eastAsia="zh-CN"/>
              </w:rPr>
              <w:lastRenderedPageBreak/>
              <w:t>hepatosplenomegaly.</w:t>
            </w:r>
          </w:p>
        </w:tc>
        <w:tc>
          <w:tcPr>
            <w:tcW w:w="1559" w:type="dxa"/>
            <w:shd w:val="clear" w:color="auto" w:fill="auto"/>
          </w:tcPr>
          <w:p w14:paraId="6EA062D7" w14:textId="44A482ED"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[8]</w:t>
            </w:r>
            <w:r w:rsidRPr="009830E2" w:rsidDel="00E41691">
              <w:rPr>
                <w:rFonts w:ascii="Book Antiqua" w:eastAsia="等线" w:hAnsi="Book Antiqua"/>
                <w:color w:val="000000" w:themeColor="text1"/>
                <w:kern w:val="2"/>
                <w:lang w:eastAsia="zh-CN"/>
              </w:rPr>
              <w:t xml:space="preserve"> </w:t>
            </w:r>
          </w:p>
        </w:tc>
      </w:tr>
      <w:tr w:rsidR="006B3673" w:rsidRPr="006B3673" w14:paraId="204ABC16" w14:textId="77777777" w:rsidTr="008E29A6">
        <w:tc>
          <w:tcPr>
            <w:tcW w:w="1701" w:type="dxa"/>
            <w:shd w:val="clear" w:color="auto" w:fill="auto"/>
          </w:tcPr>
          <w:p w14:paraId="0E996670"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Myeloid neoplasms associated with the PDGFRB rearrangement</w:t>
            </w:r>
          </w:p>
        </w:tc>
        <w:tc>
          <w:tcPr>
            <w:tcW w:w="709" w:type="dxa"/>
            <w:shd w:val="clear" w:color="auto" w:fill="auto"/>
          </w:tcPr>
          <w:p w14:paraId="2DFB97B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4 yr</w:t>
            </w:r>
          </w:p>
        </w:tc>
        <w:tc>
          <w:tcPr>
            <w:tcW w:w="709" w:type="dxa"/>
            <w:shd w:val="clear" w:color="auto" w:fill="auto"/>
          </w:tcPr>
          <w:p w14:paraId="27F8878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0473E81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Not clear</w:t>
            </w:r>
          </w:p>
        </w:tc>
        <w:tc>
          <w:tcPr>
            <w:tcW w:w="1701" w:type="dxa"/>
            <w:shd w:val="clear" w:color="auto" w:fill="auto"/>
          </w:tcPr>
          <w:p w14:paraId="6D9A731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340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/d---145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593F46C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6B8B03F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Leukocytosis; eosinophils hepatosplenomegaly.</w:t>
            </w:r>
          </w:p>
        </w:tc>
        <w:tc>
          <w:tcPr>
            <w:tcW w:w="1559" w:type="dxa"/>
            <w:shd w:val="clear" w:color="auto" w:fill="auto"/>
          </w:tcPr>
          <w:p w14:paraId="4F23824E" w14:textId="069978BA"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[8]</w:t>
            </w:r>
          </w:p>
        </w:tc>
      </w:tr>
      <w:tr w:rsidR="006B3673" w:rsidRPr="006B3673" w14:paraId="68E90271" w14:textId="77777777" w:rsidTr="008E29A6">
        <w:tc>
          <w:tcPr>
            <w:tcW w:w="1701" w:type="dxa"/>
            <w:shd w:val="clear" w:color="auto" w:fill="auto"/>
          </w:tcPr>
          <w:p w14:paraId="6E1E51FC"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Myeloid neoplasms associated with the PDGFRB rearrangement</w:t>
            </w:r>
          </w:p>
        </w:tc>
        <w:tc>
          <w:tcPr>
            <w:tcW w:w="709" w:type="dxa"/>
            <w:shd w:val="clear" w:color="auto" w:fill="auto"/>
          </w:tcPr>
          <w:p w14:paraId="1C3C210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19 mo</w:t>
            </w:r>
          </w:p>
        </w:tc>
        <w:tc>
          <w:tcPr>
            <w:tcW w:w="709" w:type="dxa"/>
            <w:shd w:val="clear" w:color="auto" w:fill="auto"/>
          </w:tcPr>
          <w:p w14:paraId="49CB62A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1A94967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t(5;14)(q33;q32)</w:t>
            </w:r>
          </w:p>
        </w:tc>
        <w:tc>
          <w:tcPr>
            <w:tcW w:w="1701" w:type="dxa"/>
            <w:shd w:val="clear" w:color="auto" w:fill="auto"/>
          </w:tcPr>
          <w:p w14:paraId="515CCEA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7071002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wk</w:t>
            </w:r>
          </w:p>
        </w:tc>
        <w:tc>
          <w:tcPr>
            <w:tcW w:w="2126" w:type="dxa"/>
            <w:shd w:val="clear" w:color="auto" w:fill="auto"/>
          </w:tcPr>
          <w:p w14:paraId="3A200BC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Leukocytosis; eosinophilia,</w:t>
            </w:r>
          </w:p>
          <w:p w14:paraId="7A706D8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hepatosplenomegaly.</w:t>
            </w:r>
          </w:p>
        </w:tc>
        <w:tc>
          <w:tcPr>
            <w:tcW w:w="1559" w:type="dxa"/>
            <w:shd w:val="clear" w:color="auto" w:fill="auto"/>
          </w:tcPr>
          <w:p w14:paraId="46273354" w14:textId="1A5620F3"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Zhang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[9]</w:t>
            </w:r>
          </w:p>
        </w:tc>
      </w:tr>
      <w:tr w:rsidR="006B3673" w:rsidRPr="006B3673" w14:paraId="0717DB69" w14:textId="77777777" w:rsidTr="008E29A6">
        <w:tc>
          <w:tcPr>
            <w:tcW w:w="1701" w:type="dxa"/>
            <w:shd w:val="clear" w:color="auto" w:fill="auto"/>
          </w:tcPr>
          <w:p w14:paraId="4E0F9C97"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Myeloid neoplasms associated with the PDGFRB rearrangement</w:t>
            </w:r>
          </w:p>
        </w:tc>
        <w:tc>
          <w:tcPr>
            <w:tcW w:w="709" w:type="dxa"/>
            <w:shd w:val="clear" w:color="auto" w:fill="auto"/>
          </w:tcPr>
          <w:p w14:paraId="47F72A2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yr</w:t>
            </w:r>
          </w:p>
        </w:tc>
        <w:tc>
          <w:tcPr>
            <w:tcW w:w="709" w:type="dxa"/>
            <w:shd w:val="clear" w:color="auto" w:fill="auto"/>
          </w:tcPr>
          <w:p w14:paraId="70188662"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shd w:val="clear" w:color="auto" w:fill="auto"/>
          </w:tcPr>
          <w:p w14:paraId="77E85F9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Normal</w:t>
            </w:r>
          </w:p>
        </w:tc>
        <w:tc>
          <w:tcPr>
            <w:tcW w:w="1701" w:type="dxa"/>
            <w:shd w:val="clear" w:color="auto" w:fill="auto"/>
          </w:tcPr>
          <w:p w14:paraId="28A8767B"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61D616F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6D3ACF4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Leukocytosis; </w:t>
            </w:r>
          </w:p>
          <w:p w14:paraId="042DB0D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w:t>
            </w:r>
          </w:p>
          <w:p w14:paraId="67E5821D"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eosinophilia,</w:t>
            </w:r>
          </w:p>
          <w:p w14:paraId="6ABD8F37"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hepatosplenomegaly.</w:t>
            </w:r>
          </w:p>
        </w:tc>
        <w:tc>
          <w:tcPr>
            <w:tcW w:w="1559" w:type="dxa"/>
            <w:shd w:val="clear" w:color="auto" w:fill="auto"/>
          </w:tcPr>
          <w:p w14:paraId="052C146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p>
        </w:tc>
      </w:tr>
      <w:tr w:rsidR="006B3673" w:rsidRPr="006B3673" w14:paraId="0B74DAE8" w14:textId="77777777" w:rsidTr="008E29A6">
        <w:tc>
          <w:tcPr>
            <w:tcW w:w="1701" w:type="dxa"/>
            <w:shd w:val="clear" w:color="auto" w:fill="auto"/>
          </w:tcPr>
          <w:p w14:paraId="394907C3"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Myeloid neoplasms associated </w:t>
            </w:r>
            <w:r w:rsidRPr="009830E2">
              <w:rPr>
                <w:rFonts w:ascii="Book Antiqua" w:eastAsia="等线" w:hAnsi="Book Antiqua"/>
                <w:color w:val="000000" w:themeColor="text1"/>
                <w:kern w:val="2"/>
                <w:lang w:eastAsia="zh-CN"/>
              </w:rPr>
              <w:lastRenderedPageBreak/>
              <w:t>with the PDGFRB rearrangement</w:t>
            </w:r>
          </w:p>
        </w:tc>
        <w:tc>
          <w:tcPr>
            <w:tcW w:w="709" w:type="dxa"/>
            <w:shd w:val="clear" w:color="auto" w:fill="auto"/>
          </w:tcPr>
          <w:p w14:paraId="41BB9BA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2 yr</w:t>
            </w:r>
          </w:p>
        </w:tc>
        <w:tc>
          <w:tcPr>
            <w:tcW w:w="709" w:type="dxa"/>
            <w:shd w:val="clear" w:color="auto" w:fill="auto"/>
          </w:tcPr>
          <w:p w14:paraId="554F516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shd w:val="clear" w:color="auto" w:fill="auto"/>
          </w:tcPr>
          <w:p w14:paraId="5EF1A571"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t(1;5)(q21;q33)</w:t>
            </w:r>
          </w:p>
        </w:tc>
        <w:tc>
          <w:tcPr>
            <w:tcW w:w="1701" w:type="dxa"/>
            <w:shd w:val="clear" w:color="auto" w:fill="auto"/>
          </w:tcPr>
          <w:p w14:paraId="7764CA8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70BA54C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3753A89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Leukocytosis; </w:t>
            </w:r>
          </w:p>
          <w:p w14:paraId="1F788A2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w:t>
            </w:r>
          </w:p>
          <w:p w14:paraId="6E5871A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thrombocytopeni</w:t>
            </w:r>
            <w:r w:rsidRPr="009830E2">
              <w:rPr>
                <w:rFonts w:ascii="Book Antiqua" w:eastAsia="等线" w:hAnsi="Book Antiqua"/>
                <w:color w:val="000000" w:themeColor="text1"/>
                <w:kern w:val="2"/>
                <w:lang w:eastAsia="zh-CN"/>
              </w:rPr>
              <w:lastRenderedPageBreak/>
              <w:t>a,</w:t>
            </w:r>
          </w:p>
          <w:p w14:paraId="520BEC3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eosinophilia,</w:t>
            </w:r>
          </w:p>
          <w:p w14:paraId="2E71621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hepatosplenomegaly,</w:t>
            </w:r>
          </w:p>
          <w:p w14:paraId="4ECC7547"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fever, rashes</w:t>
            </w:r>
          </w:p>
        </w:tc>
        <w:tc>
          <w:tcPr>
            <w:tcW w:w="1559" w:type="dxa"/>
            <w:shd w:val="clear" w:color="auto" w:fill="auto"/>
          </w:tcPr>
          <w:p w14:paraId="14BC00BC"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p>
        </w:tc>
      </w:tr>
    </w:tbl>
    <w:p w14:paraId="7A7B0B99" w14:textId="674A1634" w:rsidR="00A77B3E" w:rsidRPr="009830E2" w:rsidRDefault="006B3673" w:rsidP="006B3673">
      <w:pPr>
        <w:adjustRightInd w:val="0"/>
        <w:snapToGrid w:val="0"/>
        <w:spacing w:line="360" w:lineRule="auto"/>
        <w:jc w:val="both"/>
        <w:rPr>
          <w:rFonts w:ascii="Book Antiqua" w:eastAsia="Book Antiqua" w:hAnsi="Book Antiqua" w:cs="Book Antiqua"/>
          <w:color w:val="000000" w:themeColor="text1"/>
        </w:rPr>
      </w:pPr>
      <w:r w:rsidRPr="00952420">
        <w:rPr>
          <w:rFonts w:ascii="Book Antiqua" w:eastAsia="Book Antiqua" w:hAnsi="Book Antiqua" w:cs="Book Antiqua"/>
          <w:color w:val="000000" w:themeColor="text1"/>
        </w:rPr>
        <w:t xml:space="preserve">CEL: Chronic eosinophilic leukemia; </w:t>
      </w:r>
      <w:r w:rsidRPr="00AB6D0F">
        <w:rPr>
          <w:rFonts w:ascii="Book Antiqua" w:eastAsia="Book Antiqua" w:hAnsi="Book Antiqua" w:cs="Book Antiqua"/>
          <w:color w:val="000000" w:themeColor="text1"/>
        </w:rPr>
        <w:t xml:space="preserve">JMML: Juvenile myelomonocytic leukemia; </w:t>
      </w:r>
      <w:r w:rsidR="00A009AF" w:rsidRPr="009830E2">
        <w:rPr>
          <w:rFonts w:ascii="Book Antiqua" w:eastAsia="Book Antiqua" w:hAnsi="Book Antiqua" w:cs="Book Antiqua"/>
          <w:color w:val="000000" w:themeColor="text1"/>
        </w:rPr>
        <w:t xml:space="preserve">MDS: Myelodysplastic syndrome; MPD: Myeloproliferative disorders; </w:t>
      </w:r>
      <w:r w:rsidR="00A009AF" w:rsidRPr="009830E2">
        <w:rPr>
          <w:rFonts w:ascii="Book Antiqua" w:eastAsia="等线" w:hAnsi="Book Antiqua"/>
          <w:color w:val="000000" w:themeColor="text1"/>
          <w:kern w:val="2"/>
          <w:lang w:eastAsia="zh-CN"/>
        </w:rPr>
        <w:t>PDGFRB: Platelet-derived growth factor receptor beta</w:t>
      </w:r>
      <w:r w:rsidR="00A009AF" w:rsidRPr="009830E2">
        <w:rPr>
          <w:rFonts w:ascii="Book Antiqua" w:eastAsia="Book Antiqua" w:hAnsi="Book Antiqua" w:cs="Book Antiqua"/>
          <w:color w:val="000000" w:themeColor="text1"/>
        </w:rPr>
        <w:t>.</w:t>
      </w:r>
    </w:p>
    <w:sectPr w:rsidR="00A77B3E" w:rsidRPr="009830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D59E9" w14:textId="77777777" w:rsidR="007E70B0" w:rsidRDefault="007E70B0" w:rsidP="00D360E7">
      <w:r>
        <w:separator/>
      </w:r>
    </w:p>
  </w:endnote>
  <w:endnote w:type="continuationSeparator" w:id="0">
    <w:p w14:paraId="0B953EA2" w14:textId="77777777" w:rsidR="007E70B0" w:rsidRDefault="007E70B0" w:rsidP="00D3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99808645"/>
      <w:docPartObj>
        <w:docPartGallery w:val="Page Numbers (Bottom of Page)"/>
        <w:docPartUnique/>
      </w:docPartObj>
    </w:sdtPr>
    <w:sdtEndPr>
      <w:rPr>
        <w:noProof/>
      </w:rPr>
    </w:sdtEndPr>
    <w:sdtContent>
      <w:p w14:paraId="47473230" w14:textId="4C8E6B12" w:rsidR="00E13421" w:rsidRPr="009830E2" w:rsidRDefault="00E13421">
        <w:pPr>
          <w:pStyle w:val="a5"/>
          <w:jc w:val="right"/>
          <w:rPr>
            <w:rFonts w:ascii="Book Antiqua" w:hAnsi="Book Antiqua"/>
            <w:sz w:val="24"/>
            <w:szCs w:val="24"/>
          </w:rPr>
        </w:pPr>
        <w:r w:rsidRPr="009830E2">
          <w:rPr>
            <w:rFonts w:ascii="Book Antiqua" w:hAnsi="Book Antiqua"/>
            <w:sz w:val="24"/>
            <w:szCs w:val="24"/>
          </w:rPr>
          <w:fldChar w:fldCharType="begin"/>
        </w:r>
        <w:r w:rsidRPr="009830E2">
          <w:rPr>
            <w:rFonts w:ascii="Book Antiqua" w:hAnsi="Book Antiqua"/>
            <w:sz w:val="24"/>
            <w:szCs w:val="24"/>
          </w:rPr>
          <w:instrText xml:space="preserve"> PAGE   \* MERGEFORMAT </w:instrText>
        </w:r>
        <w:r w:rsidRPr="009830E2">
          <w:rPr>
            <w:rFonts w:ascii="Book Antiqua" w:hAnsi="Book Antiqua"/>
            <w:sz w:val="24"/>
            <w:szCs w:val="24"/>
          </w:rPr>
          <w:fldChar w:fldCharType="separate"/>
        </w:r>
        <w:r w:rsidRPr="009830E2">
          <w:rPr>
            <w:rFonts w:ascii="Book Antiqua" w:hAnsi="Book Antiqua"/>
            <w:noProof/>
            <w:sz w:val="24"/>
            <w:szCs w:val="24"/>
          </w:rPr>
          <w:t>2</w:t>
        </w:r>
        <w:r w:rsidRPr="009830E2">
          <w:rPr>
            <w:rFonts w:ascii="Book Antiqua" w:hAnsi="Book Antiqua"/>
            <w:noProof/>
            <w:sz w:val="24"/>
            <w:szCs w:val="24"/>
          </w:rPr>
          <w:fldChar w:fldCharType="end"/>
        </w:r>
        <w:r w:rsidR="006B3673">
          <w:rPr>
            <w:rFonts w:ascii="Book Antiqua" w:hAnsi="Book Antiqua"/>
            <w:noProof/>
            <w:sz w:val="24"/>
            <w:szCs w:val="24"/>
          </w:rPr>
          <w:t xml:space="preserve"> </w:t>
        </w:r>
        <w:r w:rsidRPr="009830E2">
          <w:rPr>
            <w:rFonts w:ascii="Book Antiqua" w:hAnsi="Book Antiqua"/>
            <w:noProof/>
            <w:sz w:val="24"/>
            <w:szCs w:val="24"/>
          </w:rPr>
          <w:t>/</w:t>
        </w:r>
        <w:r w:rsidR="006B3673">
          <w:rPr>
            <w:rFonts w:ascii="Book Antiqua" w:hAnsi="Book Antiqua"/>
            <w:noProof/>
            <w:sz w:val="24"/>
            <w:szCs w:val="24"/>
          </w:rPr>
          <w:t xml:space="preserve"> </w:t>
        </w:r>
        <w:r w:rsidRPr="009830E2">
          <w:rPr>
            <w:rFonts w:ascii="Book Antiqua" w:hAnsi="Book Antiqua"/>
            <w:noProof/>
            <w:sz w:val="24"/>
            <w:szCs w:val="24"/>
          </w:rPr>
          <w:t>1</w:t>
        </w:r>
        <w:r w:rsidR="006B3673">
          <w:rPr>
            <w:rFonts w:ascii="Book Antiqua" w:hAnsi="Book Antiqua"/>
            <w:noProof/>
            <w:sz w:val="24"/>
            <w:szCs w:val="24"/>
          </w:rPr>
          <w:t>8</w:t>
        </w:r>
      </w:p>
    </w:sdtContent>
  </w:sdt>
  <w:p w14:paraId="4D74B3C8" w14:textId="77777777" w:rsidR="00D360E7" w:rsidRDefault="00D360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C97ED" w14:textId="77777777" w:rsidR="007E70B0" w:rsidRDefault="007E70B0" w:rsidP="00D360E7">
      <w:r>
        <w:separator/>
      </w:r>
    </w:p>
  </w:footnote>
  <w:footnote w:type="continuationSeparator" w:id="0">
    <w:p w14:paraId="00851FD4" w14:textId="77777777" w:rsidR="007E70B0" w:rsidRDefault="007E70B0" w:rsidP="00D360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3EEA"/>
    <w:rsid w:val="00116DD6"/>
    <w:rsid w:val="001524EC"/>
    <w:rsid w:val="0023429F"/>
    <w:rsid w:val="002956D2"/>
    <w:rsid w:val="003B0C84"/>
    <w:rsid w:val="004357C4"/>
    <w:rsid w:val="00450F10"/>
    <w:rsid w:val="00543A1B"/>
    <w:rsid w:val="005A06FC"/>
    <w:rsid w:val="00634BFD"/>
    <w:rsid w:val="00685113"/>
    <w:rsid w:val="006B3673"/>
    <w:rsid w:val="006B36DC"/>
    <w:rsid w:val="00736783"/>
    <w:rsid w:val="00753188"/>
    <w:rsid w:val="007E2951"/>
    <w:rsid w:val="007E70B0"/>
    <w:rsid w:val="00862C4B"/>
    <w:rsid w:val="0089139A"/>
    <w:rsid w:val="008E29A6"/>
    <w:rsid w:val="008F1296"/>
    <w:rsid w:val="009369DB"/>
    <w:rsid w:val="00976C42"/>
    <w:rsid w:val="009830E2"/>
    <w:rsid w:val="009A60CC"/>
    <w:rsid w:val="00A009AF"/>
    <w:rsid w:val="00A24CED"/>
    <w:rsid w:val="00A44466"/>
    <w:rsid w:val="00A77B3E"/>
    <w:rsid w:val="00A8172D"/>
    <w:rsid w:val="00B60B35"/>
    <w:rsid w:val="00B866B7"/>
    <w:rsid w:val="00C751F9"/>
    <w:rsid w:val="00CA2A55"/>
    <w:rsid w:val="00D360E7"/>
    <w:rsid w:val="00DC13FD"/>
    <w:rsid w:val="00E13421"/>
    <w:rsid w:val="00E84A78"/>
    <w:rsid w:val="00E870AC"/>
    <w:rsid w:val="00F05D0A"/>
    <w:rsid w:val="00FB1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D8202"/>
  <w15:docId w15:val="{BF811F26-7D99-4946-BE0D-76B2627B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60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60E7"/>
    <w:rPr>
      <w:sz w:val="18"/>
      <w:szCs w:val="18"/>
    </w:rPr>
  </w:style>
  <w:style w:type="paragraph" w:styleId="a5">
    <w:name w:val="footer"/>
    <w:basedOn w:val="a"/>
    <w:link w:val="a6"/>
    <w:uiPriority w:val="99"/>
    <w:unhideWhenUsed/>
    <w:rsid w:val="00D360E7"/>
    <w:pPr>
      <w:tabs>
        <w:tab w:val="center" w:pos="4153"/>
        <w:tab w:val="right" w:pos="8306"/>
      </w:tabs>
      <w:snapToGrid w:val="0"/>
    </w:pPr>
    <w:rPr>
      <w:sz w:val="18"/>
      <w:szCs w:val="18"/>
    </w:rPr>
  </w:style>
  <w:style w:type="character" w:customStyle="1" w:styleId="a6">
    <w:name w:val="页脚 字符"/>
    <w:basedOn w:val="a0"/>
    <w:link w:val="a5"/>
    <w:uiPriority w:val="99"/>
    <w:rsid w:val="00D360E7"/>
    <w:rPr>
      <w:sz w:val="18"/>
      <w:szCs w:val="18"/>
    </w:rPr>
  </w:style>
  <w:style w:type="paragraph" w:styleId="a7">
    <w:name w:val="Balloon Text"/>
    <w:basedOn w:val="a"/>
    <w:link w:val="a8"/>
    <w:semiHidden/>
    <w:unhideWhenUsed/>
    <w:rsid w:val="00E13421"/>
    <w:rPr>
      <w:rFonts w:ascii="Segoe UI" w:hAnsi="Segoe UI" w:cs="Segoe UI"/>
      <w:sz w:val="18"/>
      <w:szCs w:val="18"/>
    </w:rPr>
  </w:style>
  <w:style w:type="character" w:customStyle="1" w:styleId="a8">
    <w:name w:val="批注框文本 字符"/>
    <w:basedOn w:val="a0"/>
    <w:link w:val="a7"/>
    <w:semiHidden/>
    <w:rsid w:val="00E13421"/>
    <w:rPr>
      <w:rFonts w:ascii="Segoe UI" w:hAnsi="Segoe UI" w:cs="Segoe UI"/>
      <w:sz w:val="18"/>
      <w:szCs w:val="18"/>
    </w:rPr>
  </w:style>
  <w:style w:type="paragraph" w:styleId="a9">
    <w:name w:val="Revision"/>
    <w:hidden/>
    <w:uiPriority w:val="99"/>
    <w:semiHidden/>
    <w:rsid w:val="006B36DC"/>
    <w:rPr>
      <w:sz w:val="24"/>
      <w:szCs w:val="24"/>
    </w:rPr>
  </w:style>
  <w:style w:type="character" w:styleId="aa">
    <w:name w:val="annotation reference"/>
    <w:basedOn w:val="a0"/>
    <w:semiHidden/>
    <w:unhideWhenUsed/>
    <w:rsid w:val="007E2951"/>
    <w:rPr>
      <w:sz w:val="16"/>
      <w:szCs w:val="16"/>
    </w:rPr>
  </w:style>
  <w:style w:type="paragraph" w:styleId="ab">
    <w:name w:val="annotation text"/>
    <w:basedOn w:val="a"/>
    <w:link w:val="ac"/>
    <w:semiHidden/>
    <w:unhideWhenUsed/>
    <w:rsid w:val="007E2951"/>
    <w:rPr>
      <w:sz w:val="20"/>
      <w:szCs w:val="20"/>
    </w:rPr>
  </w:style>
  <w:style w:type="character" w:customStyle="1" w:styleId="ac">
    <w:name w:val="批注文字 字符"/>
    <w:basedOn w:val="a0"/>
    <w:link w:val="ab"/>
    <w:semiHidden/>
    <w:rsid w:val="007E2951"/>
  </w:style>
  <w:style w:type="paragraph" w:styleId="ad">
    <w:name w:val="annotation subject"/>
    <w:basedOn w:val="ab"/>
    <w:next w:val="ab"/>
    <w:link w:val="ae"/>
    <w:semiHidden/>
    <w:unhideWhenUsed/>
    <w:rsid w:val="007E2951"/>
    <w:rPr>
      <w:b/>
      <w:bCs/>
    </w:rPr>
  </w:style>
  <w:style w:type="character" w:customStyle="1" w:styleId="ae">
    <w:name w:val="批注主题 字符"/>
    <w:basedOn w:val="ac"/>
    <w:link w:val="ad"/>
    <w:semiHidden/>
    <w:rsid w:val="007E29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5</cp:revision>
  <dcterms:created xsi:type="dcterms:W3CDTF">2020-11-13T15:00:00Z</dcterms:created>
  <dcterms:modified xsi:type="dcterms:W3CDTF">2020-11-20T03:34:00Z</dcterms:modified>
</cp:coreProperties>
</file>