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9F3" w:rsidRPr="0096075B" w:rsidRDefault="00FE09F3" w:rsidP="0096075B">
      <w:pPr>
        <w:pStyle w:val="a9"/>
        <w:widowControl/>
        <w:shd w:val="clear" w:color="auto" w:fill="FFFFFF"/>
        <w:snapToGrid w:val="0"/>
        <w:spacing w:before="0" w:beforeAutospacing="0" w:after="0" w:afterAutospacing="0" w:line="360" w:lineRule="auto"/>
        <w:jc w:val="both"/>
        <w:rPr>
          <w:rFonts w:ascii="Book Antiqua" w:hAnsi="Book Antiqua" w:cs="Book Antiqua"/>
        </w:rPr>
      </w:pPr>
      <w:bookmarkStart w:id="0" w:name="OLE_LINK51"/>
      <w:bookmarkStart w:id="1" w:name="OLE_LINK67"/>
      <w:r w:rsidRPr="0096075B">
        <w:rPr>
          <w:rStyle w:val="a3"/>
          <w:rFonts w:ascii="Book Antiqua" w:hAnsi="Book Antiqua" w:cs="Book Antiqua"/>
        </w:rPr>
        <w:t>Name of Journal:</w:t>
      </w:r>
      <w:r w:rsidRPr="0096075B">
        <w:rPr>
          <w:rFonts w:ascii="Book Antiqua" w:hAnsi="Book Antiqua" w:cs="Book Antiqua"/>
        </w:rPr>
        <w:t xml:space="preserve"> </w:t>
      </w:r>
      <w:bookmarkStart w:id="2" w:name="OLE_LINK8"/>
      <w:r w:rsidRPr="0096075B">
        <w:rPr>
          <w:rFonts w:ascii="Book Antiqua" w:hAnsi="Book Antiqua" w:cs="Book Antiqua"/>
          <w:i/>
          <w:iCs/>
        </w:rPr>
        <w:t>World Journal of Clinical Cases</w:t>
      </w:r>
      <w:bookmarkEnd w:id="2"/>
    </w:p>
    <w:p w:rsidR="00FE09F3" w:rsidRPr="0096075B" w:rsidRDefault="00FE09F3" w:rsidP="0096075B">
      <w:pPr>
        <w:snapToGrid w:val="0"/>
        <w:spacing w:line="360" w:lineRule="auto"/>
        <w:rPr>
          <w:rFonts w:ascii="Book Antiqua" w:hAnsi="Book Antiqua" w:cs="Book Antiqua"/>
          <w:sz w:val="24"/>
        </w:rPr>
      </w:pPr>
      <w:r w:rsidRPr="0096075B">
        <w:rPr>
          <w:rStyle w:val="a3"/>
          <w:rFonts w:ascii="Book Antiqua" w:hAnsi="Book Antiqua" w:cs="Book Antiqua"/>
          <w:sz w:val="24"/>
        </w:rPr>
        <w:t>Manuscript NO</w:t>
      </w:r>
      <w:bookmarkStart w:id="3" w:name="OLE_LINK75"/>
      <w:r w:rsidRPr="0096075B">
        <w:rPr>
          <w:rStyle w:val="a3"/>
          <w:rFonts w:ascii="Book Antiqua" w:hAnsi="Book Antiqua" w:cs="Book Antiqua"/>
          <w:sz w:val="24"/>
        </w:rPr>
        <w:t>:</w:t>
      </w:r>
      <w:bookmarkEnd w:id="3"/>
      <w:r w:rsidRPr="0096075B">
        <w:rPr>
          <w:rFonts w:ascii="Book Antiqua" w:hAnsi="Book Antiqua" w:cs="Book Antiqua"/>
          <w:sz w:val="24"/>
        </w:rPr>
        <w:t xml:space="preserve"> 57797</w:t>
      </w:r>
    </w:p>
    <w:p w:rsidR="00FE09F3" w:rsidRPr="0096075B" w:rsidRDefault="00FE09F3" w:rsidP="0096075B">
      <w:pPr>
        <w:snapToGrid w:val="0"/>
        <w:spacing w:line="360" w:lineRule="auto"/>
        <w:rPr>
          <w:rFonts w:ascii="Book Antiqua" w:hAnsi="Book Antiqua" w:cs="Book Antiqua"/>
          <w:sz w:val="24"/>
        </w:rPr>
      </w:pPr>
      <w:r w:rsidRPr="0096075B">
        <w:rPr>
          <w:rStyle w:val="a3"/>
          <w:rFonts w:ascii="Book Antiqua" w:hAnsi="Book Antiqua" w:cs="Book Antiqua"/>
          <w:sz w:val="24"/>
        </w:rPr>
        <w:t xml:space="preserve">Manuscript Type: </w:t>
      </w:r>
      <w:r w:rsidRPr="0096075B">
        <w:rPr>
          <w:rFonts w:ascii="Book Antiqua" w:hAnsi="Book Antiqua" w:cs="Book Antiqua"/>
          <w:sz w:val="24"/>
        </w:rPr>
        <w:t>CASE REPORT</w:t>
      </w:r>
    </w:p>
    <w:p w:rsidR="00FE09F3" w:rsidRPr="0096075B"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rPr>
          <w:rFonts w:ascii="Book Antiqua" w:hAnsi="Book Antiqua" w:cs="Book Antiqua"/>
          <w:b/>
          <w:bCs/>
          <w:sz w:val="24"/>
        </w:rPr>
      </w:pPr>
      <w:bookmarkStart w:id="4" w:name="OLE_LINK9"/>
      <w:r w:rsidRPr="0096075B">
        <w:rPr>
          <w:rFonts w:ascii="Book Antiqua" w:hAnsi="Book Antiqua" w:cs="Book Antiqua"/>
          <w:b/>
          <w:bCs/>
          <w:sz w:val="24"/>
        </w:rPr>
        <w:t>Systemic autoimmune abnormalities complicated by cytomegalovirus-induced</w:t>
      </w:r>
      <w:r w:rsidR="0083579A" w:rsidRPr="0096075B">
        <w:rPr>
          <w:rFonts w:ascii="Book Antiqua" w:hAnsi="Book Antiqua" w:cs="Book Antiqua"/>
          <w:b/>
          <w:bCs/>
          <w:sz w:val="24"/>
        </w:rPr>
        <w:t xml:space="preserve"> </w:t>
      </w:r>
      <w:r w:rsidRPr="0096075B">
        <w:rPr>
          <w:rFonts w:ascii="Book Antiqua" w:hAnsi="Book Antiqua" w:cs="Book Antiqua"/>
          <w:b/>
          <w:bCs/>
          <w:sz w:val="24"/>
        </w:rPr>
        <w:t>hemophagocytic lymphohistiocytosis: A case report</w:t>
      </w:r>
      <w:bookmarkEnd w:id="4"/>
    </w:p>
    <w:p w:rsidR="00FE09F3" w:rsidRPr="0096075B" w:rsidRDefault="00FE09F3" w:rsidP="0096075B">
      <w:pPr>
        <w:snapToGrid w:val="0"/>
        <w:spacing w:line="360" w:lineRule="auto"/>
        <w:rPr>
          <w:rFonts w:ascii="Book Antiqua" w:hAnsi="Book Antiqua" w:cs="Book Antiqua"/>
          <w:sz w:val="24"/>
        </w:rPr>
      </w:pPr>
    </w:p>
    <w:bookmarkEnd w:id="0"/>
    <w:bookmarkEnd w:id="1"/>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 xml:space="preserve">Miao SX </w:t>
      </w:r>
      <w:r w:rsidRPr="0096075B">
        <w:rPr>
          <w:rFonts w:ascii="Book Antiqua" w:hAnsi="Book Antiqua" w:cs="Book Antiqua"/>
          <w:i/>
          <w:iCs/>
          <w:sz w:val="24"/>
        </w:rPr>
        <w:t>et al</w:t>
      </w:r>
      <w:r w:rsidRPr="00BD4675">
        <w:rPr>
          <w:rFonts w:ascii="Book Antiqua" w:hAnsi="Book Antiqua" w:cs="Book Antiqua"/>
          <w:sz w:val="24"/>
        </w:rPr>
        <w:t>. CMV related HLH cured</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bookmarkStart w:id="5" w:name="OLE_LINK80"/>
      <w:bookmarkStart w:id="6" w:name="OLE_LINK83"/>
      <w:r w:rsidRPr="00BD4675">
        <w:rPr>
          <w:rFonts w:ascii="Book Antiqua" w:hAnsi="Book Antiqua" w:cs="Book Antiqua"/>
          <w:sz w:val="24"/>
        </w:rPr>
        <w:t>Shu-Xian Miao</w:t>
      </w:r>
      <w:bookmarkEnd w:id="5"/>
      <w:r w:rsidRPr="00BD4675">
        <w:rPr>
          <w:rFonts w:ascii="Book Antiqua" w:hAnsi="Book Antiqua" w:cs="Book Antiqua"/>
          <w:sz w:val="24"/>
        </w:rPr>
        <w:t xml:space="preserve">, </w:t>
      </w:r>
      <w:bookmarkStart w:id="7" w:name="OLE_LINK4"/>
      <w:r w:rsidRPr="00BD4675">
        <w:rPr>
          <w:rFonts w:ascii="Book Antiqua" w:hAnsi="Book Antiqua" w:cs="Book Antiqua"/>
          <w:sz w:val="24"/>
        </w:rPr>
        <w:t>Zhi-Qi Wu</w:t>
      </w:r>
      <w:bookmarkEnd w:id="7"/>
      <w:r w:rsidRPr="00BD4675">
        <w:rPr>
          <w:rFonts w:ascii="Book Antiqua" w:hAnsi="Book Antiqua" w:cs="Book Antiqua"/>
          <w:sz w:val="24"/>
        </w:rPr>
        <w:t xml:space="preserve">, </w:t>
      </w:r>
      <w:bookmarkStart w:id="8" w:name="OLE_LINK5"/>
      <w:r w:rsidRPr="00BD4675">
        <w:rPr>
          <w:rFonts w:ascii="Book Antiqua" w:hAnsi="Book Antiqua" w:cs="Book Antiqua"/>
          <w:sz w:val="24"/>
        </w:rPr>
        <w:t>Hua-Guo Xu</w:t>
      </w:r>
      <w:bookmarkEnd w:id="6"/>
      <w:bookmarkEnd w:id="8"/>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pStyle w:val="a9"/>
        <w:widowControl/>
        <w:snapToGrid w:val="0"/>
        <w:spacing w:before="0" w:beforeAutospacing="0" w:after="0" w:afterAutospacing="0" w:line="360" w:lineRule="auto"/>
        <w:jc w:val="both"/>
        <w:rPr>
          <w:rFonts w:ascii="Book Antiqua" w:hAnsi="Book Antiqua" w:cs="Book Antiqua"/>
        </w:rPr>
      </w:pPr>
      <w:r w:rsidRPr="00BD4675">
        <w:rPr>
          <w:rFonts w:ascii="Book Antiqua" w:hAnsi="Book Antiqua" w:cs="Book Antiqua"/>
          <w:b/>
          <w:bCs/>
        </w:rPr>
        <w:t>Shu-Xian Miao, Zhi-Qi Wu,</w:t>
      </w:r>
      <w:r w:rsidRPr="00BD4675">
        <w:rPr>
          <w:rFonts w:ascii="Book Antiqua" w:hAnsi="Book Antiqua" w:cs="Book Antiqua"/>
        </w:rPr>
        <w:t xml:space="preserve"> </w:t>
      </w:r>
      <w:r w:rsidRPr="00BD4675">
        <w:rPr>
          <w:rFonts w:ascii="Book Antiqua" w:eastAsia="Book Antiqua" w:hAnsi="Book Antiqua" w:cs="Book Antiqua"/>
          <w:b/>
          <w:bCs/>
        </w:rPr>
        <w:t>Hua-Guo Xu,</w:t>
      </w:r>
      <w:r w:rsidRPr="00BD4675">
        <w:rPr>
          <w:rFonts w:ascii="Book Antiqua" w:eastAsia="宋体" w:hAnsi="Book Antiqua" w:cs="Book Antiqua"/>
          <w:b/>
          <w:bCs/>
        </w:rPr>
        <w:t xml:space="preserve"> </w:t>
      </w:r>
      <w:r w:rsidRPr="00BD4675">
        <w:rPr>
          <w:rFonts w:ascii="Book Antiqua" w:hAnsi="Book Antiqua" w:cs="Book Antiqua"/>
        </w:rPr>
        <w:t>Department of Laboratory Medicine, The First Affiliated Hospital of Nanjing Medical University, Nanjing 210029, Jiangsu Province, China</w:t>
      </w:r>
    </w:p>
    <w:p w:rsidR="00FE09F3" w:rsidRPr="00BD4675" w:rsidRDefault="00FE09F3" w:rsidP="0096075B">
      <w:pPr>
        <w:pStyle w:val="a9"/>
        <w:widowControl/>
        <w:snapToGrid w:val="0"/>
        <w:spacing w:before="0" w:beforeAutospacing="0" w:after="0" w:afterAutospacing="0" w:line="360" w:lineRule="auto"/>
        <w:jc w:val="both"/>
        <w:rPr>
          <w:rFonts w:ascii="Book Antiqua" w:hAnsi="Book Antiqua" w:cs="Book Antiqua"/>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sz w:val="24"/>
        </w:rPr>
        <w:t>Author contributions:</w:t>
      </w:r>
      <w:r w:rsidRPr="00BD4675">
        <w:rPr>
          <w:rFonts w:ascii="Book Antiqua" w:hAnsi="Book Antiqua" w:cs="Book Antiqua"/>
          <w:sz w:val="24"/>
        </w:rPr>
        <w:t xml:space="preserve"> Xu HG and Wu ZQ designed the report; Miao SX collected the patient’s clinical data; </w:t>
      </w:r>
      <w:r w:rsidR="002737B0" w:rsidRPr="00BD4675">
        <w:rPr>
          <w:rFonts w:ascii="Book Antiqua" w:hAnsi="Book Antiqua" w:cs="Book Antiqua"/>
          <w:sz w:val="24"/>
        </w:rPr>
        <w:t>A</w:t>
      </w:r>
      <w:r w:rsidRPr="00BD4675">
        <w:rPr>
          <w:rFonts w:ascii="Book Antiqua" w:hAnsi="Book Antiqua" w:cs="Book Antiqua"/>
          <w:sz w:val="24"/>
        </w:rPr>
        <w:t xml:space="preserve">ll authors participated in </w:t>
      </w:r>
      <w:r w:rsidR="002737B0" w:rsidRPr="00BD4675">
        <w:rPr>
          <w:rFonts w:ascii="Book Antiqua" w:hAnsi="Book Antiqua" w:cs="Book Antiqua"/>
          <w:sz w:val="24"/>
        </w:rPr>
        <w:t xml:space="preserve">the writing of the </w:t>
      </w:r>
      <w:r w:rsidRPr="00BD4675">
        <w:rPr>
          <w:rStyle w:val="a3"/>
          <w:rFonts w:ascii="Book Antiqua" w:hAnsi="Book Antiqua" w:cs="Book Antiqua"/>
          <w:b w:val="0"/>
          <w:bCs/>
          <w:sz w:val="24"/>
        </w:rPr>
        <w:t>manuscript</w:t>
      </w:r>
      <w:r w:rsidRPr="00BD4675">
        <w:rPr>
          <w:rFonts w:ascii="Book Antiqua" w:hAnsi="Book Antiqua" w:cs="Book Antiqua"/>
          <w:sz w:val="24"/>
        </w:rPr>
        <w:t>.</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sz w:val="24"/>
        </w:rPr>
        <w:t>Supported by</w:t>
      </w:r>
      <w:r w:rsidRPr="00BD4675">
        <w:rPr>
          <w:rFonts w:ascii="Book Antiqua" w:hAnsi="Book Antiqua" w:cs="Book Antiqua"/>
          <w:sz w:val="24"/>
        </w:rPr>
        <w:t xml:space="preserve"> Natural Science Foundation of Jiangsu Province of China, No. BK20181492; </w:t>
      </w:r>
      <w:r w:rsidRPr="00BD4675">
        <w:rPr>
          <w:rFonts w:ascii="Book Antiqua" w:eastAsia="宋体" w:hAnsi="Book Antiqua" w:cs="Book Antiqua"/>
          <w:sz w:val="24"/>
        </w:rPr>
        <w:t>t</w:t>
      </w:r>
      <w:r w:rsidRPr="00BD4675">
        <w:rPr>
          <w:rFonts w:ascii="Book Antiqua" w:hAnsi="Book Antiqua" w:cs="Book Antiqua"/>
          <w:sz w:val="24"/>
        </w:rPr>
        <w:t>he National Key Clinical Department of Laboratory Medicine of China in Nanjing, Key laboratory for Laboratory Medicine of Jiangsu Province, No. ZDXKB2016005.</w:t>
      </w:r>
    </w:p>
    <w:p w:rsidR="00FE09F3" w:rsidRPr="00BD4675"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rPr>
          <w:rFonts w:ascii="Book Antiqua" w:hAnsi="Book Antiqua" w:cs="Book Antiqua"/>
          <w:sz w:val="24"/>
        </w:rPr>
      </w:pPr>
      <w:r w:rsidRPr="00BD4675">
        <w:rPr>
          <w:rFonts w:ascii="Book Antiqua" w:hAnsi="Book Antiqua" w:cs="Book Antiqua"/>
          <w:b/>
          <w:bCs/>
          <w:sz w:val="24"/>
        </w:rPr>
        <w:t>Corresponding author:</w:t>
      </w:r>
      <w:r w:rsidRPr="00BD4675">
        <w:rPr>
          <w:rFonts w:ascii="Book Antiqua" w:hAnsi="Book Antiqua" w:cs="Book Antiqua"/>
          <w:sz w:val="24"/>
        </w:rPr>
        <w:t xml:space="preserve"> </w:t>
      </w:r>
      <w:bookmarkStart w:id="9" w:name="OLE_LINK10"/>
      <w:r w:rsidRPr="00BD4675">
        <w:rPr>
          <w:rFonts w:ascii="Book Antiqua" w:hAnsi="Book Antiqua" w:cs="Book Antiqua"/>
          <w:b/>
          <w:bCs/>
          <w:sz w:val="24"/>
        </w:rPr>
        <w:t>Hua-Guo Xu, MD</w:t>
      </w:r>
      <w:bookmarkEnd w:id="9"/>
      <w:r w:rsidRPr="00BD4675">
        <w:rPr>
          <w:rFonts w:ascii="Book Antiqua" w:hAnsi="Book Antiqua" w:cs="Book Antiqua"/>
          <w:b/>
          <w:bCs/>
          <w:sz w:val="24"/>
        </w:rPr>
        <w:t xml:space="preserve">, </w:t>
      </w:r>
      <w:bookmarkStart w:id="10" w:name="OLE_LINK12"/>
      <w:r w:rsidRPr="00BD4675">
        <w:rPr>
          <w:rFonts w:ascii="Book Antiqua" w:hAnsi="Book Antiqua" w:cs="Book Antiqua"/>
          <w:b/>
          <w:bCs/>
          <w:sz w:val="24"/>
        </w:rPr>
        <w:t xml:space="preserve">PhD, </w:t>
      </w:r>
      <w:bookmarkStart w:id="11" w:name="OLE_LINK11"/>
      <w:r w:rsidRPr="00BD4675">
        <w:rPr>
          <w:rFonts w:ascii="Book Antiqua" w:hAnsi="Book Antiqua" w:cs="Book Antiqua"/>
          <w:b/>
          <w:bCs/>
          <w:sz w:val="24"/>
        </w:rPr>
        <w:t>Professor,</w:t>
      </w:r>
      <w:r w:rsidRPr="00BD4675">
        <w:rPr>
          <w:rFonts w:ascii="Book Antiqua" w:hAnsi="Book Antiqua" w:cs="Book Antiqua"/>
          <w:sz w:val="24"/>
        </w:rPr>
        <w:t xml:space="preserve"> </w:t>
      </w:r>
      <w:r w:rsidRPr="00BD4675">
        <w:rPr>
          <w:rFonts w:ascii="Book Antiqua" w:hAnsi="Book Antiqua" w:cs="Book Antiqua"/>
          <w:b/>
          <w:bCs/>
          <w:sz w:val="24"/>
        </w:rPr>
        <w:t>Research Scientist,</w:t>
      </w:r>
      <w:r w:rsidRPr="00BD4675">
        <w:rPr>
          <w:rFonts w:ascii="Book Antiqua" w:hAnsi="Book Antiqua" w:cs="Book Antiqua"/>
          <w:sz w:val="24"/>
        </w:rPr>
        <w:t xml:space="preserve"> Department of Laboratory Medicine, The First Affiliated Hospital, Nanjing Medical University, No. 300 Guangzhou Road, Nanjing 210029, </w:t>
      </w:r>
      <w:bookmarkStart w:id="12" w:name="OLE_LINK2372"/>
      <w:bookmarkStart w:id="13" w:name="OLE_LINK2373"/>
      <w:r w:rsidRPr="00BD4675">
        <w:rPr>
          <w:rFonts w:ascii="Book Antiqua" w:hAnsi="Book Antiqua" w:cs="Book Antiqua"/>
          <w:sz w:val="24"/>
        </w:rPr>
        <w:t>Jiangsu Province</w:t>
      </w:r>
      <w:bookmarkEnd w:id="12"/>
      <w:bookmarkEnd w:id="13"/>
      <w:r w:rsidRPr="00BD4675">
        <w:rPr>
          <w:rFonts w:ascii="Book Antiqua" w:hAnsi="Book Antiqua" w:cs="Book Antiqua"/>
          <w:sz w:val="24"/>
        </w:rPr>
        <w:t xml:space="preserve">, China. </w:t>
      </w:r>
      <w:hyperlink r:id="rId8" w:history="1">
        <w:r w:rsidRPr="0096075B">
          <w:rPr>
            <w:rFonts w:ascii="Book Antiqua" w:hAnsi="Book Antiqua" w:cs="Book Antiqua"/>
            <w:sz w:val="24"/>
          </w:rPr>
          <w:t>huaguoxu@njmu.</w:t>
        </w:r>
        <w:bookmarkStart w:id="14" w:name="_Hlt50016458"/>
        <w:bookmarkStart w:id="15" w:name="_Hlt50016459"/>
        <w:r w:rsidRPr="0096075B">
          <w:rPr>
            <w:rFonts w:ascii="Book Antiqua" w:hAnsi="Book Antiqua" w:cs="Book Antiqua"/>
            <w:sz w:val="24"/>
          </w:rPr>
          <w:t>e</w:t>
        </w:r>
        <w:bookmarkEnd w:id="14"/>
        <w:bookmarkEnd w:id="15"/>
        <w:r w:rsidRPr="0096075B">
          <w:rPr>
            <w:rFonts w:ascii="Book Antiqua" w:hAnsi="Book Antiqua" w:cs="Book Antiqua"/>
            <w:sz w:val="24"/>
          </w:rPr>
          <w:t>du.cn</w:t>
        </w:r>
      </w:hyperlink>
      <w:bookmarkEnd w:id="10"/>
      <w:bookmarkEnd w:id="11"/>
    </w:p>
    <w:p w:rsidR="00FE09F3" w:rsidRPr="0096075B"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Received:</w:t>
      </w:r>
      <w:r w:rsidRPr="0096075B">
        <w:rPr>
          <w:rFonts w:ascii="Book Antiqua" w:hAnsi="Book Antiqua" w:cs="Book Antiqua"/>
          <w:sz w:val="24"/>
        </w:rPr>
        <w:t xml:space="preserve"> July 12, 2020</w:t>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Revised:</w:t>
      </w:r>
      <w:r w:rsidRPr="0096075B">
        <w:rPr>
          <w:rFonts w:ascii="Book Antiqua" w:hAnsi="Book Antiqua" w:cs="Book Antiqua"/>
          <w:sz w:val="24"/>
        </w:rPr>
        <w:t xml:space="preserve"> August 21, 2020</w:t>
      </w:r>
    </w:p>
    <w:p w:rsidR="00FE09F3" w:rsidRPr="00BD4675" w:rsidRDefault="00FE09F3" w:rsidP="0096075B">
      <w:pPr>
        <w:snapToGrid w:val="0"/>
        <w:spacing w:line="360" w:lineRule="auto"/>
        <w:rPr>
          <w:rFonts w:ascii="Book Antiqua" w:hAnsi="Book Antiqua" w:cs="Arial"/>
          <w:sz w:val="24"/>
          <w:shd w:val="clear" w:color="auto" w:fill="FFFFFF"/>
        </w:rPr>
      </w:pPr>
      <w:r w:rsidRPr="00BD4675">
        <w:rPr>
          <w:rFonts w:ascii="Book Antiqua" w:hAnsi="Book Antiqua" w:cs="Book Antiqua"/>
          <w:b/>
          <w:bCs/>
          <w:sz w:val="24"/>
        </w:rPr>
        <w:t>Accepted:</w:t>
      </w:r>
      <w:r w:rsidRPr="00BD4675">
        <w:rPr>
          <w:rFonts w:ascii="Book Antiqua" w:hAnsi="Book Antiqua" w:cs="Book Antiqua"/>
          <w:sz w:val="24"/>
        </w:rPr>
        <w:t xml:space="preserve"> </w:t>
      </w:r>
      <w:r w:rsidR="006925B2" w:rsidRPr="00BD4675">
        <w:rPr>
          <w:rFonts w:ascii="Book Antiqua" w:hAnsi="Book Antiqua" w:cs="Arial"/>
          <w:sz w:val="24"/>
          <w:shd w:val="clear" w:color="auto" w:fill="FFFFFF"/>
        </w:rPr>
        <w:t>September 10, 2020</w:t>
      </w:r>
    </w:p>
    <w:p w:rsidR="00FE09F3" w:rsidRPr="00A333BE" w:rsidRDefault="00FE09F3" w:rsidP="0096075B">
      <w:pPr>
        <w:snapToGrid w:val="0"/>
        <w:spacing w:line="360" w:lineRule="auto"/>
        <w:rPr>
          <w:rFonts w:ascii="Book Antiqua" w:hAnsi="Book Antiqua" w:cs="Book Antiqua"/>
          <w:b/>
          <w:bCs/>
          <w:sz w:val="24"/>
        </w:rPr>
        <w:sectPr w:rsidR="00FE09F3" w:rsidRPr="00A333BE" w:rsidSect="0096075B">
          <w:footerReference w:type="default" r:id="rId9"/>
          <w:pgSz w:w="11906" w:h="16838"/>
          <w:pgMar w:top="1440" w:right="1440" w:bottom="1440" w:left="1440" w:header="850" w:footer="994" w:gutter="0"/>
          <w:cols w:space="720"/>
          <w:docGrid w:type="lines" w:linePitch="312"/>
        </w:sectPr>
      </w:pPr>
      <w:r w:rsidRPr="00BD4675">
        <w:rPr>
          <w:rFonts w:ascii="Book Antiqua" w:hAnsi="Book Antiqua" w:cs="Book Antiqua"/>
          <w:b/>
          <w:bCs/>
          <w:sz w:val="24"/>
        </w:rPr>
        <w:lastRenderedPageBreak/>
        <w:t>Published online</w:t>
      </w:r>
      <w:r w:rsidR="00A333BE">
        <w:rPr>
          <w:rFonts w:ascii="Book Antiqua" w:hAnsi="Book Antiqua" w:cs="Book Antiqua"/>
          <w:b/>
          <w:bCs/>
          <w:sz w:val="24"/>
        </w:rPr>
        <w:t>:</w:t>
      </w:r>
      <w:r w:rsidR="00A333BE">
        <w:rPr>
          <w:rFonts w:ascii="Book Antiqua" w:hAnsi="Book Antiqua" w:cs="Book Antiqua" w:hint="eastAsia"/>
          <w:b/>
          <w:bCs/>
          <w:sz w:val="24"/>
        </w:rPr>
        <w:t xml:space="preserve"> </w:t>
      </w:r>
      <w:r w:rsidR="00A333BE" w:rsidRPr="001B690F">
        <w:rPr>
          <w:rFonts w:ascii="Book Antiqua" w:hAnsi="Book Antiqua" w:cs="Book Antiqua" w:hint="eastAsia"/>
          <w:bCs/>
          <w:sz w:val="24"/>
        </w:rPr>
        <w:t>October 26, 2020</w:t>
      </w:r>
    </w:p>
    <w:p w:rsidR="00FE09F3" w:rsidRPr="0096075B" w:rsidRDefault="00FE09F3" w:rsidP="0096075B">
      <w:pPr>
        <w:snapToGrid w:val="0"/>
        <w:spacing w:line="360" w:lineRule="auto"/>
        <w:rPr>
          <w:rFonts w:ascii="Book Antiqua" w:hAnsi="Book Antiqua" w:cs="Book Antiqua"/>
          <w:b/>
          <w:bCs/>
          <w:sz w:val="24"/>
        </w:rPr>
      </w:pPr>
      <w:r w:rsidRPr="0096075B">
        <w:rPr>
          <w:rFonts w:ascii="Book Antiqua" w:hAnsi="Book Antiqua" w:cs="Book Antiqua"/>
          <w:b/>
          <w:bCs/>
          <w:sz w:val="24"/>
        </w:rPr>
        <w:t>Abstract</w:t>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BACKGROUND</w:t>
      </w:r>
    </w:p>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Hemophagocytic lymphohistiocytosis (HLH) is a rare but life-threatening disorder, characterized by a hyperimmune response. The mortality is high despite progress being made in the diagnosis and treatment of the disease. HLH</w:t>
      </w:r>
      <w:r w:rsidRPr="00BD4675">
        <w:rPr>
          <w:rFonts w:ascii="Book Antiqua" w:hAnsi="Book Antiqua" w:cs="Book Antiqua"/>
          <w:sz w:val="24"/>
        </w:rPr>
        <w:t xml:space="preserve"> is traditionally divided into primary (familial or genetic) and secondary (reactive) according to the etiology. Secondary HLH (sHLH), more common in adults, is often associated with underlying conditions including severe infections, malignancies, autoimmune diseases, or other etiologies.</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CASE SUMMARY</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The case involves a 31-year-old woman, presented with a high persistent fever, rash, and splenomegaly. She met the diagnostic criteria of the HLH-2004 guideline and </w:t>
      </w:r>
      <w:r w:rsidR="00E559A8" w:rsidRPr="00BD4675">
        <w:rPr>
          <w:rFonts w:ascii="Book Antiqua" w:hAnsi="Book Antiqua" w:cs="Book Antiqua"/>
          <w:sz w:val="24"/>
        </w:rPr>
        <w:t xml:space="preserve">thus </w:t>
      </w:r>
      <w:r w:rsidRPr="00BD4675">
        <w:rPr>
          <w:rFonts w:ascii="Book Antiqua" w:hAnsi="Book Antiqua" w:cs="Book Antiqua"/>
          <w:sz w:val="24"/>
        </w:rPr>
        <w:t xml:space="preserve">was diagnosed with HLH, with positive anti-nuclear antibody (ANA) and positive cytomegalovirus (CMV)-DNA. The patient responded well to a combination of immunomodulatory, chemotherapy, and supportive treatments. When her PCR evaluation for CMV turned negative, her serum ferritin also dropped significantly. Her clinical symptoms improved dramatically, and except for ANA, the abnormal laboratory findings associated with HLH returned to normal. Our previous study has shown that the median overall survival of HLH patients is only </w:t>
      </w:r>
      <w:r w:rsidR="007D39A5" w:rsidRPr="00BD4675">
        <w:rPr>
          <w:rFonts w:ascii="Book Antiqua" w:hAnsi="Book Antiqua" w:cs="Book Antiqua"/>
          <w:sz w:val="24"/>
        </w:rPr>
        <w:t xml:space="preserve">6 </w:t>
      </w:r>
      <w:r w:rsidRPr="00BD4675">
        <w:rPr>
          <w:rFonts w:ascii="Book Antiqua" w:hAnsi="Book Antiqua" w:cs="Book Antiqua"/>
          <w:sz w:val="24"/>
        </w:rPr>
        <w:t>mo</w:t>
      </w:r>
      <w:r w:rsidR="007D39A5" w:rsidRPr="00BD4675">
        <w:rPr>
          <w:rFonts w:ascii="Book Antiqua" w:hAnsi="Book Antiqua" w:cs="Book Antiqua"/>
          <w:sz w:val="24"/>
        </w:rPr>
        <w:t>;</w:t>
      </w:r>
      <w:r w:rsidRPr="00BD4675">
        <w:rPr>
          <w:rFonts w:ascii="Book Antiqua" w:hAnsi="Book Antiqua" w:cs="Book Antiqua"/>
          <w:sz w:val="24"/>
        </w:rPr>
        <w:t xml:space="preserve"> however, our patient has been cured and has not presented with any relapse of the disease for </w:t>
      </w:r>
      <w:r w:rsidR="007D39A5" w:rsidRPr="00BD4675">
        <w:rPr>
          <w:rFonts w:ascii="Book Antiqua" w:hAnsi="Book Antiqua" w:cs="Book Antiqua"/>
          <w:sz w:val="24"/>
        </w:rPr>
        <w:t xml:space="preserve">6 </w:t>
      </w:r>
      <w:r w:rsidRPr="00BD4675">
        <w:rPr>
          <w:rFonts w:ascii="Book Antiqua" w:hAnsi="Book Antiqua" w:cs="Book Antiqua"/>
          <w:sz w:val="24"/>
        </w:rPr>
        <w:t>years.</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CONCLUSION</w:t>
      </w:r>
    </w:p>
    <w:p w:rsidR="00FE09F3" w:rsidRPr="00BD4675" w:rsidRDefault="00FE09F3" w:rsidP="0096075B">
      <w:pPr>
        <w:kinsoku w:val="0"/>
        <w:overflowPunct w:val="0"/>
        <w:snapToGrid w:val="0"/>
        <w:spacing w:line="360" w:lineRule="auto"/>
        <w:rPr>
          <w:rFonts w:ascii="Book Antiqua" w:hAnsi="Book Antiqua" w:cs="Book Antiqua"/>
          <w:sz w:val="24"/>
        </w:rPr>
      </w:pPr>
      <w:r w:rsidRPr="00BD4675">
        <w:rPr>
          <w:rFonts w:ascii="Book Antiqua" w:hAnsi="Book Antiqua" w:cs="Book Antiqua"/>
          <w:sz w:val="24"/>
        </w:rPr>
        <w:t xml:space="preserve">This case emphasizes that thorough early removal of the CMV infection is significant for the prognosis of this HLH patient. </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eastAsia="Book Antiqua" w:hAnsi="Book Antiqua" w:cs="Book Antiqua"/>
          <w:b/>
          <w:bCs/>
          <w:sz w:val="24"/>
        </w:rPr>
        <w:t xml:space="preserve">Key </w:t>
      </w:r>
      <w:r w:rsidR="0096075B">
        <w:rPr>
          <w:rFonts w:ascii="Book Antiqua" w:eastAsia="Book Antiqua" w:hAnsi="Book Antiqua" w:cs="Book Antiqua"/>
          <w:b/>
          <w:bCs/>
          <w:sz w:val="24"/>
        </w:rPr>
        <w:t>W</w:t>
      </w:r>
      <w:r w:rsidRPr="00BD4675">
        <w:rPr>
          <w:rFonts w:ascii="Book Antiqua" w:eastAsia="Book Antiqua" w:hAnsi="Book Antiqua" w:cs="Book Antiqua"/>
          <w:b/>
          <w:bCs/>
          <w:sz w:val="24"/>
        </w:rPr>
        <w:t xml:space="preserve">ords: </w:t>
      </w:r>
      <w:r w:rsidRPr="00BD4675">
        <w:rPr>
          <w:rFonts w:ascii="Book Antiqua" w:eastAsia="Book Antiqua" w:hAnsi="Book Antiqua" w:cs="Book Antiqua"/>
          <w:sz w:val="24"/>
        </w:rPr>
        <w:t>Hemophagocytic lymphohistiocytosis; Autoimmune abnormalities; Cytomegalovirus; Anti-nuclear antibody; Serum ferritin; Case report</w:t>
      </w:r>
    </w:p>
    <w:p w:rsidR="00FE09F3" w:rsidRPr="00BD4675" w:rsidRDefault="00FE09F3" w:rsidP="0096075B">
      <w:pPr>
        <w:snapToGrid w:val="0"/>
        <w:spacing w:line="360" w:lineRule="auto"/>
        <w:rPr>
          <w:rFonts w:ascii="Book Antiqua" w:eastAsia="Book Antiqua" w:hAnsi="Book Antiqua" w:cs="Book Antiqua"/>
          <w:sz w:val="24"/>
        </w:rPr>
      </w:pPr>
    </w:p>
    <w:p w:rsidR="00381C83" w:rsidRDefault="006510D0" w:rsidP="0096075B">
      <w:pPr>
        <w:snapToGrid w:val="0"/>
        <w:spacing w:line="360" w:lineRule="auto"/>
        <w:rPr>
          <w:rFonts w:ascii="Book Antiqua" w:hAnsi="Book Antiqua" w:hint="eastAsia"/>
          <w:color w:val="000000"/>
        </w:rPr>
      </w:pPr>
      <w:r w:rsidRPr="006510D0">
        <w:rPr>
          <w:rFonts w:ascii="Book Antiqua" w:eastAsiaTheme="minorEastAsia" w:hAnsi="Book Antiqua" w:cs="Book Antiqua" w:hint="eastAsia"/>
          <w:b/>
          <w:sz w:val="24"/>
        </w:rPr>
        <w:t xml:space="preserve">Citation: </w:t>
      </w:r>
      <w:r w:rsidR="00FE09F3" w:rsidRPr="00BD4675">
        <w:rPr>
          <w:rFonts w:ascii="Book Antiqua" w:eastAsia="Book Antiqua" w:hAnsi="Book Antiqua" w:cs="Book Antiqua"/>
          <w:sz w:val="24"/>
        </w:rPr>
        <w:t xml:space="preserve">Miao SX, Wu ZQ, Xu HG. Systemic autoimmune abnormalities complicated by cytomegalovirus-induced hemophagocytic lymphohistiocytosis: A case report. </w:t>
      </w:r>
      <w:r w:rsidR="00FE09F3" w:rsidRPr="00BD4675">
        <w:rPr>
          <w:rFonts w:ascii="Book Antiqua" w:eastAsia="Book Antiqua" w:hAnsi="Book Antiqua" w:cs="Book Antiqua"/>
          <w:i/>
          <w:iCs/>
          <w:sz w:val="24"/>
        </w:rPr>
        <w:t>World J Clin Cases</w:t>
      </w:r>
      <w:r w:rsidR="00FE09F3" w:rsidRPr="00BD4675">
        <w:rPr>
          <w:rFonts w:ascii="Book Antiqua" w:eastAsia="Book Antiqua" w:hAnsi="Book Antiqua" w:cs="Book Antiqua"/>
          <w:sz w:val="24"/>
        </w:rPr>
        <w:t xml:space="preserve"> 2020; </w:t>
      </w:r>
      <w:r w:rsidR="00A333BE" w:rsidRPr="001B690F">
        <w:rPr>
          <w:rFonts w:ascii="Book Antiqua" w:hAnsi="Book Antiqua"/>
          <w:color w:val="000000"/>
        </w:rPr>
        <w:t>8(</w:t>
      </w:r>
      <w:r w:rsidR="00A333BE" w:rsidRPr="001B690F">
        <w:rPr>
          <w:rFonts w:ascii="Book Antiqua" w:hAnsi="Book Antiqua" w:hint="eastAsia"/>
          <w:color w:val="000000"/>
        </w:rPr>
        <w:t>20</w:t>
      </w:r>
      <w:r w:rsidR="00A333BE" w:rsidRPr="001B690F">
        <w:rPr>
          <w:rFonts w:ascii="Book Antiqua" w:hAnsi="Book Antiqua"/>
          <w:color w:val="000000"/>
        </w:rPr>
        <w:t xml:space="preserve">): </w:t>
      </w:r>
      <w:r w:rsidR="00B362BE" w:rsidRPr="00B362BE">
        <w:rPr>
          <w:rFonts w:ascii="Book Antiqua" w:hAnsi="Book Antiqua"/>
          <w:color w:val="000000"/>
        </w:rPr>
        <w:t>4946-4952</w:t>
      </w:r>
      <w:r w:rsidR="00A333BE" w:rsidRPr="001B690F">
        <w:rPr>
          <w:rFonts w:ascii="Book Antiqua" w:hAnsi="Book Antiqua"/>
          <w:color w:val="000000"/>
        </w:rPr>
        <w:t xml:space="preserve">  </w:t>
      </w:r>
    </w:p>
    <w:p w:rsidR="00381C83" w:rsidRDefault="00A333BE" w:rsidP="0096075B">
      <w:pPr>
        <w:snapToGrid w:val="0"/>
        <w:spacing w:line="360" w:lineRule="auto"/>
        <w:rPr>
          <w:rFonts w:ascii="Book Antiqua" w:hAnsi="Book Antiqua" w:hint="eastAsia"/>
          <w:color w:val="000000"/>
        </w:rPr>
      </w:pPr>
      <w:r w:rsidRPr="00BA3A5B">
        <w:rPr>
          <w:rFonts w:ascii="Book Antiqua" w:hAnsi="Book Antiqua"/>
          <w:b/>
          <w:color w:val="000000"/>
        </w:rPr>
        <w:t>URL:</w:t>
      </w:r>
      <w:r w:rsidRPr="001B690F">
        <w:rPr>
          <w:rFonts w:ascii="Book Antiqua" w:hAnsi="Book Antiqua"/>
          <w:color w:val="000000"/>
        </w:rPr>
        <w:t xml:space="preserve"> https://www.wjgnet.com/2307-8960/full/v8/i</w:t>
      </w:r>
      <w:r w:rsidRPr="001B690F">
        <w:rPr>
          <w:rFonts w:ascii="Book Antiqua" w:hAnsi="Book Antiqua" w:hint="eastAsia"/>
          <w:color w:val="000000"/>
        </w:rPr>
        <w:t>20</w:t>
      </w:r>
      <w:r w:rsidRPr="001B690F">
        <w:rPr>
          <w:rFonts w:ascii="Book Antiqua" w:hAnsi="Book Antiqua"/>
          <w:color w:val="000000"/>
        </w:rPr>
        <w:t>/</w:t>
      </w:r>
      <w:r w:rsidR="00B362BE">
        <w:rPr>
          <w:rFonts w:ascii="Book Antiqua" w:hAnsi="Book Antiqua" w:hint="eastAsia"/>
          <w:color w:val="000000"/>
        </w:rPr>
        <w:t>4946</w:t>
      </w:r>
      <w:r w:rsidRPr="001B690F">
        <w:rPr>
          <w:rFonts w:ascii="Book Antiqua" w:hAnsi="Book Antiqua"/>
          <w:color w:val="000000"/>
        </w:rPr>
        <w:t xml:space="preserve">.htm  </w:t>
      </w:r>
    </w:p>
    <w:p w:rsidR="00FE09F3" w:rsidRPr="0096075B" w:rsidRDefault="00A333BE" w:rsidP="0096075B">
      <w:pPr>
        <w:snapToGrid w:val="0"/>
        <w:spacing w:line="360" w:lineRule="auto"/>
        <w:rPr>
          <w:rFonts w:ascii="Book Antiqua" w:hAnsi="Book Antiqua" w:cs="Book Antiqua"/>
          <w:sz w:val="24"/>
        </w:rPr>
      </w:pPr>
      <w:bookmarkStart w:id="16" w:name="_GoBack"/>
      <w:r w:rsidRPr="00BA3A5B">
        <w:rPr>
          <w:rFonts w:ascii="Book Antiqua" w:hAnsi="Book Antiqua"/>
          <w:b/>
          <w:color w:val="000000"/>
        </w:rPr>
        <w:t xml:space="preserve">DOI: </w:t>
      </w:r>
      <w:bookmarkEnd w:id="16"/>
      <w:r w:rsidRPr="001B690F">
        <w:rPr>
          <w:rFonts w:ascii="Book Antiqua" w:hAnsi="Book Antiqua"/>
          <w:color w:val="000000"/>
        </w:rPr>
        <w:t>https://dx.doi.org/10.12998/wjcc.v8.i</w:t>
      </w:r>
      <w:r w:rsidRPr="001B690F">
        <w:rPr>
          <w:rFonts w:ascii="Book Antiqua" w:hAnsi="Book Antiqua" w:hint="eastAsia"/>
          <w:color w:val="000000"/>
        </w:rPr>
        <w:t>20</w:t>
      </w:r>
      <w:r w:rsidRPr="001B690F">
        <w:rPr>
          <w:rFonts w:ascii="Book Antiqua" w:hAnsi="Book Antiqua"/>
          <w:color w:val="000000"/>
        </w:rPr>
        <w:t>.</w:t>
      </w:r>
      <w:r w:rsidR="00B362BE">
        <w:rPr>
          <w:rFonts w:ascii="Book Antiqua" w:hAnsi="Book Antiqua" w:hint="eastAsia"/>
          <w:color w:val="000000"/>
        </w:rPr>
        <w:t>4946</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tabs>
          <w:tab w:val="left" w:pos="523"/>
        </w:tabs>
        <w:snapToGrid w:val="0"/>
        <w:spacing w:line="360" w:lineRule="auto"/>
        <w:rPr>
          <w:rFonts w:ascii="Book Antiqua" w:hAnsi="Book Antiqua" w:cs="Book Antiqua"/>
          <w:sz w:val="24"/>
        </w:rPr>
      </w:pPr>
      <w:r w:rsidRPr="00BD4675">
        <w:rPr>
          <w:rFonts w:ascii="Book Antiqua" w:hAnsi="Book Antiqua" w:cs="Book Antiqua"/>
          <w:b/>
          <w:bCs/>
          <w:sz w:val="24"/>
        </w:rPr>
        <w:t xml:space="preserve">Core </w:t>
      </w:r>
      <w:r w:rsidR="0096075B">
        <w:rPr>
          <w:rFonts w:ascii="Book Antiqua" w:hAnsi="Book Antiqua" w:cs="Book Antiqua"/>
          <w:b/>
          <w:bCs/>
          <w:sz w:val="24"/>
        </w:rPr>
        <w:t>T</w:t>
      </w:r>
      <w:r w:rsidRPr="00BD4675">
        <w:rPr>
          <w:rFonts w:ascii="Book Antiqua" w:hAnsi="Book Antiqua" w:cs="Book Antiqua"/>
          <w:b/>
          <w:bCs/>
          <w:sz w:val="24"/>
        </w:rPr>
        <w:t>ip:</w:t>
      </w:r>
      <w:r w:rsidRPr="00BD4675">
        <w:rPr>
          <w:rFonts w:ascii="Book Antiqua" w:hAnsi="Book Antiqua" w:cs="Book Antiqua"/>
          <w:sz w:val="24"/>
        </w:rPr>
        <w:t xml:space="preserve"> Hemophagocytic lymphohistiocytosis (HLH) is a rare immune-mediated life-threatening disease. Active HLH develops rapidly, and the mortality rate is high if reasonable and effective interventions are not promptly undertaken. Herein</w:t>
      </w:r>
      <w:r w:rsidR="00931ED8" w:rsidRPr="00BD4675">
        <w:rPr>
          <w:rFonts w:ascii="Book Antiqua" w:hAnsi="Book Antiqua" w:cs="Book Antiqua"/>
          <w:sz w:val="24"/>
        </w:rPr>
        <w:t>,</w:t>
      </w:r>
      <w:r w:rsidRPr="00BD4675">
        <w:rPr>
          <w:rFonts w:ascii="Book Antiqua" w:hAnsi="Book Antiqua" w:cs="Book Antiqua"/>
          <w:sz w:val="24"/>
        </w:rPr>
        <w:t xml:space="preserve"> we report a case of a 31-year-old Chinese woman diagnosed with systemic autoimmune abnormalities complicated by cytomegalovirus (CMV)-induced HLH. The patient has been cured and has not relapsed for </w:t>
      </w:r>
      <w:r w:rsidR="00931ED8" w:rsidRPr="00BD4675">
        <w:rPr>
          <w:rFonts w:ascii="Book Antiqua" w:hAnsi="Book Antiqua" w:cs="Book Antiqua"/>
          <w:sz w:val="24"/>
        </w:rPr>
        <w:t xml:space="preserve">6 </w:t>
      </w:r>
      <w:r w:rsidRPr="00BD4675">
        <w:rPr>
          <w:rFonts w:ascii="Book Antiqua" w:hAnsi="Book Antiqua" w:cs="Book Antiqua"/>
          <w:sz w:val="24"/>
        </w:rPr>
        <w:t>years. This report may act as a reference for HLH therapy in cases positive for anti-nuclear antibody and CMV.</w:t>
      </w:r>
    </w:p>
    <w:p w:rsidR="00FE09F3" w:rsidRPr="00BD4675" w:rsidRDefault="00FE09F3" w:rsidP="0096075B">
      <w:pPr>
        <w:snapToGrid w:val="0"/>
        <w:spacing w:line="360" w:lineRule="auto"/>
        <w:rPr>
          <w:rFonts w:ascii="Book Antiqua" w:hAnsi="Book Antiqua" w:cs="Book Antiqua"/>
          <w:sz w:val="24"/>
        </w:rPr>
        <w:sectPr w:rsidR="00FE09F3" w:rsidRPr="00BD4675" w:rsidSect="0096075B">
          <w:pgSz w:w="11906" w:h="16838"/>
          <w:pgMar w:top="1440" w:right="1440" w:bottom="1440" w:left="1440" w:header="850" w:footer="994" w:gutter="0"/>
          <w:cols w:space="720"/>
          <w:docGrid w:type="lines" w:linePitch="312"/>
        </w:sectPr>
      </w:pP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u w:val="single"/>
        </w:rPr>
        <w:t>INTRODUCTION</w:t>
      </w:r>
    </w:p>
    <w:p w:rsidR="00FE09F3" w:rsidRPr="00BD4675" w:rsidRDefault="00FE09F3" w:rsidP="0096075B">
      <w:pPr>
        <w:tabs>
          <w:tab w:val="left" w:pos="523"/>
        </w:tabs>
        <w:snapToGrid w:val="0"/>
        <w:spacing w:line="360" w:lineRule="auto"/>
        <w:rPr>
          <w:rFonts w:ascii="Book Antiqua" w:hAnsi="Book Antiqua" w:cs="Book Antiqua"/>
          <w:sz w:val="24"/>
        </w:rPr>
      </w:pPr>
      <w:r w:rsidRPr="0096075B">
        <w:rPr>
          <w:rFonts w:ascii="Book Antiqua" w:hAnsi="Book Antiqua" w:cs="Book Antiqua"/>
          <w:sz w:val="24"/>
        </w:rPr>
        <w:t>Hemophagocytic lymphohistiocytosis (HLH), a hyperinflammatory disorder, is characterized by uncontrolled immune cell activation and excessive production of inflammatory cytokines. The continued production of cytokines leads to a dramatic cytokine storm and severe multiorgan injury</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1-3</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Secondary HLH (sHLH) is often associated with a variety of underlying conditions</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4</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with nearly </w:t>
      </w:r>
      <w:r w:rsidR="00931ED8" w:rsidRPr="0096075B">
        <w:rPr>
          <w:rFonts w:ascii="Book Antiqua" w:hAnsi="Book Antiqua" w:cs="Book Antiqua"/>
          <w:sz w:val="24"/>
        </w:rPr>
        <w:t>one</w:t>
      </w:r>
      <w:r w:rsidR="00931ED8" w:rsidRPr="00BD4675">
        <w:rPr>
          <w:rFonts w:ascii="Book Antiqua" w:hAnsi="Book Antiqua" w:cs="Book Antiqua"/>
          <w:sz w:val="24"/>
        </w:rPr>
        <w:t>-</w:t>
      </w:r>
      <w:r w:rsidRPr="00BD4675">
        <w:rPr>
          <w:rFonts w:ascii="Book Antiqua" w:hAnsi="Book Antiqua" w:cs="Book Antiqua"/>
          <w:sz w:val="24"/>
        </w:rPr>
        <w:t>third of the reported cases in adults having more than one underlying cause</w:t>
      </w:r>
      <w:r w:rsidRPr="00BD4675">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5</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Here</w:t>
      </w:r>
      <w:r w:rsidR="00931ED8" w:rsidRPr="0096075B">
        <w:rPr>
          <w:rFonts w:ascii="Book Antiqua" w:hAnsi="Book Antiqua" w:cs="Book Antiqua"/>
          <w:sz w:val="24"/>
        </w:rPr>
        <w:t>,</w:t>
      </w:r>
      <w:r w:rsidRPr="0096075B">
        <w:rPr>
          <w:rFonts w:ascii="Book Antiqua" w:hAnsi="Book Antiqua" w:cs="Book Antiqua"/>
          <w:sz w:val="24"/>
        </w:rPr>
        <w:t xml:space="preserve"> we report a case of systemic autoimmune abnormalities, complicated by cytomegalovirus (CMV)-induced HLH. The patient’s symptoms and laboratory abnormalities </w:t>
      </w:r>
      <w:r w:rsidRPr="00BD4675">
        <w:rPr>
          <w:rFonts w:ascii="Book Antiqua" w:hAnsi="Book Antiqua" w:cs="Book Antiqua"/>
          <w:sz w:val="24"/>
        </w:rPr>
        <w:t xml:space="preserve">improved dramatically once PCR for CMV-DNA turned negative. The patient recovered and did not present any relapse of the HLH for </w:t>
      </w:r>
      <w:r w:rsidR="00931ED8" w:rsidRPr="00BD4675">
        <w:rPr>
          <w:rFonts w:ascii="Book Antiqua" w:hAnsi="Book Antiqua" w:cs="Book Antiqua"/>
          <w:sz w:val="24"/>
        </w:rPr>
        <w:t xml:space="preserve">6 </w:t>
      </w:r>
      <w:r w:rsidRPr="00BD4675">
        <w:rPr>
          <w:rFonts w:ascii="Book Antiqua" w:hAnsi="Book Antiqua" w:cs="Book Antiqua"/>
          <w:sz w:val="24"/>
        </w:rPr>
        <w:t>years.</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sz w:val="24"/>
          <w:u w:val="single"/>
        </w:rPr>
        <w:t>CASE PRESENTATION</w:t>
      </w:r>
    </w:p>
    <w:p w:rsidR="00FE09F3" w:rsidRPr="00BD4675" w:rsidRDefault="00FE09F3" w:rsidP="0096075B">
      <w:pPr>
        <w:snapToGrid w:val="0"/>
        <w:spacing w:line="360" w:lineRule="auto"/>
        <w:rPr>
          <w:rFonts w:ascii="Book Antiqua" w:hAnsi="Book Antiqua" w:cs="Book Antiqua"/>
          <w:b/>
          <w:bCs/>
          <w:i/>
          <w:iCs/>
          <w:sz w:val="24"/>
        </w:rPr>
      </w:pPr>
      <w:r w:rsidRPr="00BD4675">
        <w:rPr>
          <w:rFonts w:ascii="Book Antiqua" w:hAnsi="Book Antiqua" w:cs="Book Antiqua"/>
          <w:b/>
          <w:bCs/>
          <w:i/>
          <w:iCs/>
          <w:sz w:val="24"/>
        </w:rPr>
        <w:t>Chief complaints</w:t>
      </w:r>
    </w:p>
    <w:p w:rsidR="00FE09F3" w:rsidRPr="00BD4675" w:rsidRDefault="00FE09F3" w:rsidP="0096075B">
      <w:pPr>
        <w:tabs>
          <w:tab w:val="left" w:pos="523"/>
        </w:tabs>
        <w:snapToGrid w:val="0"/>
        <w:spacing w:line="360" w:lineRule="auto"/>
        <w:rPr>
          <w:rFonts w:ascii="Book Antiqua" w:hAnsi="Book Antiqua" w:cs="Book Antiqua"/>
          <w:sz w:val="24"/>
        </w:rPr>
      </w:pPr>
      <w:r w:rsidRPr="00BD4675">
        <w:rPr>
          <w:rFonts w:ascii="Book Antiqua" w:hAnsi="Book Antiqua" w:cs="Book Antiqua"/>
          <w:sz w:val="24"/>
        </w:rPr>
        <w:t xml:space="preserve">A 31-year-old woman presented with high fever (38.5 </w:t>
      </w:r>
      <w:r w:rsidR="00E574C3" w:rsidRPr="0096075B">
        <w:rPr>
          <w:rFonts w:ascii="Book Antiqua" w:hAnsi="Book Antiqua" w:cs="Book Antiqua"/>
          <w:sz w:val="24"/>
        </w:rPr>
        <w:t>°C</w:t>
      </w:r>
      <w:r w:rsidRPr="00BD4675">
        <w:rPr>
          <w:rFonts w:ascii="Book Antiqua" w:hAnsi="Book Antiqua" w:cs="Book Antiqua"/>
          <w:sz w:val="24"/>
        </w:rPr>
        <w:t>) and a rash lasting more than 15 d.</w:t>
      </w:r>
    </w:p>
    <w:p w:rsidR="00FE09F3" w:rsidRPr="00BD4675" w:rsidRDefault="00FE09F3" w:rsidP="0096075B">
      <w:pPr>
        <w:tabs>
          <w:tab w:val="left" w:pos="523"/>
        </w:tabs>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b/>
          <w:bCs/>
          <w:i/>
          <w:iCs/>
          <w:sz w:val="24"/>
        </w:rPr>
      </w:pPr>
      <w:r w:rsidRPr="00BD4675">
        <w:rPr>
          <w:rFonts w:ascii="Book Antiqua" w:hAnsi="Book Antiqua" w:cs="Book Antiqua"/>
          <w:b/>
          <w:bCs/>
          <w:i/>
          <w:iCs/>
          <w:sz w:val="24"/>
        </w:rPr>
        <w:t>History of present illness</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The patient was admitted to the Department of Infectious Diseases of our hospital with fever and rash on March 27, 2013. The high fever started half a month earlier, with a peak of 40.5 </w:t>
      </w:r>
      <w:r w:rsidR="00E574C3" w:rsidRPr="0096075B">
        <w:rPr>
          <w:rFonts w:ascii="Book Antiqua" w:hAnsi="Book Antiqua" w:cs="Book Antiqua"/>
          <w:sz w:val="24"/>
        </w:rPr>
        <w:t>°C</w:t>
      </w:r>
      <w:r w:rsidRPr="00BD4675">
        <w:rPr>
          <w:rFonts w:ascii="Book Antiqua" w:hAnsi="Book Antiqua" w:cs="Book Antiqua"/>
          <w:sz w:val="24"/>
        </w:rPr>
        <w:t xml:space="preserve">, and </w:t>
      </w:r>
      <w:r w:rsidR="00E36EF3" w:rsidRPr="0096075B">
        <w:rPr>
          <w:rFonts w:ascii="Book Antiqua" w:hAnsi="Book Antiqua" w:cs="Book Antiqua"/>
          <w:sz w:val="24"/>
        </w:rPr>
        <w:t xml:space="preserve">was </w:t>
      </w:r>
      <w:r w:rsidRPr="0096075B">
        <w:rPr>
          <w:rFonts w:ascii="Book Antiqua" w:hAnsi="Book Antiqua" w:cs="Book Antiqua"/>
          <w:sz w:val="24"/>
        </w:rPr>
        <w:t>not alleviated after taking medications. She visited a hospital, and laboratory results indicated a total white blood cell (WBC) count of 14.92 × 10</w:t>
      </w:r>
      <w:r w:rsidRPr="0096075B">
        <w:rPr>
          <w:rFonts w:ascii="Book Antiqua" w:hAnsi="Book Antiqua" w:cs="Book Antiqua"/>
          <w:sz w:val="24"/>
          <w:vertAlign w:val="superscript"/>
        </w:rPr>
        <w:t>9</w:t>
      </w:r>
      <w:r w:rsidRPr="0096075B">
        <w:rPr>
          <w:rFonts w:ascii="Book Antiqua" w:hAnsi="Book Antiqua" w:cs="Book Antiqua"/>
          <w:sz w:val="24"/>
        </w:rPr>
        <w:t>/L</w:t>
      </w:r>
      <w:r w:rsidR="00A34D1B" w:rsidRPr="0096075B">
        <w:rPr>
          <w:rFonts w:ascii="Book Antiqua" w:hAnsi="Book Antiqua" w:cs="Book Antiqua"/>
          <w:sz w:val="24"/>
        </w:rPr>
        <w:t>,</w:t>
      </w:r>
      <w:r w:rsidRPr="00BD4675">
        <w:rPr>
          <w:rFonts w:ascii="Book Antiqua" w:hAnsi="Book Antiqua" w:cs="Book Antiqua"/>
          <w:sz w:val="24"/>
        </w:rPr>
        <w:t xml:space="preserve"> </w:t>
      </w:r>
      <w:r w:rsidR="00A34D1B" w:rsidRPr="00BD4675">
        <w:rPr>
          <w:rFonts w:ascii="Book Antiqua" w:hAnsi="Book Antiqua" w:cs="Book Antiqua"/>
          <w:sz w:val="24"/>
        </w:rPr>
        <w:t>C</w:t>
      </w:r>
      <w:r w:rsidRPr="00BD4675">
        <w:rPr>
          <w:rFonts w:ascii="Book Antiqua" w:hAnsi="Book Antiqua" w:cs="Book Antiqua"/>
          <w:sz w:val="24"/>
        </w:rPr>
        <w:t>-reactive protein (CRP) level of 54.4 mg/L</w:t>
      </w:r>
      <w:r w:rsidR="00A34D1B" w:rsidRPr="00BD4675">
        <w:rPr>
          <w:rFonts w:ascii="Book Antiqua" w:hAnsi="Book Antiqua" w:cs="Book Antiqua"/>
          <w:sz w:val="24"/>
        </w:rPr>
        <w:t>,</w:t>
      </w:r>
      <w:r w:rsidRPr="00BD4675">
        <w:rPr>
          <w:rFonts w:ascii="Book Antiqua" w:hAnsi="Book Antiqua" w:cs="Book Antiqua"/>
          <w:sz w:val="24"/>
        </w:rPr>
        <w:t xml:space="preserve"> serum ferritin (SF) level of 1534 ng/mL</w:t>
      </w:r>
      <w:r w:rsidR="00A34D1B" w:rsidRPr="00BD4675">
        <w:rPr>
          <w:rFonts w:ascii="Book Antiqua" w:hAnsi="Book Antiqua" w:cs="Book Antiqua"/>
          <w:sz w:val="24"/>
        </w:rPr>
        <w:t>,</w:t>
      </w:r>
      <w:r w:rsidRPr="00BD4675">
        <w:rPr>
          <w:rFonts w:ascii="Book Antiqua" w:hAnsi="Book Antiqua" w:cs="Book Antiqua"/>
          <w:sz w:val="24"/>
        </w:rPr>
        <w:t xml:space="preserve"> and serum albumin (ALB) level of 32.1 g/L. She was initially treated with broad-spectrum antibiotics including </w:t>
      </w:r>
      <w:hyperlink r:id="rId10" w:anchor="/javascript:;" w:history="1">
        <w:r w:rsidRPr="0096075B">
          <w:rPr>
            <w:rFonts w:ascii="Book Antiqua" w:hAnsi="Book Antiqua" w:cs="Book Antiqua"/>
            <w:sz w:val="24"/>
          </w:rPr>
          <w:t>moxifloxacin</w:t>
        </w:r>
      </w:hyperlink>
      <w:r w:rsidRPr="0096075B">
        <w:rPr>
          <w:rFonts w:ascii="Book Antiqua" w:hAnsi="Book Antiqua" w:cs="Book Antiqua"/>
          <w:sz w:val="24"/>
        </w:rPr>
        <w:t xml:space="preserve"> </w:t>
      </w:r>
      <w:hyperlink r:id="rId11" w:anchor="/javascript:;" w:history="1">
        <w:r w:rsidRPr="0096075B">
          <w:rPr>
            <w:rFonts w:ascii="Book Antiqua" w:hAnsi="Book Antiqua" w:cs="Book Antiqua"/>
            <w:sz w:val="24"/>
          </w:rPr>
          <w:t>hydrochloride</w:t>
        </w:r>
      </w:hyperlink>
      <w:r w:rsidRPr="0096075B">
        <w:rPr>
          <w:rFonts w:ascii="Book Antiqua" w:hAnsi="Book Antiqua" w:cs="Book Antiqua"/>
          <w:sz w:val="24"/>
        </w:rPr>
        <w:t xml:space="preserve">, cefoperazone sodium, and sulbactam sodium. The duration and specific dosage of the drugs are not known. The treatment resulted in only minimal improvement in her symptoms. She was </w:t>
      </w:r>
      <w:r w:rsidRPr="00BD4675">
        <w:rPr>
          <w:rFonts w:ascii="Book Antiqua" w:hAnsi="Book Antiqua" w:cs="Book Antiqua"/>
          <w:sz w:val="24"/>
        </w:rPr>
        <w:t xml:space="preserve">referred to our hospital for further care. </w:t>
      </w:r>
    </w:p>
    <w:p w:rsidR="004D6703" w:rsidRPr="00BD4675" w:rsidRDefault="004D670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i/>
          <w:iCs/>
          <w:sz w:val="24"/>
        </w:rPr>
        <w:t>History of past illnesses</w:t>
      </w:r>
    </w:p>
    <w:p w:rsidR="00FE09F3" w:rsidRPr="00BD4675" w:rsidRDefault="00FE09F3" w:rsidP="0096075B">
      <w:pPr>
        <w:tabs>
          <w:tab w:val="left" w:pos="523"/>
        </w:tabs>
        <w:snapToGrid w:val="0"/>
        <w:spacing w:line="360" w:lineRule="auto"/>
        <w:rPr>
          <w:rFonts w:ascii="Book Antiqua" w:hAnsi="Book Antiqua" w:cs="Book Antiqua"/>
          <w:sz w:val="24"/>
        </w:rPr>
      </w:pPr>
      <w:r w:rsidRPr="00BD4675">
        <w:rPr>
          <w:rFonts w:ascii="Book Antiqua" w:hAnsi="Book Antiqua" w:cs="Book Antiqua"/>
          <w:sz w:val="24"/>
        </w:rPr>
        <w:t>The patient reported a history of one normal pregnancy. She denied any history of chronic illness, infectious diseases, surgical procedures, or drug allergies.</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b/>
          <w:bCs/>
          <w:i/>
          <w:iCs/>
          <w:sz w:val="24"/>
        </w:rPr>
      </w:pPr>
      <w:r w:rsidRPr="00BD4675">
        <w:rPr>
          <w:rFonts w:ascii="Book Antiqua" w:hAnsi="Book Antiqua" w:cs="Book Antiqua"/>
          <w:b/>
          <w:bCs/>
          <w:i/>
          <w:iCs/>
          <w:sz w:val="24"/>
        </w:rPr>
        <w:t>Physical examination</w:t>
      </w:r>
    </w:p>
    <w:p w:rsidR="00FE09F3" w:rsidRPr="00BD4675" w:rsidRDefault="00FE09F3" w:rsidP="0096075B">
      <w:pPr>
        <w:tabs>
          <w:tab w:val="left" w:pos="523"/>
        </w:tabs>
        <w:snapToGrid w:val="0"/>
        <w:spacing w:line="360" w:lineRule="auto"/>
        <w:rPr>
          <w:rFonts w:ascii="Book Antiqua" w:hAnsi="Book Antiqua" w:cs="Book Antiqua"/>
          <w:sz w:val="24"/>
        </w:rPr>
      </w:pPr>
      <w:r w:rsidRPr="00BD4675">
        <w:rPr>
          <w:rFonts w:ascii="Book Antiqua" w:hAnsi="Book Antiqua" w:cs="Book Antiqua"/>
          <w:sz w:val="24"/>
        </w:rPr>
        <w:t xml:space="preserve">Upon admission, the patient’s temperature was 38.5 </w:t>
      </w:r>
      <w:r w:rsidR="00667906" w:rsidRPr="0096075B">
        <w:rPr>
          <w:rFonts w:ascii="Book Antiqua" w:hAnsi="Book Antiqua" w:cs="Book Antiqua"/>
          <w:sz w:val="24"/>
        </w:rPr>
        <w:t>°C</w:t>
      </w:r>
      <w:r w:rsidRPr="00BD4675">
        <w:rPr>
          <w:rFonts w:ascii="Book Antiqua" w:hAnsi="Book Antiqua" w:cs="Book Antiqua"/>
          <w:sz w:val="24"/>
        </w:rPr>
        <w:t xml:space="preserve">, heart rate was 72 beats/min, and blood pressure was 122/79 mmHg. A skin rash covered her neck. Lymphadenopathy was not observed. </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i/>
          <w:iCs/>
          <w:sz w:val="24"/>
        </w:rPr>
        <w:t>Laboratory examination</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Laboratory findings on admission revealed a rise in WBC (22.22 × 10</w:t>
      </w:r>
      <w:r w:rsidRPr="00BD4675">
        <w:rPr>
          <w:rFonts w:ascii="Book Antiqua" w:hAnsi="Book Antiqua" w:cs="Book Antiqua"/>
          <w:sz w:val="24"/>
          <w:vertAlign w:val="superscript"/>
        </w:rPr>
        <w:t>9</w:t>
      </w:r>
      <w:r w:rsidRPr="00BD4675">
        <w:rPr>
          <w:rFonts w:ascii="Book Antiqua" w:hAnsi="Book Antiqua" w:cs="Book Antiqua"/>
          <w:sz w:val="24"/>
        </w:rPr>
        <w:t>/L), absolute neutrophil count (ANC) (20.66 × 10</w:t>
      </w:r>
      <w:r w:rsidRPr="00BD4675">
        <w:rPr>
          <w:rFonts w:ascii="Book Antiqua" w:hAnsi="Book Antiqua" w:cs="Book Antiqua"/>
          <w:sz w:val="24"/>
          <w:vertAlign w:val="superscript"/>
        </w:rPr>
        <w:t>9</w:t>
      </w:r>
      <w:r w:rsidRPr="00BD4675">
        <w:rPr>
          <w:rFonts w:ascii="Book Antiqua" w:hAnsi="Book Antiqua" w:cs="Book Antiqua"/>
          <w:sz w:val="24"/>
        </w:rPr>
        <w:t xml:space="preserve">/L), erythrocyte sedimentation rate (78 mm/h), CRP (96 mg/L), and SF (1300.9 ng/mL). The level of </w:t>
      </w:r>
      <w:bookmarkStart w:id="17" w:name="OLE_LINK1780"/>
      <w:bookmarkStart w:id="18" w:name="OLE_LINK1781"/>
      <w:r w:rsidRPr="00BD4675">
        <w:rPr>
          <w:rFonts w:ascii="Book Antiqua" w:hAnsi="Book Antiqua" w:cs="Book Antiqua"/>
          <w:sz w:val="24"/>
        </w:rPr>
        <w:t>serum calcium</w:t>
      </w:r>
      <w:bookmarkEnd w:id="17"/>
      <w:bookmarkEnd w:id="18"/>
      <w:r w:rsidRPr="00BD4675">
        <w:rPr>
          <w:rFonts w:ascii="Book Antiqua" w:hAnsi="Book Antiqua" w:cs="Book Antiqua"/>
          <w:sz w:val="24"/>
        </w:rPr>
        <w:t xml:space="preserve"> (</w:t>
      </w:r>
      <w:r w:rsidR="00F211EB" w:rsidRPr="00BD4675">
        <w:rPr>
          <w:rFonts w:ascii="Book Antiqua" w:hAnsi="Book Antiqua" w:cs="Book Antiqua"/>
          <w:sz w:val="24"/>
        </w:rPr>
        <w:t>C</w:t>
      </w:r>
      <w:r w:rsidRPr="00BD4675">
        <w:rPr>
          <w:rFonts w:ascii="Book Antiqua" w:hAnsi="Book Antiqua" w:cs="Book Antiqua"/>
          <w:sz w:val="24"/>
        </w:rPr>
        <w:t>A) dropped (2.01 mmol/L). Indicators of her liver function also showed abnormalities: alanine aminotransferase (ALT) 55.8 U/L and ALB 31.5 g/L. The patient tested positive for anti-nuclear antibody (ANA) (titer higher than 1:320), although other antibodies including anti-</w:t>
      </w:r>
      <w:r w:rsidR="00E574C3" w:rsidRPr="00BD4675">
        <w:rPr>
          <w:rFonts w:ascii="Book Antiqua" w:hAnsi="Book Antiqua" w:cs="Book Antiqua"/>
          <w:sz w:val="24"/>
        </w:rPr>
        <w:t>ribonucleoprotein</w:t>
      </w:r>
      <w:r w:rsidRPr="00BD4675">
        <w:rPr>
          <w:rFonts w:ascii="Book Antiqua" w:hAnsi="Book Antiqua" w:cs="Book Antiqua"/>
          <w:sz w:val="24"/>
        </w:rPr>
        <w:t xml:space="preserve"> antibody, anti-SS-A antibody, anti-DNA antibody, anti-Sm</w:t>
      </w:r>
      <w:r w:rsidR="00E574C3" w:rsidRPr="00BD4675">
        <w:rPr>
          <w:rFonts w:ascii="Book Antiqua" w:hAnsi="Book Antiqua" w:cs="Book Antiqua"/>
          <w:sz w:val="24"/>
        </w:rPr>
        <w:t>ith</w:t>
      </w:r>
      <w:r w:rsidRPr="00BD4675">
        <w:rPr>
          <w:rFonts w:ascii="Book Antiqua" w:hAnsi="Book Antiqua" w:cs="Book Antiqua"/>
          <w:sz w:val="24"/>
        </w:rPr>
        <w:t xml:space="preserve"> antibody, and antiphospholipid antibody were negative.</w:t>
      </w:r>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b/>
          <w:bCs/>
          <w:i/>
          <w:iCs/>
          <w:sz w:val="24"/>
        </w:rPr>
      </w:pPr>
      <w:r w:rsidRPr="00BD4675">
        <w:rPr>
          <w:rFonts w:ascii="Book Antiqua" w:hAnsi="Book Antiqua" w:cs="Book Antiqua"/>
          <w:b/>
          <w:bCs/>
          <w:i/>
          <w:iCs/>
          <w:sz w:val="24"/>
        </w:rPr>
        <w:t>Imaging examination</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Splenomegaly was observed on abdominal computed tomographic images.</w:t>
      </w:r>
    </w:p>
    <w:p w:rsidR="00FE09F3" w:rsidRPr="00BD4675"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rPr>
          <w:rFonts w:ascii="Book Antiqua" w:hAnsi="Book Antiqua" w:cs="Book Antiqua"/>
          <w:sz w:val="24"/>
        </w:rPr>
      </w:pPr>
      <w:bookmarkStart w:id="19" w:name="OLE_LINK1"/>
      <w:r w:rsidRPr="00BD4675">
        <w:rPr>
          <w:rFonts w:ascii="Book Antiqua" w:eastAsia="Book Antiqua" w:hAnsi="Book Antiqua" w:cs="Book Antiqua"/>
          <w:b/>
          <w:caps/>
          <w:sz w:val="24"/>
          <w:u w:val="single"/>
        </w:rPr>
        <w:t>MULTIDISCIPLINARY EXPERT CONSULTATION</w:t>
      </w:r>
    </w:p>
    <w:p w:rsidR="00FE09F3" w:rsidRPr="00BD4675" w:rsidRDefault="00FE09F3" w:rsidP="0096075B">
      <w:pPr>
        <w:snapToGrid w:val="0"/>
        <w:spacing w:line="360" w:lineRule="auto"/>
        <w:rPr>
          <w:rFonts w:ascii="Book Antiqua" w:hAnsi="Book Antiqua" w:cs="Book Antiqua"/>
          <w:sz w:val="24"/>
        </w:rPr>
      </w:pPr>
      <w:r w:rsidRPr="00BD4675">
        <w:rPr>
          <w:rFonts w:ascii="Book Antiqua" w:eastAsia="Book Antiqua" w:hAnsi="Book Antiqua" w:cs="Book Antiqua"/>
          <w:sz w:val="24"/>
        </w:rPr>
        <w:t xml:space="preserve">After </w:t>
      </w:r>
      <w:r w:rsidR="00667906" w:rsidRPr="0096075B">
        <w:rPr>
          <w:rFonts w:ascii="Book Antiqua" w:eastAsia="Book Antiqua" w:hAnsi="Book Antiqua" w:cs="Book Antiqua"/>
          <w:sz w:val="24"/>
        </w:rPr>
        <w:t>5 d</w:t>
      </w:r>
      <w:r w:rsidRPr="0096075B">
        <w:rPr>
          <w:rFonts w:ascii="Book Antiqua" w:eastAsia="Book Antiqua" w:hAnsi="Book Antiqua" w:cs="Book Antiqua"/>
          <w:sz w:val="24"/>
        </w:rPr>
        <w:t xml:space="preserve"> of anti-infective treatment, the patient</w:t>
      </w:r>
      <w:r w:rsidR="00667906" w:rsidRPr="0096075B">
        <w:rPr>
          <w:rFonts w:ascii="Book Antiqua" w:eastAsia="Book Antiqua" w:hAnsi="Book Antiqua" w:cs="Book Antiqua"/>
          <w:sz w:val="24"/>
        </w:rPr>
        <w:t>’</w:t>
      </w:r>
      <w:r w:rsidRPr="0096075B">
        <w:rPr>
          <w:rFonts w:ascii="Book Antiqua" w:eastAsia="Book Antiqua" w:hAnsi="Book Antiqua" w:cs="Book Antiqua"/>
          <w:sz w:val="24"/>
        </w:rPr>
        <w:t>s temperature increased, peaking at 40.8</w:t>
      </w:r>
      <w:r w:rsidRPr="0096075B">
        <w:rPr>
          <w:rFonts w:ascii="Book Antiqua" w:eastAsia="宋体" w:hAnsi="Book Antiqua" w:cs="Book Antiqua"/>
          <w:sz w:val="24"/>
        </w:rPr>
        <w:t xml:space="preserve"> </w:t>
      </w:r>
      <w:r w:rsidR="00667906" w:rsidRPr="0096075B">
        <w:rPr>
          <w:rFonts w:ascii="Book Antiqua" w:hAnsi="Book Antiqua" w:cs="Book Antiqua"/>
          <w:sz w:val="24"/>
        </w:rPr>
        <w:t>°C</w:t>
      </w:r>
      <w:r w:rsidRPr="00BD4675">
        <w:rPr>
          <w:rFonts w:ascii="Book Antiqua" w:eastAsia="Book Antiqua" w:hAnsi="Book Antiqua" w:cs="Book Antiqua"/>
          <w:sz w:val="24"/>
        </w:rPr>
        <w:t>.</w:t>
      </w:r>
      <w:r w:rsidRPr="00BD4675">
        <w:rPr>
          <w:rFonts w:ascii="Book Antiqua" w:eastAsia="宋体" w:hAnsi="Book Antiqua" w:cs="Book Antiqua"/>
          <w:sz w:val="24"/>
        </w:rPr>
        <w:t xml:space="preserve"> </w:t>
      </w:r>
      <w:r w:rsidRPr="00BD4675">
        <w:rPr>
          <w:rFonts w:ascii="Book Antiqua" w:eastAsia="Book Antiqua" w:hAnsi="Book Antiqua" w:cs="Book Antiqua"/>
          <w:sz w:val="24"/>
        </w:rPr>
        <w:t>To investigate</w:t>
      </w:r>
      <w:r w:rsidRPr="00BD4675">
        <w:rPr>
          <w:rFonts w:ascii="Book Antiqua" w:eastAsia="宋体" w:hAnsi="Book Antiqua" w:cs="Book Antiqua"/>
          <w:sz w:val="24"/>
        </w:rPr>
        <w:t xml:space="preserve"> </w:t>
      </w:r>
      <w:r w:rsidRPr="00BD4675">
        <w:rPr>
          <w:rFonts w:ascii="Book Antiqua" w:eastAsia="Book Antiqua" w:hAnsi="Book Antiqua" w:cs="Book Antiqua"/>
          <w:sz w:val="24"/>
        </w:rPr>
        <w:t>the persistent</w:t>
      </w:r>
      <w:r w:rsidRPr="00BD4675">
        <w:rPr>
          <w:rFonts w:ascii="Book Antiqua" w:eastAsia="宋体" w:hAnsi="Book Antiqua" w:cs="Book Antiqua"/>
          <w:sz w:val="24"/>
        </w:rPr>
        <w:t xml:space="preserve"> </w:t>
      </w:r>
      <w:r w:rsidRPr="00BD4675">
        <w:rPr>
          <w:rFonts w:ascii="Book Antiqua" w:eastAsia="Book Antiqua" w:hAnsi="Book Antiqua" w:cs="Book Antiqua"/>
          <w:sz w:val="24"/>
        </w:rPr>
        <w:t>high fever cause, the patient underwent a bone marrow aspiration</w:t>
      </w:r>
      <w:r w:rsidRPr="00BD4675">
        <w:rPr>
          <w:rFonts w:ascii="Book Antiqua" w:eastAsia="宋体" w:hAnsi="Book Antiqua" w:cs="Book Antiqua"/>
          <w:sz w:val="24"/>
        </w:rPr>
        <w:t xml:space="preserve"> </w:t>
      </w:r>
      <w:r w:rsidRPr="00BD4675">
        <w:rPr>
          <w:rFonts w:ascii="Book Antiqua" w:eastAsia="Book Antiqua" w:hAnsi="Book Antiqua" w:cs="Book Antiqua"/>
          <w:sz w:val="24"/>
        </w:rPr>
        <w:t>on the 7</w:t>
      </w:r>
      <w:r w:rsidRPr="00BD4675">
        <w:rPr>
          <w:rFonts w:ascii="Book Antiqua" w:eastAsia="Book Antiqua" w:hAnsi="Book Antiqua" w:cs="Book Antiqua"/>
          <w:sz w:val="24"/>
          <w:vertAlign w:val="superscript"/>
        </w:rPr>
        <w:t>th</w:t>
      </w:r>
      <w:r w:rsidRPr="00BD4675">
        <w:rPr>
          <w:rFonts w:ascii="Book Antiqua" w:eastAsia="宋体" w:hAnsi="Book Antiqua" w:cs="Book Antiqua"/>
          <w:sz w:val="24"/>
        </w:rPr>
        <w:t xml:space="preserve"> </w:t>
      </w:r>
      <w:r w:rsidRPr="00BD4675">
        <w:rPr>
          <w:rFonts w:ascii="Book Antiqua" w:eastAsia="Book Antiqua" w:hAnsi="Book Antiqua" w:cs="Book Antiqua"/>
          <w:sz w:val="24"/>
        </w:rPr>
        <w:t>d from admission (day 7). It</w:t>
      </w:r>
      <w:r w:rsidRPr="00BD4675">
        <w:rPr>
          <w:rFonts w:ascii="Book Antiqua" w:eastAsia="宋体" w:hAnsi="Book Antiqua" w:cs="Book Antiqua"/>
          <w:sz w:val="24"/>
        </w:rPr>
        <w:t xml:space="preserve"> </w:t>
      </w:r>
      <w:r w:rsidRPr="00BD4675">
        <w:rPr>
          <w:rFonts w:ascii="Book Antiqua" w:eastAsia="Book Antiqua" w:hAnsi="Book Antiqua" w:cs="Book Antiqua"/>
          <w:sz w:val="24"/>
        </w:rPr>
        <w:t>generally showed normal features</w:t>
      </w:r>
      <w:r w:rsidRPr="00BD4675">
        <w:rPr>
          <w:rFonts w:ascii="Book Antiqua" w:eastAsia="宋体" w:hAnsi="Book Antiqua" w:cs="Book Antiqua"/>
          <w:sz w:val="24"/>
        </w:rPr>
        <w:t xml:space="preserve"> </w:t>
      </w:r>
      <w:r w:rsidRPr="00BD4675">
        <w:rPr>
          <w:rFonts w:ascii="Book Antiqua" w:eastAsia="Book Antiqua" w:hAnsi="Book Antiqua" w:cs="Book Antiqua"/>
          <w:sz w:val="24"/>
        </w:rPr>
        <w:t>without significant hemophagocytosis (Figure</w:t>
      </w:r>
      <w:r w:rsidRPr="00BD4675">
        <w:rPr>
          <w:rFonts w:ascii="Book Antiqua" w:eastAsia="宋体" w:hAnsi="Book Antiqua" w:cs="Book Antiqua"/>
          <w:sz w:val="24"/>
        </w:rPr>
        <w:t xml:space="preserve"> </w:t>
      </w:r>
      <w:r w:rsidRPr="00BD4675">
        <w:rPr>
          <w:rFonts w:ascii="Book Antiqua" w:eastAsia="Book Antiqua" w:hAnsi="Book Antiqua" w:cs="Book Antiqua"/>
          <w:sz w:val="24"/>
        </w:rPr>
        <w:t>1).</w:t>
      </w:r>
      <w:r w:rsidRPr="00BD4675">
        <w:rPr>
          <w:rFonts w:ascii="Book Antiqua" w:eastAsia="宋体" w:hAnsi="Book Antiqua" w:cs="Book Antiqua"/>
          <w:sz w:val="24"/>
        </w:rPr>
        <w:t xml:space="preserve"> </w:t>
      </w:r>
      <w:r w:rsidRPr="00BD4675">
        <w:rPr>
          <w:rFonts w:ascii="Book Antiqua" w:eastAsia="Book Antiqua" w:hAnsi="Book Antiqua" w:cs="Book Antiqua"/>
          <w:sz w:val="24"/>
        </w:rPr>
        <w:t>On day 14,</w:t>
      </w:r>
      <w:r w:rsidRPr="00BD4675">
        <w:rPr>
          <w:rFonts w:ascii="Book Antiqua" w:eastAsia="宋体" w:hAnsi="Book Antiqua" w:cs="Book Antiqua"/>
          <w:sz w:val="24"/>
        </w:rPr>
        <w:t xml:space="preserve"> </w:t>
      </w:r>
      <w:r w:rsidRPr="00BD4675">
        <w:rPr>
          <w:rFonts w:ascii="Book Antiqua" w:eastAsia="Book Antiqua" w:hAnsi="Book Antiqua" w:cs="Book Antiqua"/>
          <w:sz w:val="24"/>
        </w:rPr>
        <w:t>she developed severe</w:t>
      </w:r>
      <w:r w:rsidRPr="00BD4675">
        <w:rPr>
          <w:rFonts w:ascii="Book Antiqua" w:eastAsia="宋体" w:hAnsi="Book Antiqua" w:cs="Book Antiqua"/>
          <w:sz w:val="24"/>
        </w:rPr>
        <w:t xml:space="preserve"> </w:t>
      </w:r>
      <w:r w:rsidRPr="00BD4675">
        <w:rPr>
          <w:rFonts w:ascii="Book Antiqua" w:eastAsia="Book Antiqua" w:hAnsi="Book Antiqua" w:cs="Book Antiqua"/>
          <w:sz w:val="24"/>
        </w:rPr>
        <w:t>pancytopenia, with hemoglobin</w:t>
      </w:r>
      <w:r w:rsidRPr="00BD4675">
        <w:rPr>
          <w:rFonts w:ascii="Book Antiqua" w:eastAsia="宋体" w:hAnsi="Book Antiqua" w:cs="Book Antiqua"/>
          <w:sz w:val="24"/>
        </w:rPr>
        <w:t xml:space="preserve"> </w:t>
      </w:r>
      <w:r w:rsidRPr="00BD4675">
        <w:rPr>
          <w:rFonts w:ascii="Book Antiqua" w:eastAsia="Book Antiqua" w:hAnsi="Book Antiqua" w:cs="Book Antiqua"/>
          <w:sz w:val="24"/>
        </w:rPr>
        <w:t>(HB)</w:t>
      </w:r>
      <w:r w:rsidRPr="00BD4675">
        <w:rPr>
          <w:rFonts w:ascii="Book Antiqua" w:eastAsia="宋体" w:hAnsi="Book Antiqua" w:cs="Book Antiqua"/>
          <w:sz w:val="24"/>
        </w:rPr>
        <w:t xml:space="preserve"> </w:t>
      </w:r>
      <w:r w:rsidRPr="00BD4675">
        <w:rPr>
          <w:rFonts w:ascii="Book Antiqua" w:eastAsia="Book Antiqua" w:hAnsi="Book Antiqua" w:cs="Book Antiqua"/>
          <w:sz w:val="24"/>
        </w:rPr>
        <w:t>78 g/L and</w:t>
      </w:r>
      <w:r w:rsidRPr="00BD4675">
        <w:rPr>
          <w:rFonts w:ascii="Book Antiqua" w:eastAsia="宋体" w:hAnsi="Book Antiqua" w:cs="Book Antiqua"/>
          <w:sz w:val="24"/>
        </w:rPr>
        <w:t xml:space="preserve"> </w:t>
      </w:r>
      <w:r w:rsidRPr="00BD4675">
        <w:rPr>
          <w:rFonts w:ascii="Book Antiqua" w:eastAsia="Book Antiqua" w:hAnsi="Book Antiqua" w:cs="Book Antiqua"/>
          <w:sz w:val="24"/>
        </w:rPr>
        <w:t>a platelet count</w:t>
      </w:r>
      <w:r w:rsidRPr="00BD4675">
        <w:rPr>
          <w:rFonts w:ascii="Book Antiqua" w:eastAsia="宋体" w:hAnsi="Book Antiqua" w:cs="Book Antiqua"/>
          <w:sz w:val="24"/>
        </w:rPr>
        <w:t xml:space="preserve"> </w:t>
      </w:r>
      <w:r w:rsidRPr="00BD4675">
        <w:rPr>
          <w:rFonts w:ascii="Book Antiqua" w:eastAsia="Book Antiqua" w:hAnsi="Book Antiqua" w:cs="Book Antiqua"/>
          <w:sz w:val="24"/>
        </w:rPr>
        <w:t>(PLT)</w:t>
      </w:r>
      <w:r w:rsidRPr="00BD4675">
        <w:rPr>
          <w:rFonts w:ascii="Book Antiqua" w:eastAsia="宋体" w:hAnsi="Book Antiqua" w:cs="Book Antiqua"/>
          <w:sz w:val="24"/>
        </w:rPr>
        <w:t xml:space="preserve"> </w:t>
      </w:r>
      <w:r w:rsidRPr="00BD4675">
        <w:rPr>
          <w:rFonts w:ascii="Book Antiqua" w:eastAsia="Book Antiqua" w:hAnsi="Book Antiqua" w:cs="Book Antiqua"/>
          <w:sz w:val="24"/>
        </w:rPr>
        <w:t>of 16 × 10</w:t>
      </w:r>
      <w:r w:rsidRPr="00BD4675">
        <w:rPr>
          <w:rFonts w:ascii="Book Antiqua" w:eastAsia="Book Antiqua" w:hAnsi="Book Antiqua" w:cs="Book Antiqua"/>
          <w:sz w:val="24"/>
          <w:vertAlign w:val="superscript"/>
        </w:rPr>
        <w:t>9</w:t>
      </w:r>
      <w:r w:rsidRPr="00BD4675">
        <w:rPr>
          <w:rFonts w:ascii="Book Antiqua" w:eastAsia="Book Antiqua" w:hAnsi="Book Antiqua" w:cs="Book Antiqua"/>
          <w:sz w:val="24"/>
        </w:rPr>
        <w:t>/L. Laboratory evaluation showed low level of fibrinogen</w:t>
      </w:r>
      <w:r w:rsidRPr="00BD4675">
        <w:rPr>
          <w:rFonts w:ascii="Book Antiqua" w:eastAsia="宋体" w:hAnsi="Book Antiqua" w:cs="Book Antiqua"/>
          <w:sz w:val="24"/>
        </w:rPr>
        <w:t xml:space="preserve"> </w:t>
      </w:r>
      <w:r w:rsidRPr="00BD4675">
        <w:rPr>
          <w:rFonts w:ascii="Book Antiqua" w:eastAsia="Book Antiqua" w:hAnsi="Book Antiqua" w:cs="Book Antiqua"/>
          <w:sz w:val="24"/>
        </w:rPr>
        <w:t>(0.3</w:t>
      </w:r>
      <w:r w:rsidRPr="00BD4675">
        <w:rPr>
          <w:rFonts w:ascii="Book Antiqua" w:eastAsia="宋体" w:hAnsi="Book Antiqua" w:cs="Book Antiqua"/>
          <w:sz w:val="24"/>
        </w:rPr>
        <w:t xml:space="preserve"> </w:t>
      </w:r>
      <w:r w:rsidRPr="00BD4675">
        <w:rPr>
          <w:rFonts w:ascii="Book Antiqua" w:eastAsia="Book Antiqua" w:hAnsi="Book Antiqua" w:cs="Book Antiqua"/>
          <w:sz w:val="24"/>
        </w:rPr>
        <w:t>g/L),</w:t>
      </w:r>
      <w:r w:rsidRPr="00BD4675">
        <w:rPr>
          <w:rFonts w:ascii="Book Antiqua" w:eastAsia="宋体" w:hAnsi="Book Antiqua" w:cs="Book Antiqua"/>
          <w:sz w:val="24"/>
        </w:rPr>
        <w:t xml:space="preserve"> </w:t>
      </w:r>
      <w:r w:rsidRPr="00BD4675">
        <w:rPr>
          <w:rFonts w:ascii="Book Antiqua" w:eastAsia="Book Antiqua" w:hAnsi="Book Antiqua" w:cs="Book Antiqua"/>
          <w:sz w:val="24"/>
        </w:rPr>
        <w:t>an</w:t>
      </w:r>
      <w:r w:rsidRPr="00BD4675">
        <w:rPr>
          <w:rFonts w:ascii="Book Antiqua" w:eastAsia="宋体" w:hAnsi="Book Antiqua" w:cs="Book Antiqua"/>
          <w:sz w:val="24"/>
        </w:rPr>
        <w:t xml:space="preserve"> </w:t>
      </w:r>
      <w:r w:rsidRPr="00BD4675">
        <w:rPr>
          <w:rFonts w:ascii="Book Antiqua" w:eastAsia="Book Antiqua" w:hAnsi="Book Antiqua" w:cs="Book Antiqua"/>
          <w:sz w:val="24"/>
        </w:rPr>
        <w:t>increase</w:t>
      </w:r>
      <w:r w:rsidRPr="00BD4675">
        <w:rPr>
          <w:rFonts w:ascii="Book Antiqua" w:eastAsia="宋体" w:hAnsi="Book Antiqua" w:cs="Book Antiqua"/>
          <w:sz w:val="24"/>
        </w:rPr>
        <w:t xml:space="preserve"> </w:t>
      </w:r>
      <w:r w:rsidRPr="00BD4675">
        <w:rPr>
          <w:rFonts w:ascii="Book Antiqua" w:eastAsia="Book Antiqua" w:hAnsi="Book Antiqua" w:cs="Book Antiqua"/>
          <w:sz w:val="24"/>
        </w:rPr>
        <w:t>in</w:t>
      </w:r>
      <w:r w:rsidRPr="00BD4675">
        <w:rPr>
          <w:rFonts w:ascii="Book Antiqua" w:eastAsia="宋体" w:hAnsi="Book Antiqua" w:cs="Book Antiqua"/>
          <w:sz w:val="24"/>
        </w:rPr>
        <w:t xml:space="preserve"> </w:t>
      </w:r>
      <w:r w:rsidRPr="00BD4675">
        <w:rPr>
          <w:rFonts w:ascii="Book Antiqua" w:eastAsia="Book Antiqua" w:hAnsi="Book Antiqua" w:cs="Book Antiqua"/>
          <w:sz w:val="24"/>
        </w:rPr>
        <w:t>SF (&gt;</w:t>
      </w:r>
      <w:r w:rsidRPr="00BD4675">
        <w:rPr>
          <w:rFonts w:ascii="Book Antiqua" w:eastAsia="宋体" w:hAnsi="Book Antiqua" w:cs="Book Antiqua"/>
          <w:sz w:val="24"/>
        </w:rPr>
        <w:t xml:space="preserve"> </w:t>
      </w:r>
      <w:r w:rsidRPr="00BD4675">
        <w:rPr>
          <w:rFonts w:ascii="Book Antiqua" w:eastAsia="Book Antiqua" w:hAnsi="Book Antiqua" w:cs="Book Antiqua"/>
          <w:sz w:val="24"/>
        </w:rPr>
        <w:t>1500</w:t>
      </w:r>
      <w:r w:rsidRPr="00BD4675">
        <w:rPr>
          <w:rFonts w:ascii="Book Antiqua" w:eastAsia="宋体" w:hAnsi="Book Antiqua" w:cs="Book Antiqua"/>
          <w:sz w:val="24"/>
        </w:rPr>
        <w:t xml:space="preserve"> </w:t>
      </w:r>
      <w:r w:rsidRPr="00BD4675">
        <w:rPr>
          <w:rFonts w:ascii="Book Antiqua" w:eastAsia="Book Antiqua" w:hAnsi="Book Antiqua" w:cs="Book Antiqua"/>
          <w:sz w:val="24"/>
        </w:rPr>
        <w:t>ng/mL), and high D-</w:t>
      </w:r>
      <w:r w:rsidR="00A17D4F" w:rsidRPr="0096075B">
        <w:rPr>
          <w:rFonts w:ascii="Book Antiqua" w:eastAsia="Book Antiqua" w:hAnsi="Book Antiqua" w:cs="Book Antiqua"/>
          <w:sz w:val="24"/>
        </w:rPr>
        <w:t>d</w:t>
      </w:r>
      <w:r w:rsidRPr="00BD4675">
        <w:rPr>
          <w:rFonts w:ascii="Book Antiqua" w:eastAsia="Book Antiqua" w:hAnsi="Book Antiqua" w:cs="Book Antiqua"/>
          <w:sz w:val="24"/>
        </w:rPr>
        <w:t>imer (&gt;</w:t>
      </w:r>
      <w:r w:rsidRPr="00BD4675">
        <w:rPr>
          <w:rFonts w:ascii="Book Antiqua" w:eastAsia="宋体" w:hAnsi="Book Antiqua" w:cs="Book Antiqua"/>
          <w:sz w:val="24"/>
        </w:rPr>
        <w:t xml:space="preserve"> </w:t>
      </w:r>
      <w:r w:rsidRPr="00BD4675">
        <w:rPr>
          <w:rFonts w:ascii="Book Antiqua" w:eastAsia="Book Antiqua" w:hAnsi="Book Antiqua" w:cs="Book Antiqua"/>
          <w:sz w:val="24"/>
        </w:rPr>
        <w:t>40</w:t>
      </w:r>
      <w:r w:rsidRPr="00BD4675">
        <w:rPr>
          <w:rFonts w:ascii="Book Antiqua" w:eastAsia="宋体" w:hAnsi="Book Antiqua" w:cs="Book Antiqua"/>
          <w:sz w:val="24"/>
        </w:rPr>
        <w:t xml:space="preserve"> </w:t>
      </w:r>
      <w:r w:rsidRPr="00BD4675">
        <w:rPr>
          <w:rFonts w:ascii="Book Antiqua" w:eastAsia="Book Antiqua" w:hAnsi="Book Antiqua" w:cs="Book Antiqua"/>
          <w:sz w:val="24"/>
        </w:rPr>
        <w:t>mg/L). To further confirm the diagnosis, we performed a</w:t>
      </w:r>
      <w:r w:rsidRPr="00BD4675">
        <w:rPr>
          <w:rFonts w:ascii="Book Antiqua" w:eastAsia="宋体" w:hAnsi="Book Antiqua" w:cs="Book Antiqua"/>
          <w:sz w:val="24"/>
        </w:rPr>
        <w:t xml:space="preserve"> </w:t>
      </w:r>
      <w:r w:rsidRPr="00BD4675">
        <w:rPr>
          <w:rFonts w:ascii="Book Antiqua" w:eastAsia="Book Antiqua" w:hAnsi="Book Antiqua" w:cs="Book Antiqua"/>
          <w:sz w:val="24"/>
        </w:rPr>
        <w:t>second bone marrow aspiration,</w:t>
      </w:r>
      <w:r w:rsidRPr="00BD4675">
        <w:rPr>
          <w:rFonts w:ascii="Book Antiqua" w:eastAsia="宋体" w:hAnsi="Book Antiqua" w:cs="Book Antiqua"/>
          <w:sz w:val="24"/>
        </w:rPr>
        <w:t xml:space="preserve"> </w:t>
      </w:r>
      <w:r w:rsidRPr="00BD4675">
        <w:rPr>
          <w:rFonts w:ascii="Book Antiqua" w:eastAsia="Book Antiqua" w:hAnsi="Book Antiqua" w:cs="Book Antiqua"/>
          <w:sz w:val="24"/>
        </w:rPr>
        <w:t>which revealed elevated blood cell phagocytosis</w:t>
      </w:r>
      <w:r w:rsidRPr="00BD4675">
        <w:rPr>
          <w:rFonts w:ascii="Book Antiqua" w:eastAsia="宋体" w:hAnsi="Book Antiqua" w:cs="Book Antiqua"/>
          <w:sz w:val="24"/>
        </w:rPr>
        <w:t xml:space="preserve"> </w:t>
      </w:r>
      <w:r w:rsidRPr="00BD4675">
        <w:rPr>
          <w:rFonts w:ascii="Book Antiqua" w:eastAsia="Book Antiqua" w:hAnsi="Book Antiqua" w:cs="Book Antiqua"/>
          <w:sz w:val="24"/>
        </w:rPr>
        <w:t>(Figure</w:t>
      </w:r>
      <w:r w:rsidRPr="00BD4675">
        <w:rPr>
          <w:rFonts w:ascii="Book Antiqua" w:eastAsia="宋体" w:hAnsi="Book Antiqua" w:cs="Book Antiqua"/>
          <w:sz w:val="24"/>
        </w:rPr>
        <w:t xml:space="preserve"> </w:t>
      </w:r>
      <w:r w:rsidRPr="00BD4675">
        <w:rPr>
          <w:rFonts w:ascii="Book Antiqua" w:eastAsia="Book Antiqua" w:hAnsi="Book Antiqua" w:cs="Book Antiqua"/>
          <w:sz w:val="24"/>
        </w:rPr>
        <w:t>2).</w:t>
      </w:r>
      <w:r w:rsidRPr="00BD4675">
        <w:rPr>
          <w:rFonts w:ascii="Book Antiqua" w:eastAsia="宋体" w:hAnsi="Book Antiqua" w:cs="Book Antiqua"/>
          <w:sz w:val="24"/>
        </w:rPr>
        <w:t xml:space="preserve"> </w:t>
      </w:r>
      <w:r w:rsidRPr="00BD4675">
        <w:rPr>
          <w:rFonts w:ascii="Book Antiqua" w:eastAsia="Book Antiqua" w:hAnsi="Book Antiqua" w:cs="Book Antiqua"/>
          <w:sz w:val="24"/>
        </w:rPr>
        <w:t>Subsequent PCR evaluation found CMV-DNA at a concentration of 1.74</w:t>
      </w:r>
      <w:r w:rsidRPr="00BD4675">
        <w:rPr>
          <w:rFonts w:ascii="Book Antiqua" w:eastAsia="宋体" w:hAnsi="Book Antiqua" w:cs="Book Antiqua"/>
          <w:sz w:val="24"/>
        </w:rPr>
        <w:t xml:space="preserve"> </w:t>
      </w:r>
      <w:r w:rsidRPr="00BD4675">
        <w:rPr>
          <w:rFonts w:ascii="Book Antiqua" w:eastAsia="Book Antiqua" w:hAnsi="Book Antiqua" w:cs="Book Antiqua"/>
          <w:sz w:val="24"/>
        </w:rPr>
        <w:t>× 10</w:t>
      </w:r>
      <w:r w:rsidRPr="00BD4675">
        <w:rPr>
          <w:rFonts w:ascii="Book Antiqua" w:eastAsia="Book Antiqua" w:hAnsi="Book Antiqua" w:cs="Book Antiqua"/>
          <w:sz w:val="24"/>
          <w:vertAlign w:val="superscript"/>
        </w:rPr>
        <w:t>3</w:t>
      </w:r>
      <w:r w:rsidRPr="00BD4675">
        <w:rPr>
          <w:rFonts w:ascii="Book Antiqua" w:eastAsia="Book Antiqua" w:hAnsi="Book Antiqua" w:cs="Book Antiqua"/>
          <w:sz w:val="24"/>
        </w:rPr>
        <w:t>/mL,</w:t>
      </w:r>
      <w:r w:rsidRPr="00BD4675">
        <w:rPr>
          <w:rFonts w:ascii="Book Antiqua" w:eastAsia="宋体" w:hAnsi="Book Antiqua" w:cs="Book Antiqua"/>
          <w:sz w:val="24"/>
        </w:rPr>
        <w:t xml:space="preserve"> </w:t>
      </w:r>
      <w:r w:rsidRPr="00BD4675">
        <w:rPr>
          <w:rFonts w:ascii="Book Antiqua" w:eastAsia="Book Antiqua" w:hAnsi="Book Antiqua" w:cs="Book Antiqua"/>
          <w:sz w:val="24"/>
        </w:rPr>
        <w:t>indicating the presence of systemic CMV infection.</w:t>
      </w:r>
      <w:bookmarkEnd w:id="19"/>
    </w:p>
    <w:p w:rsidR="00FE09F3" w:rsidRPr="00BD4675"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b/>
          <w:bCs/>
          <w:sz w:val="24"/>
          <w:u w:val="single"/>
        </w:rPr>
      </w:pPr>
      <w:r w:rsidRPr="00BD4675">
        <w:rPr>
          <w:rFonts w:ascii="Book Antiqua" w:hAnsi="Book Antiqua" w:cs="Book Antiqua"/>
          <w:b/>
          <w:bCs/>
          <w:sz w:val="24"/>
          <w:u w:val="single"/>
        </w:rPr>
        <w:t>FINAL DIAGNOSIS</w:t>
      </w:r>
    </w:p>
    <w:p w:rsidR="00FE09F3" w:rsidRPr="0096075B"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With high fever, splenomegaly, pancytopenia (HB 78 g/L, PLT 16 × 10</w:t>
      </w:r>
      <w:r w:rsidRPr="00BD4675">
        <w:rPr>
          <w:rFonts w:ascii="Book Antiqua" w:hAnsi="Book Antiqua" w:cs="Book Antiqua"/>
          <w:sz w:val="24"/>
          <w:vertAlign w:val="superscript"/>
        </w:rPr>
        <w:t>9</w:t>
      </w:r>
      <w:r w:rsidRPr="00BD4675">
        <w:rPr>
          <w:rFonts w:ascii="Book Antiqua" w:hAnsi="Book Antiqua" w:cs="Book Antiqua"/>
          <w:sz w:val="24"/>
        </w:rPr>
        <w:t>/L), hyperferritinemia (&gt; 1500 ng/mL), hypertriglyceridemia (fasting, 13.08 mmol/L), hypofibrinogenemia (0.3 g/L), and hemophagocytosis in the bone marrow, the patient met the diagnostic criteria for HLH according to the HLH-2004 guideline</w:t>
      </w:r>
      <w:r w:rsidR="00A17D4F" w:rsidRPr="0096075B">
        <w:rPr>
          <w:rFonts w:ascii="Book Antiqua" w:hAnsi="Book Antiqua" w:cs="Book Antiqua"/>
          <w:sz w:val="24"/>
        </w:rPr>
        <w:t>s</w:t>
      </w:r>
      <w:r w:rsidRPr="0096075B">
        <w:rPr>
          <w:rFonts w:ascii="Book Antiqua" w:hAnsi="Book Antiqua" w:cs="Book Antiqua"/>
          <w:sz w:val="24"/>
        </w:rPr>
        <w:t xml:space="preserve"> (Table 1)</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&lt;EndNote&gt;&lt;Cite&gt;&lt;Author&gt;Henter&lt;/Author&gt;&lt;Year&gt;2007&lt;/Year&gt;&lt;RecNum&gt;102&lt;/RecNum&gt;&lt;DisplayText&gt;&lt;style face="superscript"&gt;6&lt;/style&gt;&lt;/DisplayText&gt;&lt;record&gt;&lt;rec-number&gt;102&lt;/rec-number&gt;&lt;foreign-keys&gt;&lt;key app="EN" db-id="vzwe92z2lrwzw9edxf2ptxr40zr0erfstddz" timestamp="1585812048"&gt;102&lt;/key&gt;&lt;/foreign-keys&gt;&lt;ref-type name="Journal Article"&gt;17&lt;/ref-type&gt;&lt;contributors&gt;&lt;authors&gt;&lt;author&gt;Henter, J. I.&lt;/author&gt;&lt;author&gt;Horne, A.&lt;/author&gt;&lt;author&gt;Arico, M.&lt;/author&gt;&lt;author&gt;Egeler, R. M.&lt;/author&gt;&lt;author&gt;Filipovich, A. H.&lt;/author&gt;&lt;author&gt;Imashuku, S.&lt;/author&gt;&lt;author&gt;Ladisch, S.&lt;/author&gt;&lt;author&gt;McClain, K.&lt;/author&gt;&lt;author&gt;Webb, D.&lt;/author&gt;&lt;author&gt;Winiarski, J.&lt;/author&gt;&lt;author&gt;Janka, G.&lt;/author&gt;&lt;/authors&gt;&lt;/contributors&gt;&lt;auth-address&gt;Childhood Cancer Research Unit, Department of Woman and Child Health, Karolinska University Hospital, Karolinska Institutet, Stockholm, Sweden. Jan-Inge.Henter@ki.se&lt;/auth-address&gt;&lt;titles&gt;&lt;title&gt;HLH-2004: Diagnostic and therapeutic guidelines for hemophagocytic lymphohistiocytosis&lt;/title&gt;&lt;secondary-title&gt;Pediatr Blood Cancer&lt;/secondary-title&gt;&lt;/titles&gt;&lt;pages&gt;124-31&lt;/pages&gt;&lt;volume&gt;48&lt;/volume&gt;&lt;number&gt;2&lt;/number&gt;&lt;edition&gt;2006/08/29&lt;/edition&gt;&lt;keywords&gt;&lt;keyword&gt;Diagnosis, Differential&lt;/keyword&gt;&lt;keyword&gt;Hematopoietic Stem Cell Transplantation&lt;/keyword&gt;&lt;keyword&gt;Humans&lt;/keyword&gt;&lt;keyword&gt;Lymphohistiocytosis, Hemophagocytic/*diagnosis/drug therapy/*therapy&lt;/keyword&gt;&lt;keyword&gt;Practice Guidelines as Topic&lt;/keyword&gt;&lt;/keywords&gt;&lt;dates&gt;&lt;year&gt;2007&lt;/year&gt;&lt;pub-dates&gt;&lt;date&gt;Feb&lt;/date&gt;&lt;/pub-dates&gt;&lt;/dates&gt;&lt;isbn&gt;1545-5009 (Print)&amp;#xD;1545-5009 (Linking)&lt;/isbn&gt;&lt;accession-num&gt;16937360&lt;/accession-num&gt;&lt;urls&gt;&lt;related-urls&gt;&lt;url&gt;https://www.ncbi.nlm.nih.gov/pubmed/16937360&lt;/url&gt;&lt;/related-urls&gt;&lt;/urls&gt;&lt;electronic-resource-num&gt;10.1002/pbc.21039&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6</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w:t>
      </w:r>
    </w:p>
    <w:p w:rsidR="00FE09F3" w:rsidRPr="0096075B"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u w:val="single"/>
        </w:rPr>
        <w:t>TREATMENT</w:t>
      </w:r>
    </w:p>
    <w:p w:rsidR="00FE09F3" w:rsidRPr="0096075B"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Initially, the patient received broad-spectrum antimicrobial therapy at the local hospital with no noticeable effect. After admission and extensive medical examination, the patient was diagnosed with HLH, induced by systemic autoimmune abnormalities. She was treated with dexamethasone (DEX) and cyclosporine A (CsA) for </w:t>
      </w:r>
      <w:r w:rsidR="00A17D4F" w:rsidRPr="0096075B">
        <w:rPr>
          <w:rFonts w:ascii="Book Antiqua" w:hAnsi="Book Antiqua" w:cs="Book Antiqua"/>
          <w:sz w:val="24"/>
        </w:rPr>
        <w:t>3 d</w:t>
      </w:r>
      <w:r w:rsidRPr="0096075B">
        <w:rPr>
          <w:rFonts w:ascii="Book Antiqua" w:hAnsi="Book Antiqua" w:cs="Book Antiqua"/>
          <w:sz w:val="24"/>
        </w:rPr>
        <w:t xml:space="preserve">. However, her temperature remained around 38 </w:t>
      </w:r>
      <w:r w:rsidR="00A17D4F" w:rsidRPr="0096075B">
        <w:rPr>
          <w:rFonts w:ascii="Book Antiqua" w:hAnsi="Book Antiqua" w:cs="Book Antiqua"/>
          <w:sz w:val="24"/>
        </w:rPr>
        <w:t>°C</w:t>
      </w:r>
      <w:r w:rsidRPr="0096075B">
        <w:rPr>
          <w:rFonts w:ascii="Book Antiqua" w:hAnsi="Book Antiqua" w:cs="Book Antiqua"/>
          <w:sz w:val="24"/>
        </w:rPr>
        <w:t xml:space="preserve">. </w:t>
      </w:r>
      <w:r w:rsidR="00A17D4F" w:rsidRPr="0096075B">
        <w:rPr>
          <w:rFonts w:ascii="Book Antiqua" w:hAnsi="Book Antiqua" w:cs="Book Antiqua"/>
          <w:sz w:val="24"/>
        </w:rPr>
        <w:t>Then s</w:t>
      </w:r>
      <w:r w:rsidRPr="0096075B">
        <w:rPr>
          <w:rFonts w:ascii="Book Antiqua" w:hAnsi="Book Antiqua" w:cs="Book Antiqua"/>
          <w:sz w:val="24"/>
        </w:rPr>
        <w:t xml:space="preserve">he was transferred to the Department of Hematology for further treatment. </w:t>
      </w:r>
      <w:hyperlink r:id="rId12" w:anchor="/javascript:;" w:history="1">
        <w:r w:rsidRPr="0096075B">
          <w:rPr>
            <w:rFonts w:ascii="Book Antiqua" w:hAnsi="Book Antiqua" w:cs="Book Antiqua"/>
            <w:sz w:val="24"/>
          </w:rPr>
          <w:t>Methylprednisolone</w:t>
        </w:r>
      </w:hyperlink>
      <w:r w:rsidRPr="0096075B">
        <w:rPr>
          <w:rFonts w:ascii="Book Antiqua" w:hAnsi="Book Antiqua" w:cs="Book Antiqua"/>
          <w:sz w:val="24"/>
        </w:rPr>
        <w:t xml:space="preserve"> was maintained at 40 mg/d for </w:t>
      </w:r>
      <w:r w:rsidR="00A17D4F" w:rsidRPr="0096075B">
        <w:rPr>
          <w:rFonts w:ascii="Book Antiqua" w:hAnsi="Book Antiqua" w:cs="Book Antiqua"/>
          <w:sz w:val="24"/>
        </w:rPr>
        <w:t xml:space="preserve">1 </w:t>
      </w:r>
      <w:r w:rsidRPr="0096075B">
        <w:rPr>
          <w:rFonts w:ascii="Book Antiqua" w:hAnsi="Book Antiqua" w:cs="Book Antiqua"/>
          <w:sz w:val="24"/>
        </w:rPr>
        <w:t xml:space="preserve">mo. The dose was reduced to 32 mg/d for </w:t>
      </w:r>
      <w:r w:rsidR="00A17D4F" w:rsidRPr="0096075B">
        <w:rPr>
          <w:rFonts w:ascii="Book Antiqua" w:hAnsi="Book Antiqua" w:cs="Book Antiqua"/>
          <w:sz w:val="24"/>
        </w:rPr>
        <w:t>6 d</w:t>
      </w:r>
      <w:r w:rsidRPr="0096075B">
        <w:rPr>
          <w:rFonts w:ascii="Book Antiqua" w:hAnsi="Book Antiqua" w:cs="Book Antiqua"/>
          <w:sz w:val="24"/>
        </w:rPr>
        <w:t xml:space="preserve">. Along with </w:t>
      </w:r>
      <w:bookmarkStart w:id="20" w:name="_Hlt48765960"/>
      <w:bookmarkStart w:id="21" w:name="_Hlt48765959"/>
      <w:r w:rsidRPr="0096075B">
        <w:rPr>
          <w:rFonts w:ascii="Book Antiqua" w:hAnsi="Book Antiqua" w:cs="Book Antiqua"/>
          <w:sz w:val="24"/>
        </w:rPr>
        <w:fldChar w:fldCharType="begin"/>
      </w:r>
      <w:r w:rsidRPr="00BD4675">
        <w:rPr>
          <w:rFonts w:ascii="Book Antiqua" w:hAnsi="Book Antiqua" w:cs="Book Antiqua"/>
          <w:sz w:val="24"/>
        </w:rPr>
        <w:instrText xml:space="preserve"> HYPERLINK "file:///C:/Program%2520Files%2520(x86)/Youdao/Dict/8.5.1.0/resultui/html/index.html" \l "/javascript:;" </w:instrText>
      </w:r>
      <w:r w:rsidRPr="0096075B">
        <w:rPr>
          <w:rFonts w:ascii="Book Antiqua" w:hAnsi="Book Antiqua" w:cs="Book Antiqua"/>
          <w:sz w:val="24"/>
        </w:rPr>
        <w:fldChar w:fldCharType="separate"/>
      </w:r>
      <w:r w:rsidRPr="0096075B">
        <w:rPr>
          <w:rFonts w:ascii="Book Antiqua" w:hAnsi="Book Antiqua" w:cs="Book Antiqua"/>
          <w:sz w:val="24"/>
        </w:rPr>
        <w:t>methylprednisolone</w:t>
      </w:r>
      <w:r w:rsidRPr="0096075B">
        <w:rPr>
          <w:rFonts w:ascii="Book Antiqua" w:hAnsi="Book Antiqua" w:cs="Book Antiqua"/>
          <w:sz w:val="24"/>
        </w:rPr>
        <w:fldChar w:fldCharType="end"/>
      </w:r>
      <w:bookmarkEnd w:id="20"/>
      <w:bookmarkEnd w:id="21"/>
      <w:r w:rsidRPr="0096075B">
        <w:rPr>
          <w:rFonts w:ascii="Book Antiqua" w:hAnsi="Book Antiqua" w:cs="Book Antiqua"/>
          <w:sz w:val="24"/>
        </w:rPr>
        <w:t xml:space="preserve"> therapy, intravenous polyvalent immune globulin (IVIG) was administered for </w:t>
      </w:r>
      <w:r w:rsidR="00A17D4F" w:rsidRPr="0096075B">
        <w:rPr>
          <w:rFonts w:ascii="Book Antiqua" w:hAnsi="Book Antiqua" w:cs="Book Antiqua"/>
          <w:sz w:val="24"/>
        </w:rPr>
        <w:t>6 d</w:t>
      </w:r>
      <w:r w:rsidRPr="0096075B">
        <w:rPr>
          <w:rFonts w:ascii="Book Antiqua" w:hAnsi="Book Antiqua" w:cs="Book Antiqua"/>
          <w:sz w:val="24"/>
        </w:rPr>
        <w:t>. Supportive treatment consisted of granulocyte colony-stimulating factor that was used for the severe neutropenia, antibiotics adjusted to deal with systemic inflammatory response syndrome, and platelet and cryoprecipitate transfusions for coagulation dysfunction. These treatments were effective. When the patient’s temperature returned to normal, she was started on a chemotherapy regimen with cyclophosphamide and vincristine (Figure 3).</w:t>
      </w:r>
    </w:p>
    <w:p w:rsidR="00FE09F3" w:rsidRPr="0096075B"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u w:val="single"/>
        </w:rPr>
        <w:t>OUTCOME AND FOLLOW-UP</w:t>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The patient was discharged after her symptoms</w:t>
      </w:r>
      <w:r w:rsidRPr="00BD4675">
        <w:rPr>
          <w:rFonts w:ascii="Book Antiqua" w:hAnsi="Book Antiqua" w:cs="Book Antiqua"/>
          <w:sz w:val="24"/>
        </w:rPr>
        <w:t xml:space="preserve"> and laboratory abnormalities improved, and she felt better. She was readmitted twice for fever caused by an autoimmune disease on February 26, 2015 and June 3, 2015 (Figure 3). Based on the results of her laboratory tests, the physician ruled out </w:t>
      </w:r>
      <w:r w:rsidR="00ED71F9" w:rsidRPr="0096075B">
        <w:rPr>
          <w:rFonts w:ascii="Book Antiqua" w:hAnsi="Book Antiqua" w:cs="Book Antiqua"/>
          <w:sz w:val="24"/>
        </w:rPr>
        <w:t>systemic lupus erythematosus</w:t>
      </w:r>
      <w:r w:rsidRPr="0096075B">
        <w:rPr>
          <w:rFonts w:ascii="Book Antiqua" w:hAnsi="Book Antiqua" w:cs="Book Antiqua"/>
          <w:sz w:val="24"/>
        </w:rPr>
        <w:t xml:space="preserve">. Her symptoms </w:t>
      </w:r>
      <w:r w:rsidR="00ED71F9" w:rsidRPr="0096075B">
        <w:rPr>
          <w:rFonts w:ascii="Book Antiqua" w:hAnsi="Book Antiqua" w:cs="Book Antiqua"/>
          <w:sz w:val="24"/>
        </w:rPr>
        <w:t xml:space="preserve">were </w:t>
      </w:r>
      <w:r w:rsidRPr="0096075B">
        <w:rPr>
          <w:rFonts w:ascii="Book Antiqua" w:hAnsi="Book Antiqua" w:cs="Book Antiqua"/>
          <w:sz w:val="24"/>
        </w:rPr>
        <w:t xml:space="preserve">relieved after anti-inflammatory and glucocorticoid treatment. The patient was </w:t>
      </w:r>
      <w:r w:rsidR="00ED71F9" w:rsidRPr="0096075B">
        <w:rPr>
          <w:rFonts w:ascii="Book Antiqua" w:hAnsi="Book Antiqua" w:cs="Book Antiqua"/>
          <w:sz w:val="24"/>
        </w:rPr>
        <w:t xml:space="preserve">treated </w:t>
      </w:r>
      <w:r w:rsidRPr="0096075B">
        <w:rPr>
          <w:rFonts w:ascii="Book Antiqua" w:hAnsi="Book Antiqua" w:cs="Book Antiqua"/>
          <w:sz w:val="24"/>
        </w:rPr>
        <w:t xml:space="preserve">with no relapse for </w:t>
      </w:r>
      <w:r w:rsidR="00ED71F9" w:rsidRPr="0096075B">
        <w:rPr>
          <w:rFonts w:ascii="Book Antiqua" w:hAnsi="Book Antiqua" w:cs="Book Antiqua"/>
          <w:sz w:val="24"/>
        </w:rPr>
        <w:t xml:space="preserve">6 </w:t>
      </w:r>
      <w:r w:rsidRPr="0096075B">
        <w:rPr>
          <w:rFonts w:ascii="Book Antiqua" w:hAnsi="Book Antiqua" w:cs="Book Antiqua"/>
          <w:sz w:val="24"/>
        </w:rPr>
        <w:t>years.</w:t>
      </w:r>
    </w:p>
    <w:p w:rsidR="00FE09F3" w:rsidRPr="0096075B" w:rsidRDefault="00FE09F3" w:rsidP="0096075B">
      <w:pPr>
        <w:snapToGrid w:val="0"/>
        <w:spacing w:line="360" w:lineRule="auto"/>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u w:val="single"/>
        </w:rPr>
        <w:t>DISCUSSION</w:t>
      </w:r>
    </w:p>
    <w:p w:rsidR="00FE09F3" w:rsidRPr="0096075B"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In this study, we have reported a case of systemic autoimmune abnormality complicated by CMV-induced HLH, which was successfully treated. The case </w:t>
      </w:r>
      <w:r w:rsidR="004663D2" w:rsidRPr="0096075B">
        <w:rPr>
          <w:rFonts w:ascii="Book Antiqua" w:hAnsi="Book Antiqua" w:cs="Book Antiqua"/>
          <w:sz w:val="24"/>
        </w:rPr>
        <w:t xml:space="preserve">was </w:t>
      </w:r>
      <w:r w:rsidRPr="0096075B">
        <w:rPr>
          <w:rFonts w:ascii="Book Antiqua" w:hAnsi="Book Antiqua" w:cs="Book Antiqua"/>
          <w:sz w:val="24"/>
        </w:rPr>
        <w:t xml:space="preserve">characterized by a notable improvement in the patient’s symptoms and laboratory abnormalities (ANC, HB, PLT, ALT, ALB, and </w:t>
      </w:r>
      <w:r w:rsidR="00E574C3" w:rsidRPr="0096075B">
        <w:rPr>
          <w:rFonts w:ascii="Book Antiqua" w:hAnsi="Book Antiqua" w:cs="Book Antiqua"/>
          <w:sz w:val="24"/>
        </w:rPr>
        <w:t>C</w:t>
      </w:r>
      <w:r w:rsidRPr="00BD4675">
        <w:rPr>
          <w:rFonts w:ascii="Book Antiqua" w:hAnsi="Book Antiqua" w:cs="Book Antiqua"/>
          <w:sz w:val="24"/>
        </w:rPr>
        <w:t xml:space="preserve">A, but not ANA) once the PCR for CMV-DNA became negative. There was no evidence of HLH recurrence for </w:t>
      </w:r>
      <w:r w:rsidR="00944875" w:rsidRPr="0096075B">
        <w:rPr>
          <w:rFonts w:ascii="Book Antiqua" w:hAnsi="Book Antiqua" w:cs="Book Antiqua"/>
          <w:sz w:val="24"/>
        </w:rPr>
        <w:t xml:space="preserve">6 </w:t>
      </w:r>
      <w:r w:rsidRPr="0096075B">
        <w:rPr>
          <w:rFonts w:ascii="Book Antiqua" w:hAnsi="Book Antiqua" w:cs="Book Antiqua"/>
          <w:sz w:val="24"/>
        </w:rPr>
        <w:t>years.</w:t>
      </w:r>
    </w:p>
    <w:p w:rsidR="00DE6402" w:rsidRPr="0096075B" w:rsidRDefault="00FE09F3" w:rsidP="00BD4675">
      <w:pPr>
        <w:snapToGrid w:val="0"/>
        <w:spacing w:line="360" w:lineRule="auto"/>
        <w:ind w:firstLineChars="112" w:firstLine="269"/>
        <w:rPr>
          <w:rFonts w:ascii="Book Antiqua" w:hAnsi="Book Antiqua" w:cs="Book Antiqua"/>
          <w:sz w:val="24"/>
        </w:rPr>
      </w:pPr>
      <w:r w:rsidRPr="0096075B">
        <w:rPr>
          <w:rFonts w:ascii="Book Antiqua" w:hAnsi="Book Antiqua" w:cs="Book Antiqua"/>
          <w:sz w:val="24"/>
        </w:rPr>
        <w:t>In an analysis of data from January 1974 to September 2011 of 2197 adult patients diagnosed with HLH in whom the causes were identified, the disease was related to autoimmune abnormalities in only 12.56% of the patients. Of these, systemic autoimmune diseases accounted for 48%</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5</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Fukaya </w:t>
      </w:r>
      <w:r w:rsidRPr="0096075B">
        <w:rPr>
          <w:rFonts w:ascii="Book Antiqua" w:hAnsi="Book Antiqua" w:cs="Book Antiqua"/>
          <w:i/>
          <w:iCs/>
          <w:sz w:val="24"/>
        </w:rPr>
        <w:t>et al</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7</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analyzed 30 HLH cases related to systemic autoimmune diseases. They found that 27% of them (8/30) were diagnosed </w:t>
      </w:r>
      <w:r w:rsidR="00E233F6" w:rsidRPr="0096075B">
        <w:rPr>
          <w:rFonts w:ascii="Book Antiqua" w:hAnsi="Book Antiqua" w:cs="Book Antiqua"/>
          <w:sz w:val="24"/>
        </w:rPr>
        <w:t xml:space="preserve">with </w:t>
      </w:r>
      <w:r w:rsidRPr="0096075B">
        <w:rPr>
          <w:rFonts w:ascii="Book Antiqua" w:hAnsi="Book Antiqua" w:cs="Book Antiqua"/>
          <w:sz w:val="24"/>
        </w:rPr>
        <w:t>infection-associated HLH, and the mortality rate among the</w:t>
      </w:r>
      <w:r w:rsidR="00E233F6" w:rsidRPr="0096075B">
        <w:rPr>
          <w:rFonts w:ascii="Book Antiqua" w:hAnsi="Book Antiqua" w:cs="Book Antiqua"/>
          <w:sz w:val="24"/>
        </w:rPr>
        <w:t>m</w:t>
      </w:r>
      <w:r w:rsidRPr="0096075B">
        <w:rPr>
          <w:rFonts w:ascii="Book Antiqua" w:hAnsi="Book Antiqua" w:cs="Book Antiqua"/>
          <w:sz w:val="24"/>
        </w:rPr>
        <w:t xml:space="preserve"> was 63% (5/8). The patient in our case was initially treated with empirical antibiotics that were ineffective. When she was considered to have HLH induced by systemic autoimmune abnormalities, treatment with DEX, CsA, methylprednisolone, and IVIG was initiated. The combination of corticosteroids and immunosuppressants was </w:t>
      </w:r>
      <w:r w:rsidR="006A281D" w:rsidRPr="0096075B">
        <w:rPr>
          <w:rFonts w:ascii="Book Antiqua" w:hAnsi="Book Antiqua" w:cs="Book Antiqua"/>
          <w:sz w:val="24"/>
        </w:rPr>
        <w:t xml:space="preserve">found </w:t>
      </w:r>
      <w:r w:rsidRPr="0096075B">
        <w:rPr>
          <w:rFonts w:ascii="Book Antiqua" w:hAnsi="Book Antiqua" w:cs="Book Antiqua"/>
          <w:sz w:val="24"/>
        </w:rPr>
        <w:t>to be more effective than corticosteroids alone when treating autoimmune-associated HLH</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&lt;EndNote&gt;&lt;Cite&gt;&lt;Author&gt;Kumakura&lt;/Author&gt;&lt;Year&gt;2014&lt;/Year&gt;&lt;RecNum&gt;135&lt;/RecNum&gt;&lt;DisplayText&gt;&lt;style face="superscript"&gt;8&lt;/style&gt;&lt;/DisplayText&gt;&lt;record&gt;&lt;rec-number&gt;135&lt;/rec-number&gt;&lt;foreign-keys&gt;&lt;key app="EN" db-id="vzwe92z2lrwzw9edxf2ptxr40zr0erfstddz" timestamp="1592449481"&gt;135&lt;/key&gt;&lt;/foreign-keys&gt;&lt;ref-type name="Journal Article"&gt;17&lt;/ref-type&gt;&lt;contributors&gt;&lt;authors&gt;&lt;author&gt;Kumakura, S.&lt;/author&gt;&lt;author&gt;Murakawa, Y.&lt;/author&gt;&lt;/authors&gt;&lt;/contributors&gt;&lt;auth-address&gt;Shimane University, Izumo, Japan.&lt;/auth-address&gt;&lt;titles&gt;&lt;title&gt;Clinical characteristics and treatment outcomes of autoimmune-associated hemophagocytic syndrome in adults&lt;/title&gt;&lt;secondary-title&gt;Arthritis Rheumatol&lt;/secondary-title&gt;&lt;/titles&gt;&lt;periodical&gt;&lt;full-title&gt;Arthritis Rheumatol&lt;/full-title&gt;&lt;/periodical&gt;&lt;pages&gt;2297-307&lt;/pages&gt;&lt;volume&gt;66&lt;/volume&gt;&lt;number&gt;8&lt;/number&gt;&lt;edition&gt;2014/04/24&lt;/edition&gt;&lt;keywords&gt;&lt;keyword&gt;Adolescent&lt;/keyword&gt;&lt;keyword&gt;Adult&lt;/keyword&gt;&lt;keyword&gt;Aged&lt;/keyword&gt;&lt;keyword&gt;Aged, 80 and over&lt;/keyword&gt;&lt;keyword&gt;Autoimmune Diseases/*diagnosis/*drug therapy&lt;/keyword&gt;&lt;keyword&gt;Female&lt;/keyword&gt;&lt;keyword&gt;Humans&lt;/keyword&gt;&lt;keyword&gt;Lymphohistiocytosis, Hemophagocytic/*diagnosis/*drug therapy/immunology&lt;/keyword&gt;&lt;keyword&gt;Male&lt;/keyword&gt;&lt;keyword&gt;Middle Aged&lt;/keyword&gt;&lt;keyword&gt;Treatment Outcome&lt;/keyword&gt;&lt;keyword&gt;Young Adult&lt;/keyword&gt;&lt;/keywords&gt;&lt;dates&gt;&lt;year&gt;2014&lt;/year&gt;&lt;pub-dates&gt;&lt;date&gt;Aug&lt;/date&gt;&lt;/pub-dates&gt;&lt;/dates&gt;&lt;isbn&gt;2326-5205 (Electronic)&amp;#xD;2326-5191 (Linking)&lt;/isbn&gt;&lt;accession-num&gt;24756912&lt;/accession-num&gt;&lt;urls&gt;&lt;related-urls&gt;&lt;url&gt;https://www.ncbi.nlm.nih.gov/pubmed/24756912&lt;/url&gt;&lt;/related-urls&gt;&lt;/urls&gt;&lt;custom2&gt;PMC4271677&lt;/custom2&gt;&lt;electronic-resource-num&gt;10.1002/art.38672&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8</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The patient responded well to these treatments, but still had occasional fever. She was found to have CMV infection in a subsequent laboratory test.</w:t>
      </w:r>
    </w:p>
    <w:p w:rsidR="00DE6402" w:rsidRPr="0096075B" w:rsidRDefault="00FE09F3" w:rsidP="00BD4675">
      <w:pPr>
        <w:snapToGrid w:val="0"/>
        <w:spacing w:line="360" w:lineRule="auto"/>
        <w:ind w:firstLineChars="112" w:firstLine="269"/>
        <w:rPr>
          <w:rFonts w:ascii="Book Antiqua" w:hAnsi="Book Antiqua" w:cs="Book Antiqua"/>
          <w:sz w:val="24"/>
        </w:rPr>
      </w:pPr>
      <w:r w:rsidRPr="0096075B">
        <w:rPr>
          <w:rFonts w:ascii="Book Antiqua" w:hAnsi="Book Antiqua" w:cs="Book Antiqua"/>
          <w:sz w:val="24"/>
        </w:rPr>
        <w:t>CMV, a member of the herpes virus family, is a known infective agent among children and immunosuppressed patients. There have been reports of HLH induced by CMV infection following pediatric orthotopic liver transplantation and during thiopurine immunosuppressive therapy in patients with inflammatory bowel disease</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9-11</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CMV-related HLH can also be seen during the course of autoimmune diseases such as systemic lupus erythematosus and adult-onset Still’s disease</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12,13</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Based on these reports, CMV infection is thought to be reactivated to trigger HLH. Because our HLH patient was positive for ANA but was not tested for CMV at the first diagnostic effort, it is impossible to speculate whether she was in an immunosuppressive state that caused the CMV infection to revive and stimulate HLH, or whether CMV infection was a primary infection that was one of the triggers of HLH. After combined immunomodulatory, chemotherapy, and supportive treatments, the patient had a complete response, and CMV was tested negative. There was no evidence of HLH relapse for </w:t>
      </w:r>
      <w:r w:rsidR="00096DB6" w:rsidRPr="0096075B">
        <w:rPr>
          <w:rFonts w:ascii="Book Antiqua" w:hAnsi="Book Antiqua" w:cs="Book Antiqua"/>
          <w:sz w:val="24"/>
        </w:rPr>
        <w:t xml:space="preserve">6 </w:t>
      </w:r>
      <w:r w:rsidRPr="0096075B">
        <w:rPr>
          <w:rFonts w:ascii="Book Antiqua" w:hAnsi="Book Antiqua" w:cs="Book Antiqua"/>
          <w:sz w:val="24"/>
        </w:rPr>
        <w:t>years (Table 1).</w:t>
      </w:r>
    </w:p>
    <w:p w:rsidR="00DE6402" w:rsidRPr="0096075B" w:rsidRDefault="00FE09F3" w:rsidP="00BD4675">
      <w:pPr>
        <w:snapToGrid w:val="0"/>
        <w:spacing w:line="360" w:lineRule="auto"/>
        <w:ind w:firstLineChars="112" w:firstLine="269"/>
        <w:rPr>
          <w:rFonts w:ascii="Book Antiqua" w:hAnsi="Book Antiqua" w:cs="Book Antiqua"/>
          <w:sz w:val="24"/>
        </w:rPr>
      </w:pPr>
      <w:r w:rsidRPr="0096075B">
        <w:rPr>
          <w:rFonts w:ascii="Book Antiqua" w:hAnsi="Book Antiqua" w:cs="Book Antiqua"/>
          <w:sz w:val="24"/>
        </w:rPr>
        <w:t>There are no prospective trials to guide HLH treatment in adults due to the complex diversity of the underlying diseases, triggers, and associated symptoms</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&lt;EndNote&gt;&lt;Cite&gt;&lt;Author&gt;Schram&lt;/Author&gt;&lt;Year&gt;2015&lt;/Year&gt;&lt;RecNum&gt;115&lt;/RecNum&gt;&lt;DisplayText&gt;&lt;style face="superscript"&gt;14&lt;/style&gt;&lt;/DisplayText&gt;&lt;record&gt;&lt;rec-number&gt;115&lt;/rec-number&gt;&lt;foreign-keys&gt;&lt;key app="EN" db-id="vzwe92z2lrwzw9edxf2ptxr40zr0erfstddz" timestamp="1585814844"&gt;115&lt;/key&gt;&lt;/foreign-keys&gt;&lt;ref-type name="Journal Article"&gt;17&lt;/ref-type&gt;&lt;contributors&gt;&lt;authors&gt;&lt;author&gt;Schram, A. M.&lt;/author&gt;&lt;author&gt;Berliner, N.&lt;/author&gt;&lt;/authors&gt;&lt;/contributors&gt;&lt;auth-address&gt;Department of Medicine and.&amp;#xD;Department of Medicine and Division of Hematology, Department of Medicine, Brigham and Women&amp;apos;s Hospital, Harvard Medical School, Boston, MA.&lt;/auth-address&gt;&lt;titles&gt;&lt;title&gt;How I treat hemophagocytic lymphohistiocytosis in the adult patient&lt;/title&gt;&lt;secondary-title&gt;Blood&lt;/secondary-title&gt;&lt;/titles&gt;&lt;periodical&gt;&lt;full-title&gt;Blood&lt;/full-title&gt;&lt;/periodical&gt;&lt;pages&gt;2908-14&lt;/pages&gt;&lt;volume&gt;125&lt;/volume&gt;&lt;number&gt;19&lt;/number&gt;&lt;edition&gt;2015/03/12&lt;/edition&gt;&lt;keywords&gt;&lt;keyword&gt;Adult&lt;/keyword&gt;&lt;keyword&gt;Aged&lt;/keyword&gt;&lt;keyword&gt;Female&lt;/keyword&gt;&lt;keyword&gt;Humans&lt;/keyword&gt;&lt;keyword&gt;*Inflammation&lt;/keyword&gt;&lt;keyword&gt;Lymphohistiocytosis, Hemophagocytic/*diagnosis/pathology/*therapy&lt;/keyword&gt;&lt;keyword&gt;Male&lt;/keyword&gt;&lt;keyword&gt;Prognosis&lt;/keyword&gt;&lt;/keywords&gt;&lt;dates&gt;&lt;year&gt;2015&lt;/year&gt;&lt;pub-dates&gt;&lt;date&gt;May 7&lt;/date&gt;&lt;/pub-dates&gt;&lt;/dates&gt;&lt;isbn&gt;1528-0020 (Electronic)&amp;#xD;0006-4971 (Linking)&lt;/isbn&gt;&lt;accession-num&gt;25758828&lt;/accession-num&gt;&lt;urls&gt;&lt;related-urls&gt;&lt;url&gt;https://www.ncbi.nlm.nih.gov/pubmed/25758828&lt;/url&gt;&lt;/related-urls&gt;&lt;/urls&gt;&lt;electronic-resource-num&gt;10.1182/blood-2015-01-551622&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14</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Our patient eventually recovered after treatment based on </w:t>
      </w:r>
      <w:bookmarkStart w:id="22" w:name="OLE_LINK2"/>
      <w:r w:rsidRPr="0096075B">
        <w:rPr>
          <w:rFonts w:ascii="Book Antiqua" w:hAnsi="Book Antiqua" w:cs="Book Antiqua"/>
          <w:sz w:val="24"/>
        </w:rPr>
        <w:t>the HLH-2004 protocol</w:t>
      </w:r>
      <w:bookmarkEnd w:id="22"/>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&lt;EndNote&gt;&lt;Cite&gt;&lt;Author&gt;Henter&lt;/Author&gt;&lt;Year&gt;2007&lt;/Year&gt;&lt;RecNum&gt;102&lt;/RecNum&gt;&lt;DisplayText&gt;&lt;style face="superscript"&gt;6&lt;/style&gt;&lt;/DisplayText&gt;&lt;record&gt;&lt;rec-number&gt;102&lt;/rec-number&gt;&lt;foreign-keys&gt;&lt;key app="EN" db-id="vzwe92z2lrwzw9edxf2ptxr40zr0erfstddz" timestamp="1585812048"&gt;102&lt;/key&gt;&lt;/foreign-keys&gt;&lt;ref-type name="Journal Article"&gt;17&lt;/ref-type&gt;&lt;contributors&gt;&lt;authors&gt;&lt;author&gt;Henter, J. I.&lt;/author&gt;&lt;author&gt;Horne, A.&lt;/author&gt;&lt;author&gt;Arico, M.&lt;/author&gt;&lt;author&gt;Egeler, R. M.&lt;/author&gt;&lt;author&gt;Filipovich, A. H.&lt;/author&gt;&lt;author&gt;Imashuku, S.&lt;/author&gt;&lt;author&gt;Ladisch, S.&lt;/author&gt;&lt;author&gt;McClain, K.&lt;/author&gt;&lt;author&gt;Webb, D.&lt;/author&gt;&lt;author&gt;Winiarski, J.&lt;/author&gt;&lt;author&gt;Janka, G.&lt;/author&gt;&lt;/authors&gt;&lt;/contributors&gt;&lt;auth-address&gt;Childhood Cancer Research Unit, Department of Woman and Child Health, Karolinska University Hospital, Karolinska Institutet, Stockholm, Sweden. Jan-Inge.Henter@ki.se&lt;/auth-address&gt;&lt;titles&gt;&lt;title&gt;HLH-2004: Diagnostic and therapeutic guidelines for hemophagocytic lymphohistiocytosis&lt;/title&gt;&lt;secondary-title&gt;Pediatr Blood Cancer&lt;/secondary-title&gt;&lt;/titles&gt;&lt;pages&gt;124-31&lt;/pages&gt;&lt;volume&gt;48&lt;/volume&gt;&lt;number&gt;2&lt;/number&gt;&lt;edition&gt;2006/08/29&lt;/edition&gt;&lt;keywords&gt;&lt;keyword&gt;Diagnosis, Differential&lt;/keyword&gt;&lt;keyword&gt;Hematopoietic Stem Cell Transplantation&lt;/keyword&gt;&lt;keyword&gt;Humans&lt;/keyword&gt;&lt;keyword&gt;Lymphohistiocytosis, Hemophagocytic/*diagnosis/drug therapy/*therapy&lt;/keyword&gt;&lt;keyword&gt;Practice Guidelines as Topic&lt;/keyword&gt;&lt;/keywords&gt;&lt;dates&gt;&lt;year&gt;2007&lt;/year&gt;&lt;pub-dates&gt;&lt;date&gt;Feb&lt;/date&gt;&lt;/pub-dates&gt;&lt;/dates&gt;&lt;isbn&gt;1545-5009 (Print)&amp;#xD;1545-5009 (Linking)&lt;/isbn&gt;&lt;accession-num&gt;16937360&lt;/accession-num&gt;&lt;urls&gt;&lt;related-urls&gt;&lt;url&gt;https://www.ncbi.nlm.nih.gov/pubmed/16937360&lt;/url&gt;&lt;/related-urls&gt;&lt;/urls&gt;&lt;electronic-resource-num&gt;10.1002/pbc.21039&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6</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our clinical experience, and expert opinion. The patient was initially diagnosed with HLH induced by systemic autoimmune abnormalities and was thus treated with DEX, CsA, methylprednisolone, and IVIG. Considering that the patient </w:t>
      </w:r>
      <w:r w:rsidR="00937347" w:rsidRPr="0096075B">
        <w:rPr>
          <w:rFonts w:ascii="Book Antiqua" w:hAnsi="Book Antiqua" w:cs="Book Antiqua"/>
          <w:sz w:val="24"/>
        </w:rPr>
        <w:t>did</w:t>
      </w:r>
      <w:r w:rsidRPr="00BD4675">
        <w:rPr>
          <w:rFonts w:ascii="Book Antiqua" w:hAnsi="Book Antiqua" w:cs="Book Antiqua"/>
          <w:sz w:val="24"/>
        </w:rPr>
        <w:t xml:space="preserve"> not </w:t>
      </w:r>
      <w:r w:rsidR="00937347" w:rsidRPr="0096075B">
        <w:rPr>
          <w:rFonts w:ascii="Book Antiqua" w:hAnsi="Book Antiqua" w:cs="Book Antiqua"/>
          <w:sz w:val="24"/>
        </w:rPr>
        <w:t xml:space="preserve">have </w:t>
      </w:r>
      <w:r w:rsidRPr="0096075B">
        <w:rPr>
          <w:rFonts w:ascii="Book Antiqua" w:hAnsi="Book Antiqua" w:cs="Book Antiqua"/>
          <w:sz w:val="24"/>
        </w:rPr>
        <w:t>Epstein-Barr virus infection</w:t>
      </w:r>
      <w:r w:rsidR="00937347" w:rsidRPr="0096075B">
        <w:rPr>
          <w:rFonts w:ascii="Book Antiqua" w:hAnsi="Book Antiqua" w:cs="Book Antiqua"/>
          <w:sz w:val="24"/>
        </w:rPr>
        <w:t>-</w:t>
      </w:r>
      <w:r w:rsidRPr="0096075B">
        <w:rPr>
          <w:rFonts w:ascii="Book Antiqua" w:hAnsi="Book Antiqua" w:cs="Book Antiqua"/>
          <w:sz w:val="24"/>
        </w:rPr>
        <w:t>related or lymphoma</w:t>
      </w:r>
      <w:r w:rsidR="00937347" w:rsidRPr="0096075B">
        <w:rPr>
          <w:rFonts w:ascii="Book Antiqua" w:hAnsi="Book Antiqua" w:cs="Book Antiqua"/>
          <w:sz w:val="24"/>
        </w:rPr>
        <w:t>-</w:t>
      </w:r>
      <w:r w:rsidRPr="0096075B">
        <w:rPr>
          <w:rFonts w:ascii="Book Antiqua" w:hAnsi="Book Antiqua" w:cs="Book Antiqua"/>
          <w:sz w:val="24"/>
        </w:rPr>
        <w:t>associated HLH, etoposide was not used</w:t>
      </w:r>
      <w:r w:rsidRPr="0096075B">
        <w:rPr>
          <w:rFonts w:ascii="Book Antiqua" w:hAnsi="Book Antiqua" w:cs="Book Antiqua"/>
          <w:sz w:val="24"/>
          <w:vertAlign w:val="superscript"/>
        </w:rPr>
        <w:t>[3]</w:t>
      </w:r>
      <w:r w:rsidRPr="0096075B">
        <w:rPr>
          <w:rFonts w:ascii="Book Antiqua" w:hAnsi="Book Antiqua" w:cs="Book Antiqua"/>
          <w:sz w:val="24"/>
        </w:rPr>
        <w:t>. Glucocorticoid drugs are predominantly included in initial regimens when treating HLH, regardless of the underlying etiology</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5,15</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CsA is usually used in patients with suspected HLH diagnosis to increase immunosuppression without inducing additional myelotoxicity</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16</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IVIG therapy, first proposed by Freeman </w:t>
      </w:r>
      <w:r w:rsidRPr="0096075B">
        <w:rPr>
          <w:rFonts w:ascii="Book Antiqua" w:hAnsi="Book Antiqua" w:cs="Book Antiqua"/>
          <w:i/>
          <w:iCs/>
          <w:sz w:val="24"/>
        </w:rPr>
        <w:t>et al</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17</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for virus-associated HLH treatment, is often effective in patients diagnosed with HLH in the context of infectious and autoimmune diseases</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&lt;EndNote&gt;&lt;Cite&gt;&lt;Author&gt;Jordan&lt;/Author&gt;&lt;Year&gt;2011&lt;/Year&gt;&lt;RecNum&gt;136&lt;/RecNum&gt;&lt;DisplayText&gt;&lt;style face="superscript"&gt;18&lt;/style&gt;&lt;/DisplayText&gt;&lt;record&gt;&lt;rec-number&gt;136&lt;/rec-number&gt;&lt;foreign-keys&gt;&lt;key app="EN" db-id="vzwe92z2lrwzw9edxf2ptxr40zr0erfstddz" timestamp="1592453307"&gt;136&lt;/key&gt;&lt;/foreign-keys&gt;&lt;ref-type name="Journal Article"&gt;17&lt;/ref-type&gt;&lt;contributors&gt;&lt;authors&gt;&lt;author&gt;Jordan, M. B.&lt;/author&gt;&lt;author&gt;Allen, C. E.&lt;/author&gt;&lt;author&gt;Weitzman, S.&lt;/author&gt;&lt;author&gt;Filipovich, A. H.&lt;/author&gt;&lt;author&gt;McClain, K. L.&lt;/author&gt;&lt;/authors&gt;&lt;/contributors&gt;&lt;auth-address&gt;Divisions of Immunobiology, Cincinnati Children&amp;apos;s Hospital Medical Center, Cincinnati, OH, USA.&lt;/auth-address&gt;&lt;titles&gt;&lt;title&gt;How I treat hemophagocytic lymphohistiocytosis&lt;/title&gt;&lt;secondary-title&gt;Blood&lt;/secondary-title&gt;&lt;/titles&gt;&lt;periodical&gt;&lt;full-title&gt;Blood&lt;/full-title&gt;&lt;/periodical&gt;&lt;pages&gt;4041-52&lt;/pages&gt;&lt;volume&gt;118&lt;/volume&gt;&lt;number&gt;15&lt;/number&gt;&lt;edition&gt;2011/08/11&lt;/edition&gt;&lt;keywords&gt;&lt;keyword&gt;Humans&lt;/keyword&gt;&lt;keyword&gt;Immune System Diseases/blood/*diagnosis/immunology/mortality/*therapy&lt;/keyword&gt;&lt;keyword&gt;Immunotherapy/*methods&lt;/keyword&gt;&lt;keyword&gt;Inflammation/blood/diagnosis/immunology/mortality/therapy&lt;/keyword&gt;&lt;keyword&gt;Lymphohistiocytosis,&lt;/keyword&gt;&lt;keyword&gt;Hemophagocytic/blood/*diagnosis/immunology/mortality/*therapy&lt;/keyword&gt;&lt;/keywords&gt;&lt;dates&gt;&lt;year&gt;2011&lt;/year&gt;&lt;pub-dates&gt;&lt;date&gt;Oct 13&lt;/date&gt;&lt;/pub-dates&gt;&lt;/dates&gt;&lt;isbn&gt;1528-0020 (Electronic)&amp;#xD;0006-4971 (Linking)&lt;/isbn&gt;&lt;accession-num&gt;21828139&lt;/accession-num&gt;&lt;urls&gt;&lt;related-urls&gt;&lt;url&gt;https://www.ncbi.nlm.nih.gov/pubmed/21828139&lt;/url&gt;&lt;/related-urls&gt;&lt;/urls&gt;&lt;custom2&gt;PMC3204727&lt;/custom2&gt;&lt;electronic-resource-num&gt;10.1182/blood-2011-03-278127&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18</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A growing body of data supports the therapeutic effectiveness of IVIG in patients with different causes of HLH</w:t>
      </w:r>
      <w:bookmarkStart w:id="23" w:name="OLE_LINK3"/>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19,20</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bookmarkEnd w:id="23"/>
      <w:r w:rsidRPr="0096075B">
        <w:rPr>
          <w:rFonts w:ascii="Book Antiqua" w:hAnsi="Book Antiqua" w:cs="Book Antiqua"/>
          <w:sz w:val="24"/>
        </w:rPr>
        <w:t>.</w:t>
      </w:r>
    </w:p>
    <w:p w:rsidR="00DE6402" w:rsidRPr="0096075B" w:rsidRDefault="00FE09F3" w:rsidP="00BD4675">
      <w:pPr>
        <w:snapToGrid w:val="0"/>
        <w:spacing w:line="360" w:lineRule="auto"/>
        <w:ind w:firstLineChars="112" w:firstLine="269"/>
        <w:rPr>
          <w:rFonts w:ascii="Book Antiqua" w:hAnsi="Book Antiqua" w:cs="Book Antiqua"/>
          <w:sz w:val="24"/>
        </w:rPr>
      </w:pPr>
      <w:r w:rsidRPr="0096075B">
        <w:rPr>
          <w:rFonts w:ascii="Book Antiqua" w:hAnsi="Book Antiqua" w:cs="Book Antiqua"/>
          <w:sz w:val="24"/>
        </w:rPr>
        <w:t>A very high SF level, one of the diagnostic parameters for HLH, was reported to be a major marker when differentiating between HLH and other systemic processes</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w:instrText>
      </w:r>
      <w:r w:rsidRPr="00BD4675">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EN.CITE.DATA </w:instrText>
      </w:r>
      <w:r w:rsidRPr="00BD4675">
        <w:rPr>
          <w:rFonts w:ascii="Book Antiqua" w:hAnsi="Book Antiqua" w:cs="Book Antiqua"/>
          <w:sz w:val="24"/>
          <w:vertAlign w:val="superscript"/>
        </w:rPr>
        <w:fldChar w:fldCharType="end"/>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21,22</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A recent retrospective observational study of 229 adult HLH patients showed that SF level could be used as an independent prognostic marker in these patients, regardless of the underlying etiology</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&lt;EndNote&gt;&lt;Cite&gt;&lt;Author&gt;Zhou&lt;/Author&gt;&lt;Year&gt;2020&lt;/Year&gt;&lt;RecNum&gt;127&lt;/RecNum&gt;&lt;DisplayText&gt;&lt;style face="superscript"&gt;23&lt;/style&gt;&lt;/DisplayText&gt;&lt;record&gt;&lt;rec-number&gt;127&lt;/rec-number&gt;&lt;foreign-keys&gt;&lt;key app="EN" db-id="vzwe92z2lrwzw9edxf2ptxr40zr0erfstddz" timestamp="1585816488"&gt;127&lt;/key&gt;&lt;/foreign-keys&gt;&lt;ref-type name="Journal Article"&gt;17&lt;/ref-type&gt;&lt;contributors&gt;&lt;authors&gt;&lt;author&gt;Zhou, J.&lt;/author&gt;&lt;author&gt;Zhou, J.&lt;/author&gt;&lt;author&gt;Shen, D. T.&lt;/author&gt;&lt;author&gt;Goyal, H.&lt;/author&gt;&lt;author&gt;Wu, Z. Q.&lt;/author&gt;&lt;author&gt;Xu, H. G.&lt;/author&gt;&lt;/authors&gt;&lt;/contributors&gt;&lt;auth-address&gt;Department of Laboratory Medicine, the First Affiliated Hospital of Nanjing Medical University, Nanjing, Jiangsu, China.&amp;#xD;Department of Internal Medicine, Mercer University School of Medicine, Macon, GA, USA.&amp;#xD;Department of Laboratory Medicine, the First Affiliated Hospital of Nanjing Medical University, Nanjing, Jiangsu, China. qiecho@126.com.&amp;#xD;Department of Laboratory Medicine, the First Affiliated Hospital of Nanjing Medical University, Nanjing, Jiangsu, China. huaguoxu@njmu.edu.cn.&lt;/auth-address&gt;&lt;titles&gt;&lt;title&gt;Development and validation of the prognostic value of ferritin in adult patients with Hemophagocytic Lymphohistiocytosis&lt;/title&gt;&lt;secondary-title&gt;Orphanet J Rare Dis&lt;/secondary-title&gt;&lt;/titles&gt;&lt;pages&gt;71&lt;/pages&gt;&lt;volume&gt;15&lt;/volume&gt;&lt;number&gt;1&lt;/number&gt;&lt;edition&gt;2020/03/14&lt;/edition&gt;&lt;keywords&gt;&lt;keyword&gt;Adult&lt;/keyword&gt;&lt;keyword&gt;Ferritin&lt;/keyword&gt;&lt;keyword&gt;Hemophagocytic Lymphohistiocytosis&lt;/keyword&gt;&lt;keyword&gt;Overall survival&lt;/keyword&gt;&lt;keyword&gt;Prognosis&lt;/keyword&gt;&lt;/keywords&gt;&lt;dates&gt;&lt;year&gt;2020&lt;/year&gt;&lt;pub-dates&gt;&lt;date&gt;Mar 12&lt;/date&gt;&lt;/pub-dates&gt;&lt;/dates&gt;&lt;isbn&gt;1750-1172 (Electronic)&amp;#xD;1750-1172 (Linking)&lt;/isbn&gt;&lt;accession-num&gt;32164748&lt;/accession-num&gt;&lt;urls&gt;&lt;related-urls&gt;&lt;url&gt;https://www.ncbi.nlm.nih.gov/pubmed/32164748&lt;/url&gt;&lt;/related-urls&gt;&lt;/urls&gt;&lt;custom2&gt;PMC7068953&lt;/custom2&gt;&lt;electronic-resource-num&gt;10.1186/s13023-020-1336-6&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23</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After treatment, the patient</w:t>
      </w:r>
      <w:r w:rsidR="00B5204A" w:rsidRPr="0096075B">
        <w:rPr>
          <w:rFonts w:ascii="Book Antiqua" w:hAnsi="Book Antiqua" w:cs="Book Antiqua"/>
          <w:sz w:val="24"/>
        </w:rPr>
        <w:t>’</w:t>
      </w:r>
      <w:r w:rsidRPr="0096075B">
        <w:rPr>
          <w:rFonts w:ascii="Book Antiqua" w:hAnsi="Book Antiqua" w:cs="Book Antiqua"/>
          <w:sz w:val="24"/>
        </w:rPr>
        <w:t xml:space="preserve">s SF level decreased from &gt; 1500 ng/mL to 144.6 ng/mL and did not exceed 500 ng/mL in subsequent tests (Figure 3). CRP is </w:t>
      </w:r>
      <w:r w:rsidRPr="00BD4675">
        <w:rPr>
          <w:rFonts w:ascii="Book Antiqua" w:hAnsi="Book Antiqua" w:cs="Book Antiqua"/>
          <w:sz w:val="24"/>
        </w:rPr>
        <w:t>elevated in 80%-90% of HLH patients, especially in the early stages</w:t>
      </w:r>
      <w:r w:rsidRPr="00BD4675">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&lt;EndNote&gt;&lt;Cite&gt;&lt;Author&gt;Switala&lt;/Author&gt;&lt;Year&gt;2012&lt;/Year&gt;&lt;RecNum&gt;122&lt;/RecNum&gt;&lt;DisplayText&gt;&lt;style face="superscript"&gt;24&lt;/style&gt;&lt;/DisplayText&gt;&lt;record&gt;&lt;rec-number&gt;122&lt;/rec-number&gt;&lt;foreign-keys&gt;&lt;key app="EN" db-id="vzwe92z2lrwzw9edxf2ptxr40zr0erfstddz" timestamp="1585816131"&gt;122&lt;/key&gt;&lt;/foreign-keys&gt;&lt;ref-type name="Journal Article"&gt;17&lt;/ref-type&gt;&lt;contributors&gt;&lt;authors&gt;&lt;author&gt;Switala, J. R.&lt;/author&gt;&lt;author&gt;Hendricks, M.&lt;/author&gt;&lt;author&gt;Davidson, A.&lt;/author&gt;&lt;/authors&gt;&lt;/contributors&gt;&lt;auth-address&gt;Department of Paediatrics, University of Cape Town, South Africa. johnnycashbravo@yahoo.com&lt;/auth-address&gt;&lt;titles&gt;&lt;title&gt;Serum ferritin is a cost-effective laboratory marker for hemophagocytic lymphohistiocytosis in the developing world&lt;/title&gt;&lt;secondary-title&gt;J Pediatr Hematol Oncol&lt;/secondary-title&gt;&lt;/titles&gt;&lt;pages&gt;e89-92&lt;/pages&gt;&lt;volume&gt;34&lt;/volume&gt;&lt;number&gt;3&lt;/number&gt;&lt;edition&gt;2012/02/11&lt;/edition&gt;&lt;keywords&gt;&lt;keyword&gt;Biomarkers/*blood&lt;/keyword&gt;&lt;keyword&gt;Child&lt;/keyword&gt;&lt;keyword&gt;Child, Preschool&lt;/keyword&gt;&lt;keyword&gt;*Cost-Benefit Analysis&lt;/keyword&gt;&lt;keyword&gt;Developing Countries&lt;/keyword&gt;&lt;keyword&gt;Female&lt;/keyword&gt;&lt;keyword&gt;Ferritins/*blood&lt;/keyword&gt;&lt;keyword&gt;Humans&lt;/keyword&gt;&lt;keyword&gt;Infant&lt;/keyword&gt;&lt;keyword&gt;Lymphohistiocytosis, Hemophagocytic/blood/*diagnosis/*economics&lt;/keyword&gt;&lt;keyword&gt;Male&lt;/keyword&gt;&lt;keyword&gt;South Africa&lt;/keyword&gt;&lt;/keywords&gt;&lt;dates&gt;&lt;year&gt;2012&lt;/year&gt;&lt;pub-dates&gt;&lt;date&gt;Apr&lt;/date&gt;&lt;/pub-dates&gt;&lt;/dates&gt;&lt;isbn&gt;1536-3678 (Electronic)&amp;#xD;1077-4114 (Linking)&lt;/isbn&gt;&lt;accession-num&gt;22322940&lt;/accession-num&gt;&lt;urls&gt;&lt;related-urls&gt;&lt;url&gt;https://www.ncbi.nlm.nih.gov/pubmed/22322940&lt;/url&gt;&lt;/related-urls&gt;&lt;/urls&gt;&lt;electronic-resource-num&gt;10.1097/MPH.0b013e31824227b9&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24</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consistent with our results (not shown). Gao </w:t>
      </w:r>
      <w:r w:rsidRPr="0096075B">
        <w:rPr>
          <w:rFonts w:ascii="Book Antiqua" w:hAnsi="Book Antiqua" w:cs="Book Antiqua"/>
          <w:i/>
          <w:iCs/>
          <w:sz w:val="24"/>
        </w:rPr>
        <w:t>et al</w:t>
      </w:r>
      <w:r w:rsidRPr="0096075B">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&lt;EndNote&gt;&lt;Cite&gt;&lt;Author&gt;Gao&lt;/Author&gt;&lt;Year&gt;2017&lt;/Year&gt;&lt;RecNum&gt;128&lt;/RecNum&gt;&lt;DisplayText&gt;&lt;style face="superscript"&gt;25&lt;/style&gt;&lt;/DisplayText&gt;&lt;record&gt;&lt;rec-number&gt;128&lt;/rec-number&gt;&lt;foreign-keys&gt;&lt;key app="EN" db-id="vzwe92z2lrwzw9edxf2ptxr40zr0erfstddz" timestamp="1585816556"&gt;128&lt;/key&gt;&lt;/foreign-keys&gt;&lt;ref-type name="Journal Article"&gt;17&lt;/ref-type&gt;&lt;contributors&gt;&lt;authors&gt;&lt;author&gt;Gao, X.&lt;/author&gt;&lt;author&gt;Qiu, H. X.&lt;/author&gt;&lt;author&gt;Wang, J. J.&lt;/author&gt;&lt;author&gt;Song, M.&lt;/author&gt;&lt;author&gt;Duan, L. M.&lt;/author&gt;&lt;author&gt;Tian, T.&lt;/author&gt;&lt;/authors&gt;&lt;/contributors&gt;&lt;auth-address&gt;Department of Geriatric Hematology, the First Affiliated Hospital of Nanjing Medical University, Jiangsu Province Hospital, Nanjing 210029, China.&lt;/auth-address&gt;&lt;titles&gt;&lt;title&gt;[Clinical significance of serum calcium and albumin in patients with secondary hemophagocytic lymphohistiocytosis]&lt;/title&gt;&lt;secondary-title&gt;Zhonghua Xue Ye Xue Za Zhi&lt;/secondary-title&gt;&lt;/titles&gt;&lt;pages&gt;1031-1035&lt;/pages&gt;&lt;volume&gt;38&lt;/volume&gt;&lt;number&gt;12&lt;/number&gt;&lt;edition&gt;2018/01/25&lt;/edition&gt;&lt;keywords&gt;&lt;keyword&gt;Albumins&lt;/keyword&gt;&lt;keyword&gt;Calcium&lt;/keyword&gt;&lt;keyword&gt;Ferritins&lt;/keyword&gt;&lt;keyword&gt;Humans&lt;/keyword&gt;&lt;keyword&gt;*Lymphohistiocytosis, Hemophagocytic&lt;/keyword&gt;&lt;keyword&gt;Retrospective Studies&lt;/keyword&gt;&lt;keyword&gt;Lymphohistiocytosis, hemophagocytic&lt;/keyword&gt;&lt;keyword&gt;Prognosis&lt;/keyword&gt;&lt;keyword&gt;Serum albumin levels&lt;/keyword&gt;&lt;keyword&gt;Serum calcium concentrations&lt;/keyword&gt;&lt;/keywords&gt;&lt;dates&gt;&lt;year&gt;2017&lt;/year&gt;&lt;pub-dates&gt;&lt;date&gt;Dec 14&lt;/date&gt;&lt;/pub-dates&gt;&lt;/dates&gt;&lt;isbn&gt;0253-2727 (Print)&amp;#xD;0253-2727 (Linking)&lt;/isbn&gt;&lt;accession-num&gt;29365395&lt;/accession-num&gt;&lt;urls&gt;&lt;related-urls&gt;&lt;url&gt;https://www.ncbi.nlm.nih.gov/pubmed/29365395&lt;/url&gt;&lt;/related-urls&gt;&lt;/urls&gt;&lt;electronic-resource-num&gt;10.3760/cma.j.issn.0253-2727.2017.12.005&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25</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demonstrated that ALB and </w:t>
      </w:r>
      <w:r w:rsidR="00B5204A" w:rsidRPr="0096075B">
        <w:rPr>
          <w:rFonts w:ascii="Book Antiqua" w:hAnsi="Book Antiqua" w:cs="Book Antiqua"/>
          <w:sz w:val="24"/>
        </w:rPr>
        <w:t>C</w:t>
      </w:r>
      <w:r w:rsidRPr="0096075B">
        <w:rPr>
          <w:rFonts w:ascii="Book Antiqua" w:hAnsi="Book Antiqua" w:cs="Book Antiqua"/>
          <w:sz w:val="24"/>
        </w:rPr>
        <w:t xml:space="preserve">A levels increase with the recovery from the disease, which was confirmed in our case (Figure 3). </w:t>
      </w:r>
      <w:bookmarkStart w:id="24" w:name="OLE_LINK26"/>
      <w:r w:rsidRPr="0096075B">
        <w:rPr>
          <w:rFonts w:ascii="Book Antiqua" w:hAnsi="Book Antiqua" w:cs="Book Antiqua"/>
          <w:sz w:val="24"/>
        </w:rPr>
        <w:t>This may be the result of a variety of factors, including increased albumin production after liver function recovery, decreased albumin consumption after the disease has improved, and because ALB is a negative acute-phase reactant that decreases with inflammation and normalizes upon recovery.</w:t>
      </w:r>
      <w:bookmarkEnd w:id="24"/>
      <w:r w:rsidRPr="0096075B">
        <w:rPr>
          <w:rFonts w:ascii="Book Antiqua" w:hAnsi="Book Antiqua" w:cs="Book Antiqua"/>
          <w:sz w:val="24"/>
        </w:rPr>
        <w:t xml:space="preserve"> </w:t>
      </w:r>
      <w:r w:rsidR="007C38A8" w:rsidRPr="0096075B">
        <w:rPr>
          <w:rFonts w:ascii="Book Antiqua" w:hAnsi="Book Antiqua" w:cs="Book Antiqua"/>
          <w:sz w:val="24"/>
        </w:rPr>
        <w:t>T</w:t>
      </w:r>
      <w:r w:rsidRPr="00BD4675">
        <w:rPr>
          <w:rFonts w:ascii="Book Antiqua" w:hAnsi="Book Antiqua" w:cs="Book Antiqua"/>
          <w:sz w:val="24"/>
        </w:rPr>
        <w:t>he prognosis of autoimmune- and infection-related HLH is better than other etiologies</w:t>
      </w:r>
      <w:r w:rsidRPr="00BD4675">
        <w:rPr>
          <w:rFonts w:ascii="Book Antiqua" w:hAnsi="Book Antiqua" w:cs="Book Antiqua"/>
          <w:sz w:val="24"/>
          <w:vertAlign w:val="superscript"/>
        </w:rPr>
        <w:t>[</w:t>
      </w:r>
      <w:r w:rsidRPr="0096075B">
        <w:rPr>
          <w:rFonts w:ascii="Book Antiqua" w:hAnsi="Book Antiqua" w:cs="Book Antiqua"/>
          <w:sz w:val="24"/>
          <w:vertAlign w:val="superscript"/>
        </w:rPr>
        <w:fldChar w:fldCharType="begin"/>
      </w:r>
      <w:r w:rsidRPr="00BD4675">
        <w:rPr>
          <w:rFonts w:ascii="Book Antiqua" w:hAnsi="Book Antiqua" w:cs="Book Antiqua"/>
          <w:sz w:val="24"/>
          <w:vertAlign w:val="superscript"/>
        </w:rPr>
        <w:instrText xml:space="preserve"> ADDIN EN.CITE &lt;EndNote&gt;&lt;Cite&gt;&lt;Author&gt;Huang&lt;/Author&gt;&lt;Year&gt;2014&lt;/Year&gt;&lt;RecNum&gt;129&lt;/RecNum&gt;&lt;DisplayText&gt;&lt;style face="superscript"&gt;26&lt;/style&gt;&lt;/DisplayText&gt;&lt;record&gt;&lt;rec-number&gt;129&lt;/rec-number&gt;&lt;foreign-keys&gt;&lt;key app="EN" db-id="vzwe92z2lrwzw9edxf2ptxr40zr0erfstddz" timestamp="1585816614"&gt;129&lt;/key&gt;&lt;/foreign-keys&gt;&lt;ref-type name="Journal Article"&gt;17&lt;/ref-type&gt;&lt;contributors&gt;&lt;authors&gt;&lt;author&gt;Huang, W.&lt;/author&gt;&lt;author&gt;Wang, Y.&lt;/author&gt;&lt;author&gt;Wang, J.&lt;/author&gt;&lt;author&gt;Zhang, J.&lt;/author&gt;&lt;author&gt;Wu, L.&lt;/author&gt;&lt;author&gt;Li, S.&lt;/author&gt;&lt;author&gt;Tang, R.&lt;/author&gt;&lt;author&gt;Zeng, X.&lt;/author&gt;&lt;author&gt;Chen, J.&lt;/author&gt;&lt;author&gt;Pei, R.&lt;/author&gt;&lt;author&gt;Wang, Z.&lt;/author&gt;&lt;/authors&gt;&lt;/contributors&gt;&lt;auth-address&gt;Department of Hematology, Beijing Friendship Hospital, Capital Medical University, Beijing 100050, China.&lt;/auth-address&gt;&lt;titles&gt;&lt;title&gt;[Clinical characteristics of 192 adult hemophagocytic lymphohistiocytosis]&lt;/title&gt;&lt;secondary-title&gt;Zhonghua Xue Ye Xue Za Zhi&lt;/secondary-title&gt;&lt;/titles&gt;&lt;pages&gt;796-801&lt;/pages&gt;&lt;volume&gt;35&lt;/volume&gt;&lt;number&gt;9&lt;/number&gt;&lt;edition&gt;2014/09/24&lt;/edition&gt;&lt;keywords&gt;&lt;keyword&gt;Adult&lt;/keyword&gt;&lt;keyword&gt;Bone Marrow&lt;/keyword&gt;&lt;keyword&gt;Fever&lt;/keyword&gt;&lt;keyword&gt;Humans&lt;/keyword&gt;&lt;keyword&gt;Killer Cells, Natural&lt;/keyword&gt;&lt;keyword&gt;*Lymphohistiocytosis, Hemophagocytic&lt;/keyword&gt;&lt;keyword&gt;Prognosis&lt;/keyword&gt;&lt;keyword&gt;Retrospective Studies&lt;/keyword&gt;&lt;/keywords&gt;&lt;dates&gt;&lt;year&gt;2014&lt;/year&gt;&lt;pub-dates&gt;&lt;date&gt;Sep&lt;/date&gt;&lt;/pub-dates&gt;&lt;/dates&gt;&lt;isbn&gt;0253-2727 (Print)&amp;#xD;0253-2727 (Linking)&lt;/isbn&gt;&lt;accession-num&gt;25246246&lt;/accession-num&gt;&lt;urls&gt;&lt;related-urls&gt;&lt;url&gt;https://www.ncbi.nlm.nih.gov/pubmed/25246246&lt;/url&gt;&lt;/related-urls&gt;&lt;/urls&gt;&lt;electronic-resource-num&gt;10.3760/cma.j.issn.0253-2727.2014.09.003&lt;/electronic-resource-num&gt;&lt;/record&gt;&lt;/Cite&gt;&lt;/EndNote&gt;</w:instrText>
      </w:r>
      <w:r w:rsidRPr="0096075B">
        <w:rPr>
          <w:rFonts w:ascii="Book Antiqua" w:hAnsi="Book Antiqua" w:cs="Book Antiqua"/>
          <w:sz w:val="24"/>
          <w:vertAlign w:val="superscript"/>
        </w:rPr>
        <w:fldChar w:fldCharType="separate"/>
      </w:r>
      <w:r w:rsidRPr="0096075B">
        <w:rPr>
          <w:rFonts w:ascii="Book Antiqua" w:hAnsi="Book Antiqua" w:cs="Book Antiqua"/>
          <w:sz w:val="24"/>
          <w:vertAlign w:val="superscript"/>
        </w:rPr>
        <w:t>26</w:t>
      </w:r>
      <w:r w:rsidRPr="0096075B">
        <w:rPr>
          <w:rFonts w:ascii="Book Antiqua" w:hAnsi="Book Antiqua" w:cs="Book Antiqua"/>
          <w:sz w:val="24"/>
          <w:vertAlign w:val="superscript"/>
        </w:rPr>
        <w:fldChar w:fldCharType="end"/>
      </w:r>
      <w:r w:rsidRPr="0096075B">
        <w:rPr>
          <w:rFonts w:ascii="Book Antiqua" w:hAnsi="Book Antiqua" w:cs="Book Antiqua"/>
          <w:sz w:val="24"/>
          <w:vertAlign w:val="superscript"/>
        </w:rPr>
        <w:t>]</w:t>
      </w:r>
      <w:r w:rsidRPr="0096075B">
        <w:rPr>
          <w:rFonts w:ascii="Book Antiqua" w:hAnsi="Book Antiqua" w:cs="Book Antiqua"/>
          <w:sz w:val="24"/>
        </w:rPr>
        <w:t xml:space="preserve">. This is supported by our patient, who was successfully cured and had not relapsed through </w:t>
      </w:r>
      <w:r w:rsidR="007C38A8" w:rsidRPr="0096075B">
        <w:rPr>
          <w:rFonts w:ascii="Book Antiqua" w:hAnsi="Book Antiqua" w:cs="Book Antiqua"/>
          <w:sz w:val="24"/>
        </w:rPr>
        <w:t xml:space="preserve">6 </w:t>
      </w:r>
      <w:r w:rsidRPr="0096075B">
        <w:rPr>
          <w:rFonts w:ascii="Book Antiqua" w:hAnsi="Book Antiqua" w:cs="Book Antiqua"/>
          <w:sz w:val="24"/>
        </w:rPr>
        <w:t xml:space="preserve">years of follow-up (Table 1). </w:t>
      </w:r>
    </w:p>
    <w:p w:rsidR="00FE09F3" w:rsidRPr="0096075B" w:rsidRDefault="00FE09F3" w:rsidP="00BD4675">
      <w:pPr>
        <w:snapToGrid w:val="0"/>
        <w:spacing w:line="360" w:lineRule="auto"/>
        <w:ind w:firstLineChars="112" w:firstLine="269"/>
        <w:rPr>
          <w:rFonts w:ascii="Book Antiqua" w:hAnsi="Book Antiqua" w:cs="Book Antiqua"/>
          <w:sz w:val="24"/>
        </w:rPr>
      </w:pPr>
      <w:r w:rsidRPr="0096075B">
        <w:rPr>
          <w:rFonts w:ascii="Book Antiqua" w:hAnsi="Book Antiqua" w:cs="Book Antiqua"/>
          <w:sz w:val="24"/>
        </w:rPr>
        <w:t>Our study had some limitations. First, we did not check nature killer cell activity and soluble CD25 (</w:t>
      </w:r>
      <w:r w:rsidRPr="0096075B">
        <w:rPr>
          <w:rFonts w:ascii="Book Antiqua" w:hAnsi="Book Antiqua" w:cs="Book Antiqua"/>
          <w:i/>
          <w:iCs/>
          <w:sz w:val="24"/>
        </w:rPr>
        <w:t>i.e.</w:t>
      </w:r>
      <w:r w:rsidRPr="00BD4675">
        <w:rPr>
          <w:rFonts w:ascii="Book Antiqua" w:hAnsi="Book Antiqua" w:cs="Book Antiqua"/>
          <w:sz w:val="24"/>
        </w:rPr>
        <w:t xml:space="preserve"> soluble </w:t>
      </w:r>
      <w:r w:rsidR="00DE6402" w:rsidRPr="0096075B">
        <w:rPr>
          <w:rFonts w:ascii="Book Antiqua" w:hAnsi="Book Antiqua" w:cs="Book Antiqua"/>
          <w:sz w:val="24"/>
        </w:rPr>
        <w:t>interleukin 2</w:t>
      </w:r>
      <w:r w:rsidRPr="0096075B">
        <w:rPr>
          <w:rFonts w:ascii="Book Antiqua" w:hAnsi="Book Antiqua" w:cs="Book Antiqua"/>
          <w:sz w:val="24"/>
        </w:rPr>
        <w:t xml:space="preserve"> receptor). These are not routine tests, and it is difficult to rely on them to determine HLH diagnosis, as it occurs at an extremely low incidence rate. Second, comprehensive screening for viral causes of HLH was not performed in the early stages of diagnosis.</w:t>
      </w:r>
    </w:p>
    <w:p w:rsidR="00FE09F3" w:rsidRPr="00BD4675" w:rsidRDefault="00FE09F3" w:rsidP="0096075B">
      <w:pPr>
        <w:snapToGrid w:val="0"/>
        <w:spacing w:line="360" w:lineRule="auto"/>
        <w:ind w:firstLineChars="200" w:firstLine="480"/>
        <w:rPr>
          <w:rFonts w:ascii="Book Antiqua" w:hAnsi="Book Antiqua" w:cs="Book Antiqua"/>
          <w:sz w:val="24"/>
        </w:rPr>
      </w:pP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b/>
          <w:bCs/>
          <w:sz w:val="24"/>
          <w:u w:val="single"/>
        </w:rPr>
        <w:t>CONCLUSION</w:t>
      </w:r>
    </w:p>
    <w:p w:rsidR="00FE09F3" w:rsidRPr="0096075B" w:rsidRDefault="00FE09F3" w:rsidP="0096075B">
      <w:pPr>
        <w:widowControl/>
        <w:snapToGrid w:val="0"/>
        <w:spacing w:line="360" w:lineRule="auto"/>
        <w:rPr>
          <w:rFonts w:ascii="Book Antiqua" w:hAnsi="Book Antiqua" w:cs="Book Antiqua"/>
          <w:sz w:val="24"/>
        </w:rPr>
      </w:pPr>
      <w:r w:rsidRPr="00BD4675">
        <w:rPr>
          <w:rFonts w:ascii="Book Antiqua" w:hAnsi="Book Antiqua" w:cs="Book Antiqua"/>
          <w:sz w:val="24"/>
        </w:rPr>
        <w:t xml:space="preserve">In summary, we report a case of HLH caused by systemic autoimmune abnormalities and CMV infection. The patient was successfully </w:t>
      </w:r>
      <w:r w:rsidR="00A303A1" w:rsidRPr="0096075B">
        <w:rPr>
          <w:rFonts w:ascii="Book Antiqua" w:hAnsi="Book Antiqua" w:cs="Book Antiqua"/>
          <w:sz w:val="24"/>
        </w:rPr>
        <w:t xml:space="preserve">treated </w:t>
      </w:r>
      <w:r w:rsidRPr="0096075B">
        <w:rPr>
          <w:rFonts w:ascii="Book Antiqua" w:hAnsi="Book Antiqua" w:cs="Book Antiqua"/>
          <w:sz w:val="24"/>
        </w:rPr>
        <w:t>with a combination of immunomodulatory, chemotherapy, and supportive treatments. This case suggests that through early screening, timely treatment aimed at removing the infection (CMV infection in our case) and inhibition of the inflammatory response, along with supportive therapy, are of great significance for the prognosis of HLH patients.</w:t>
      </w:r>
    </w:p>
    <w:p w:rsidR="00FE09F3" w:rsidRPr="0096075B" w:rsidRDefault="00FE09F3" w:rsidP="0096075B">
      <w:pPr>
        <w:snapToGrid w:val="0"/>
        <w:spacing w:line="360" w:lineRule="auto"/>
        <w:rPr>
          <w:rFonts w:ascii="Book Antiqua" w:hAnsi="Book Antiqua" w:cs="Book Antiqua"/>
          <w:sz w:val="24"/>
        </w:rPr>
      </w:pPr>
    </w:p>
    <w:p w:rsidR="00FE09F3" w:rsidRPr="0096075B" w:rsidRDefault="00FE09F3" w:rsidP="0096075B">
      <w:pPr>
        <w:snapToGrid w:val="0"/>
        <w:spacing w:line="360" w:lineRule="auto"/>
        <w:outlineLvl w:val="0"/>
        <w:rPr>
          <w:rFonts w:ascii="Book Antiqua" w:hAnsi="Book Antiqua" w:cs="Book Antiqua"/>
          <w:b/>
          <w:bCs/>
          <w:sz w:val="24"/>
        </w:rPr>
      </w:pPr>
      <w:r w:rsidRPr="0096075B">
        <w:rPr>
          <w:rFonts w:ascii="Book Antiqua" w:hAnsi="Book Antiqua" w:cs="Book Antiqua"/>
          <w:sz w:val="24"/>
        </w:rPr>
        <w:fldChar w:fldCharType="begin"/>
      </w:r>
      <w:r w:rsidRPr="00BD4675">
        <w:rPr>
          <w:rFonts w:ascii="Book Antiqua" w:hAnsi="Book Antiqua" w:cs="Book Antiqua"/>
          <w:sz w:val="24"/>
        </w:rPr>
        <w:instrText xml:space="preserve"> ADDIN EN.REFLIST </w:instrText>
      </w:r>
      <w:r w:rsidRPr="0096075B">
        <w:rPr>
          <w:rFonts w:ascii="Book Antiqua" w:hAnsi="Book Antiqua" w:cs="Book Antiqua"/>
          <w:sz w:val="24"/>
        </w:rPr>
        <w:fldChar w:fldCharType="separate"/>
      </w:r>
      <w:r w:rsidRPr="0096075B">
        <w:rPr>
          <w:rFonts w:ascii="Book Antiqua" w:hAnsi="Book Antiqua" w:cs="Book Antiqua"/>
          <w:b/>
          <w:bCs/>
          <w:sz w:val="24"/>
        </w:rPr>
        <w:t>REFERENCES</w:t>
      </w:r>
    </w:p>
    <w:bookmarkStart w:id="25" w:name="OLE_LINK6"/>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fldChar w:fldCharType="begin"/>
      </w:r>
      <w:r w:rsidRPr="00BD4675">
        <w:rPr>
          <w:rFonts w:ascii="Book Antiqua" w:hAnsi="Book Antiqua" w:cs="Book Antiqua"/>
          <w:sz w:val="24"/>
        </w:rPr>
        <w:instrText xml:space="preserve"> ADDIN EN.REFLIST </w:instrText>
      </w:r>
      <w:r w:rsidRPr="0096075B">
        <w:rPr>
          <w:rFonts w:ascii="Book Antiqua" w:hAnsi="Book Antiqua" w:cs="Book Antiqua"/>
          <w:sz w:val="24"/>
        </w:rPr>
        <w:fldChar w:fldCharType="separate"/>
      </w:r>
      <w:r w:rsidRPr="0096075B">
        <w:rPr>
          <w:rFonts w:ascii="Book Antiqua" w:hAnsi="Book Antiqua" w:cs="Book Antiqua"/>
          <w:sz w:val="24"/>
        </w:rPr>
        <w:t xml:space="preserve">1 </w:t>
      </w:r>
      <w:r w:rsidRPr="0096075B">
        <w:rPr>
          <w:rFonts w:ascii="Book Antiqua" w:hAnsi="Book Antiqua" w:cs="Book Antiqua"/>
          <w:b/>
          <w:sz w:val="24"/>
        </w:rPr>
        <w:t>Canna SW</w:t>
      </w:r>
      <w:r w:rsidRPr="0096075B">
        <w:rPr>
          <w:rFonts w:ascii="Book Antiqua" w:hAnsi="Book Antiqua" w:cs="Book Antiqua"/>
          <w:sz w:val="24"/>
        </w:rPr>
        <w:t xml:space="preserve">, Marsh RA. Pediatric hemophagocytic lymphohistiocytosis. </w:t>
      </w:r>
      <w:r w:rsidRPr="0096075B">
        <w:rPr>
          <w:rFonts w:ascii="Book Antiqua" w:hAnsi="Book Antiqua" w:cs="Book Antiqua"/>
          <w:i/>
          <w:sz w:val="24"/>
        </w:rPr>
        <w:t>Blood</w:t>
      </w:r>
      <w:r w:rsidRPr="0096075B">
        <w:rPr>
          <w:rFonts w:ascii="Book Antiqua" w:hAnsi="Book Antiqua" w:cs="Book Antiqua"/>
          <w:sz w:val="24"/>
        </w:rPr>
        <w:t xml:space="preserve"> 2020; </w:t>
      </w:r>
      <w:r w:rsidRPr="0096075B">
        <w:rPr>
          <w:rFonts w:ascii="Book Antiqua" w:hAnsi="Book Antiqua" w:cs="Book Antiqua"/>
          <w:b/>
          <w:sz w:val="24"/>
        </w:rPr>
        <w:t>135</w:t>
      </w:r>
      <w:r w:rsidRPr="0096075B">
        <w:rPr>
          <w:rFonts w:ascii="Book Antiqua" w:hAnsi="Book Antiqua" w:cs="Book Antiqua"/>
          <w:sz w:val="24"/>
        </w:rPr>
        <w:t>: 1332-1343 [PMID: 32107531 DOI: 10.1182/blood.2019000936]</w:t>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 xml:space="preserve">2 </w:t>
      </w:r>
      <w:r w:rsidRPr="0096075B">
        <w:rPr>
          <w:rFonts w:ascii="Book Antiqua" w:hAnsi="Book Antiqua" w:cs="Book Antiqua"/>
          <w:b/>
          <w:sz w:val="24"/>
        </w:rPr>
        <w:t>Zinter MS</w:t>
      </w:r>
      <w:r w:rsidRPr="0096075B">
        <w:rPr>
          <w:rFonts w:ascii="Book Antiqua" w:hAnsi="Book Antiqua" w:cs="Book Antiqua"/>
          <w:sz w:val="24"/>
        </w:rPr>
        <w:t xml:space="preserve">, Hermiston ML. Calming the storm in HLH. </w:t>
      </w:r>
      <w:r w:rsidRPr="0096075B">
        <w:rPr>
          <w:rFonts w:ascii="Book Antiqua" w:hAnsi="Book Antiqua" w:cs="Book Antiqua"/>
          <w:i/>
          <w:sz w:val="24"/>
        </w:rPr>
        <w:t>Blood</w:t>
      </w:r>
      <w:r w:rsidRPr="0096075B">
        <w:rPr>
          <w:rFonts w:ascii="Book Antiqua" w:hAnsi="Book Antiqua" w:cs="Book Antiqua"/>
          <w:sz w:val="24"/>
        </w:rPr>
        <w:t xml:space="preserve"> 2019; </w:t>
      </w:r>
      <w:r w:rsidRPr="0096075B">
        <w:rPr>
          <w:rFonts w:ascii="Book Antiqua" w:hAnsi="Book Antiqua" w:cs="Book Antiqua"/>
          <w:b/>
          <w:sz w:val="24"/>
        </w:rPr>
        <w:t>134</w:t>
      </w:r>
      <w:r w:rsidRPr="0096075B">
        <w:rPr>
          <w:rFonts w:ascii="Book Antiqua" w:hAnsi="Book Antiqua" w:cs="Book Antiqua"/>
          <w:sz w:val="24"/>
        </w:rPr>
        <w:t>: 103-104 [PMID: 31296541 DOI: 10.1182/blood.2019001333]</w:t>
      </w:r>
    </w:p>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t xml:space="preserve">3 </w:t>
      </w:r>
      <w:r w:rsidRPr="0096075B">
        <w:rPr>
          <w:rFonts w:ascii="Book Antiqua" w:hAnsi="Book Antiqua" w:cs="Book Antiqua"/>
          <w:b/>
          <w:sz w:val="24"/>
        </w:rPr>
        <w:t>La Rosée P</w:t>
      </w:r>
      <w:r w:rsidRPr="0096075B">
        <w:rPr>
          <w:rFonts w:ascii="Book Antiqua" w:hAnsi="Book Antiqua" w:cs="Book Antiqua"/>
          <w:sz w:val="24"/>
        </w:rPr>
        <w:t xml:space="preserve">, Horne A, Hines M, von Bahr Greenwood T, Machowicz R, Berliner N, Birndt S, Gil-Herrera J, </w:t>
      </w:r>
      <w:r w:rsidRPr="007F2F16">
        <w:rPr>
          <w:rFonts w:ascii="Book Antiqua" w:hAnsi="Book Antiqua" w:cs="Book Antiqua"/>
          <w:sz w:val="24"/>
        </w:rPr>
        <w:t>Girschikofsky M, Jordan MB, Kumar A, van Laar JAM, Lachmann G, Nichols KE, Ramanan AV, Wang Y, Wang Z, Janka G, Henter JI. Recommendations for the management of hemophagocytic lymphohistiocytosis</w:t>
      </w:r>
      <w:r w:rsidRPr="00BD4675">
        <w:rPr>
          <w:rFonts w:ascii="Book Antiqua" w:hAnsi="Book Antiqua" w:cs="Book Antiqua"/>
          <w:sz w:val="24"/>
        </w:rPr>
        <w:t xml:space="preserve"> in adults. </w:t>
      </w:r>
      <w:r w:rsidRPr="00BD4675">
        <w:rPr>
          <w:rFonts w:ascii="Book Antiqua" w:hAnsi="Book Antiqua" w:cs="Book Antiqua"/>
          <w:i/>
          <w:sz w:val="24"/>
        </w:rPr>
        <w:t>Blood</w:t>
      </w:r>
      <w:r w:rsidRPr="00BD4675">
        <w:rPr>
          <w:rFonts w:ascii="Book Antiqua" w:hAnsi="Book Antiqua" w:cs="Book Antiqua"/>
          <w:sz w:val="24"/>
        </w:rPr>
        <w:t xml:space="preserve"> 2019; </w:t>
      </w:r>
      <w:r w:rsidRPr="00BD4675">
        <w:rPr>
          <w:rFonts w:ascii="Book Antiqua" w:hAnsi="Book Antiqua" w:cs="Book Antiqua"/>
          <w:b/>
          <w:sz w:val="24"/>
        </w:rPr>
        <w:t>133</w:t>
      </w:r>
      <w:r w:rsidRPr="00BD4675">
        <w:rPr>
          <w:rFonts w:ascii="Book Antiqua" w:hAnsi="Book Antiqua" w:cs="Book Antiqua"/>
          <w:sz w:val="24"/>
        </w:rPr>
        <w:t>: 2465-2477 [PMID: 30992265 DOI: 10.1182/blood.2018894618]</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4 </w:t>
      </w:r>
      <w:r w:rsidRPr="00BD4675">
        <w:rPr>
          <w:rFonts w:ascii="Book Antiqua" w:hAnsi="Book Antiqua" w:cs="Book Antiqua"/>
          <w:b/>
          <w:sz w:val="24"/>
        </w:rPr>
        <w:t>Bergsten E</w:t>
      </w:r>
      <w:r w:rsidRPr="00BD4675">
        <w:rPr>
          <w:rFonts w:ascii="Book Antiqua" w:hAnsi="Book Antiqua" w:cs="Book Antiqua"/>
          <w:sz w:val="24"/>
        </w:rPr>
        <w:t xml:space="preserve">, Horne A, Aricó M, Astigarraga I, Egeler RM, Filipovich AH, Ishii E, Janka G, Ladisch S, Lehmberg K, McClain KL, Minkov M, Montgomery S, Nanduri V, Rosso D, Henter JI. Confirmed efficacy of etoposide and dexamethasone in HLH treatment: long-term results of the cooperative HLH-2004 study. </w:t>
      </w:r>
      <w:r w:rsidRPr="00BD4675">
        <w:rPr>
          <w:rFonts w:ascii="Book Antiqua" w:hAnsi="Book Antiqua" w:cs="Book Antiqua"/>
          <w:i/>
          <w:sz w:val="24"/>
        </w:rPr>
        <w:t>Blood</w:t>
      </w:r>
      <w:r w:rsidRPr="00BD4675">
        <w:rPr>
          <w:rFonts w:ascii="Book Antiqua" w:hAnsi="Book Antiqua" w:cs="Book Antiqua"/>
          <w:sz w:val="24"/>
        </w:rPr>
        <w:t xml:space="preserve"> 2017; </w:t>
      </w:r>
      <w:r w:rsidRPr="00BD4675">
        <w:rPr>
          <w:rFonts w:ascii="Book Antiqua" w:hAnsi="Book Antiqua" w:cs="Book Antiqua"/>
          <w:b/>
          <w:sz w:val="24"/>
        </w:rPr>
        <w:t>130</w:t>
      </w:r>
      <w:r w:rsidRPr="00BD4675">
        <w:rPr>
          <w:rFonts w:ascii="Book Antiqua" w:hAnsi="Book Antiqua" w:cs="Book Antiqua"/>
          <w:sz w:val="24"/>
        </w:rPr>
        <w:t>: 2728-2738 [PMID: 28935695 DOI: 10.1182/blood-2017-06-788349]</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5 </w:t>
      </w:r>
      <w:r w:rsidRPr="00BD4675">
        <w:rPr>
          <w:rFonts w:ascii="Book Antiqua" w:hAnsi="Book Antiqua" w:cs="Book Antiqua"/>
          <w:b/>
          <w:sz w:val="24"/>
        </w:rPr>
        <w:t>Ramos-Casals M</w:t>
      </w:r>
      <w:r w:rsidRPr="00BD4675">
        <w:rPr>
          <w:rFonts w:ascii="Book Antiqua" w:hAnsi="Book Antiqua" w:cs="Book Antiqua"/>
          <w:sz w:val="24"/>
        </w:rPr>
        <w:t xml:space="preserve">, Brito-Zerón P, López-Guillermo A, Khamashta MA, Bosch X. Adult haemophagocytic syndrome. </w:t>
      </w:r>
      <w:r w:rsidRPr="00BD4675">
        <w:rPr>
          <w:rFonts w:ascii="Book Antiqua" w:hAnsi="Book Antiqua" w:cs="Book Antiqua"/>
          <w:i/>
          <w:sz w:val="24"/>
        </w:rPr>
        <w:t>Lancet</w:t>
      </w:r>
      <w:r w:rsidRPr="00BD4675">
        <w:rPr>
          <w:rFonts w:ascii="Book Antiqua" w:hAnsi="Book Antiqua" w:cs="Book Antiqua"/>
          <w:sz w:val="24"/>
        </w:rPr>
        <w:t xml:space="preserve"> 2014; </w:t>
      </w:r>
      <w:r w:rsidRPr="00BD4675">
        <w:rPr>
          <w:rFonts w:ascii="Book Antiqua" w:hAnsi="Book Antiqua" w:cs="Book Antiqua"/>
          <w:b/>
          <w:sz w:val="24"/>
        </w:rPr>
        <w:t>383</w:t>
      </w:r>
      <w:r w:rsidRPr="00BD4675">
        <w:rPr>
          <w:rFonts w:ascii="Book Antiqua" w:hAnsi="Book Antiqua" w:cs="Book Antiqua"/>
          <w:sz w:val="24"/>
        </w:rPr>
        <w:t>: 1503-1516 [PMID: 24290661 DOI: 10.1016/S0140-6736(13)61048-X]</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6 </w:t>
      </w:r>
      <w:r w:rsidRPr="00BD4675">
        <w:rPr>
          <w:rFonts w:ascii="Book Antiqua" w:hAnsi="Book Antiqua" w:cs="Book Antiqua"/>
          <w:b/>
          <w:sz w:val="24"/>
        </w:rPr>
        <w:t>Henter JI</w:t>
      </w:r>
      <w:r w:rsidRPr="00BD4675">
        <w:rPr>
          <w:rFonts w:ascii="Book Antiqua" w:hAnsi="Book Antiqua" w:cs="Book Antiqua"/>
          <w:sz w:val="24"/>
        </w:rPr>
        <w:t xml:space="preserve">, Horne A, Aricó M, Egeler RM, Filipovich AH, Imashuku S, Ladisch S, McClain K, Webb D, Winiarski J, Janka G. HLH-2004: Diagnostic and therapeutic guidelines for hemophagocytic lymphohistiocytosis. </w:t>
      </w:r>
      <w:r w:rsidRPr="00BD4675">
        <w:rPr>
          <w:rFonts w:ascii="Book Antiqua" w:hAnsi="Book Antiqua" w:cs="Book Antiqua"/>
          <w:i/>
          <w:sz w:val="24"/>
        </w:rPr>
        <w:t>Pediatr Blood Cancer</w:t>
      </w:r>
      <w:r w:rsidRPr="00BD4675">
        <w:rPr>
          <w:rFonts w:ascii="Book Antiqua" w:hAnsi="Book Antiqua" w:cs="Book Antiqua"/>
          <w:sz w:val="24"/>
        </w:rPr>
        <w:t xml:space="preserve"> 2007; </w:t>
      </w:r>
      <w:r w:rsidRPr="00BD4675">
        <w:rPr>
          <w:rFonts w:ascii="Book Antiqua" w:hAnsi="Book Antiqua" w:cs="Book Antiqua"/>
          <w:b/>
          <w:sz w:val="24"/>
        </w:rPr>
        <w:t>48</w:t>
      </w:r>
      <w:r w:rsidRPr="00BD4675">
        <w:rPr>
          <w:rFonts w:ascii="Book Antiqua" w:hAnsi="Book Antiqua" w:cs="Book Antiqua"/>
          <w:sz w:val="24"/>
        </w:rPr>
        <w:t>: 124-131 [PMID: 16937360 DOI: 10.1002/pbc.21039]</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7 </w:t>
      </w:r>
      <w:r w:rsidRPr="00BD4675">
        <w:rPr>
          <w:rFonts w:ascii="Book Antiqua" w:hAnsi="Book Antiqua" w:cs="Book Antiqua"/>
          <w:b/>
          <w:sz w:val="24"/>
        </w:rPr>
        <w:t>Fukaya S</w:t>
      </w:r>
      <w:r w:rsidRPr="00BD4675">
        <w:rPr>
          <w:rFonts w:ascii="Book Antiqua" w:hAnsi="Book Antiqua" w:cs="Book Antiqua"/>
          <w:sz w:val="24"/>
        </w:rPr>
        <w:t xml:space="preserve">, Yasuda S, Hashimoto T, Oku K, Kataoka H, Horita T, Atsumi T, Koike T. Clinical features of haemophagocytic syndrome in patients with systemic autoimmune diseases: analysis of 30 cases. </w:t>
      </w:r>
      <w:r w:rsidRPr="00BD4675">
        <w:rPr>
          <w:rFonts w:ascii="Book Antiqua" w:hAnsi="Book Antiqua" w:cs="Book Antiqua"/>
          <w:i/>
          <w:sz w:val="24"/>
        </w:rPr>
        <w:t>Rheumatology (Oxford)</w:t>
      </w:r>
      <w:r w:rsidRPr="00BD4675">
        <w:rPr>
          <w:rFonts w:ascii="Book Antiqua" w:hAnsi="Book Antiqua" w:cs="Book Antiqua"/>
          <w:sz w:val="24"/>
        </w:rPr>
        <w:t xml:space="preserve"> 2008; </w:t>
      </w:r>
      <w:r w:rsidRPr="00BD4675">
        <w:rPr>
          <w:rFonts w:ascii="Book Antiqua" w:hAnsi="Book Antiqua" w:cs="Book Antiqua"/>
          <w:b/>
          <w:sz w:val="24"/>
        </w:rPr>
        <w:t>47</w:t>
      </w:r>
      <w:r w:rsidRPr="00BD4675">
        <w:rPr>
          <w:rFonts w:ascii="Book Antiqua" w:hAnsi="Book Antiqua" w:cs="Book Antiqua"/>
          <w:sz w:val="24"/>
        </w:rPr>
        <w:t>: 1686-1691 [PMID: 18782855 DOI: 10.1093/rheumatology/ken342]</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8 </w:t>
      </w:r>
      <w:r w:rsidRPr="00BD4675">
        <w:rPr>
          <w:rFonts w:ascii="Book Antiqua" w:hAnsi="Book Antiqua" w:cs="Book Antiqua"/>
          <w:b/>
          <w:sz w:val="24"/>
        </w:rPr>
        <w:t>Kumakura S</w:t>
      </w:r>
      <w:r w:rsidRPr="00BD4675">
        <w:rPr>
          <w:rFonts w:ascii="Book Antiqua" w:hAnsi="Book Antiqua" w:cs="Book Antiqua"/>
          <w:sz w:val="24"/>
        </w:rPr>
        <w:t xml:space="preserve">, Murakawa Y. Clinical characteristics and treatment outcomes of autoimmune-associated hemophagocytic syndrome in adults. </w:t>
      </w:r>
      <w:r w:rsidRPr="00BD4675">
        <w:rPr>
          <w:rFonts w:ascii="Book Antiqua" w:hAnsi="Book Antiqua" w:cs="Book Antiqua"/>
          <w:i/>
          <w:sz w:val="24"/>
        </w:rPr>
        <w:t>Arthritis Rheumatol</w:t>
      </w:r>
      <w:r w:rsidRPr="00BD4675">
        <w:rPr>
          <w:rFonts w:ascii="Book Antiqua" w:hAnsi="Book Antiqua" w:cs="Book Antiqua"/>
          <w:sz w:val="24"/>
        </w:rPr>
        <w:t xml:space="preserve"> 2014; </w:t>
      </w:r>
      <w:r w:rsidRPr="00BD4675">
        <w:rPr>
          <w:rFonts w:ascii="Book Antiqua" w:hAnsi="Book Antiqua" w:cs="Book Antiqua"/>
          <w:b/>
          <w:sz w:val="24"/>
        </w:rPr>
        <w:t>66</w:t>
      </w:r>
      <w:r w:rsidRPr="00BD4675">
        <w:rPr>
          <w:rFonts w:ascii="Book Antiqua" w:hAnsi="Book Antiqua" w:cs="Book Antiqua"/>
          <w:sz w:val="24"/>
        </w:rPr>
        <w:t>: 2297-2307 [PMID: 24756912 DOI: 10.1002/art.38672]</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9 </w:t>
      </w:r>
      <w:r w:rsidRPr="00BD4675">
        <w:rPr>
          <w:rFonts w:ascii="Book Antiqua" w:hAnsi="Book Antiqua" w:cs="Book Antiqua"/>
          <w:b/>
          <w:sz w:val="24"/>
        </w:rPr>
        <w:t>Hardikar W</w:t>
      </w:r>
      <w:r w:rsidRPr="00BD4675">
        <w:rPr>
          <w:rFonts w:ascii="Book Antiqua" w:hAnsi="Book Antiqua" w:cs="Book Antiqua"/>
          <w:sz w:val="24"/>
        </w:rPr>
        <w:t xml:space="preserve">, Pang K, Al-Hebbi H, Curtis N, Couper R. Successful treatment of cytomegalovirus-associated haemophagocytic syndrome following paediatric orthotopic liver transplantation. </w:t>
      </w:r>
      <w:r w:rsidRPr="00BD4675">
        <w:rPr>
          <w:rFonts w:ascii="Book Antiqua" w:hAnsi="Book Antiqua" w:cs="Book Antiqua"/>
          <w:i/>
          <w:sz w:val="24"/>
        </w:rPr>
        <w:t>J Paediatr Child Health</w:t>
      </w:r>
      <w:r w:rsidRPr="00BD4675">
        <w:rPr>
          <w:rFonts w:ascii="Book Antiqua" w:hAnsi="Book Antiqua" w:cs="Book Antiqua"/>
          <w:sz w:val="24"/>
        </w:rPr>
        <w:t xml:space="preserve"> 2006; </w:t>
      </w:r>
      <w:r w:rsidRPr="00BD4675">
        <w:rPr>
          <w:rFonts w:ascii="Book Antiqua" w:hAnsi="Book Antiqua" w:cs="Book Antiqua"/>
          <w:b/>
          <w:sz w:val="24"/>
        </w:rPr>
        <w:t>42</w:t>
      </w:r>
      <w:r w:rsidRPr="00BD4675">
        <w:rPr>
          <w:rFonts w:ascii="Book Antiqua" w:hAnsi="Book Antiqua" w:cs="Book Antiqua"/>
          <w:sz w:val="24"/>
        </w:rPr>
        <w:t>: 389-391 [PMID: 16737484 DOI: 10.1111/j.1440-1754.2006.00879.x]</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10 </w:t>
      </w:r>
      <w:r w:rsidRPr="00BD4675">
        <w:rPr>
          <w:rFonts w:ascii="Book Antiqua" w:hAnsi="Book Antiqua" w:cs="Book Antiqua"/>
          <w:b/>
          <w:sz w:val="24"/>
        </w:rPr>
        <w:t>van Langenberg DR</w:t>
      </w:r>
      <w:r w:rsidRPr="00BD4675">
        <w:rPr>
          <w:rFonts w:ascii="Book Antiqua" w:hAnsi="Book Antiqua" w:cs="Book Antiqua"/>
          <w:sz w:val="24"/>
        </w:rPr>
        <w:t xml:space="preserve">, Morrison G, Foley A, Buttigieg RJ, Gibson PR. Cytomegalovirus disease, haemophagocytic syndrome, immunosuppression in patients with IBD: 'a cocktail best avoided, not stirred'. </w:t>
      </w:r>
      <w:r w:rsidRPr="00BD4675">
        <w:rPr>
          <w:rFonts w:ascii="Book Antiqua" w:hAnsi="Book Antiqua" w:cs="Book Antiqua"/>
          <w:i/>
          <w:sz w:val="24"/>
        </w:rPr>
        <w:t>J Crohns Colitis</w:t>
      </w:r>
      <w:r w:rsidRPr="00BD4675">
        <w:rPr>
          <w:rFonts w:ascii="Book Antiqua" w:hAnsi="Book Antiqua" w:cs="Book Antiqua"/>
          <w:sz w:val="24"/>
        </w:rPr>
        <w:t xml:space="preserve"> 2011; </w:t>
      </w:r>
      <w:r w:rsidRPr="00BD4675">
        <w:rPr>
          <w:rFonts w:ascii="Book Antiqua" w:hAnsi="Book Antiqua" w:cs="Book Antiqua"/>
          <w:b/>
          <w:sz w:val="24"/>
        </w:rPr>
        <w:t>5</w:t>
      </w:r>
      <w:r w:rsidRPr="00BD4675">
        <w:rPr>
          <w:rFonts w:ascii="Book Antiqua" w:hAnsi="Book Antiqua" w:cs="Book Antiqua"/>
          <w:sz w:val="24"/>
        </w:rPr>
        <w:t>: 469-472 [PMID: 21939923 DOI: 10.1016/j.crohns.2011.04.010]</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11 </w:t>
      </w:r>
      <w:r w:rsidRPr="00BD4675">
        <w:rPr>
          <w:rFonts w:ascii="Book Antiqua" w:hAnsi="Book Antiqua" w:cs="Book Antiqua"/>
          <w:b/>
          <w:sz w:val="24"/>
        </w:rPr>
        <w:t>Koketsu S</w:t>
      </w:r>
      <w:r w:rsidRPr="00BD4675">
        <w:rPr>
          <w:rFonts w:ascii="Book Antiqua" w:hAnsi="Book Antiqua" w:cs="Book Antiqua"/>
          <w:sz w:val="24"/>
        </w:rPr>
        <w:t xml:space="preserve">, Watanabe T, Hori N, Umetani N, Takazawa Y, Nagawa H. Hemophagocytic syndrome caused by fulminant ulcerative colitis and cytomegalovirus infection: report of a case. </w:t>
      </w:r>
      <w:r w:rsidRPr="00BD4675">
        <w:rPr>
          <w:rFonts w:ascii="Book Antiqua" w:hAnsi="Book Antiqua" w:cs="Book Antiqua"/>
          <w:i/>
          <w:sz w:val="24"/>
        </w:rPr>
        <w:t>Dis Colon Rectum</w:t>
      </w:r>
      <w:r w:rsidRPr="00BD4675">
        <w:rPr>
          <w:rFonts w:ascii="Book Antiqua" w:hAnsi="Book Antiqua" w:cs="Book Antiqua"/>
          <w:sz w:val="24"/>
        </w:rPr>
        <w:t xml:space="preserve"> 2004; </w:t>
      </w:r>
      <w:r w:rsidRPr="00BD4675">
        <w:rPr>
          <w:rFonts w:ascii="Book Antiqua" w:hAnsi="Book Antiqua" w:cs="Book Antiqua"/>
          <w:b/>
          <w:sz w:val="24"/>
        </w:rPr>
        <w:t>47</w:t>
      </w:r>
      <w:r w:rsidRPr="00BD4675">
        <w:rPr>
          <w:rFonts w:ascii="Book Antiqua" w:hAnsi="Book Antiqua" w:cs="Book Antiqua"/>
          <w:sz w:val="24"/>
        </w:rPr>
        <w:t>: 1250-3; discussion 1253-5 [PMID: 15148644 DOI: 10.1007/s10350-004-0543-x]</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12 </w:t>
      </w:r>
      <w:r w:rsidRPr="00BD4675">
        <w:rPr>
          <w:rFonts w:ascii="Book Antiqua" w:hAnsi="Book Antiqua" w:cs="Book Antiqua"/>
          <w:b/>
          <w:sz w:val="24"/>
        </w:rPr>
        <w:t>Amenomori M</w:t>
      </w:r>
      <w:r w:rsidRPr="00BD4675">
        <w:rPr>
          <w:rFonts w:ascii="Book Antiqua" w:hAnsi="Book Antiqua" w:cs="Book Antiqua"/>
          <w:sz w:val="24"/>
        </w:rPr>
        <w:t xml:space="preserve">, Migita K, Miyashita T, Yoshida S, Ito M, Eguchi K, Ezaki H. Cytomegalovirus-associated hemophagocytic syndrome in a patient with adult onset Still's disease. </w:t>
      </w:r>
      <w:r w:rsidRPr="00BD4675">
        <w:rPr>
          <w:rFonts w:ascii="Book Antiqua" w:hAnsi="Book Antiqua" w:cs="Book Antiqua"/>
          <w:i/>
          <w:sz w:val="24"/>
        </w:rPr>
        <w:t>Clin Exp Rheumatol</w:t>
      </w:r>
      <w:r w:rsidRPr="00BD4675">
        <w:rPr>
          <w:rFonts w:ascii="Book Antiqua" w:hAnsi="Book Antiqua" w:cs="Book Antiqua"/>
          <w:sz w:val="24"/>
        </w:rPr>
        <w:t xml:space="preserve"> 2005; </w:t>
      </w:r>
      <w:r w:rsidRPr="00BD4675">
        <w:rPr>
          <w:rFonts w:ascii="Book Antiqua" w:hAnsi="Book Antiqua" w:cs="Book Antiqua"/>
          <w:b/>
          <w:sz w:val="24"/>
        </w:rPr>
        <w:t>23</w:t>
      </w:r>
      <w:r w:rsidRPr="00BD4675">
        <w:rPr>
          <w:rFonts w:ascii="Book Antiqua" w:hAnsi="Book Antiqua" w:cs="Book Antiqua"/>
          <w:sz w:val="24"/>
        </w:rPr>
        <w:t>: 100-102 [PMID: 15789896]</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13 </w:t>
      </w:r>
      <w:r w:rsidRPr="00BD4675">
        <w:rPr>
          <w:rFonts w:ascii="Book Antiqua" w:hAnsi="Book Antiqua" w:cs="Book Antiqua"/>
          <w:b/>
          <w:sz w:val="24"/>
        </w:rPr>
        <w:t>Sakamoto O</w:t>
      </w:r>
      <w:r w:rsidRPr="00BD4675">
        <w:rPr>
          <w:rFonts w:ascii="Book Antiqua" w:hAnsi="Book Antiqua" w:cs="Book Antiqua"/>
          <w:sz w:val="24"/>
        </w:rPr>
        <w:t xml:space="preserve">, Ando M, Yoshimatsu S, Kohrogi H, Suga M, Ando M. Systemic lupus erythematosus complicated by cytomegalovirus-induced hemophagocytic syndrome and colitis. </w:t>
      </w:r>
      <w:r w:rsidRPr="00BD4675">
        <w:rPr>
          <w:rFonts w:ascii="Book Antiqua" w:hAnsi="Book Antiqua" w:cs="Book Antiqua"/>
          <w:i/>
          <w:sz w:val="24"/>
        </w:rPr>
        <w:t>Intern Med</w:t>
      </w:r>
      <w:r w:rsidRPr="00BD4675">
        <w:rPr>
          <w:rFonts w:ascii="Book Antiqua" w:hAnsi="Book Antiqua" w:cs="Book Antiqua"/>
          <w:sz w:val="24"/>
        </w:rPr>
        <w:t xml:space="preserve"> 2002; </w:t>
      </w:r>
      <w:r w:rsidRPr="00BD4675">
        <w:rPr>
          <w:rFonts w:ascii="Book Antiqua" w:hAnsi="Book Antiqua" w:cs="Book Antiqua"/>
          <w:b/>
          <w:sz w:val="24"/>
        </w:rPr>
        <w:t>41</w:t>
      </w:r>
      <w:r w:rsidRPr="00BD4675">
        <w:rPr>
          <w:rFonts w:ascii="Book Antiqua" w:hAnsi="Book Antiqua" w:cs="Book Antiqua"/>
          <w:sz w:val="24"/>
        </w:rPr>
        <w:t>: 151-155 [PMID: 11868605 DOI: 10.2169/internalmedicine.41.151]</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14 </w:t>
      </w:r>
      <w:r w:rsidRPr="00BD4675">
        <w:rPr>
          <w:rFonts w:ascii="Book Antiqua" w:hAnsi="Book Antiqua" w:cs="Book Antiqua"/>
          <w:b/>
          <w:sz w:val="24"/>
        </w:rPr>
        <w:t>Schram AM</w:t>
      </w:r>
      <w:r w:rsidRPr="00BD4675">
        <w:rPr>
          <w:rFonts w:ascii="Book Antiqua" w:hAnsi="Book Antiqua" w:cs="Book Antiqua"/>
          <w:sz w:val="24"/>
        </w:rPr>
        <w:t xml:space="preserve">, Berliner N. How I treat hemophagocytic lymphohistiocytosis in the adult patient. </w:t>
      </w:r>
      <w:r w:rsidRPr="00BD4675">
        <w:rPr>
          <w:rFonts w:ascii="Book Antiqua" w:hAnsi="Book Antiqua" w:cs="Book Antiqua"/>
          <w:i/>
          <w:sz w:val="24"/>
        </w:rPr>
        <w:t>Blood</w:t>
      </w:r>
      <w:r w:rsidRPr="00BD4675">
        <w:rPr>
          <w:rFonts w:ascii="Book Antiqua" w:hAnsi="Book Antiqua" w:cs="Book Antiqua"/>
          <w:sz w:val="24"/>
        </w:rPr>
        <w:t xml:space="preserve"> 2015; </w:t>
      </w:r>
      <w:r w:rsidRPr="00BD4675">
        <w:rPr>
          <w:rFonts w:ascii="Book Antiqua" w:hAnsi="Book Antiqua" w:cs="Book Antiqua"/>
          <w:b/>
          <w:sz w:val="24"/>
        </w:rPr>
        <w:t>125</w:t>
      </w:r>
      <w:r w:rsidRPr="00BD4675">
        <w:rPr>
          <w:rFonts w:ascii="Book Antiqua" w:hAnsi="Book Antiqua" w:cs="Book Antiqua"/>
          <w:sz w:val="24"/>
        </w:rPr>
        <w:t>: 2908-2914 [PMID: 25758828 DOI: 10.1182/blood-2015-01-551622]</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15 </w:t>
      </w:r>
      <w:r w:rsidRPr="00BD4675">
        <w:rPr>
          <w:rFonts w:ascii="Book Antiqua" w:hAnsi="Book Antiqua" w:cs="Book Antiqua"/>
          <w:b/>
          <w:sz w:val="24"/>
        </w:rPr>
        <w:t>Balis FM</w:t>
      </w:r>
      <w:r w:rsidRPr="00BD4675">
        <w:rPr>
          <w:rFonts w:ascii="Book Antiqua" w:hAnsi="Book Antiqua" w:cs="Book Antiqua"/>
          <w:sz w:val="24"/>
        </w:rPr>
        <w:t xml:space="preserve">, Lester CM, Chrousos GP, Heideman RL, Poplack DG. Differences in cerebrospinal fluid penetration of corticosteroids: possible relationship to the prevention of meningeal leukemia. </w:t>
      </w:r>
      <w:r w:rsidRPr="00BD4675">
        <w:rPr>
          <w:rFonts w:ascii="Book Antiqua" w:hAnsi="Book Antiqua" w:cs="Book Antiqua"/>
          <w:i/>
          <w:sz w:val="24"/>
        </w:rPr>
        <w:t>J Clin Oncol</w:t>
      </w:r>
      <w:r w:rsidRPr="00BD4675">
        <w:rPr>
          <w:rFonts w:ascii="Book Antiqua" w:hAnsi="Book Antiqua" w:cs="Book Antiqua"/>
          <w:sz w:val="24"/>
        </w:rPr>
        <w:t xml:space="preserve"> 1987; </w:t>
      </w:r>
      <w:r w:rsidRPr="00BD4675">
        <w:rPr>
          <w:rFonts w:ascii="Book Antiqua" w:hAnsi="Book Antiqua" w:cs="Book Antiqua"/>
          <w:b/>
          <w:sz w:val="24"/>
        </w:rPr>
        <w:t>5</w:t>
      </w:r>
      <w:r w:rsidRPr="00BD4675">
        <w:rPr>
          <w:rFonts w:ascii="Book Antiqua" w:hAnsi="Book Antiqua" w:cs="Book Antiqua"/>
          <w:sz w:val="24"/>
        </w:rPr>
        <w:t>: 202-207 [PMID: 3806166 DOI: 10.1200/jco.1987.5.2.202]</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16 </w:t>
      </w:r>
      <w:r w:rsidRPr="00BD4675">
        <w:rPr>
          <w:rFonts w:ascii="Book Antiqua" w:hAnsi="Book Antiqua" w:cs="Book Antiqua"/>
          <w:b/>
          <w:sz w:val="24"/>
        </w:rPr>
        <w:t>Imashuku S</w:t>
      </w:r>
      <w:r w:rsidRPr="00BD4675">
        <w:rPr>
          <w:rFonts w:ascii="Book Antiqua" w:hAnsi="Book Antiqua" w:cs="Book Antiqua"/>
          <w:sz w:val="24"/>
        </w:rPr>
        <w:t xml:space="preserve">, Hibi S, Kuriyama K, Tabata Y, Hashida T, Iwai A, Kato M, Yamashita N, Oda MUchida M, Kinugawa N, Sawada M, Konno M. Management of severe neutropenia with cyclosporin during initial treatment of Epstein-Barr virus-related hemophagocytic lymphohistiocytosis. </w:t>
      </w:r>
      <w:r w:rsidRPr="00BD4675">
        <w:rPr>
          <w:rFonts w:ascii="Book Antiqua" w:hAnsi="Book Antiqua" w:cs="Book Antiqua"/>
          <w:i/>
          <w:sz w:val="24"/>
        </w:rPr>
        <w:t>Leuk Lymphoma</w:t>
      </w:r>
      <w:r w:rsidRPr="00BD4675">
        <w:rPr>
          <w:rFonts w:ascii="Book Antiqua" w:hAnsi="Book Antiqua" w:cs="Book Antiqua"/>
          <w:sz w:val="24"/>
        </w:rPr>
        <w:t xml:space="preserve"> 2000; </w:t>
      </w:r>
      <w:r w:rsidRPr="00BD4675">
        <w:rPr>
          <w:rFonts w:ascii="Book Antiqua" w:hAnsi="Book Antiqua" w:cs="Book Antiqua"/>
          <w:b/>
          <w:sz w:val="24"/>
        </w:rPr>
        <w:t>36</w:t>
      </w:r>
      <w:r w:rsidRPr="00BD4675">
        <w:rPr>
          <w:rFonts w:ascii="Book Antiqua" w:hAnsi="Book Antiqua" w:cs="Book Antiqua"/>
          <w:sz w:val="24"/>
        </w:rPr>
        <w:t>: 339-346 [PMID: 10674906 DOI: 10.3109/10428190009148855]</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17 </w:t>
      </w:r>
      <w:r w:rsidRPr="00BD4675">
        <w:rPr>
          <w:rFonts w:ascii="Book Antiqua" w:hAnsi="Book Antiqua" w:cs="Book Antiqua"/>
          <w:b/>
          <w:sz w:val="24"/>
        </w:rPr>
        <w:t>Chen RL</w:t>
      </w:r>
      <w:r w:rsidRPr="00BD4675">
        <w:rPr>
          <w:rFonts w:ascii="Book Antiqua" w:hAnsi="Book Antiqua" w:cs="Book Antiqua"/>
          <w:sz w:val="24"/>
        </w:rPr>
        <w:t xml:space="preserve">, Lin KH, Lin DT, Su IJ, Huang LM, Lee PI, Hseih KH, Lin KS, Lee CY. Immunomodulation treatment for childhood virus-associated haemophagocytic lymphohistiocytosis. </w:t>
      </w:r>
      <w:r w:rsidRPr="00BD4675">
        <w:rPr>
          <w:rFonts w:ascii="Book Antiqua" w:hAnsi="Book Antiqua" w:cs="Book Antiqua"/>
          <w:i/>
          <w:sz w:val="24"/>
        </w:rPr>
        <w:t>Br J Haematol</w:t>
      </w:r>
      <w:r w:rsidRPr="00BD4675">
        <w:rPr>
          <w:rFonts w:ascii="Book Antiqua" w:hAnsi="Book Antiqua" w:cs="Book Antiqua"/>
          <w:sz w:val="24"/>
        </w:rPr>
        <w:t xml:space="preserve"> 1995; </w:t>
      </w:r>
      <w:r w:rsidRPr="00BD4675">
        <w:rPr>
          <w:rFonts w:ascii="Book Antiqua" w:hAnsi="Book Antiqua" w:cs="Book Antiqua"/>
          <w:b/>
          <w:sz w:val="24"/>
        </w:rPr>
        <w:t>89</w:t>
      </w:r>
      <w:r w:rsidRPr="00BD4675">
        <w:rPr>
          <w:rFonts w:ascii="Book Antiqua" w:hAnsi="Book Antiqua" w:cs="Book Antiqua"/>
          <w:sz w:val="24"/>
        </w:rPr>
        <w:t>: 282-290 [PMID: 7873378 DOI: 10.1111/j.1365-2141.1995.tb03302.x]</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18 </w:t>
      </w:r>
      <w:r w:rsidRPr="00BD4675">
        <w:rPr>
          <w:rFonts w:ascii="Book Antiqua" w:hAnsi="Book Antiqua" w:cs="Book Antiqua"/>
          <w:b/>
          <w:sz w:val="24"/>
        </w:rPr>
        <w:t>Jordan MB</w:t>
      </w:r>
      <w:r w:rsidRPr="00BD4675">
        <w:rPr>
          <w:rFonts w:ascii="Book Antiqua" w:hAnsi="Book Antiqua" w:cs="Book Antiqua"/>
          <w:sz w:val="24"/>
        </w:rPr>
        <w:t xml:space="preserve">, Allen CE, Weitzman S, Filipovich AH, McClain KL. How I treat hemophagocytic lymphohistiocytosis. </w:t>
      </w:r>
      <w:r w:rsidRPr="00BD4675">
        <w:rPr>
          <w:rFonts w:ascii="Book Antiqua" w:hAnsi="Book Antiqua" w:cs="Book Antiqua"/>
          <w:i/>
          <w:sz w:val="24"/>
        </w:rPr>
        <w:t>Blood</w:t>
      </w:r>
      <w:r w:rsidRPr="00BD4675">
        <w:rPr>
          <w:rFonts w:ascii="Book Antiqua" w:hAnsi="Book Antiqua" w:cs="Book Antiqua"/>
          <w:sz w:val="24"/>
        </w:rPr>
        <w:t xml:space="preserve"> 2011; </w:t>
      </w:r>
      <w:r w:rsidRPr="00BD4675">
        <w:rPr>
          <w:rFonts w:ascii="Book Antiqua" w:hAnsi="Book Antiqua" w:cs="Book Antiqua"/>
          <w:b/>
          <w:sz w:val="24"/>
        </w:rPr>
        <w:t>118</w:t>
      </w:r>
      <w:r w:rsidRPr="00BD4675">
        <w:rPr>
          <w:rFonts w:ascii="Book Antiqua" w:hAnsi="Book Antiqua" w:cs="Book Antiqua"/>
          <w:sz w:val="24"/>
        </w:rPr>
        <w:t>: 4041-4052 [PMID: 21828139 DOI: 10.1182/blood-2011-03-278127]</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19 </w:t>
      </w:r>
      <w:r w:rsidRPr="00BD4675">
        <w:rPr>
          <w:rFonts w:ascii="Book Antiqua" w:hAnsi="Book Antiqua" w:cs="Book Antiqua"/>
          <w:b/>
          <w:sz w:val="24"/>
        </w:rPr>
        <w:t>Simon DW</w:t>
      </w:r>
      <w:r w:rsidRPr="00BD4675">
        <w:rPr>
          <w:rFonts w:ascii="Book Antiqua" w:hAnsi="Book Antiqua" w:cs="Book Antiqua"/>
          <w:sz w:val="24"/>
        </w:rPr>
        <w:t xml:space="preserve">, Aneja R, Carcillo JA, Halstead ES. Plasma exchange, methylprednisolone, IV immune globulin, and now anakinra support continued PICU equipoise in management of hyperferritinemia-associated sepsis/multiple organ dysfunction syndrome/macrophage activation syndrome/secondary hemophagocytic lymphohistiocytosis syndrome*. </w:t>
      </w:r>
      <w:r w:rsidRPr="00BD4675">
        <w:rPr>
          <w:rFonts w:ascii="Book Antiqua" w:hAnsi="Book Antiqua" w:cs="Book Antiqua"/>
          <w:i/>
          <w:sz w:val="24"/>
        </w:rPr>
        <w:t>Pediatr Crit Care Med</w:t>
      </w:r>
      <w:r w:rsidRPr="00BD4675">
        <w:rPr>
          <w:rFonts w:ascii="Book Antiqua" w:hAnsi="Book Antiqua" w:cs="Book Antiqua"/>
          <w:sz w:val="24"/>
        </w:rPr>
        <w:t xml:space="preserve"> 2014; </w:t>
      </w:r>
      <w:r w:rsidRPr="00BD4675">
        <w:rPr>
          <w:rFonts w:ascii="Book Antiqua" w:hAnsi="Book Antiqua" w:cs="Book Antiqua"/>
          <w:b/>
          <w:sz w:val="24"/>
        </w:rPr>
        <w:t>15</w:t>
      </w:r>
      <w:r w:rsidRPr="00BD4675">
        <w:rPr>
          <w:rFonts w:ascii="Book Antiqua" w:hAnsi="Book Antiqua" w:cs="Book Antiqua"/>
          <w:sz w:val="24"/>
        </w:rPr>
        <w:t>: 486-488 [PMID: 24892479 DOI: 10.1097/PCC.0000000000000098]</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20 </w:t>
      </w:r>
      <w:r w:rsidRPr="00BD4675">
        <w:rPr>
          <w:rFonts w:ascii="Book Antiqua" w:hAnsi="Book Antiqua" w:cs="Book Antiqua"/>
          <w:b/>
          <w:sz w:val="24"/>
        </w:rPr>
        <w:t>Hot A</w:t>
      </w:r>
      <w:r w:rsidRPr="00BD4675">
        <w:rPr>
          <w:rFonts w:ascii="Book Antiqua" w:hAnsi="Book Antiqua" w:cs="Book Antiqua"/>
          <w:sz w:val="24"/>
        </w:rPr>
        <w:t xml:space="preserve">, Madoux MH, Viard JP, Coppéré B, Ninet J. Successful treatment of cytomegalovirus-associated hemophagocytic syndrome by intravenous immunoglobulins. </w:t>
      </w:r>
      <w:r w:rsidRPr="00BD4675">
        <w:rPr>
          <w:rFonts w:ascii="Book Antiqua" w:hAnsi="Book Antiqua" w:cs="Book Antiqua"/>
          <w:i/>
          <w:sz w:val="24"/>
        </w:rPr>
        <w:t>Am J Hematol</w:t>
      </w:r>
      <w:r w:rsidRPr="00BD4675">
        <w:rPr>
          <w:rFonts w:ascii="Book Antiqua" w:hAnsi="Book Antiqua" w:cs="Book Antiqua"/>
          <w:sz w:val="24"/>
        </w:rPr>
        <w:t xml:space="preserve"> 2008; </w:t>
      </w:r>
      <w:r w:rsidRPr="00BD4675">
        <w:rPr>
          <w:rFonts w:ascii="Book Antiqua" w:hAnsi="Book Antiqua" w:cs="Book Antiqua"/>
          <w:b/>
          <w:sz w:val="24"/>
        </w:rPr>
        <w:t>83</w:t>
      </w:r>
      <w:r w:rsidRPr="00BD4675">
        <w:rPr>
          <w:rFonts w:ascii="Book Antiqua" w:hAnsi="Book Antiqua" w:cs="Book Antiqua"/>
          <w:sz w:val="24"/>
        </w:rPr>
        <w:t>: 159-162 [PMID: 17849465 DOI: 10.1002/ajh.21008]</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21 </w:t>
      </w:r>
      <w:r w:rsidRPr="00BD4675">
        <w:rPr>
          <w:rFonts w:ascii="Book Antiqua" w:hAnsi="Book Antiqua" w:cs="Book Antiqua"/>
          <w:b/>
          <w:sz w:val="24"/>
        </w:rPr>
        <w:t>Schram AM</w:t>
      </w:r>
      <w:r w:rsidRPr="00BD4675">
        <w:rPr>
          <w:rFonts w:ascii="Book Antiqua" w:hAnsi="Book Antiqua" w:cs="Book Antiqua"/>
          <w:sz w:val="24"/>
        </w:rPr>
        <w:t xml:space="preserve">, Campigotto F, Mullally A, Fogerty A, Massarotti E, Neuberg D, Berliner N. Marked hyperferritinemia does not predict for HLH in the adult population. </w:t>
      </w:r>
      <w:r w:rsidRPr="00BD4675">
        <w:rPr>
          <w:rFonts w:ascii="Book Antiqua" w:hAnsi="Book Antiqua" w:cs="Book Antiqua"/>
          <w:i/>
          <w:sz w:val="24"/>
        </w:rPr>
        <w:t>Blood</w:t>
      </w:r>
      <w:r w:rsidRPr="00BD4675">
        <w:rPr>
          <w:rFonts w:ascii="Book Antiqua" w:hAnsi="Book Antiqua" w:cs="Book Antiqua"/>
          <w:sz w:val="24"/>
        </w:rPr>
        <w:t xml:space="preserve"> 2015; </w:t>
      </w:r>
      <w:r w:rsidRPr="00BD4675">
        <w:rPr>
          <w:rFonts w:ascii="Book Antiqua" w:hAnsi="Book Antiqua" w:cs="Book Antiqua"/>
          <w:b/>
          <w:sz w:val="24"/>
        </w:rPr>
        <w:t>125</w:t>
      </w:r>
      <w:r w:rsidRPr="00BD4675">
        <w:rPr>
          <w:rFonts w:ascii="Book Antiqua" w:hAnsi="Book Antiqua" w:cs="Book Antiqua"/>
          <w:sz w:val="24"/>
        </w:rPr>
        <w:t>: 1548-1552 [PMID: 25573993 DOI: 10.1182/blood-2014-10-602607]</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22 </w:t>
      </w:r>
      <w:r w:rsidRPr="00BD4675">
        <w:rPr>
          <w:rFonts w:ascii="Book Antiqua" w:hAnsi="Book Antiqua" w:cs="Book Antiqua"/>
          <w:b/>
          <w:sz w:val="24"/>
        </w:rPr>
        <w:t>Allen CE</w:t>
      </w:r>
      <w:r w:rsidRPr="00BD4675">
        <w:rPr>
          <w:rFonts w:ascii="Book Antiqua" w:hAnsi="Book Antiqua" w:cs="Book Antiqua"/>
          <w:sz w:val="24"/>
        </w:rPr>
        <w:t xml:space="preserve">, Yu X, Kozinetz CA, McClain KL. Highly elevated ferritin levels and the diagnosis of hemophagocytic lymphohistiocytosis. </w:t>
      </w:r>
      <w:r w:rsidRPr="00BD4675">
        <w:rPr>
          <w:rFonts w:ascii="Book Antiqua" w:hAnsi="Book Antiqua" w:cs="Book Antiqua"/>
          <w:i/>
          <w:sz w:val="24"/>
        </w:rPr>
        <w:t>Pediatr Blood Cancer</w:t>
      </w:r>
      <w:r w:rsidRPr="00BD4675">
        <w:rPr>
          <w:rFonts w:ascii="Book Antiqua" w:hAnsi="Book Antiqua" w:cs="Book Antiqua"/>
          <w:sz w:val="24"/>
        </w:rPr>
        <w:t xml:space="preserve"> 2008; </w:t>
      </w:r>
      <w:r w:rsidRPr="00BD4675">
        <w:rPr>
          <w:rFonts w:ascii="Book Antiqua" w:hAnsi="Book Antiqua" w:cs="Book Antiqua"/>
          <w:b/>
          <w:sz w:val="24"/>
        </w:rPr>
        <w:t>50</w:t>
      </w:r>
      <w:r w:rsidRPr="00BD4675">
        <w:rPr>
          <w:rFonts w:ascii="Book Antiqua" w:hAnsi="Book Antiqua" w:cs="Book Antiqua"/>
          <w:sz w:val="24"/>
        </w:rPr>
        <w:t>: 1227-1235 [PMID: 18085676 DOI: 10.1002/pbc.21423]</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23 </w:t>
      </w:r>
      <w:r w:rsidRPr="00BD4675">
        <w:rPr>
          <w:rFonts w:ascii="Book Antiqua" w:hAnsi="Book Antiqua" w:cs="Book Antiqua"/>
          <w:b/>
          <w:sz w:val="24"/>
        </w:rPr>
        <w:t>Zhou J</w:t>
      </w:r>
      <w:r w:rsidRPr="00BD4675">
        <w:rPr>
          <w:rFonts w:ascii="Book Antiqua" w:hAnsi="Book Antiqua" w:cs="Book Antiqua"/>
          <w:sz w:val="24"/>
        </w:rPr>
        <w:t xml:space="preserve">, Zhou J, Shen DT, Goyal H, Wu ZQ, Xu HG. Development and validation of the prognostic value of ferritin in adult patients with Hemophagocytic Lymphohistiocytosis. </w:t>
      </w:r>
      <w:r w:rsidRPr="00BD4675">
        <w:rPr>
          <w:rFonts w:ascii="Book Antiqua" w:hAnsi="Book Antiqua" w:cs="Book Antiqua"/>
          <w:i/>
          <w:sz w:val="24"/>
        </w:rPr>
        <w:t>Orphanet J Rare Dis</w:t>
      </w:r>
      <w:r w:rsidRPr="00BD4675">
        <w:rPr>
          <w:rFonts w:ascii="Book Antiqua" w:hAnsi="Book Antiqua" w:cs="Book Antiqua"/>
          <w:sz w:val="24"/>
        </w:rPr>
        <w:t xml:space="preserve"> 2020; </w:t>
      </w:r>
      <w:r w:rsidRPr="00BD4675">
        <w:rPr>
          <w:rFonts w:ascii="Book Antiqua" w:hAnsi="Book Antiqua" w:cs="Book Antiqua"/>
          <w:b/>
          <w:sz w:val="24"/>
        </w:rPr>
        <w:t>15</w:t>
      </w:r>
      <w:r w:rsidRPr="00BD4675">
        <w:rPr>
          <w:rFonts w:ascii="Book Antiqua" w:hAnsi="Book Antiqua" w:cs="Book Antiqua"/>
          <w:sz w:val="24"/>
        </w:rPr>
        <w:t>: 71 [PMID: 32164748 DOI: 10.1186/s13023-020-1336-6]</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24 </w:t>
      </w:r>
      <w:r w:rsidRPr="00BD4675">
        <w:rPr>
          <w:rFonts w:ascii="Book Antiqua" w:hAnsi="Book Antiqua" w:cs="Book Antiqua"/>
          <w:b/>
          <w:sz w:val="24"/>
        </w:rPr>
        <w:t>Switala JR</w:t>
      </w:r>
      <w:r w:rsidRPr="00BD4675">
        <w:rPr>
          <w:rFonts w:ascii="Book Antiqua" w:hAnsi="Book Antiqua" w:cs="Book Antiqua"/>
          <w:sz w:val="24"/>
        </w:rPr>
        <w:t xml:space="preserve">, Hendricks M, Davidson A. Serum ferritin is a cost-effective laboratory marker for hemophagocytic lymphohistiocytosis in the developing world. </w:t>
      </w:r>
      <w:r w:rsidRPr="00BD4675">
        <w:rPr>
          <w:rFonts w:ascii="Book Antiqua" w:hAnsi="Book Antiqua" w:cs="Book Antiqua"/>
          <w:i/>
          <w:sz w:val="24"/>
        </w:rPr>
        <w:t>J Pediatr Hematol Oncol</w:t>
      </w:r>
      <w:r w:rsidRPr="00BD4675">
        <w:rPr>
          <w:rFonts w:ascii="Book Antiqua" w:hAnsi="Book Antiqua" w:cs="Book Antiqua"/>
          <w:sz w:val="24"/>
        </w:rPr>
        <w:t xml:space="preserve"> 2012; </w:t>
      </w:r>
      <w:r w:rsidRPr="00BD4675">
        <w:rPr>
          <w:rFonts w:ascii="Book Antiqua" w:hAnsi="Book Antiqua" w:cs="Book Antiqua"/>
          <w:b/>
          <w:sz w:val="24"/>
        </w:rPr>
        <w:t>34</w:t>
      </w:r>
      <w:r w:rsidRPr="00BD4675">
        <w:rPr>
          <w:rFonts w:ascii="Book Antiqua" w:hAnsi="Book Antiqua" w:cs="Book Antiqua"/>
          <w:sz w:val="24"/>
        </w:rPr>
        <w:t>: e89-e92 [PMID: 22322940 DOI: 10.1097/MPH.0b013e31824227b9]</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25 </w:t>
      </w:r>
      <w:r w:rsidRPr="00BD4675">
        <w:rPr>
          <w:rFonts w:ascii="Book Antiqua" w:hAnsi="Book Antiqua" w:cs="Book Antiqua"/>
          <w:b/>
          <w:sz w:val="24"/>
        </w:rPr>
        <w:t>Gao X</w:t>
      </w:r>
      <w:r w:rsidRPr="00BD4675">
        <w:rPr>
          <w:rFonts w:ascii="Book Antiqua" w:hAnsi="Book Antiqua" w:cs="Book Antiqua"/>
          <w:sz w:val="24"/>
        </w:rPr>
        <w:t xml:space="preserve">, Qiu HX, Wang JJ, Song M, Duan LM, Tian T. [Clinical significance of serum calcium and albumin in patients with secondary hemophagocytic lymphohistiocytosis]. </w:t>
      </w:r>
      <w:r w:rsidRPr="00BD4675">
        <w:rPr>
          <w:rFonts w:ascii="Book Antiqua" w:hAnsi="Book Antiqua" w:cs="Book Antiqua"/>
          <w:i/>
          <w:sz w:val="24"/>
        </w:rPr>
        <w:t>Zhonghua Xue Ye Xue Za Zhi</w:t>
      </w:r>
      <w:r w:rsidRPr="00BD4675">
        <w:rPr>
          <w:rFonts w:ascii="Book Antiqua" w:hAnsi="Book Antiqua" w:cs="Book Antiqua"/>
          <w:sz w:val="24"/>
        </w:rPr>
        <w:t xml:space="preserve"> 2017; </w:t>
      </w:r>
      <w:r w:rsidRPr="00BD4675">
        <w:rPr>
          <w:rFonts w:ascii="Book Antiqua" w:hAnsi="Book Antiqua" w:cs="Book Antiqua"/>
          <w:b/>
          <w:sz w:val="24"/>
        </w:rPr>
        <w:t>38</w:t>
      </w:r>
      <w:r w:rsidRPr="00BD4675">
        <w:rPr>
          <w:rFonts w:ascii="Book Antiqua" w:hAnsi="Book Antiqua" w:cs="Book Antiqua"/>
          <w:sz w:val="24"/>
        </w:rPr>
        <w:t>: 1031-1035 [PMID: 29365395 DOI: 10.3760/cma.j.issn.0253-2727.2017.12.005]</w:t>
      </w:r>
    </w:p>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 xml:space="preserve">26 </w:t>
      </w:r>
      <w:r w:rsidRPr="00BD4675">
        <w:rPr>
          <w:rFonts w:ascii="Book Antiqua" w:hAnsi="Book Antiqua" w:cs="Book Antiqua"/>
          <w:b/>
          <w:sz w:val="24"/>
        </w:rPr>
        <w:t>Huang W</w:t>
      </w:r>
      <w:r w:rsidRPr="00BD4675">
        <w:rPr>
          <w:rFonts w:ascii="Book Antiqua" w:hAnsi="Book Antiqua" w:cs="Book Antiqua"/>
          <w:sz w:val="24"/>
        </w:rPr>
        <w:t xml:space="preserve">, Wang Y, Wang J, Zhang J, Wu L, Li S, Tang R, Zeng X, Chen J, Pei R, Wang Z. [Clinical characteristics of 192 adult hemophagocytic lymphohistiocytosis]. </w:t>
      </w:r>
      <w:r w:rsidRPr="00BD4675">
        <w:rPr>
          <w:rFonts w:ascii="Book Antiqua" w:hAnsi="Book Antiqua" w:cs="Book Antiqua"/>
          <w:i/>
          <w:sz w:val="24"/>
        </w:rPr>
        <w:t>Zhonghua Xue Ye Xue Za Zhi</w:t>
      </w:r>
      <w:r w:rsidRPr="00BD4675">
        <w:rPr>
          <w:rFonts w:ascii="Book Antiqua" w:hAnsi="Book Antiqua" w:cs="Book Antiqua"/>
          <w:sz w:val="24"/>
        </w:rPr>
        <w:t xml:space="preserve"> 2014; </w:t>
      </w:r>
      <w:r w:rsidRPr="00BD4675">
        <w:rPr>
          <w:rFonts w:ascii="Book Antiqua" w:hAnsi="Book Antiqua" w:cs="Book Antiqua"/>
          <w:b/>
          <w:sz w:val="24"/>
        </w:rPr>
        <w:t>35</w:t>
      </w:r>
      <w:r w:rsidRPr="00BD4675">
        <w:rPr>
          <w:rFonts w:ascii="Book Antiqua" w:hAnsi="Book Antiqua" w:cs="Book Antiqua"/>
          <w:sz w:val="24"/>
        </w:rPr>
        <w:t>: 796-801 [PMID: 25246246 DOI: 10.3760/cma.j.issn.0253-2727.2014.09.003]</w:t>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sz w:val="24"/>
        </w:rPr>
        <w:fldChar w:fldCharType="end"/>
      </w:r>
      <w:bookmarkEnd w:id="25"/>
    </w:p>
    <w:p w:rsidR="00FE09F3" w:rsidRPr="0096075B" w:rsidRDefault="00FE09F3" w:rsidP="0096075B">
      <w:pPr>
        <w:snapToGrid w:val="0"/>
        <w:spacing w:line="360" w:lineRule="auto"/>
        <w:rPr>
          <w:rFonts w:ascii="Book Antiqua" w:hAnsi="Book Antiqua" w:cs="Book Antiqua"/>
          <w:sz w:val="24"/>
        </w:rPr>
        <w:sectPr w:rsidR="00FE09F3" w:rsidRPr="0096075B" w:rsidSect="0096075B">
          <w:pgSz w:w="11906" w:h="16838"/>
          <w:pgMar w:top="1440" w:right="1440" w:bottom="1440" w:left="1440" w:header="850" w:footer="994" w:gutter="0"/>
          <w:cols w:space="720"/>
          <w:docGrid w:type="lines" w:linePitch="312"/>
        </w:sectPr>
      </w:pPr>
      <w:r w:rsidRPr="0096075B">
        <w:rPr>
          <w:rFonts w:ascii="Book Antiqua" w:hAnsi="Book Antiqua" w:cs="Book Antiqua"/>
          <w:sz w:val="24"/>
        </w:rPr>
        <w:fldChar w:fldCharType="end"/>
      </w:r>
    </w:p>
    <w:p w:rsidR="00FE09F3" w:rsidRPr="0096075B" w:rsidRDefault="00FE09F3" w:rsidP="0096075B">
      <w:pPr>
        <w:snapToGrid w:val="0"/>
        <w:spacing w:line="360" w:lineRule="auto"/>
        <w:rPr>
          <w:rFonts w:ascii="Book Antiqua" w:hAnsi="Book Antiqua" w:cs="Book Antiqua"/>
          <w:b/>
          <w:bCs/>
          <w:sz w:val="24"/>
        </w:rPr>
      </w:pPr>
      <w:r w:rsidRPr="0096075B">
        <w:rPr>
          <w:rFonts w:ascii="Book Antiqua" w:hAnsi="Book Antiqua" w:cs="Book Antiqua"/>
          <w:b/>
          <w:bCs/>
          <w:sz w:val="24"/>
        </w:rPr>
        <w:t>Footnotes</w:t>
      </w:r>
    </w:p>
    <w:p w:rsidR="00FE09F3" w:rsidRPr="0096075B" w:rsidRDefault="00FE09F3" w:rsidP="0096075B">
      <w:pPr>
        <w:snapToGrid w:val="0"/>
        <w:spacing w:line="360" w:lineRule="auto"/>
        <w:rPr>
          <w:rFonts w:ascii="Book Antiqua" w:eastAsia="宋体" w:hAnsi="Book Antiqua" w:cs="Book Antiqua"/>
          <w:b/>
          <w:bCs/>
          <w:sz w:val="24"/>
        </w:rPr>
      </w:pPr>
      <w:r w:rsidRPr="0096075B">
        <w:rPr>
          <w:rFonts w:ascii="Book Antiqua" w:hAnsi="Book Antiqua" w:cs="Book Antiqua"/>
          <w:b/>
          <w:bCs/>
          <w:sz w:val="24"/>
        </w:rPr>
        <w:t xml:space="preserve">Informed consent statement: </w:t>
      </w:r>
      <w:r w:rsidRPr="0096075B">
        <w:rPr>
          <w:rFonts w:ascii="Book Antiqua" w:hAnsi="Book Antiqua" w:cs="Book Antiqua"/>
          <w:sz w:val="24"/>
        </w:rPr>
        <w:t>Informed consent was obtained from the patient.</w:t>
      </w:r>
    </w:p>
    <w:p w:rsidR="00FE09F3" w:rsidRPr="0096075B" w:rsidRDefault="00FE09F3" w:rsidP="0096075B">
      <w:pPr>
        <w:snapToGrid w:val="0"/>
        <w:spacing w:line="360" w:lineRule="auto"/>
        <w:rPr>
          <w:rFonts w:ascii="Book Antiqua" w:hAnsi="Book Antiqua" w:cs="Book Antiqua"/>
          <w:b/>
          <w:bCs/>
          <w:sz w:val="24"/>
        </w:rPr>
      </w:pPr>
    </w:p>
    <w:p w:rsidR="00FE09F3" w:rsidRPr="0096075B" w:rsidRDefault="00FE09F3" w:rsidP="0096075B">
      <w:pPr>
        <w:snapToGrid w:val="0"/>
        <w:spacing w:line="360" w:lineRule="auto"/>
        <w:rPr>
          <w:rFonts w:ascii="Book Antiqua" w:eastAsia="宋体" w:hAnsi="Book Antiqua" w:cs="Book Antiqua"/>
          <w:b/>
          <w:bCs/>
          <w:sz w:val="24"/>
        </w:rPr>
      </w:pPr>
      <w:r w:rsidRPr="00BD4675">
        <w:rPr>
          <w:rFonts w:ascii="Book Antiqua" w:hAnsi="Book Antiqua" w:cs="Book Antiqua"/>
          <w:b/>
          <w:bCs/>
          <w:sz w:val="24"/>
        </w:rPr>
        <w:t xml:space="preserve">Conflict-of-interest statement: </w:t>
      </w:r>
      <w:r w:rsidRPr="00BD4675">
        <w:rPr>
          <w:rFonts w:ascii="Book Antiqua" w:hAnsi="Book Antiqua" w:cs="Book Antiqua"/>
          <w:sz w:val="24"/>
        </w:rPr>
        <w:t>We declare that we have no conflict</w:t>
      </w:r>
      <w:r w:rsidR="00A90528" w:rsidRPr="0096075B">
        <w:rPr>
          <w:rFonts w:ascii="Book Antiqua" w:hAnsi="Book Antiqua" w:cs="Book Antiqua"/>
          <w:sz w:val="24"/>
        </w:rPr>
        <w:t>s</w:t>
      </w:r>
      <w:r w:rsidRPr="0096075B">
        <w:rPr>
          <w:rFonts w:ascii="Book Antiqua" w:hAnsi="Book Antiqua" w:cs="Book Antiqua"/>
          <w:sz w:val="24"/>
        </w:rPr>
        <w:t xml:space="preserve"> of interest.</w:t>
      </w:r>
    </w:p>
    <w:p w:rsidR="00FE09F3" w:rsidRPr="0096075B" w:rsidRDefault="00FE09F3" w:rsidP="0096075B">
      <w:pPr>
        <w:snapToGrid w:val="0"/>
        <w:spacing w:line="360" w:lineRule="auto"/>
        <w:rPr>
          <w:rFonts w:ascii="Book Antiqua" w:hAnsi="Book Antiqua" w:cs="Book Antiqua"/>
          <w:b/>
          <w:bCs/>
          <w:sz w:val="24"/>
        </w:rPr>
      </w:pPr>
    </w:p>
    <w:p w:rsidR="00FE09F3" w:rsidRPr="00BD4675" w:rsidRDefault="00FE09F3" w:rsidP="0096075B">
      <w:pPr>
        <w:snapToGrid w:val="0"/>
        <w:spacing w:line="360" w:lineRule="auto"/>
        <w:rPr>
          <w:rFonts w:ascii="Book Antiqua" w:eastAsia="Book Antiqua" w:hAnsi="Book Antiqua" w:cs="Book Antiqua"/>
          <w:bCs/>
          <w:sz w:val="24"/>
        </w:rPr>
      </w:pPr>
      <w:r w:rsidRPr="00BD4675">
        <w:rPr>
          <w:rFonts w:ascii="Book Antiqua" w:eastAsia="宋体" w:hAnsi="Book Antiqua" w:cs="Book Antiqua"/>
          <w:b/>
          <w:bCs/>
          <w:sz w:val="24"/>
        </w:rPr>
        <w:t>CARE Checklist (2016) statement:</w:t>
      </w:r>
      <w:r w:rsidRPr="00BD4675">
        <w:rPr>
          <w:rFonts w:ascii="Book Antiqua" w:eastAsia="Book Antiqua" w:hAnsi="Book Antiqua" w:cs="Book Antiqua"/>
          <w:b/>
          <w:sz w:val="24"/>
        </w:rPr>
        <w:t xml:space="preserve"> </w:t>
      </w:r>
      <w:r w:rsidRPr="00BD4675">
        <w:rPr>
          <w:rFonts w:ascii="Book Antiqua" w:eastAsia="Book Antiqua" w:hAnsi="Book Antiqua" w:cs="Book Antiqua"/>
          <w:bCs/>
          <w:sz w:val="24"/>
        </w:rPr>
        <w:t>The authors have read the CARE Checklist (2016), and the manuscript was prepared and revised according to the CARE Checklist (2016).</w:t>
      </w:r>
    </w:p>
    <w:p w:rsidR="00FE09F3" w:rsidRPr="00BD4675" w:rsidRDefault="00FE09F3" w:rsidP="0096075B">
      <w:pPr>
        <w:snapToGrid w:val="0"/>
        <w:spacing w:line="360" w:lineRule="auto"/>
        <w:rPr>
          <w:rFonts w:ascii="Book Antiqua" w:eastAsia="Book Antiqua" w:hAnsi="Book Antiqua" w:cs="Book Antiqua"/>
          <w:bCs/>
          <w:sz w:val="24"/>
        </w:rPr>
      </w:pP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Open-Access:</w:t>
      </w:r>
      <w:r w:rsidRPr="00BD4675">
        <w:rPr>
          <w:rFonts w:ascii="Book Antiqua" w:eastAsia="宋体" w:hAnsi="Book Antiqua" w:cs="Book Antiqua"/>
          <w:b/>
        </w:rPr>
        <w:t xml:space="preserve"> </w:t>
      </w:r>
      <w:r w:rsidRPr="00BD467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E09F3" w:rsidRPr="00BD4675" w:rsidRDefault="00FE09F3" w:rsidP="0096075B">
      <w:pPr>
        <w:pStyle w:val="a9"/>
        <w:widowControl/>
        <w:snapToGrid w:val="0"/>
        <w:spacing w:before="0" w:beforeAutospacing="0" w:after="0" w:afterAutospacing="0" w:line="360" w:lineRule="auto"/>
        <w:jc w:val="both"/>
        <w:rPr>
          <w:rFonts w:ascii="Book Antiqua" w:eastAsia="Book Antiqua" w:hAnsi="Book Antiqua" w:cs="Book Antiqua"/>
          <w:b/>
        </w:rPr>
      </w:pP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Manuscript source:</w:t>
      </w:r>
      <w:r w:rsidRPr="00BD4675">
        <w:rPr>
          <w:rFonts w:ascii="Book Antiqua" w:eastAsia="宋体" w:hAnsi="Book Antiqua" w:cs="Book Antiqua"/>
          <w:b/>
        </w:rPr>
        <w:t xml:space="preserve"> </w:t>
      </w:r>
      <w:r w:rsidRPr="00BD4675">
        <w:rPr>
          <w:rFonts w:ascii="Book Antiqua" w:eastAsia="Book Antiqua" w:hAnsi="Book Antiqua" w:cs="Book Antiqua"/>
        </w:rPr>
        <w:t xml:space="preserve">Unsolicited </w:t>
      </w:r>
      <w:r w:rsidRPr="00BD4675">
        <w:rPr>
          <w:rFonts w:ascii="Book Antiqua" w:eastAsia="宋体" w:hAnsi="Book Antiqua" w:cs="Book Antiqua"/>
        </w:rPr>
        <w:t>m</w:t>
      </w:r>
      <w:r w:rsidRPr="00BD4675">
        <w:rPr>
          <w:rFonts w:ascii="Book Antiqua" w:eastAsia="Book Antiqua" w:hAnsi="Book Antiqua" w:cs="Book Antiqua"/>
        </w:rPr>
        <w:t>anuscript</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Peer-review started:</w:t>
      </w:r>
      <w:r w:rsidRPr="00BD4675">
        <w:rPr>
          <w:rFonts w:ascii="Book Antiqua" w:eastAsia="宋体" w:hAnsi="Book Antiqua" w:cs="Book Antiqua"/>
          <w:b/>
        </w:rPr>
        <w:t xml:space="preserve"> </w:t>
      </w:r>
      <w:r w:rsidRPr="00BD4675">
        <w:rPr>
          <w:rFonts w:ascii="Book Antiqua" w:eastAsia="Book Antiqua" w:hAnsi="Book Antiqua" w:cs="Book Antiqua"/>
        </w:rPr>
        <w:t>July 12, 2020</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First decision:</w:t>
      </w:r>
      <w:r w:rsidRPr="00BD4675">
        <w:rPr>
          <w:rFonts w:ascii="Book Antiqua" w:eastAsia="宋体" w:hAnsi="Book Antiqua" w:cs="Book Antiqua"/>
          <w:b/>
        </w:rPr>
        <w:t xml:space="preserve"> </w:t>
      </w:r>
      <w:r w:rsidRPr="00BD4675">
        <w:rPr>
          <w:rFonts w:ascii="Book Antiqua" w:eastAsia="Book Antiqua" w:hAnsi="Book Antiqua" w:cs="Book Antiqua"/>
        </w:rPr>
        <w:t>August 8, 2020</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Article in press:</w:t>
      </w:r>
      <w:r w:rsidR="00A333BE" w:rsidRPr="00A333BE">
        <w:rPr>
          <w:rFonts w:ascii="Book Antiqua" w:hAnsi="Book Antiqua" w:cs="Arial"/>
          <w:shd w:val="clear" w:color="auto" w:fill="FFFFFF"/>
        </w:rPr>
        <w:t xml:space="preserve"> </w:t>
      </w:r>
      <w:r w:rsidR="00A333BE" w:rsidRPr="00BD4675">
        <w:rPr>
          <w:rFonts w:ascii="Book Antiqua" w:hAnsi="Book Antiqua" w:cs="Arial"/>
          <w:shd w:val="clear" w:color="auto" w:fill="FFFFFF"/>
        </w:rPr>
        <w:t>September 10, 2020</w:t>
      </w:r>
    </w:p>
    <w:p w:rsidR="00FE09F3" w:rsidRPr="00BD4675" w:rsidRDefault="00FE09F3" w:rsidP="0096075B">
      <w:pPr>
        <w:pStyle w:val="a9"/>
        <w:widowControl/>
        <w:snapToGrid w:val="0"/>
        <w:spacing w:before="0" w:beforeAutospacing="0" w:after="0" w:afterAutospacing="0" w:line="360" w:lineRule="auto"/>
        <w:jc w:val="both"/>
        <w:rPr>
          <w:rFonts w:ascii="Book Antiqua" w:eastAsia="Book Antiqua" w:hAnsi="Book Antiqua" w:cs="Book Antiqua"/>
          <w:b/>
        </w:rPr>
      </w:pP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Specialty type:</w:t>
      </w:r>
      <w:r w:rsidRPr="00BD4675">
        <w:rPr>
          <w:rFonts w:ascii="Book Antiqua" w:eastAsia="宋体" w:hAnsi="Book Antiqua" w:cs="Book Antiqua"/>
          <w:b/>
        </w:rPr>
        <w:t xml:space="preserve"> </w:t>
      </w:r>
      <w:bookmarkStart w:id="26" w:name="OLE_LINK1953"/>
      <w:bookmarkStart w:id="27" w:name="OLE_LINK1952"/>
      <w:bookmarkStart w:id="28" w:name="OLE_LINK2066"/>
      <w:r w:rsidRPr="0096075B">
        <w:rPr>
          <w:rFonts w:ascii="Book Antiqua" w:eastAsia="微软雅黑" w:hAnsi="Book Antiqua" w:cs="Book Antiqua"/>
        </w:rPr>
        <w:t>Medicine, research and experimental</w:t>
      </w:r>
      <w:bookmarkEnd w:id="26"/>
      <w:bookmarkEnd w:id="27"/>
      <w:bookmarkEnd w:id="28"/>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Country/Territory of origin:</w:t>
      </w:r>
      <w:r w:rsidRPr="00BD4675">
        <w:rPr>
          <w:rFonts w:ascii="Book Antiqua" w:eastAsia="宋体" w:hAnsi="Book Antiqua" w:cs="Book Antiqua"/>
          <w:b/>
        </w:rPr>
        <w:t xml:space="preserve"> </w:t>
      </w:r>
      <w:r w:rsidRPr="00BD4675">
        <w:rPr>
          <w:rFonts w:ascii="Book Antiqua" w:eastAsia="Book Antiqua" w:hAnsi="Book Antiqua" w:cs="Book Antiqua"/>
        </w:rPr>
        <w:t>China</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b/>
        </w:rPr>
        <w:t>Peer-review report’s scientific quality classification</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rPr>
        <w:t>Grade A (Excellent): 0</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rPr>
        <w:t>Grade B (Very good): 0</w:t>
      </w:r>
    </w:p>
    <w:p w:rsidR="00FE09F3" w:rsidRPr="00BD4675" w:rsidRDefault="00FE09F3" w:rsidP="0096075B">
      <w:pPr>
        <w:pStyle w:val="a9"/>
        <w:widowControl/>
        <w:snapToGrid w:val="0"/>
        <w:spacing w:before="0" w:beforeAutospacing="0" w:after="0" w:afterAutospacing="0" w:line="360" w:lineRule="auto"/>
        <w:jc w:val="both"/>
        <w:rPr>
          <w:rFonts w:ascii="Book Antiqua" w:eastAsia="宋体" w:hAnsi="Book Antiqua" w:cs="Book Antiqua"/>
        </w:rPr>
      </w:pPr>
      <w:r w:rsidRPr="00BD4675">
        <w:rPr>
          <w:rFonts w:ascii="Book Antiqua" w:eastAsia="Book Antiqua" w:hAnsi="Book Antiqua" w:cs="Book Antiqua"/>
        </w:rPr>
        <w:t>Grade C (Good): C</w:t>
      </w:r>
      <w:r w:rsidRPr="00BD4675">
        <w:rPr>
          <w:rFonts w:ascii="Book Antiqua" w:eastAsia="宋体" w:hAnsi="Book Antiqua" w:cs="Book Antiqua"/>
        </w:rPr>
        <w:t>, C</w:t>
      </w:r>
    </w:p>
    <w:p w:rsidR="00FE09F3" w:rsidRPr="00BD4675" w:rsidRDefault="00FE09F3" w:rsidP="0096075B">
      <w:pPr>
        <w:pStyle w:val="a9"/>
        <w:widowControl/>
        <w:snapToGrid w:val="0"/>
        <w:spacing w:before="0" w:beforeAutospacing="0" w:after="0" w:afterAutospacing="0" w:line="360" w:lineRule="auto"/>
        <w:jc w:val="both"/>
        <w:rPr>
          <w:rFonts w:ascii="Book Antiqua" w:eastAsia="微软雅黑" w:hAnsi="Book Antiqua" w:cs="Book Antiqua"/>
        </w:rPr>
      </w:pPr>
      <w:r w:rsidRPr="00BD4675">
        <w:rPr>
          <w:rFonts w:ascii="Book Antiqua" w:eastAsia="Book Antiqua" w:hAnsi="Book Antiqua" w:cs="Book Antiqua"/>
        </w:rPr>
        <w:t>Grade D (Fair): 0</w:t>
      </w:r>
    </w:p>
    <w:p w:rsidR="00FE09F3" w:rsidRPr="00BD4675" w:rsidRDefault="00FE09F3" w:rsidP="0096075B">
      <w:pPr>
        <w:pStyle w:val="a9"/>
        <w:widowControl/>
        <w:snapToGrid w:val="0"/>
        <w:spacing w:before="0" w:beforeAutospacing="0" w:after="0" w:afterAutospacing="0" w:line="360" w:lineRule="auto"/>
        <w:jc w:val="both"/>
        <w:rPr>
          <w:rFonts w:ascii="Book Antiqua" w:eastAsia="Book Antiqua" w:hAnsi="Book Antiqua" w:cs="Book Antiqua"/>
        </w:rPr>
      </w:pPr>
      <w:r w:rsidRPr="00BD4675">
        <w:rPr>
          <w:rFonts w:ascii="Book Antiqua" w:eastAsia="Book Antiqua" w:hAnsi="Book Antiqua" w:cs="Book Antiqua"/>
        </w:rPr>
        <w:t>Grade E (Poor): 0</w:t>
      </w:r>
    </w:p>
    <w:p w:rsidR="00FE09F3" w:rsidRPr="00BD4675" w:rsidRDefault="00FE09F3" w:rsidP="0096075B">
      <w:pPr>
        <w:pStyle w:val="a9"/>
        <w:widowControl/>
        <w:snapToGrid w:val="0"/>
        <w:spacing w:before="0" w:beforeAutospacing="0" w:after="0" w:afterAutospacing="0" w:line="360" w:lineRule="auto"/>
        <w:jc w:val="both"/>
        <w:rPr>
          <w:rFonts w:ascii="Book Antiqua" w:eastAsia="Book Antiqua" w:hAnsi="Book Antiqua" w:cs="Book Antiqua"/>
        </w:rPr>
      </w:pPr>
    </w:p>
    <w:p w:rsidR="00FE09F3" w:rsidRPr="008F1458" w:rsidRDefault="00FE09F3" w:rsidP="0096075B">
      <w:pPr>
        <w:pStyle w:val="a9"/>
        <w:widowControl/>
        <w:snapToGrid w:val="0"/>
        <w:spacing w:before="0" w:beforeAutospacing="0" w:after="0" w:afterAutospacing="0" w:line="360" w:lineRule="auto"/>
        <w:jc w:val="both"/>
        <w:rPr>
          <w:rFonts w:ascii="Book Antiqua" w:eastAsia="宋体" w:hAnsi="Book Antiqua" w:cs="Book Antiqua"/>
        </w:rPr>
      </w:pPr>
      <w:r w:rsidRPr="00BD4675">
        <w:rPr>
          <w:rFonts w:ascii="Book Antiqua" w:eastAsia="Book Antiqua" w:hAnsi="Book Antiqua" w:cs="Book Antiqua"/>
          <w:b/>
        </w:rPr>
        <w:t>P-Reviewer:</w:t>
      </w:r>
      <w:r w:rsidRPr="00BD4675">
        <w:rPr>
          <w:rFonts w:ascii="Book Antiqua" w:eastAsia="宋体" w:hAnsi="Book Antiqua" w:cs="Book Antiqua"/>
          <w:b/>
        </w:rPr>
        <w:t xml:space="preserve"> </w:t>
      </w:r>
      <w:r w:rsidRPr="00BD4675">
        <w:rPr>
          <w:rFonts w:ascii="Book Antiqua" w:eastAsia="Book Antiqua" w:hAnsi="Book Antiqua" w:cs="Book Antiqua"/>
        </w:rPr>
        <w:t>El-Karaksy H</w:t>
      </w:r>
      <w:r w:rsidRPr="00BD4675">
        <w:rPr>
          <w:rFonts w:ascii="Book Antiqua" w:eastAsia="宋体" w:hAnsi="Book Antiqua" w:cs="Book Antiqua"/>
          <w:b/>
        </w:rPr>
        <w:t xml:space="preserve"> </w:t>
      </w:r>
      <w:r w:rsidRPr="00BD4675">
        <w:rPr>
          <w:rFonts w:ascii="Book Antiqua" w:eastAsia="Book Antiqua" w:hAnsi="Book Antiqua" w:cs="Book Antiqua"/>
          <w:b/>
        </w:rPr>
        <w:t>S-Editor:</w:t>
      </w:r>
      <w:r w:rsidRPr="00BD4675">
        <w:rPr>
          <w:rFonts w:ascii="Book Antiqua" w:eastAsia="宋体" w:hAnsi="Book Antiqua" w:cs="Book Antiqua"/>
          <w:b/>
        </w:rPr>
        <w:t xml:space="preserve"> </w:t>
      </w:r>
      <w:r w:rsidRPr="00BD4675">
        <w:rPr>
          <w:rFonts w:ascii="Book Antiqua" w:eastAsia="Book Antiqua" w:hAnsi="Book Antiqua" w:cs="Book Antiqua"/>
        </w:rPr>
        <w:t>Yan JP</w:t>
      </w:r>
      <w:r w:rsidRPr="00BD4675">
        <w:rPr>
          <w:rFonts w:ascii="Book Antiqua" w:eastAsia="宋体" w:hAnsi="Book Antiqua" w:cs="Book Antiqua"/>
          <w:b/>
        </w:rPr>
        <w:t xml:space="preserve"> </w:t>
      </w:r>
      <w:r w:rsidRPr="00BD4675">
        <w:rPr>
          <w:rFonts w:ascii="Book Antiqua" w:eastAsia="Book Antiqua" w:hAnsi="Book Antiqua" w:cs="Book Antiqua"/>
          <w:b/>
        </w:rPr>
        <w:t>L-Editor:</w:t>
      </w:r>
      <w:r w:rsidRPr="00BD4675">
        <w:rPr>
          <w:rFonts w:ascii="Book Antiqua" w:eastAsia="宋体" w:hAnsi="Book Antiqua" w:cs="Book Antiqua"/>
          <w:b/>
        </w:rPr>
        <w:t xml:space="preserve"> </w:t>
      </w:r>
      <w:r w:rsidR="00E54718" w:rsidRPr="00BD4675">
        <w:rPr>
          <w:rFonts w:ascii="Book Antiqua" w:eastAsia="宋体" w:hAnsi="Book Antiqua" w:cs="Book Antiqua"/>
          <w:bCs/>
        </w:rPr>
        <w:t>Filip</w:t>
      </w:r>
      <w:r w:rsidR="0096075B">
        <w:rPr>
          <w:rFonts w:ascii="Book Antiqua" w:eastAsia="宋体" w:hAnsi="Book Antiqua" w:cs="Book Antiqua"/>
          <w:bCs/>
        </w:rPr>
        <w:t>o</w:t>
      </w:r>
      <w:r w:rsidR="00E54718" w:rsidRPr="00BD4675">
        <w:rPr>
          <w:rFonts w:ascii="Book Antiqua" w:eastAsia="宋体" w:hAnsi="Book Antiqua" w:cs="Book Antiqua"/>
          <w:bCs/>
        </w:rPr>
        <w:t xml:space="preserve">dia </w:t>
      </w:r>
      <w:r w:rsidRPr="00BD4675">
        <w:rPr>
          <w:rFonts w:ascii="Book Antiqua" w:eastAsia="Book Antiqua" w:hAnsi="Book Antiqua" w:cs="Book Antiqua"/>
          <w:b/>
        </w:rPr>
        <w:t>P-Editor:</w:t>
      </w:r>
      <w:r w:rsidR="00A333BE" w:rsidRPr="008F1458">
        <w:rPr>
          <w:rFonts w:ascii="Book Antiqua" w:eastAsia="宋体" w:hAnsi="Book Antiqua" w:cs="Book Antiqua" w:hint="eastAsia"/>
          <w:b/>
        </w:rPr>
        <w:t xml:space="preserve"> </w:t>
      </w:r>
      <w:r w:rsidR="00A333BE" w:rsidRPr="008F1458">
        <w:rPr>
          <w:rFonts w:ascii="Book Antiqua" w:eastAsia="宋体" w:hAnsi="Book Antiqua" w:cs="Book Antiqua" w:hint="eastAsia"/>
        </w:rPr>
        <w:t>Ma YJ</w:t>
      </w:r>
    </w:p>
    <w:p w:rsidR="00FE09F3" w:rsidRPr="00BD4675" w:rsidRDefault="00FE09F3" w:rsidP="0096075B">
      <w:pPr>
        <w:snapToGrid w:val="0"/>
        <w:spacing w:line="360" w:lineRule="auto"/>
        <w:rPr>
          <w:rFonts w:ascii="Book Antiqua" w:hAnsi="Book Antiqua" w:cs="Book Antiqua"/>
          <w:sz w:val="24"/>
        </w:rPr>
        <w:sectPr w:rsidR="00FE09F3" w:rsidRPr="00BD4675" w:rsidSect="0096075B">
          <w:pgSz w:w="11906" w:h="16838"/>
          <w:pgMar w:top="1440" w:right="1440" w:bottom="1440" w:left="1440" w:header="850" w:footer="994" w:gutter="0"/>
          <w:cols w:space="720"/>
          <w:docGrid w:type="lines" w:linePitch="312"/>
        </w:sectPr>
      </w:pP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Figure Legends</w:t>
      </w:r>
    </w:p>
    <w:p w:rsidR="00FE09F3" w:rsidRPr="0096075B" w:rsidRDefault="00AE504C" w:rsidP="0096075B">
      <w:pPr>
        <w:snapToGrid w:val="0"/>
        <w:spacing w:line="360" w:lineRule="auto"/>
        <w:rPr>
          <w:rFonts w:ascii="Book Antiqua" w:hAnsi="Book Antiqua" w:cs="Book Antiqua"/>
          <w:sz w:val="24"/>
        </w:rPr>
      </w:pPr>
      <w:r>
        <w:rPr>
          <w:rFonts w:ascii="Book Antiqua" w:hAnsi="Book Antiqua" w:cs="Book Antiqua"/>
          <w:noProof/>
          <w:sz w:val="24"/>
        </w:rPr>
        <w:drawing>
          <wp:inline distT="0" distB="0" distL="0" distR="0">
            <wp:extent cx="2491105" cy="1860550"/>
            <wp:effectExtent l="0" t="0" r="4445" b="6350"/>
            <wp:docPr id="6" name="图片 18" descr="0ae70adb277d3b9fc2f8ce779bd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0ae70adb277d3b9fc2f8ce779bd80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105" cy="1860550"/>
                    </a:xfrm>
                    <a:prstGeom prst="rect">
                      <a:avLst/>
                    </a:prstGeom>
                    <a:noFill/>
                    <a:ln>
                      <a:noFill/>
                    </a:ln>
                  </pic:spPr>
                </pic:pic>
              </a:graphicData>
            </a:graphic>
          </wp:inline>
        </w:drawing>
      </w:r>
      <w:r>
        <w:rPr>
          <w:rFonts w:ascii="Book Antiqua" w:hAnsi="Book Antiqua" w:cs="Book Antiqua"/>
          <w:noProof/>
          <w:sz w:val="24"/>
        </w:rPr>
        <w:drawing>
          <wp:inline distT="0" distB="0" distL="0" distR="0">
            <wp:extent cx="2475230" cy="1875790"/>
            <wp:effectExtent l="0" t="0" r="127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1875790"/>
                    </a:xfrm>
                    <a:prstGeom prst="rect">
                      <a:avLst/>
                    </a:prstGeom>
                    <a:noFill/>
                    <a:ln>
                      <a:noFill/>
                    </a:ln>
                  </pic:spPr>
                </pic:pic>
              </a:graphicData>
            </a:graphic>
          </wp:inline>
        </w:drawing>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Figure 1 Bone marrow aspiration showing generally normal</w:t>
      </w:r>
      <w:r w:rsidRPr="00BD4675">
        <w:rPr>
          <w:rFonts w:ascii="Book Antiqua" w:hAnsi="Book Antiqua" w:cs="Book Antiqua"/>
          <w:b/>
          <w:bCs/>
          <w:sz w:val="24"/>
        </w:rPr>
        <w:t>.</w:t>
      </w:r>
      <w:r w:rsidRPr="0096075B">
        <w:rPr>
          <w:rFonts w:ascii="Book Antiqua" w:hAnsi="Book Antiqua" w:cs="Book Antiqua"/>
          <w:sz w:val="24"/>
        </w:rPr>
        <w:t xml:space="preserve"> Wright-Giemsa staining, </w:t>
      </w:r>
      <w:r w:rsidR="00065ABF" w:rsidRPr="0096075B">
        <w:rPr>
          <w:rFonts w:ascii="Book Antiqua" w:hAnsi="Book Antiqua" w:cs="Book Antiqua"/>
          <w:sz w:val="24"/>
        </w:rPr>
        <w:t xml:space="preserve">1000 </w:t>
      </w:r>
      <w:r w:rsidRPr="0096075B">
        <w:rPr>
          <w:rFonts w:ascii="Book Antiqua" w:hAnsi="Book Antiqua" w:cs="Book Antiqua"/>
          <w:sz w:val="24"/>
        </w:rPr>
        <w:t>×.</w:t>
      </w:r>
    </w:p>
    <w:p w:rsidR="00FE09F3" w:rsidRPr="00BD4675" w:rsidRDefault="00FE09F3" w:rsidP="0096075B">
      <w:pPr>
        <w:snapToGrid w:val="0"/>
        <w:spacing w:line="360" w:lineRule="auto"/>
        <w:rPr>
          <w:rFonts w:ascii="Book Antiqua" w:hAnsi="Book Antiqua" w:cs="Book Antiqua"/>
          <w:sz w:val="24"/>
        </w:rPr>
        <w:sectPr w:rsidR="00FE09F3" w:rsidRPr="00BD4675" w:rsidSect="0096075B">
          <w:pgSz w:w="11906" w:h="16838"/>
          <w:pgMar w:top="1440" w:right="1440" w:bottom="1440" w:left="1440" w:header="850" w:footer="994" w:gutter="0"/>
          <w:cols w:space="720"/>
          <w:docGrid w:type="lines" w:linePitch="312"/>
        </w:sectPr>
      </w:pPr>
    </w:p>
    <w:p w:rsidR="00FE09F3" w:rsidRPr="0096075B" w:rsidRDefault="00AE504C" w:rsidP="0096075B">
      <w:pPr>
        <w:snapToGrid w:val="0"/>
        <w:spacing w:line="360" w:lineRule="auto"/>
        <w:rPr>
          <w:rFonts w:ascii="Book Antiqua" w:hAnsi="Book Antiqua" w:cs="Book Antiqua"/>
          <w:sz w:val="24"/>
        </w:rPr>
      </w:pPr>
      <w:r>
        <w:rPr>
          <w:rFonts w:ascii="Book Antiqua" w:hAnsi="Book Antiqua" w:cs="Book Antiqua"/>
          <w:noProof/>
          <w:sz w:val="24"/>
        </w:rPr>
        <w:drawing>
          <wp:inline distT="0" distB="0" distL="0" distR="0">
            <wp:extent cx="2475230" cy="1875790"/>
            <wp:effectExtent l="0" t="0" r="1270"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1875790"/>
                    </a:xfrm>
                    <a:prstGeom prst="rect">
                      <a:avLst/>
                    </a:prstGeom>
                    <a:noFill/>
                    <a:ln>
                      <a:noFill/>
                    </a:ln>
                    <a:effectLst/>
                  </pic:spPr>
                </pic:pic>
              </a:graphicData>
            </a:graphic>
          </wp:inline>
        </w:drawing>
      </w:r>
      <w:r>
        <w:rPr>
          <w:rFonts w:ascii="Book Antiqua" w:hAnsi="Book Antiqua" w:cs="Book Antiqua"/>
          <w:noProof/>
          <w:sz w:val="24"/>
        </w:rPr>
        <w:drawing>
          <wp:inline distT="0" distB="0" distL="0" distR="0">
            <wp:extent cx="2491105" cy="1860550"/>
            <wp:effectExtent l="0" t="0" r="4445" b="635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105" cy="1860550"/>
                    </a:xfrm>
                    <a:prstGeom prst="rect">
                      <a:avLst/>
                    </a:prstGeom>
                    <a:noFill/>
                    <a:ln>
                      <a:noFill/>
                    </a:ln>
                  </pic:spPr>
                </pic:pic>
              </a:graphicData>
            </a:graphic>
          </wp:inline>
        </w:drawing>
      </w:r>
    </w:p>
    <w:p w:rsidR="00FE09F3" w:rsidRPr="0096075B" w:rsidRDefault="00FE09F3" w:rsidP="0096075B">
      <w:pPr>
        <w:snapToGrid w:val="0"/>
        <w:spacing w:line="360" w:lineRule="auto"/>
        <w:rPr>
          <w:rFonts w:ascii="Book Antiqua" w:hAnsi="Book Antiqua" w:cs="Book Antiqua"/>
          <w:sz w:val="24"/>
        </w:rPr>
        <w:sectPr w:rsidR="00FE09F3" w:rsidRPr="0096075B" w:rsidSect="0096075B">
          <w:pgSz w:w="11906" w:h="16838"/>
          <w:pgMar w:top="1440" w:right="1440" w:bottom="1440" w:left="1440" w:header="850" w:footer="994" w:gutter="0"/>
          <w:cols w:space="720"/>
          <w:docGrid w:type="lines" w:linePitch="312"/>
        </w:sectPr>
      </w:pPr>
      <w:r w:rsidRPr="0096075B">
        <w:rPr>
          <w:rFonts w:ascii="Book Antiqua" w:hAnsi="Book Antiqua" w:cs="Book Antiqua"/>
          <w:b/>
          <w:bCs/>
          <w:sz w:val="24"/>
        </w:rPr>
        <w:t>Figure 2 Bone marrow aspiration showing an increase in the number of phagocytosis of blood cells</w:t>
      </w:r>
      <w:r w:rsidRPr="00BD4675">
        <w:rPr>
          <w:rFonts w:ascii="Book Antiqua" w:hAnsi="Book Antiqua" w:cs="Book Antiqua"/>
          <w:b/>
          <w:bCs/>
          <w:sz w:val="24"/>
        </w:rPr>
        <w:t xml:space="preserve">. </w:t>
      </w:r>
      <w:r w:rsidRPr="0096075B">
        <w:rPr>
          <w:rFonts w:ascii="Book Antiqua" w:hAnsi="Book Antiqua" w:cs="Book Antiqua"/>
          <w:sz w:val="24"/>
        </w:rPr>
        <w:t xml:space="preserve">Wright-Giemsa staining, </w:t>
      </w:r>
      <w:r w:rsidR="00065ABF" w:rsidRPr="0096075B">
        <w:rPr>
          <w:rFonts w:ascii="Book Antiqua" w:hAnsi="Book Antiqua" w:cs="Book Antiqua"/>
          <w:sz w:val="24"/>
        </w:rPr>
        <w:t xml:space="preserve">1000 </w:t>
      </w:r>
      <w:r w:rsidRPr="0096075B">
        <w:rPr>
          <w:rFonts w:ascii="Book Antiqua" w:hAnsi="Book Antiqua" w:cs="Book Antiqua"/>
          <w:sz w:val="24"/>
        </w:rPr>
        <w:t>×.</w:t>
      </w:r>
    </w:p>
    <w:p w:rsidR="00FE09F3" w:rsidRPr="0096075B" w:rsidRDefault="00AE504C" w:rsidP="0096075B">
      <w:pPr>
        <w:snapToGrid w:val="0"/>
        <w:spacing w:line="360" w:lineRule="auto"/>
        <w:rPr>
          <w:rFonts w:ascii="Book Antiqua" w:hAnsi="Book Antiqua" w:cs="Book Antiqua"/>
          <w:sz w:val="24"/>
        </w:rPr>
      </w:pPr>
      <w:r>
        <w:rPr>
          <w:rFonts w:ascii="Book Antiqua" w:hAnsi="Book Antiqua" w:cs="Book Antiqua"/>
          <w:noProof/>
          <w:sz w:val="24"/>
        </w:rPr>
        <w:drawing>
          <wp:inline distT="0" distB="0" distL="0" distR="0">
            <wp:extent cx="5265420" cy="4855845"/>
            <wp:effectExtent l="0" t="0" r="0" b="1905"/>
            <wp:docPr id="5" name="图片 23" descr="b19d884799b74d4bb856795140a5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b19d884799b74d4bb856795140a555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5420" cy="4855845"/>
                    </a:xfrm>
                    <a:prstGeom prst="rect">
                      <a:avLst/>
                    </a:prstGeom>
                    <a:noFill/>
                    <a:ln>
                      <a:noFill/>
                    </a:ln>
                  </pic:spPr>
                </pic:pic>
              </a:graphicData>
            </a:graphic>
          </wp:inline>
        </w:drawing>
      </w:r>
    </w:p>
    <w:p w:rsidR="00FE09F3" w:rsidRPr="0096075B"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 xml:space="preserve">Figure 3 </w:t>
      </w:r>
      <w:r w:rsidR="0096075B">
        <w:rPr>
          <w:rFonts w:ascii="Book Antiqua" w:hAnsi="Book Antiqua" w:cs="Book Antiqua"/>
          <w:b/>
          <w:bCs/>
          <w:sz w:val="24"/>
        </w:rPr>
        <w:t>C</w:t>
      </w:r>
      <w:r w:rsidRPr="0096075B">
        <w:rPr>
          <w:rFonts w:ascii="Book Antiqua" w:hAnsi="Book Antiqua" w:cs="Book Antiqua"/>
          <w:b/>
          <w:bCs/>
          <w:sz w:val="24"/>
        </w:rPr>
        <w:t>lin</w:t>
      </w:r>
      <w:r w:rsidRPr="00BD4675">
        <w:rPr>
          <w:rFonts w:ascii="Book Antiqua" w:hAnsi="Book Antiqua" w:cs="Book Antiqua"/>
          <w:b/>
          <w:bCs/>
          <w:sz w:val="24"/>
        </w:rPr>
        <w:t>ical course.</w:t>
      </w:r>
      <w:r w:rsidRPr="00BD4675">
        <w:rPr>
          <w:rFonts w:ascii="Book Antiqua" w:hAnsi="Book Antiqua" w:cs="Book Antiqua"/>
          <w:sz w:val="24"/>
        </w:rPr>
        <w:t xml:space="preserve"> The patient was admitted to the hospital on March 27, 2013, transferred from the Infection Department to the Hematology Department on April 10, and discharged on May 16, 2013. When cytomegalovirus-DNA turned negative, laboratory indicators such as serum ferritin, absolute neutrophil count, hemoglobin, platelet counts, alanine aminotransferase, serum albumin and serum calcium returned to normal levels at about the same time. ANA: Anti-nuclear antibody; BM: Bone marrow aspiration; CT: Computed tomography scanning; DEX: Dexamethasone; CsA: Cyclosporine A; IVIG: Intravenous polyvalent immune globulin; MP: </w:t>
      </w:r>
      <w:hyperlink r:id="rId18" w:anchor="/javascript:;" w:history="1">
        <w:r w:rsidRPr="0096075B">
          <w:rPr>
            <w:rFonts w:ascii="Book Antiqua" w:hAnsi="Book Antiqua" w:cs="Book Antiqua"/>
            <w:sz w:val="24"/>
          </w:rPr>
          <w:t>Methylprednisolone</w:t>
        </w:r>
      </w:hyperlink>
      <w:r w:rsidRPr="0096075B">
        <w:rPr>
          <w:rFonts w:ascii="Book Antiqua" w:hAnsi="Book Antiqua" w:cs="Book Antiqua"/>
          <w:sz w:val="24"/>
        </w:rPr>
        <w:t xml:space="preserve">; CTX: Cyclophosphamide; VCR: Vincristine; CMV: </w:t>
      </w:r>
      <w:bookmarkStart w:id="29" w:name="OLE_LINK1778"/>
      <w:bookmarkStart w:id="30" w:name="OLE_LINK1779"/>
      <w:r w:rsidRPr="0096075B">
        <w:rPr>
          <w:rFonts w:ascii="Book Antiqua" w:hAnsi="Book Antiqua" w:cs="Book Antiqua"/>
          <w:sz w:val="24"/>
        </w:rPr>
        <w:t>Cytomegalovirus</w:t>
      </w:r>
      <w:bookmarkEnd w:id="29"/>
      <w:bookmarkEnd w:id="30"/>
      <w:r w:rsidRPr="0096075B">
        <w:rPr>
          <w:rFonts w:ascii="Book Antiqua" w:hAnsi="Book Antiqua" w:cs="Book Antiqua"/>
          <w:sz w:val="24"/>
        </w:rPr>
        <w:t xml:space="preserve">; SF: Serum ferritin; HB: Hemoglobin; PLT: Platelet; ANC: Absolute neutrophil count; </w:t>
      </w:r>
      <w:bookmarkStart w:id="31" w:name="OLE_LINK7"/>
      <w:r w:rsidRPr="0096075B">
        <w:rPr>
          <w:rFonts w:ascii="Book Antiqua" w:hAnsi="Book Antiqua" w:cs="Book Antiqua"/>
          <w:sz w:val="24"/>
        </w:rPr>
        <w:t>ALT</w:t>
      </w:r>
      <w:bookmarkEnd w:id="31"/>
      <w:r w:rsidRPr="0096075B">
        <w:rPr>
          <w:rFonts w:ascii="Book Antiqua" w:hAnsi="Book Antiqua" w:cs="Book Antiqua"/>
          <w:sz w:val="24"/>
        </w:rPr>
        <w:t xml:space="preserve">: Alanine aminotransferase; CA: </w:t>
      </w:r>
      <w:r w:rsidR="00660A5B" w:rsidRPr="0096075B">
        <w:rPr>
          <w:rFonts w:ascii="Book Antiqua" w:hAnsi="Book Antiqua" w:cs="Book Antiqua"/>
          <w:sz w:val="24"/>
        </w:rPr>
        <w:t>C</w:t>
      </w:r>
      <w:r w:rsidRPr="0096075B">
        <w:rPr>
          <w:rFonts w:ascii="Book Antiqua" w:hAnsi="Book Antiqua" w:cs="Book Antiqua"/>
          <w:sz w:val="24"/>
        </w:rPr>
        <w:t xml:space="preserve">alcium; ALB: </w:t>
      </w:r>
      <w:r w:rsidR="00660A5B" w:rsidRPr="0096075B">
        <w:rPr>
          <w:rFonts w:ascii="Book Antiqua" w:hAnsi="Book Antiqua" w:cs="Book Antiqua"/>
          <w:sz w:val="24"/>
        </w:rPr>
        <w:t>A</w:t>
      </w:r>
      <w:r w:rsidRPr="0096075B">
        <w:rPr>
          <w:rFonts w:ascii="Book Antiqua" w:hAnsi="Book Antiqua" w:cs="Book Antiqua"/>
          <w:sz w:val="24"/>
        </w:rPr>
        <w:t>lbumin.</w:t>
      </w:r>
    </w:p>
    <w:p w:rsidR="00FE09F3" w:rsidRPr="00BD4675" w:rsidRDefault="00FE09F3" w:rsidP="0096075B">
      <w:pPr>
        <w:snapToGrid w:val="0"/>
        <w:spacing w:line="360" w:lineRule="auto"/>
        <w:rPr>
          <w:rFonts w:ascii="Book Antiqua" w:hAnsi="Book Antiqua" w:cs="Book Antiqua"/>
          <w:sz w:val="24"/>
        </w:rPr>
        <w:sectPr w:rsidR="00FE09F3" w:rsidRPr="00BD4675" w:rsidSect="0096075B">
          <w:pgSz w:w="11906" w:h="16838"/>
          <w:pgMar w:top="1440" w:right="1440" w:bottom="1440" w:left="1440" w:header="850" w:footer="994" w:gutter="0"/>
          <w:cols w:space="720"/>
          <w:docGrid w:type="lines" w:linePitch="312"/>
        </w:sectPr>
      </w:pPr>
    </w:p>
    <w:p w:rsidR="00FE09F3" w:rsidRPr="00BD4675" w:rsidRDefault="00FE09F3" w:rsidP="0096075B">
      <w:pPr>
        <w:snapToGrid w:val="0"/>
        <w:spacing w:line="360" w:lineRule="auto"/>
        <w:rPr>
          <w:rFonts w:ascii="Book Antiqua" w:hAnsi="Book Antiqua" w:cs="Book Antiqua"/>
          <w:sz w:val="24"/>
        </w:rPr>
      </w:pPr>
      <w:r w:rsidRPr="0096075B">
        <w:rPr>
          <w:rFonts w:ascii="Book Antiqua" w:hAnsi="Book Antiqua" w:cs="Book Antiqua"/>
          <w:b/>
          <w:bCs/>
          <w:sz w:val="24"/>
        </w:rPr>
        <w:t>Table 1 Diagnostic criteria for hemophagocytic lymphohistiocyto</w:t>
      </w:r>
      <w:r w:rsidRPr="00BD4675">
        <w:rPr>
          <w:rFonts w:ascii="Book Antiqua" w:hAnsi="Book Antiqua" w:cs="Book Antiqua"/>
          <w:b/>
          <w:bCs/>
          <w:sz w:val="24"/>
        </w:rPr>
        <w:t>sis used the hemophagocytic lymphohistiocytosis-2004 trial</w:t>
      </w:r>
    </w:p>
    <w:tbl>
      <w:tblPr>
        <w:tblW w:w="8960" w:type="dxa"/>
        <w:tblLayout w:type="fixed"/>
        <w:tblCellMar>
          <w:left w:w="0" w:type="dxa"/>
          <w:right w:w="0" w:type="dxa"/>
        </w:tblCellMar>
        <w:tblLook w:val="0000" w:firstRow="0" w:lastRow="0" w:firstColumn="0" w:lastColumn="0" w:noHBand="0" w:noVBand="0"/>
      </w:tblPr>
      <w:tblGrid>
        <w:gridCol w:w="4414"/>
        <w:gridCol w:w="1131"/>
        <w:gridCol w:w="1405"/>
        <w:gridCol w:w="1026"/>
        <w:gridCol w:w="984"/>
      </w:tblGrid>
      <w:tr w:rsidR="00FE09F3" w:rsidRPr="00BD4675" w:rsidTr="00FC579A">
        <w:trPr>
          <w:trHeight w:val="373"/>
        </w:trPr>
        <w:tc>
          <w:tcPr>
            <w:tcW w:w="4414"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Diagnostic criteria for HLH fulfilled</w:t>
            </w:r>
            <w:r w:rsidR="0096075B">
              <w:rPr>
                <w:rFonts w:ascii="Book Antiqua" w:hAnsi="Book Antiqua" w:cs="Book Antiqua"/>
                <w:b/>
                <w:bCs/>
                <w:sz w:val="24"/>
              </w:rPr>
              <w:t>,</w:t>
            </w:r>
          </w:p>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at least 5 of the 8 criteria below</w:t>
            </w:r>
          </w:p>
        </w:tc>
        <w:tc>
          <w:tcPr>
            <w:tcW w:w="1131"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First admission</w:t>
            </w:r>
          </w:p>
        </w:tc>
        <w:tc>
          <w:tcPr>
            <w:tcW w:w="1405"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Post-treatment</w:t>
            </w:r>
          </w:p>
        </w:tc>
        <w:tc>
          <w:tcPr>
            <w:tcW w:w="1026"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Second admission</w:t>
            </w:r>
          </w:p>
        </w:tc>
        <w:tc>
          <w:tcPr>
            <w:tcW w:w="984"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b/>
                <w:bCs/>
                <w:sz w:val="24"/>
              </w:rPr>
            </w:pPr>
            <w:r w:rsidRPr="00BD4675">
              <w:rPr>
                <w:rFonts w:ascii="Book Antiqua" w:hAnsi="Book Antiqua" w:cs="Book Antiqua"/>
                <w:b/>
                <w:bCs/>
                <w:sz w:val="24"/>
              </w:rPr>
              <w:t>Third admission</w:t>
            </w:r>
          </w:p>
        </w:tc>
      </w:tr>
      <w:tr w:rsidR="00FE09F3" w:rsidRPr="00BD4675" w:rsidTr="00FC579A">
        <w:trPr>
          <w:trHeight w:val="373"/>
        </w:trPr>
        <w:tc>
          <w:tcPr>
            <w:tcW w:w="4414"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Fever</w:t>
            </w:r>
          </w:p>
        </w:tc>
        <w:tc>
          <w:tcPr>
            <w:tcW w:w="1131"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984" w:type="dxa"/>
            <w:tcBorders>
              <w:top w:val="single" w:sz="4" w:space="0" w:color="000000"/>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Splenomegaly</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Cytopenia</w:t>
            </w:r>
            <w:r w:rsidR="0096075B">
              <w:rPr>
                <w:rFonts w:ascii="Book Antiqua" w:hAnsi="Book Antiqua" w:cs="Book Antiqua"/>
                <w:sz w:val="24"/>
              </w:rPr>
              <w:t xml:space="preserve">, </w:t>
            </w:r>
            <w:r w:rsidRPr="00BD4675">
              <w:rPr>
                <w:rFonts w:ascii="Book Antiqua" w:hAnsi="Book Antiqua" w:cs="Book Antiqua"/>
                <w:sz w:val="24"/>
              </w:rPr>
              <w:t>affecting 2 of 3 lineages in the peripheral blood</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ind w:firstLineChars="200" w:firstLine="480"/>
              <w:textAlignment w:val="center"/>
              <w:rPr>
                <w:rFonts w:ascii="Book Antiqua" w:hAnsi="Book Antiqua" w:cs="Book Antiqua"/>
                <w:sz w:val="24"/>
              </w:rPr>
            </w:pPr>
            <w:r w:rsidRPr="00BD4675">
              <w:rPr>
                <w:rFonts w:ascii="Book Antiqua" w:hAnsi="Book Antiqua" w:cs="Book Antiqua"/>
                <w:sz w:val="24"/>
              </w:rPr>
              <w:t>Hemoglobin &lt; 9 g/dL</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88"/>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ind w:firstLineChars="200" w:firstLine="480"/>
              <w:textAlignment w:val="center"/>
              <w:rPr>
                <w:rFonts w:ascii="Book Antiqua" w:hAnsi="Book Antiqua" w:cs="Book Antiqua"/>
                <w:sz w:val="24"/>
              </w:rPr>
            </w:pPr>
            <w:r w:rsidRPr="00BD4675">
              <w:rPr>
                <w:rFonts w:ascii="Book Antiqua" w:hAnsi="Book Antiqua" w:cs="Book Antiqua"/>
                <w:sz w:val="24"/>
              </w:rPr>
              <w:t>Platelets &lt; 100 × 10</w:t>
            </w:r>
            <w:r w:rsidRPr="00BD4675">
              <w:rPr>
                <w:rFonts w:ascii="Book Antiqua" w:hAnsi="Book Antiqua" w:cs="Book Antiqua"/>
                <w:sz w:val="24"/>
                <w:vertAlign w:val="superscript"/>
              </w:rPr>
              <w:t>9</w:t>
            </w:r>
            <w:r w:rsidRPr="00BD4675">
              <w:rPr>
                <w:rFonts w:ascii="Book Antiqua" w:hAnsi="Book Antiqua" w:cs="Book Antiqua"/>
                <w:sz w:val="24"/>
              </w:rPr>
              <w:t>/L</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88"/>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ind w:firstLineChars="200" w:firstLine="480"/>
              <w:textAlignment w:val="center"/>
              <w:rPr>
                <w:rFonts w:ascii="Book Antiqua" w:hAnsi="Book Antiqua" w:cs="Book Antiqua"/>
                <w:sz w:val="24"/>
              </w:rPr>
            </w:pPr>
            <w:r w:rsidRPr="00BD4675">
              <w:rPr>
                <w:rFonts w:ascii="Book Antiqua" w:hAnsi="Book Antiqua" w:cs="Book Antiqua"/>
                <w:sz w:val="24"/>
              </w:rPr>
              <w:t>Neutrophils &lt; 1.0 × 10</w:t>
            </w:r>
            <w:r w:rsidRPr="00BD4675">
              <w:rPr>
                <w:rFonts w:ascii="Book Antiqua" w:hAnsi="Book Antiqua" w:cs="Book Antiqua"/>
                <w:sz w:val="24"/>
                <w:vertAlign w:val="superscript"/>
              </w:rPr>
              <w:t>9</w:t>
            </w:r>
            <w:r w:rsidRPr="00BD4675">
              <w:rPr>
                <w:rFonts w:ascii="Book Antiqua" w:hAnsi="Book Antiqua" w:cs="Book Antiqua"/>
                <w:sz w:val="24"/>
              </w:rPr>
              <w:t>/L</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 xml:space="preserve">Hypertriglyceridemia </w:t>
            </w:r>
            <w:r w:rsidRPr="00BD4675">
              <w:rPr>
                <w:rStyle w:val="font11"/>
                <w:rFonts w:ascii="Book Antiqua" w:hAnsi="Book Antiqua" w:cs="Book Antiqua" w:hint="default"/>
                <w:color w:val="auto"/>
                <w:sz w:val="24"/>
                <w:szCs w:val="24"/>
              </w:rPr>
              <w:t>(</w:t>
            </w:r>
            <w:r w:rsidRPr="00BD4675">
              <w:rPr>
                <w:rFonts w:ascii="Book Antiqua" w:hAnsi="Book Antiqua" w:cs="Book Antiqua"/>
                <w:sz w:val="24"/>
              </w:rPr>
              <w:t>fasting ≥ 3.0 mmol/L) and/or hypofibrinogenemia (≤ 150 mg/dL)</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Hemophagocytosis in bone marrow or spleen or lymph nodes (</w:t>
            </w:r>
            <w:r w:rsidR="0096075B">
              <w:rPr>
                <w:rFonts w:ascii="Book Antiqua" w:hAnsi="Book Antiqua" w:cs="Book Antiqua"/>
                <w:sz w:val="24"/>
              </w:rPr>
              <w:t>n</w:t>
            </w:r>
            <w:r w:rsidRPr="00BD4675">
              <w:rPr>
                <w:rFonts w:ascii="Book Antiqua" w:hAnsi="Book Antiqua" w:cs="Book Antiqua"/>
                <w:sz w:val="24"/>
              </w:rPr>
              <w:t>o evidence of malignancy)</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96075B"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 xml:space="preserve">Low or absent </w:t>
            </w:r>
            <w:r w:rsidR="00660A5B" w:rsidRPr="0096075B">
              <w:rPr>
                <w:rFonts w:ascii="Book Antiqua" w:hAnsi="Book Antiqua" w:cs="Book Antiqua"/>
                <w:sz w:val="24"/>
              </w:rPr>
              <w:t xml:space="preserve">natural killer </w:t>
            </w:r>
            <w:r w:rsidRPr="0096075B">
              <w:rPr>
                <w:rFonts w:ascii="Book Antiqua" w:hAnsi="Book Antiqua" w:cs="Book Antiqua"/>
                <w:sz w:val="24"/>
              </w:rPr>
              <w:t>cell activity</w:t>
            </w:r>
          </w:p>
        </w:tc>
        <w:tc>
          <w:tcPr>
            <w:tcW w:w="1131" w:type="dxa"/>
            <w:tcBorders>
              <w:top w:val="nil"/>
              <w:left w:val="nil"/>
              <w:bottom w:val="nil"/>
              <w:right w:val="nil"/>
            </w:tcBorders>
            <w:tcMar>
              <w:top w:w="15" w:type="dxa"/>
              <w:left w:w="15" w:type="dxa"/>
              <w:right w:w="15" w:type="dxa"/>
            </w:tcMar>
            <w:vAlign w:val="center"/>
          </w:tcPr>
          <w:p w:rsidR="00FE09F3" w:rsidRPr="0096075B" w:rsidRDefault="00FE09F3" w:rsidP="0096075B">
            <w:pPr>
              <w:widowControl/>
              <w:snapToGrid w:val="0"/>
              <w:spacing w:line="360" w:lineRule="auto"/>
              <w:textAlignment w:val="center"/>
              <w:rPr>
                <w:rFonts w:ascii="Book Antiqua" w:hAnsi="Book Antiqua" w:cs="Book Antiqua"/>
                <w:sz w:val="24"/>
              </w:rPr>
            </w:pPr>
            <w:r w:rsidRPr="0096075B">
              <w:rPr>
                <w:rFonts w:ascii="Book Antiqua" w:hAnsi="Book Antiqua" w:cs="Book Antiqua"/>
                <w:sz w:val="24"/>
              </w:rPr>
              <w:t>NA</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r>
      <w:tr w:rsidR="00FE09F3" w:rsidRPr="00BD4675" w:rsidTr="00FC579A">
        <w:trPr>
          <w:trHeight w:val="373"/>
        </w:trPr>
        <w:tc>
          <w:tcPr>
            <w:tcW w:w="441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 xml:space="preserve">Ferritin </w:t>
            </w:r>
            <w:r w:rsidRPr="00BD4675">
              <w:rPr>
                <w:rStyle w:val="font61"/>
                <w:rFonts w:ascii="Book Antiqua" w:hAnsi="Book Antiqua" w:cs="Book Antiqua"/>
                <w:color w:val="auto"/>
                <w:sz w:val="24"/>
                <w:szCs w:val="24"/>
              </w:rPr>
              <w:t xml:space="preserve">≥ </w:t>
            </w:r>
            <w:r w:rsidRPr="00BD4675">
              <w:rPr>
                <w:rFonts w:ascii="Book Antiqua" w:hAnsi="Book Antiqua" w:cs="Book Antiqua"/>
                <w:sz w:val="24"/>
              </w:rPr>
              <w:t>500 ng/mL</w:t>
            </w:r>
          </w:p>
        </w:tc>
        <w:tc>
          <w:tcPr>
            <w:tcW w:w="1131"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Y</w:t>
            </w:r>
          </w:p>
        </w:tc>
        <w:tc>
          <w:tcPr>
            <w:tcW w:w="1405"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1026"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c>
          <w:tcPr>
            <w:tcW w:w="984" w:type="dxa"/>
            <w:tcBorders>
              <w:top w:val="nil"/>
              <w:left w:val="nil"/>
              <w:bottom w:val="nil"/>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w:t>
            </w:r>
          </w:p>
        </w:tc>
      </w:tr>
      <w:tr w:rsidR="00FE09F3" w:rsidRPr="00BD4675" w:rsidTr="00FC579A">
        <w:trPr>
          <w:trHeight w:val="373"/>
        </w:trPr>
        <w:tc>
          <w:tcPr>
            <w:tcW w:w="4414" w:type="dxa"/>
            <w:tcBorders>
              <w:top w:val="nil"/>
              <w:left w:val="nil"/>
              <w:bottom w:val="single" w:sz="4" w:space="0" w:color="000000"/>
              <w:right w:val="nil"/>
            </w:tcBorders>
            <w:tcMar>
              <w:top w:w="15" w:type="dxa"/>
              <w:left w:w="15" w:type="dxa"/>
              <w:right w:w="15" w:type="dxa"/>
            </w:tcMar>
            <w:vAlign w:val="center"/>
          </w:tcPr>
          <w:p w:rsidR="00FE09F3" w:rsidRPr="0096075B"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 xml:space="preserve">Soluble </w:t>
            </w:r>
            <w:r w:rsidR="00660A5B" w:rsidRPr="0096075B">
              <w:rPr>
                <w:rFonts w:ascii="Book Antiqua" w:hAnsi="Book Antiqua" w:cs="Book Antiqua"/>
                <w:sz w:val="24"/>
              </w:rPr>
              <w:t xml:space="preserve">cluster of differentiation 25 </w:t>
            </w:r>
            <w:r w:rsidRPr="0096075B">
              <w:rPr>
                <w:rFonts w:ascii="Book Antiqua" w:hAnsi="Book Antiqua" w:cs="Book Antiqua"/>
                <w:sz w:val="24"/>
              </w:rPr>
              <w:t>(</w:t>
            </w:r>
            <w:r w:rsidRPr="0096075B">
              <w:rPr>
                <w:rFonts w:ascii="Book Antiqua" w:hAnsi="Book Antiqua" w:cs="Book Antiqua"/>
                <w:i/>
                <w:iCs/>
                <w:sz w:val="24"/>
              </w:rPr>
              <w:t>i.e</w:t>
            </w:r>
            <w:r w:rsidRPr="0096075B">
              <w:rPr>
                <w:rFonts w:ascii="Book Antiqua" w:hAnsi="Book Antiqua" w:cs="Book Antiqua"/>
                <w:sz w:val="24"/>
              </w:rPr>
              <w:t>.</w:t>
            </w:r>
            <w:r w:rsidRPr="00BD4675">
              <w:rPr>
                <w:rFonts w:ascii="Book Antiqua" w:hAnsi="Book Antiqua" w:cs="Book Antiqua"/>
                <w:sz w:val="24"/>
              </w:rPr>
              <w:t xml:space="preserve"> soluble </w:t>
            </w:r>
            <w:r w:rsidR="00B26124" w:rsidRPr="0096075B">
              <w:rPr>
                <w:rFonts w:ascii="Book Antiqua" w:hAnsi="Book Antiqua" w:cs="Book Antiqua"/>
                <w:sz w:val="24"/>
              </w:rPr>
              <w:t xml:space="preserve">interleukin </w:t>
            </w:r>
            <w:r w:rsidRPr="0096075B">
              <w:rPr>
                <w:rFonts w:ascii="Book Antiqua" w:hAnsi="Book Antiqua" w:cs="Book Antiqua"/>
                <w:sz w:val="24"/>
              </w:rPr>
              <w:t>2 receptor) ≥ 2400 U/mL</w:t>
            </w:r>
          </w:p>
        </w:tc>
        <w:tc>
          <w:tcPr>
            <w:tcW w:w="1131" w:type="dxa"/>
            <w:tcBorders>
              <w:top w:val="nil"/>
              <w:left w:val="nil"/>
              <w:bottom w:val="single" w:sz="4" w:space="0" w:color="000000"/>
              <w:right w:val="nil"/>
            </w:tcBorders>
            <w:tcMar>
              <w:top w:w="15" w:type="dxa"/>
              <w:left w:w="15" w:type="dxa"/>
              <w:right w:w="15" w:type="dxa"/>
            </w:tcMar>
            <w:vAlign w:val="center"/>
          </w:tcPr>
          <w:p w:rsidR="00FE09F3" w:rsidRPr="0096075B" w:rsidRDefault="00FE09F3" w:rsidP="0096075B">
            <w:pPr>
              <w:widowControl/>
              <w:snapToGrid w:val="0"/>
              <w:spacing w:line="360" w:lineRule="auto"/>
              <w:textAlignment w:val="center"/>
              <w:rPr>
                <w:rFonts w:ascii="Book Antiqua" w:hAnsi="Book Antiqua" w:cs="Book Antiqua"/>
                <w:sz w:val="24"/>
              </w:rPr>
            </w:pPr>
            <w:r w:rsidRPr="0096075B">
              <w:rPr>
                <w:rFonts w:ascii="Book Antiqua" w:hAnsi="Book Antiqua" w:cs="Book Antiqua"/>
                <w:sz w:val="24"/>
              </w:rPr>
              <w:t>NA</w:t>
            </w:r>
          </w:p>
        </w:tc>
        <w:tc>
          <w:tcPr>
            <w:tcW w:w="1405" w:type="dxa"/>
            <w:tcBorders>
              <w:top w:val="nil"/>
              <w:left w:val="nil"/>
              <w:bottom w:val="single" w:sz="4" w:space="0" w:color="000000"/>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1026" w:type="dxa"/>
            <w:tcBorders>
              <w:top w:val="nil"/>
              <w:left w:val="nil"/>
              <w:bottom w:val="single" w:sz="4" w:space="0" w:color="000000"/>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c>
          <w:tcPr>
            <w:tcW w:w="984" w:type="dxa"/>
            <w:tcBorders>
              <w:top w:val="nil"/>
              <w:left w:val="nil"/>
              <w:bottom w:val="single" w:sz="4" w:space="0" w:color="000000"/>
              <w:right w:val="nil"/>
            </w:tcBorders>
            <w:tcMar>
              <w:top w:w="15" w:type="dxa"/>
              <w:left w:w="15" w:type="dxa"/>
              <w:right w:w="15" w:type="dxa"/>
            </w:tcMar>
            <w:vAlign w:val="center"/>
          </w:tcPr>
          <w:p w:rsidR="00FE09F3" w:rsidRPr="00BD4675" w:rsidRDefault="00FE09F3" w:rsidP="0096075B">
            <w:pPr>
              <w:widowControl/>
              <w:snapToGrid w:val="0"/>
              <w:spacing w:line="360" w:lineRule="auto"/>
              <w:textAlignment w:val="center"/>
              <w:rPr>
                <w:rFonts w:ascii="Book Antiqua" w:hAnsi="Book Antiqua" w:cs="Book Antiqua"/>
                <w:sz w:val="24"/>
              </w:rPr>
            </w:pPr>
            <w:r w:rsidRPr="00BD4675">
              <w:rPr>
                <w:rFonts w:ascii="Book Antiqua" w:hAnsi="Book Antiqua" w:cs="Book Antiqua"/>
                <w:sz w:val="24"/>
              </w:rPr>
              <w:t>NA</w:t>
            </w:r>
          </w:p>
        </w:tc>
      </w:tr>
    </w:tbl>
    <w:p w:rsidR="00FE09F3" w:rsidRPr="00BD4675" w:rsidRDefault="00FE09F3" w:rsidP="0096075B">
      <w:pPr>
        <w:snapToGrid w:val="0"/>
        <w:spacing w:line="360" w:lineRule="auto"/>
        <w:rPr>
          <w:rFonts w:ascii="Book Antiqua" w:hAnsi="Book Antiqua" w:cs="Book Antiqua"/>
          <w:sz w:val="24"/>
        </w:rPr>
      </w:pPr>
      <w:r w:rsidRPr="00BD4675">
        <w:rPr>
          <w:rFonts w:ascii="Book Antiqua" w:hAnsi="Book Antiqua" w:cs="Book Antiqua"/>
          <w:sz w:val="24"/>
        </w:rPr>
        <w:t>HLH: Hemophagocytic lymphohistiocytosis; Y: Yes; N: No; NA: Not available.</w:t>
      </w:r>
    </w:p>
    <w:sectPr w:rsidR="00FE09F3" w:rsidRPr="00BD4675" w:rsidSect="0096075B">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B8" w:rsidRDefault="00A634B8">
      <w:r>
        <w:separator/>
      </w:r>
    </w:p>
  </w:endnote>
  <w:endnote w:type="continuationSeparator" w:id="0">
    <w:p w:rsidR="00A634B8" w:rsidRDefault="00A63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F3" w:rsidRDefault="00AE504C">
    <w:pPr>
      <w:pStyle w:val="a4"/>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-1270</wp:posOffset>
              </wp:positionV>
              <wp:extent cx="1097280" cy="189230"/>
              <wp:effectExtent l="1905"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9F3" w:rsidRPr="0096075B" w:rsidRDefault="00FE09F3" w:rsidP="00BD4675">
                          <w:pPr>
                            <w:pStyle w:val="a4"/>
                            <w:ind w:firstLineChars="100" w:firstLine="240"/>
                            <w:jc w:val="right"/>
                            <w:rPr>
                              <w:rFonts w:ascii="Book Antiqua" w:eastAsia="宋体" w:hAnsi="Book Antiqua" w:cs="Book Antiqua"/>
                              <w:sz w:val="24"/>
                              <w:szCs w:val="24"/>
                            </w:rPr>
                          </w:pPr>
                          <w:r w:rsidRPr="00BD4675">
                            <w:rPr>
                              <w:rFonts w:ascii="Book Antiqua" w:hAnsi="Book Antiqua" w:cs="Book Antiqua"/>
                              <w:sz w:val="24"/>
                              <w:szCs w:val="24"/>
                            </w:rPr>
                            <w:fldChar w:fldCharType="begin"/>
                          </w:r>
                          <w:r w:rsidRPr="00BD4675">
                            <w:rPr>
                              <w:rFonts w:ascii="Book Antiqua" w:hAnsi="Book Antiqua" w:cs="Book Antiqua"/>
                              <w:sz w:val="24"/>
                              <w:szCs w:val="24"/>
                            </w:rPr>
                            <w:instrText xml:space="preserve"> PAGE  \* MERGEFORMAT </w:instrText>
                          </w:r>
                          <w:r w:rsidRPr="00BD4675">
                            <w:rPr>
                              <w:rFonts w:ascii="Book Antiqua" w:hAnsi="Book Antiqua" w:cs="Book Antiqua"/>
                              <w:sz w:val="24"/>
                              <w:szCs w:val="24"/>
                            </w:rPr>
                            <w:fldChar w:fldCharType="separate"/>
                          </w:r>
                          <w:r w:rsidR="00A634B8">
                            <w:rPr>
                              <w:rFonts w:ascii="Book Antiqua" w:hAnsi="Book Antiqua" w:cs="Book Antiqua"/>
                              <w:noProof/>
                              <w:sz w:val="24"/>
                              <w:szCs w:val="24"/>
                            </w:rPr>
                            <w:t>1</w:t>
                          </w:r>
                          <w:r w:rsidRPr="00BD4675">
                            <w:rPr>
                              <w:rFonts w:ascii="Book Antiqua" w:hAnsi="Book Antiqua" w:cs="Book Antiqua"/>
                              <w:sz w:val="24"/>
                              <w:szCs w:val="24"/>
                            </w:rPr>
                            <w:fldChar w:fldCharType="end"/>
                          </w:r>
                          <w:r w:rsidRPr="0096075B">
                            <w:rPr>
                              <w:rFonts w:ascii="Book Antiqua" w:hAnsi="Book Antiqua" w:cs="Book Antiqua"/>
                              <w:sz w:val="24"/>
                              <w:szCs w:val="24"/>
                            </w:rPr>
                            <w:t xml:space="preserve"> / </w:t>
                          </w:r>
                          <w:r w:rsidR="007F2F16">
                            <w:rPr>
                              <w:rFonts w:ascii="Book Antiqua" w:eastAsia="宋体" w:hAnsi="Book Antiqua" w:cs="Book Antiqua"/>
                              <w:sz w:val="24"/>
                              <w:szCs w:val="24"/>
                            </w:rPr>
                            <w:t>1</w:t>
                          </w:r>
                          <w:r w:rsidR="00BD4675">
                            <w:rPr>
                              <w:rFonts w:ascii="Book Antiqua" w:eastAsia="宋体" w:hAnsi="Book Antiqua" w:cs="Book Antiqua"/>
                              <w:sz w:val="24"/>
                              <w:szCs w:val="24"/>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35.2pt;margin-top:-.1pt;width:86.4pt;height:14.9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" filled="f" stroked="f">
              <v:textbox style="mso-fit-shape-to-text:t" inset="0,0,0,0">
                <w:txbxContent>
                  <w:p w:rsidR="00FE09F3" w:rsidRPr="0096075B" w:rsidRDefault="00FE09F3" w:rsidP="00BD4675">
                    <w:pPr>
                      <w:pStyle w:val="a4"/>
                      <w:ind w:firstLineChars="100" w:firstLine="240"/>
                      <w:jc w:val="right"/>
                      <w:rPr>
                        <w:rFonts w:ascii="Book Antiqua" w:eastAsia="宋体" w:hAnsi="Book Antiqua" w:cs="Book Antiqua"/>
                        <w:sz w:val="24"/>
                        <w:szCs w:val="24"/>
                      </w:rPr>
                    </w:pPr>
                    <w:r w:rsidRPr="00BD4675">
                      <w:rPr>
                        <w:rFonts w:ascii="Book Antiqua" w:hAnsi="Book Antiqua" w:cs="Book Antiqua"/>
                        <w:sz w:val="24"/>
                        <w:szCs w:val="24"/>
                      </w:rPr>
                      <w:fldChar w:fldCharType="begin"/>
                    </w:r>
                    <w:r w:rsidRPr="00BD4675">
                      <w:rPr>
                        <w:rFonts w:ascii="Book Antiqua" w:hAnsi="Book Antiqua" w:cs="Book Antiqua"/>
                        <w:sz w:val="24"/>
                        <w:szCs w:val="24"/>
                      </w:rPr>
                      <w:instrText xml:space="preserve"> PAGE  \* MERGEFORMAT </w:instrText>
                    </w:r>
                    <w:r w:rsidRPr="00BD4675">
                      <w:rPr>
                        <w:rFonts w:ascii="Book Antiqua" w:hAnsi="Book Antiqua" w:cs="Book Antiqua"/>
                        <w:sz w:val="24"/>
                        <w:szCs w:val="24"/>
                      </w:rPr>
                      <w:fldChar w:fldCharType="separate"/>
                    </w:r>
                    <w:r w:rsidR="00A634B8">
                      <w:rPr>
                        <w:rFonts w:ascii="Book Antiqua" w:hAnsi="Book Antiqua" w:cs="Book Antiqua"/>
                        <w:noProof/>
                        <w:sz w:val="24"/>
                        <w:szCs w:val="24"/>
                      </w:rPr>
                      <w:t>1</w:t>
                    </w:r>
                    <w:r w:rsidRPr="00BD4675">
                      <w:rPr>
                        <w:rFonts w:ascii="Book Antiqua" w:hAnsi="Book Antiqua" w:cs="Book Antiqua"/>
                        <w:sz w:val="24"/>
                        <w:szCs w:val="24"/>
                      </w:rPr>
                      <w:fldChar w:fldCharType="end"/>
                    </w:r>
                    <w:r w:rsidRPr="0096075B">
                      <w:rPr>
                        <w:rFonts w:ascii="Book Antiqua" w:hAnsi="Book Antiqua" w:cs="Book Antiqua"/>
                        <w:sz w:val="24"/>
                        <w:szCs w:val="24"/>
                      </w:rPr>
                      <w:t xml:space="preserve"> / </w:t>
                    </w:r>
                    <w:r w:rsidR="007F2F16">
                      <w:rPr>
                        <w:rFonts w:ascii="Book Antiqua" w:eastAsia="宋体" w:hAnsi="Book Antiqua" w:cs="Book Antiqua"/>
                        <w:sz w:val="24"/>
                        <w:szCs w:val="24"/>
                      </w:rPr>
                      <w:t>1</w:t>
                    </w:r>
                    <w:r w:rsidR="00BD4675">
                      <w:rPr>
                        <w:rFonts w:ascii="Book Antiqua" w:eastAsia="宋体" w:hAnsi="Book Antiqua" w:cs="Book Antiqua"/>
                        <w:sz w:val="24"/>
                        <w:szCs w:val="24"/>
                      </w:rPr>
                      <w:t>9</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B8" w:rsidRDefault="00A634B8">
      <w:r>
        <w:separator/>
      </w:r>
    </w:p>
  </w:footnote>
  <w:footnote w:type="continuationSeparator" w:id="0">
    <w:p w:rsidR="00A634B8" w:rsidRDefault="00A634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e92z2lrwzw9edxf2ptxr40zr0erfstddz&quot;&gt;LY EndNote Library&lt;record-ids&gt;&lt;item&gt;100&lt;/item&gt;&lt;item&gt;101&lt;/item&gt;&lt;item&gt;102&lt;/item&gt;&lt;item&gt;103&lt;/item&gt;&lt;item&gt;104&lt;/item&gt;&lt;item&gt;105&lt;/item&gt;&lt;item&gt;107&lt;/item&gt;&lt;item&gt;108&lt;/item&gt;&lt;item&gt;109&lt;/item&gt;&lt;item&gt;110&lt;/item&gt;&lt;item&gt;111&lt;/item&gt;&lt;item&gt;112&lt;/item&gt;&lt;item&gt;115&lt;/item&gt;&lt;item&gt;116&lt;/item&gt;&lt;item&gt;117&lt;/item&gt;&lt;item&gt;118&lt;/item&gt;&lt;item&gt;119&lt;/item&gt;&lt;item&gt;120&lt;/item&gt;&lt;item&gt;121&lt;/item&gt;&lt;item&gt;122&lt;/item&gt;&lt;item&gt;123&lt;/item&gt;&lt;item&gt;124&lt;/item&gt;&lt;item&gt;127&lt;/item&gt;&lt;item&gt;128&lt;/item&gt;&lt;item&gt;129&lt;/item&gt;&lt;item&gt;135&lt;/item&gt;&lt;item&gt;136&lt;/item&gt;&lt;/record-ids&gt;&lt;/item&gt;&lt;/Libraries&gt;"/>
  </w:docVars>
  <w:rsids>
    <w:rsidRoot w:val="00172A27"/>
    <w:rsid w:val="00000E9C"/>
    <w:rsid w:val="0001350B"/>
    <w:rsid w:val="00031220"/>
    <w:rsid w:val="0004398D"/>
    <w:rsid w:val="00047B2A"/>
    <w:rsid w:val="00060D85"/>
    <w:rsid w:val="00065ABF"/>
    <w:rsid w:val="00085CB9"/>
    <w:rsid w:val="00096DB6"/>
    <w:rsid w:val="000D4888"/>
    <w:rsid w:val="000E4075"/>
    <w:rsid w:val="000F15B7"/>
    <w:rsid w:val="00111367"/>
    <w:rsid w:val="001119B4"/>
    <w:rsid w:val="00117009"/>
    <w:rsid w:val="001278BD"/>
    <w:rsid w:val="00147BCC"/>
    <w:rsid w:val="001563E3"/>
    <w:rsid w:val="00172A27"/>
    <w:rsid w:val="0018210A"/>
    <w:rsid w:val="001A2FAD"/>
    <w:rsid w:val="001D29DD"/>
    <w:rsid w:val="001D6C81"/>
    <w:rsid w:val="00203F99"/>
    <w:rsid w:val="00236ADF"/>
    <w:rsid w:val="002429CB"/>
    <w:rsid w:val="0026193D"/>
    <w:rsid w:val="00270CB2"/>
    <w:rsid w:val="002737B0"/>
    <w:rsid w:val="002A3F48"/>
    <w:rsid w:val="002F2D35"/>
    <w:rsid w:val="00307AF8"/>
    <w:rsid w:val="00307DF4"/>
    <w:rsid w:val="00311738"/>
    <w:rsid w:val="00330439"/>
    <w:rsid w:val="00356178"/>
    <w:rsid w:val="00356403"/>
    <w:rsid w:val="00360789"/>
    <w:rsid w:val="003738C0"/>
    <w:rsid w:val="00381C83"/>
    <w:rsid w:val="003861E2"/>
    <w:rsid w:val="0039294D"/>
    <w:rsid w:val="003953C8"/>
    <w:rsid w:val="003A1101"/>
    <w:rsid w:val="003A13D3"/>
    <w:rsid w:val="003A4475"/>
    <w:rsid w:val="003E53E5"/>
    <w:rsid w:val="003E7F61"/>
    <w:rsid w:val="003F787D"/>
    <w:rsid w:val="00405984"/>
    <w:rsid w:val="00434B59"/>
    <w:rsid w:val="0046403D"/>
    <w:rsid w:val="004644B2"/>
    <w:rsid w:val="004663D2"/>
    <w:rsid w:val="0047542F"/>
    <w:rsid w:val="00481186"/>
    <w:rsid w:val="00496FA6"/>
    <w:rsid w:val="004A09C5"/>
    <w:rsid w:val="004B39F9"/>
    <w:rsid w:val="004D6703"/>
    <w:rsid w:val="005072FB"/>
    <w:rsid w:val="00511404"/>
    <w:rsid w:val="00515D47"/>
    <w:rsid w:val="005245E7"/>
    <w:rsid w:val="005460A7"/>
    <w:rsid w:val="00596EDC"/>
    <w:rsid w:val="00597686"/>
    <w:rsid w:val="005C3162"/>
    <w:rsid w:val="005C78AD"/>
    <w:rsid w:val="005D15A2"/>
    <w:rsid w:val="005E4465"/>
    <w:rsid w:val="005E5FB0"/>
    <w:rsid w:val="00606BFB"/>
    <w:rsid w:val="00612FE2"/>
    <w:rsid w:val="0064465D"/>
    <w:rsid w:val="00644FB9"/>
    <w:rsid w:val="00647646"/>
    <w:rsid w:val="006510D0"/>
    <w:rsid w:val="006551EF"/>
    <w:rsid w:val="00660A5B"/>
    <w:rsid w:val="00667906"/>
    <w:rsid w:val="0067751C"/>
    <w:rsid w:val="006925B2"/>
    <w:rsid w:val="006A19B7"/>
    <w:rsid w:val="006A281D"/>
    <w:rsid w:val="006A5115"/>
    <w:rsid w:val="006B0B21"/>
    <w:rsid w:val="006F41C7"/>
    <w:rsid w:val="006F5CCB"/>
    <w:rsid w:val="00716EDA"/>
    <w:rsid w:val="007177E2"/>
    <w:rsid w:val="00721309"/>
    <w:rsid w:val="00742C0C"/>
    <w:rsid w:val="007568CA"/>
    <w:rsid w:val="00760FA8"/>
    <w:rsid w:val="00761EC0"/>
    <w:rsid w:val="00766AC7"/>
    <w:rsid w:val="00775F7B"/>
    <w:rsid w:val="007B358F"/>
    <w:rsid w:val="007C38A8"/>
    <w:rsid w:val="007D2A32"/>
    <w:rsid w:val="007D39A5"/>
    <w:rsid w:val="007E1761"/>
    <w:rsid w:val="007E46AC"/>
    <w:rsid w:val="007F2F16"/>
    <w:rsid w:val="00803BE2"/>
    <w:rsid w:val="00824F70"/>
    <w:rsid w:val="00832EC6"/>
    <w:rsid w:val="0083579A"/>
    <w:rsid w:val="00865A82"/>
    <w:rsid w:val="00897F96"/>
    <w:rsid w:val="008A21C2"/>
    <w:rsid w:val="008D5AAD"/>
    <w:rsid w:val="008D733C"/>
    <w:rsid w:val="008F1458"/>
    <w:rsid w:val="009068A0"/>
    <w:rsid w:val="00931ED8"/>
    <w:rsid w:val="00933280"/>
    <w:rsid w:val="00937347"/>
    <w:rsid w:val="00944875"/>
    <w:rsid w:val="00956597"/>
    <w:rsid w:val="0096075B"/>
    <w:rsid w:val="00971EF5"/>
    <w:rsid w:val="009740D8"/>
    <w:rsid w:val="009772B6"/>
    <w:rsid w:val="00990B46"/>
    <w:rsid w:val="00992E68"/>
    <w:rsid w:val="009941D7"/>
    <w:rsid w:val="009A1FCD"/>
    <w:rsid w:val="009B4083"/>
    <w:rsid w:val="009E2C16"/>
    <w:rsid w:val="00A131F0"/>
    <w:rsid w:val="00A17D4F"/>
    <w:rsid w:val="00A303A1"/>
    <w:rsid w:val="00A333BE"/>
    <w:rsid w:val="00A34D1B"/>
    <w:rsid w:val="00A56D86"/>
    <w:rsid w:val="00A634B8"/>
    <w:rsid w:val="00A81C05"/>
    <w:rsid w:val="00A90528"/>
    <w:rsid w:val="00A9234C"/>
    <w:rsid w:val="00A93B9C"/>
    <w:rsid w:val="00AA7274"/>
    <w:rsid w:val="00AB5C39"/>
    <w:rsid w:val="00AE504C"/>
    <w:rsid w:val="00AF7ADB"/>
    <w:rsid w:val="00B109AB"/>
    <w:rsid w:val="00B24A06"/>
    <w:rsid w:val="00B26124"/>
    <w:rsid w:val="00B31250"/>
    <w:rsid w:val="00B3483D"/>
    <w:rsid w:val="00B35E26"/>
    <w:rsid w:val="00B362BE"/>
    <w:rsid w:val="00B42054"/>
    <w:rsid w:val="00B45D39"/>
    <w:rsid w:val="00B5204A"/>
    <w:rsid w:val="00B65646"/>
    <w:rsid w:val="00BA1EAD"/>
    <w:rsid w:val="00BA3A5B"/>
    <w:rsid w:val="00BA6F20"/>
    <w:rsid w:val="00BD1F23"/>
    <w:rsid w:val="00BD4675"/>
    <w:rsid w:val="00BE6B01"/>
    <w:rsid w:val="00C0651A"/>
    <w:rsid w:val="00C1465B"/>
    <w:rsid w:val="00C63D62"/>
    <w:rsid w:val="00C67CF3"/>
    <w:rsid w:val="00C72756"/>
    <w:rsid w:val="00C82B88"/>
    <w:rsid w:val="00C97E0E"/>
    <w:rsid w:val="00CA5E2C"/>
    <w:rsid w:val="00CC1E30"/>
    <w:rsid w:val="00CE39D7"/>
    <w:rsid w:val="00CF5FB1"/>
    <w:rsid w:val="00D25F37"/>
    <w:rsid w:val="00DB3E0E"/>
    <w:rsid w:val="00DC2E6F"/>
    <w:rsid w:val="00DD0C67"/>
    <w:rsid w:val="00DD706B"/>
    <w:rsid w:val="00DE1348"/>
    <w:rsid w:val="00DE6402"/>
    <w:rsid w:val="00E047BE"/>
    <w:rsid w:val="00E163A6"/>
    <w:rsid w:val="00E233F6"/>
    <w:rsid w:val="00E34553"/>
    <w:rsid w:val="00E36EF3"/>
    <w:rsid w:val="00E43997"/>
    <w:rsid w:val="00E54718"/>
    <w:rsid w:val="00E559A8"/>
    <w:rsid w:val="00E574C3"/>
    <w:rsid w:val="00E667E2"/>
    <w:rsid w:val="00E71484"/>
    <w:rsid w:val="00E7399C"/>
    <w:rsid w:val="00E84904"/>
    <w:rsid w:val="00E922D6"/>
    <w:rsid w:val="00EB3BB1"/>
    <w:rsid w:val="00EC37F4"/>
    <w:rsid w:val="00ED71F9"/>
    <w:rsid w:val="00EE7618"/>
    <w:rsid w:val="00EF7530"/>
    <w:rsid w:val="00F211EB"/>
    <w:rsid w:val="00F21A6C"/>
    <w:rsid w:val="00F259AA"/>
    <w:rsid w:val="00F53EF0"/>
    <w:rsid w:val="00F559CC"/>
    <w:rsid w:val="00F66BDD"/>
    <w:rsid w:val="00F83AED"/>
    <w:rsid w:val="00FA7098"/>
    <w:rsid w:val="00FC579A"/>
    <w:rsid w:val="00FE09F3"/>
    <w:rsid w:val="00FE1BE4"/>
    <w:rsid w:val="012378E6"/>
    <w:rsid w:val="020A2D7E"/>
    <w:rsid w:val="020F732E"/>
    <w:rsid w:val="02254C09"/>
    <w:rsid w:val="03756934"/>
    <w:rsid w:val="03E11C39"/>
    <w:rsid w:val="03EB2225"/>
    <w:rsid w:val="03ED4C3A"/>
    <w:rsid w:val="044454FB"/>
    <w:rsid w:val="045551DF"/>
    <w:rsid w:val="04676C84"/>
    <w:rsid w:val="051324FA"/>
    <w:rsid w:val="055035A3"/>
    <w:rsid w:val="05AF65F2"/>
    <w:rsid w:val="05F83064"/>
    <w:rsid w:val="062D5C78"/>
    <w:rsid w:val="063422EB"/>
    <w:rsid w:val="063B57DB"/>
    <w:rsid w:val="06B759DB"/>
    <w:rsid w:val="075F3A81"/>
    <w:rsid w:val="0785180C"/>
    <w:rsid w:val="07A63950"/>
    <w:rsid w:val="07AD6042"/>
    <w:rsid w:val="07AD6D3F"/>
    <w:rsid w:val="07D11717"/>
    <w:rsid w:val="07E03159"/>
    <w:rsid w:val="080B121F"/>
    <w:rsid w:val="08FA0D91"/>
    <w:rsid w:val="09701142"/>
    <w:rsid w:val="09802502"/>
    <w:rsid w:val="0B1D7BAD"/>
    <w:rsid w:val="0B62736E"/>
    <w:rsid w:val="0BB406F7"/>
    <w:rsid w:val="0C212006"/>
    <w:rsid w:val="0C322980"/>
    <w:rsid w:val="0C754B6F"/>
    <w:rsid w:val="0C985DF5"/>
    <w:rsid w:val="0D1F373F"/>
    <w:rsid w:val="0E122041"/>
    <w:rsid w:val="0EDD4705"/>
    <w:rsid w:val="0F571162"/>
    <w:rsid w:val="0FB25055"/>
    <w:rsid w:val="10761678"/>
    <w:rsid w:val="109F750C"/>
    <w:rsid w:val="10BC3E02"/>
    <w:rsid w:val="11264D3E"/>
    <w:rsid w:val="1181506A"/>
    <w:rsid w:val="11AE45EB"/>
    <w:rsid w:val="11CE49E8"/>
    <w:rsid w:val="12404D09"/>
    <w:rsid w:val="12745DD9"/>
    <w:rsid w:val="13E60DBA"/>
    <w:rsid w:val="142F3FAA"/>
    <w:rsid w:val="14B50A99"/>
    <w:rsid w:val="14C17027"/>
    <w:rsid w:val="14C508AB"/>
    <w:rsid w:val="14D15504"/>
    <w:rsid w:val="15175338"/>
    <w:rsid w:val="156D44BC"/>
    <w:rsid w:val="15792A3B"/>
    <w:rsid w:val="15F971F1"/>
    <w:rsid w:val="16380621"/>
    <w:rsid w:val="165F1DD5"/>
    <w:rsid w:val="169B2DA0"/>
    <w:rsid w:val="16D46C06"/>
    <w:rsid w:val="173F2207"/>
    <w:rsid w:val="17862A9A"/>
    <w:rsid w:val="17A514CA"/>
    <w:rsid w:val="17DF607B"/>
    <w:rsid w:val="1879105A"/>
    <w:rsid w:val="19671096"/>
    <w:rsid w:val="19813E10"/>
    <w:rsid w:val="1A4D61D7"/>
    <w:rsid w:val="1A566DCD"/>
    <w:rsid w:val="1A58006B"/>
    <w:rsid w:val="1A9F4839"/>
    <w:rsid w:val="1ABE325E"/>
    <w:rsid w:val="1B141A44"/>
    <w:rsid w:val="1B831B6E"/>
    <w:rsid w:val="1BAC0178"/>
    <w:rsid w:val="1BD83FE1"/>
    <w:rsid w:val="1BEA6226"/>
    <w:rsid w:val="1C481335"/>
    <w:rsid w:val="1C5A0745"/>
    <w:rsid w:val="1D0004D4"/>
    <w:rsid w:val="1D02108C"/>
    <w:rsid w:val="1D0858CC"/>
    <w:rsid w:val="1D962BF1"/>
    <w:rsid w:val="1DE13F68"/>
    <w:rsid w:val="1DEF1943"/>
    <w:rsid w:val="1E314ED9"/>
    <w:rsid w:val="1E39007E"/>
    <w:rsid w:val="1EC44352"/>
    <w:rsid w:val="1F015621"/>
    <w:rsid w:val="1F4F23CD"/>
    <w:rsid w:val="1FAF5D0B"/>
    <w:rsid w:val="1FF2293B"/>
    <w:rsid w:val="20136ED3"/>
    <w:rsid w:val="205057A2"/>
    <w:rsid w:val="20530936"/>
    <w:rsid w:val="20CF7CEE"/>
    <w:rsid w:val="20F46891"/>
    <w:rsid w:val="2187625D"/>
    <w:rsid w:val="218E5B19"/>
    <w:rsid w:val="21DC596A"/>
    <w:rsid w:val="224967CA"/>
    <w:rsid w:val="22553FA5"/>
    <w:rsid w:val="227617E8"/>
    <w:rsid w:val="22816D96"/>
    <w:rsid w:val="22C03981"/>
    <w:rsid w:val="22F759E8"/>
    <w:rsid w:val="231747D3"/>
    <w:rsid w:val="236B2437"/>
    <w:rsid w:val="237E7C26"/>
    <w:rsid w:val="23B8038A"/>
    <w:rsid w:val="23DB257A"/>
    <w:rsid w:val="24380E1D"/>
    <w:rsid w:val="246F388C"/>
    <w:rsid w:val="247474BA"/>
    <w:rsid w:val="24867156"/>
    <w:rsid w:val="24EB56AE"/>
    <w:rsid w:val="25BD2154"/>
    <w:rsid w:val="266E7E1D"/>
    <w:rsid w:val="267E1FEB"/>
    <w:rsid w:val="268D5782"/>
    <w:rsid w:val="26D835FC"/>
    <w:rsid w:val="26F64FBD"/>
    <w:rsid w:val="270A40D4"/>
    <w:rsid w:val="278F5619"/>
    <w:rsid w:val="27F6585D"/>
    <w:rsid w:val="28482625"/>
    <w:rsid w:val="285C6F1E"/>
    <w:rsid w:val="2863699C"/>
    <w:rsid w:val="28C53358"/>
    <w:rsid w:val="29022C57"/>
    <w:rsid w:val="296D457C"/>
    <w:rsid w:val="29AC1F82"/>
    <w:rsid w:val="2A0047FF"/>
    <w:rsid w:val="2A0D1936"/>
    <w:rsid w:val="2A7067C8"/>
    <w:rsid w:val="2B7F1B00"/>
    <w:rsid w:val="2B910891"/>
    <w:rsid w:val="2BB809C3"/>
    <w:rsid w:val="2C5B12ED"/>
    <w:rsid w:val="2C613EDB"/>
    <w:rsid w:val="2D1B72DE"/>
    <w:rsid w:val="2E0A088D"/>
    <w:rsid w:val="2E834FB4"/>
    <w:rsid w:val="2F160E60"/>
    <w:rsid w:val="2FAC4DD1"/>
    <w:rsid w:val="302A09C0"/>
    <w:rsid w:val="30350150"/>
    <w:rsid w:val="3079212D"/>
    <w:rsid w:val="30BA3C61"/>
    <w:rsid w:val="31375EA4"/>
    <w:rsid w:val="317F7587"/>
    <w:rsid w:val="320251E7"/>
    <w:rsid w:val="32614331"/>
    <w:rsid w:val="32A67FD7"/>
    <w:rsid w:val="32DB5E2B"/>
    <w:rsid w:val="32E93B10"/>
    <w:rsid w:val="33085C6F"/>
    <w:rsid w:val="330B389D"/>
    <w:rsid w:val="33252DD4"/>
    <w:rsid w:val="333F55AD"/>
    <w:rsid w:val="3467544F"/>
    <w:rsid w:val="35473D54"/>
    <w:rsid w:val="35AE3DE4"/>
    <w:rsid w:val="35BD7E07"/>
    <w:rsid w:val="367D2F32"/>
    <w:rsid w:val="36A32EEA"/>
    <w:rsid w:val="36FA00D7"/>
    <w:rsid w:val="37DB4FE6"/>
    <w:rsid w:val="38096058"/>
    <w:rsid w:val="38907177"/>
    <w:rsid w:val="39235C8A"/>
    <w:rsid w:val="396050D7"/>
    <w:rsid w:val="39BC0D52"/>
    <w:rsid w:val="39BC2277"/>
    <w:rsid w:val="39DD4FA3"/>
    <w:rsid w:val="3A2F7B55"/>
    <w:rsid w:val="3A3146F4"/>
    <w:rsid w:val="3A584E55"/>
    <w:rsid w:val="3A7A3710"/>
    <w:rsid w:val="3A834C50"/>
    <w:rsid w:val="3AB92A90"/>
    <w:rsid w:val="3B097D4D"/>
    <w:rsid w:val="3B9E0056"/>
    <w:rsid w:val="3BA167DF"/>
    <w:rsid w:val="3BA339E9"/>
    <w:rsid w:val="3BA92EE9"/>
    <w:rsid w:val="3C2F0C27"/>
    <w:rsid w:val="3C584BE7"/>
    <w:rsid w:val="3CD7189C"/>
    <w:rsid w:val="3DBC2C4D"/>
    <w:rsid w:val="3DD02B53"/>
    <w:rsid w:val="3DE95B99"/>
    <w:rsid w:val="3DED76B2"/>
    <w:rsid w:val="3E634781"/>
    <w:rsid w:val="3F2A3F87"/>
    <w:rsid w:val="3F68415C"/>
    <w:rsid w:val="3FA5794B"/>
    <w:rsid w:val="40642CB6"/>
    <w:rsid w:val="41165FC4"/>
    <w:rsid w:val="411A3304"/>
    <w:rsid w:val="41772192"/>
    <w:rsid w:val="41C22302"/>
    <w:rsid w:val="41C95C74"/>
    <w:rsid w:val="42815033"/>
    <w:rsid w:val="42AA74C3"/>
    <w:rsid w:val="42C908F4"/>
    <w:rsid w:val="42FC1AD0"/>
    <w:rsid w:val="430E4DEB"/>
    <w:rsid w:val="43495C56"/>
    <w:rsid w:val="43AE5C2C"/>
    <w:rsid w:val="43B556BA"/>
    <w:rsid w:val="43FB0443"/>
    <w:rsid w:val="442F0EB5"/>
    <w:rsid w:val="444E130C"/>
    <w:rsid w:val="446A202C"/>
    <w:rsid w:val="4656547C"/>
    <w:rsid w:val="467D3655"/>
    <w:rsid w:val="46BD2A60"/>
    <w:rsid w:val="471332E4"/>
    <w:rsid w:val="47CF7585"/>
    <w:rsid w:val="47DD6FBF"/>
    <w:rsid w:val="48700590"/>
    <w:rsid w:val="487D06E6"/>
    <w:rsid w:val="48917A4F"/>
    <w:rsid w:val="48C933AE"/>
    <w:rsid w:val="48E832A3"/>
    <w:rsid w:val="49000716"/>
    <w:rsid w:val="490B4AAE"/>
    <w:rsid w:val="491407A0"/>
    <w:rsid w:val="49AC1609"/>
    <w:rsid w:val="4A67674C"/>
    <w:rsid w:val="4AE025A5"/>
    <w:rsid w:val="4B1E47A0"/>
    <w:rsid w:val="4B9859AF"/>
    <w:rsid w:val="4BBF3448"/>
    <w:rsid w:val="4BEA3085"/>
    <w:rsid w:val="4BF80AB8"/>
    <w:rsid w:val="4C0654AD"/>
    <w:rsid w:val="4C5A00A6"/>
    <w:rsid w:val="4C69113D"/>
    <w:rsid w:val="4CB81054"/>
    <w:rsid w:val="4D160E9F"/>
    <w:rsid w:val="4D400481"/>
    <w:rsid w:val="4DDD7CDC"/>
    <w:rsid w:val="4E3E4198"/>
    <w:rsid w:val="4E553772"/>
    <w:rsid w:val="4E9C2D99"/>
    <w:rsid w:val="4ED97619"/>
    <w:rsid w:val="4EE0084F"/>
    <w:rsid w:val="4F684714"/>
    <w:rsid w:val="4FA91646"/>
    <w:rsid w:val="4FFB0602"/>
    <w:rsid w:val="50165664"/>
    <w:rsid w:val="5038489B"/>
    <w:rsid w:val="504352E8"/>
    <w:rsid w:val="507F6306"/>
    <w:rsid w:val="511E5E4D"/>
    <w:rsid w:val="516911BD"/>
    <w:rsid w:val="51C61F5E"/>
    <w:rsid w:val="51E6731A"/>
    <w:rsid w:val="52290C37"/>
    <w:rsid w:val="52780266"/>
    <w:rsid w:val="528E6B4D"/>
    <w:rsid w:val="529977C3"/>
    <w:rsid w:val="5378126E"/>
    <w:rsid w:val="53CE7CE3"/>
    <w:rsid w:val="553B7A52"/>
    <w:rsid w:val="554A3B0C"/>
    <w:rsid w:val="55573BF4"/>
    <w:rsid w:val="555A1291"/>
    <w:rsid w:val="55E9342F"/>
    <w:rsid w:val="563D1C91"/>
    <w:rsid w:val="57B57610"/>
    <w:rsid w:val="57BB6835"/>
    <w:rsid w:val="583A1B70"/>
    <w:rsid w:val="583B1696"/>
    <w:rsid w:val="58443233"/>
    <w:rsid w:val="58AA3EAB"/>
    <w:rsid w:val="58DC3FA4"/>
    <w:rsid w:val="5A70072F"/>
    <w:rsid w:val="5ACB2221"/>
    <w:rsid w:val="5C654436"/>
    <w:rsid w:val="5C786DAB"/>
    <w:rsid w:val="5C941F3D"/>
    <w:rsid w:val="5D14001E"/>
    <w:rsid w:val="5D333C20"/>
    <w:rsid w:val="5D3D6236"/>
    <w:rsid w:val="5D7C597F"/>
    <w:rsid w:val="5D9A391A"/>
    <w:rsid w:val="5DC25313"/>
    <w:rsid w:val="60027966"/>
    <w:rsid w:val="601771F4"/>
    <w:rsid w:val="60AC0DAE"/>
    <w:rsid w:val="61300A62"/>
    <w:rsid w:val="61C67D5A"/>
    <w:rsid w:val="61E945B8"/>
    <w:rsid w:val="621E2B40"/>
    <w:rsid w:val="62926F6D"/>
    <w:rsid w:val="63D9370B"/>
    <w:rsid w:val="641204BA"/>
    <w:rsid w:val="64164D02"/>
    <w:rsid w:val="64963CA1"/>
    <w:rsid w:val="64AD477F"/>
    <w:rsid w:val="65DB4087"/>
    <w:rsid w:val="65E14B01"/>
    <w:rsid w:val="65F433D4"/>
    <w:rsid w:val="664B51AC"/>
    <w:rsid w:val="665C0C3F"/>
    <w:rsid w:val="66BB0E38"/>
    <w:rsid w:val="66D47C04"/>
    <w:rsid w:val="677A1303"/>
    <w:rsid w:val="681F1B2C"/>
    <w:rsid w:val="689A0DB3"/>
    <w:rsid w:val="68A155E4"/>
    <w:rsid w:val="68FA5336"/>
    <w:rsid w:val="69277C9F"/>
    <w:rsid w:val="697D58FB"/>
    <w:rsid w:val="69A3540C"/>
    <w:rsid w:val="69F71238"/>
    <w:rsid w:val="6A087AF6"/>
    <w:rsid w:val="6A8F0F0E"/>
    <w:rsid w:val="6AF45E2B"/>
    <w:rsid w:val="6B1C10E1"/>
    <w:rsid w:val="6B3D6442"/>
    <w:rsid w:val="6BA74A50"/>
    <w:rsid w:val="6BB108F3"/>
    <w:rsid w:val="6BC91399"/>
    <w:rsid w:val="6C863D97"/>
    <w:rsid w:val="6D0E059A"/>
    <w:rsid w:val="6DAB18EE"/>
    <w:rsid w:val="6DE61FBE"/>
    <w:rsid w:val="6F175E83"/>
    <w:rsid w:val="6FAE3142"/>
    <w:rsid w:val="6FDC185E"/>
    <w:rsid w:val="6FF41C37"/>
    <w:rsid w:val="706F1780"/>
    <w:rsid w:val="70DE6B69"/>
    <w:rsid w:val="71743E52"/>
    <w:rsid w:val="719B2C05"/>
    <w:rsid w:val="71F4352E"/>
    <w:rsid w:val="725848F6"/>
    <w:rsid w:val="72790FC5"/>
    <w:rsid w:val="72AA4E46"/>
    <w:rsid w:val="72C522A1"/>
    <w:rsid w:val="72DA7D17"/>
    <w:rsid w:val="746C3C00"/>
    <w:rsid w:val="746C6465"/>
    <w:rsid w:val="74DB47A3"/>
    <w:rsid w:val="74E97FE5"/>
    <w:rsid w:val="75144E40"/>
    <w:rsid w:val="752D79F6"/>
    <w:rsid w:val="75845EAD"/>
    <w:rsid w:val="75E66C0E"/>
    <w:rsid w:val="76343829"/>
    <w:rsid w:val="766043E8"/>
    <w:rsid w:val="76964B87"/>
    <w:rsid w:val="76CA4EDD"/>
    <w:rsid w:val="76EE4FA3"/>
    <w:rsid w:val="77330532"/>
    <w:rsid w:val="77402BD9"/>
    <w:rsid w:val="784A0DDA"/>
    <w:rsid w:val="78C967A4"/>
    <w:rsid w:val="797D365F"/>
    <w:rsid w:val="798B59E3"/>
    <w:rsid w:val="79D63992"/>
    <w:rsid w:val="79FA0DB3"/>
    <w:rsid w:val="7A723C50"/>
    <w:rsid w:val="7ABE364A"/>
    <w:rsid w:val="7B0E470C"/>
    <w:rsid w:val="7BAE33CB"/>
    <w:rsid w:val="7C085D1B"/>
    <w:rsid w:val="7C176A59"/>
    <w:rsid w:val="7C6C2E58"/>
    <w:rsid w:val="7CCF7695"/>
    <w:rsid w:val="7CDA4FBB"/>
    <w:rsid w:val="7CE2668E"/>
    <w:rsid w:val="7CF629F9"/>
    <w:rsid w:val="7D0E7CA3"/>
    <w:rsid w:val="7D1F3808"/>
    <w:rsid w:val="7D523AB9"/>
    <w:rsid w:val="7DCA0B39"/>
    <w:rsid w:val="7E576E3B"/>
    <w:rsid w:val="7E6F220B"/>
    <w:rsid w:val="7E815CE0"/>
    <w:rsid w:val="7E937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qFormat/>
    <w:rPr>
      <w:rFonts w:ascii="宋体" w:eastAsia="宋体" w:hAnsi="宋体" w:cs="宋体" w:hint="eastAsia"/>
      <w:color w:val="000000"/>
      <w:sz w:val="28"/>
      <w:szCs w:val="28"/>
      <w:u w:val="none"/>
    </w:rPr>
  </w:style>
  <w:style w:type="character" w:styleId="a3">
    <w:name w:val="Strong"/>
    <w:qFormat/>
    <w:rPr>
      <w:b/>
    </w:rPr>
  </w:style>
  <w:style w:type="character" w:customStyle="1" w:styleId="Char">
    <w:name w:val="页脚 Char"/>
    <w:link w:val="a4"/>
    <w:rPr>
      <w:rFonts w:ascii="Calibri" w:hAnsi="Calibri"/>
      <w:kern w:val="2"/>
      <w:sz w:val="18"/>
      <w:szCs w:val="18"/>
    </w:rPr>
  </w:style>
  <w:style w:type="character" w:customStyle="1" w:styleId="Char0">
    <w:name w:val="页眉 Char"/>
    <w:link w:val="a5"/>
    <w:rPr>
      <w:rFonts w:ascii="Calibri" w:hAnsi="Calibri"/>
      <w:kern w:val="2"/>
      <w:sz w:val="18"/>
      <w:szCs w:val="18"/>
    </w:rPr>
  </w:style>
  <w:style w:type="character" w:customStyle="1" w:styleId="Char1">
    <w:name w:val="批注框文本 Char"/>
    <w:link w:val="a6"/>
    <w:qFormat/>
    <w:rPr>
      <w:rFonts w:ascii="宋体" w:hAnsi="Calibri" w:cs="Times New Roman"/>
      <w:kern w:val="2"/>
      <w:sz w:val="18"/>
      <w:szCs w:val="18"/>
    </w:rPr>
  </w:style>
  <w:style w:type="character" w:styleId="a7">
    <w:name w:val="Hyperlink"/>
    <w:qFormat/>
    <w:rPr>
      <w:color w:val="0000FF"/>
      <w:u w:val="single"/>
    </w:rPr>
  </w:style>
  <w:style w:type="character" w:customStyle="1" w:styleId="EndNoteBibliographyTitle">
    <w:name w:val="EndNote Bibliography Title 字符"/>
    <w:link w:val="EndNoteBibliographyTitle0"/>
    <w:rPr>
      <w:rFonts w:ascii="Calibri" w:hAnsi="Calibri" w:cs="Calibri"/>
      <w:kern w:val="2"/>
      <w:szCs w:val="24"/>
      <w:lang w:val="en-US" w:eastAsia="zh-CN"/>
    </w:rPr>
  </w:style>
  <w:style w:type="character" w:customStyle="1" w:styleId="font61">
    <w:name w:val="font61"/>
    <w:qFormat/>
    <w:rPr>
      <w:rFonts w:ascii="宋体" w:eastAsia="宋体" w:hAnsi="宋体" w:cs="宋体"/>
      <w:color w:val="000000"/>
      <w:sz w:val="28"/>
      <w:szCs w:val="28"/>
      <w:u w:val="none"/>
    </w:rPr>
  </w:style>
  <w:style w:type="character" w:styleId="a8">
    <w:name w:val="annotation reference"/>
    <w:qFormat/>
    <w:rPr>
      <w:sz w:val="16"/>
      <w:szCs w:val="16"/>
    </w:rPr>
  </w:style>
  <w:style w:type="character" w:customStyle="1" w:styleId="15">
    <w:name w:val="15"/>
    <w:rPr>
      <w:rFonts w:ascii="Calibri" w:hAnsi="Calibri" w:cs="Calibri" w:hint="default"/>
      <w:color w:val="0000FF"/>
      <w:u w:val="single"/>
    </w:rPr>
  </w:style>
  <w:style w:type="paragraph" w:customStyle="1" w:styleId="EndNoteBibliography">
    <w:name w:val="EndNote Bibliography"/>
    <w:basedOn w:val="a"/>
    <w:qFormat/>
    <w:rPr>
      <w:rFonts w:cs="Calibri"/>
      <w:sz w:val="20"/>
    </w:rPr>
  </w:style>
  <w:style w:type="paragraph" w:customStyle="1" w:styleId="Default">
    <w:name w:val="Default"/>
    <w:uiPriority w:val="99"/>
    <w:unhideWhenUsed/>
    <w:pPr>
      <w:widowControl w:val="0"/>
      <w:autoSpaceDE w:val="0"/>
      <w:autoSpaceDN w:val="0"/>
      <w:adjustRightInd w:val="0"/>
    </w:pPr>
    <w:rPr>
      <w:rFonts w:ascii="Book Antiqua" w:eastAsia="Book Antiqua" w:hAnsi="Book Antiqua" w:hint="eastAsia"/>
      <w:color w:val="000000"/>
      <w:sz w:val="24"/>
    </w:rPr>
  </w:style>
  <w:style w:type="paragraph" w:styleId="a9">
    <w:name w:val="Normal (Web)"/>
    <w:basedOn w:val="a"/>
    <w:qFormat/>
    <w:pPr>
      <w:spacing w:before="100" w:beforeAutospacing="1" w:after="100" w:afterAutospacing="1"/>
      <w:jc w:val="left"/>
    </w:pPr>
    <w:rPr>
      <w:kern w:val="0"/>
      <w:sz w:val="24"/>
    </w:rPr>
  </w:style>
  <w:style w:type="paragraph" w:customStyle="1" w:styleId="EndNoteBibliographyTitle0">
    <w:name w:val="EndNote Bibliography Title"/>
    <w:basedOn w:val="a"/>
    <w:link w:val="EndNoteBibliographyTitle"/>
    <w:pPr>
      <w:jc w:val="center"/>
    </w:pPr>
    <w:rPr>
      <w:rFonts w:cs="Calibri"/>
      <w:sz w:val="20"/>
    </w:rPr>
  </w:style>
  <w:style w:type="paragraph" w:styleId="a5">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pPr>
      <w:tabs>
        <w:tab w:val="center" w:pos="4153"/>
        <w:tab w:val="right" w:pos="8306"/>
      </w:tabs>
      <w:snapToGrid w:val="0"/>
      <w:jc w:val="left"/>
    </w:pPr>
    <w:rPr>
      <w:sz w:val="18"/>
      <w:szCs w:val="18"/>
    </w:rPr>
  </w:style>
  <w:style w:type="paragraph" w:styleId="a6">
    <w:name w:val="Balloon Text"/>
    <w:basedOn w:val="a"/>
    <w:link w:val="Char1"/>
    <w:qFormat/>
    <w:rPr>
      <w:rFonts w:ascii="宋体" w:eastAsia="宋体"/>
      <w:sz w:val="18"/>
      <w:szCs w:val="18"/>
    </w:rPr>
  </w:style>
  <w:style w:type="paragraph" w:styleId="aa">
    <w:name w:val="annotation text"/>
    <w:basedOn w:val="a"/>
    <w:rPr>
      <w:sz w:val="20"/>
      <w:szCs w:val="20"/>
    </w:rPr>
  </w:style>
  <w:style w:type="character" w:styleId="ab">
    <w:name w:val="page number"/>
    <w:basedOn w:val="a0"/>
    <w:rsid w:val="00273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qFormat/>
    <w:rPr>
      <w:rFonts w:ascii="宋体" w:eastAsia="宋体" w:hAnsi="宋体" w:cs="宋体" w:hint="eastAsia"/>
      <w:color w:val="000000"/>
      <w:sz w:val="28"/>
      <w:szCs w:val="28"/>
      <w:u w:val="none"/>
    </w:rPr>
  </w:style>
  <w:style w:type="character" w:styleId="a3">
    <w:name w:val="Strong"/>
    <w:qFormat/>
    <w:rPr>
      <w:b/>
    </w:rPr>
  </w:style>
  <w:style w:type="character" w:customStyle="1" w:styleId="Char">
    <w:name w:val="页脚 Char"/>
    <w:link w:val="a4"/>
    <w:rPr>
      <w:rFonts w:ascii="Calibri" w:hAnsi="Calibri"/>
      <w:kern w:val="2"/>
      <w:sz w:val="18"/>
      <w:szCs w:val="18"/>
    </w:rPr>
  </w:style>
  <w:style w:type="character" w:customStyle="1" w:styleId="Char0">
    <w:name w:val="页眉 Char"/>
    <w:link w:val="a5"/>
    <w:rPr>
      <w:rFonts w:ascii="Calibri" w:hAnsi="Calibri"/>
      <w:kern w:val="2"/>
      <w:sz w:val="18"/>
      <w:szCs w:val="18"/>
    </w:rPr>
  </w:style>
  <w:style w:type="character" w:customStyle="1" w:styleId="Char1">
    <w:name w:val="批注框文本 Char"/>
    <w:link w:val="a6"/>
    <w:qFormat/>
    <w:rPr>
      <w:rFonts w:ascii="宋体" w:hAnsi="Calibri" w:cs="Times New Roman"/>
      <w:kern w:val="2"/>
      <w:sz w:val="18"/>
      <w:szCs w:val="18"/>
    </w:rPr>
  </w:style>
  <w:style w:type="character" w:styleId="a7">
    <w:name w:val="Hyperlink"/>
    <w:qFormat/>
    <w:rPr>
      <w:color w:val="0000FF"/>
      <w:u w:val="single"/>
    </w:rPr>
  </w:style>
  <w:style w:type="character" w:customStyle="1" w:styleId="EndNoteBibliographyTitle">
    <w:name w:val="EndNote Bibliography Title 字符"/>
    <w:link w:val="EndNoteBibliographyTitle0"/>
    <w:rPr>
      <w:rFonts w:ascii="Calibri" w:hAnsi="Calibri" w:cs="Calibri"/>
      <w:kern w:val="2"/>
      <w:szCs w:val="24"/>
      <w:lang w:val="en-US" w:eastAsia="zh-CN"/>
    </w:rPr>
  </w:style>
  <w:style w:type="character" w:customStyle="1" w:styleId="font61">
    <w:name w:val="font61"/>
    <w:qFormat/>
    <w:rPr>
      <w:rFonts w:ascii="宋体" w:eastAsia="宋体" w:hAnsi="宋体" w:cs="宋体"/>
      <w:color w:val="000000"/>
      <w:sz w:val="28"/>
      <w:szCs w:val="28"/>
      <w:u w:val="none"/>
    </w:rPr>
  </w:style>
  <w:style w:type="character" w:styleId="a8">
    <w:name w:val="annotation reference"/>
    <w:qFormat/>
    <w:rPr>
      <w:sz w:val="16"/>
      <w:szCs w:val="16"/>
    </w:rPr>
  </w:style>
  <w:style w:type="character" w:customStyle="1" w:styleId="15">
    <w:name w:val="15"/>
    <w:rPr>
      <w:rFonts w:ascii="Calibri" w:hAnsi="Calibri" w:cs="Calibri" w:hint="default"/>
      <w:color w:val="0000FF"/>
      <w:u w:val="single"/>
    </w:rPr>
  </w:style>
  <w:style w:type="paragraph" w:customStyle="1" w:styleId="EndNoteBibliography">
    <w:name w:val="EndNote Bibliography"/>
    <w:basedOn w:val="a"/>
    <w:qFormat/>
    <w:rPr>
      <w:rFonts w:cs="Calibri"/>
      <w:sz w:val="20"/>
    </w:rPr>
  </w:style>
  <w:style w:type="paragraph" w:customStyle="1" w:styleId="Default">
    <w:name w:val="Default"/>
    <w:uiPriority w:val="99"/>
    <w:unhideWhenUsed/>
    <w:pPr>
      <w:widowControl w:val="0"/>
      <w:autoSpaceDE w:val="0"/>
      <w:autoSpaceDN w:val="0"/>
      <w:adjustRightInd w:val="0"/>
    </w:pPr>
    <w:rPr>
      <w:rFonts w:ascii="Book Antiqua" w:eastAsia="Book Antiqua" w:hAnsi="Book Antiqua" w:hint="eastAsia"/>
      <w:color w:val="000000"/>
      <w:sz w:val="24"/>
    </w:rPr>
  </w:style>
  <w:style w:type="paragraph" w:styleId="a9">
    <w:name w:val="Normal (Web)"/>
    <w:basedOn w:val="a"/>
    <w:qFormat/>
    <w:pPr>
      <w:spacing w:before="100" w:beforeAutospacing="1" w:after="100" w:afterAutospacing="1"/>
      <w:jc w:val="left"/>
    </w:pPr>
    <w:rPr>
      <w:kern w:val="0"/>
      <w:sz w:val="24"/>
    </w:rPr>
  </w:style>
  <w:style w:type="paragraph" w:customStyle="1" w:styleId="EndNoteBibliographyTitle0">
    <w:name w:val="EndNote Bibliography Title"/>
    <w:basedOn w:val="a"/>
    <w:link w:val="EndNoteBibliographyTitle"/>
    <w:pPr>
      <w:jc w:val="center"/>
    </w:pPr>
    <w:rPr>
      <w:rFonts w:cs="Calibri"/>
      <w:sz w:val="20"/>
    </w:rPr>
  </w:style>
  <w:style w:type="paragraph" w:styleId="a5">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pPr>
      <w:tabs>
        <w:tab w:val="center" w:pos="4153"/>
        <w:tab w:val="right" w:pos="8306"/>
      </w:tabs>
      <w:snapToGrid w:val="0"/>
      <w:jc w:val="left"/>
    </w:pPr>
    <w:rPr>
      <w:sz w:val="18"/>
      <w:szCs w:val="18"/>
    </w:rPr>
  </w:style>
  <w:style w:type="paragraph" w:styleId="a6">
    <w:name w:val="Balloon Text"/>
    <w:basedOn w:val="a"/>
    <w:link w:val="Char1"/>
    <w:qFormat/>
    <w:rPr>
      <w:rFonts w:ascii="宋体" w:eastAsia="宋体"/>
      <w:sz w:val="18"/>
      <w:szCs w:val="18"/>
    </w:rPr>
  </w:style>
  <w:style w:type="paragraph" w:styleId="aa">
    <w:name w:val="annotation text"/>
    <w:basedOn w:val="a"/>
    <w:rPr>
      <w:sz w:val="20"/>
      <w:szCs w:val="20"/>
    </w:rPr>
  </w:style>
  <w:style w:type="character" w:styleId="ab">
    <w:name w:val="page number"/>
    <w:basedOn w:val="a0"/>
    <w:rsid w:val="00273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74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huaguoxu@njmu.edu.cn" TargetMode="External"/><Relationship Id="rId13" Type="http://schemas.openxmlformats.org/officeDocument/2006/relationships/image" Target="media/image1.jpeg"/><Relationship Id="rId18" Type="http://schemas.openxmlformats.org/officeDocument/2006/relationships/hyperlink" Target="C:/Program%20Files%20(x86)/Youdao/Dict/8.5.1.0/resultui/html/index.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Program%2520Files%2520(x86)/Youdao/Dict/8.5.1.0/resultui/html/index.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Program%2520Files%2520(x86)/Youdao/Dict/8.5.1.0/resultui/html/index.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C:/Program%2520Files%2520(x86)/Youdao/Dict/8.5.1.0/resultui/html/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E546F-7D91-42A8-AFF0-8DBB1D38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6333</Words>
  <Characters>36104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42353</CharactersWithSpaces>
  <SharedDoc>false</SharedDoc>
  <HLinks>
    <vt:vector size="36" baseType="variant">
      <vt:variant>
        <vt:i4>327736</vt:i4>
      </vt:variant>
      <vt:variant>
        <vt:i4>108</vt:i4>
      </vt:variant>
      <vt:variant>
        <vt:i4>0</vt:i4>
      </vt:variant>
      <vt:variant>
        <vt:i4>5</vt:i4>
      </vt:variant>
      <vt:variant>
        <vt:lpwstr>file://C:\Program Files (x86)\Youdao\Dict\8.5.1.0\resultui\html\index.html</vt:lpwstr>
      </vt:variant>
      <vt:variant>
        <vt:lpwstr>/javascript:;</vt:lpwstr>
      </vt:variant>
      <vt:variant>
        <vt:i4>2162764</vt:i4>
      </vt:variant>
      <vt:variant>
        <vt:i4>30</vt:i4>
      </vt:variant>
      <vt:variant>
        <vt:i4>0</vt:i4>
      </vt:variant>
      <vt:variant>
        <vt:i4>5</vt:i4>
      </vt:variant>
      <vt:variant>
        <vt:lpwstr>C:\Program Files (x86)\Youdao\Dict\8.5.1.0\resultui\html\index.html</vt:lpwstr>
      </vt:variant>
      <vt:variant>
        <vt:lpwstr>/javascript:;</vt:lpwstr>
      </vt:variant>
      <vt:variant>
        <vt:i4>2162764</vt:i4>
      </vt:variant>
      <vt:variant>
        <vt:i4>27</vt:i4>
      </vt:variant>
      <vt:variant>
        <vt:i4>0</vt:i4>
      </vt:variant>
      <vt:variant>
        <vt:i4>5</vt:i4>
      </vt:variant>
      <vt:variant>
        <vt:lpwstr>C:\Program Files (x86)\Youdao\Dict\8.5.1.0\resultui\html\index.html</vt:lpwstr>
      </vt:variant>
      <vt:variant>
        <vt:lpwstr>/javascript:;</vt:lpwstr>
      </vt:variant>
      <vt:variant>
        <vt:i4>2162764</vt:i4>
      </vt:variant>
      <vt:variant>
        <vt:i4>21</vt:i4>
      </vt:variant>
      <vt:variant>
        <vt:i4>0</vt:i4>
      </vt:variant>
      <vt:variant>
        <vt:i4>5</vt:i4>
      </vt:variant>
      <vt:variant>
        <vt:lpwstr>C:\Program Files (x86)\Youdao\Dict\8.5.1.0\resultui\html\index.html</vt:lpwstr>
      </vt:variant>
      <vt:variant>
        <vt:lpwstr>/javascript:;</vt:lpwstr>
      </vt:variant>
      <vt:variant>
        <vt:i4>2162764</vt:i4>
      </vt:variant>
      <vt:variant>
        <vt:i4>18</vt:i4>
      </vt:variant>
      <vt:variant>
        <vt:i4>0</vt:i4>
      </vt:variant>
      <vt:variant>
        <vt:i4>5</vt:i4>
      </vt:variant>
      <vt:variant>
        <vt:lpwstr>C:\Program Files (x86)\Youdao\Dict\8.5.1.0\resultui\html\index.html</vt:lpwstr>
      </vt:variant>
      <vt:variant>
        <vt:lpwstr>/javascript:;</vt:lpwstr>
      </vt:variant>
      <vt:variant>
        <vt:i4>4849701</vt:i4>
      </vt:variant>
      <vt:variant>
        <vt:i4>0</vt:i4>
      </vt:variant>
      <vt:variant>
        <vt:i4>0</vt:i4>
      </vt:variant>
      <vt:variant>
        <vt:i4>5</vt:i4>
      </vt:variant>
      <vt:variant>
        <vt:lpwstr>mailto:huaguoxu@njmu.edu.cn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liujihong2008@qq.con</cp:lastModifiedBy>
  <cp:revision>6</cp:revision>
  <dcterms:created xsi:type="dcterms:W3CDTF">2020-10-22T05:19:00Z</dcterms:created>
  <dcterms:modified xsi:type="dcterms:W3CDTF">2020-10-22T08:18:00Z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