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89C0" w14:textId="3B1CD67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Infectious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Diseases</w:t>
      </w:r>
    </w:p>
    <w:p w14:paraId="0D8E3B15" w14:textId="0A18806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57823</w:t>
      </w:r>
    </w:p>
    <w:p w14:paraId="247D4E2D" w14:textId="5DE60D2C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62CDB01" w14:textId="77777777" w:rsidR="00A77B3E" w:rsidRDefault="00A77B3E">
      <w:pPr>
        <w:spacing w:line="360" w:lineRule="auto"/>
        <w:jc w:val="both"/>
      </w:pPr>
    </w:p>
    <w:p w14:paraId="31DA9A38" w14:textId="28BACC2B" w:rsidR="00A77B3E" w:rsidRDefault="005D553C">
      <w:pPr>
        <w:spacing w:line="360" w:lineRule="auto"/>
        <w:jc w:val="both"/>
      </w:pPr>
      <w:bookmarkStart w:id="0" w:name="OLE_LINK1842"/>
      <w:bookmarkStart w:id="1" w:name="OLE_LINK1843"/>
      <w:r>
        <w:rPr>
          <w:rFonts w:ascii="Book Antiqua" w:eastAsia="Book Antiqua" w:hAnsi="Book Antiqua" w:cs="Book Antiqua"/>
          <w:b/>
          <w:color w:val="000000"/>
        </w:rPr>
        <w:t>Abdominal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aortic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thrombosis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as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initial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presentation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COVID-19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i</w:t>
      </w:r>
      <w:r>
        <w:rPr>
          <w:rFonts w:ascii="Book Antiqua" w:eastAsia="Book Antiqua" w:hAnsi="Book Antiqua" w:cs="Book Antiqua"/>
          <w:b/>
          <w:color w:val="000000"/>
        </w:rPr>
        <w:t>nfection: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c</w:t>
      </w:r>
      <w:r>
        <w:rPr>
          <w:rFonts w:ascii="Book Antiqua" w:eastAsia="Book Antiqua" w:hAnsi="Book Antiqua" w:cs="Book Antiqua"/>
          <w:b/>
          <w:color w:val="000000"/>
        </w:rPr>
        <w:t>ase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182C">
        <w:rPr>
          <w:rFonts w:ascii="Book Antiqua" w:eastAsia="Book Antiqua" w:hAnsi="Book Antiqua" w:cs="Book Antiqua"/>
          <w:b/>
          <w:color w:val="000000"/>
        </w:rPr>
        <w:t>r</w:t>
      </w:r>
      <w:r>
        <w:rPr>
          <w:rFonts w:ascii="Book Antiqua" w:eastAsia="Book Antiqua" w:hAnsi="Book Antiqua" w:cs="Book Antiqua"/>
          <w:b/>
          <w:color w:val="000000"/>
        </w:rPr>
        <w:t>eport</w:t>
      </w:r>
    </w:p>
    <w:bookmarkEnd w:id="0"/>
    <w:bookmarkEnd w:id="1"/>
    <w:p w14:paraId="2A5B1CB4" w14:textId="77777777" w:rsidR="00A77B3E" w:rsidRDefault="00A77B3E">
      <w:pPr>
        <w:spacing w:line="360" w:lineRule="auto"/>
        <w:jc w:val="both"/>
      </w:pPr>
    </w:p>
    <w:p w14:paraId="0468EE60" w14:textId="684AB4F6" w:rsidR="00A77B3E" w:rsidRDefault="004B08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4B0830">
        <w:rPr>
          <w:rFonts w:ascii="Book Antiqua" w:eastAsia="Book Antiqua" w:hAnsi="Book Antiqua" w:cs="Book Antiqua"/>
          <w:i/>
          <w:color w:val="000000"/>
        </w:rPr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B0830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5D553C"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57BE0">
        <w:rPr>
          <w:rFonts w:ascii="Book Antiqua" w:eastAsia="Book Antiqua" w:hAnsi="Book Antiqua" w:cs="Book Antiqua"/>
          <w:color w:val="000000"/>
        </w:rPr>
        <w:t>t</w:t>
      </w:r>
      <w:r w:rsidR="005D553C">
        <w:rPr>
          <w:rFonts w:ascii="Book Antiqua" w:eastAsia="Book Antiqua" w:hAnsi="Book Antiqua" w:cs="Book Antiqua"/>
          <w:color w:val="000000"/>
        </w:rPr>
        <w:t>hrombosis</w:t>
      </w:r>
    </w:p>
    <w:p w14:paraId="488D8934" w14:textId="77777777" w:rsidR="00A77B3E" w:rsidRDefault="00A77B3E">
      <w:pPr>
        <w:spacing w:line="360" w:lineRule="auto"/>
        <w:jc w:val="both"/>
      </w:pPr>
    </w:p>
    <w:p w14:paraId="78D56FCC" w14:textId="0AFEEDB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William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Zachary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Sraow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</w:p>
    <w:p w14:paraId="2F2ED222" w14:textId="77777777" w:rsidR="00A77B3E" w:rsidRDefault="00A77B3E">
      <w:pPr>
        <w:spacing w:line="360" w:lineRule="auto"/>
        <w:jc w:val="both"/>
      </w:pPr>
    </w:p>
    <w:p w14:paraId="324020EB" w14:textId="7867921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Webster,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8C29B8"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613BA48C" w14:textId="77777777" w:rsidR="00A77B3E" w:rsidRDefault="00A77B3E">
      <w:pPr>
        <w:spacing w:line="360" w:lineRule="auto"/>
        <w:jc w:val="both"/>
      </w:pPr>
    </w:p>
    <w:p w14:paraId="48246C25" w14:textId="4DC13F9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Amrit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Sraow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Karla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Cruz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E054E">
        <w:rPr>
          <w:rFonts w:ascii="Book Antiqua" w:eastAsia="Book Antiqua" w:hAnsi="Book Antiqua" w:cs="Book Antiqua"/>
          <w:b/>
          <w:bCs/>
          <w:color w:val="000000"/>
        </w:rPr>
        <w:t>Morel,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Medicine-Prisma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EE886C" w14:textId="77777777" w:rsidR="00A77B3E" w:rsidRDefault="00A77B3E">
      <w:pPr>
        <w:spacing w:line="360" w:lineRule="auto"/>
        <w:jc w:val="both"/>
      </w:pPr>
    </w:p>
    <w:p w14:paraId="14F480D0" w14:textId="6BA464B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0404"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540404">
        <w:rPr>
          <w:rFonts w:ascii="Book Antiqua" w:eastAsia="Book Antiqua" w:hAnsi="Book Antiqua" w:cs="Book Antiqua"/>
          <w:color w:val="000000"/>
        </w:rPr>
        <w:t>WZ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4B39DC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EE5177"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EE5177">
        <w:rPr>
          <w:rFonts w:ascii="Book Antiqua" w:eastAsia="Book Antiqua" w:hAnsi="Book Antiqua" w:cs="Book Antiqua"/>
          <w:color w:val="000000"/>
        </w:rPr>
        <w:t>Morel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E5177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5177">
        <w:rPr>
          <w:rFonts w:ascii="Book Antiqua" w:eastAsia="Book Antiqua" w:hAnsi="Book Antiqua" w:cs="Book Antiqua"/>
          <w:color w:val="000000"/>
        </w:rPr>
        <w:t>Sraow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2FE5C7F" w14:textId="77777777" w:rsidR="00A77B3E" w:rsidRDefault="00A77B3E">
      <w:pPr>
        <w:spacing w:line="360" w:lineRule="auto"/>
        <w:jc w:val="both"/>
      </w:pPr>
    </w:p>
    <w:p w14:paraId="732F18B3" w14:textId="10076E9B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William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Zachary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Webster,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Department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D87C43" w:rsidRPr="00D87C43">
        <w:rPr>
          <w:rFonts w:ascii="Book Antiqua" w:eastAsia="Book Antiqua" w:hAnsi="Book Antiqua" w:cs="Book Antiqua"/>
          <w:bCs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Carolina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Richland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Columbia,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29203,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wwebster@vcom.edu</w:t>
      </w:r>
    </w:p>
    <w:p w14:paraId="70D37D71" w14:textId="77777777" w:rsidR="00A77B3E" w:rsidRDefault="00A77B3E">
      <w:pPr>
        <w:spacing w:line="360" w:lineRule="auto"/>
        <w:jc w:val="both"/>
      </w:pPr>
    </w:p>
    <w:p w14:paraId="7C8056E7" w14:textId="2FAC4F89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292C9B0" w14:textId="215C068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August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2,</w:t>
      </w:r>
      <w:r w:rsidR="009435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C3D01" w:rsidRPr="004C3D01">
        <w:rPr>
          <w:rFonts w:ascii="Book Antiqua" w:eastAsia="Book Antiqua" w:hAnsi="Book Antiqua" w:cs="Book Antiqua"/>
          <w:bCs/>
          <w:color w:val="000000"/>
        </w:rPr>
        <w:t>2020</w:t>
      </w:r>
    </w:p>
    <w:p w14:paraId="345042D3" w14:textId="6F3983E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_GoBack"/>
      <w:r w:rsidR="00B06F8C" w:rsidRPr="00B06F8C">
        <w:rPr>
          <w:rFonts w:ascii="Book Antiqua" w:eastAsia="Book Antiqua" w:hAnsi="Book Antiqua" w:cs="Book Antiqua"/>
          <w:bCs/>
          <w:color w:val="000000"/>
        </w:rPr>
        <w:t>September 1, 2020</w:t>
      </w:r>
      <w:bookmarkEnd w:id="2"/>
    </w:p>
    <w:p w14:paraId="062062FC" w14:textId="4ADE6BB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3821838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E7D86F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9670E16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194542F" w14:textId="28137C5D" w:rsidR="00A77B3E" w:rsidRDefault="005D553C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hypercoagulable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770166" w:rsidRPr="00FE41A3">
        <w:rPr>
          <w:rFonts w:ascii="Book Antiqua" w:eastAsia="Book Antiqua" w:hAnsi="Book Antiqua" w:cs="Book Antiqua"/>
          <w:color w:val="000000"/>
        </w:rPr>
        <w:t>(COVID-19)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course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illness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clots.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hyperinflammatory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endothelial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dysfunction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portrays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legs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26E6206" w14:textId="77777777" w:rsidR="00A77B3E" w:rsidRDefault="00A77B3E">
      <w:pPr>
        <w:spacing w:line="360" w:lineRule="auto"/>
        <w:jc w:val="both"/>
      </w:pPr>
    </w:p>
    <w:p w14:paraId="7FB33693" w14:textId="75EEABEC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1941A0A9" w14:textId="0E96C9A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60-year-old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Caucasian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sudden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motor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hours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admission.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Chest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presentation.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pelvis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multifocal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pulmonary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retrieved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femoral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artery,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reformed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unfractionated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heparin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tocilizumab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hemodynamic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expired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arrest.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5BD4598" w14:textId="77777777" w:rsidR="00A77B3E" w:rsidRDefault="00A77B3E">
      <w:pPr>
        <w:spacing w:line="360" w:lineRule="auto"/>
        <w:jc w:val="both"/>
      </w:pPr>
    </w:p>
    <w:p w14:paraId="492395A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5314C22" w14:textId="2AA962F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explanation.</w:t>
      </w:r>
    </w:p>
    <w:p w14:paraId="7F42A916" w14:textId="77777777" w:rsidR="00A77B3E" w:rsidRDefault="00A77B3E">
      <w:pPr>
        <w:spacing w:line="360" w:lineRule="auto"/>
        <w:jc w:val="both"/>
      </w:pPr>
    </w:p>
    <w:p w14:paraId="3B5DB132" w14:textId="7A6631D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47F9E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hrombosis;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hrombosis;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Atypical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resentation;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omplication</w:t>
      </w:r>
      <w:r w:rsidR="00047F9E">
        <w:rPr>
          <w:rFonts w:ascii="Book Antiqua" w:eastAsia="Book Antiqua" w:hAnsi="Book Antiqua" w:cs="Book Antiqua"/>
          <w:color w:val="000000"/>
        </w:rPr>
        <w:t>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047F9E">
        <w:rPr>
          <w:rFonts w:ascii="Book Antiqua" w:eastAsia="Book Antiqua" w:hAnsi="Book Antiqua" w:cs="Book Antiqua"/>
          <w:color w:val="000000"/>
        </w:rPr>
        <w:t>report</w:t>
      </w:r>
    </w:p>
    <w:p w14:paraId="14639CEA" w14:textId="77777777" w:rsidR="00A77B3E" w:rsidRDefault="00A77B3E">
      <w:pPr>
        <w:spacing w:line="360" w:lineRule="auto"/>
        <w:jc w:val="both"/>
      </w:pPr>
    </w:p>
    <w:p w14:paraId="4C877700" w14:textId="5088518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Webster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WZ,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Sraow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nfection: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94280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3ED2B79" w14:textId="77777777" w:rsidR="00A77B3E" w:rsidRDefault="00A77B3E">
      <w:pPr>
        <w:spacing w:line="360" w:lineRule="auto"/>
        <w:jc w:val="both"/>
      </w:pPr>
    </w:p>
    <w:p w14:paraId="3CA966B9" w14:textId="6175ECB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</w:p>
    <w:p w14:paraId="49D68FAA" w14:textId="77777777" w:rsidR="00A77B3E" w:rsidRDefault="00A77B3E">
      <w:pPr>
        <w:spacing w:line="360" w:lineRule="auto"/>
        <w:jc w:val="both"/>
      </w:pPr>
    </w:p>
    <w:p w14:paraId="4752390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INTRODUCTION</w:t>
      </w:r>
    </w:p>
    <w:p w14:paraId="3862E4AA" w14:textId="49C2417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coronavirus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disease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2019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FE41A3" w:rsidRPr="00FE41A3">
        <w:rPr>
          <w:rFonts w:ascii="Book Antiqua" w:eastAsia="Book Antiqua" w:hAnsi="Book Antiqua" w:cs="Book Antiqua"/>
          <w:color w:val="000000"/>
        </w:rPr>
        <w:t>(COVID-19)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preceding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coupled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hyperinflammation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687468"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(SMA).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presentations.</w:t>
      </w:r>
    </w:p>
    <w:p w14:paraId="44EB11CB" w14:textId="77777777" w:rsidR="00A77B3E" w:rsidRDefault="00A77B3E">
      <w:pPr>
        <w:spacing w:line="360" w:lineRule="auto"/>
        <w:jc w:val="both"/>
      </w:pPr>
    </w:p>
    <w:p w14:paraId="09166FE4" w14:textId="635C399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CASE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PRESENTATION</w:t>
      </w:r>
    </w:p>
    <w:p w14:paraId="3CCF3AD2" w14:textId="637DD6E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Chief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5105E95" w14:textId="2FD4CF2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60-year-old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incarcerated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Caucasian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past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complaints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sudden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extremities.</w:t>
      </w:r>
    </w:p>
    <w:p w14:paraId="1009613C" w14:textId="77777777" w:rsidR="00A77B3E" w:rsidRDefault="00A77B3E">
      <w:pPr>
        <w:spacing w:line="360" w:lineRule="auto"/>
        <w:jc w:val="both"/>
      </w:pPr>
    </w:p>
    <w:p w14:paraId="52E3EBE0" w14:textId="00DD9D1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CDCC93E" w14:textId="3C5738F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Chest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0D211356" w14:textId="77777777" w:rsidR="00A77B3E" w:rsidRDefault="00A77B3E">
      <w:pPr>
        <w:spacing w:line="360" w:lineRule="auto"/>
        <w:jc w:val="both"/>
      </w:pPr>
    </w:p>
    <w:p w14:paraId="48EF8C7B" w14:textId="765A734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8ED140A" w14:textId="5AD3C904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2A2696CE" w14:textId="77777777" w:rsidR="00A77B3E" w:rsidRDefault="00A77B3E">
      <w:pPr>
        <w:spacing w:line="360" w:lineRule="auto"/>
        <w:jc w:val="both"/>
      </w:pPr>
    </w:p>
    <w:p w14:paraId="25742824" w14:textId="124D14D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434B59B" w14:textId="79324748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Vitals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99/47,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o</w:t>
      </w:r>
      <w:r>
        <w:rPr>
          <w:rFonts w:ascii="Book Antiqua" w:eastAsia="Book Antiqua" w:hAnsi="Book Antiqua" w:cs="Book Antiqua"/>
          <w:color w:val="000000"/>
        </w:rPr>
        <w:t>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respirations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Neurologic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3/5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Dorsalis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tibial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1+.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rhonchi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Cardiac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murmurs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2527F4EB" w14:textId="77777777" w:rsidR="00A77B3E" w:rsidRDefault="00A77B3E">
      <w:pPr>
        <w:spacing w:line="360" w:lineRule="auto"/>
        <w:jc w:val="both"/>
      </w:pPr>
    </w:p>
    <w:p w14:paraId="08EBADB9" w14:textId="1925E77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4743738" w14:textId="080AF3D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laboratory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remarkable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leukocytosis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22.3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(4.5-11.0)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absolute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lymphocyte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0.58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K/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uL</w:t>
      </w:r>
      <w:proofErr w:type="spellEnd"/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(1.32-3.57),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PT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16.4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(12-14.5),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1.3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(&lt;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1.0),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PTT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28.9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(23.9-36.6),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d-dimer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&gt;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µg/mL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(&lt;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0.5).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Ferritin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elevated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at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&gt;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40</w:t>
      </w:r>
      <w:r>
        <w:rPr>
          <w:rFonts w:ascii="Book Antiqua" w:eastAsia="Book Antiqua" w:hAnsi="Book Antiqua" w:cs="Book Antiqua"/>
          <w:color w:val="000000"/>
          <w:szCs w:val="22"/>
        </w:rPr>
        <w:t>000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µg/L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(22-275),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reactive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(0-5),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811F63">
        <w:rPr>
          <w:rFonts w:ascii="Book Antiqua" w:eastAsia="Book Antiqua" w:hAnsi="Book Antiqua" w:cs="Book Antiqua"/>
          <w:color w:val="000000"/>
          <w:szCs w:val="22"/>
        </w:rPr>
        <w:t>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creatine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phosphokinase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11F63">
        <w:rPr>
          <w:rFonts w:ascii="Book Antiqua" w:eastAsia="Book Antiqua" w:hAnsi="Book Antiqua" w:cs="Book Antiqua"/>
          <w:color w:val="000000"/>
          <w:szCs w:val="22"/>
        </w:rPr>
        <w:t>46</w:t>
      </w:r>
      <w:r>
        <w:rPr>
          <w:rFonts w:ascii="Book Antiqua" w:eastAsia="Book Antiqua" w:hAnsi="Book Antiqua" w:cs="Book Antiqua"/>
          <w:color w:val="000000"/>
          <w:szCs w:val="22"/>
        </w:rPr>
        <w:t>800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U/L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(0-200).</w:t>
      </w:r>
    </w:p>
    <w:p w14:paraId="09775536" w14:textId="77777777" w:rsidR="00A77B3E" w:rsidRDefault="00A77B3E">
      <w:pPr>
        <w:spacing w:line="360" w:lineRule="auto"/>
        <w:jc w:val="both"/>
      </w:pPr>
    </w:p>
    <w:p w14:paraId="420CA161" w14:textId="2E4C340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94358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997D8E2" w14:textId="0B6A83B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 w:rsidRPr="009B4D78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B4D78">
        <w:rPr>
          <w:rFonts w:ascii="Book Antiqua" w:eastAsia="Book Antiqua" w:hAnsi="Book Antiqua" w:cs="Book Antiqua"/>
          <w:color w:val="000000"/>
          <w:szCs w:val="22"/>
        </w:rPr>
        <w:t>(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9B4D78">
        <w:rPr>
          <w:rFonts w:ascii="Book Antiqua" w:eastAsia="Book Antiqua" w:hAnsi="Book Antiqua" w:cs="Book Antiqua"/>
          <w:color w:val="000000"/>
          <w:szCs w:val="22"/>
        </w:rPr>
        <w:t>)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chest,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abdomen,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pelvis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revealed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aorta,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depicted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187CA9">
        <w:rPr>
          <w:rFonts w:ascii="Book Antiqua" w:eastAsia="Book Antiqua" w:hAnsi="Book Antiqua" w:cs="Book Antiqua"/>
          <w:caps/>
          <w:color w:val="000000"/>
          <w:szCs w:val="22"/>
        </w:rPr>
        <w:t>f</w:t>
      </w:r>
      <w:r>
        <w:rPr>
          <w:rFonts w:ascii="Book Antiqua" w:eastAsia="Book Antiqua" w:hAnsi="Book Antiqua" w:cs="Book Antiqua"/>
          <w:color w:val="000000"/>
          <w:szCs w:val="22"/>
        </w:rPr>
        <w:t>igures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infrarenal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iliac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reconstitution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femoral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nonocclusive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noted.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thromboses,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multifocal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ground-glass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opacities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lung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prompted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testing.</w:t>
      </w:r>
    </w:p>
    <w:p w14:paraId="51683D5A" w14:textId="77777777" w:rsidR="00A77B3E" w:rsidRDefault="00A77B3E">
      <w:pPr>
        <w:spacing w:line="360" w:lineRule="auto"/>
        <w:jc w:val="both"/>
      </w:pPr>
    </w:p>
    <w:p w14:paraId="27068B3A" w14:textId="2177711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FINAL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DIAGNOSIS</w:t>
      </w:r>
    </w:p>
    <w:p w14:paraId="4117E844" w14:textId="149DB6E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p w14:paraId="4D365B62" w14:textId="77777777" w:rsidR="00A77B3E" w:rsidRDefault="00A77B3E">
      <w:pPr>
        <w:spacing w:line="360" w:lineRule="auto"/>
        <w:jc w:val="both"/>
      </w:pPr>
    </w:p>
    <w:p w14:paraId="395CA0E9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TREATMENT</w:t>
      </w:r>
    </w:p>
    <w:p w14:paraId="5A77683D" w14:textId="7DD64DD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emergently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heavy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minutes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weakened</w:t>
      </w:r>
      <w:r w:rsidR="0094358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thrombectomy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reevaluation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1E14AA7" w14:textId="5BB9E5A0" w:rsidR="00A77B3E" w:rsidRDefault="005D553C" w:rsidP="001E13A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heparin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infusion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18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473F2B">
        <w:rPr>
          <w:rFonts w:ascii="Book Antiqua" w:eastAsia="Book Antiqua" w:hAnsi="Book Antiqua" w:cs="Book Antiqua"/>
          <w:color w:val="000000"/>
        </w:rPr>
        <w:t>U/kg/h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employed.</w:t>
      </w:r>
    </w:p>
    <w:p w14:paraId="3AF99A0C" w14:textId="77777777" w:rsidR="00A77B3E" w:rsidRDefault="00A77B3E">
      <w:pPr>
        <w:spacing w:line="360" w:lineRule="auto"/>
        <w:jc w:val="both"/>
      </w:pPr>
    </w:p>
    <w:p w14:paraId="14978CBD" w14:textId="3FC77C4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OUTCOME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AND</w:t>
      </w:r>
      <w:r w:rsidR="00943589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u w:val="single"/>
        </w:rPr>
        <w:t>FOLLOW-UP</w:t>
      </w:r>
    </w:p>
    <w:p w14:paraId="14FEF8FE" w14:textId="6D8DE4BA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phenylephrine,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epinephrine,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expired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</w:p>
    <w:p w14:paraId="14A2E2F2" w14:textId="77777777" w:rsidR="00A77B3E" w:rsidRDefault="00A77B3E">
      <w:pPr>
        <w:spacing w:line="360" w:lineRule="auto"/>
        <w:jc w:val="both"/>
      </w:pPr>
    </w:p>
    <w:p w14:paraId="47E91A02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DISCUSSION</w:t>
      </w:r>
    </w:p>
    <w:p w14:paraId="54978C20" w14:textId="36B7692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shortness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breath,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cough,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multi-organ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4865B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-50%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[3,4]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Markers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ferritin,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appreciated.</w:t>
      </w:r>
    </w:p>
    <w:p w14:paraId="5404B9DF" w14:textId="0A3C5E4F" w:rsidR="00A77B3E" w:rsidRDefault="005D553C" w:rsidP="00207EF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Berre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al</w:t>
      </w:r>
      <w:r w:rsidR="00207EFA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17.28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µg/mL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Katchanov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94358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43589" w:rsidRPr="0094358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358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43589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15.28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&gt;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20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µg/mL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ferritin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&gt;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207EFA">
        <w:rPr>
          <w:rFonts w:ascii="Book Antiqua" w:eastAsia="Book Antiqua" w:hAnsi="Book Antiqua" w:cs="Book Antiqua"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>000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µg/L.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68746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Katchanov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lastRenderedPageBreak/>
        <w:t>et</w:t>
      </w:r>
      <w:r w:rsidR="0094358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07EFA">
        <w:rPr>
          <w:rFonts w:ascii="Book Antiqua" w:eastAsia="Book Antiqua" w:hAnsi="Book Antiqua" w:cs="Book Antiqua"/>
          <w:i/>
          <w:color w:val="000000"/>
        </w:rPr>
        <w:t>al</w:t>
      </w:r>
      <w:r w:rsidR="00207EFA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anti-IL-6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tocilizumab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single-dose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remdesivir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convalescent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unfractionated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reversibility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apixaban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rivaroxaban.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54CE8CD3" w14:textId="48FAA6BC" w:rsidR="00A77B3E" w:rsidRDefault="005D553C" w:rsidP="00034F1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thromboses,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impressive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reperfusion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extremities.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echoes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profound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</w:p>
    <w:p w14:paraId="12FD4CC7" w14:textId="77777777" w:rsidR="00A77B3E" w:rsidRDefault="00A77B3E">
      <w:pPr>
        <w:spacing w:line="360" w:lineRule="auto"/>
        <w:jc w:val="both"/>
      </w:pPr>
    </w:p>
    <w:p w14:paraId="1A7724C5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CONCLUSION</w:t>
      </w:r>
    </w:p>
    <w:p w14:paraId="67CA4F10" w14:textId="52DB505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devastating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drastic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highlights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profound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hypercoagulable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formation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immediately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thrombectomy,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hastening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refractory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shock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death.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hope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raise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awareness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recognizing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thrombi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obvious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explanation,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options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94358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</w:p>
    <w:p w14:paraId="57480D2D" w14:textId="77777777" w:rsidR="00A77B3E" w:rsidRDefault="00A77B3E">
      <w:pPr>
        <w:spacing w:line="360" w:lineRule="auto"/>
        <w:jc w:val="both"/>
      </w:pPr>
    </w:p>
    <w:p w14:paraId="022E5490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u w:val="single"/>
        </w:rPr>
        <w:t>ACKNOWLEDGEMENTS</w:t>
      </w:r>
    </w:p>
    <w:p w14:paraId="466ECA4A" w14:textId="7C30616E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Thanks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Richland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235358A5" w14:textId="77777777" w:rsidR="00A77B3E" w:rsidRDefault="00A77B3E">
      <w:pPr>
        <w:spacing w:line="360" w:lineRule="auto"/>
        <w:jc w:val="both"/>
      </w:pPr>
    </w:p>
    <w:p w14:paraId="4F7C81AA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DE1DEEC" w14:textId="6F795697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943589">
        <w:rPr>
          <w:rFonts w:ascii="Book Antiqua" w:eastAsia="SimSun" w:hAnsi="Book Antiqua"/>
          <w:kern w:val="2"/>
          <w:highlight w:val="yellow"/>
          <w:lang w:eastAsia="zh-CN"/>
        </w:rPr>
        <w:t>1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>Radiological</w:t>
      </w:r>
      <w:r w:rsidR="00943589"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>Society</w:t>
      </w:r>
      <w:r w:rsidR="00943589"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>of</w:t>
      </w:r>
      <w:r w:rsidR="00943589"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>North</w:t>
      </w:r>
      <w:r w:rsidR="00943589"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b/>
          <w:kern w:val="2"/>
          <w:highlight w:val="yellow"/>
          <w:lang w:eastAsia="zh-CN"/>
        </w:rPr>
        <w:t>America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.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"New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research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highlights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blood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clot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dangers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of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COVID-19."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ScienceDaily.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April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2020.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Available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r w:rsidRPr="00943589">
        <w:rPr>
          <w:rFonts w:ascii="Book Antiqua" w:eastAsia="SimSun" w:hAnsi="Book Antiqua"/>
          <w:kern w:val="2"/>
          <w:highlight w:val="yellow"/>
          <w:lang w:eastAsia="zh-CN"/>
        </w:rPr>
        <w:t>from:</w:t>
      </w:r>
      <w:r w:rsidR="00943589" w:rsidRPr="00943589">
        <w:rPr>
          <w:rFonts w:ascii="Book Antiqua" w:eastAsia="SimSun" w:hAnsi="Book Antiqua"/>
          <w:kern w:val="2"/>
          <w:highlight w:val="yellow"/>
          <w:lang w:eastAsia="zh-CN"/>
        </w:rPr>
        <w:t xml:space="preserve"> </w:t>
      </w:r>
      <w:hyperlink r:id="rId7" w:history="1">
        <w:r w:rsidRPr="00943589">
          <w:rPr>
            <w:rFonts w:ascii="Book Antiqua" w:eastAsia="SimSun" w:hAnsi="Book Antiqua"/>
            <w:color w:val="0563C1"/>
            <w:kern w:val="2"/>
            <w:highlight w:val="yellow"/>
            <w:u w:val="single"/>
            <w:lang w:eastAsia="zh-CN"/>
          </w:rPr>
          <w:t>www.sciencedaily.com/releases/2020/04/200423143100.htm</w:t>
        </w:r>
      </w:hyperlink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</w:p>
    <w:p w14:paraId="1D31E285" w14:textId="03612DC3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2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Beun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R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Kusadasi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N,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Sikma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Westerink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Huisman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Thromboembolic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events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and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apparent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heparin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resistance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patients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infected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SARS-CoV-2.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Int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J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Lab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Hematol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42</w:t>
      </w:r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Suppl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1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19-20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32311843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10.1111/ijlh.13230]</w:t>
      </w:r>
    </w:p>
    <w:p w14:paraId="1DCBD98B" w14:textId="387ED3D5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3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Tang</w:t>
      </w:r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N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Bai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Chen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X,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Gong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Li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Sun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Z.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Anticoagulant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treatment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associated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decreased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mortality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severe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coronavirus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disease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2019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patients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coagulopathy.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J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Thromb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Haemost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18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1094-1099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32220112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10.1111/jth.14817]</w:t>
      </w:r>
    </w:p>
    <w:p w14:paraId="30655914" w14:textId="69A333B8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4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Tang</w:t>
      </w:r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N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Li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Wang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X,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Sun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Z.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Abnormal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coagulation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parameters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are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associated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poor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prognosis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patients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novel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coronavirus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pneumonia.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J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Thromb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Haemost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18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844-847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32073213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10.1111/jth.14768]</w:t>
      </w:r>
    </w:p>
    <w:p w14:paraId="3B1714DB" w14:textId="1A837859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5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Klok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FA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Kruip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MJHA,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van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der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Meer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NJM,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Arbous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MS,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Gommers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DAMPJ,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Kant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KM,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Kaptein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FHJ,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van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Paassen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Stals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MAM,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Huisman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MV,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Endeman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Incidence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of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thrombotic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complications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critically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ill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ICU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patients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COVID-19.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Thromb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Res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191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145-147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32291094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10.1016/j.thromres.2020.04.013]</w:t>
      </w:r>
    </w:p>
    <w:p w14:paraId="7F87DF0F" w14:textId="40168D91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6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Le</w:t>
      </w:r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Berre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A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Marteau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V,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Emmerich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Zins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Concomitant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acute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aortic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thrombosis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and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pulmonary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embolism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complicating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COVID-19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pneumonia.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Diagn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Interv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Imaging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101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321-322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32334995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10.1016/j.diii.2020.04.003]</w:t>
      </w:r>
    </w:p>
    <w:p w14:paraId="1A8549EC" w14:textId="4E1C0294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t>7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Katchanov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J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Kalisch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J,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Herzing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Knorr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F,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Havla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M,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Klink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kern w:val="2"/>
          <w:lang w:eastAsia="zh-CN"/>
        </w:rPr>
        <w:t>Dommke</w:t>
      </w:r>
      <w:proofErr w:type="spellEnd"/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Extensive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Aortic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Thrombosis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a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Patient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With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COVID-19.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Ann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Emerg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Med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76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373-374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32828336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10.1016/j.annemergmed.2020.04.044]</w:t>
      </w:r>
    </w:p>
    <w:p w14:paraId="0671A5CD" w14:textId="441F7CAE" w:rsidR="00CF48BA" w:rsidRPr="00CF48BA" w:rsidRDefault="00CF48BA" w:rsidP="00CF48BA">
      <w:pPr>
        <w:widowControl w:val="0"/>
        <w:spacing w:line="360" w:lineRule="auto"/>
        <w:jc w:val="both"/>
        <w:rPr>
          <w:rFonts w:ascii="Book Antiqua" w:eastAsia="SimSun" w:hAnsi="Book Antiqua"/>
          <w:kern w:val="2"/>
          <w:lang w:eastAsia="zh-CN"/>
        </w:rPr>
      </w:pPr>
      <w:r w:rsidRPr="00CF48BA">
        <w:rPr>
          <w:rFonts w:ascii="Book Antiqua" w:eastAsia="SimSun" w:hAnsi="Book Antiqua"/>
          <w:kern w:val="2"/>
          <w:lang w:eastAsia="zh-CN"/>
        </w:rPr>
        <w:lastRenderedPageBreak/>
        <w:t>8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b/>
          <w:kern w:val="2"/>
          <w:lang w:eastAsia="zh-CN"/>
        </w:rPr>
        <w:t>Vikse</w:t>
      </w:r>
      <w:proofErr w:type="spellEnd"/>
      <w:r w:rsidR="00943589">
        <w:rPr>
          <w:rFonts w:ascii="Book Antiqua" w:eastAsia="SimSun" w:hAnsi="Book Antiqua"/>
          <w:b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J</w:t>
      </w:r>
      <w:r w:rsidRPr="00CF48BA">
        <w:rPr>
          <w:rFonts w:ascii="Book Antiqua" w:eastAsia="SimSun" w:hAnsi="Book Antiqua"/>
          <w:kern w:val="2"/>
          <w:lang w:eastAsia="zh-CN"/>
        </w:rPr>
        <w:t>,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Henry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BM.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Tocilizumab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COVID-19: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Beware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the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risk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of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intestinal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perforation.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Int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J</w:t>
      </w:r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proofErr w:type="spellStart"/>
      <w:r w:rsidRPr="00CF48BA">
        <w:rPr>
          <w:rFonts w:ascii="Book Antiqua" w:eastAsia="SimSun" w:hAnsi="Book Antiqua"/>
          <w:i/>
          <w:kern w:val="2"/>
          <w:lang w:eastAsia="zh-CN"/>
        </w:rPr>
        <w:t>Antimicrob</w:t>
      </w:r>
      <w:proofErr w:type="spellEnd"/>
      <w:r w:rsidR="00943589">
        <w:rPr>
          <w:rFonts w:ascii="Book Antiqua" w:eastAsia="SimSun" w:hAnsi="Book Antiqua"/>
          <w:i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i/>
          <w:kern w:val="2"/>
          <w:lang w:eastAsia="zh-CN"/>
        </w:rPr>
        <w:t>Agents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2020;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b/>
          <w:kern w:val="2"/>
          <w:lang w:eastAsia="zh-CN"/>
        </w:rPr>
        <w:t>56</w:t>
      </w:r>
      <w:r w:rsidRPr="00CF48BA">
        <w:rPr>
          <w:rFonts w:ascii="Book Antiqua" w:eastAsia="SimSun" w:hAnsi="Book Antiqua"/>
          <w:kern w:val="2"/>
          <w:lang w:eastAsia="zh-CN"/>
        </w:rPr>
        <w:t>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106009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[PMID: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32389721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DOI:</w:t>
      </w:r>
      <w:r w:rsidR="00943589">
        <w:rPr>
          <w:rFonts w:ascii="Book Antiqua" w:eastAsia="SimSun" w:hAnsi="Book Antiqua"/>
          <w:kern w:val="2"/>
          <w:lang w:eastAsia="zh-CN"/>
        </w:rPr>
        <w:t xml:space="preserve"> </w:t>
      </w:r>
      <w:r w:rsidRPr="00CF48BA">
        <w:rPr>
          <w:rFonts w:ascii="Book Antiqua" w:eastAsia="SimSun" w:hAnsi="Book Antiqua"/>
          <w:kern w:val="2"/>
          <w:lang w:eastAsia="zh-CN"/>
        </w:rPr>
        <w:t>10.1016/j.ijantimicag.2020.106009]</w:t>
      </w:r>
    </w:p>
    <w:p w14:paraId="5DC6017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2E1E3" w14:textId="7777777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B108906" w14:textId="236E483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omitted.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</w:p>
    <w:p w14:paraId="14657091" w14:textId="77777777" w:rsidR="00A77B3E" w:rsidRDefault="00A77B3E">
      <w:pPr>
        <w:spacing w:line="360" w:lineRule="auto"/>
        <w:jc w:val="both"/>
      </w:pPr>
    </w:p>
    <w:p w14:paraId="129C25CC" w14:textId="7DECE16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Webster,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Amrit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Sraow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Karla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Cruz-Morel.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p w14:paraId="0B62C2A7" w14:textId="77777777" w:rsidR="00A77B3E" w:rsidRDefault="00A77B3E">
      <w:pPr>
        <w:spacing w:line="360" w:lineRule="auto"/>
        <w:jc w:val="both"/>
      </w:pPr>
    </w:p>
    <w:p w14:paraId="66D23557" w14:textId="0E90845B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authors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have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read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Checklist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(2016),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manuscript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prepared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revised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according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CARE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Checklist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3070C6" w:rsidRPr="003070C6">
        <w:rPr>
          <w:rFonts w:ascii="Book Antiqua" w:eastAsia="Book Antiqua" w:hAnsi="Book Antiqua" w:cs="Book Antiqua"/>
          <w:color w:val="000000"/>
        </w:rPr>
        <w:t>(2016).</w:t>
      </w:r>
    </w:p>
    <w:p w14:paraId="29553F0C" w14:textId="77777777" w:rsidR="00A77B3E" w:rsidRDefault="00A77B3E">
      <w:pPr>
        <w:spacing w:line="360" w:lineRule="auto"/>
        <w:jc w:val="both"/>
      </w:pPr>
    </w:p>
    <w:p w14:paraId="46606D2D" w14:textId="56831B3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4358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C492B90" w14:textId="77777777" w:rsidR="00A77B3E" w:rsidRDefault="00A77B3E">
      <w:pPr>
        <w:spacing w:line="360" w:lineRule="auto"/>
        <w:jc w:val="both"/>
      </w:pPr>
    </w:p>
    <w:p w14:paraId="1E1939D0" w14:textId="23CFBC4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8CB95D6" w14:textId="77777777" w:rsidR="00A77B3E" w:rsidRDefault="00A77B3E">
      <w:pPr>
        <w:spacing w:line="360" w:lineRule="auto"/>
        <w:jc w:val="both"/>
      </w:pPr>
    </w:p>
    <w:p w14:paraId="45401233" w14:textId="75BAB4AD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607181A" w14:textId="06E28810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93474AA" w14:textId="18FDC427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6C61B9" w14:textId="77777777" w:rsidR="00A77B3E" w:rsidRDefault="00A77B3E">
      <w:pPr>
        <w:spacing w:line="360" w:lineRule="auto"/>
        <w:jc w:val="both"/>
      </w:pPr>
    </w:p>
    <w:p w14:paraId="34EDA005" w14:textId="508011E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943589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1B20A0EF" w14:textId="540EF1B1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DCA9E61" w14:textId="21341F5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2AD9DC" w14:textId="71CDA7E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F4B8F9" w14:textId="4F5C95D2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43589">
        <w:rPr>
          <w:rFonts w:ascii="Book Antiqua" w:eastAsia="Book Antiqua" w:hAnsi="Book Antiqua" w:cs="Book Antiqua"/>
          <w:color w:val="000000"/>
        </w:rPr>
        <w:t>, B</w:t>
      </w:r>
    </w:p>
    <w:p w14:paraId="2E68D93D" w14:textId="7BEE2F55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43589">
        <w:rPr>
          <w:rFonts w:ascii="Book Antiqua" w:eastAsia="Book Antiqua" w:hAnsi="Book Antiqua" w:cs="Book Antiqua"/>
          <w:color w:val="000000"/>
        </w:rPr>
        <w:t>, C</w:t>
      </w:r>
    </w:p>
    <w:p w14:paraId="0762B628" w14:textId="05873A46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70F2CA76" w14:textId="3AD3E903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D4DF7F8" w14:textId="77777777" w:rsidR="00A77B3E" w:rsidRDefault="00A77B3E">
      <w:pPr>
        <w:spacing w:line="360" w:lineRule="auto"/>
        <w:jc w:val="both"/>
      </w:pPr>
    </w:p>
    <w:p w14:paraId="232EBC8A" w14:textId="27DC0E86" w:rsidR="00A77B3E" w:rsidRDefault="005D553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Moschovi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3589">
        <w:rPr>
          <w:rFonts w:ascii="Book Antiqua" w:eastAsia="Book Antiqua" w:hAnsi="Book Antiqua" w:cs="Book Antiqua"/>
          <w:color w:val="000000"/>
        </w:rPr>
        <w:t>Nagahara</w:t>
      </w:r>
      <w:proofErr w:type="spellEnd"/>
      <w:r w:rsidR="00943589">
        <w:rPr>
          <w:rFonts w:ascii="Book Antiqua" w:eastAsia="Book Antiqua" w:hAnsi="Book Antiqua" w:cs="Book Antiqua"/>
          <w:color w:val="000000"/>
        </w:rPr>
        <w:t xml:space="preserve"> H, Sipos F, </w:t>
      </w:r>
      <w:r>
        <w:rPr>
          <w:rFonts w:ascii="Book Antiqua" w:eastAsia="Book Antiqua" w:hAnsi="Book Antiqua" w:cs="Book Antiqua"/>
          <w:color w:val="000000"/>
        </w:rPr>
        <w:t>Wang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Gong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 w:rsidR="00CF48BA">
        <w:rPr>
          <w:rFonts w:ascii="Book Antiqua" w:eastAsia="Book Antiqua" w:hAnsi="Book Antiqua" w:cs="Book Antiqua"/>
          <w:color w:val="000000"/>
        </w:rPr>
        <w:t>ZM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CF48BA">
        <w:rPr>
          <w:rFonts w:ascii="Book Antiqua" w:eastAsia="Book Antiqua" w:hAnsi="Book Antiqua" w:cs="Book Antiqua"/>
          <w:b/>
          <w:color w:val="000000"/>
        </w:rPr>
        <w:t>P</w:t>
      </w:r>
      <w:r>
        <w:rPr>
          <w:rFonts w:ascii="Book Antiqua" w:eastAsia="Book Antiqua" w:hAnsi="Book Antiqua" w:cs="Book Antiqua"/>
          <w:b/>
          <w:color w:val="000000"/>
        </w:rPr>
        <w:t>-Editor: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03ACA2" w14:textId="71AAB5DF" w:rsidR="00A77B3E" w:rsidRDefault="005D553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5BCEA9C" w14:textId="5C4F7503" w:rsidR="0049138D" w:rsidRDefault="004913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6F48E1DB" wp14:editId="52E11148">
            <wp:extent cx="3163857" cy="2385391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9C59652-C530-474D-A0C4-EC41E5E278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9C59652-C530-474D-A0C4-EC41E5E278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9254" cy="2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AD06" w14:textId="366C9A93" w:rsidR="00A77B3E" w:rsidRPr="00021901" w:rsidRDefault="005D553C">
      <w:pPr>
        <w:spacing w:line="360" w:lineRule="auto"/>
        <w:jc w:val="both"/>
        <w:rPr>
          <w:b/>
        </w:rPr>
      </w:pPr>
      <w:r w:rsidRPr="00021901">
        <w:rPr>
          <w:rFonts w:ascii="Book Antiqua" w:eastAsia="Book Antiqua" w:hAnsi="Book Antiqua" w:cs="Book Antiqua"/>
          <w:b/>
          <w:color w:val="000000"/>
        </w:rPr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1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Computed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tomography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angiogram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abdomen-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portrays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patent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aorta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with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contrast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visualized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just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prior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to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complete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thrombotic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occlusion.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73CE52" w14:textId="01A76B48" w:rsidR="0049138D" w:rsidRDefault="0049138D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ECB4EEC" w14:textId="7FE0A6AA" w:rsidR="0049138D" w:rsidRDefault="0049138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6866CC61" wp14:editId="7AA0AC94">
            <wp:extent cx="3232407" cy="2369489"/>
            <wp:effectExtent l="0" t="0" r="635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646A80C-0C35-4C1A-9A43-FA137FE144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646A80C-0C35-4C1A-9A43-FA137FE144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8721" cy="238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A7C8" w14:textId="0FAB5228" w:rsidR="00A77B3E" w:rsidRDefault="005D553C">
      <w:pPr>
        <w:spacing w:line="360" w:lineRule="auto"/>
        <w:jc w:val="both"/>
      </w:pPr>
      <w:r w:rsidRPr="00021901">
        <w:rPr>
          <w:rFonts w:ascii="Book Antiqua" w:eastAsia="Book Antiqua" w:hAnsi="Book Antiqua" w:cs="Book Antiqua"/>
          <w:b/>
          <w:color w:val="000000"/>
        </w:rPr>
        <w:t>Figure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2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Computed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1901" w:rsidRPr="00021901">
        <w:rPr>
          <w:rFonts w:ascii="Book Antiqua" w:eastAsia="Book Antiqua" w:hAnsi="Book Antiqua" w:cs="Book Antiqua"/>
          <w:b/>
          <w:color w:val="000000"/>
        </w:rPr>
        <w:t>tomography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angiogram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abdomen-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shows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abrupt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loss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contrast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aortic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lumen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indicating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occlusive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thrombus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that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resulted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the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patient’s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symptoms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back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pain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and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loss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of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lower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extremity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motor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function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due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to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vascular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21901">
        <w:rPr>
          <w:rFonts w:ascii="Book Antiqua" w:eastAsia="Book Antiqua" w:hAnsi="Book Antiqua" w:cs="Book Antiqua"/>
          <w:b/>
          <w:color w:val="000000"/>
        </w:rPr>
        <w:t>insufficiency.</w:t>
      </w:r>
      <w:r w:rsidR="0094358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aneurysm,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crushing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extremity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motor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943589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Aortic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visualized.</w:t>
      </w:r>
      <w:r w:rsidR="00943589">
        <w:rPr>
          <w:rFonts w:ascii="Book Antiqua" w:eastAsia="Book Antiqua" w:hAnsi="Book Antiqua" w:cs="Book Antiqua"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FD51" w14:textId="77777777" w:rsidR="003D11E2" w:rsidRDefault="003D11E2" w:rsidP="000C1340">
      <w:r>
        <w:separator/>
      </w:r>
    </w:p>
  </w:endnote>
  <w:endnote w:type="continuationSeparator" w:id="0">
    <w:p w14:paraId="307A9E04" w14:textId="77777777" w:rsidR="003D11E2" w:rsidRDefault="003D11E2" w:rsidP="000C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009494"/>
      <w:docPartObj>
        <w:docPartGallery w:val="Page Numbers (Bottom of Page)"/>
        <w:docPartUnique/>
      </w:docPartObj>
    </w:sdtPr>
    <w:sdtEndPr/>
    <w:sdtContent>
      <w:sdt>
        <w:sdtPr>
          <w:id w:val="1504012927"/>
          <w:docPartObj>
            <w:docPartGallery w:val="Page Numbers (Top of Page)"/>
            <w:docPartUnique/>
          </w:docPartObj>
        </w:sdtPr>
        <w:sdtEndPr/>
        <w:sdtContent>
          <w:p w14:paraId="54A52BC4" w14:textId="44CD20E1" w:rsidR="000C1340" w:rsidRDefault="00943589" w:rsidP="000C1340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="000C1340">
              <w:rPr>
                <w:b/>
                <w:bCs/>
                <w:sz w:val="24"/>
                <w:szCs w:val="24"/>
              </w:rPr>
              <w:fldChar w:fldCharType="begin"/>
            </w:r>
            <w:r w:rsidR="000C1340">
              <w:rPr>
                <w:b/>
                <w:bCs/>
              </w:rPr>
              <w:instrText>PAGE</w:instrText>
            </w:r>
            <w:r w:rsidR="000C1340">
              <w:rPr>
                <w:b/>
                <w:bCs/>
                <w:sz w:val="24"/>
                <w:szCs w:val="24"/>
              </w:rPr>
              <w:fldChar w:fldCharType="separate"/>
            </w:r>
            <w:r w:rsidR="008839DB">
              <w:rPr>
                <w:b/>
                <w:bCs/>
                <w:noProof/>
              </w:rPr>
              <w:t>13</w:t>
            </w:r>
            <w:r w:rsidR="000C134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0C1340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0C1340">
              <w:rPr>
                <w:b/>
                <w:bCs/>
                <w:sz w:val="24"/>
                <w:szCs w:val="24"/>
              </w:rPr>
              <w:fldChar w:fldCharType="begin"/>
            </w:r>
            <w:r w:rsidR="000C1340">
              <w:rPr>
                <w:b/>
                <w:bCs/>
              </w:rPr>
              <w:instrText>NUMPAGES</w:instrText>
            </w:r>
            <w:r w:rsidR="000C1340">
              <w:rPr>
                <w:b/>
                <w:bCs/>
                <w:sz w:val="24"/>
                <w:szCs w:val="24"/>
              </w:rPr>
              <w:fldChar w:fldCharType="separate"/>
            </w:r>
            <w:r w:rsidR="008839DB">
              <w:rPr>
                <w:b/>
                <w:bCs/>
                <w:noProof/>
              </w:rPr>
              <w:t>13</w:t>
            </w:r>
            <w:r w:rsidR="000C134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F59DFE" w14:textId="77777777" w:rsidR="000C1340" w:rsidRDefault="000C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8900" w14:textId="77777777" w:rsidR="003D11E2" w:rsidRDefault="003D11E2" w:rsidP="000C1340">
      <w:r>
        <w:separator/>
      </w:r>
    </w:p>
  </w:footnote>
  <w:footnote w:type="continuationSeparator" w:id="0">
    <w:p w14:paraId="22147A20" w14:textId="77777777" w:rsidR="003D11E2" w:rsidRDefault="003D11E2" w:rsidP="000C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901"/>
    <w:rsid w:val="00034F13"/>
    <w:rsid w:val="00047F9E"/>
    <w:rsid w:val="00077B83"/>
    <w:rsid w:val="000C1340"/>
    <w:rsid w:val="0014367D"/>
    <w:rsid w:val="00187CA9"/>
    <w:rsid w:val="001E13A8"/>
    <w:rsid w:val="00207EFA"/>
    <w:rsid w:val="0021679B"/>
    <w:rsid w:val="00294280"/>
    <w:rsid w:val="002D32E3"/>
    <w:rsid w:val="003070C6"/>
    <w:rsid w:val="00391B3A"/>
    <w:rsid w:val="003D11E2"/>
    <w:rsid w:val="004659D2"/>
    <w:rsid w:val="00473F2B"/>
    <w:rsid w:val="004865BA"/>
    <w:rsid w:val="0049138D"/>
    <w:rsid w:val="00496A0F"/>
    <w:rsid w:val="004B0830"/>
    <w:rsid w:val="004B39DC"/>
    <w:rsid w:val="004C3D01"/>
    <w:rsid w:val="00511CA3"/>
    <w:rsid w:val="005274EB"/>
    <w:rsid w:val="00540404"/>
    <w:rsid w:val="0055373F"/>
    <w:rsid w:val="005B5CEB"/>
    <w:rsid w:val="005D553C"/>
    <w:rsid w:val="005F36DF"/>
    <w:rsid w:val="00687468"/>
    <w:rsid w:val="006E25BE"/>
    <w:rsid w:val="006F182C"/>
    <w:rsid w:val="007614CF"/>
    <w:rsid w:val="00770166"/>
    <w:rsid w:val="00811F63"/>
    <w:rsid w:val="008839DB"/>
    <w:rsid w:val="008B4D8F"/>
    <w:rsid w:val="008C29B8"/>
    <w:rsid w:val="008E0E3B"/>
    <w:rsid w:val="00906779"/>
    <w:rsid w:val="00943589"/>
    <w:rsid w:val="009B4D78"/>
    <w:rsid w:val="009E598F"/>
    <w:rsid w:val="00A464FB"/>
    <w:rsid w:val="00A77B3E"/>
    <w:rsid w:val="00AA645B"/>
    <w:rsid w:val="00AC2749"/>
    <w:rsid w:val="00B06F8C"/>
    <w:rsid w:val="00B418D7"/>
    <w:rsid w:val="00CA2A55"/>
    <w:rsid w:val="00CE054E"/>
    <w:rsid w:val="00CF48BA"/>
    <w:rsid w:val="00D87C43"/>
    <w:rsid w:val="00EB0131"/>
    <w:rsid w:val="00EE5177"/>
    <w:rsid w:val="00EF5843"/>
    <w:rsid w:val="00F33130"/>
    <w:rsid w:val="00F50D54"/>
    <w:rsid w:val="00F57BE0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3DF43"/>
  <w15:docId w15:val="{08D40F1A-E834-4819-A090-57038FB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7B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C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C134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13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134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18D7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B418D7"/>
  </w:style>
  <w:style w:type="character" w:customStyle="1" w:styleId="CommentTextChar">
    <w:name w:val="Comment Text Char"/>
    <w:basedOn w:val="DefaultParagraphFont"/>
    <w:link w:val="CommentText"/>
    <w:semiHidden/>
    <w:rsid w:val="00B418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1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18D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418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ciencedaily.com/releases/2020/04/20042314310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Na Ma</cp:lastModifiedBy>
  <cp:revision>2</cp:revision>
  <dcterms:created xsi:type="dcterms:W3CDTF">2020-09-01T19:56:00Z</dcterms:created>
  <dcterms:modified xsi:type="dcterms:W3CDTF">2020-09-01T19:56:00Z</dcterms:modified>
</cp:coreProperties>
</file>