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9695E" w14:textId="77777777" w:rsidR="00A77B3E" w:rsidRPr="0042521B" w:rsidRDefault="004E3328">
      <w:pPr>
        <w:spacing w:line="360" w:lineRule="auto"/>
        <w:jc w:val="both"/>
      </w:pPr>
      <w:r w:rsidRPr="0042521B">
        <w:rPr>
          <w:rFonts w:ascii="Book Antiqua" w:eastAsia="Book Antiqua" w:hAnsi="Book Antiqua" w:cs="Book Antiqua"/>
          <w:b/>
          <w:color w:val="000000"/>
        </w:rPr>
        <w:t xml:space="preserve">Name of Journal: </w:t>
      </w:r>
      <w:r w:rsidRPr="0042521B">
        <w:rPr>
          <w:rFonts w:ascii="Book Antiqua" w:eastAsia="Book Antiqua" w:hAnsi="Book Antiqua" w:cs="Book Antiqua"/>
          <w:i/>
          <w:color w:val="000000"/>
        </w:rPr>
        <w:t>World Journal of Gastroenterology</w:t>
      </w:r>
    </w:p>
    <w:p w14:paraId="1F1C1447" w14:textId="77777777" w:rsidR="00A77B3E" w:rsidRPr="0042521B" w:rsidRDefault="004E3328">
      <w:pPr>
        <w:spacing w:line="360" w:lineRule="auto"/>
        <w:jc w:val="both"/>
      </w:pPr>
      <w:r w:rsidRPr="0042521B">
        <w:rPr>
          <w:rFonts w:ascii="Book Antiqua" w:eastAsia="Book Antiqua" w:hAnsi="Book Antiqua" w:cs="Book Antiqua"/>
          <w:b/>
          <w:color w:val="000000"/>
        </w:rPr>
        <w:t xml:space="preserve">Manuscript NO: </w:t>
      </w:r>
      <w:r w:rsidRPr="0042521B">
        <w:rPr>
          <w:rFonts w:ascii="Book Antiqua" w:eastAsia="Book Antiqua" w:hAnsi="Book Antiqua" w:cs="Book Antiqua"/>
          <w:color w:val="000000"/>
        </w:rPr>
        <w:t>57845</w:t>
      </w:r>
    </w:p>
    <w:p w14:paraId="1342B0C7" w14:textId="77777777" w:rsidR="00A77B3E" w:rsidRPr="0042521B" w:rsidRDefault="004E3328">
      <w:pPr>
        <w:spacing w:line="360" w:lineRule="auto"/>
        <w:jc w:val="both"/>
      </w:pPr>
      <w:r w:rsidRPr="0042521B">
        <w:rPr>
          <w:rFonts w:ascii="Book Antiqua" w:eastAsia="Book Antiqua" w:hAnsi="Book Antiqua" w:cs="Book Antiqua"/>
          <w:b/>
          <w:color w:val="000000"/>
        </w:rPr>
        <w:t xml:space="preserve">Manuscript Type: </w:t>
      </w:r>
      <w:r w:rsidRPr="0042521B">
        <w:rPr>
          <w:rFonts w:ascii="Book Antiqua" w:eastAsia="Book Antiqua" w:hAnsi="Book Antiqua" w:cs="Book Antiqua"/>
          <w:color w:val="000000"/>
        </w:rPr>
        <w:t>ORIGINAL ARTICLE</w:t>
      </w:r>
    </w:p>
    <w:p w14:paraId="008472A0" w14:textId="77777777" w:rsidR="00A77B3E" w:rsidRPr="0042521B" w:rsidRDefault="00A77B3E">
      <w:pPr>
        <w:spacing w:line="360" w:lineRule="auto"/>
        <w:jc w:val="both"/>
      </w:pPr>
    </w:p>
    <w:p w14:paraId="742E1DAB" w14:textId="77777777" w:rsidR="00A77B3E" w:rsidRPr="0042521B" w:rsidRDefault="004E3328">
      <w:pPr>
        <w:spacing w:line="360" w:lineRule="auto"/>
        <w:jc w:val="both"/>
      </w:pPr>
      <w:r w:rsidRPr="0042521B">
        <w:rPr>
          <w:rFonts w:ascii="Book Antiqua" w:eastAsia="Book Antiqua" w:hAnsi="Book Antiqua" w:cs="Book Antiqua"/>
          <w:b/>
          <w:i/>
          <w:color w:val="000000"/>
        </w:rPr>
        <w:t>Prospective Study</w:t>
      </w:r>
    </w:p>
    <w:p w14:paraId="28351625" w14:textId="77777777" w:rsidR="00A77B3E" w:rsidRPr="0042521B" w:rsidRDefault="004E3328">
      <w:pPr>
        <w:spacing w:line="360" w:lineRule="auto"/>
        <w:jc w:val="both"/>
      </w:pPr>
      <w:bookmarkStart w:id="0" w:name="OLE_LINK24"/>
      <w:bookmarkStart w:id="1" w:name="OLE_LINK25"/>
      <w:r w:rsidRPr="0042521B">
        <w:rPr>
          <w:rFonts w:ascii="Book Antiqua" w:eastAsia="Book Antiqua" w:hAnsi="Book Antiqua" w:cs="Book Antiqua"/>
          <w:b/>
          <w:color w:val="000000"/>
        </w:rPr>
        <w:t>Third-look endoscopy preven</w:t>
      </w:r>
      <w:r w:rsidR="001178A7" w:rsidRPr="0042521B">
        <w:rPr>
          <w:rFonts w:ascii="Book Antiqua" w:eastAsia="Book Antiqua" w:hAnsi="Book Antiqua" w:cs="Book Antiqua"/>
          <w:b/>
          <w:color w:val="000000"/>
        </w:rPr>
        <w:t>ts delayed bleeding after endoscopic submucosal dissection under antithrombotic therapy</w:t>
      </w:r>
    </w:p>
    <w:bookmarkEnd w:id="0"/>
    <w:bookmarkEnd w:id="1"/>
    <w:p w14:paraId="179F538C" w14:textId="77777777" w:rsidR="00A77B3E" w:rsidRPr="0042521B" w:rsidRDefault="00A77B3E">
      <w:pPr>
        <w:spacing w:line="360" w:lineRule="auto"/>
        <w:jc w:val="both"/>
      </w:pPr>
    </w:p>
    <w:p w14:paraId="5654EDFC" w14:textId="77777777" w:rsidR="00A77B3E" w:rsidRPr="0042521B" w:rsidRDefault="004E3328">
      <w:pPr>
        <w:spacing w:line="360" w:lineRule="auto"/>
        <w:jc w:val="both"/>
      </w:pPr>
      <w:r w:rsidRPr="0042521B">
        <w:rPr>
          <w:rFonts w:ascii="Book Antiqua" w:eastAsia="Book Antiqua" w:hAnsi="Book Antiqua" w:cs="Book Antiqua"/>
          <w:color w:val="000000"/>
        </w:rPr>
        <w:t xml:space="preserve">Ikeda R. </w:t>
      </w:r>
      <w:r w:rsidRPr="0042521B">
        <w:rPr>
          <w:rFonts w:ascii="Book Antiqua" w:eastAsia="Book Antiqua" w:hAnsi="Book Antiqua" w:cs="Book Antiqua"/>
          <w:i/>
          <w:iCs/>
          <w:color w:val="000000"/>
        </w:rPr>
        <w:t>et al</w:t>
      </w:r>
      <w:r w:rsidRPr="0042521B">
        <w:rPr>
          <w:rFonts w:ascii="Book Antiqua" w:eastAsia="Book Antiqua" w:hAnsi="Book Antiqua" w:cs="Book Antiqua"/>
          <w:color w:val="000000"/>
        </w:rPr>
        <w:t>. Third-look endoscopy trial</w:t>
      </w:r>
    </w:p>
    <w:p w14:paraId="133ACB5E" w14:textId="77777777" w:rsidR="00A77B3E" w:rsidRPr="0042521B" w:rsidRDefault="00A77B3E">
      <w:pPr>
        <w:spacing w:line="360" w:lineRule="auto"/>
        <w:jc w:val="both"/>
      </w:pPr>
    </w:p>
    <w:p w14:paraId="5198A16D" w14:textId="77777777" w:rsidR="00A77B3E" w:rsidRPr="0042521B" w:rsidRDefault="004E3328">
      <w:pPr>
        <w:spacing w:line="360" w:lineRule="auto"/>
        <w:jc w:val="both"/>
      </w:pPr>
      <w:r w:rsidRPr="0042521B">
        <w:rPr>
          <w:rFonts w:ascii="Book Antiqua" w:eastAsia="Book Antiqua" w:hAnsi="Book Antiqua" w:cs="Book Antiqua"/>
          <w:color w:val="000000"/>
        </w:rPr>
        <w:t>Ryosuke Ikeda, Kingo Hirasawa, Chiko Sato, Yuichiro Ozeki, Atsushi Sawada, Masafumi Nishio, Takehide Fukuchi, Ryosuke Kobayashi, Makomo Makazu, Masataka Taguri, Shin Maeda</w:t>
      </w:r>
    </w:p>
    <w:p w14:paraId="6775A8FD" w14:textId="77777777" w:rsidR="00A77B3E" w:rsidRPr="0042521B" w:rsidRDefault="00A77B3E">
      <w:pPr>
        <w:spacing w:line="360" w:lineRule="auto"/>
        <w:jc w:val="both"/>
      </w:pPr>
    </w:p>
    <w:p w14:paraId="27E0DC4F"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Ryosuke Ikeda, </w:t>
      </w:r>
      <w:r w:rsidR="004716C0" w:rsidRPr="0042521B">
        <w:rPr>
          <w:rFonts w:ascii="Book Antiqua" w:eastAsia="Book Antiqua" w:hAnsi="Book Antiqua" w:cs="Book Antiqua"/>
          <w:b/>
          <w:bCs/>
          <w:color w:val="000000"/>
        </w:rPr>
        <w:t>Chiko Sato,</w:t>
      </w:r>
      <w:r w:rsidR="004716C0" w:rsidRPr="0042521B">
        <w:rPr>
          <w:rFonts w:ascii="Book Antiqua" w:hAnsi="Book Antiqua" w:cs="Book Antiqua" w:hint="eastAsia"/>
          <w:b/>
          <w:bCs/>
          <w:color w:val="000000"/>
          <w:lang w:eastAsia="zh-CN"/>
        </w:rPr>
        <w:t xml:space="preserve"> </w:t>
      </w:r>
      <w:r w:rsidR="004716C0" w:rsidRPr="0042521B">
        <w:rPr>
          <w:rFonts w:ascii="Book Antiqua" w:eastAsia="Book Antiqua" w:hAnsi="Book Antiqua" w:cs="Book Antiqua"/>
          <w:b/>
          <w:bCs/>
          <w:color w:val="000000"/>
        </w:rPr>
        <w:t xml:space="preserve">Yuichiro Ozeki, </w:t>
      </w:r>
      <w:r w:rsidRPr="0042521B">
        <w:rPr>
          <w:rFonts w:ascii="Book Antiqua" w:eastAsia="Book Antiqua" w:hAnsi="Book Antiqua" w:cs="Book Antiqua"/>
          <w:b/>
          <w:bCs/>
          <w:color w:val="000000"/>
        </w:rPr>
        <w:t xml:space="preserve">Atsushi Sawada, </w:t>
      </w:r>
      <w:r w:rsidR="004716C0" w:rsidRPr="0042521B">
        <w:rPr>
          <w:rFonts w:ascii="Book Antiqua" w:eastAsia="Book Antiqua" w:hAnsi="Book Antiqua" w:cs="Book Antiqua"/>
          <w:b/>
          <w:bCs/>
          <w:color w:val="000000"/>
        </w:rPr>
        <w:t>Masafumi Nishio,</w:t>
      </w:r>
      <w:r w:rsidR="004716C0" w:rsidRPr="0042521B">
        <w:rPr>
          <w:rFonts w:ascii="Book Antiqua" w:hAnsi="Book Antiqua" w:cs="Book Antiqua" w:hint="eastAsia"/>
          <w:b/>
          <w:bCs/>
          <w:color w:val="000000"/>
          <w:lang w:eastAsia="zh-CN"/>
        </w:rPr>
        <w:t xml:space="preserve"> </w:t>
      </w:r>
      <w:r w:rsidRPr="0042521B">
        <w:rPr>
          <w:rFonts w:ascii="Book Antiqua" w:eastAsia="Book Antiqua" w:hAnsi="Book Antiqua" w:cs="Book Antiqua"/>
          <w:b/>
          <w:bCs/>
          <w:color w:val="000000"/>
        </w:rPr>
        <w:t xml:space="preserve">Takehide Fukuchi, </w:t>
      </w:r>
      <w:r w:rsidR="00C93EC3" w:rsidRPr="0042521B">
        <w:rPr>
          <w:rFonts w:ascii="Book Antiqua" w:eastAsia="Book Antiqua" w:hAnsi="Book Antiqua" w:cs="Book Antiqua"/>
          <w:b/>
          <w:bCs/>
          <w:color w:val="000000"/>
        </w:rPr>
        <w:t>Ryosuke Kobayashi,</w:t>
      </w:r>
      <w:r w:rsidR="00C93EC3" w:rsidRPr="0042521B">
        <w:rPr>
          <w:rFonts w:ascii="Book Antiqua" w:hAnsi="Book Antiqua" w:cs="Book Antiqua" w:hint="eastAsia"/>
          <w:b/>
          <w:bCs/>
          <w:color w:val="000000"/>
          <w:lang w:eastAsia="zh-CN"/>
        </w:rPr>
        <w:t xml:space="preserve"> </w:t>
      </w:r>
      <w:r w:rsidRPr="0042521B">
        <w:rPr>
          <w:rFonts w:ascii="Book Antiqua" w:eastAsia="Book Antiqua" w:hAnsi="Book Antiqua" w:cs="Book Antiqua"/>
          <w:b/>
          <w:bCs/>
          <w:color w:val="000000"/>
        </w:rPr>
        <w:t xml:space="preserve">Makomo Makazu, </w:t>
      </w:r>
      <w:r w:rsidRPr="0042521B">
        <w:rPr>
          <w:rFonts w:ascii="Book Antiqua" w:eastAsia="Book Antiqua" w:hAnsi="Book Antiqua" w:cs="Book Antiqua"/>
          <w:color w:val="000000"/>
        </w:rPr>
        <w:t>Endoscopy Division, Yokohama City University Medical Center, Yokohama 232-0024, Japan</w:t>
      </w:r>
    </w:p>
    <w:p w14:paraId="787099D6" w14:textId="77777777" w:rsidR="00A77B3E" w:rsidRPr="0042521B" w:rsidRDefault="00A77B3E">
      <w:pPr>
        <w:spacing w:line="360" w:lineRule="auto"/>
        <w:jc w:val="both"/>
      </w:pPr>
    </w:p>
    <w:p w14:paraId="12CAB077"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Kingo Hirasawa, </w:t>
      </w:r>
      <w:r w:rsidRPr="0042521B">
        <w:rPr>
          <w:rFonts w:ascii="Book Antiqua" w:eastAsia="Book Antiqua" w:hAnsi="Book Antiqua" w:cs="Book Antiqua"/>
          <w:color w:val="000000"/>
        </w:rPr>
        <w:t>Endoscopy Division, Yokohama Medical University Center Hospital, Yokohama 232-0024, Japan</w:t>
      </w:r>
    </w:p>
    <w:p w14:paraId="04E07351" w14:textId="77777777" w:rsidR="00A77B3E" w:rsidRPr="0042521B" w:rsidRDefault="00A77B3E">
      <w:pPr>
        <w:spacing w:line="360" w:lineRule="auto"/>
        <w:jc w:val="both"/>
      </w:pPr>
    </w:p>
    <w:p w14:paraId="31B492BD"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Masataka Taguri, </w:t>
      </w:r>
      <w:r w:rsidRPr="0042521B">
        <w:rPr>
          <w:rFonts w:ascii="Book Antiqua" w:eastAsia="Book Antiqua" w:hAnsi="Book Antiqua" w:cs="Book Antiqua"/>
          <w:color w:val="000000"/>
        </w:rPr>
        <w:t>Department of Data Science, Yokohama City University School of Data Science, Yokohama 236-0004, Japan</w:t>
      </w:r>
    </w:p>
    <w:p w14:paraId="776E2BDB" w14:textId="77777777" w:rsidR="00A77B3E" w:rsidRPr="0042521B" w:rsidRDefault="00A77B3E">
      <w:pPr>
        <w:spacing w:line="360" w:lineRule="auto"/>
        <w:jc w:val="both"/>
      </w:pPr>
    </w:p>
    <w:p w14:paraId="58957089"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Shin Maeda, </w:t>
      </w:r>
      <w:r w:rsidRPr="0042521B">
        <w:rPr>
          <w:rFonts w:ascii="Book Antiqua" w:eastAsia="Book Antiqua" w:hAnsi="Book Antiqua" w:cs="Book Antiqua"/>
          <w:color w:val="000000"/>
        </w:rPr>
        <w:t>Division of Gastroenterology, Yokohama City University Graduate School of Medicine, Yokohama 236-0004, Japan</w:t>
      </w:r>
    </w:p>
    <w:p w14:paraId="780B1AE6" w14:textId="77777777" w:rsidR="00A77B3E" w:rsidRPr="0042521B" w:rsidRDefault="00A77B3E">
      <w:pPr>
        <w:spacing w:line="360" w:lineRule="auto"/>
        <w:jc w:val="both"/>
      </w:pPr>
    </w:p>
    <w:p w14:paraId="5D13CF4E" w14:textId="14D5A3CA" w:rsidR="00A77B3E" w:rsidRPr="0042521B" w:rsidRDefault="004E3328">
      <w:pPr>
        <w:spacing w:line="360" w:lineRule="auto"/>
        <w:jc w:val="both"/>
      </w:pPr>
      <w:r w:rsidRPr="0042521B">
        <w:rPr>
          <w:rFonts w:ascii="Book Antiqua" w:eastAsia="Book Antiqua" w:hAnsi="Book Antiqua" w:cs="Book Antiqua"/>
          <w:b/>
          <w:bCs/>
          <w:color w:val="000000"/>
          <w:szCs w:val="21"/>
        </w:rPr>
        <w:t xml:space="preserve">Author contributions: </w:t>
      </w:r>
      <w:r w:rsidRPr="0042521B">
        <w:rPr>
          <w:rFonts w:ascii="Book Antiqua" w:eastAsia="Book Antiqua" w:hAnsi="Book Antiqua" w:cs="Book Antiqua"/>
          <w:color w:val="000000"/>
        </w:rPr>
        <w:t>Hirasawa K and Ikeda R contr</w:t>
      </w:r>
      <w:r w:rsidR="00C93EC3" w:rsidRPr="0042521B">
        <w:rPr>
          <w:rFonts w:ascii="Book Antiqua" w:eastAsia="Book Antiqua" w:hAnsi="Book Antiqua" w:cs="Book Antiqua"/>
          <w:color w:val="000000"/>
        </w:rPr>
        <w:t>ibuted to conception and design</w:t>
      </w:r>
      <w:r w:rsidR="00C93EC3"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Hirasawa K, Ikeda R, Ozeki Y, Sawada A, Nishio M, Fukuchi T, Kobayashi R, Makazu M, and Sato C con</w:t>
      </w:r>
      <w:r w:rsidR="00C93EC3" w:rsidRPr="0042521B">
        <w:rPr>
          <w:rFonts w:ascii="Book Antiqua" w:eastAsia="Book Antiqua" w:hAnsi="Book Antiqua" w:cs="Book Antiqua"/>
          <w:color w:val="000000"/>
        </w:rPr>
        <w:t>tributed to acquisition of data</w:t>
      </w:r>
      <w:r w:rsidR="00C93EC3"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Hirasawa K and Ikeda R contributed </w:t>
      </w:r>
      <w:r w:rsidRPr="0042521B">
        <w:rPr>
          <w:rFonts w:ascii="Book Antiqua" w:eastAsia="Book Antiqua" w:hAnsi="Book Antiqua" w:cs="Book Antiqua"/>
          <w:color w:val="000000"/>
        </w:rPr>
        <w:lastRenderedPageBreak/>
        <w:t>to anal</w:t>
      </w:r>
      <w:r w:rsidR="00C93EC3" w:rsidRPr="0042521B">
        <w:rPr>
          <w:rFonts w:ascii="Book Antiqua" w:eastAsia="Book Antiqua" w:hAnsi="Book Antiqua" w:cs="Book Antiqua"/>
          <w:color w:val="000000"/>
        </w:rPr>
        <w:t>ysis and interpretation of data</w:t>
      </w:r>
      <w:r w:rsidR="00C93EC3"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Hirasawa K contrib</w:t>
      </w:r>
      <w:r w:rsidR="00C93EC3" w:rsidRPr="0042521B">
        <w:rPr>
          <w:rFonts w:ascii="Book Antiqua" w:eastAsia="Book Antiqua" w:hAnsi="Book Antiqua" w:cs="Book Antiqua"/>
          <w:color w:val="000000"/>
        </w:rPr>
        <w:t>uted to drafting of the article</w:t>
      </w:r>
      <w:r w:rsidR="00C93EC3"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Hirasawa K and Maeda S contributed to c</w:t>
      </w:r>
      <w:r w:rsidR="00C93EC3" w:rsidRPr="0042521B">
        <w:rPr>
          <w:rFonts w:ascii="Book Antiqua" w:eastAsia="Book Antiqua" w:hAnsi="Book Antiqua" w:cs="Book Antiqua"/>
          <w:color w:val="000000"/>
        </w:rPr>
        <w:t>ritical revision of the article</w:t>
      </w:r>
      <w:r w:rsidR="00C93EC3"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Hirasawa K, Ikeda R, and Taguri M cont</w:t>
      </w:r>
      <w:r w:rsidR="00C93EC3" w:rsidRPr="0042521B">
        <w:rPr>
          <w:rFonts w:ascii="Book Antiqua" w:eastAsia="Book Antiqua" w:hAnsi="Book Antiqua" w:cs="Book Antiqua"/>
          <w:color w:val="000000"/>
        </w:rPr>
        <w:t>ributed to statistical analysis</w:t>
      </w:r>
      <w:r w:rsidR="00C93EC3"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Hirasawa K and Maeda S approved the final draft of the article</w:t>
      </w:r>
      <w:r w:rsidR="00FA0610" w:rsidRPr="0042521B">
        <w:rPr>
          <w:rFonts w:ascii="Book Antiqua" w:eastAsia="Book Antiqua" w:hAnsi="Book Antiqua" w:cs="Book Antiqua"/>
          <w:color w:val="000000"/>
        </w:rPr>
        <w:t>; a</w:t>
      </w:r>
      <w:r w:rsidRPr="0042521B">
        <w:rPr>
          <w:rFonts w:ascii="Book Antiqua" w:eastAsia="Book Antiqua" w:hAnsi="Book Antiqua" w:cs="Book Antiqua"/>
          <w:color w:val="000000"/>
        </w:rPr>
        <w:t>ll authors listed have contributed substantially to the design, data collection and analysis, and editing of the manuscript.</w:t>
      </w:r>
    </w:p>
    <w:p w14:paraId="5C04D6F3" w14:textId="77777777" w:rsidR="00A77B3E" w:rsidRPr="0042521B" w:rsidRDefault="00A77B3E">
      <w:pPr>
        <w:spacing w:line="360" w:lineRule="auto"/>
        <w:jc w:val="both"/>
      </w:pPr>
    </w:p>
    <w:p w14:paraId="40B70C88"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Corresponding author: Kingo Hirasawa, MD, PhD, Chief Doctor, </w:t>
      </w:r>
      <w:r w:rsidRPr="0042521B">
        <w:rPr>
          <w:rFonts w:ascii="Book Antiqua" w:eastAsia="Book Antiqua" w:hAnsi="Book Antiqua" w:cs="Book Antiqua"/>
          <w:color w:val="000000"/>
        </w:rPr>
        <w:t>Endoscopy Division, Yokohama Medical University Center Hospital, 4-57, Urafune-cho, Minami-ku, Yokohama 232-0024, Japan. kingo-h@urahp.yokohama-cu.ac.jp</w:t>
      </w:r>
    </w:p>
    <w:p w14:paraId="49689898" w14:textId="77777777" w:rsidR="00A77B3E" w:rsidRPr="0042521B" w:rsidRDefault="00A77B3E">
      <w:pPr>
        <w:spacing w:line="360" w:lineRule="auto"/>
        <w:jc w:val="both"/>
      </w:pPr>
    </w:p>
    <w:p w14:paraId="4CB2DB3B"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Received: </w:t>
      </w:r>
      <w:r w:rsidRPr="0042521B">
        <w:rPr>
          <w:rFonts w:ascii="Book Antiqua" w:eastAsia="Book Antiqua" w:hAnsi="Book Antiqua" w:cs="Book Antiqua"/>
          <w:color w:val="000000"/>
        </w:rPr>
        <w:t>June 26, 2020</w:t>
      </w:r>
    </w:p>
    <w:p w14:paraId="04914260" w14:textId="77777777" w:rsidR="00A77B3E" w:rsidRPr="0042521B" w:rsidRDefault="004E3328">
      <w:pPr>
        <w:spacing w:line="360" w:lineRule="auto"/>
        <w:jc w:val="both"/>
        <w:rPr>
          <w:lang w:eastAsia="zh-CN"/>
        </w:rPr>
      </w:pPr>
      <w:r w:rsidRPr="0042521B">
        <w:rPr>
          <w:rFonts w:ascii="Book Antiqua" w:eastAsia="Book Antiqua" w:hAnsi="Book Antiqua" w:cs="Book Antiqua"/>
          <w:b/>
          <w:bCs/>
          <w:color w:val="000000"/>
        </w:rPr>
        <w:t xml:space="preserve">Revised: </w:t>
      </w:r>
      <w:r w:rsidR="00142322" w:rsidRPr="0042521B">
        <w:rPr>
          <w:rFonts w:ascii="Book Antiqua" w:hAnsi="Book Antiqua" w:cs="Book Antiqua" w:hint="eastAsia"/>
          <w:bCs/>
          <w:color w:val="000000"/>
          <w:lang w:eastAsia="zh-CN"/>
        </w:rPr>
        <w:t>September 22, 2020</w:t>
      </w:r>
    </w:p>
    <w:p w14:paraId="53AC0B7B" w14:textId="0F9CBDFB" w:rsidR="00A77B3E" w:rsidRPr="0042521B" w:rsidRDefault="004E3328">
      <w:pPr>
        <w:spacing w:line="360" w:lineRule="auto"/>
        <w:jc w:val="both"/>
      </w:pPr>
      <w:r w:rsidRPr="0042521B">
        <w:rPr>
          <w:rFonts w:ascii="Book Antiqua" w:eastAsia="Book Antiqua" w:hAnsi="Book Antiqua" w:cs="Book Antiqua"/>
          <w:b/>
          <w:bCs/>
          <w:color w:val="000000"/>
        </w:rPr>
        <w:t xml:space="preserve">Accepted: </w:t>
      </w:r>
      <w:r w:rsidR="00202349" w:rsidRPr="0042521B">
        <w:rPr>
          <w:rFonts w:ascii="Book Antiqua" w:eastAsia="Book Antiqua" w:hAnsi="Book Antiqua" w:cs="Book Antiqua"/>
          <w:color w:val="000000"/>
        </w:rPr>
        <w:t>October 20, 2020</w:t>
      </w:r>
    </w:p>
    <w:p w14:paraId="0A4146C7" w14:textId="17E33535" w:rsidR="00A77B3E" w:rsidRPr="0042521B" w:rsidRDefault="004E3328">
      <w:pPr>
        <w:spacing w:line="360" w:lineRule="auto"/>
        <w:jc w:val="both"/>
        <w:rPr>
          <w:lang w:eastAsia="zh-CN"/>
        </w:rPr>
      </w:pPr>
      <w:r w:rsidRPr="0042521B">
        <w:rPr>
          <w:rFonts w:ascii="Book Antiqua" w:eastAsia="Book Antiqua" w:hAnsi="Book Antiqua" w:cs="Book Antiqua"/>
          <w:b/>
          <w:bCs/>
          <w:color w:val="000000"/>
        </w:rPr>
        <w:t xml:space="preserve">Published online: </w:t>
      </w:r>
      <w:r w:rsidR="00625251" w:rsidRPr="0042521B">
        <w:rPr>
          <w:rFonts w:ascii="Book Antiqua" w:hAnsi="Book Antiqua" w:cs="Book Antiqua" w:hint="eastAsia"/>
          <w:bCs/>
          <w:color w:val="000000"/>
          <w:lang w:eastAsia="zh-CN"/>
        </w:rPr>
        <w:t>November 7, 2020</w:t>
      </w:r>
    </w:p>
    <w:p w14:paraId="068C4A0D" w14:textId="77777777" w:rsidR="00625251" w:rsidRPr="0042521B" w:rsidRDefault="00625251">
      <w:pPr>
        <w:spacing w:line="360" w:lineRule="auto"/>
        <w:jc w:val="both"/>
        <w:rPr>
          <w:lang w:eastAsia="zh-CN"/>
        </w:rPr>
      </w:pPr>
    </w:p>
    <w:p w14:paraId="411D802E" w14:textId="77777777" w:rsidR="00A77B3E" w:rsidRPr="0042521B" w:rsidRDefault="004E3328">
      <w:pPr>
        <w:spacing w:line="360" w:lineRule="auto"/>
        <w:jc w:val="both"/>
      </w:pPr>
      <w:r w:rsidRPr="0042521B">
        <w:rPr>
          <w:rFonts w:ascii="Book Antiqua" w:eastAsia="Book Antiqua" w:hAnsi="Book Antiqua" w:cs="Book Antiqua"/>
          <w:b/>
          <w:color w:val="000000"/>
        </w:rPr>
        <w:t>Abstract</w:t>
      </w:r>
    </w:p>
    <w:p w14:paraId="23CB2F31" w14:textId="77777777" w:rsidR="00A77B3E" w:rsidRPr="0042521B" w:rsidRDefault="004E3328">
      <w:pPr>
        <w:spacing w:line="360" w:lineRule="auto"/>
        <w:jc w:val="both"/>
      </w:pPr>
      <w:r w:rsidRPr="0042521B">
        <w:rPr>
          <w:rFonts w:ascii="Book Antiqua" w:eastAsia="Book Antiqua" w:hAnsi="Book Antiqua" w:cs="Book Antiqua"/>
          <w:color w:val="000000"/>
        </w:rPr>
        <w:t>BACKGROUND</w:t>
      </w:r>
    </w:p>
    <w:p w14:paraId="44DE3368" w14:textId="77777777" w:rsidR="00A77B3E" w:rsidRPr="0042521B" w:rsidRDefault="004E3328" w:rsidP="0029021B">
      <w:pPr>
        <w:spacing w:line="360" w:lineRule="auto"/>
        <w:jc w:val="both"/>
      </w:pPr>
      <w:bookmarkStart w:id="2" w:name="OLE_LINK56"/>
      <w:r w:rsidRPr="0042521B">
        <w:rPr>
          <w:rFonts w:ascii="Book Antiqua" w:eastAsia="Book Antiqua" w:hAnsi="Book Antiqua" w:cs="Book Antiqua"/>
          <w:color w:val="000000"/>
        </w:rPr>
        <w:t>Postoperative delayed bleeding</w:t>
      </w:r>
      <w:bookmarkEnd w:id="2"/>
      <w:r w:rsidRPr="0042521B">
        <w:rPr>
          <w:rFonts w:ascii="Book Antiqua" w:eastAsia="Book Antiqua" w:hAnsi="Book Antiqua" w:cs="Book Antiqua"/>
          <w:color w:val="000000"/>
        </w:rPr>
        <w:t xml:space="preserve"> (PDB) after gastric </w:t>
      </w:r>
      <w:bookmarkStart w:id="3" w:name="OLE_LINK16"/>
      <w:bookmarkStart w:id="4" w:name="OLE_LINK17"/>
      <w:bookmarkStart w:id="5" w:name="OLE_LINK18"/>
      <w:bookmarkStart w:id="6" w:name="OLE_LINK21"/>
      <w:r w:rsidRPr="0042521B">
        <w:rPr>
          <w:rFonts w:ascii="Book Antiqua" w:eastAsia="Book Antiqua" w:hAnsi="Book Antiqua" w:cs="Book Antiqua"/>
          <w:color w:val="000000"/>
        </w:rPr>
        <w:t>endoscopic submucosal dissection</w:t>
      </w:r>
      <w:bookmarkEnd w:id="3"/>
      <w:bookmarkEnd w:id="4"/>
      <w:bookmarkEnd w:id="5"/>
      <w:bookmarkEnd w:id="6"/>
      <w:r w:rsidRPr="0042521B">
        <w:rPr>
          <w:rFonts w:ascii="Book Antiqua" w:eastAsia="Book Antiqua" w:hAnsi="Book Antiqua" w:cs="Book Antiqua"/>
          <w:color w:val="000000"/>
        </w:rPr>
        <w:t xml:space="preserve"> (ESD) is the most common adverse event in patients receiving antithrombotics even with second-look endoscopy. </w:t>
      </w:r>
      <w:r w:rsidR="0029021B" w:rsidRPr="0042521B">
        <w:rPr>
          <w:rFonts w:ascii="Book Antiqua" w:eastAsia="Book Antiqua" w:hAnsi="Book Antiqua" w:cs="Book Antiqua"/>
          <w:color w:val="000000"/>
        </w:rPr>
        <w:t>Moreover, with the increasing prevalence of cardiovascular and cerebrovascular diseases in an aging population with associated lifestyle-related diseases, an increasing number of patients receive antithrombotics. Several attempts have been made to prevent PDB in aging population; however, a consensus has yet to be reached.</w:t>
      </w:r>
    </w:p>
    <w:p w14:paraId="1B66F6FF" w14:textId="77777777" w:rsidR="00A77B3E" w:rsidRPr="0042521B" w:rsidRDefault="00A77B3E" w:rsidP="00FA0610">
      <w:pPr>
        <w:spacing w:line="360" w:lineRule="auto"/>
        <w:jc w:val="both"/>
      </w:pPr>
    </w:p>
    <w:p w14:paraId="581E62C9" w14:textId="77777777" w:rsidR="00A77B3E" w:rsidRPr="0042521B" w:rsidRDefault="004E3328">
      <w:pPr>
        <w:spacing w:line="360" w:lineRule="auto"/>
        <w:jc w:val="both"/>
      </w:pPr>
      <w:r w:rsidRPr="0042521B">
        <w:rPr>
          <w:rFonts w:ascii="Book Antiqua" w:eastAsia="Book Antiqua" w:hAnsi="Book Antiqua" w:cs="Book Antiqua"/>
          <w:color w:val="000000"/>
        </w:rPr>
        <w:t>AIM</w:t>
      </w:r>
    </w:p>
    <w:p w14:paraId="20C0A42B" w14:textId="77777777" w:rsidR="00A77B3E" w:rsidRPr="0042521B" w:rsidRDefault="004E3328">
      <w:pPr>
        <w:spacing w:line="360" w:lineRule="auto"/>
        <w:jc w:val="both"/>
      </w:pPr>
      <w:r w:rsidRPr="0042521B">
        <w:rPr>
          <w:rFonts w:ascii="Book Antiqua" w:eastAsia="Book Antiqua" w:hAnsi="Book Antiqua" w:cs="Book Antiqua"/>
          <w:color w:val="000000"/>
        </w:rPr>
        <w:t xml:space="preserve">To examine the efficacy of </w:t>
      </w:r>
      <w:bookmarkStart w:id="7" w:name="OLE_LINK22"/>
      <w:bookmarkStart w:id="8" w:name="OLE_LINK23"/>
      <w:r w:rsidRPr="0042521B">
        <w:rPr>
          <w:rFonts w:ascii="Book Antiqua" w:eastAsia="Book Antiqua" w:hAnsi="Book Antiqua" w:cs="Book Antiqua"/>
          <w:color w:val="000000"/>
        </w:rPr>
        <w:t>third-look endoscopy</w:t>
      </w:r>
      <w:bookmarkEnd w:id="7"/>
      <w:bookmarkEnd w:id="8"/>
      <w:r w:rsidRPr="0042521B">
        <w:rPr>
          <w:rFonts w:ascii="Book Antiqua" w:eastAsia="Book Antiqua" w:hAnsi="Book Antiqua" w:cs="Book Antiqua"/>
          <w:color w:val="000000"/>
        </w:rPr>
        <w:t xml:space="preserve"> (TLE) for PDB prevention.</w:t>
      </w:r>
    </w:p>
    <w:p w14:paraId="1966D5B9" w14:textId="77777777" w:rsidR="00A77B3E" w:rsidRPr="0042521B" w:rsidRDefault="00A77B3E">
      <w:pPr>
        <w:spacing w:line="360" w:lineRule="auto"/>
        <w:jc w:val="both"/>
      </w:pPr>
    </w:p>
    <w:p w14:paraId="1921D45B" w14:textId="77777777" w:rsidR="00A77B3E" w:rsidRPr="0042521B" w:rsidRDefault="004E3328">
      <w:pPr>
        <w:spacing w:line="360" w:lineRule="auto"/>
        <w:jc w:val="both"/>
      </w:pPr>
      <w:r w:rsidRPr="0042521B">
        <w:rPr>
          <w:rFonts w:ascii="Book Antiqua" w:eastAsia="Book Antiqua" w:hAnsi="Book Antiqua" w:cs="Book Antiqua"/>
          <w:color w:val="000000"/>
        </w:rPr>
        <w:t>METHODS</w:t>
      </w:r>
    </w:p>
    <w:p w14:paraId="41DC58BC" w14:textId="77777777" w:rsidR="00A77B3E" w:rsidRPr="0042521B" w:rsidRDefault="0029021B">
      <w:pPr>
        <w:spacing w:line="360" w:lineRule="auto"/>
        <w:jc w:val="both"/>
      </w:pPr>
      <w:r w:rsidRPr="0042521B">
        <w:rPr>
          <w:rFonts w:ascii="Book Antiqua" w:eastAsia="Book Antiqua" w:hAnsi="Book Antiqua" w:cs="Book Antiqua"/>
          <w:color w:val="000000"/>
        </w:rPr>
        <w:lastRenderedPageBreak/>
        <w:t xml:space="preserve">One hundred patients </w:t>
      </w:r>
      <w:r w:rsidR="004E3328" w:rsidRPr="0042521B">
        <w:rPr>
          <w:rFonts w:ascii="Book Antiqua" w:eastAsia="Book Antiqua" w:hAnsi="Book Antiqua" w:cs="Book Antiqua"/>
          <w:color w:val="000000"/>
        </w:rPr>
        <w:t>with early gastric neoplasms receiving antithrombotics were prospectively enrolled and subjected to ESD with TLE between February 2017 and July 2019. The primary endpoint was PDB rate, which was compared with our preset threshold. Furthermore, we divided the bleeding period into early-and late-onset PDB (E-PDB and L-PDB, respectively) and analyzed its rate. As a secondary analysis, we compared PDB rates with those of a historical control group, using propensity score matching, and calculated the PDB rates per antithrombotic agent use in each group.</w:t>
      </w:r>
    </w:p>
    <w:p w14:paraId="3D450E8C" w14:textId="77777777" w:rsidR="00A77B3E" w:rsidRPr="0042521B" w:rsidRDefault="00A77B3E">
      <w:pPr>
        <w:spacing w:line="360" w:lineRule="auto"/>
        <w:jc w:val="both"/>
      </w:pPr>
    </w:p>
    <w:p w14:paraId="1D4BDA11" w14:textId="77777777" w:rsidR="00A77B3E" w:rsidRPr="0042521B" w:rsidRDefault="004E3328">
      <w:pPr>
        <w:spacing w:line="360" w:lineRule="auto"/>
        <w:jc w:val="both"/>
      </w:pPr>
      <w:r w:rsidRPr="0042521B">
        <w:rPr>
          <w:rFonts w:ascii="Book Antiqua" w:eastAsia="Book Antiqua" w:hAnsi="Book Antiqua" w:cs="Book Antiqua"/>
          <w:color w:val="000000"/>
        </w:rPr>
        <w:t>RESULTS</w:t>
      </w:r>
    </w:p>
    <w:p w14:paraId="01F9836A" w14:textId="02A711A2" w:rsidR="00A77B3E" w:rsidRPr="0042521B" w:rsidRDefault="0065484B">
      <w:pPr>
        <w:spacing w:line="360" w:lineRule="auto"/>
        <w:jc w:val="both"/>
      </w:pPr>
      <w:r w:rsidRPr="0042521B">
        <w:rPr>
          <w:rFonts w:ascii="Book Antiqua" w:eastAsia="Book Antiqua" w:hAnsi="Book Antiqua" w:cs="Book Antiqua"/>
          <w:color w:val="000000"/>
        </w:rPr>
        <w:t xml:space="preserve">In total, 96 patients and 114 specimens were finally evaluated. </w:t>
      </w:r>
      <w:r w:rsidR="004E3328" w:rsidRPr="0042521B">
        <w:rPr>
          <w:rFonts w:ascii="Book Antiqua" w:eastAsia="Book Antiqua" w:hAnsi="Book Antiqua" w:cs="Book Antiqua"/>
          <w:color w:val="000000"/>
        </w:rPr>
        <w:t>The overall PDB rate was 7.9%</w:t>
      </w:r>
      <w:r w:rsidRPr="0042521B">
        <w:rPr>
          <w:rFonts w:ascii="Book Antiqua" w:eastAsia="Book Antiqua" w:hAnsi="Book Antiqua" w:cs="Book Antiqua"/>
          <w:color w:val="000000"/>
        </w:rPr>
        <w:t xml:space="preserve"> (9/114)</w:t>
      </w:r>
      <w:r w:rsidR="004E3328" w:rsidRPr="0042521B">
        <w:rPr>
          <w:rFonts w:ascii="Book Antiqua" w:eastAsia="Book Antiqua" w:hAnsi="Book Antiqua" w:cs="Book Antiqua"/>
          <w:color w:val="000000"/>
        </w:rPr>
        <w:t xml:space="preserve"> [90%</w:t>
      </w:r>
      <w:r w:rsidRPr="0042521B">
        <w:rPr>
          <w:rFonts w:ascii="Book Antiqua" w:eastAsia="Book Antiqua" w:hAnsi="Book Antiqua" w:cs="Book Antiqua"/>
          <w:color w:val="000000"/>
        </w:rPr>
        <w:t>CI</w:t>
      </w:r>
      <w:r w:rsidR="004E3328" w:rsidRPr="0042521B">
        <w:rPr>
          <w:rFonts w:ascii="Book Antiqua" w:eastAsia="Book Antiqua" w:hAnsi="Book Antiqua" w:cs="Book Antiqua"/>
          <w:color w:val="000000"/>
        </w:rPr>
        <w:t>: 4.7</w:t>
      </w:r>
      <w:r w:rsidR="005E0524" w:rsidRPr="0042521B">
        <w:rPr>
          <w:rFonts w:ascii="Book Antiqua" w:eastAsia="Book Antiqua" w:hAnsi="Book Antiqua" w:cs="Book Antiqua"/>
          <w:color w:val="000000"/>
        </w:rPr>
        <w:t>-</w:t>
      </w:r>
      <w:r w:rsidR="004E3328" w:rsidRPr="0042521B">
        <w:rPr>
          <w:rFonts w:ascii="Book Antiqua" w:eastAsia="Book Antiqua" w:hAnsi="Book Antiqua" w:cs="Book Antiqua"/>
          <w:color w:val="000000"/>
        </w:rPr>
        <w:t xml:space="preserve">13.1, </w:t>
      </w:r>
      <w:r w:rsidR="004E3328" w:rsidRPr="0042521B">
        <w:rPr>
          <w:rFonts w:ascii="Book Antiqua" w:eastAsia="Book Antiqua" w:hAnsi="Book Antiqua" w:cs="Book Antiqua"/>
          <w:i/>
          <w:iCs/>
          <w:color w:val="000000"/>
        </w:rPr>
        <w:t>P</w:t>
      </w:r>
      <w:r w:rsidR="004E3328" w:rsidRPr="0042521B">
        <w:rPr>
          <w:rFonts w:ascii="Book Antiqua" w:eastAsia="Book Antiqua" w:hAnsi="Book Antiqua" w:cs="Book Antiqua"/>
          <w:color w:val="000000"/>
        </w:rPr>
        <w:t xml:space="preserve"> = 0.005], while the late-and early-onset PDB rates (</w:t>
      </w:r>
      <w:r w:rsidRPr="0042521B">
        <w:rPr>
          <w:rFonts w:ascii="Book Antiqua" w:eastAsia="Book Antiqua" w:hAnsi="Book Antiqua" w:cs="Book Antiqua"/>
          <w:color w:val="000000"/>
        </w:rPr>
        <w:t>L-PDB and E-PDB) were 5.3% [90%</w:t>
      </w:r>
      <w:r w:rsidR="004E3328" w:rsidRPr="0042521B">
        <w:rPr>
          <w:rFonts w:ascii="Book Antiqua" w:eastAsia="Book Antiqua" w:hAnsi="Book Antiqua" w:cs="Book Antiqua"/>
          <w:color w:val="000000"/>
        </w:rPr>
        <w:t>CI: 2.7</w:t>
      </w:r>
      <w:r w:rsidR="005E0524" w:rsidRPr="0042521B">
        <w:rPr>
          <w:rFonts w:ascii="Book Antiqua" w:eastAsia="Book Antiqua" w:hAnsi="Book Antiqua" w:cs="Book Antiqua"/>
          <w:color w:val="000000"/>
        </w:rPr>
        <w:t>-</w:t>
      </w:r>
      <w:r w:rsidR="004E3328" w:rsidRPr="0042521B">
        <w:rPr>
          <w:rFonts w:ascii="Book Antiqua" w:eastAsia="Book Antiqua" w:hAnsi="Book Antiqua" w:cs="Book Antiqua"/>
          <w:color w:val="000000"/>
        </w:rPr>
        <w:t xml:space="preserve">9.9, </w:t>
      </w:r>
      <w:r w:rsidRPr="0042521B">
        <w:rPr>
          <w:rFonts w:ascii="Book Antiqua" w:eastAsia="Book Antiqua" w:hAnsi="Book Antiqua" w:cs="Book Antiqua"/>
          <w:i/>
          <w:iCs/>
          <w:color w:val="000000"/>
        </w:rPr>
        <w:t>P</w:t>
      </w:r>
      <w:r w:rsidRPr="0042521B">
        <w:rPr>
          <w:rFonts w:ascii="Book Antiqua" w:eastAsia="Book Antiqua" w:hAnsi="Book Antiqua" w:cs="Book Antiqua"/>
          <w:color w:val="000000"/>
        </w:rPr>
        <w:t xml:space="preserve"> </w:t>
      </w:r>
      <w:r w:rsidR="004E3328" w:rsidRPr="0042521B">
        <w:rPr>
          <w:rFonts w:ascii="Book Antiqua" w:eastAsia="Book Antiqua" w:hAnsi="Book Antiqua" w:cs="Book Antiqua"/>
          <w:color w:val="000000"/>
        </w:rPr>
        <w:t>&lt;</w:t>
      </w:r>
      <w:r w:rsidRPr="0042521B">
        <w:rPr>
          <w:rFonts w:ascii="Book Antiqua" w:hAnsi="Book Antiqua" w:cs="Book Antiqua" w:hint="eastAsia"/>
          <w:color w:val="000000"/>
          <w:lang w:eastAsia="zh-CN"/>
        </w:rPr>
        <w:t xml:space="preserve"> </w:t>
      </w:r>
      <w:r w:rsidR="00F5741B" w:rsidRPr="0042521B">
        <w:rPr>
          <w:rFonts w:ascii="Book Antiqua" w:eastAsia="Book Antiqua" w:hAnsi="Book Antiqua" w:cs="Book Antiqua"/>
          <w:color w:val="000000"/>
        </w:rPr>
        <w:t>0.0001] and 2.6% [90%</w:t>
      </w:r>
      <w:r w:rsidR="004E3328" w:rsidRPr="0042521B">
        <w:rPr>
          <w:rFonts w:ascii="Book Antiqua" w:eastAsia="Book Antiqua" w:hAnsi="Book Antiqua" w:cs="Book Antiqua"/>
          <w:color w:val="000000"/>
        </w:rPr>
        <w:t>CI: 1.1</w:t>
      </w:r>
      <w:r w:rsidR="005E0524" w:rsidRPr="0042521B">
        <w:rPr>
          <w:rFonts w:ascii="Book Antiqua" w:eastAsia="Book Antiqua" w:hAnsi="Book Antiqua" w:cs="Book Antiqua"/>
          <w:color w:val="000000"/>
        </w:rPr>
        <w:t>-</w:t>
      </w:r>
      <w:r w:rsidR="004E3328" w:rsidRPr="0042521B">
        <w:rPr>
          <w:rFonts w:ascii="Book Antiqua" w:eastAsia="Book Antiqua" w:hAnsi="Book Antiqua" w:cs="Book Antiqua"/>
          <w:color w:val="000000"/>
        </w:rPr>
        <w:t xml:space="preserve">6.4, </w:t>
      </w:r>
      <w:r w:rsidR="004E3328" w:rsidRPr="0042521B">
        <w:rPr>
          <w:rFonts w:ascii="Book Antiqua" w:eastAsia="Book Antiqua" w:hAnsi="Book Antiqua" w:cs="Book Antiqua"/>
          <w:i/>
          <w:iCs/>
          <w:color w:val="000000"/>
        </w:rPr>
        <w:t>P</w:t>
      </w:r>
      <w:r w:rsidR="004E3328" w:rsidRPr="0042521B">
        <w:rPr>
          <w:rFonts w:ascii="Book Antiqua" w:eastAsia="Book Antiqua" w:hAnsi="Book Antiqua" w:cs="Book Antiqua"/>
          <w:color w:val="000000"/>
        </w:rPr>
        <w:t xml:space="preserve"> = 0.51], respectively. Propensity score matching generated 58 matched pairs for TLE and control groups. No differences were found in overall PDB incidence (10.3% </w:t>
      </w:r>
      <w:r w:rsidR="004E3328" w:rsidRPr="0042521B">
        <w:rPr>
          <w:rFonts w:ascii="Book Antiqua" w:eastAsia="Book Antiqua" w:hAnsi="Book Antiqua" w:cs="Book Antiqua"/>
          <w:i/>
          <w:iCs/>
          <w:color w:val="000000"/>
        </w:rPr>
        <w:t>vs</w:t>
      </w:r>
      <w:r w:rsidR="004E3328" w:rsidRPr="0042521B">
        <w:rPr>
          <w:rFonts w:ascii="Book Antiqua" w:eastAsia="Book Antiqua" w:hAnsi="Book Antiqua" w:cs="Book Antiqua"/>
          <w:color w:val="000000"/>
        </w:rPr>
        <w:t xml:space="preserve"> 20.7%, </w:t>
      </w:r>
      <w:r w:rsidR="004E3328" w:rsidRPr="0042521B">
        <w:rPr>
          <w:rFonts w:ascii="Book Antiqua" w:eastAsia="Book Antiqua" w:hAnsi="Book Antiqua" w:cs="Book Antiqua"/>
          <w:i/>
          <w:iCs/>
          <w:color w:val="000000"/>
        </w:rPr>
        <w:t>P</w:t>
      </w:r>
      <w:r w:rsidR="004E3328" w:rsidRPr="0042521B">
        <w:rPr>
          <w:rFonts w:ascii="Book Antiqua" w:eastAsia="Book Antiqua" w:hAnsi="Book Antiqua" w:cs="Book Antiqua"/>
          <w:color w:val="000000"/>
        </w:rPr>
        <w:t xml:space="preserve"> = 0.12), whereas L-PDB occurrence significantly differed (5.2% </w:t>
      </w:r>
      <w:r w:rsidR="004E3328" w:rsidRPr="0042521B">
        <w:rPr>
          <w:rFonts w:ascii="Book Antiqua" w:eastAsia="Book Antiqua" w:hAnsi="Book Antiqua" w:cs="Book Antiqua"/>
          <w:i/>
          <w:iCs/>
          <w:color w:val="000000"/>
        </w:rPr>
        <w:t>vs</w:t>
      </w:r>
      <w:r w:rsidR="004E3328" w:rsidRPr="0042521B">
        <w:rPr>
          <w:rFonts w:ascii="Book Antiqua" w:eastAsia="Book Antiqua" w:hAnsi="Book Antiqua" w:cs="Book Antiqua"/>
          <w:color w:val="000000"/>
        </w:rPr>
        <w:t xml:space="preserve"> 17.2%, </w:t>
      </w:r>
      <w:r w:rsidR="004E3328" w:rsidRPr="0042521B">
        <w:rPr>
          <w:rFonts w:ascii="Book Antiqua" w:eastAsia="Book Antiqua" w:hAnsi="Book Antiqua" w:cs="Book Antiqua"/>
          <w:i/>
          <w:iCs/>
          <w:color w:val="000000"/>
        </w:rPr>
        <w:t>P</w:t>
      </w:r>
      <w:r w:rsidR="004E3328" w:rsidRPr="0042521B">
        <w:rPr>
          <w:rFonts w:ascii="Book Antiqua" w:eastAsia="Book Antiqua" w:hAnsi="Book Antiqua" w:cs="Book Antiqua"/>
          <w:color w:val="000000"/>
        </w:rPr>
        <w:t xml:space="preserve"> = 0.04) between groups. Considering antithrombotics’ use, the overall PDB rate was higher for direct oral anticoagulants and multiple antithrombotics in the control group, while L-PDB incidence was lower in the TLE group for these agents (8.7% </w:t>
      </w:r>
      <w:r w:rsidR="004E3328" w:rsidRPr="0042521B">
        <w:rPr>
          <w:rFonts w:ascii="Book Antiqua" w:eastAsia="Book Antiqua" w:hAnsi="Book Antiqua" w:cs="Book Antiqua"/>
          <w:i/>
          <w:iCs/>
          <w:color w:val="000000"/>
        </w:rPr>
        <w:t>vs</w:t>
      </w:r>
      <w:r w:rsidR="004E3328" w:rsidRPr="0042521B">
        <w:rPr>
          <w:rFonts w:ascii="Book Antiqua" w:eastAsia="Book Antiqua" w:hAnsi="Book Antiqua" w:cs="Book Antiqua"/>
          <w:color w:val="000000"/>
        </w:rPr>
        <w:t xml:space="preserve"> 23.1% and 5.0% </w:t>
      </w:r>
      <w:r w:rsidR="004E3328" w:rsidRPr="0042521B">
        <w:rPr>
          <w:rFonts w:ascii="Book Antiqua" w:eastAsia="Book Antiqua" w:hAnsi="Book Antiqua" w:cs="Book Antiqua"/>
          <w:i/>
          <w:iCs/>
          <w:color w:val="000000"/>
        </w:rPr>
        <w:t>vs</w:t>
      </w:r>
      <w:r w:rsidR="004E3328" w:rsidRPr="0042521B">
        <w:rPr>
          <w:rFonts w:ascii="Book Antiqua" w:eastAsia="Book Antiqua" w:hAnsi="Book Antiqua" w:cs="Book Antiqua"/>
          <w:color w:val="000000"/>
        </w:rPr>
        <w:t xml:space="preserve"> 29.4%, respectively).</w:t>
      </w:r>
    </w:p>
    <w:p w14:paraId="5C3326B0" w14:textId="77777777" w:rsidR="00A77B3E" w:rsidRPr="0042521B" w:rsidRDefault="00A77B3E">
      <w:pPr>
        <w:spacing w:line="360" w:lineRule="auto"/>
        <w:jc w:val="both"/>
      </w:pPr>
    </w:p>
    <w:p w14:paraId="31601C16" w14:textId="77777777" w:rsidR="00A77B3E" w:rsidRPr="0042521B" w:rsidRDefault="004E3328">
      <w:pPr>
        <w:spacing w:line="360" w:lineRule="auto"/>
        <w:jc w:val="both"/>
      </w:pPr>
      <w:r w:rsidRPr="0042521B">
        <w:rPr>
          <w:rFonts w:ascii="Book Antiqua" w:eastAsia="Book Antiqua" w:hAnsi="Book Antiqua" w:cs="Book Antiqua"/>
          <w:color w:val="000000"/>
        </w:rPr>
        <w:t>CONCLUSION</w:t>
      </w:r>
    </w:p>
    <w:p w14:paraId="4F2242EB" w14:textId="77777777" w:rsidR="00A77B3E" w:rsidRPr="0042521B" w:rsidRDefault="004E3328">
      <w:pPr>
        <w:spacing w:line="360" w:lineRule="auto"/>
        <w:jc w:val="both"/>
      </w:pPr>
      <w:r w:rsidRPr="0042521B">
        <w:rPr>
          <w:rFonts w:ascii="Book Antiqua" w:eastAsia="Book Antiqua" w:hAnsi="Book Antiqua" w:cs="Book Antiqua"/>
          <w:color w:val="000000"/>
        </w:rPr>
        <w:t xml:space="preserve">TLE for </w:t>
      </w:r>
      <w:r w:rsidR="00E76722" w:rsidRPr="0042521B">
        <w:rPr>
          <w:rFonts w:ascii="Book Antiqua" w:eastAsia="Book Antiqua" w:hAnsi="Book Antiqua" w:cs="Book Antiqua"/>
          <w:color w:val="000000"/>
        </w:rPr>
        <w:t>gastric ESD reduces overall PDB</w:t>
      </w:r>
      <w:r w:rsidR="00E76722" w:rsidRPr="0042521B">
        <w:rPr>
          <w:rFonts w:ascii="Book Antiqua" w:hAnsi="Book Antiqua" w:cs="Book Antiqua" w:hint="eastAsia"/>
          <w:color w:val="000000"/>
          <w:lang w:eastAsia="zh-CN"/>
        </w:rPr>
        <w:t xml:space="preserve">, </w:t>
      </w:r>
      <w:r w:rsidR="00E76722" w:rsidRPr="0042521B">
        <w:rPr>
          <w:rFonts w:ascii="Book Antiqua" w:eastAsia="Book Antiqua" w:hAnsi="Book Antiqua" w:cs="Book Antiqua"/>
          <w:color w:val="000000"/>
        </w:rPr>
        <w:t>and especially L-PDB incidence</w:t>
      </w:r>
      <w:r w:rsidR="00E76722" w:rsidRPr="0042521B">
        <w:rPr>
          <w:rFonts w:ascii="Book Antiqua" w:hAnsi="Book Antiqua" w:cs="Book Antiqua" w:hint="eastAsia"/>
          <w:color w:val="000000"/>
          <w:lang w:eastAsia="zh-CN"/>
        </w:rPr>
        <w:t xml:space="preserve">, </w:t>
      </w:r>
      <w:r w:rsidRPr="0042521B">
        <w:rPr>
          <w:rFonts w:ascii="Book Antiqua" w:eastAsia="Book Antiqua" w:hAnsi="Book Antiqua" w:cs="Book Antiqua"/>
          <w:color w:val="000000"/>
        </w:rPr>
        <w:t xml:space="preserve">among patients receiving antithrombotics. </w:t>
      </w:r>
    </w:p>
    <w:p w14:paraId="706E23C9" w14:textId="77777777" w:rsidR="00A77B3E" w:rsidRPr="0042521B" w:rsidRDefault="00A77B3E">
      <w:pPr>
        <w:spacing w:line="360" w:lineRule="auto"/>
        <w:jc w:val="both"/>
      </w:pPr>
    </w:p>
    <w:p w14:paraId="4C5FBDDF"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Key Words: </w:t>
      </w:r>
      <w:r w:rsidR="003E77B6" w:rsidRPr="0042521B">
        <w:rPr>
          <w:rFonts w:ascii="Book Antiqua" w:hAnsi="Book Antiqua" w:cs="Book Antiqua" w:hint="eastAsia"/>
          <w:color w:val="000000"/>
          <w:lang w:eastAsia="zh-CN"/>
        </w:rPr>
        <w:t>E</w:t>
      </w:r>
      <w:r w:rsidRPr="0042521B">
        <w:rPr>
          <w:rFonts w:ascii="Book Antiqua" w:eastAsia="Book Antiqua" w:hAnsi="Book Antiqua" w:cs="Book Antiqua"/>
          <w:color w:val="000000"/>
        </w:rPr>
        <w:t>nd</w:t>
      </w:r>
      <w:r w:rsidR="003E77B6" w:rsidRPr="0042521B">
        <w:rPr>
          <w:rFonts w:ascii="Book Antiqua" w:eastAsia="Book Antiqua" w:hAnsi="Book Antiqua" w:cs="Book Antiqua"/>
          <w:color w:val="000000"/>
        </w:rPr>
        <w:t xml:space="preserve">oscopic submucosal dissection; </w:t>
      </w:r>
      <w:r w:rsidR="003E77B6" w:rsidRPr="0042521B">
        <w:rPr>
          <w:rFonts w:ascii="Book Antiqua" w:hAnsi="Book Antiqua" w:cs="Book Antiqua" w:hint="eastAsia"/>
          <w:color w:val="000000"/>
          <w:lang w:eastAsia="zh-CN"/>
        </w:rPr>
        <w:t>P</w:t>
      </w:r>
      <w:r w:rsidR="003E77B6" w:rsidRPr="0042521B">
        <w:rPr>
          <w:rFonts w:ascii="Book Antiqua" w:eastAsia="Book Antiqua" w:hAnsi="Book Antiqua" w:cs="Book Antiqua"/>
          <w:color w:val="000000"/>
        </w:rPr>
        <w:t xml:space="preserve">ostoperative delayed bleeding; </w:t>
      </w:r>
      <w:r w:rsidR="003E77B6" w:rsidRPr="0042521B">
        <w:rPr>
          <w:rFonts w:ascii="Book Antiqua" w:hAnsi="Book Antiqua" w:cs="Book Antiqua" w:hint="eastAsia"/>
          <w:color w:val="000000"/>
          <w:lang w:eastAsia="zh-CN"/>
        </w:rPr>
        <w:t>T</w:t>
      </w:r>
      <w:r w:rsidRPr="0042521B">
        <w:rPr>
          <w:rFonts w:ascii="Book Antiqua" w:eastAsia="Book Antiqua" w:hAnsi="Book Antiqua" w:cs="Book Antiqua"/>
          <w:color w:val="000000"/>
        </w:rPr>
        <w:t>hird look endosc</w:t>
      </w:r>
      <w:r w:rsidR="003E77B6" w:rsidRPr="0042521B">
        <w:rPr>
          <w:rFonts w:ascii="Book Antiqua" w:eastAsia="Book Antiqua" w:hAnsi="Book Antiqua" w:cs="Book Antiqua"/>
          <w:color w:val="000000"/>
        </w:rPr>
        <w:t xml:space="preserve">opy; </w:t>
      </w:r>
      <w:r w:rsidR="003E77B6" w:rsidRPr="0042521B">
        <w:rPr>
          <w:rFonts w:ascii="Book Antiqua" w:hAnsi="Book Antiqua" w:cs="Book Antiqua" w:hint="eastAsia"/>
          <w:color w:val="000000"/>
          <w:lang w:eastAsia="zh-CN"/>
        </w:rPr>
        <w:t>A</w:t>
      </w:r>
      <w:r w:rsidR="003E77B6" w:rsidRPr="0042521B">
        <w:rPr>
          <w:rFonts w:ascii="Book Antiqua" w:eastAsia="Book Antiqua" w:hAnsi="Book Antiqua" w:cs="Book Antiqua"/>
          <w:color w:val="000000"/>
        </w:rPr>
        <w:t xml:space="preserve">ntithrombotic agents; </w:t>
      </w:r>
      <w:r w:rsidR="003E77B6" w:rsidRPr="0042521B">
        <w:rPr>
          <w:rFonts w:ascii="Book Antiqua" w:hAnsi="Book Antiqua" w:cs="Book Antiqua" w:hint="eastAsia"/>
          <w:color w:val="000000"/>
          <w:lang w:eastAsia="zh-CN"/>
        </w:rPr>
        <w:t>L</w:t>
      </w:r>
      <w:r w:rsidR="003E77B6" w:rsidRPr="0042521B">
        <w:rPr>
          <w:rFonts w:ascii="Book Antiqua" w:eastAsia="Book Antiqua" w:hAnsi="Book Antiqua" w:cs="Book Antiqua"/>
          <w:color w:val="000000"/>
        </w:rPr>
        <w:t xml:space="preserve">ate phase bleeding; </w:t>
      </w:r>
      <w:r w:rsidR="003E77B6" w:rsidRPr="0042521B">
        <w:rPr>
          <w:rFonts w:ascii="Book Antiqua" w:hAnsi="Book Antiqua" w:cs="Book Antiqua" w:hint="eastAsia"/>
          <w:color w:val="000000"/>
          <w:lang w:eastAsia="zh-CN"/>
        </w:rPr>
        <w:t>P</w:t>
      </w:r>
      <w:r w:rsidRPr="0042521B">
        <w:rPr>
          <w:rFonts w:ascii="Book Antiqua" w:eastAsia="Book Antiqua" w:hAnsi="Book Antiqua" w:cs="Book Antiqua"/>
          <w:color w:val="000000"/>
        </w:rPr>
        <w:t>hase II</w:t>
      </w:r>
    </w:p>
    <w:p w14:paraId="1003E490" w14:textId="77777777" w:rsidR="00A77B3E" w:rsidRPr="0042521B" w:rsidRDefault="00A77B3E">
      <w:pPr>
        <w:spacing w:line="360" w:lineRule="auto"/>
        <w:jc w:val="both"/>
      </w:pPr>
    </w:p>
    <w:p w14:paraId="0A879297" w14:textId="77777777" w:rsidR="0042521B" w:rsidRPr="0042521B" w:rsidRDefault="0042521B">
      <w:pPr>
        <w:spacing w:line="360" w:lineRule="auto"/>
        <w:jc w:val="both"/>
        <w:rPr>
          <w:rFonts w:ascii="Book Antiqua" w:hAnsi="Book Antiqua" w:cs="Book Antiqua" w:hint="eastAsia"/>
          <w:color w:val="000000"/>
          <w:lang w:eastAsia="zh-CN"/>
        </w:rPr>
      </w:pPr>
      <w:r w:rsidRPr="0042521B">
        <w:rPr>
          <w:rFonts w:ascii="Book Antiqua" w:hAnsi="Book Antiqua" w:cs="Book Antiqua" w:hint="eastAsia"/>
          <w:b/>
          <w:color w:val="000000"/>
          <w:lang w:eastAsia="zh-CN"/>
        </w:rPr>
        <w:t xml:space="preserve">Citation: </w:t>
      </w:r>
      <w:r w:rsidR="004E3328" w:rsidRPr="0042521B">
        <w:rPr>
          <w:rFonts w:ascii="Book Antiqua" w:eastAsia="Book Antiqua" w:hAnsi="Book Antiqua" w:cs="Book Antiqua"/>
          <w:color w:val="000000"/>
        </w:rPr>
        <w:t>Ikeda R, Hirasawa K, Sato C, Ozeki Y, Sawada A, Nishio M, Fukuchi T, Kobayashi R, Makazu M, Taguri M, Maeda S. Third-look e</w:t>
      </w:r>
      <w:r w:rsidR="00F82745" w:rsidRPr="0042521B">
        <w:rPr>
          <w:rFonts w:ascii="Book Antiqua" w:eastAsia="Book Antiqua" w:hAnsi="Book Antiqua" w:cs="Book Antiqua"/>
          <w:color w:val="000000"/>
        </w:rPr>
        <w:t xml:space="preserve">ndoscopy prevents delayed </w:t>
      </w:r>
      <w:r w:rsidR="00F82745" w:rsidRPr="0042521B">
        <w:rPr>
          <w:rFonts w:ascii="Book Antiqua" w:eastAsia="Book Antiqua" w:hAnsi="Book Antiqua" w:cs="Book Antiqua"/>
          <w:color w:val="000000"/>
        </w:rPr>
        <w:lastRenderedPageBreak/>
        <w:t>bleeding after endoscopic submucosal dissection under antithrombotic th</w:t>
      </w:r>
      <w:r w:rsidR="004E3328" w:rsidRPr="0042521B">
        <w:rPr>
          <w:rFonts w:ascii="Book Antiqua" w:eastAsia="Book Antiqua" w:hAnsi="Book Antiqua" w:cs="Book Antiqua"/>
          <w:color w:val="000000"/>
        </w:rPr>
        <w:t xml:space="preserve">erapy. </w:t>
      </w:r>
      <w:r w:rsidR="004E3328" w:rsidRPr="0042521B">
        <w:rPr>
          <w:rFonts w:ascii="Book Antiqua" w:eastAsia="Book Antiqua" w:hAnsi="Book Antiqua" w:cs="Book Antiqua"/>
          <w:i/>
          <w:iCs/>
          <w:color w:val="000000"/>
        </w:rPr>
        <w:t>World J Gastroenterol</w:t>
      </w:r>
      <w:r w:rsidR="004E3328" w:rsidRPr="0042521B">
        <w:rPr>
          <w:rFonts w:ascii="Book Antiqua" w:eastAsia="Book Antiqua" w:hAnsi="Book Antiqua" w:cs="Book Antiqua"/>
          <w:color w:val="000000"/>
        </w:rPr>
        <w:t xml:space="preserve"> 2020; </w:t>
      </w:r>
      <w:r w:rsidR="00625251" w:rsidRPr="0042521B">
        <w:rPr>
          <w:rFonts w:ascii="Book Antiqua" w:eastAsia="Book Antiqua" w:hAnsi="Book Antiqua" w:cs="Book Antiqua"/>
          <w:color w:val="000000"/>
        </w:rPr>
        <w:t xml:space="preserve">26(41): </w:t>
      </w:r>
      <w:r w:rsidR="001963FF" w:rsidRPr="0042521B">
        <w:rPr>
          <w:rFonts w:ascii="Book Antiqua" w:hAnsi="Book Antiqua" w:hint="eastAsia"/>
        </w:rPr>
        <w:t>6475</w:t>
      </w:r>
      <w:r w:rsidR="001963FF" w:rsidRPr="0042521B">
        <w:rPr>
          <w:rFonts w:ascii="Book Antiqua" w:hAnsi="Book Antiqua" w:hint="eastAsia"/>
          <w:lang w:eastAsia="zh-CN"/>
        </w:rPr>
        <w:t>-</w:t>
      </w:r>
      <w:r w:rsidR="001963FF" w:rsidRPr="0042521B">
        <w:rPr>
          <w:rFonts w:ascii="Book Antiqua" w:hAnsi="Book Antiqua" w:hint="eastAsia"/>
        </w:rPr>
        <w:t>6487</w:t>
      </w:r>
      <w:r w:rsidR="00625251" w:rsidRPr="0042521B">
        <w:rPr>
          <w:rFonts w:ascii="Book Antiqua" w:eastAsia="Book Antiqua" w:hAnsi="Book Antiqua" w:cs="Book Antiqua"/>
          <w:color w:val="000000"/>
        </w:rPr>
        <w:t xml:space="preserve">  </w:t>
      </w:r>
    </w:p>
    <w:p w14:paraId="7EAB5429" w14:textId="77777777" w:rsidR="0042521B" w:rsidRPr="0042521B" w:rsidRDefault="00625251">
      <w:pPr>
        <w:spacing w:line="360" w:lineRule="auto"/>
        <w:jc w:val="both"/>
        <w:rPr>
          <w:rFonts w:ascii="Book Antiqua" w:hAnsi="Book Antiqua" w:cs="Book Antiqua" w:hint="eastAsia"/>
          <w:color w:val="000000"/>
          <w:lang w:eastAsia="zh-CN"/>
        </w:rPr>
      </w:pPr>
      <w:r w:rsidRPr="0042521B">
        <w:rPr>
          <w:rFonts w:ascii="Book Antiqua" w:eastAsia="Book Antiqua" w:hAnsi="Book Antiqua" w:cs="Book Antiqua"/>
          <w:b/>
          <w:color w:val="000000"/>
        </w:rPr>
        <w:t>URL:</w:t>
      </w:r>
      <w:r w:rsidRPr="0042521B">
        <w:rPr>
          <w:rFonts w:ascii="Book Antiqua" w:eastAsia="Book Antiqua" w:hAnsi="Book Antiqua" w:cs="Book Antiqua"/>
          <w:color w:val="000000"/>
        </w:rPr>
        <w:t xml:space="preserve"> https://www.wjgnet.com/1007-9327/full/v26/i41/</w:t>
      </w:r>
      <w:r w:rsidR="001963FF" w:rsidRPr="0042521B">
        <w:rPr>
          <w:rFonts w:ascii="Book Antiqua" w:hAnsi="Book Antiqua" w:cs="Book Antiqua" w:hint="eastAsia"/>
          <w:color w:val="000000"/>
          <w:lang w:eastAsia="zh-CN"/>
        </w:rPr>
        <w:t>6475</w:t>
      </w:r>
      <w:r w:rsidRPr="0042521B">
        <w:rPr>
          <w:rFonts w:ascii="Book Antiqua" w:eastAsia="Book Antiqua" w:hAnsi="Book Antiqua" w:cs="Book Antiqua"/>
          <w:color w:val="000000"/>
        </w:rPr>
        <w:t xml:space="preserve">.htm  </w:t>
      </w:r>
    </w:p>
    <w:p w14:paraId="006425E8" w14:textId="0DC89C4A" w:rsidR="00A77B3E" w:rsidRPr="0042521B" w:rsidRDefault="00625251">
      <w:pPr>
        <w:spacing w:line="360" w:lineRule="auto"/>
        <w:jc w:val="both"/>
        <w:rPr>
          <w:rFonts w:hint="eastAsia"/>
          <w:lang w:eastAsia="zh-CN"/>
        </w:rPr>
      </w:pPr>
      <w:r w:rsidRPr="0042521B">
        <w:rPr>
          <w:rFonts w:ascii="Book Antiqua" w:eastAsia="Book Antiqua" w:hAnsi="Book Antiqua" w:cs="Book Antiqua"/>
          <w:b/>
          <w:color w:val="000000"/>
        </w:rPr>
        <w:t>DOI:</w:t>
      </w:r>
      <w:r w:rsidRPr="0042521B">
        <w:rPr>
          <w:rFonts w:ascii="Book Antiqua" w:eastAsia="Book Antiqua" w:hAnsi="Book Antiqua" w:cs="Book Antiqua"/>
          <w:color w:val="000000"/>
        </w:rPr>
        <w:t xml:space="preserve"> https://dx.doi.org/10.3748/wjg.v26.i41.</w:t>
      </w:r>
      <w:r w:rsidR="001963FF" w:rsidRPr="0042521B">
        <w:rPr>
          <w:rFonts w:ascii="Book Antiqua" w:hAnsi="Book Antiqua" w:cs="Book Antiqua" w:hint="eastAsia"/>
          <w:color w:val="000000"/>
          <w:lang w:eastAsia="zh-CN"/>
        </w:rPr>
        <w:t>6475</w:t>
      </w:r>
    </w:p>
    <w:p w14:paraId="1D0EF499" w14:textId="77777777" w:rsidR="00A77B3E" w:rsidRPr="0042521B" w:rsidRDefault="00A77B3E">
      <w:pPr>
        <w:spacing w:line="360" w:lineRule="auto"/>
        <w:jc w:val="both"/>
      </w:pPr>
    </w:p>
    <w:p w14:paraId="61CA57B7" w14:textId="77777777" w:rsidR="00A77B3E" w:rsidRPr="0042521B" w:rsidRDefault="004E3328">
      <w:pPr>
        <w:spacing w:line="360" w:lineRule="auto"/>
        <w:jc w:val="both"/>
      </w:pPr>
      <w:r w:rsidRPr="0042521B">
        <w:rPr>
          <w:rFonts w:ascii="Book Antiqua" w:eastAsia="Book Antiqua" w:hAnsi="Book Antiqua" w:cs="Book Antiqua"/>
          <w:b/>
          <w:bCs/>
          <w:color w:val="000000"/>
          <w:szCs w:val="21"/>
        </w:rPr>
        <w:t xml:space="preserve">Core Tip: </w:t>
      </w:r>
      <w:r w:rsidRPr="0042521B">
        <w:rPr>
          <w:rFonts w:ascii="Book Antiqua" w:eastAsia="Book Antiqua" w:hAnsi="Book Antiqua" w:cs="Book Antiqua"/>
          <w:color w:val="000000"/>
        </w:rPr>
        <w:t xml:space="preserve">The major adverse event after endoscopic submucosal dissection for early gastric cancer under antithrombotic therapy is post-operative delayed bleeding (PDB). We verified the effectiveness of third-look endoscopy (TLE) before discharge in a phase II trial. Our results suggest that TLE significantly reduced PDB incidence among patients who continued to receive antithrombotic drugs. We concluded that TLE which is manageable for every endoscopist is a simple and effective method for preventing PDB under antithrombotic therapy. </w:t>
      </w:r>
    </w:p>
    <w:p w14:paraId="2A93F04F" w14:textId="77777777" w:rsidR="00A77B3E" w:rsidRPr="0042521B" w:rsidRDefault="00A77B3E">
      <w:pPr>
        <w:spacing w:line="360" w:lineRule="auto"/>
        <w:jc w:val="both"/>
      </w:pPr>
    </w:p>
    <w:p w14:paraId="0876BE99" w14:textId="77777777" w:rsidR="00A77B3E" w:rsidRPr="0042521B" w:rsidRDefault="00C954C1">
      <w:pPr>
        <w:spacing w:line="360" w:lineRule="auto"/>
        <w:jc w:val="both"/>
      </w:pPr>
      <w:r w:rsidRPr="0042521B">
        <w:rPr>
          <w:rFonts w:ascii="Book Antiqua" w:eastAsia="Book Antiqua" w:hAnsi="Book Antiqua" w:cs="Book Antiqua"/>
          <w:b/>
          <w:caps/>
          <w:color w:val="000000"/>
          <w:u w:val="single"/>
        </w:rPr>
        <w:br w:type="page"/>
      </w:r>
      <w:r w:rsidR="004E3328" w:rsidRPr="0042521B">
        <w:rPr>
          <w:rFonts w:ascii="Book Antiqua" w:eastAsia="Book Antiqua" w:hAnsi="Book Antiqua" w:cs="Book Antiqua"/>
          <w:b/>
          <w:caps/>
          <w:color w:val="000000"/>
          <w:u w:val="single"/>
        </w:rPr>
        <w:lastRenderedPageBreak/>
        <w:t>INTRODUCTION</w:t>
      </w:r>
    </w:p>
    <w:p w14:paraId="4E7ABA64" w14:textId="0F42FEDA" w:rsidR="00A77B3E" w:rsidRPr="0042521B" w:rsidRDefault="004E3328">
      <w:pPr>
        <w:spacing w:line="360" w:lineRule="auto"/>
        <w:jc w:val="both"/>
        <w:rPr>
          <w:lang w:eastAsia="zh-CN"/>
        </w:rPr>
      </w:pPr>
      <w:r w:rsidRPr="0042521B">
        <w:rPr>
          <w:rFonts w:ascii="Book Antiqua" w:eastAsia="Book Antiqua" w:hAnsi="Book Antiqua" w:cs="Book Antiqua"/>
          <w:color w:val="000000"/>
        </w:rPr>
        <w:t xml:space="preserve">Despite the widespread eradication of </w:t>
      </w:r>
      <w:r w:rsidRPr="0042521B">
        <w:rPr>
          <w:rFonts w:ascii="Book Antiqua" w:eastAsia="Book Antiqua" w:hAnsi="Book Antiqua" w:cs="Book Antiqua"/>
          <w:i/>
          <w:iCs/>
          <w:color w:val="000000"/>
        </w:rPr>
        <w:t>Helicobacter pylori</w:t>
      </w:r>
      <w:r w:rsidRPr="0042521B">
        <w:rPr>
          <w:rFonts w:ascii="Book Antiqua" w:eastAsia="Book Antiqua" w:hAnsi="Book Antiqua" w:cs="Book Antiqua"/>
          <w:color w:val="000000"/>
        </w:rPr>
        <w:t xml:space="preserve"> and improvements in treatment, both the morbidity and mortality of gastric cancer remains high, especially in Asia</w:t>
      </w:r>
      <w:r w:rsidR="00C954C1" w:rsidRPr="0042521B">
        <w:rPr>
          <w:rFonts w:ascii="Book Antiqua" w:eastAsia="Book Antiqua" w:hAnsi="Book Antiqua" w:cs="Book Antiqua"/>
          <w:color w:val="000000"/>
          <w:szCs w:val="30"/>
          <w:vertAlign w:val="superscript"/>
        </w:rPr>
        <w:t>[1,</w:t>
      </w:r>
      <w:r w:rsidRPr="0042521B">
        <w:rPr>
          <w:rFonts w:ascii="Book Antiqua" w:eastAsia="Book Antiqua" w:hAnsi="Book Antiqua" w:cs="Book Antiqua"/>
          <w:color w:val="000000"/>
          <w:szCs w:val="30"/>
          <w:vertAlign w:val="superscript"/>
        </w:rPr>
        <w:t>2]</w:t>
      </w:r>
      <w:r w:rsidR="002D7C18"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As a minimally invasive approach, endoscopic treatment for early gastric cancer (EGC) has dramatically advanced with the development of endoscopic submucosal dissection (ESD). Additionally, the advent of ESD has fulfilled the promise of en bloc and complete EGC resection</w:t>
      </w:r>
      <w:r w:rsidRPr="0042521B">
        <w:rPr>
          <w:rFonts w:ascii="Book Antiqua" w:eastAsia="Book Antiqua" w:hAnsi="Book Antiqua" w:cs="Book Antiqua"/>
          <w:color w:val="000000"/>
          <w:szCs w:val="30"/>
          <w:vertAlign w:val="superscript"/>
        </w:rPr>
        <w:t>[3]</w:t>
      </w:r>
      <w:r w:rsidR="00F21B72"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The removal of a complete specimen by ESD is directly associated with the final pathological evaluation and greatly contributes to curability</w:t>
      </w:r>
      <w:r w:rsidRPr="0042521B">
        <w:rPr>
          <w:rFonts w:ascii="Book Antiqua" w:eastAsia="Book Antiqua" w:hAnsi="Book Antiqua" w:cs="Book Antiqua"/>
          <w:color w:val="000000"/>
          <w:szCs w:val="30"/>
          <w:vertAlign w:val="superscript"/>
        </w:rPr>
        <w:t>[4]</w:t>
      </w:r>
      <w:r w:rsidR="00F21B72"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therefore, ESD is now the gold standard for treatment for EGC; however, postoperative delayed bleeding (PDB) is a major adverse event of gastric ESD, which cannot be eliminated. The overall frequency of PDB is reported at 5.1</w:t>
      </w:r>
      <w:r w:rsidR="00F21B72" w:rsidRPr="0042521B">
        <w:rPr>
          <w:rFonts w:ascii="Book Antiqua" w:hAnsi="Book Antiqua" w:cs="Book Antiqua" w:hint="eastAsia"/>
          <w:color w:val="000000"/>
          <w:lang w:eastAsia="zh-CN"/>
        </w:rPr>
        <w:t>%</w:t>
      </w:r>
      <w:r w:rsidR="00FA0610" w:rsidRPr="0042521B">
        <w:rPr>
          <w:rFonts w:ascii="Book Antiqua" w:eastAsia="Book Antiqua" w:hAnsi="Book Antiqua" w:cs="Book Antiqua"/>
          <w:color w:val="000000"/>
        </w:rPr>
        <w:t>-</w:t>
      </w:r>
      <w:r w:rsidRPr="0042521B">
        <w:rPr>
          <w:rFonts w:ascii="Book Antiqua" w:eastAsia="Book Antiqua" w:hAnsi="Book Antiqua" w:cs="Book Antiqua"/>
          <w:color w:val="000000"/>
        </w:rPr>
        <w:t>5.7%</w:t>
      </w:r>
      <w:r w:rsidRPr="0042521B">
        <w:rPr>
          <w:rFonts w:ascii="Book Antiqua" w:eastAsia="Book Antiqua" w:hAnsi="Book Antiqua" w:cs="Book Antiqua"/>
          <w:color w:val="000000"/>
          <w:szCs w:val="30"/>
          <w:vertAlign w:val="superscript"/>
        </w:rPr>
        <w:t>[5-8]</w:t>
      </w:r>
      <w:r w:rsidR="00F21B72" w:rsidRPr="0042521B">
        <w:rPr>
          <w:rFonts w:ascii="Book Antiqua" w:hAnsi="Book Antiqua" w:cs="Book Antiqua" w:hint="eastAsia"/>
          <w:color w:val="000000"/>
          <w:szCs w:val="30"/>
          <w:lang w:eastAsia="zh-CN"/>
        </w:rPr>
        <w:t>.</w:t>
      </w:r>
    </w:p>
    <w:p w14:paraId="554D5AC1" w14:textId="77777777" w:rsidR="00A77B3E" w:rsidRPr="0042521B" w:rsidRDefault="004E3328" w:rsidP="00F21B72">
      <w:pPr>
        <w:spacing w:line="360" w:lineRule="auto"/>
        <w:ind w:firstLineChars="100" w:firstLine="240"/>
        <w:jc w:val="both"/>
        <w:rPr>
          <w:lang w:eastAsia="zh-CN"/>
        </w:rPr>
      </w:pPr>
      <w:r w:rsidRPr="0042521B">
        <w:rPr>
          <w:rFonts w:ascii="Book Antiqua" w:eastAsia="Book Antiqua" w:hAnsi="Book Antiqua" w:cs="Book Antiqua"/>
          <w:color w:val="000000"/>
        </w:rPr>
        <w:t>We previously reported that antithrombotic therapy (ATT) is an independent risk factor for PDB; in particular, we found that anticoagulation and combination ATT are associated with late-onset PDB</w:t>
      </w:r>
      <w:r w:rsidR="00AD38F6" w:rsidRPr="0042521B">
        <w:rPr>
          <w:rFonts w:ascii="Book Antiqua" w:eastAsia="Book Antiqua" w:hAnsi="Book Antiqua" w:cs="Book Antiqua"/>
          <w:color w:val="000000"/>
          <w:szCs w:val="30"/>
          <w:vertAlign w:val="superscript"/>
        </w:rPr>
        <w:t>[5,</w:t>
      </w:r>
      <w:r w:rsidRPr="0042521B">
        <w:rPr>
          <w:rFonts w:ascii="Book Antiqua" w:eastAsia="Book Antiqua" w:hAnsi="Book Antiqua" w:cs="Book Antiqua"/>
          <w:color w:val="000000"/>
          <w:szCs w:val="30"/>
          <w:vertAlign w:val="superscript"/>
        </w:rPr>
        <w:t>6]</w:t>
      </w:r>
      <w:r w:rsidR="00AD38F6"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Recently, with the increasing prevalence of cardiovascular and cerebrovascular diseases in an aging population with associated lifestyle-related diseases, an increasing number of patients receive ATT</w:t>
      </w:r>
      <w:r w:rsidRPr="0042521B">
        <w:rPr>
          <w:rFonts w:ascii="Book Antiqua" w:eastAsia="Book Antiqua" w:hAnsi="Book Antiqua" w:cs="Book Antiqua"/>
          <w:color w:val="000000"/>
          <w:szCs w:val="30"/>
          <w:vertAlign w:val="superscript"/>
        </w:rPr>
        <w:t>[9]</w:t>
      </w:r>
      <w:r w:rsidR="00AD38F6"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Although several attempts to prevent PDB in these patients have been reported, a consensus has yet to be reached</w:t>
      </w:r>
      <w:r w:rsidRPr="0042521B">
        <w:rPr>
          <w:rFonts w:ascii="Book Antiqua" w:eastAsia="Book Antiqua" w:hAnsi="Book Antiqua" w:cs="Book Antiqua"/>
          <w:color w:val="000000"/>
          <w:szCs w:val="30"/>
          <w:vertAlign w:val="superscript"/>
        </w:rPr>
        <w:t>[10-12]</w:t>
      </w:r>
      <w:r w:rsidR="00AD38F6" w:rsidRPr="0042521B">
        <w:rPr>
          <w:rFonts w:ascii="Book Antiqua" w:hAnsi="Book Antiqua" w:cs="Book Antiqua" w:hint="eastAsia"/>
          <w:color w:val="000000"/>
          <w:szCs w:val="30"/>
          <w:lang w:eastAsia="zh-CN"/>
        </w:rPr>
        <w:t>.</w:t>
      </w:r>
    </w:p>
    <w:p w14:paraId="139F8272" w14:textId="77777777" w:rsidR="00A77B3E" w:rsidRPr="0042521B" w:rsidRDefault="004E3328" w:rsidP="00AD38F6">
      <w:pPr>
        <w:spacing w:line="360" w:lineRule="auto"/>
        <w:ind w:firstLineChars="100" w:firstLine="240"/>
        <w:jc w:val="both"/>
      </w:pPr>
      <w:r w:rsidRPr="0042521B">
        <w:rPr>
          <w:rFonts w:ascii="Book Antiqua" w:eastAsia="Book Antiqua" w:hAnsi="Book Antiqua" w:cs="Book Antiqua"/>
          <w:color w:val="000000"/>
        </w:rPr>
        <w:t xml:space="preserve">In our previous reports, </w:t>
      </w:r>
      <w:bookmarkStart w:id="9" w:name="OLE_LINK19"/>
      <w:bookmarkStart w:id="10" w:name="OLE_LINK20"/>
      <w:bookmarkStart w:id="11" w:name="OLE_LINK50"/>
      <w:r w:rsidRPr="0042521B">
        <w:rPr>
          <w:rFonts w:ascii="Book Antiqua" w:eastAsia="Book Antiqua" w:hAnsi="Book Antiqua" w:cs="Book Antiqua"/>
          <w:color w:val="000000"/>
        </w:rPr>
        <w:t>second-look endoscopy</w:t>
      </w:r>
      <w:bookmarkEnd w:id="9"/>
      <w:bookmarkEnd w:id="10"/>
      <w:bookmarkEnd w:id="11"/>
      <w:r w:rsidRPr="0042521B">
        <w:rPr>
          <w:rFonts w:ascii="Book Antiqua" w:eastAsia="Book Antiqua" w:hAnsi="Book Antiqua" w:cs="Book Antiqua"/>
          <w:color w:val="000000"/>
        </w:rPr>
        <w:t xml:space="preserve"> (SLE) on postoperative day (POD) 1 was performed in all cases of gastric ESD</w:t>
      </w:r>
      <w:r w:rsidR="00AD38F6" w:rsidRPr="0042521B">
        <w:rPr>
          <w:rFonts w:ascii="Book Antiqua" w:eastAsia="Book Antiqua" w:hAnsi="Book Antiqua" w:cs="Book Antiqua"/>
          <w:color w:val="000000"/>
          <w:szCs w:val="30"/>
          <w:vertAlign w:val="superscript"/>
        </w:rPr>
        <w:t>[5</w:t>
      </w:r>
      <w:r w:rsidR="00AD38F6" w:rsidRPr="0042521B">
        <w:rPr>
          <w:rFonts w:ascii="Book Antiqua" w:hAnsi="Book Antiqua" w:cs="Book Antiqua" w:hint="eastAsia"/>
          <w:color w:val="000000"/>
          <w:szCs w:val="30"/>
          <w:vertAlign w:val="superscript"/>
          <w:lang w:eastAsia="zh-CN"/>
        </w:rPr>
        <w:t>,</w:t>
      </w:r>
      <w:r w:rsidRPr="0042521B">
        <w:rPr>
          <w:rFonts w:ascii="Book Antiqua" w:eastAsia="Book Antiqua" w:hAnsi="Book Antiqua" w:cs="Book Antiqua"/>
          <w:color w:val="000000"/>
          <w:szCs w:val="30"/>
          <w:vertAlign w:val="superscript"/>
        </w:rPr>
        <w:t>6]</w:t>
      </w:r>
      <w:r w:rsidR="00AD38F6"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Therefore, we anticipated that the addition of third-look endoscopy (TLE) could prevent PDB in patients under ATT; as such, we attempted to verify its efficacy in this prospective study.</w:t>
      </w:r>
    </w:p>
    <w:p w14:paraId="695C0B34" w14:textId="77777777" w:rsidR="00A77B3E" w:rsidRPr="0042521B" w:rsidRDefault="00A77B3E" w:rsidP="001D0B88">
      <w:pPr>
        <w:spacing w:line="360" w:lineRule="auto"/>
        <w:jc w:val="both"/>
      </w:pPr>
    </w:p>
    <w:p w14:paraId="0B26C826" w14:textId="77777777" w:rsidR="00A77B3E" w:rsidRPr="0042521B" w:rsidRDefault="004E3328">
      <w:pPr>
        <w:spacing w:line="360" w:lineRule="auto"/>
        <w:jc w:val="both"/>
      </w:pPr>
      <w:r w:rsidRPr="0042521B">
        <w:rPr>
          <w:rFonts w:ascii="Book Antiqua" w:eastAsia="Book Antiqua" w:hAnsi="Book Antiqua" w:cs="Book Antiqua"/>
          <w:b/>
          <w:caps/>
          <w:color w:val="000000"/>
          <w:u w:val="single"/>
        </w:rPr>
        <w:t>MATERIALS AND METHODS</w:t>
      </w:r>
    </w:p>
    <w:p w14:paraId="69D90FC0"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Study design</w:t>
      </w:r>
    </w:p>
    <w:p w14:paraId="473E308F" w14:textId="77777777" w:rsidR="00A77B3E" w:rsidRPr="0042521B" w:rsidRDefault="004E3328">
      <w:pPr>
        <w:spacing w:line="360" w:lineRule="auto"/>
        <w:jc w:val="both"/>
      </w:pPr>
      <w:r w:rsidRPr="0042521B">
        <w:rPr>
          <w:rFonts w:ascii="Book Antiqua" w:eastAsia="Book Antiqua" w:hAnsi="Book Antiqua" w:cs="Book Antiqua"/>
          <w:color w:val="000000"/>
        </w:rPr>
        <w:t>This study was designed as a phase II trial in a single center and was approved by the Clinical Ethics Committee of Yokohama City University Graduate School of Medicine, conforming to the Helsinki Declaration. The study is registered in the UMIN Clinical Trials Registry System (</w:t>
      </w:r>
      <w:bookmarkStart w:id="12" w:name="OLE_LINK2390"/>
      <w:bookmarkStart w:id="13" w:name="OLE_LINK2391"/>
      <w:r w:rsidRPr="0042521B">
        <w:rPr>
          <w:rFonts w:ascii="Book Antiqua" w:eastAsia="Book Antiqua" w:hAnsi="Book Antiqua" w:cs="Book Antiqua"/>
          <w:color w:val="000000"/>
        </w:rPr>
        <w:t>000025607</w:t>
      </w:r>
      <w:bookmarkEnd w:id="12"/>
      <w:bookmarkEnd w:id="13"/>
      <w:r w:rsidRPr="0042521B">
        <w:rPr>
          <w:rFonts w:ascii="Book Antiqua" w:eastAsia="Book Antiqua" w:hAnsi="Book Antiqua" w:cs="Book Antiqua"/>
          <w:color w:val="000000"/>
        </w:rPr>
        <w:t xml:space="preserve">). All patients provided written informed consent </w:t>
      </w:r>
      <w:r w:rsidRPr="0042521B">
        <w:rPr>
          <w:rFonts w:ascii="Book Antiqua" w:eastAsia="Book Antiqua" w:hAnsi="Book Antiqua" w:cs="Book Antiqua"/>
          <w:color w:val="000000"/>
        </w:rPr>
        <w:lastRenderedPageBreak/>
        <w:t xml:space="preserve">before undergoing ESD. We enrolled patients with </w:t>
      </w:r>
      <w:r w:rsidR="00DE4270" w:rsidRPr="0042521B">
        <w:rPr>
          <w:rFonts w:ascii="Book Antiqua" w:hAnsi="Book Antiqua" w:cs="Book Antiqua" w:hint="eastAsia"/>
          <w:color w:val="000000"/>
          <w:lang w:eastAsia="zh-CN"/>
        </w:rPr>
        <w:t>EGC</w:t>
      </w:r>
      <w:r w:rsidRPr="0042521B">
        <w:rPr>
          <w:rFonts w:ascii="Book Antiqua" w:eastAsia="Book Antiqua" w:hAnsi="Book Antiqua" w:cs="Book Antiqua"/>
          <w:color w:val="000000"/>
        </w:rPr>
        <w:t xml:space="preserve"> receiving antithrombotic agents, and TLE was added to conventional ESD, including SLE, in all participants.</w:t>
      </w:r>
    </w:p>
    <w:p w14:paraId="37D9C8CC" w14:textId="77777777" w:rsidR="00A77B3E" w:rsidRPr="0042521B" w:rsidRDefault="00A77B3E">
      <w:pPr>
        <w:spacing w:line="360" w:lineRule="auto"/>
        <w:jc w:val="both"/>
      </w:pPr>
    </w:p>
    <w:p w14:paraId="38F914B3"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Study protocol</w:t>
      </w:r>
    </w:p>
    <w:p w14:paraId="469BE1A8" w14:textId="7D55A99B" w:rsidR="00A77B3E" w:rsidRPr="0042521B" w:rsidRDefault="004E3328">
      <w:pPr>
        <w:spacing w:line="360" w:lineRule="auto"/>
        <w:jc w:val="both"/>
      </w:pPr>
      <w:r w:rsidRPr="0042521B">
        <w:rPr>
          <w:rFonts w:ascii="Book Antiqua" w:eastAsia="Book Antiqua" w:hAnsi="Book Antiqua" w:cs="Book Antiqua"/>
          <w:color w:val="000000"/>
        </w:rPr>
        <w:t>The flow chart of the study protocol is shown in Figure 1. Patients received an oral potassium-competitive acid blocker (</w:t>
      </w:r>
      <w:r w:rsidRPr="0042521B">
        <w:rPr>
          <w:rFonts w:ascii="Book Antiqua" w:eastAsia="Book Antiqua" w:hAnsi="Book Antiqua" w:cs="Book Antiqua"/>
          <w:color w:val="000000"/>
          <w:shd w:val="clear" w:color="auto" w:fill="FFFFFF"/>
        </w:rPr>
        <w:t>vonoprazan</w:t>
      </w:r>
      <w:r w:rsidRPr="0042521B">
        <w:rPr>
          <w:rFonts w:ascii="Book Antiqua" w:eastAsia="Book Antiqua" w:hAnsi="Book Antiqua" w:cs="Book Antiqua"/>
          <w:color w:val="000000"/>
        </w:rPr>
        <w:t>, 20 mg/d) on the day before the ESD. After ESD treatment (POD 0), SLE was performed on POD 1 to check the condition of the artificial ulcers; if blood oozing or exposed blood vessels (Forrest classification 1b, 2a) were confirmed, prophylactic hemostasis for electrocoagulation was provided. Fluid intakes were resumed 2 h after SLE, and liquid meals were reinstated on POD 2. TLE was performed on POD 5, and endoscopic hemostasis was augmented the same as SLE. If POD 5 was a hospital holiday, we performed TLE either on the previous or the next day (POD 4 or POD 6). Patients without any adverse events were discharged on POD 6. The potassium-competitive acid blocker was continued for at least eight weeks after ESD.</w:t>
      </w:r>
    </w:p>
    <w:p w14:paraId="652CC092" w14:textId="77777777" w:rsidR="00A77B3E" w:rsidRPr="0042521B" w:rsidRDefault="00A77B3E">
      <w:pPr>
        <w:spacing w:line="360" w:lineRule="auto"/>
        <w:jc w:val="both"/>
      </w:pPr>
    </w:p>
    <w:p w14:paraId="00E49961"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Study outcomes</w:t>
      </w:r>
    </w:p>
    <w:p w14:paraId="5CDCC6C6" w14:textId="77777777" w:rsidR="00A77B3E" w:rsidRPr="0042521B" w:rsidRDefault="004E3328">
      <w:pPr>
        <w:spacing w:line="360" w:lineRule="auto"/>
        <w:jc w:val="both"/>
      </w:pPr>
      <w:r w:rsidRPr="0042521B">
        <w:rPr>
          <w:rFonts w:ascii="Book Antiqua" w:eastAsia="Book Antiqua" w:hAnsi="Book Antiqua" w:cs="Book Antiqua"/>
          <w:color w:val="000000"/>
        </w:rPr>
        <w:t>The primary endpoint was the overall PDB rate in patients with TLE. Additionally, we divided the bleeding period into early and late-onset PDB (E-PDB: bleeding before POD 5; L-PDB: bleeding after POD 6, respectively) as a sub-analysis of the primary endpoint. As a secondary analysis, we compared the PDB rate with a historical control group of 109 patients (132 specimens) subjected to conventional ESD under ATT in our institution from January 2014 to January 2017, using propensity score matching to adjust the baseline characteristics of the two groups. Finally,</w:t>
      </w:r>
      <w:r w:rsidRPr="0042521B">
        <w:rPr>
          <w:rFonts w:ascii="Book Antiqua" w:eastAsia="Book Antiqua" w:hAnsi="Book Antiqua" w:cs="Book Antiqua"/>
          <w:color w:val="000000"/>
          <w:szCs w:val="21"/>
        </w:rPr>
        <w:t xml:space="preserve"> </w:t>
      </w:r>
      <w:r w:rsidRPr="0042521B">
        <w:rPr>
          <w:rFonts w:ascii="Book Antiqua" w:eastAsia="Book Antiqua" w:hAnsi="Book Antiqua" w:cs="Book Antiqua"/>
          <w:color w:val="000000"/>
        </w:rPr>
        <w:t>we calculated the PDB rates per antithrombotic agent used in each group.</w:t>
      </w:r>
    </w:p>
    <w:p w14:paraId="1CC27E0A" w14:textId="77777777" w:rsidR="00A77B3E" w:rsidRPr="0042521B" w:rsidRDefault="00A77B3E">
      <w:pPr>
        <w:spacing w:line="360" w:lineRule="auto"/>
        <w:jc w:val="both"/>
      </w:pPr>
    </w:p>
    <w:p w14:paraId="6C69F7FB"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Participants</w:t>
      </w:r>
    </w:p>
    <w:p w14:paraId="385B5AC9" w14:textId="7EB0DC78" w:rsidR="00A77B3E" w:rsidRPr="0042521B" w:rsidRDefault="004E3328">
      <w:pPr>
        <w:spacing w:line="360" w:lineRule="auto"/>
        <w:jc w:val="both"/>
      </w:pPr>
      <w:r w:rsidRPr="0042521B">
        <w:rPr>
          <w:rFonts w:ascii="Book Antiqua" w:eastAsia="Book Antiqua" w:hAnsi="Book Antiqua" w:cs="Book Antiqua"/>
          <w:color w:val="000000"/>
        </w:rPr>
        <w:t>We enrolled</w:t>
      </w:r>
      <w:r w:rsidR="00D46AA0" w:rsidRPr="0042521B">
        <w:rPr>
          <w:rFonts w:ascii="Book Antiqua" w:hAnsi="Book Antiqua" w:cs="Book Antiqua" w:hint="eastAsia"/>
          <w:color w:val="000000"/>
          <w:lang w:eastAsia="zh-CN"/>
        </w:rPr>
        <w:t xml:space="preserve"> </w:t>
      </w:r>
      <w:r w:rsidR="00D46AA0" w:rsidRPr="0042521B">
        <w:rPr>
          <w:rFonts w:ascii="Book Antiqua" w:eastAsia="Book Antiqua" w:hAnsi="Book Antiqua" w:cs="Book Antiqua"/>
          <w:color w:val="000000"/>
        </w:rPr>
        <w:t xml:space="preserve">100 </w:t>
      </w:r>
      <w:r w:rsidRPr="0042521B">
        <w:rPr>
          <w:rFonts w:ascii="Book Antiqua" w:eastAsia="Book Antiqua" w:hAnsi="Book Antiqua" w:cs="Book Antiqua"/>
          <w:color w:val="000000"/>
        </w:rPr>
        <w:t>consecutive patients &gt;</w:t>
      </w:r>
      <w:r w:rsidR="007603ED" w:rsidRPr="0042521B">
        <w:rPr>
          <w:rFonts w:ascii="Book Antiqua" w:hAnsi="Book Antiqua" w:cs="Book Antiqua" w:hint="eastAsia"/>
          <w:color w:val="000000"/>
          <w:lang w:eastAsia="zh-CN"/>
        </w:rPr>
        <w:t xml:space="preserve"> </w:t>
      </w:r>
      <w:r w:rsidRPr="0042521B">
        <w:rPr>
          <w:rFonts w:ascii="Book Antiqua" w:eastAsia="Book Antiqua" w:hAnsi="Book Antiqua" w:cs="Book Antiqua"/>
          <w:color w:val="000000"/>
        </w:rPr>
        <w:t xml:space="preserve">20 years old with early gastric neoplasms receiving antithrombotic agents between February 2017 and July 2019. The indication </w:t>
      </w:r>
      <w:r w:rsidR="007603ED" w:rsidRPr="0042521B">
        <w:rPr>
          <w:rFonts w:ascii="Book Antiqua" w:eastAsia="Book Antiqua" w:hAnsi="Book Antiqua" w:cs="Book Antiqua"/>
          <w:color w:val="000000"/>
        </w:rPr>
        <w:lastRenderedPageBreak/>
        <w:t>for gastric ESD included</w:t>
      </w:r>
      <w:r w:rsidR="007603ED" w:rsidRPr="0042521B">
        <w:rPr>
          <w:rFonts w:ascii="Book Antiqua" w:hAnsi="Book Antiqua" w:cs="Book Antiqua" w:hint="eastAsia"/>
          <w:color w:val="000000"/>
          <w:lang w:eastAsia="zh-CN"/>
        </w:rPr>
        <w:t>:</w:t>
      </w:r>
      <w:r w:rsidR="007603ED" w:rsidRPr="0042521B">
        <w:rPr>
          <w:rFonts w:ascii="Book Antiqua" w:eastAsia="Book Antiqua" w:hAnsi="Book Antiqua" w:cs="Book Antiqua"/>
          <w:color w:val="000000"/>
        </w:rPr>
        <w:t xml:space="preserve"> (</w:t>
      </w:r>
      <w:r w:rsidR="007603ED" w:rsidRPr="0042521B">
        <w:rPr>
          <w:rFonts w:ascii="Book Antiqua" w:hAnsi="Book Antiqua" w:cs="Book Antiqua" w:hint="eastAsia"/>
          <w:color w:val="000000"/>
          <w:lang w:eastAsia="zh-CN"/>
        </w:rPr>
        <w:t>1</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A</w:t>
      </w:r>
      <w:r w:rsidRPr="0042521B">
        <w:rPr>
          <w:rFonts w:ascii="Book Antiqua" w:eastAsia="Book Antiqua" w:hAnsi="Book Antiqua" w:cs="Book Antiqua"/>
          <w:color w:val="000000"/>
        </w:rPr>
        <w:t>denoma and intestinal-type mucosal cancer lesions of any size without ulcers;</w:t>
      </w:r>
      <w:r w:rsidR="007603ED" w:rsidRPr="0042521B">
        <w:rPr>
          <w:rFonts w:ascii="Book Antiqua" w:eastAsia="Book Antiqua" w:hAnsi="Book Antiqua" w:cs="Book Antiqua"/>
          <w:color w:val="000000"/>
        </w:rPr>
        <w:t xml:space="preserve"> (</w:t>
      </w:r>
      <w:r w:rsidR="007603ED" w:rsidRPr="0042521B">
        <w:rPr>
          <w:rFonts w:ascii="Book Antiqua" w:hAnsi="Book Antiqua" w:cs="Book Antiqua" w:hint="eastAsia"/>
          <w:color w:val="000000"/>
          <w:lang w:eastAsia="zh-CN"/>
        </w:rPr>
        <w:t>2</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D</w:t>
      </w:r>
      <w:r w:rsidRPr="0042521B">
        <w:rPr>
          <w:rFonts w:ascii="Book Antiqua" w:eastAsia="Book Antiqua" w:hAnsi="Book Antiqua" w:cs="Book Antiqua"/>
          <w:color w:val="000000"/>
        </w:rPr>
        <w:t>ifferentiated mucosal cancer lesions ≤</w:t>
      </w:r>
      <w:r w:rsidR="007603ED" w:rsidRPr="0042521B">
        <w:rPr>
          <w:rFonts w:ascii="Book Antiqua" w:hAnsi="Book Antiqua" w:cs="Book Antiqua" w:hint="eastAsia"/>
          <w:color w:val="000000"/>
          <w:lang w:eastAsia="zh-CN"/>
        </w:rPr>
        <w:t xml:space="preserve"> </w:t>
      </w:r>
      <w:r w:rsidR="007603ED" w:rsidRPr="0042521B">
        <w:rPr>
          <w:rFonts w:ascii="Book Antiqua" w:eastAsia="Book Antiqua" w:hAnsi="Book Antiqua" w:cs="Book Antiqua"/>
          <w:color w:val="000000"/>
        </w:rPr>
        <w:t>3 cm with ulcers; (</w:t>
      </w:r>
      <w:r w:rsidR="007603ED" w:rsidRPr="0042521B">
        <w:rPr>
          <w:rFonts w:ascii="Book Antiqua" w:hAnsi="Book Antiqua" w:cs="Book Antiqua" w:hint="eastAsia"/>
          <w:color w:val="000000"/>
          <w:lang w:eastAsia="zh-CN"/>
        </w:rPr>
        <w:t>3</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U</w:t>
      </w:r>
      <w:r w:rsidRPr="0042521B">
        <w:rPr>
          <w:rFonts w:ascii="Book Antiqua" w:eastAsia="Book Antiqua" w:hAnsi="Book Antiqua" w:cs="Book Antiqua"/>
          <w:color w:val="000000"/>
        </w:rPr>
        <w:t>ndifferentiated mucosal cancer ≤</w:t>
      </w:r>
      <w:r w:rsidR="007603ED" w:rsidRPr="0042521B">
        <w:rPr>
          <w:rFonts w:ascii="Book Antiqua" w:hAnsi="Book Antiqua" w:cs="Book Antiqua" w:hint="eastAsia"/>
          <w:color w:val="000000"/>
          <w:lang w:eastAsia="zh-CN"/>
        </w:rPr>
        <w:t xml:space="preserve"> </w:t>
      </w:r>
      <w:r w:rsidRPr="0042521B">
        <w:rPr>
          <w:rFonts w:ascii="Book Antiqua" w:eastAsia="Book Antiqua" w:hAnsi="Book Antiqua" w:cs="Book Antiqua"/>
          <w:color w:val="000000"/>
        </w:rPr>
        <w:t>2 cm in size without ulcers</w:t>
      </w:r>
      <w:r w:rsidR="001E2F5E" w:rsidRPr="0042521B">
        <w:rPr>
          <w:rFonts w:ascii="Book Antiqua" w:eastAsia="Book Antiqua" w:hAnsi="Book Antiqua" w:cs="Book Antiqua"/>
          <w:color w:val="000000"/>
          <w:szCs w:val="30"/>
          <w:vertAlign w:val="superscript"/>
        </w:rPr>
        <w:t>[13</w:t>
      </w:r>
      <w:r w:rsidR="001E2F5E" w:rsidRPr="0042521B">
        <w:rPr>
          <w:rFonts w:ascii="Book Antiqua" w:hAnsi="Book Antiqua" w:cs="Book Antiqua" w:hint="eastAsia"/>
          <w:color w:val="000000"/>
          <w:szCs w:val="30"/>
          <w:vertAlign w:val="superscript"/>
          <w:lang w:eastAsia="zh-CN"/>
        </w:rPr>
        <w:t>,</w:t>
      </w:r>
      <w:r w:rsidRPr="0042521B">
        <w:rPr>
          <w:rFonts w:ascii="Book Antiqua" w:eastAsia="Book Antiqua" w:hAnsi="Book Antiqua" w:cs="Book Antiqua"/>
          <w:color w:val="000000"/>
          <w:szCs w:val="30"/>
          <w:vertAlign w:val="superscript"/>
        </w:rPr>
        <w:t>14]</w:t>
      </w:r>
      <w:r w:rsidR="007603ED" w:rsidRPr="0042521B">
        <w:rPr>
          <w:rFonts w:ascii="Book Antiqua" w:hAnsi="Book Antiqua" w:cs="Book Antiqua" w:hint="eastAsia"/>
          <w:color w:val="000000"/>
          <w:szCs w:val="30"/>
          <w:lang w:eastAsia="zh-CN"/>
        </w:rPr>
        <w:t>;</w:t>
      </w:r>
      <w:r w:rsidR="007603ED" w:rsidRPr="0042521B">
        <w:rPr>
          <w:rFonts w:ascii="Book Antiqua" w:eastAsia="Book Antiqua" w:hAnsi="Book Antiqua" w:cs="Book Antiqua"/>
          <w:color w:val="000000"/>
        </w:rPr>
        <w:t xml:space="preserve"> and (</w:t>
      </w:r>
      <w:r w:rsidR="007603ED" w:rsidRPr="0042521B">
        <w:rPr>
          <w:rFonts w:ascii="Book Antiqua" w:hAnsi="Book Antiqua" w:cs="Book Antiqua" w:hint="eastAsia"/>
          <w:color w:val="000000"/>
          <w:lang w:eastAsia="zh-CN"/>
        </w:rPr>
        <w:t>4</w:t>
      </w:r>
      <w:r w:rsidRPr="0042521B">
        <w:rPr>
          <w:rFonts w:ascii="Book Antiqua" w:eastAsia="Book Antiqua" w:hAnsi="Book Antiqua" w:cs="Book Antiqua"/>
          <w:color w:val="000000"/>
        </w:rPr>
        <w:t>) no evidence of either lymph node or distant metastasis confirmed by preoperative computed tomography. Patient</w:t>
      </w:r>
      <w:r w:rsidR="006362C3" w:rsidRPr="0042521B">
        <w:rPr>
          <w:rFonts w:ascii="Book Antiqua" w:eastAsia="Book Antiqua" w:hAnsi="Book Antiqua" w:cs="Book Antiqua"/>
          <w:color w:val="000000"/>
        </w:rPr>
        <w:t>s were excluded if they: (</w:t>
      </w:r>
      <w:r w:rsidR="006362C3" w:rsidRPr="0042521B">
        <w:rPr>
          <w:rFonts w:ascii="Book Antiqua" w:hAnsi="Book Antiqua" w:cs="Book Antiqua" w:hint="eastAsia"/>
          <w:color w:val="000000"/>
          <w:lang w:eastAsia="zh-CN"/>
        </w:rPr>
        <w:t>1</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H</w:t>
      </w:r>
      <w:r w:rsidRPr="0042521B">
        <w:rPr>
          <w:rFonts w:ascii="Book Antiqua" w:eastAsia="Book Antiqua" w:hAnsi="Book Antiqua" w:cs="Book Antiqua"/>
          <w:color w:val="000000"/>
        </w:rPr>
        <w:t>ad lesions in the remnant stomach and underwent type B-1 or 2 reconstruction distal gastrectomy and gastric tube reconstructio</w:t>
      </w:r>
      <w:r w:rsidR="006362C3" w:rsidRPr="0042521B">
        <w:rPr>
          <w:rFonts w:ascii="Book Antiqua" w:eastAsia="Book Antiqua" w:hAnsi="Book Antiqua" w:cs="Book Antiqua"/>
          <w:color w:val="000000"/>
        </w:rPr>
        <w:t>n after lower esophagectomy; (</w:t>
      </w:r>
      <w:r w:rsidR="006362C3" w:rsidRPr="0042521B">
        <w:rPr>
          <w:rFonts w:ascii="Book Antiqua" w:hAnsi="Book Antiqua" w:cs="Book Antiqua" w:hint="eastAsia"/>
          <w:color w:val="000000"/>
          <w:lang w:eastAsia="zh-CN"/>
        </w:rPr>
        <w:t>2</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H</w:t>
      </w:r>
      <w:r w:rsidRPr="0042521B">
        <w:rPr>
          <w:rFonts w:ascii="Book Antiqua" w:eastAsia="Book Antiqua" w:hAnsi="Book Antiqua" w:cs="Book Antiqua"/>
          <w:color w:val="000000"/>
        </w:rPr>
        <w:t>ad infectious diseases re</w:t>
      </w:r>
      <w:r w:rsidR="006362C3" w:rsidRPr="0042521B">
        <w:rPr>
          <w:rFonts w:ascii="Book Antiqua" w:eastAsia="Book Antiqua" w:hAnsi="Book Antiqua" w:cs="Book Antiqua"/>
          <w:color w:val="000000"/>
        </w:rPr>
        <w:t>quiring systemic treatment; (</w:t>
      </w:r>
      <w:r w:rsidR="006362C3" w:rsidRPr="0042521B">
        <w:rPr>
          <w:rFonts w:ascii="Book Antiqua" w:hAnsi="Book Antiqua" w:cs="Book Antiqua" w:hint="eastAsia"/>
          <w:color w:val="000000"/>
          <w:lang w:eastAsia="zh-CN"/>
        </w:rPr>
        <w:t>3</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W</w:t>
      </w:r>
      <w:r w:rsidRPr="0042521B">
        <w:rPr>
          <w:rFonts w:ascii="Book Antiqua" w:eastAsia="Book Antiqua" w:hAnsi="Book Antiqua" w:cs="Book Antiqua"/>
          <w:color w:val="000000"/>
        </w:rPr>
        <w:t>ere either pr</w:t>
      </w:r>
      <w:r w:rsidR="006362C3" w:rsidRPr="0042521B">
        <w:rPr>
          <w:rFonts w:ascii="Book Antiqua" w:eastAsia="Book Antiqua" w:hAnsi="Book Antiqua" w:cs="Book Antiqua"/>
          <w:color w:val="000000"/>
        </w:rPr>
        <w:t>egnant or possibly pregnant; (</w:t>
      </w:r>
      <w:r w:rsidR="006362C3" w:rsidRPr="0042521B">
        <w:rPr>
          <w:rFonts w:ascii="Book Antiqua" w:hAnsi="Book Antiqua" w:cs="Book Antiqua" w:hint="eastAsia"/>
          <w:color w:val="000000"/>
          <w:lang w:eastAsia="zh-CN"/>
        </w:rPr>
        <w:t>4</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H</w:t>
      </w:r>
      <w:r w:rsidRPr="0042521B">
        <w:rPr>
          <w:rFonts w:ascii="Book Antiqua" w:eastAsia="Book Antiqua" w:hAnsi="Book Antiqua" w:cs="Book Antiqua"/>
          <w:color w:val="000000"/>
        </w:rPr>
        <w:t>ad comorbidities such as psychiatric disorders and dementia that made it difficult to confirm th</w:t>
      </w:r>
      <w:r w:rsidR="006362C3" w:rsidRPr="0042521B">
        <w:rPr>
          <w:rFonts w:ascii="Book Antiqua" w:eastAsia="Book Antiqua" w:hAnsi="Book Antiqua" w:cs="Book Antiqua"/>
          <w:color w:val="000000"/>
        </w:rPr>
        <w:t>eir intention to participate; (</w:t>
      </w:r>
      <w:r w:rsidR="006362C3" w:rsidRPr="0042521B">
        <w:rPr>
          <w:rFonts w:ascii="Book Antiqua" w:hAnsi="Book Antiqua" w:cs="Book Antiqua" w:hint="eastAsia"/>
          <w:color w:val="000000"/>
          <w:lang w:eastAsia="zh-CN"/>
        </w:rPr>
        <w:t>5</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H</w:t>
      </w:r>
      <w:r w:rsidRPr="0042521B">
        <w:rPr>
          <w:rFonts w:ascii="Book Antiqua" w:eastAsia="Book Antiqua" w:hAnsi="Book Antiqua" w:cs="Book Antiqua"/>
          <w:color w:val="000000"/>
        </w:rPr>
        <w:t xml:space="preserve">ad unstable angina developed within the last 3 wk or myocardial infarction within </w:t>
      </w:r>
      <w:r w:rsidR="006362C3" w:rsidRPr="0042521B">
        <w:rPr>
          <w:rFonts w:ascii="Book Antiqua" w:eastAsia="Book Antiqua" w:hAnsi="Book Antiqua" w:cs="Book Antiqua"/>
          <w:color w:val="000000"/>
        </w:rPr>
        <w:t>6 mo; (</w:t>
      </w:r>
      <w:r w:rsidR="006362C3" w:rsidRPr="0042521B">
        <w:rPr>
          <w:rFonts w:ascii="Book Antiqua" w:hAnsi="Book Antiqua" w:cs="Book Antiqua" w:hint="eastAsia"/>
          <w:color w:val="000000"/>
          <w:lang w:eastAsia="zh-CN"/>
        </w:rPr>
        <w:t>6</w:t>
      </w:r>
      <w:r w:rsidRPr="0042521B">
        <w:rPr>
          <w:rFonts w:ascii="Book Antiqua" w:eastAsia="Book Antiqua" w:hAnsi="Book Antiqua" w:cs="Book Antiqua"/>
          <w:color w:val="000000"/>
        </w:rPr>
        <w:t>) had respiratory disease requiring contin</w:t>
      </w:r>
      <w:r w:rsidR="006362C3" w:rsidRPr="0042521B">
        <w:rPr>
          <w:rFonts w:ascii="Book Antiqua" w:eastAsia="Book Antiqua" w:hAnsi="Book Antiqua" w:cs="Book Antiqua"/>
          <w:color w:val="000000"/>
        </w:rPr>
        <w:t>uous oxygen administration; (</w:t>
      </w:r>
      <w:r w:rsidR="006362C3" w:rsidRPr="0042521B">
        <w:rPr>
          <w:rFonts w:ascii="Book Antiqua" w:hAnsi="Book Antiqua" w:cs="Book Antiqua" w:hint="eastAsia"/>
          <w:color w:val="000000"/>
          <w:lang w:eastAsia="zh-CN"/>
        </w:rPr>
        <w:t>7</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H</w:t>
      </w:r>
      <w:r w:rsidRPr="0042521B">
        <w:rPr>
          <w:rFonts w:ascii="Book Antiqua" w:eastAsia="Book Antiqua" w:hAnsi="Book Antiqua" w:cs="Book Antiqua"/>
          <w:color w:val="000000"/>
        </w:rPr>
        <w:t xml:space="preserve">ad </w:t>
      </w:r>
      <w:r w:rsidR="006362C3" w:rsidRPr="0042521B">
        <w:rPr>
          <w:rFonts w:ascii="Book Antiqua" w:eastAsia="Book Antiqua" w:hAnsi="Book Antiqua" w:cs="Book Antiqua"/>
          <w:color w:val="000000"/>
        </w:rPr>
        <w:t>uncontrolled hypertension; (</w:t>
      </w:r>
      <w:r w:rsidR="006362C3" w:rsidRPr="0042521B">
        <w:rPr>
          <w:rFonts w:ascii="Book Antiqua" w:hAnsi="Book Antiqua" w:cs="Book Antiqua" w:hint="eastAsia"/>
          <w:color w:val="000000"/>
          <w:lang w:eastAsia="zh-CN"/>
        </w:rPr>
        <w:t>8</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H</w:t>
      </w:r>
      <w:r w:rsidRPr="0042521B">
        <w:rPr>
          <w:rFonts w:ascii="Book Antiqua" w:eastAsia="Book Antiqua" w:hAnsi="Book Antiqua" w:cs="Book Antiqua"/>
          <w:color w:val="000000"/>
        </w:rPr>
        <w:t>a</w:t>
      </w:r>
      <w:r w:rsidR="006362C3" w:rsidRPr="0042521B">
        <w:rPr>
          <w:rFonts w:ascii="Book Antiqua" w:eastAsia="Book Antiqua" w:hAnsi="Book Antiqua" w:cs="Book Antiqua"/>
          <w:color w:val="000000"/>
        </w:rPr>
        <w:t>d uncontrolled diabetes; (</w:t>
      </w:r>
      <w:r w:rsidR="006362C3" w:rsidRPr="0042521B">
        <w:rPr>
          <w:rFonts w:ascii="Book Antiqua" w:hAnsi="Book Antiqua" w:cs="Book Antiqua" w:hint="eastAsia"/>
          <w:color w:val="000000"/>
          <w:lang w:eastAsia="zh-CN"/>
        </w:rPr>
        <w:t>9</w:t>
      </w:r>
      <w:r w:rsidRPr="0042521B">
        <w:rPr>
          <w:rFonts w:ascii="Book Antiqua" w:eastAsia="Book Antiqua" w:hAnsi="Book Antiqua" w:cs="Book Antiqua"/>
          <w:color w:val="000000"/>
        </w:rPr>
        <w:t xml:space="preserve">) </w:t>
      </w:r>
      <w:r w:rsidR="0045211B" w:rsidRPr="0042521B">
        <w:rPr>
          <w:rFonts w:ascii="Book Antiqua" w:hAnsi="Book Antiqua" w:cs="Book Antiqua" w:hint="eastAsia"/>
          <w:color w:val="000000"/>
          <w:lang w:eastAsia="zh-CN"/>
        </w:rPr>
        <w:t>H</w:t>
      </w:r>
      <w:r w:rsidRPr="0042521B">
        <w:rPr>
          <w:rFonts w:ascii="Book Antiqua" w:eastAsia="Book Antiqua" w:hAnsi="Book Antiqua" w:cs="Book Antiqua"/>
          <w:color w:val="000000"/>
        </w:rPr>
        <w:t xml:space="preserve">ad anemia requiring blood transfusion (hemoglobin &lt; 7.0 g/dL), a bleeding tendency (platelets &lt; </w:t>
      </w:r>
      <w:r w:rsidR="006362C3" w:rsidRPr="0042521B">
        <w:rPr>
          <w:rFonts w:ascii="Book Antiqua" w:eastAsia="Book Antiqua" w:hAnsi="Book Antiqua" w:cs="Book Antiqua"/>
          <w:color w:val="000000"/>
        </w:rPr>
        <w:t>50000)</w:t>
      </w:r>
      <w:r w:rsidR="006362C3" w:rsidRPr="0042521B">
        <w:rPr>
          <w:rFonts w:ascii="Book Antiqua" w:hAnsi="Book Antiqua" w:cs="Book Antiqua" w:hint="eastAsia"/>
          <w:color w:val="000000"/>
          <w:lang w:eastAsia="zh-CN"/>
        </w:rPr>
        <w:t>;</w:t>
      </w:r>
      <w:r w:rsidR="006362C3" w:rsidRPr="0042521B">
        <w:rPr>
          <w:rFonts w:ascii="Book Antiqua" w:eastAsia="Book Antiqua" w:hAnsi="Book Antiqua" w:cs="Book Antiqua"/>
          <w:color w:val="000000"/>
        </w:rPr>
        <w:t xml:space="preserve"> </w:t>
      </w:r>
      <w:r w:rsidR="006362C3" w:rsidRPr="0042521B">
        <w:rPr>
          <w:rFonts w:ascii="Book Antiqua" w:hAnsi="Book Antiqua" w:cs="Book Antiqua" w:hint="eastAsia"/>
          <w:color w:val="000000"/>
          <w:lang w:eastAsia="zh-CN"/>
        </w:rPr>
        <w:t>and</w:t>
      </w:r>
      <w:r w:rsidRPr="0042521B">
        <w:rPr>
          <w:rFonts w:ascii="Book Antiqua" w:eastAsia="Book Antiqua" w:hAnsi="Book Antiqua" w:cs="Book Antiqua"/>
          <w:color w:val="000000"/>
        </w:rPr>
        <w:t xml:space="preserve"> (10) </w:t>
      </w:r>
      <w:r w:rsidR="0045211B" w:rsidRPr="0042521B">
        <w:rPr>
          <w:rFonts w:ascii="Book Antiqua" w:hAnsi="Book Antiqua" w:cs="Book Antiqua" w:hint="eastAsia"/>
          <w:color w:val="000000"/>
          <w:lang w:eastAsia="zh-CN"/>
        </w:rPr>
        <w:t>W</w:t>
      </w:r>
      <w:r w:rsidRPr="0042521B">
        <w:rPr>
          <w:rFonts w:ascii="Book Antiqua" w:eastAsia="Book Antiqua" w:hAnsi="Book Antiqua" w:cs="Book Antiqua"/>
          <w:color w:val="000000"/>
        </w:rPr>
        <w:t xml:space="preserve">ere judged to be inappropriate for this study by the attending physician. </w:t>
      </w:r>
    </w:p>
    <w:p w14:paraId="23B69B93" w14:textId="77777777" w:rsidR="00A77B3E" w:rsidRPr="0042521B" w:rsidRDefault="00A77B3E">
      <w:pPr>
        <w:spacing w:line="360" w:lineRule="auto"/>
        <w:jc w:val="both"/>
      </w:pPr>
    </w:p>
    <w:p w14:paraId="2F7B25FA"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Antithrombotic agents and their management</w:t>
      </w:r>
    </w:p>
    <w:p w14:paraId="226CBDEA" w14:textId="3FDA3921" w:rsidR="00A77B3E" w:rsidRPr="0042521B" w:rsidRDefault="004E3328">
      <w:pPr>
        <w:spacing w:line="360" w:lineRule="auto"/>
        <w:jc w:val="both"/>
        <w:rPr>
          <w:lang w:eastAsia="zh-CN"/>
        </w:rPr>
      </w:pPr>
      <w:r w:rsidRPr="0042521B">
        <w:rPr>
          <w:rFonts w:ascii="Book Antiqua" w:eastAsia="Book Antiqua" w:hAnsi="Book Antiqua" w:cs="Book Antiqua"/>
          <w:color w:val="000000"/>
        </w:rPr>
        <w:t xml:space="preserve">The antithrombotic agents included in this study were the following: </w:t>
      </w:r>
      <w:r w:rsidR="0045211B" w:rsidRPr="0042521B">
        <w:rPr>
          <w:rFonts w:ascii="Book Antiqua" w:hAnsi="Book Antiqua" w:cs="Book Antiqua" w:hint="eastAsia"/>
          <w:color w:val="000000"/>
          <w:lang w:eastAsia="zh-CN"/>
        </w:rPr>
        <w:t>A</w:t>
      </w:r>
      <w:r w:rsidRPr="0042521B">
        <w:rPr>
          <w:rFonts w:ascii="Book Antiqua" w:eastAsia="Book Antiqua" w:hAnsi="Book Antiqua" w:cs="Book Antiqua"/>
          <w:color w:val="000000"/>
        </w:rPr>
        <w:t xml:space="preserve">ntiplatelet agents (aspirin, thienopyridine, and cilostazol), anticoagulants [warfarin and </w:t>
      </w:r>
      <w:bookmarkStart w:id="14" w:name="OLE_LINK54"/>
      <w:bookmarkStart w:id="15" w:name="OLE_LINK55"/>
      <w:r w:rsidRPr="0042521B">
        <w:rPr>
          <w:rFonts w:ascii="Book Antiqua" w:eastAsia="Book Antiqua" w:hAnsi="Book Antiqua" w:cs="Book Antiqua"/>
          <w:color w:val="000000"/>
        </w:rPr>
        <w:t>direct oral anticoagulants</w:t>
      </w:r>
      <w:bookmarkEnd w:id="14"/>
      <w:bookmarkEnd w:id="15"/>
      <w:r w:rsidRPr="0042521B">
        <w:rPr>
          <w:rFonts w:ascii="Book Antiqua" w:eastAsia="Book Antiqua" w:hAnsi="Book Antiqua" w:cs="Book Antiqua"/>
          <w:color w:val="000000"/>
        </w:rPr>
        <w:t xml:space="preserve"> (DOAC)], and multiple antithrombotic agents [</w:t>
      </w:r>
      <w:r w:rsidRPr="0042521B">
        <w:rPr>
          <w:rFonts w:ascii="Book Antiqua" w:eastAsia="Book Antiqua" w:hAnsi="Book Antiqua" w:cs="Book Antiqua"/>
          <w:i/>
          <w:color w:val="000000"/>
        </w:rPr>
        <w:t>e.g.</w:t>
      </w:r>
      <w:r w:rsidRPr="0042521B">
        <w:rPr>
          <w:rFonts w:ascii="Book Antiqua" w:eastAsia="Book Antiqua" w:hAnsi="Book Antiqua" w:cs="Book Antiqua"/>
          <w:color w:val="000000"/>
        </w:rPr>
        <w:t>, dual antiplatelet therapy (DAPT), antiplatelet and anticoagulant agents], and were categorized accordingly. To determine drug continuation or withdrawal and resumption, we consulted the attending physician of the specialty department before planning the procedure and determined the feasibility of drug withdrawal and its duration according to the Japan Gastroenterological Endoscopy Society (JGES) guidelines</w:t>
      </w:r>
      <w:r w:rsidR="00615E82" w:rsidRPr="0042521B">
        <w:rPr>
          <w:rFonts w:ascii="Book Antiqua" w:eastAsia="Book Antiqua" w:hAnsi="Book Antiqua" w:cs="Book Antiqua"/>
          <w:color w:val="000000"/>
          <w:szCs w:val="30"/>
          <w:vertAlign w:val="superscript"/>
        </w:rPr>
        <w:t>[15,</w:t>
      </w:r>
      <w:r w:rsidRPr="0042521B">
        <w:rPr>
          <w:rFonts w:ascii="Book Antiqua" w:eastAsia="Book Antiqua" w:hAnsi="Book Antiqua" w:cs="Book Antiqua"/>
          <w:color w:val="000000"/>
          <w:szCs w:val="30"/>
          <w:vertAlign w:val="superscript"/>
        </w:rPr>
        <w:t>16]</w:t>
      </w:r>
      <w:r w:rsidR="00615E82"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however, our drug-specific retrospective large dataset indicated that antiplatelet agents do not significantly increase PDB rates after gastric ESD</w:t>
      </w:r>
      <w:r w:rsidRPr="0042521B">
        <w:rPr>
          <w:rFonts w:ascii="Book Antiqua" w:eastAsia="Book Antiqua" w:hAnsi="Book Antiqua" w:cs="Book Antiqua"/>
          <w:color w:val="000000"/>
          <w:szCs w:val="30"/>
          <w:vertAlign w:val="superscript"/>
        </w:rPr>
        <w:t>[6]</w:t>
      </w:r>
      <w:r w:rsidR="00615E82"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and that patients taking anticoagulants or DAPT have a high thrombotic risk. Additionally, the evidence level in JGES guidelines regarding the possibility of continuation and withdrawal of ATT is not </w:t>
      </w:r>
      <w:r w:rsidRPr="0042521B">
        <w:rPr>
          <w:rFonts w:ascii="Book Antiqua" w:eastAsia="Book Antiqua" w:hAnsi="Book Antiqua" w:cs="Book Antiqua"/>
          <w:color w:val="000000"/>
        </w:rPr>
        <w:lastRenderedPageBreak/>
        <w:t>so high. Therefore, we continued ATT as long as possible. If a patient discontinued an antithrombotic agent, we reinstated oral treatment from POD 2 onwards following SLE. Patients receiving warfarin were hospitalized the day before the ESD, and we confirmed the prothrombin time-international normalized ratio, thus adjusting warfarin dose to increase the activated partial thromboplastin time to 1.5</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2-times that of the pretreatment value. Heparin bridge therapy (HBT) was never used to substitute anticoagulant therapy or DAPT because of the poor evidence regarding thrombosis prevention and a higher PDB rate than that in our previous data</w:t>
      </w:r>
      <w:r w:rsidRPr="0042521B">
        <w:rPr>
          <w:rFonts w:ascii="Book Antiqua" w:eastAsia="Book Antiqua" w:hAnsi="Book Antiqua" w:cs="Book Antiqua"/>
          <w:color w:val="000000"/>
          <w:szCs w:val="30"/>
          <w:vertAlign w:val="superscript"/>
        </w:rPr>
        <w:t>[</w:t>
      </w:r>
      <w:r w:rsidR="00615E82" w:rsidRPr="0042521B">
        <w:rPr>
          <w:rFonts w:ascii="Book Antiqua" w:eastAsia="Book Antiqua" w:hAnsi="Book Antiqua" w:cs="Book Antiqua"/>
          <w:color w:val="000000"/>
          <w:szCs w:val="30"/>
          <w:vertAlign w:val="superscript"/>
        </w:rPr>
        <w:t>6,16</w:t>
      </w:r>
      <w:r w:rsidR="00615E82" w:rsidRPr="0042521B">
        <w:rPr>
          <w:rFonts w:ascii="Book Antiqua" w:hAnsi="Book Antiqua" w:cs="Book Antiqua" w:hint="eastAsia"/>
          <w:color w:val="000000"/>
          <w:szCs w:val="30"/>
          <w:vertAlign w:val="superscript"/>
          <w:lang w:eastAsia="zh-CN"/>
        </w:rPr>
        <w:t>,</w:t>
      </w:r>
      <w:r w:rsidRPr="0042521B">
        <w:rPr>
          <w:rFonts w:ascii="Book Antiqua" w:eastAsia="Book Antiqua" w:hAnsi="Book Antiqua" w:cs="Book Antiqua"/>
          <w:color w:val="000000"/>
          <w:szCs w:val="30"/>
          <w:vertAlign w:val="superscript"/>
        </w:rPr>
        <w:t>17]</w:t>
      </w:r>
      <w:r w:rsidR="00615E82" w:rsidRPr="0042521B">
        <w:rPr>
          <w:rFonts w:ascii="Book Antiqua" w:hAnsi="Book Antiqua" w:cs="Book Antiqua" w:hint="eastAsia"/>
          <w:color w:val="000000"/>
          <w:szCs w:val="30"/>
          <w:lang w:eastAsia="zh-CN"/>
        </w:rPr>
        <w:t>.</w:t>
      </w:r>
    </w:p>
    <w:p w14:paraId="40BE8888" w14:textId="77777777" w:rsidR="00A77B3E" w:rsidRPr="0042521B" w:rsidRDefault="00A77B3E">
      <w:pPr>
        <w:spacing w:line="360" w:lineRule="auto"/>
        <w:jc w:val="both"/>
      </w:pPr>
    </w:p>
    <w:p w14:paraId="6888B108"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ESD procedure</w:t>
      </w:r>
    </w:p>
    <w:p w14:paraId="5EFC61C3" w14:textId="77777777" w:rsidR="00A77B3E" w:rsidRPr="0042521B" w:rsidRDefault="004E3328">
      <w:pPr>
        <w:spacing w:line="360" w:lineRule="auto"/>
        <w:jc w:val="both"/>
      </w:pPr>
      <w:r w:rsidRPr="0042521B">
        <w:rPr>
          <w:rFonts w:ascii="Book Antiqua" w:eastAsia="Book Antiqua" w:hAnsi="Book Antiqua" w:cs="Book Antiqua"/>
          <w:color w:val="000000"/>
        </w:rPr>
        <w:t xml:space="preserve">All patients underwent pretreatment endoscopic examinations using endoscopes that provide narrow-band imaging with magnifying endoscopy (GIF-H260Z or GIF-H290Z; Olympus Medical Systems Corporation, Tokyo, Japan) to accurately confirm tumor margins. All procedures were performed under conscious sedation using midazolam or propofol and pentazocine. A single-channel endoscope with water jet (GIF-Q260J; Olympus, Tokyo, Japan) or a 2-channel multi-bending endoscope (GIF-2TQ260 M; Olympus) was used with a high-frequency power supply unit (VIO300D, ICC200; ERBE, Tübingen, Germany or PSD60; Olympus, Tokyo, Japan) for electrocoagulation. Gastric ESDs were performed using a conventional procedure. After marking around the tumor and injecting saline or 10% glycerin solution mixed with sodium hyaluronate (MucoUp; Johnson &amp; Johnson Medical Company, Tokyo, Japan), we started mucosal incision using a Dual knife (Olympus Medical Systems, Co. Tokyo. Japan) and performed submucosal dissection using insulated-tip knife-2 (Olympus Medical Systems, Co. Tokyo. Japan) and Dual knife. The remaining visible blood vessels in the ESD artificial ulcer were cauterized using hemostatic forceps (Coagrasper; Olympus Medical Systems Co. Tokyo, Japan). After resection, we dispersed a mixture containing aluminum hydroxide gel, liquid magnesium hydroxide, and 10000 U thrombin (approximately 100 mL). </w:t>
      </w:r>
    </w:p>
    <w:p w14:paraId="133F5839" w14:textId="77777777" w:rsidR="00A77B3E" w:rsidRPr="0042521B" w:rsidRDefault="00A77B3E">
      <w:pPr>
        <w:spacing w:line="360" w:lineRule="auto"/>
        <w:jc w:val="both"/>
      </w:pPr>
    </w:p>
    <w:p w14:paraId="00284925"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lastRenderedPageBreak/>
        <w:t xml:space="preserve">PDB definition </w:t>
      </w:r>
    </w:p>
    <w:p w14:paraId="248ABA07" w14:textId="77777777" w:rsidR="00A77B3E" w:rsidRPr="0042521B" w:rsidRDefault="004E3328">
      <w:pPr>
        <w:spacing w:line="360" w:lineRule="auto"/>
        <w:jc w:val="both"/>
      </w:pPr>
      <w:r w:rsidRPr="0042521B">
        <w:rPr>
          <w:rFonts w:ascii="Book Antiqua" w:eastAsia="Book Antiqua" w:hAnsi="Book Antiqua" w:cs="Book Antiqua"/>
          <w:color w:val="000000"/>
        </w:rPr>
        <w:t>PDB was defined as an episode of hematemesis and/or melena, or a decline in hemoglobin levels of ≥ 2 g/dL, and requirement of emergency endoscopic hemostasis. PDB occurring before POD 5 was defined as E-PDB, whereas that occurring after POD6 was defined as L-PDB.</w:t>
      </w:r>
    </w:p>
    <w:p w14:paraId="790F711D" w14:textId="77777777" w:rsidR="00A77B3E" w:rsidRPr="0042521B" w:rsidRDefault="00A77B3E">
      <w:pPr>
        <w:spacing w:line="360" w:lineRule="auto"/>
        <w:jc w:val="both"/>
      </w:pPr>
    </w:p>
    <w:p w14:paraId="60735434"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Sample size calculation</w:t>
      </w:r>
    </w:p>
    <w:p w14:paraId="437233AB" w14:textId="77777777" w:rsidR="00A77B3E" w:rsidRPr="0042521B" w:rsidRDefault="004E3328">
      <w:pPr>
        <w:spacing w:line="360" w:lineRule="auto"/>
        <w:jc w:val="both"/>
      </w:pPr>
      <w:r w:rsidRPr="0042521B">
        <w:rPr>
          <w:rFonts w:ascii="Book Antiqua" w:eastAsia="Book Antiqua" w:hAnsi="Book Antiqua" w:cs="Book Antiqua"/>
          <w:color w:val="000000"/>
        </w:rPr>
        <w:t xml:space="preserve">The sample size was calculated based on our historical dataset. The PDB rate of consecutive patients who were subjected to gastric ESD under ATT from January 2014 to December 2015 was 15.3% (16/104). Therefore, we assumed a threshold of 15% for the overall PDB rate and hypothesized that this rate would be reduced to 7% by the TLE intervention. To achieve an 80% power with a one-sided significance level of 0.05, we calculated that 92 cases were required. Considering the feasibility of the study, the final sample size was calculated at 100 patients. </w:t>
      </w:r>
    </w:p>
    <w:p w14:paraId="0F350CBA" w14:textId="77777777" w:rsidR="00A77B3E" w:rsidRPr="0042521B" w:rsidRDefault="00A77B3E">
      <w:pPr>
        <w:spacing w:line="360" w:lineRule="auto"/>
        <w:jc w:val="both"/>
      </w:pPr>
    </w:p>
    <w:p w14:paraId="0135FABD"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Statistical analysis</w:t>
      </w:r>
    </w:p>
    <w:p w14:paraId="0EE0DCDC" w14:textId="77777777" w:rsidR="00A77B3E" w:rsidRPr="0042521B" w:rsidRDefault="004E3328">
      <w:pPr>
        <w:spacing w:line="360" w:lineRule="auto"/>
        <w:jc w:val="both"/>
      </w:pPr>
      <w:r w:rsidRPr="0042521B">
        <w:rPr>
          <w:rFonts w:ascii="Book Antiqua" w:eastAsia="Book Antiqua" w:hAnsi="Book Antiqua" w:cs="Book Antiqua"/>
          <w:color w:val="000000"/>
        </w:rPr>
        <w:t xml:space="preserve">We analyzed the baseline characteristics and outcomes using the </w:t>
      </w:r>
      <w:r w:rsidRPr="0042521B">
        <w:rPr>
          <w:rFonts w:ascii="Book Antiqua" w:eastAsia="Book Antiqua" w:hAnsi="Book Antiqua" w:cs="Book Antiqua"/>
          <w:i/>
          <w:iCs/>
          <w:color w:val="000000"/>
        </w:rPr>
        <w:t>χ</w:t>
      </w:r>
      <w:r w:rsidRPr="0042521B">
        <w:rPr>
          <w:rFonts w:ascii="Book Antiqua" w:eastAsia="Book Antiqua" w:hAnsi="Book Antiqua" w:cs="Book Antiqua"/>
          <w:color w:val="000000"/>
          <w:vertAlign w:val="superscript"/>
        </w:rPr>
        <w:t>2</w:t>
      </w:r>
      <w:r w:rsidRPr="0042521B">
        <w:rPr>
          <w:rFonts w:ascii="Book Antiqua" w:eastAsia="Book Antiqua" w:hAnsi="Book Antiqua" w:cs="Book Antiqua"/>
          <w:color w:val="000000"/>
        </w:rPr>
        <w:t xml:space="preserve"> or Fisher exact tests for categorical data. For the primary analysis, we calculated the PDB rate and its 90% confidence interval. If the upper limit was less than 15%, then our primary hypothesis was met. For the secondary analysis, we used propensity score matching to compare the TLE group with the historical control group. To balance bias, we used logistic regression including the following factors for calculating the propensity score: age, sex, location, morphology, specimen size, ulcer, tumor depth, pathology, procedure time, tumor size,</w:t>
      </w:r>
      <w:r w:rsidR="00347727" w:rsidRPr="0042521B">
        <w:rPr>
          <w:rFonts w:ascii="Book Antiqua" w:eastAsia="Book Antiqua" w:hAnsi="Book Antiqua" w:cs="Book Antiqua"/>
          <w:color w:val="000000"/>
        </w:rPr>
        <w:t xml:space="preserve"> and antithrombotic agents. </w:t>
      </w:r>
      <w:r w:rsidR="00347727" w:rsidRPr="0042521B">
        <w:rPr>
          <w:rFonts w:ascii="Book Antiqua" w:eastAsia="Book Antiqua" w:hAnsi="Book Antiqua" w:cs="Book Antiqua"/>
          <w:i/>
          <w:color w:val="000000"/>
        </w:rPr>
        <w:t>P</w:t>
      </w:r>
      <w:r w:rsidR="00347727" w:rsidRPr="0042521B">
        <w:rPr>
          <w:rFonts w:ascii="Book Antiqua" w:hAnsi="Book Antiqua" w:cs="Book Antiqua" w:hint="eastAsia"/>
          <w:color w:val="000000"/>
          <w:lang w:eastAsia="zh-CN"/>
        </w:rPr>
        <w:t xml:space="preserve"> &lt;</w:t>
      </w:r>
      <w:r w:rsidRPr="0042521B">
        <w:rPr>
          <w:rFonts w:ascii="Book Antiqua" w:eastAsia="Book Antiqua" w:hAnsi="Book Antiqua" w:cs="Book Antiqua"/>
          <w:color w:val="000000"/>
        </w:rPr>
        <w:t xml:space="preserve"> 0.05 was considered to indicate statistical significance. JMP (version 12) software packa</w:t>
      </w:r>
      <w:r w:rsidR="00347727" w:rsidRPr="0042521B">
        <w:rPr>
          <w:rFonts w:ascii="Book Antiqua" w:eastAsia="Book Antiqua" w:hAnsi="Book Antiqua" w:cs="Book Antiqua"/>
          <w:color w:val="000000"/>
        </w:rPr>
        <w:t>ge (SAS Institute, Cary, NC, U</w:t>
      </w:r>
      <w:r w:rsidR="00347727" w:rsidRPr="0042521B">
        <w:rPr>
          <w:rFonts w:ascii="Book Antiqua" w:hAnsi="Book Antiqua" w:cs="Book Antiqua" w:hint="eastAsia"/>
          <w:color w:val="000000"/>
          <w:lang w:eastAsia="zh-CN"/>
        </w:rPr>
        <w:t>nited States</w:t>
      </w:r>
      <w:r w:rsidRPr="0042521B">
        <w:rPr>
          <w:rFonts w:ascii="Book Antiqua" w:eastAsia="Book Antiqua" w:hAnsi="Book Antiqua" w:cs="Book Antiqua"/>
          <w:color w:val="000000"/>
        </w:rPr>
        <w:t>) was used for statistical analyses.</w:t>
      </w:r>
    </w:p>
    <w:p w14:paraId="6385A03D" w14:textId="77777777" w:rsidR="00A77B3E" w:rsidRPr="0042521B" w:rsidRDefault="00A77B3E">
      <w:pPr>
        <w:spacing w:line="360" w:lineRule="auto"/>
        <w:jc w:val="both"/>
      </w:pPr>
    </w:p>
    <w:p w14:paraId="186131F8" w14:textId="77777777" w:rsidR="00A77B3E" w:rsidRPr="0042521B" w:rsidRDefault="004E3328">
      <w:pPr>
        <w:spacing w:line="360" w:lineRule="auto"/>
        <w:jc w:val="both"/>
      </w:pPr>
      <w:r w:rsidRPr="0042521B">
        <w:rPr>
          <w:rFonts w:ascii="Book Antiqua" w:eastAsia="Book Antiqua" w:hAnsi="Book Antiqua" w:cs="Book Antiqua"/>
          <w:b/>
          <w:caps/>
          <w:color w:val="000000"/>
          <w:u w:val="single"/>
        </w:rPr>
        <w:t>RESULTS</w:t>
      </w:r>
    </w:p>
    <w:p w14:paraId="63C6C52B"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Demographic and clinical patient data</w:t>
      </w:r>
    </w:p>
    <w:p w14:paraId="5B86E6CD" w14:textId="77777777" w:rsidR="00A77B3E" w:rsidRPr="0042521B" w:rsidRDefault="004E3328">
      <w:pPr>
        <w:spacing w:line="360" w:lineRule="auto"/>
        <w:jc w:val="both"/>
      </w:pPr>
      <w:r w:rsidRPr="0042521B">
        <w:rPr>
          <w:rFonts w:ascii="Book Antiqua" w:eastAsia="Book Antiqua" w:hAnsi="Book Antiqua" w:cs="Book Antiqua"/>
          <w:color w:val="000000"/>
        </w:rPr>
        <w:lastRenderedPageBreak/>
        <w:t xml:space="preserve">One hundred patients with 126 early gastric neoplasms under ATT were subjected to ESD. Several synchronous multiple lesions were removed in the same specimen, and since the study analysis was conducted based on specimens obtained by ESD, 100 patients, and 118 specimens were investigated; of which four were excluded because of intraoperative perforation. Therefore, 96 patients and 114 specimens were finally evaluated. We used a specimen-based instead of patient-based analysis because, on a patient’s basis, it is difficult to determine which specimen should be prioritized based on clinicopathological characteristics. Moreover, if a patient with multiple lesions is excluded, it is not possible to perform analysis following the actual clinical practice. </w:t>
      </w:r>
    </w:p>
    <w:p w14:paraId="61511AB1" w14:textId="5AE36491" w:rsidR="00A77B3E" w:rsidRPr="0042521B" w:rsidRDefault="004E3328" w:rsidP="00905F30">
      <w:pPr>
        <w:spacing w:line="360" w:lineRule="auto"/>
        <w:ind w:firstLineChars="100" w:firstLine="240"/>
        <w:jc w:val="both"/>
      </w:pPr>
      <w:r w:rsidRPr="0042521B">
        <w:rPr>
          <w:rFonts w:ascii="Book Antiqua" w:eastAsia="Book Antiqua" w:hAnsi="Book Antiqua" w:cs="Book Antiqua"/>
          <w:color w:val="000000"/>
        </w:rPr>
        <w:t>Baseline clinicopathological characteristics are shown in Table 1. The participants included 98 males and 16 females aged between 59 and 88 years (mean 75.5</w:t>
      </w:r>
      <w:r w:rsidRPr="0042521B">
        <w:rPr>
          <w:rFonts w:ascii="Book Antiqua" w:eastAsia="Book Antiqua" w:hAnsi="Book Antiqua" w:cs="Book Antiqua"/>
          <w:color w:val="000000"/>
          <w:szCs w:val="22"/>
        </w:rPr>
        <w:t xml:space="preserve"> ± 0.6</w:t>
      </w:r>
      <w:r w:rsidRPr="0042521B">
        <w:rPr>
          <w:rFonts w:ascii="Book Antiqua" w:eastAsia="Book Antiqua" w:hAnsi="Book Antiqua" w:cs="Book Antiqua"/>
          <w:color w:val="000000"/>
        </w:rPr>
        <w:t xml:space="preserve"> years). Regarding the tumors’ location, 18.4% </w:t>
      </w:r>
      <w:r w:rsidR="00905F30" w:rsidRPr="0042521B">
        <w:rPr>
          <w:rFonts w:ascii="Book Antiqua" w:eastAsia="Book Antiqua" w:hAnsi="Book Antiqua" w:cs="Book Antiqua"/>
          <w:color w:val="000000"/>
        </w:rPr>
        <w:t>(21/114),</w:t>
      </w:r>
      <w:r w:rsidRPr="0042521B">
        <w:rPr>
          <w:rFonts w:ascii="Book Antiqua" w:eastAsia="Book Antiqua" w:hAnsi="Book Antiqua" w:cs="Book Antiqua"/>
          <w:color w:val="000000"/>
        </w:rPr>
        <w:t xml:space="preserve"> 12.3% (14/114), and 69.3% (79/114) of the tumors were in the upper, middle, and lower stomach, respectively, while 8.8% (10/114), 31.6% (36/114), 40.3% (46/114), and 19.3% (22/114) were in the anterior wall, posterior wall, lesser curvature, and greater curvature, respectively. Regarding tumor morphology, 42.9% (49/114) of the tumors were of the protruded type and 57.0% (65/114) of the flat/depressed type. The median tumor and specimen sizes were 11.0 mm (range 2</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70) and 35.0 mm (range 18</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 xml:space="preserve">95), respectively. Histologically, 95.6% and 4.4% of the tumors were differentiated and undifferentiated adenocarcinomas, respectively. No adenomas were included during the study period. Deep submucosal invasive carcinomas were recognized in 1.8% (2/114) and ulceration was confirmed in 5.3% (6/114) of the tumors. Synchronous multiple occurrence of lesions was found in 22.9% (22/96) of all patients. </w:t>
      </w:r>
    </w:p>
    <w:p w14:paraId="7F79D86E" w14:textId="75C5F66D" w:rsidR="00A77B3E" w:rsidRPr="0042521B" w:rsidRDefault="004E3328" w:rsidP="00905F30">
      <w:pPr>
        <w:spacing w:line="360" w:lineRule="auto"/>
        <w:ind w:firstLineChars="100" w:firstLine="240"/>
        <w:jc w:val="both"/>
        <w:rPr>
          <w:rFonts w:ascii="Book Antiqua" w:eastAsia="Book Antiqua" w:hAnsi="Book Antiqua" w:cs="Book Antiqua"/>
          <w:color w:val="000000"/>
        </w:rPr>
      </w:pPr>
      <w:r w:rsidRPr="0042521B">
        <w:rPr>
          <w:rFonts w:ascii="Book Antiqua" w:eastAsia="Book Antiqua" w:hAnsi="Book Antiqua" w:cs="Book Antiqua"/>
          <w:color w:val="000000"/>
        </w:rPr>
        <w:t xml:space="preserve">As a result of the principle of ATT continuation, all patients continued to take antithrombotic agents during the perioperative period. </w:t>
      </w:r>
      <w:r w:rsidRPr="0042521B">
        <w:rPr>
          <w:rStyle w:val="tlid-translation"/>
          <w:rFonts w:ascii="Book Antiqua" w:eastAsia="Book Antiqua" w:hAnsi="Book Antiqua" w:cs="Book Antiqua"/>
          <w:color w:val="000000"/>
        </w:rPr>
        <w:t>These included</w:t>
      </w:r>
      <w:r w:rsidRPr="0042521B">
        <w:rPr>
          <w:rFonts w:ascii="Book Antiqua" w:eastAsia="Book Antiqua" w:hAnsi="Book Antiqua" w:cs="Book Antiqua"/>
          <w:color w:val="000000"/>
        </w:rPr>
        <w:t xml:space="preserve"> aspirin (in 43.9% of the patients), thienopyridine (10.5%), cilostazol (5.3%), warfarin (2.6%), DOAC (20.2%), and multiple antithrombotic agents (17.5%). Comorbidities requiring ATT included cardiac disease in 69.3% (79/114) and cerebral infarction in 24.6% (28/114) of the patients. The rates of e</w:t>
      </w:r>
      <w:r w:rsidRPr="0042521B">
        <w:rPr>
          <w:rFonts w:ascii="Book Antiqua" w:eastAsia="Book Antiqua" w:hAnsi="Book Antiqua" w:cs="Book Antiqua"/>
          <w:i/>
          <w:iCs/>
          <w:color w:val="000000"/>
        </w:rPr>
        <w:t>n-bloc</w:t>
      </w:r>
      <w:r w:rsidRPr="0042521B">
        <w:rPr>
          <w:rFonts w:ascii="Book Antiqua" w:eastAsia="Book Antiqua" w:hAnsi="Book Antiqua" w:cs="Book Antiqua"/>
          <w:color w:val="000000"/>
        </w:rPr>
        <w:t xml:space="preserve">, R0, and curative resection were 100%, 100%, and 90.4%, </w:t>
      </w:r>
      <w:r w:rsidRPr="0042521B">
        <w:rPr>
          <w:rFonts w:ascii="Book Antiqua" w:eastAsia="Book Antiqua" w:hAnsi="Book Antiqua" w:cs="Book Antiqua"/>
          <w:color w:val="000000"/>
        </w:rPr>
        <w:lastRenderedPageBreak/>
        <w:t>respectively. The median procedure time was 41.5 min (range 10</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 xml:space="preserve">180). Endoscopic hemostasis was added to 68.8% (77/114) of SLE cases and 35.7% (40/114) of TLE cases. </w:t>
      </w:r>
    </w:p>
    <w:p w14:paraId="0070F5E4" w14:textId="77777777" w:rsidR="00A77B3E" w:rsidRPr="0042521B" w:rsidRDefault="00A77B3E">
      <w:pPr>
        <w:spacing w:line="360" w:lineRule="auto"/>
        <w:ind w:firstLine="567"/>
        <w:jc w:val="both"/>
      </w:pPr>
    </w:p>
    <w:p w14:paraId="0895DE1C"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Primary endpoint</w:t>
      </w:r>
    </w:p>
    <w:p w14:paraId="78768713" w14:textId="409E43B3" w:rsidR="00A77B3E" w:rsidRPr="0042521B" w:rsidRDefault="004E3328">
      <w:pPr>
        <w:spacing w:line="360" w:lineRule="auto"/>
        <w:jc w:val="both"/>
      </w:pPr>
      <w:r w:rsidRPr="0042521B">
        <w:rPr>
          <w:rFonts w:ascii="Book Antiqua" w:eastAsia="Book Antiqua" w:hAnsi="Book Antiqua" w:cs="Book Antiqua"/>
          <w:color w:val="000000"/>
        </w:rPr>
        <w:t>The overall PDB rate was 7.9% (9/114)</w:t>
      </w:r>
      <w:r w:rsidR="00905F30" w:rsidRPr="0042521B">
        <w:rPr>
          <w:rFonts w:ascii="Book Antiqua" w:eastAsia="Book Antiqua" w:hAnsi="Book Antiqua" w:cs="Book Antiqua"/>
          <w:color w:val="000000"/>
        </w:rPr>
        <w:t xml:space="preserve"> (90%</w:t>
      </w:r>
      <w:r w:rsidRPr="0042521B">
        <w:rPr>
          <w:rFonts w:ascii="Book Antiqua" w:eastAsia="Book Antiqua" w:hAnsi="Book Antiqua" w:cs="Book Antiqua"/>
          <w:color w:val="000000"/>
        </w:rPr>
        <w:t>CI: 4.7</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 xml:space="preserve">13.1, </w:t>
      </w:r>
      <w:r w:rsidRPr="0042521B">
        <w:rPr>
          <w:rFonts w:ascii="Book Antiqua" w:eastAsia="Book Antiqua" w:hAnsi="Book Antiqua" w:cs="Book Antiqua"/>
          <w:i/>
          <w:color w:val="000000"/>
        </w:rPr>
        <w:t>P</w:t>
      </w:r>
      <w:r w:rsidRPr="0042521B">
        <w:rPr>
          <w:rFonts w:ascii="Book Antiqua" w:eastAsia="Book Antiqua" w:hAnsi="Book Antiqua" w:cs="Book Antiqua"/>
          <w:color w:val="000000"/>
        </w:rPr>
        <w:t xml:space="preserve"> = 0.005), lower than 15%, indicating that the primary hypothesis of the present study was met. The E-PDB and L-PDB rates during the period of primary endpoint threshold calculation were 3.8% and 11.5%, respectively, based on our historical dataset. Sub-analysis showed that the E-PDB rate was 2.6% (3/114)</w:t>
      </w:r>
      <w:r w:rsidR="00905F30" w:rsidRPr="0042521B">
        <w:rPr>
          <w:rFonts w:ascii="Book Antiqua" w:eastAsia="Book Antiqua" w:hAnsi="Book Antiqua" w:cs="Book Antiqua"/>
          <w:color w:val="000000"/>
        </w:rPr>
        <w:t xml:space="preserve"> (90%</w:t>
      </w:r>
      <w:r w:rsidRPr="0042521B">
        <w:rPr>
          <w:rFonts w:ascii="Book Antiqua" w:eastAsia="Book Antiqua" w:hAnsi="Book Antiqua" w:cs="Book Antiqua"/>
          <w:color w:val="000000"/>
        </w:rPr>
        <w:t>CI: 1.1</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 xml:space="preserve">6.4, </w:t>
      </w:r>
      <w:r w:rsidRPr="0042521B">
        <w:rPr>
          <w:rFonts w:ascii="Book Antiqua" w:eastAsia="Book Antiqua" w:hAnsi="Book Antiqua" w:cs="Book Antiqua"/>
          <w:i/>
          <w:iCs/>
          <w:color w:val="000000"/>
        </w:rPr>
        <w:t>P</w:t>
      </w:r>
      <w:r w:rsidRPr="0042521B">
        <w:rPr>
          <w:rFonts w:ascii="Book Antiqua" w:eastAsia="Book Antiqua" w:hAnsi="Book Antiqua" w:cs="Book Antiqua"/>
          <w:color w:val="000000"/>
        </w:rPr>
        <w:t xml:space="preserve"> = 0.51) and the L-PDB rate was 5.3% (6/114)</w:t>
      </w:r>
      <w:r w:rsidR="00905F30" w:rsidRPr="0042521B">
        <w:rPr>
          <w:rFonts w:ascii="Book Antiqua" w:eastAsia="Book Antiqua" w:hAnsi="Book Antiqua" w:cs="Book Antiqua"/>
          <w:color w:val="000000"/>
        </w:rPr>
        <w:t xml:space="preserve"> (90%</w:t>
      </w:r>
      <w:r w:rsidRPr="0042521B">
        <w:rPr>
          <w:rFonts w:ascii="Book Antiqua" w:eastAsia="Book Antiqua" w:hAnsi="Book Antiqua" w:cs="Book Antiqua"/>
          <w:color w:val="000000"/>
        </w:rPr>
        <w:t>CI: 2.7</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 xml:space="preserve">9.9, </w:t>
      </w:r>
      <w:r w:rsidR="00905F30" w:rsidRPr="0042521B">
        <w:rPr>
          <w:rFonts w:ascii="Book Antiqua" w:eastAsia="Book Antiqua" w:hAnsi="Book Antiqua" w:cs="Book Antiqua"/>
          <w:i/>
          <w:iCs/>
          <w:color w:val="000000"/>
        </w:rPr>
        <w:t>P</w:t>
      </w:r>
      <w:r w:rsidR="00905F30" w:rsidRPr="0042521B">
        <w:rPr>
          <w:rFonts w:ascii="Book Antiqua" w:eastAsia="Book Antiqua" w:hAnsi="Book Antiqua" w:cs="Book Antiqua"/>
          <w:color w:val="000000"/>
        </w:rPr>
        <w:t xml:space="preserve"> </w:t>
      </w:r>
      <w:r w:rsidRPr="0042521B">
        <w:rPr>
          <w:rFonts w:ascii="Book Antiqua" w:eastAsia="Book Antiqua" w:hAnsi="Book Antiqua" w:cs="Book Antiqua"/>
          <w:color w:val="000000"/>
        </w:rPr>
        <w:t xml:space="preserve">&lt; 0.0001), indicating that TLE significantly reduced L-PDB (Table 2). </w:t>
      </w:r>
    </w:p>
    <w:p w14:paraId="7628E45D" w14:textId="77777777" w:rsidR="00A77B3E" w:rsidRPr="0042521B" w:rsidRDefault="00A77B3E">
      <w:pPr>
        <w:spacing w:line="360" w:lineRule="auto"/>
        <w:jc w:val="both"/>
      </w:pPr>
    </w:p>
    <w:p w14:paraId="19CDC125"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Comparative analysis of the TLE and historical control groups</w:t>
      </w:r>
    </w:p>
    <w:p w14:paraId="05775793" w14:textId="77777777" w:rsidR="00A77B3E" w:rsidRPr="0042521B" w:rsidRDefault="004E3328">
      <w:pPr>
        <w:spacing w:line="360" w:lineRule="auto"/>
        <w:jc w:val="both"/>
      </w:pPr>
      <w:r w:rsidRPr="0042521B">
        <w:rPr>
          <w:rFonts w:ascii="Book Antiqua" w:eastAsia="Book Antiqua" w:hAnsi="Book Antiqua" w:cs="Book Antiqua"/>
          <w:color w:val="000000"/>
        </w:rPr>
        <w:t>We found significant differences between groups regarding tumor location (</w:t>
      </w:r>
      <w:r w:rsidRPr="0042521B">
        <w:rPr>
          <w:rFonts w:ascii="Book Antiqua" w:eastAsia="Book Antiqua" w:hAnsi="Book Antiqua" w:cs="Book Antiqua"/>
          <w:i/>
          <w:iCs/>
          <w:color w:val="000000"/>
        </w:rPr>
        <w:t>P</w:t>
      </w:r>
      <w:r w:rsidRPr="0042521B">
        <w:rPr>
          <w:rFonts w:ascii="Book Antiqua" w:eastAsia="Book Antiqua" w:hAnsi="Book Antiqua" w:cs="Book Antiqua"/>
          <w:color w:val="000000"/>
        </w:rPr>
        <w:t xml:space="preserve"> = 0.005) and the continuation of antithrombotic agents (</w:t>
      </w:r>
      <w:r w:rsidR="009E1869" w:rsidRPr="0042521B">
        <w:rPr>
          <w:rFonts w:ascii="Book Antiqua" w:eastAsia="Book Antiqua" w:hAnsi="Book Antiqua" w:cs="Book Antiqua"/>
          <w:i/>
          <w:iCs/>
          <w:color w:val="000000"/>
        </w:rPr>
        <w:t>P</w:t>
      </w:r>
      <w:r w:rsidR="009E1869" w:rsidRPr="0042521B">
        <w:rPr>
          <w:rFonts w:ascii="Book Antiqua" w:eastAsia="Book Antiqua" w:hAnsi="Book Antiqua" w:cs="Book Antiqua"/>
          <w:color w:val="000000"/>
        </w:rPr>
        <w:t xml:space="preserve"> </w:t>
      </w:r>
      <w:r w:rsidRPr="0042521B">
        <w:rPr>
          <w:rFonts w:ascii="Book Antiqua" w:eastAsia="Book Antiqua" w:hAnsi="Book Antiqua" w:cs="Book Antiqua"/>
          <w:color w:val="000000"/>
        </w:rPr>
        <w:t>&lt;</w:t>
      </w:r>
      <w:r w:rsidR="009E1869" w:rsidRPr="0042521B">
        <w:rPr>
          <w:rFonts w:ascii="Book Antiqua" w:hAnsi="Book Antiqua" w:cs="Book Antiqua" w:hint="eastAsia"/>
          <w:color w:val="000000"/>
          <w:lang w:eastAsia="zh-CN"/>
        </w:rPr>
        <w:t xml:space="preserve"> </w:t>
      </w:r>
      <w:r w:rsidRPr="0042521B">
        <w:rPr>
          <w:rFonts w:ascii="Book Antiqua" w:eastAsia="Book Antiqua" w:hAnsi="Book Antiqua" w:cs="Book Antiqua"/>
          <w:color w:val="000000"/>
        </w:rPr>
        <w:t>0.0001) on the baseline characteristics of the TLE and control groups before propensity score matching (Table 3); therefore, we used propensity score matching to reduce these biases. Accordingly, the propensity score matching generated 58 matched pairs; baseline characteristics after matching are shown in Table 4. There were no significant differences in any factors between groups. A comparative analysis of PDB rates between groups is shown in Table 5. The TLE and control groups did</w:t>
      </w:r>
      <w:r w:rsidR="00CF533C" w:rsidRPr="0042521B">
        <w:rPr>
          <w:rFonts w:ascii="Book Antiqua" w:eastAsia="Book Antiqua" w:hAnsi="Book Antiqua" w:cs="Book Antiqua"/>
          <w:color w:val="000000"/>
        </w:rPr>
        <w:t xml:space="preserve"> not differ in the overall PDB </w:t>
      </w:r>
      <w:r w:rsidR="00CF533C"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10.3% (6/58) </w:t>
      </w:r>
      <w:r w:rsidRPr="0042521B">
        <w:rPr>
          <w:rFonts w:ascii="Book Antiqua" w:eastAsia="Book Antiqua" w:hAnsi="Book Antiqua" w:cs="Book Antiqua"/>
          <w:i/>
          <w:iCs/>
          <w:color w:val="000000"/>
        </w:rPr>
        <w:t>vs</w:t>
      </w:r>
      <w:r w:rsidRPr="0042521B">
        <w:rPr>
          <w:rFonts w:ascii="Book Antiqua" w:eastAsia="Book Antiqua" w:hAnsi="Book Antiqua" w:cs="Book Antiqua"/>
          <w:color w:val="000000"/>
        </w:rPr>
        <w:t xml:space="preserve"> 20.7% (12/58), </w:t>
      </w:r>
      <w:r w:rsidRPr="0042521B">
        <w:rPr>
          <w:rFonts w:ascii="Book Antiqua" w:eastAsia="Book Antiqua" w:hAnsi="Book Antiqua" w:cs="Book Antiqua"/>
          <w:i/>
          <w:iCs/>
          <w:color w:val="000000"/>
        </w:rPr>
        <w:t>P</w:t>
      </w:r>
      <w:r w:rsidR="00CF533C" w:rsidRPr="0042521B">
        <w:rPr>
          <w:rFonts w:ascii="Book Antiqua" w:eastAsia="Book Antiqua" w:hAnsi="Book Antiqua" w:cs="Book Antiqua"/>
          <w:color w:val="000000"/>
        </w:rPr>
        <w:t xml:space="preserve"> = 0.12</w:t>
      </w:r>
      <w:r w:rsidR="00CF533C" w:rsidRPr="0042521B">
        <w:rPr>
          <w:rFonts w:ascii="Book Antiqua" w:hAnsi="Book Antiqua" w:cs="Book Antiqua" w:hint="eastAsia"/>
          <w:color w:val="000000"/>
          <w:lang w:eastAsia="zh-CN"/>
        </w:rPr>
        <w:t>]</w:t>
      </w:r>
      <w:r w:rsidR="00CF533C" w:rsidRPr="0042521B">
        <w:rPr>
          <w:rFonts w:ascii="Book Antiqua" w:eastAsia="Book Antiqua" w:hAnsi="Book Antiqua" w:cs="Book Antiqua"/>
          <w:color w:val="000000"/>
        </w:rPr>
        <w:t xml:space="preserve"> or E-PDB </w:t>
      </w:r>
      <w:r w:rsidR="00CF533C"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5.2% (3/58) </w:t>
      </w:r>
      <w:r w:rsidRPr="0042521B">
        <w:rPr>
          <w:rFonts w:ascii="Book Antiqua" w:eastAsia="Book Antiqua" w:hAnsi="Book Antiqua" w:cs="Book Antiqua"/>
          <w:i/>
          <w:iCs/>
          <w:color w:val="000000"/>
        </w:rPr>
        <w:t>vs</w:t>
      </w:r>
      <w:r w:rsidRPr="0042521B">
        <w:rPr>
          <w:rFonts w:ascii="Book Antiqua" w:eastAsia="Book Antiqua" w:hAnsi="Book Antiqua" w:cs="Book Antiqua"/>
          <w:color w:val="000000"/>
        </w:rPr>
        <w:t xml:space="preserve"> 3.5% (2/58)</w:t>
      </w:r>
      <w:r w:rsidR="00CF533C"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w:t>
      </w:r>
      <w:r w:rsidRPr="0042521B">
        <w:rPr>
          <w:rFonts w:ascii="Book Antiqua" w:eastAsia="Book Antiqua" w:hAnsi="Book Antiqua" w:cs="Book Antiqua"/>
          <w:i/>
          <w:iCs/>
          <w:color w:val="000000"/>
        </w:rPr>
        <w:t>P</w:t>
      </w:r>
      <w:r w:rsidR="00CF533C" w:rsidRPr="0042521B">
        <w:rPr>
          <w:rFonts w:ascii="Book Antiqua" w:eastAsia="Book Antiqua" w:hAnsi="Book Antiqua" w:cs="Book Antiqua"/>
          <w:color w:val="000000"/>
        </w:rPr>
        <w:t xml:space="preserve"> = 1.00</w:t>
      </w:r>
      <w:r w:rsidR="00CF533C"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rates. Conversely, there were significant</w:t>
      </w:r>
      <w:r w:rsidR="00CF533C" w:rsidRPr="0042521B">
        <w:rPr>
          <w:rFonts w:ascii="Book Antiqua" w:eastAsia="Book Antiqua" w:hAnsi="Book Antiqua" w:cs="Book Antiqua"/>
          <w:color w:val="000000"/>
        </w:rPr>
        <w:t xml:space="preserve"> differences in the L-PDB rate </w:t>
      </w:r>
      <w:r w:rsidR="00CF533C"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5.2% (3/58) </w:t>
      </w:r>
      <w:r w:rsidRPr="0042521B">
        <w:rPr>
          <w:rFonts w:ascii="Book Antiqua" w:eastAsia="Book Antiqua" w:hAnsi="Book Antiqua" w:cs="Book Antiqua"/>
          <w:i/>
          <w:iCs/>
          <w:color w:val="000000"/>
        </w:rPr>
        <w:t>vs</w:t>
      </w:r>
      <w:r w:rsidRPr="0042521B">
        <w:rPr>
          <w:rFonts w:ascii="Book Antiqua" w:eastAsia="Book Antiqua" w:hAnsi="Book Antiqua" w:cs="Book Antiqua"/>
          <w:color w:val="000000"/>
        </w:rPr>
        <w:t xml:space="preserve"> 17.2% (10/58), </w:t>
      </w:r>
      <w:r w:rsidRPr="0042521B">
        <w:rPr>
          <w:rFonts w:ascii="Book Antiqua" w:eastAsia="Book Antiqua" w:hAnsi="Book Antiqua" w:cs="Book Antiqua"/>
          <w:i/>
          <w:iCs/>
          <w:color w:val="000000"/>
        </w:rPr>
        <w:t>P</w:t>
      </w:r>
      <w:r w:rsidR="00CF533C" w:rsidRPr="0042521B">
        <w:rPr>
          <w:rFonts w:ascii="Book Antiqua" w:eastAsia="Book Antiqua" w:hAnsi="Book Antiqua" w:cs="Book Antiqua"/>
          <w:color w:val="000000"/>
        </w:rPr>
        <w:t xml:space="preserve"> = 0.04</w:t>
      </w:r>
      <w:r w:rsidR="00CF533C"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w:t>
      </w:r>
    </w:p>
    <w:p w14:paraId="4E675F8B" w14:textId="77777777" w:rsidR="00A77B3E" w:rsidRPr="0042521B" w:rsidRDefault="00A77B3E">
      <w:pPr>
        <w:spacing w:line="360" w:lineRule="auto"/>
        <w:jc w:val="both"/>
      </w:pPr>
    </w:p>
    <w:p w14:paraId="6EC939B9" w14:textId="77777777" w:rsidR="00A77B3E" w:rsidRPr="0042521B" w:rsidRDefault="004E3328">
      <w:pPr>
        <w:spacing w:line="360" w:lineRule="auto"/>
        <w:jc w:val="both"/>
        <w:rPr>
          <w:b/>
        </w:rPr>
      </w:pPr>
      <w:r w:rsidRPr="0042521B">
        <w:rPr>
          <w:rFonts w:ascii="Book Antiqua" w:eastAsia="Book Antiqua" w:hAnsi="Book Antiqua" w:cs="Book Antiqua"/>
          <w:b/>
          <w:i/>
          <w:iCs/>
          <w:color w:val="000000"/>
        </w:rPr>
        <w:t>PDB rate per antithrombotic agent used</w:t>
      </w:r>
    </w:p>
    <w:p w14:paraId="38B8736E" w14:textId="77777777" w:rsidR="00A77B3E" w:rsidRPr="0042521B" w:rsidRDefault="004E3328">
      <w:pPr>
        <w:spacing w:line="360" w:lineRule="auto"/>
        <w:jc w:val="both"/>
      </w:pPr>
      <w:r w:rsidRPr="0042521B">
        <w:rPr>
          <w:rFonts w:ascii="Book Antiqua" w:eastAsia="Book Antiqua" w:hAnsi="Book Antiqua" w:cs="Book Antiqua"/>
          <w:color w:val="000000"/>
        </w:rPr>
        <w:t>Table 6 shows the PDB rate per antithrombotic agent in the TLE and control groups.</w:t>
      </w:r>
      <w:r w:rsidRPr="0042521B">
        <w:rPr>
          <w:rFonts w:ascii="Book Antiqua" w:eastAsia="Book Antiqua" w:hAnsi="Book Antiqua" w:cs="Book Antiqua"/>
          <w:color w:val="000000"/>
          <w:szCs w:val="21"/>
        </w:rPr>
        <w:t xml:space="preserve"> </w:t>
      </w:r>
      <w:r w:rsidRPr="0042521B">
        <w:rPr>
          <w:rFonts w:ascii="Book Antiqua" w:eastAsia="Book Antiqua" w:hAnsi="Book Antiqua" w:cs="Book Antiqua"/>
          <w:color w:val="000000"/>
        </w:rPr>
        <w:t xml:space="preserve">Due to the small number of registrations for each drug, no statistical analysis was performed. The overall PDB and L-PDB rates were relatively higher for DOAC and </w:t>
      </w:r>
      <w:r w:rsidRPr="0042521B">
        <w:rPr>
          <w:rFonts w:ascii="Book Antiqua" w:eastAsia="Book Antiqua" w:hAnsi="Book Antiqua" w:cs="Book Antiqua"/>
          <w:color w:val="000000"/>
        </w:rPr>
        <w:lastRenderedPageBreak/>
        <w:t>multiple antithrombotic agents’ treatment in the control group. The respective rates in the TLE group were lower than those</w:t>
      </w:r>
      <w:r w:rsidR="008B7D29" w:rsidRPr="0042521B">
        <w:rPr>
          <w:rFonts w:ascii="Book Antiqua" w:eastAsia="Book Antiqua" w:hAnsi="Book Antiqua" w:cs="Book Antiqua"/>
          <w:color w:val="000000"/>
        </w:rPr>
        <w:t xml:space="preserve"> in the control group for DOAC </w:t>
      </w:r>
      <w:r w:rsidR="008B7D29"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13.0% (3/23) </w:t>
      </w:r>
      <w:r w:rsidRPr="0042521B">
        <w:rPr>
          <w:rFonts w:ascii="Book Antiqua" w:eastAsia="Book Antiqua" w:hAnsi="Book Antiqua" w:cs="Book Antiqua"/>
          <w:i/>
          <w:iCs/>
          <w:color w:val="000000"/>
        </w:rPr>
        <w:t>vs</w:t>
      </w:r>
      <w:r w:rsidRPr="0042521B">
        <w:rPr>
          <w:rFonts w:ascii="Book Antiqua" w:eastAsia="Book Antiqua" w:hAnsi="Book Antiqua" w:cs="Book Antiqua"/>
          <w:color w:val="000000"/>
        </w:rPr>
        <w:t xml:space="preserve"> 23.1% (3/13) and 8.7% (2/23) </w:t>
      </w:r>
      <w:r w:rsidRPr="0042521B">
        <w:rPr>
          <w:rFonts w:ascii="Book Antiqua" w:eastAsia="Book Antiqua" w:hAnsi="Book Antiqua" w:cs="Book Antiqua"/>
          <w:i/>
          <w:iCs/>
          <w:color w:val="000000"/>
        </w:rPr>
        <w:t>vs</w:t>
      </w:r>
      <w:r w:rsidRPr="0042521B">
        <w:rPr>
          <w:rFonts w:ascii="Book Antiqua" w:eastAsia="Book Antiqua" w:hAnsi="Book Antiqua" w:cs="Book Antiqua"/>
          <w:color w:val="000000"/>
        </w:rPr>
        <w:t xml:space="preserve"> 23.1% (3/13)</w:t>
      </w:r>
      <w:r w:rsidR="008B7D29" w:rsidRPr="0042521B">
        <w:rPr>
          <w:rFonts w:ascii="Book Antiqua" w:eastAsia="Book Antiqua" w:hAnsi="Book Antiqua" w:cs="Book Antiqua"/>
          <w:color w:val="000000"/>
        </w:rPr>
        <w:t>, respectively</w:t>
      </w:r>
      <w:r w:rsidR="008B7D29"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and for </w:t>
      </w:r>
      <w:r w:rsidR="008B7D29" w:rsidRPr="0042521B">
        <w:rPr>
          <w:rFonts w:ascii="Book Antiqua" w:eastAsia="Book Antiqua" w:hAnsi="Book Antiqua" w:cs="Book Antiqua"/>
          <w:color w:val="000000"/>
        </w:rPr>
        <w:t xml:space="preserve">multiple antithrombotic agents </w:t>
      </w:r>
      <w:r w:rsidR="008B7D29"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10.0% (2/20) </w:t>
      </w:r>
      <w:r w:rsidRPr="0042521B">
        <w:rPr>
          <w:rFonts w:ascii="Book Antiqua" w:eastAsia="Book Antiqua" w:hAnsi="Book Antiqua" w:cs="Book Antiqua"/>
          <w:i/>
          <w:iCs/>
          <w:color w:val="000000"/>
        </w:rPr>
        <w:t>vs</w:t>
      </w:r>
      <w:r w:rsidRPr="0042521B">
        <w:rPr>
          <w:rFonts w:ascii="Book Antiqua" w:eastAsia="Book Antiqua" w:hAnsi="Book Antiqua" w:cs="Book Antiqua"/>
          <w:color w:val="000000"/>
        </w:rPr>
        <w:t xml:space="preserve"> 32.4% (11/34) and 5.0% (1/20) </w:t>
      </w:r>
      <w:r w:rsidRPr="0042521B">
        <w:rPr>
          <w:rFonts w:ascii="Book Antiqua" w:eastAsia="Book Antiqua" w:hAnsi="Book Antiqua" w:cs="Book Antiqua"/>
          <w:i/>
          <w:iCs/>
          <w:color w:val="000000"/>
        </w:rPr>
        <w:t>vs</w:t>
      </w:r>
      <w:r w:rsidRPr="0042521B">
        <w:rPr>
          <w:rFonts w:ascii="Book Antiqua" w:eastAsia="Book Antiqua" w:hAnsi="Book Antiqua" w:cs="Book Antiqua"/>
          <w:color w:val="000000"/>
        </w:rPr>
        <w:t xml:space="preserve"> 29.4% (10/34)</w:t>
      </w:r>
      <w:r w:rsidR="008B7D29" w:rsidRPr="0042521B">
        <w:rPr>
          <w:rFonts w:ascii="Book Antiqua" w:eastAsia="Book Antiqua" w:hAnsi="Book Antiqua" w:cs="Book Antiqua"/>
          <w:color w:val="000000"/>
        </w:rPr>
        <w:t>, respectively</w:t>
      </w:r>
      <w:r w:rsidR="008B7D29"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Regarding the E-PDB rate, there was a small difference between groups for these drugs. </w:t>
      </w:r>
    </w:p>
    <w:p w14:paraId="17311B4E" w14:textId="77777777" w:rsidR="00A77B3E" w:rsidRPr="0042521B" w:rsidRDefault="00A77B3E">
      <w:pPr>
        <w:spacing w:line="360" w:lineRule="auto"/>
        <w:jc w:val="both"/>
      </w:pPr>
    </w:p>
    <w:p w14:paraId="51F138BB" w14:textId="77777777" w:rsidR="00A77B3E" w:rsidRPr="0042521B" w:rsidRDefault="004E3328">
      <w:pPr>
        <w:spacing w:line="360" w:lineRule="auto"/>
        <w:jc w:val="both"/>
      </w:pPr>
      <w:r w:rsidRPr="0042521B">
        <w:rPr>
          <w:rFonts w:ascii="Book Antiqua" w:eastAsia="Book Antiqua" w:hAnsi="Book Antiqua" w:cs="Book Antiqua"/>
          <w:b/>
          <w:caps/>
          <w:color w:val="000000"/>
          <w:u w:val="single"/>
        </w:rPr>
        <w:t>DISCUSSION</w:t>
      </w:r>
    </w:p>
    <w:p w14:paraId="2E1A3D05" w14:textId="6F2952AD" w:rsidR="00A77B3E" w:rsidRPr="0042521B" w:rsidRDefault="004E3328">
      <w:pPr>
        <w:spacing w:line="360" w:lineRule="auto"/>
        <w:jc w:val="both"/>
      </w:pPr>
      <w:r w:rsidRPr="0042521B">
        <w:rPr>
          <w:rFonts w:ascii="Book Antiqua" w:eastAsia="Book Antiqua" w:hAnsi="Book Antiqua" w:cs="Book Antiqua"/>
          <w:color w:val="000000"/>
        </w:rPr>
        <w:t xml:space="preserve">ESD for </w:t>
      </w:r>
      <w:r w:rsidR="00DE4270" w:rsidRPr="0042521B">
        <w:rPr>
          <w:rFonts w:ascii="Book Antiqua" w:hAnsi="Book Antiqua" w:cs="Book Antiqua" w:hint="eastAsia"/>
          <w:color w:val="000000"/>
          <w:lang w:eastAsia="zh-CN"/>
        </w:rPr>
        <w:t>EGC</w:t>
      </w:r>
      <w:r w:rsidRPr="0042521B">
        <w:rPr>
          <w:rFonts w:ascii="Book Antiqua" w:eastAsia="Book Antiqua" w:hAnsi="Book Antiqua" w:cs="Book Antiqua"/>
          <w:color w:val="000000"/>
        </w:rPr>
        <w:t xml:space="preserve"> is widely accepted as an effective treatment based on sufficient evidence. However, PDB remains a problem, especially in patients under ATT. We previously reported ATT as an independent risk factor for PDB, especially for L-PDB, in a retrospective cohort</w:t>
      </w:r>
      <w:r w:rsidR="00A6014C" w:rsidRPr="0042521B">
        <w:rPr>
          <w:rFonts w:ascii="Book Antiqua" w:eastAsia="Book Antiqua" w:hAnsi="Book Antiqua" w:cs="Book Antiqua"/>
          <w:color w:val="000000"/>
          <w:szCs w:val="30"/>
          <w:vertAlign w:val="superscript"/>
        </w:rPr>
        <w:t>[5,</w:t>
      </w:r>
      <w:r w:rsidRPr="0042521B">
        <w:rPr>
          <w:rFonts w:ascii="Book Antiqua" w:eastAsia="Book Antiqua" w:hAnsi="Book Antiqua" w:cs="Book Antiqua"/>
          <w:color w:val="000000"/>
          <w:szCs w:val="30"/>
          <w:vertAlign w:val="superscript"/>
        </w:rPr>
        <w:t>6]</w:t>
      </w:r>
      <w:r w:rsidR="00A6014C"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Additionally, there have been many reports on PDB in patients under ATT</w:t>
      </w:r>
      <w:r w:rsidR="00A6014C" w:rsidRPr="0042521B">
        <w:rPr>
          <w:rFonts w:ascii="Book Antiqua" w:hAnsi="Book Antiqua" w:cs="Book Antiqua" w:hint="eastAsia"/>
          <w:color w:val="000000"/>
          <w:vertAlign w:val="superscript"/>
          <w:lang w:eastAsia="zh-CN"/>
        </w:rPr>
        <w:t>[</w:t>
      </w:r>
      <w:r w:rsidRPr="0042521B">
        <w:rPr>
          <w:rFonts w:ascii="Book Antiqua" w:eastAsia="Book Antiqua" w:hAnsi="Book Antiqua" w:cs="Book Antiqua"/>
          <w:color w:val="000000"/>
          <w:szCs w:val="30"/>
          <w:vertAlign w:val="superscript"/>
        </w:rPr>
        <w:t>7,18</w:t>
      </w:r>
      <w:r w:rsidR="001D0B88" w:rsidRPr="0042521B">
        <w:rPr>
          <w:rFonts w:ascii="Book Antiqua" w:eastAsia="Book Antiqua" w:hAnsi="Book Antiqua" w:cs="Book Antiqua"/>
          <w:color w:val="000000"/>
          <w:szCs w:val="30"/>
          <w:vertAlign w:val="superscript"/>
        </w:rPr>
        <w:t>-</w:t>
      </w:r>
      <w:r w:rsidRPr="0042521B">
        <w:rPr>
          <w:rFonts w:ascii="Book Antiqua" w:eastAsia="Book Antiqua" w:hAnsi="Book Antiqua" w:cs="Book Antiqua"/>
          <w:color w:val="000000"/>
          <w:szCs w:val="30"/>
          <w:vertAlign w:val="superscript"/>
        </w:rPr>
        <w:t>24</w:t>
      </w:r>
      <w:r w:rsidR="00A6014C" w:rsidRPr="0042521B">
        <w:rPr>
          <w:rFonts w:ascii="Book Antiqua" w:hAnsi="Book Antiqua" w:cs="Book Antiqua" w:hint="eastAsia"/>
          <w:color w:val="000000"/>
          <w:szCs w:val="30"/>
          <w:vertAlign w:val="superscript"/>
          <w:lang w:eastAsia="zh-CN"/>
        </w:rPr>
        <w:t>]</w:t>
      </w:r>
      <w:r w:rsidR="00A6014C"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Two meta-analyses have reported the risk factors for PDB</w:t>
      </w:r>
      <w:r w:rsidR="00A6014C" w:rsidRPr="0042521B">
        <w:rPr>
          <w:rFonts w:ascii="Book Antiqua" w:hAnsi="Book Antiqua" w:cs="Book Antiqua" w:hint="eastAsia"/>
          <w:color w:val="000000"/>
          <w:vertAlign w:val="superscript"/>
          <w:lang w:eastAsia="zh-CN"/>
        </w:rPr>
        <w:t>[</w:t>
      </w:r>
      <w:r w:rsidRPr="0042521B">
        <w:rPr>
          <w:rFonts w:ascii="Book Antiqua" w:eastAsia="Book Antiqua" w:hAnsi="Book Antiqua" w:cs="Book Antiqua"/>
          <w:color w:val="000000"/>
          <w:szCs w:val="30"/>
          <w:vertAlign w:val="superscript"/>
        </w:rPr>
        <w:t>8,25</w:t>
      </w:r>
      <w:r w:rsidR="00A6014C" w:rsidRPr="0042521B">
        <w:rPr>
          <w:rFonts w:ascii="Book Antiqua" w:hAnsi="Book Antiqua" w:cs="Book Antiqua" w:hint="eastAsia"/>
          <w:color w:val="000000"/>
          <w:szCs w:val="30"/>
          <w:vertAlign w:val="superscript"/>
          <w:lang w:eastAsia="zh-CN"/>
        </w:rPr>
        <w:t>]</w:t>
      </w:r>
      <w:r w:rsidRPr="0042521B">
        <w:rPr>
          <w:rFonts w:ascii="Book Antiqua" w:eastAsia="Book Antiqua" w:hAnsi="Book Antiqua" w:cs="Book Antiqua"/>
          <w:color w:val="000000"/>
        </w:rPr>
        <w:t xml:space="preserve"> and ATT was always included as a risk factor for PDB.</w:t>
      </w:r>
    </w:p>
    <w:p w14:paraId="3FA3AF8D" w14:textId="77777777" w:rsidR="00A77B3E" w:rsidRPr="0042521B" w:rsidRDefault="004E3328" w:rsidP="00A6014C">
      <w:pPr>
        <w:spacing w:line="360" w:lineRule="auto"/>
        <w:ind w:firstLineChars="100" w:firstLine="240"/>
        <w:jc w:val="both"/>
      </w:pPr>
      <w:r w:rsidRPr="0042521B">
        <w:rPr>
          <w:rFonts w:ascii="Book Antiqua" w:eastAsia="Book Antiqua" w:hAnsi="Book Antiqua" w:cs="Book Antiqua"/>
          <w:color w:val="000000"/>
        </w:rPr>
        <w:t>Several measures have been designed to counter this problem. The administration of rabeprazole or other proton pump inhibitor in perioperative days and the post-ESD method of prophylactic hemostatic coagulation of visible ulcer vessels are widely used</w:t>
      </w:r>
      <w:r w:rsidR="0011701E" w:rsidRPr="0042521B">
        <w:rPr>
          <w:rFonts w:ascii="Book Antiqua" w:eastAsia="Book Antiqua" w:hAnsi="Book Antiqua" w:cs="Book Antiqua"/>
          <w:color w:val="000000"/>
          <w:szCs w:val="30"/>
          <w:vertAlign w:val="superscript"/>
        </w:rPr>
        <w:t>[26,</w:t>
      </w:r>
      <w:r w:rsidRPr="0042521B">
        <w:rPr>
          <w:rFonts w:ascii="Book Antiqua" w:eastAsia="Book Antiqua" w:hAnsi="Book Antiqua" w:cs="Book Antiqua"/>
          <w:color w:val="000000"/>
          <w:szCs w:val="30"/>
          <w:vertAlign w:val="superscript"/>
        </w:rPr>
        <w:t>27]</w:t>
      </w:r>
      <w:r w:rsidR="0011701E"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Conversely, regarding SLE, the SAFE trial in Japan suggested that it may not contribute to PDB prevention</w:t>
      </w:r>
      <w:r w:rsidRPr="0042521B">
        <w:rPr>
          <w:rFonts w:ascii="Book Antiqua" w:eastAsia="Book Antiqua" w:hAnsi="Book Antiqua" w:cs="Book Antiqua"/>
          <w:color w:val="000000"/>
          <w:szCs w:val="30"/>
          <w:vertAlign w:val="superscript"/>
        </w:rPr>
        <w:t>[28]</w:t>
      </w:r>
      <w:r w:rsidR="0011701E"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however, this evidence-based, randomized study did not include patients under ATT. Therefore, the effectiveness of SLE has not yet been fully evaluated in these patients. According to our previous reports</w:t>
      </w:r>
      <w:r w:rsidR="0011701E" w:rsidRPr="0042521B">
        <w:rPr>
          <w:rFonts w:ascii="Book Antiqua" w:eastAsia="Book Antiqua" w:hAnsi="Book Antiqua" w:cs="Book Antiqua"/>
          <w:color w:val="000000"/>
          <w:szCs w:val="30"/>
          <w:vertAlign w:val="superscript"/>
        </w:rPr>
        <w:t>[5,</w:t>
      </w:r>
      <w:r w:rsidRPr="0042521B">
        <w:rPr>
          <w:rFonts w:ascii="Book Antiqua" w:eastAsia="Book Antiqua" w:hAnsi="Book Antiqua" w:cs="Book Antiqua"/>
          <w:color w:val="000000"/>
          <w:szCs w:val="30"/>
          <w:vertAlign w:val="superscript"/>
        </w:rPr>
        <w:t>6]</w:t>
      </w:r>
      <w:r w:rsidR="0011701E"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ATT was an independent risk factor for PDB, even though all patients underwent SLE. Although these retrospective cohorts were not analyzed for the efficacy of SLE, ATT was not found to be associated with E-PDB, whereas it was significantly associated with L-PDB. Therefore, considering that L-PDB can be reduced by performing interventional endoscopy at a later period, we focu</w:t>
      </w:r>
      <w:r w:rsidR="0011701E" w:rsidRPr="0042521B">
        <w:rPr>
          <w:rFonts w:ascii="Book Antiqua" w:eastAsia="Book Antiqua" w:hAnsi="Book Antiqua" w:cs="Book Antiqua"/>
          <w:color w:val="000000"/>
        </w:rPr>
        <w:t>sed on the effectiveness of TLE</w:t>
      </w:r>
      <w:r w:rsidR="0011701E" w:rsidRPr="0042521B">
        <w:rPr>
          <w:rFonts w:ascii="Book Antiqua" w:hAnsi="Book Antiqua" w:cs="Book Antiqua" w:hint="eastAsia"/>
          <w:color w:val="000000"/>
          <w:lang w:eastAsia="zh-CN"/>
        </w:rPr>
        <w:t xml:space="preserve">, </w:t>
      </w:r>
      <w:r w:rsidRPr="0042521B">
        <w:rPr>
          <w:rFonts w:ascii="Book Antiqua" w:eastAsia="Book Antiqua" w:hAnsi="Book Antiqua" w:cs="Book Antiqua"/>
          <w:color w:val="000000"/>
        </w:rPr>
        <w:t>a simple and preferred method of prevention which is easily accepted by every endoscopist.</w:t>
      </w:r>
    </w:p>
    <w:p w14:paraId="059279AF" w14:textId="358D48C8" w:rsidR="00A77B3E" w:rsidRPr="0042521B" w:rsidRDefault="004E3328" w:rsidP="005D2B75">
      <w:pPr>
        <w:spacing w:line="360" w:lineRule="auto"/>
        <w:ind w:firstLineChars="100" w:firstLine="240"/>
        <w:jc w:val="both"/>
      </w:pPr>
      <w:r w:rsidRPr="0042521B">
        <w:rPr>
          <w:rFonts w:ascii="Book Antiqua" w:eastAsia="Book Antiqua" w:hAnsi="Book Antiqua" w:cs="Book Antiqua"/>
          <w:color w:val="000000"/>
        </w:rPr>
        <w:t xml:space="preserve">Regarding our primary endpoint, the overall PDB rate was significantly lower than the threshold that we assumed based on our historical dataset. Therefore, our </w:t>
      </w:r>
      <w:r w:rsidRPr="0042521B">
        <w:rPr>
          <w:rFonts w:ascii="Book Antiqua" w:eastAsia="Book Antiqua" w:hAnsi="Book Antiqua" w:cs="Book Antiqua"/>
          <w:color w:val="000000"/>
        </w:rPr>
        <w:lastRenderedPageBreak/>
        <w:t>hypothesis was met, showing that TLE reduces the overall PDB rate and is useful for preventing bleeding in patients receiving ATT. Thus,</w:t>
      </w:r>
      <w:r w:rsidRPr="0042521B">
        <w:rPr>
          <w:rFonts w:ascii="Book Antiqua" w:eastAsia="Book Antiqua" w:hAnsi="Book Antiqua" w:cs="Book Antiqua"/>
          <w:color w:val="000000"/>
          <w:szCs w:val="21"/>
        </w:rPr>
        <w:t xml:space="preserve"> </w:t>
      </w:r>
      <w:r w:rsidRPr="0042521B">
        <w:rPr>
          <w:rFonts w:ascii="Book Antiqua" w:eastAsia="Book Antiqua" w:hAnsi="Book Antiqua" w:cs="Book Antiqua"/>
          <w:color w:val="000000"/>
        </w:rPr>
        <w:t>TLE seems to be more effective against L-PDB. Several previous retrospective studies have reported a PDB rate of 11.1</w:t>
      </w:r>
      <w:r w:rsidR="005D2B75" w:rsidRPr="0042521B">
        <w:rPr>
          <w:rFonts w:ascii="Book Antiqua" w:hAnsi="Book Antiqua" w:cs="Book Antiqua" w:hint="eastAsia"/>
          <w:color w:val="000000"/>
          <w:lang w:eastAsia="zh-CN"/>
        </w:rPr>
        <w:t>%</w:t>
      </w:r>
      <w:r w:rsidR="001D0B88" w:rsidRPr="0042521B">
        <w:rPr>
          <w:rFonts w:ascii="Book Antiqua" w:eastAsia="Book Antiqua" w:hAnsi="Book Antiqua" w:cs="Book Antiqua"/>
          <w:color w:val="000000"/>
        </w:rPr>
        <w:t>-</w:t>
      </w:r>
      <w:r w:rsidRPr="0042521B">
        <w:rPr>
          <w:rFonts w:ascii="Book Antiqua" w:eastAsia="Book Antiqua" w:hAnsi="Book Antiqua" w:cs="Book Antiqua"/>
          <w:color w:val="000000"/>
        </w:rPr>
        <w:t>23.7% for patients under ATT</w:t>
      </w:r>
      <w:r w:rsidR="005D2B75" w:rsidRPr="0042521B">
        <w:rPr>
          <w:rFonts w:ascii="Book Antiqua" w:eastAsia="Book Antiqua" w:hAnsi="Book Antiqua" w:cs="Book Antiqua"/>
          <w:color w:val="000000"/>
          <w:szCs w:val="30"/>
          <w:vertAlign w:val="superscript"/>
        </w:rPr>
        <w:t>[7,</w:t>
      </w:r>
      <w:r w:rsidRPr="0042521B">
        <w:rPr>
          <w:rFonts w:ascii="Book Antiqua" w:eastAsia="Book Antiqua" w:hAnsi="Book Antiqua" w:cs="Book Antiqua"/>
          <w:color w:val="000000"/>
          <w:szCs w:val="30"/>
          <w:vertAlign w:val="superscript"/>
        </w:rPr>
        <w:t>18-23]</w:t>
      </w:r>
      <w:r w:rsidR="005D2B75"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Furthermore, a prospective observational study by Ono </w:t>
      </w:r>
      <w:r w:rsidRPr="0042521B">
        <w:rPr>
          <w:rFonts w:ascii="Book Antiqua" w:eastAsia="Book Antiqua" w:hAnsi="Book Antiqua" w:cs="Book Antiqua"/>
          <w:i/>
          <w:iCs/>
          <w:color w:val="000000"/>
        </w:rPr>
        <w:t>et al</w:t>
      </w:r>
      <w:r w:rsidR="005D2B75" w:rsidRPr="0042521B">
        <w:rPr>
          <w:rFonts w:ascii="Book Antiqua" w:eastAsia="Book Antiqua" w:hAnsi="Book Antiqua" w:cs="Book Antiqua"/>
          <w:color w:val="000000"/>
          <w:szCs w:val="30"/>
          <w:vertAlign w:val="superscript"/>
        </w:rPr>
        <w:t>[24]</w:t>
      </w:r>
      <w:r w:rsidRPr="0042521B">
        <w:rPr>
          <w:rFonts w:ascii="Book Antiqua" w:eastAsia="Book Antiqua" w:hAnsi="Book Antiqua" w:cs="Book Antiqua"/>
          <w:color w:val="000000"/>
        </w:rPr>
        <w:t xml:space="preserve"> showed that PDB occurrence in these patients was as high as 26.1%. The overall PDB rate in the present study is lower than previously reported. To date, two single-arm retrospective studies have been published on TLE: one reporting a rate of 11.1% for PDB in patients under ATT undergoing TLE</w:t>
      </w:r>
      <w:r w:rsidRPr="0042521B">
        <w:rPr>
          <w:rFonts w:ascii="Book Antiqua" w:eastAsia="Book Antiqua" w:hAnsi="Book Antiqua" w:cs="Book Antiqua"/>
          <w:color w:val="000000"/>
          <w:szCs w:val="30"/>
          <w:vertAlign w:val="superscript"/>
        </w:rPr>
        <w:t>[18]</w:t>
      </w:r>
      <w:r w:rsidRPr="0042521B">
        <w:rPr>
          <w:rFonts w:ascii="Book Antiqua" w:eastAsia="Book Antiqua" w:hAnsi="Book Antiqua" w:cs="Book Antiqua"/>
          <w:color w:val="000000"/>
        </w:rPr>
        <w:t xml:space="preserve"> and the other investigating the efficacy of TLE showing that the PDB rate could be reduced to 2.6%</w:t>
      </w:r>
      <w:r w:rsidRPr="0042521B">
        <w:rPr>
          <w:rFonts w:ascii="Book Antiqua" w:eastAsia="Book Antiqua" w:hAnsi="Book Antiqua" w:cs="Book Antiqua"/>
          <w:color w:val="000000"/>
          <w:szCs w:val="30"/>
          <w:vertAlign w:val="superscript"/>
        </w:rPr>
        <w:t>[29]</w:t>
      </w:r>
      <w:r w:rsidR="005D2B75"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however, ATT was administered only in 18% of the cases, which might explain why PDB occurrence was so low. </w:t>
      </w:r>
    </w:p>
    <w:p w14:paraId="5F52F0A9" w14:textId="77777777" w:rsidR="00A77B3E" w:rsidRPr="0042521B" w:rsidRDefault="004E3328" w:rsidP="005D2B75">
      <w:pPr>
        <w:spacing w:line="360" w:lineRule="auto"/>
        <w:ind w:firstLineChars="100" w:firstLine="240"/>
        <w:jc w:val="both"/>
      </w:pPr>
      <w:r w:rsidRPr="0042521B">
        <w:rPr>
          <w:rFonts w:ascii="Book Antiqua" w:eastAsia="Book Antiqua" w:hAnsi="Book Antiqua" w:cs="Book Antiqua"/>
          <w:color w:val="000000"/>
        </w:rPr>
        <w:t xml:space="preserve">Regarding our secondary endpoint, the overall PDB rate in the TLE group was lower than that in the control group (10.3% </w:t>
      </w:r>
      <w:r w:rsidRPr="0042521B">
        <w:rPr>
          <w:rFonts w:ascii="Book Antiqua" w:eastAsia="Book Antiqua" w:hAnsi="Book Antiqua" w:cs="Book Antiqua"/>
          <w:i/>
          <w:color w:val="000000"/>
        </w:rPr>
        <w:t>vs</w:t>
      </w:r>
      <w:r w:rsidRPr="0042521B">
        <w:rPr>
          <w:rFonts w:ascii="Book Antiqua" w:eastAsia="Book Antiqua" w:hAnsi="Book Antiqua" w:cs="Book Antiqua"/>
          <w:color w:val="000000"/>
        </w:rPr>
        <w:t xml:space="preserve"> 20.7%); however, the difference was not significant, despite being as high as 10% (</w:t>
      </w:r>
      <w:r w:rsidRPr="0042521B">
        <w:rPr>
          <w:rFonts w:ascii="Book Antiqua" w:eastAsia="Book Antiqua" w:hAnsi="Book Antiqua" w:cs="Book Antiqua"/>
          <w:i/>
          <w:iCs/>
          <w:color w:val="000000"/>
        </w:rPr>
        <w:t>P</w:t>
      </w:r>
      <w:r w:rsidRPr="0042521B">
        <w:rPr>
          <w:rFonts w:ascii="Book Antiqua" w:eastAsia="Book Antiqua" w:hAnsi="Book Antiqua" w:cs="Book Antiqua"/>
          <w:color w:val="000000"/>
        </w:rPr>
        <w:t xml:space="preserve"> = 0.12). This might be due to the small number of cases analyzed (58 per group) based on propensity matching.</w:t>
      </w:r>
      <w:r w:rsidRPr="0042521B">
        <w:rPr>
          <w:rFonts w:ascii="Book Antiqua" w:eastAsia="Book Antiqua" w:hAnsi="Book Antiqua" w:cs="Book Antiqua"/>
          <w:color w:val="000000"/>
          <w:szCs w:val="21"/>
        </w:rPr>
        <w:t xml:space="preserve"> </w:t>
      </w:r>
      <w:r w:rsidRPr="0042521B">
        <w:rPr>
          <w:rFonts w:ascii="Book Antiqua" w:eastAsia="Book Antiqua" w:hAnsi="Book Antiqua" w:cs="Book Antiqua"/>
          <w:color w:val="000000"/>
        </w:rPr>
        <w:t xml:space="preserve">As all registered patients in the present study continued ATT, the 114 samples were reduced to about half. Conversely, the L-PDB rate was significantly lower in the TLE group than in the historical control group (5.2% </w:t>
      </w:r>
      <w:r w:rsidRPr="0042521B">
        <w:rPr>
          <w:rFonts w:ascii="Book Antiqua" w:eastAsia="Book Antiqua" w:hAnsi="Book Antiqua" w:cs="Book Antiqua"/>
          <w:i/>
          <w:iCs/>
          <w:color w:val="000000"/>
        </w:rPr>
        <w:t>vs</w:t>
      </w:r>
      <w:r w:rsidR="005D2B75" w:rsidRPr="0042521B">
        <w:rPr>
          <w:rFonts w:ascii="Book Antiqua" w:eastAsia="Book Antiqua" w:hAnsi="Book Antiqua" w:cs="Book Antiqua"/>
          <w:color w:val="000000"/>
        </w:rPr>
        <w:t xml:space="preserve"> 17.2%</w:t>
      </w:r>
      <w:r w:rsidR="005D2B75"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w:t>
      </w:r>
      <w:r w:rsidRPr="0042521B">
        <w:rPr>
          <w:rFonts w:ascii="Book Antiqua" w:eastAsia="Book Antiqua" w:hAnsi="Book Antiqua" w:cs="Book Antiqua"/>
          <w:i/>
          <w:iCs/>
          <w:color w:val="000000"/>
        </w:rPr>
        <w:t>P</w:t>
      </w:r>
      <w:r w:rsidRPr="0042521B">
        <w:rPr>
          <w:rFonts w:ascii="Book Antiqua" w:eastAsia="Book Antiqua" w:hAnsi="Book Antiqua" w:cs="Book Antiqua"/>
          <w:color w:val="000000"/>
        </w:rPr>
        <w:t xml:space="preserve"> = 0.04). We speculate that the usefulness of TLE is associated with the healing process of artificial ulcers.</w:t>
      </w:r>
      <w:r w:rsidRPr="0042521B">
        <w:rPr>
          <w:rFonts w:ascii="Book Antiqua" w:eastAsia="Book Antiqua" w:hAnsi="Book Antiqua" w:cs="Book Antiqua"/>
          <w:color w:val="000000"/>
          <w:szCs w:val="21"/>
        </w:rPr>
        <w:t xml:space="preserve"> </w:t>
      </w:r>
      <w:r w:rsidRPr="0042521B">
        <w:rPr>
          <w:rFonts w:ascii="Book Antiqua" w:eastAsia="Book Antiqua" w:hAnsi="Book Antiqua" w:cs="Book Antiqua"/>
          <w:color w:val="000000"/>
        </w:rPr>
        <w:t>The bottom of the ulcer is covered with slough within a few days, and the regenerating epithelium, including granulation tissue, gradually develops from the margin and bottom of the ulcer. Also, neovascularization from submucosal ves</w:t>
      </w:r>
      <w:r w:rsidR="009C77E9" w:rsidRPr="0042521B">
        <w:rPr>
          <w:rFonts w:ascii="Book Antiqua" w:eastAsia="Book Antiqua" w:hAnsi="Book Antiqua" w:cs="Book Antiqua"/>
          <w:color w:val="000000"/>
        </w:rPr>
        <w:t>sels is observed in this period</w:t>
      </w:r>
      <w:r w:rsidRPr="0042521B">
        <w:rPr>
          <w:rFonts w:ascii="Book Antiqua" w:eastAsia="Book Antiqua" w:hAnsi="Book Antiqua" w:cs="Book Antiqua"/>
          <w:color w:val="000000"/>
          <w:vertAlign w:val="superscript"/>
        </w:rPr>
        <w:t>[30]</w:t>
      </w:r>
      <w:r w:rsidR="009C77E9" w:rsidRPr="0042521B">
        <w:rPr>
          <w:rFonts w:ascii="Book Antiqua" w:hAnsi="Book Antiqua" w:cs="Book Antiqua" w:hint="eastAsia"/>
          <w:color w:val="000000"/>
          <w:lang w:eastAsia="zh-CN"/>
        </w:rPr>
        <w:t>.</w:t>
      </w:r>
      <w:r w:rsidRPr="0042521B">
        <w:rPr>
          <w:rFonts w:ascii="Book Antiqua" w:eastAsia="Book Antiqua" w:hAnsi="Book Antiqua" w:cs="Book Antiqua"/>
          <w:color w:val="000000"/>
        </w:rPr>
        <w:t xml:space="preserve"> Takeuchi </w:t>
      </w:r>
      <w:r w:rsidRPr="0042521B">
        <w:rPr>
          <w:rFonts w:ascii="Book Antiqua" w:eastAsia="Book Antiqua" w:hAnsi="Book Antiqua" w:cs="Book Antiqua"/>
          <w:i/>
          <w:iCs/>
          <w:color w:val="000000"/>
        </w:rPr>
        <w:t>et al</w:t>
      </w:r>
      <w:r w:rsidR="00F071AE" w:rsidRPr="0042521B">
        <w:rPr>
          <w:rFonts w:ascii="Book Antiqua" w:eastAsia="Book Antiqua" w:hAnsi="Book Antiqua" w:cs="Book Antiqua"/>
          <w:color w:val="000000"/>
          <w:szCs w:val="30"/>
          <w:vertAlign w:val="superscript"/>
        </w:rPr>
        <w:t>[30]</w:t>
      </w:r>
      <w:r w:rsidRPr="0042521B">
        <w:rPr>
          <w:rFonts w:ascii="Book Antiqua" w:eastAsia="Book Antiqua" w:hAnsi="Book Antiqua" w:cs="Book Antiqua"/>
          <w:color w:val="000000"/>
        </w:rPr>
        <w:t xml:space="preserve"> described the ulcer healing process using a rat model, showing that neovascularization starts from the margin and bott</w:t>
      </w:r>
      <w:r w:rsidR="00F071AE" w:rsidRPr="0042521B">
        <w:rPr>
          <w:rFonts w:ascii="Book Antiqua" w:eastAsia="Book Antiqua" w:hAnsi="Book Antiqua" w:cs="Book Antiqua"/>
          <w:color w:val="000000"/>
        </w:rPr>
        <w:t>om of the ulcer at around 5 d</w:t>
      </w:r>
      <w:r w:rsidRPr="0042521B">
        <w:rPr>
          <w:rFonts w:ascii="Book Antiqua" w:eastAsia="Book Antiqua" w:hAnsi="Book Antiqua" w:cs="Book Antiqua"/>
          <w:color w:val="000000"/>
        </w:rPr>
        <w:t xml:space="preserve">. Therefore, bleeding in gastric ESD may be due to two types of blood vessels: vessels that have been coagulated at the time of ESD and re-bled causing E-PDB and newly-grown vessels from the submucosal layer that cause L-PDB. When we performed TLE around POD 5, it was possible to perform prophylactic hemostasis against neovascular </w:t>
      </w:r>
      <w:r w:rsidRPr="0042521B">
        <w:rPr>
          <w:rFonts w:ascii="Book Antiqua" w:eastAsia="Book Antiqua" w:hAnsi="Book Antiqua" w:cs="Book Antiqua"/>
          <w:color w:val="000000"/>
        </w:rPr>
        <w:lastRenderedPageBreak/>
        <w:t>vessels, which explains why we could reduce PDB, and especially L-PDB, more effectively.</w:t>
      </w:r>
    </w:p>
    <w:p w14:paraId="0BE7652E" w14:textId="6F038A40" w:rsidR="00A77B3E" w:rsidRPr="0042521B" w:rsidRDefault="004E3328" w:rsidP="00F071AE">
      <w:pPr>
        <w:spacing w:line="360" w:lineRule="auto"/>
        <w:ind w:firstLineChars="100" w:firstLine="240"/>
        <w:jc w:val="both"/>
      </w:pPr>
      <w:r w:rsidRPr="0042521B">
        <w:rPr>
          <w:rFonts w:ascii="Book Antiqua" w:eastAsia="Book Antiqua" w:hAnsi="Book Antiqua" w:cs="Book Antiqua"/>
          <w:color w:val="000000"/>
        </w:rPr>
        <w:t>To the best of our knowledge, no other prospective study has reported that PDB can be effectively prevented despite continuing ATT. The advantage of this study is not only its prospective nature but that all patients continued ATT. There were several reasons why we prioritized the continuation of antithrombotic agents. First, the direct effect of withdrawing antithrombotics E-PDB and not L-PDB-induced. In our previous report</w:t>
      </w:r>
      <w:r w:rsidR="0006776D" w:rsidRPr="0042521B">
        <w:rPr>
          <w:rFonts w:ascii="Book Antiqua" w:eastAsia="Book Antiqua" w:hAnsi="Book Antiqua" w:cs="Book Antiqua"/>
          <w:color w:val="000000"/>
        </w:rPr>
        <w:t>s, ATT was discontinued 2</w:t>
      </w:r>
      <w:r w:rsidR="001D0B88" w:rsidRPr="0042521B">
        <w:rPr>
          <w:rFonts w:ascii="Book Antiqua" w:eastAsia="Book Antiqua" w:hAnsi="Book Antiqua" w:cs="Book Antiqua"/>
          <w:color w:val="000000"/>
        </w:rPr>
        <w:t>-</w:t>
      </w:r>
      <w:r w:rsidR="0006776D" w:rsidRPr="0042521B">
        <w:rPr>
          <w:rFonts w:ascii="Book Antiqua" w:eastAsia="Book Antiqua" w:hAnsi="Book Antiqua" w:cs="Book Antiqua"/>
          <w:color w:val="000000"/>
        </w:rPr>
        <w:t>7 d</w:t>
      </w:r>
      <w:r w:rsidRPr="0042521B">
        <w:rPr>
          <w:rFonts w:ascii="Book Antiqua" w:eastAsia="Book Antiqua" w:hAnsi="Book Antiqua" w:cs="Book Antiqua"/>
          <w:color w:val="000000"/>
        </w:rPr>
        <w:t xml:space="preserve"> before ESD, as per current guidelines. Moreover, warfarin was a significant factor only in E-PDB</w:t>
      </w:r>
      <w:r w:rsidRPr="0042521B">
        <w:rPr>
          <w:rFonts w:ascii="Book Antiqua" w:eastAsia="Book Antiqua" w:hAnsi="Book Antiqua" w:cs="Book Antiqua"/>
          <w:color w:val="000000"/>
          <w:szCs w:val="30"/>
          <w:vertAlign w:val="superscript"/>
        </w:rPr>
        <w:t>[6]</w:t>
      </w:r>
      <w:r w:rsidR="0006776D"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Warfarin is basically given to patients at high risk for thrombosis, and HBT not only has poor evidence of thromboprophylaxis but also promotes PDB; thus, all agents, including warfarin, were continued as long as possible. Moreover, regarding the timing of drug resumption, we previously set POD 2 at the time of meal onset, similar to previous reports. Most antithrombotics are likely to promote bleeding after resumption</w:t>
      </w:r>
      <w:r w:rsidR="001E2F5E" w:rsidRPr="0042521B">
        <w:rPr>
          <w:rFonts w:ascii="Book Antiqua" w:eastAsia="Book Antiqua" w:hAnsi="Book Antiqua" w:cs="Book Antiqua"/>
          <w:color w:val="000000"/>
          <w:szCs w:val="30"/>
          <w:vertAlign w:val="superscript"/>
        </w:rPr>
        <w:t>[5,</w:t>
      </w:r>
      <w:r w:rsidRPr="0042521B">
        <w:rPr>
          <w:rFonts w:ascii="Book Antiqua" w:eastAsia="Book Antiqua" w:hAnsi="Book Antiqua" w:cs="Book Antiqua"/>
          <w:color w:val="000000"/>
          <w:szCs w:val="30"/>
          <w:vertAlign w:val="superscript"/>
        </w:rPr>
        <w:t>6]</w:t>
      </w:r>
      <w:r w:rsidR="001E2F5E"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Therefore, drug continuation and prevention of L-PDB with TLE are ideal. In their retrospective study, </w:t>
      </w:r>
      <w:bookmarkStart w:id="16" w:name="OLE_LINK2398"/>
      <w:bookmarkStart w:id="17" w:name="OLE_LINK2399"/>
      <w:r w:rsidRPr="0042521B">
        <w:rPr>
          <w:rFonts w:ascii="Book Antiqua" w:eastAsia="Book Antiqua" w:hAnsi="Book Antiqua" w:cs="Book Antiqua"/>
          <w:color w:val="000000"/>
        </w:rPr>
        <w:t>Igarashi</w:t>
      </w:r>
      <w:bookmarkEnd w:id="16"/>
      <w:bookmarkEnd w:id="17"/>
      <w:r w:rsidRPr="0042521B">
        <w:rPr>
          <w:rFonts w:ascii="Book Antiqua" w:eastAsia="Book Antiqua" w:hAnsi="Book Antiqua" w:cs="Book Antiqua"/>
          <w:color w:val="000000"/>
        </w:rPr>
        <w:t xml:space="preserve"> </w:t>
      </w:r>
      <w:r w:rsidRPr="0042521B">
        <w:rPr>
          <w:rFonts w:ascii="Book Antiqua" w:eastAsia="Book Antiqua" w:hAnsi="Book Antiqua" w:cs="Book Antiqua"/>
          <w:i/>
          <w:iCs/>
          <w:color w:val="000000"/>
        </w:rPr>
        <w:t>et al</w:t>
      </w:r>
      <w:r w:rsidR="001D0B88" w:rsidRPr="0042521B">
        <w:rPr>
          <w:rFonts w:ascii="Book Antiqua" w:eastAsia="Book Antiqua" w:hAnsi="Book Antiqua" w:cs="Book Antiqua"/>
          <w:color w:val="000000"/>
          <w:szCs w:val="30"/>
          <w:vertAlign w:val="superscript"/>
        </w:rPr>
        <w:t>[19]</w:t>
      </w:r>
      <w:r w:rsidRPr="0042521B">
        <w:rPr>
          <w:rFonts w:ascii="Book Antiqua" w:eastAsia="Book Antiqua" w:hAnsi="Book Antiqua" w:cs="Book Antiqua"/>
          <w:color w:val="000000"/>
        </w:rPr>
        <w:t xml:space="preserve"> also recommended ATT continuation which did not show a significant increase in PDB compared to controls</w:t>
      </w:r>
      <w:r w:rsidR="0006776D" w:rsidRPr="0042521B">
        <w:rPr>
          <w:rFonts w:ascii="Book Antiqua" w:hAnsi="Book Antiqua" w:cs="Book Antiqua" w:hint="eastAsia"/>
          <w:color w:val="000000"/>
          <w:szCs w:val="30"/>
          <w:lang w:eastAsia="zh-CN"/>
        </w:rPr>
        <w:t>.</w:t>
      </w:r>
      <w:r w:rsidRPr="0042521B">
        <w:rPr>
          <w:rFonts w:ascii="Book Antiqua" w:eastAsia="Book Antiqua" w:hAnsi="Book Antiqua" w:cs="Book Antiqua"/>
          <w:color w:val="000000"/>
        </w:rPr>
        <w:t xml:space="preserve"> Second, even for patients at low risk of thromboembolism, withdrawal of antithrombotics always increases the risk of a thromboembolic event</w:t>
      </w:r>
      <w:r w:rsidR="0006776D" w:rsidRPr="0042521B">
        <w:rPr>
          <w:rFonts w:ascii="Book Antiqua" w:eastAsia="Book Antiqua" w:hAnsi="Book Antiqua" w:cs="Book Antiqua"/>
          <w:color w:val="000000"/>
          <w:vertAlign w:val="superscript"/>
        </w:rPr>
        <w:t>[31</w:t>
      </w:r>
      <w:r w:rsidR="0006776D" w:rsidRPr="0042521B">
        <w:rPr>
          <w:rFonts w:ascii="Book Antiqua" w:eastAsia="Book Antiqua" w:hAnsi="Book Antiqua" w:cs="Book Antiqua" w:hint="eastAsia"/>
          <w:color w:val="000000"/>
          <w:vertAlign w:val="superscript"/>
        </w:rPr>
        <w:t>,</w:t>
      </w:r>
      <w:r w:rsidR="0006776D" w:rsidRPr="0042521B">
        <w:rPr>
          <w:rFonts w:ascii="Book Antiqua" w:eastAsia="Book Antiqua" w:hAnsi="Book Antiqua" w:cs="Book Antiqua"/>
          <w:color w:val="000000"/>
          <w:vertAlign w:val="superscript"/>
        </w:rPr>
        <w:t>32]</w:t>
      </w:r>
      <w:r w:rsidRPr="0042521B">
        <w:rPr>
          <w:rFonts w:ascii="Book Antiqua" w:eastAsia="Book Antiqua" w:hAnsi="Book Antiqua" w:cs="Book Antiqua"/>
          <w:color w:val="000000"/>
        </w:rPr>
        <w:t xml:space="preserve">; therefore, these agents should be withdrawn only if they can be safely discontinued since the outcome is poor once a thromboembolic event has occurred. Maulaz </w:t>
      </w:r>
      <w:r w:rsidRPr="0042521B">
        <w:rPr>
          <w:rFonts w:ascii="Book Antiqua" w:eastAsia="Book Antiqua" w:hAnsi="Book Antiqua" w:cs="Book Antiqua"/>
          <w:i/>
          <w:iCs/>
          <w:color w:val="000000"/>
        </w:rPr>
        <w:t>et al</w:t>
      </w:r>
      <w:r w:rsidR="00B54F79" w:rsidRPr="0042521B">
        <w:rPr>
          <w:rFonts w:ascii="Book Antiqua" w:eastAsia="Book Antiqua" w:hAnsi="Book Antiqua" w:cs="Book Antiqua"/>
          <w:color w:val="000000"/>
          <w:szCs w:val="30"/>
          <w:vertAlign w:val="superscript"/>
        </w:rPr>
        <w:t>[31]</w:t>
      </w:r>
      <w:r w:rsidRPr="0042521B">
        <w:rPr>
          <w:rFonts w:ascii="Book Antiqua" w:eastAsia="Book Antiqua" w:hAnsi="Book Antiqua" w:cs="Book Antiqua"/>
          <w:color w:val="000000"/>
        </w:rPr>
        <w:t xml:space="preserve"> reported that patients with cerebral infarction tend</w:t>
      </w:r>
      <w:r w:rsidR="00B54F79" w:rsidRPr="0042521B">
        <w:rPr>
          <w:rFonts w:ascii="Book Antiqua" w:eastAsia="Book Antiqua" w:hAnsi="Book Antiqua" w:cs="Book Antiqua"/>
          <w:color w:val="000000"/>
        </w:rPr>
        <w:t xml:space="preserve"> to relapse within about 10 d</w:t>
      </w:r>
      <w:r w:rsidRPr="0042521B">
        <w:rPr>
          <w:rFonts w:ascii="Book Antiqua" w:eastAsia="Book Antiqua" w:hAnsi="Book Antiqua" w:cs="Book Antiqua"/>
          <w:color w:val="000000"/>
        </w:rPr>
        <w:t xml:space="preserve"> after aspiring withdrawal; the same was reported by Giuseppe </w:t>
      </w:r>
      <w:r w:rsidRPr="0042521B">
        <w:rPr>
          <w:rFonts w:ascii="Book Antiqua" w:eastAsia="Book Antiqua" w:hAnsi="Book Antiqua" w:cs="Book Antiqua"/>
          <w:i/>
          <w:iCs/>
          <w:color w:val="000000"/>
        </w:rPr>
        <w:t>et al</w:t>
      </w:r>
      <w:r w:rsidR="00B54F79" w:rsidRPr="0042521B">
        <w:rPr>
          <w:rFonts w:ascii="Book Antiqua" w:eastAsia="Book Antiqua" w:hAnsi="Book Antiqua" w:cs="Book Antiqua"/>
          <w:color w:val="000000"/>
          <w:szCs w:val="30"/>
          <w:vertAlign w:val="superscript"/>
        </w:rPr>
        <w:t>[32]</w:t>
      </w:r>
      <w:r w:rsidRPr="0042521B">
        <w:rPr>
          <w:rFonts w:ascii="Book Antiqua" w:eastAsia="Book Antiqua" w:hAnsi="Book Antiqua" w:cs="Book Antiqua"/>
          <w:color w:val="000000"/>
        </w:rPr>
        <w:t xml:space="preserve"> for patients with ischemic heart disease. Conversely, Kazi </w:t>
      </w:r>
      <w:r w:rsidRPr="0042521B">
        <w:rPr>
          <w:rFonts w:ascii="Book Antiqua" w:eastAsia="Book Antiqua" w:hAnsi="Book Antiqua" w:cs="Book Antiqua"/>
          <w:i/>
          <w:iCs/>
          <w:color w:val="000000"/>
        </w:rPr>
        <w:t>et al</w:t>
      </w:r>
      <w:r w:rsidR="00B54F79" w:rsidRPr="0042521B">
        <w:rPr>
          <w:rFonts w:ascii="Book Antiqua" w:eastAsia="Book Antiqua" w:hAnsi="Book Antiqua" w:cs="Book Antiqua"/>
          <w:color w:val="000000"/>
          <w:szCs w:val="30"/>
          <w:vertAlign w:val="superscript"/>
        </w:rPr>
        <w:t>[33]</w:t>
      </w:r>
      <w:r w:rsidRPr="0042521B">
        <w:rPr>
          <w:rFonts w:ascii="Book Antiqua" w:eastAsia="Book Antiqua" w:hAnsi="Book Antiqua" w:cs="Book Antiqua"/>
          <w:color w:val="000000"/>
        </w:rPr>
        <w:t xml:space="preserve"> reported that bleeding in the patients with ischemic heart disease increases mortality due to cardiac heart failure. Although it is difficult to balance bleeding and thromboembolic events</w:t>
      </w:r>
      <w:r w:rsidRPr="0042521B">
        <w:rPr>
          <w:rFonts w:ascii="Book Antiqua" w:eastAsia="Book Antiqua" w:hAnsi="Book Antiqua" w:cs="Book Antiqua"/>
          <w:color w:val="000000"/>
          <w:szCs w:val="21"/>
        </w:rPr>
        <w:t xml:space="preserve"> </w:t>
      </w:r>
      <w:r w:rsidRPr="0042521B">
        <w:rPr>
          <w:rFonts w:ascii="Book Antiqua" w:eastAsia="Book Antiqua" w:hAnsi="Book Antiqua" w:cs="Book Antiqua"/>
          <w:color w:val="000000"/>
        </w:rPr>
        <w:t xml:space="preserve">since both have to be prevented in such patients, more robust intervention in PDB is required to avoid thromboembolic events as much as possible. The guidelines recommend drug withdrawal or change, or postponement of treatment depending on the risk; however, timely treatment cannot be postponed in a patient with cancer, and changing drugs also </w:t>
      </w:r>
      <w:r w:rsidRPr="0042521B">
        <w:rPr>
          <w:rFonts w:ascii="Book Antiqua" w:eastAsia="Book Antiqua" w:hAnsi="Book Antiqua" w:cs="Book Antiqua"/>
          <w:color w:val="000000"/>
        </w:rPr>
        <w:lastRenderedPageBreak/>
        <w:t xml:space="preserve">carries the risk of thrombosis. Hence, we consider that our findings are meaningful and may contribute to the safety of ESD in patients receiving antithrombotics, even with drug continuation. </w:t>
      </w:r>
    </w:p>
    <w:p w14:paraId="47214AC3" w14:textId="77777777" w:rsidR="00A77B3E" w:rsidRPr="0042521B" w:rsidRDefault="004E3328" w:rsidP="00EF0669">
      <w:pPr>
        <w:spacing w:line="360" w:lineRule="auto"/>
        <w:ind w:firstLineChars="100" w:firstLine="240"/>
        <w:jc w:val="both"/>
      </w:pPr>
      <w:r w:rsidRPr="0042521B">
        <w:rPr>
          <w:rFonts w:ascii="Book Antiqua" w:eastAsia="Book Antiqua" w:hAnsi="Book Antiqua" w:cs="Book Antiqua"/>
          <w:color w:val="000000"/>
        </w:rPr>
        <w:t xml:space="preserve">We also calculated the PDB rate according to the antithrombotic agents used in the TLE and control groups. As the sample size was insufficient for statistical analysis, we only calculated the PDB ratio by antithrombotic agent. DOAC and multiple agents seemed to lead to higher bleeding rates than other agents, overall and in the late phase. Connolly </w:t>
      </w:r>
      <w:r w:rsidRPr="0042521B">
        <w:rPr>
          <w:rFonts w:ascii="Book Antiqua" w:eastAsia="Book Antiqua" w:hAnsi="Book Antiqua" w:cs="Book Antiqua"/>
          <w:i/>
          <w:iCs/>
          <w:color w:val="000000"/>
        </w:rPr>
        <w:t>et al</w:t>
      </w:r>
      <w:r w:rsidR="00EF0669" w:rsidRPr="0042521B">
        <w:rPr>
          <w:rFonts w:ascii="Book Antiqua" w:eastAsia="Book Antiqua" w:hAnsi="Book Antiqua" w:cs="Book Antiqua"/>
          <w:color w:val="000000"/>
          <w:szCs w:val="30"/>
          <w:vertAlign w:val="superscript"/>
        </w:rPr>
        <w:t>[34]</w:t>
      </w:r>
      <w:r w:rsidRPr="0042521B">
        <w:rPr>
          <w:rFonts w:ascii="Book Antiqua" w:eastAsia="Book Antiqua" w:hAnsi="Book Antiqua" w:cs="Book Antiqua"/>
          <w:color w:val="000000"/>
        </w:rPr>
        <w:t xml:space="preserve"> performed a prospective study to compare the efficacy of dabigatran and warfarin in preventing thromboembolism and showed that dabigatran reduces intracranial bleeding but significantly increases gastrointestinal bleeding compared to warfarin. Regarding multiple agents, Halas </w:t>
      </w:r>
      <w:r w:rsidRPr="0042521B">
        <w:rPr>
          <w:rFonts w:ascii="Book Antiqua" w:eastAsia="Book Antiqua" w:hAnsi="Book Antiqua" w:cs="Book Antiqua"/>
          <w:i/>
          <w:iCs/>
          <w:color w:val="000000"/>
        </w:rPr>
        <w:t>et al</w:t>
      </w:r>
      <w:r w:rsidR="00EF0669" w:rsidRPr="0042521B">
        <w:rPr>
          <w:rFonts w:ascii="Book Antiqua" w:eastAsia="Book Antiqua" w:hAnsi="Book Antiqua" w:cs="Book Antiqua"/>
          <w:color w:val="000000"/>
          <w:szCs w:val="30"/>
          <w:vertAlign w:val="superscript"/>
        </w:rPr>
        <w:t>[35]</w:t>
      </w:r>
      <w:r w:rsidRPr="0042521B">
        <w:rPr>
          <w:rFonts w:ascii="Book Antiqua" w:eastAsia="Book Antiqua" w:hAnsi="Book Antiqua" w:cs="Book Antiqua"/>
          <w:color w:val="000000"/>
        </w:rPr>
        <w:t xml:space="preserve"> reported that they increase the risk of gastrointestinal bleeding compared to single agents and that this risk is 7.4 times higher among patients taking aspirin and clopidogrel than in those receiving non-antithrombotic agents. Although the subjects in these reports differ from scheduled ESD cases, these drugs require particular attention considering PDB. Our L-PDB rate seems to be the best reported so far, especially for DOAC or DAPT/multiple agents, although it is necessary to study larger patient cohorts receiving these agents. </w:t>
      </w:r>
    </w:p>
    <w:p w14:paraId="633DE564" w14:textId="77777777" w:rsidR="00A77B3E" w:rsidRPr="0042521B" w:rsidRDefault="004E3328" w:rsidP="00EF0669">
      <w:pPr>
        <w:spacing w:line="360" w:lineRule="auto"/>
        <w:ind w:firstLineChars="100" w:firstLine="240"/>
        <w:jc w:val="both"/>
      </w:pPr>
      <w:r w:rsidRPr="0042521B">
        <w:rPr>
          <w:rFonts w:ascii="Book Antiqua" w:eastAsia="Book Antiqua" w:hAnsi="Book Antiqua" w:cs="Book Antiqua"/>
          <w:color w:val="000000"/>
        </w:rPr>
        <w:t>This study had two limitations; first, it was conducted in a single facility; and second, it was a single-arm and not a randomized controlled trial.</w:t>
      </w:r>
    </w:p>
    <w:p w14:paraId="58962344" w14:textId="77777777" w:rsidR="00A77B3E" w:rsidRPr="0042521B" w:rsidRDefault="00A77B3E">
      <w:pPr>
        <w:spacing w:line="360" w:lineRule="auto"/>
        <w:jc w:val="both"/>
      </w:pPr>
    </w:p>
    <w:p w14:paraId="12D3BDCC" w14:textId="77777777" w:rsidR="00A77B3E" w:rsidRPr="0042521B" w:rsidRDefault="004E3328">
      <w:pPr>
        <w:spacing w:line="360" w:lineRule="auto"/>
        <w:jc w:val="both"/>
      </w:pPr>
      <w:r w:rsidRPr="0042521B">
        <w:rPr>
          <w:rFonts w:ascii="Book Antiqua" w:eastAsia="Book Antiqua" w:hAnsi="Book Antiqua" w:cs="Book Antiqua"/>
          <w:b/>
          <w:caps/>
          <w:color w:val="000000"/>
          <w:u w:val="single"/>
        </w:rPr>
        <w:t>CONCLUSION</w:t>
      </w:r>
    </w:p>
    <w:p w14:paraId="602509A2" w14:textId="77777777" w:rsidR="00A77B3E" w:rsidRPr="0042521B" w:rsidRDefault="004E3328">
      <w:pPr>
        <w:spacing w:line="360" w:lineRule="auto"/>
        <w:jc w:val="both"/>
      </w:pPr>
      <w:r w:rsidRPr="0042521B">
        <w:rPr>
          <w:rFonts w:ascii="Book Antiqua" w:eastAsia="Book Antiqua" w:hAnsi="Book Antiqua" w:cs="Book Antiqua"/>
          <w:color w:val="000000"/>
        </w:rPr>
        <w:t xml:space="preserve">In conclusion, this TLE addition in gastric ESD reduced the overall PDB rate and was particularly effective in preventing L-PDB in patients receiving antithrombotic agents, including DOAC and DAPT, which significantly increase the risk of PDB. TLE was effective even after continuous ATT. Multicenter randomized control trials are required to verify the effectiveness of TLE. </w:t>
      </w:r>
    </w:p>
    <w:p w14:paraId="07EF737B" w14:textId="77777777" w:rsidR="00A77B3E" w:rsidRPr="0042521B" w:rsidRDefault="00A77B3E">
      <w:pPr>
        <w:spacing w:line="360" w:lineRule="auto"/>
        <w:jc w:val="both"/>
      </w:pPr>
    </w:p>
    <w:p w14:paraId="082DF12E" w14:textId="77777777" w:rsidR="00A77B3E" w:rsidRPr="0042521B" w:rsidRDefault="004E3328">
      <w:pPr>
        <w:spacing w:line="360" w:lineRule="auto"/>
        <w:jc w:val="both"/>
      </w:pPr>
      <w:r w:rsidRPr="0042521B">
        <w:rPr>
          <w:rFonts w:ascii="Book Antiqua" w:eastAsia="Book Antiqua" w:hAnsi="Book Antiqua" w:cs="Book Antiqua"/>
          <w:b/>
          <w:caps/>
          <w:color w:val="000000"/>
          <w:u w:val="single"/>
        </w:rPr>
        <w:t>ARTICLE HIGHLIGHTS</w:t>
      </w:r>
    </w:p>
    <w:p w14:paraId="658A2DBA" w14:textId="77777777" w:rsidR="00A77B3E" w:rsidRPr="0042521B" w:rsidRDefault="004E3328">
      <w:pPr>
        <w:spacing w:line="360" w:lineRule="auto"/>
        <w:jc w:val="both"/>
      </w:pPr>
      <w:r w:rsidRPr="0042521B">
        <w:rPr>
          <w:rFonts w:ascii="Book Antiqua" w:eastAsia="Book Antiqua" w:hAnsi="Book Antiqua" w:cs="Book Antiqua"/>
          <w:b/>
          <w:i/>
          <w:color w:val="000000"/>
        </w:rPr>
        <w:t>Research background</w:t>
      </w:r>
    </w:p>
    <w:p w14:paraId="0109255F" w14:textId="77777777" w:rsidR="00A77B3E" w:rsidRPr="0042521B" w:rsidRDefault="004E3328">
      <w:pPr>
        <w:spacing w:line="360" w:lineRule="auto"/>
        <w:jc w:val="both"/>
      </w:pPr>
      <w:r w:rsidRPr="0042521B">
        <w:rPr>
          <w:rFonts w:ascii="Book Antiqua" w:eastAsia="Book Antiqua" w:hAnsi="Book Antiqua" w:cs="Book Antiqua"/>
          <w:color w:val="000000"/>
        </w:rPr>
        <w:lastRenderedPageBreak/>
        <w:t>Endoscopic submucosal dissection (ESD) for early gastric cancer (EGC) is minimally invasive and the gold standard for treatment for endoscopic resection. However, the problem of postoperative delayed bleeding (PDB) as a major adverse event remains.</w:t>
      </w:r>
    </w:p>
    <w:p w14:paraId="56EB5719" w14:textId="77777777" w:rsidR="00A77B3E" w:rsidRPr="0042521B" w:rsidRDefault="00A77B3E">
      <w:pPr>
        <w:spacing w:line="360" w:lineRule="auto"/>
        <w:jc w:val="both"/>
      </w:pPr>
    </w:p>
    <w:p w14:paraId="1D792CA8" w14:textId="77777777" w:rsidR="00A77B3E" w:rsidRPr="0042521B" w:rsidRDefault="004E3328">
      <w:pPr>
        <w:spacing w:line="360" w:lineRule="auto"/>
        <w:jc w:val="both"/>
      </w:pPr>
      <w:r w:rsidRPr="0042521B">
        <w:rPr>
          <w:rFonts w:ascii="Book Antiqua" w:eastAsia="Book Antiqua" w:hAnsi="Book Antiqua" w:cs="Book Antiqua"/>
          <w:b/>
          <w:i/>
          <w:color w:val="000000"/>
        </w:rPr>
        <w:t>Research motivation</w:t>
      </w:r>
    </w:p>
    <w:p w14:paraId="4CB2EE6A" w14:textId="77777777" w:rsidR="00A77B3E" w:rsidRPr="0042521B" w:rsidRDefault="004E3328">
      <w:pPr>
        <w:spacing w:line="360" w:lineRule="auto"/>
        <w:jc w:val="both"/>
      </w:pPr>
      <w:r w:rsidRPr="0042521B">
        <w:rPr>
          <w:rFonts w:ascii="Book Antiqua" w:eastAsia="Book Antiqua" w:hAnsi="Book Antiqua" w:cs="Book Antiqua"/>
          <w:color w:val="000000"/>
        </w:rPr>
        <w:t xml:space="preserve">The PDB rate under antithrombotic therapy (ATT) is higher than non-ATT and the bleeding period tends to be a late phase. Despite several attempts against PDB have been reported, there are no effective preventive methods yet. </w:t>
      </w:r>
    </w:p>
    <w:p w14:paraId="077139FE" w14:textId="77777777" w:rsidR="00A77B3E" w:rsidRPr="0042521B" w:rsidRDefault="00A77B3E">
      <w:pPr>
        <w:spacing w:line="360" w:lineRule="auto"/>
        <w:jc w:val="both"/>
      </w:pPr>
    </w:p>
    <w:p w14:paraId="1DCA84D1" w14:textId="77777777" w:rsidR="00A77B3E" w:rsidRPr="0042521B" w:rsidRDefault="004E3328">
      <w:pPr>
        <w:spacing w:line="360" w:lineRule="auto"/>
        <w:jc w:val="both"/>
      </w:pPr>
      <w:r w:rsidRPr="0042521B">
        <w:rPr>
          <w:rFonts w:ascii="Book Antiqua" w:eastAsia="Book Antiqua" w:hAnsi="Book Antiqua" w:cs="Book Antiqua"/>
          <w:b/>
          <w:i/>
          <w:color w:val="000000"/>
        </w:rPr>
        <w:t>Research objectives</w:t>
      </w:r>
    </w:p>
    <w:p w14:paraId="7D55FA99" w14:textId="77777777" w:rsidR="00A77B3E" w:rsidRPr="0042521B" w:rsidRDefault="004E3328">
      <w:pPr>
        <w:spacing w:line="360" w:lineRule="auto"/>
        <w:jc w:val="both"/>
      </w:pPr>
      <w:r w:rsidRPr="0042521B">
        <w:rPr>
          <w:rFonts w:ascii="Book Antiqua" w:eastAsia="Book Antiqua" w:hAnsi="Book Antiqua" w:cs="Book Antiqua"/>
          <w:color w:val="000000"/>
        </w:rPr>
        <w:t>We attempted to verify the efficacy of third-look endoscopy (TLE) against PDB in patients under ATT.</w:t>
      </w:r>
    </w:p>
    <w:p w14:paraId="667BB405" w14:textId="77777777" w:rsidR="00A77B3E" w:rsidRPr="0042521B" w:rsidRDefault="00A77B3E">
      <w:pPr>
        <w:spacing w:line="360" w:lineRule="auto"/>
        <w:jc w:val="both"/>
      </w:pPr>
    </w:p>
    <w:p w14:paraId="32B60826" w14:textId="77777777" w:rsidR="00A77B3E" w:rsidRPr="0042521B" w:rsidRDefault="004E3328">
      <w:pPr>
        <w:spacing w:line="360" w:lineRule="auto"/>
        <w:jc w:val="both"/>
      </w:pPr>
      <w:r w:rsidRPr="0042521B">
        <w:rPr>
          <w:rFonts w:ascii="Book Antiqua" w:eastAsia="Book Antiqua" w:hAnsi="Book Antiqua" w:cs="Book Antiqua"/>
          <w:b/>
          <w:i/>
          <w:color w:val="000000"/>
        </w:rPr>
        <w:t>Research methods</w:t>
      </w:r>
    </w:p>
    <w:p w14:paraId="0C63559A" w14:textId="77777777" w:rsidR="00A77B3E" w:rsidRPr="0042521B" w:rsidRDefault="004E3328">
      <w:pPr>
        <w:spacing w:line="360" w:lineRule="auto"/>
        <w:jc w:val="both"/>
      </w:pPr>
      <w:r w:rsidRPr="0042521B">
        <w:rPr>
          <w:rFonts w:ascii="Book Antiqua" w:eastAsia="Book Antiqua" w:hAnsi="Book Antiqua" w:cs="Book Antiqua"/>
          <w:color w:val="000000"/>
        </w:rPr>
        <w:t>This is a prospective study in a single center. We enrolled patients with EGC receiving ATT, and TLE was added to conventional ESD, including second-look endoscopy. Additionally, we compared the PDB rate with that of a historical control group subjected to conventional ESD under ATT, using propensity score matching.</w:t>
      </w:r>
    </w:p>
    <w:p w14:paraId="59D7A679" w14:textId="77777777" w:rsidR="00A77B3E" w:rsidRPr="0042521B" w:rsidRDefault="00A77B3E">
      <w:pPr>
        <w:spacing w:line="360" w:lineRule="auto"/>
        <w:jc w:val="both"/>
      </w:pPr>
    </w:p>
    <w:p w14:paraId="411A4C45" w14:textId="77777777" w:rsidR="00A77B3E" w:rsidRPr="0042521B" w:rsidRDefault="004E3328">
      <w:pPr>
        <w:spacing w:line="360" w:lineRule="auto"/>
        <w:jc w:val="both"/>
      </w:pPr>
      <w:r w:rsidRPr="0042521B">
        <w:rPr>
          <w:rFonts w:ascii="Book Antiqua" w:eastAsia="Book Antiqua" w:hAnsi="Book Antiqua" w:cs="Book Antiqua"/>
          <w:b/>
          <w:i/>
          <w:color w:val="000000"/>
        </w:rPr>
        <w:t>Research results</w:t>
      </w:r>
    </w:p>
    <w:p w14:paraId="28ECC484" w14:textId="77777777" w:rsidR="00A77B3E" w:rsidRPr="0042521B" w:rsidRDefault="004E3328">
      <w:pPr>
        <w:spacing w:line="360" w:lineRule="auto"/>
        <w:jc w:val="both"/>
      </w:pPr>
      <w:r w:rsidRPr="0042521B">
        <w:rPr>
          <w:rFonts w:ascii="Book Antiqua" w:eastAsia="Book Antiqua" w:hAnsi="Book Antiqua" w:cs="Book Antiqua"/>
          <w:color w:val="000000"/>
        </w:rPr>
        <w:t>The PDB rate of patients adding TLE was lower than the threshold which we set, and it was significantly lower, especially late-onset PDB (L-PDB). Regarding the comparison with the historical control group, the L-PDB rate in the TLE group was lower.</w:t>
      </w:r>
    </w:p>
    <w:p w14:paraId="1E3BC071" w14:textId="77777777" w:rsidR="00A77B3E" w:rsidRPr="0042521B" w:rsidRDefault="00A77B3E">
      <w:pPr>
        <w:spacing w:line="360" w:lineRule="auto"/>
        <w:jc w:val="both"/>
      </w:pPr>
    </w:p>
    <w:p w14:paraId="75526346" w14:textId="77777777" w:rsidR="00A77B3E" w:rsidRPr="0042521B" w:rsidRDefault="004E3328">
      <w:pPr>
        <w:spacing w:line="360" w:lineRule="auto"/>
        <w:jc w:val="both"/>
      </w:pPr>
      <w:r w:rsidRPr="0042521B">
        <w:rPr>
          <w:rFonts w:ascii="Book Antiqua" w:eastAsia="Book Antiqua" w:hAnsi="Book Antiqua" w:cs="Book Antiqua"/>
          <w:b/>
          <w:i/>
          <w:color w:val="000000"/>
        </w:rPr>
        <w:t>Research conclusions</w:t>
      </w:r>
    </w:p>
    <w:p w14:paraId="74B7656B" w14:textId="77777777" w:rsidR="00A77B3E" w:rsidRPr="0042521B" w:rsidRDefault="004E3328">
      <w:pPr>
        <w:spacing w:line="360" w:lineRule="auto"/>
        <w:jc w:val="both"/>
      </w:pPr>
      <w:r w:rsidRPr="0042521B">
        <w:rPr>
          <w:rFonts w:ascii="Book Antiqua" w:eastAsia="Book Antiqua" w:hAnsi="Book Antiqua" w:cs="Book Antiqua"/>
          <w:color w:val="000000"/>
        </w:rPr>
        <w:t>TLE is a simple method that reduces the overall PDB, especially L-PDB, in patients under ATT and is widely acceptable by endoscopists.</w:t>
      </w:r>
    </w:p>
    <w:p w14:paraId="3ABAB6C7" w14:textId="77777777" w:rsidR="00A77B3E" w:rsidRPr="0042521B" w:rsidRDefault="00A77B3E">
      <w:pPr>
        <w:spacing w:line="360" w:lineRule="auto"/>
        <w:jc w:val="both"/>
      </w:pPr>
    </w:p>
    <w:p w14:paraId="2802C257" w14:textId="77777777" w:rsidR="00A77B3E" w:rsidRPr="0042521B" w:rsidRDefault="004E3328">
      <w:pPr>
        <w:spacing w:line="360" w:lineRule="auto"/>
        <w:jc w:val="both"/>
      </w:pPr>
      <w:r w:rsidRPr="0042521B">
        <w:rPr>
          <w:rFonts w:ascii="Book Antiqua" w:eastAsia="Book Antiqua" w:hAnsi="Book Antiqua" w:cs="Book Antiqua"/>
          <w:b/>
          <w:i/>
          <w:color w:val="000000"/>
        </w:rPr>
        <w:t>Research perspectives</w:t>
      </w:r>
    </w:p>
    <w:p w14:paraId="0CE6597A" w14:textId="77777777" w:rsidR="00A77B3E" w:rsidRPr="0042521B" w:rsidRDefault="00380B71">
      <w:pPr>
        <w:spacing w:line="360" w:lineRule="auto"/>
        <w:jc w:val="both"/>
      </w:pPr>
      <w:r w:rsidRPr="0042521B">
        <w:rPr>
          <w:rFonts w:ascii="Book Antiqua" w:eastAsia="Book Antiqua" w:hAnsi="Book Antiqua" w:cs="Book Antiqua"/>
          <w:color w:val="000000"/>
        </w:rPr>
        <w:lastRenderedPageBreak/>
        <w:t>This study is not a</w:t>
      </w:r>
      <w:r w:rsidR="004E3328" w:rsidRPr="0042521B">
        <w:rPr>
          <w:rFonts w:ascii="Book Antiqua" w:eastAsia="Book Antiqua" w:hAnsi="Book Antiqua" w:cs="Book Antiqua"/>
          <w:color w:val="000000"/>
        </w:rPr>
        <w:t xml:space="preserve"> </w:t>
      </w:r>
      <w:r w:rsidRPr="0042521B">
        <w:rPr>
          <w:rFonts w:ascii="Book Antiqua" w:eastAsia="Book Antiqua" w:hAnsi="Book Antiqua" w:cs="Book Antiqua"/>
          <w:color w:val="000000"/>
        </w:rPr>
        <w:t xml:space="preserve">randomized controlled trial </w:t>
      </w:r>
      <w:r w:rsidRPr="0042521B">
        <w:rPr>
          <w:rFonts w:ascii="Book Antiqua" w:hAnsi="Book Antiqua" w:cs="Book Antiqua" w:hint="eastAsia"/>
          <w:color w:val="000000"/>
          <w:lang w:eastAsia="zh-CN"/>
        </w:rPr>
        <w:t>(</w:t>
      </w:r>
      <w:r w:rsidR="004E3328" w:rsidRPr="0042521B">
        <w:rPr>
          <w:rFonts w:ascii="Book Antiqua" w:eastAsia="Book Antiqua" w:hAnsi="Book Antiqua" w:cs="Book Antiqua"/>
          <w:color w:val="000000"/>
        </w:rPr>
        <w:t>RCT</w:t>
      </w:r>
      <w:r w:rsidRPr="0042521B">
        <w:rPr>
          <w:rFonts w:ascii="Book Antiqua" w:hAnsi="Book Antiqua" w:cs="Book Antiqua" w:hint="eastAsia"/>
          <w:color w:val="000000"/>
          <w:lang w:eastAsia="zh-CN"/>
        </w:rPr>
        <w:t>)</w:t>
      </w:r>
      <w:r w:rsidR="004E3328" w:rsidRPr="0042521B">
        <w:rPr>
          <w:rFonts w:ascii="Book Antiqua" w:eastAsia="Book Antiqua" w:hAnsi="Book Antiqua" w:cs="Book Antiqua"/>
          <w:color w:val="000000"/>
        </w:rPr>
        <w:t>; therefore, we consider it necessary to investigate RCT against a larger patient sample.</w:t>
      </w:r>
    </w:p>
    <w:p w14:paraId="7C0356F0" w14:textId="77777777" w:rsidR="00A77B3E" w:rsidRPr="0042521B" w:rsidRDefault="00A77B3E">
      <w:pPr>
        <w:spacing w:line="360" w:lineRule="auto"/>
        <w:jc w:val="both"/>
        <w:rPr>
          <w:lang w:eastAsia="zh-CN"/>
        </w:rPr>
      </w:pPr>
    </w:p>
    <w:p w14:paraId="272B292E" w14:textId="77777777" w:rsidR="00A77B3E" w:rsidRPr="0042521B" w:rsidRDefault="004E3328" w:rsidP="00795DD3">
      <w:pPr>
        <w:adjustRightInd w:val="0"/>
        <w:snapToGrid w:val="0"/>
        <w:spacing w:line="360" w:lineRule="auto"/>
        <w:jc w:val="both"/>
        <w:rPr>
          <w:rFonts w:ascii="Book Antiqua" w:hAnsi="Book Antiqua"/>
        </w:rPr>
      </w:pPr>
      <w:r w:rsidRPr="0042521B">
        <w:rPr>
          <w:rFonts w:ascii="Book Antiqua" w:eastAsia="Book Antiqua" w:hAnsi="Book Antiqua" w:cs="Book Antiqua"/>
          <w:b/>
        </w:rPr>
        <w:t>REFERENCES</w:t>
      </w:r>
    </w:p>
    <w:p w14:paraId="3DD78415"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1 </w:t>
      </w:r>
      <w:r w:rsidRPr="0042521B">
        <w:rPr>
          <w:rFonts w:ascii="Book Antiqua" w:hAnsi="Book Antiqua"/>
          <w:b/>
          <w:bCs/>
        </w:rPr>
        <w:t>Hori M</w:t>
      </w:r>
      <w:r w:rsidRPr="0042521B">
        <w:rPr>
          <w:rFonts w:ascii="Book Antiqua" w:hAnsi="Book Antiqua"/>
        </w:rPr>
        <w:t>, Matsuda T, Shibata A, Katanoda K, Sobue T, Nishimoto H; Japan Cancer Surveillance Research Group. Cancer incidence and incidence rates in Japan in 2009: a study of 32 population-based cancer registries for the Monitoring of Cancer Incidence in Japan (MCIJ) project. </w:t>
      </w:r>
      <w:r w:rsidRPr="0042521B">
        <w:rPr>
          <w:rFonts w:ascii="Book Antiqua" w:hAnsi="Book Antiqua"/>
          <w:i/>
          <w:iCs/>
        </w:rPr>
        <w:t>Jpn J Clin Oncol</w:t>
      </w:r>
      <w:r w:rsidRPr="0042521B">
        <w:rPr>
          <w:rFonts w:ascii="Book Antiqua" w:hAnsi="Book Antiqua"/>
        </w:rPr>
        <w:t> 2015; </w:t>
      </w:r>
      <w:r w:rsidRPr="0042521B">
        <w:rPr>
          <w:rFonts w:ascii="Book Antiqua" w:hAnsi="Book Antiqua"/>
          <w:b/>
          <w:bCs/>
        </w:rPr>
        <w:t>45</w:t>
      </w:r>
      <w:r w:rsidRPr="0042521B">
        <w:rPr>
          <w:rFonts w:ascii="Book Antiqua" w:hAnsi="Book Antiqua"/>
        </w:rPr>
        <w:t>: 884-891 [PMID: 26142437 DOI: 10.1093/jjco/hyv088]</w:t>
      </w:r>
    </w:p>
    <w:p w14:paraId="0FF2E037"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2 </w:t>
      </w:r>
      <w:bookmarkStart w:id="18" w:name="OLE_LINK6"/>
      <w:bookmarkStart w:id="19" w:name="OLE_LINK7"/>
      <w:r w:rsidR="001013EF" w:rsidRPr="0042521B">
        <w:rPr>
          <w:rFonts w:ascii="Book Antiqua" w:hAnsi="Book Antiqua"/>
          <w:b/>
        </w:rPr>
        <w:t>Vital Statistics Japan</w:t>
      </w:r>
      <w:r w:rsidR="001013EF" w:rsidRPr="0042521B">
        <w:rPr>
          <w:rFonts w:ascii="Book Antiqua" w:hAnsi="Book Antiqua" w:hint="eastAsia"/>
          <w:bCs/>
        </w:rPr>
        <w:t>. In:</w:t>
      </w:r>
      <w:r w:rsidR="001013EF" w:rsidRPr="0042521B">
        <w:rPr>
          <w:rFonts w:ascii="Book Antiqua" w:hAnsi="Book Antiqua"/>
          <w:bCs/>
        </w:rPr>
        <w:t xml:space="preserve"> </w:t>
      </w:r>
      <w:r w:rsidRPr="0042521B">
        <w:rPr>
          <w:rFonts w:ascii="Book Antiqua" w:hAnsi="Book Antiqua"/>
          <w:bCs/>
        </w:rPr>
        <w:t>Ministry of Health,</w:t>
      </w:r>
      <w:r w:rsidRPr="0042521B">
        <w:rPr>
          <w:rFonts w:ascii="Book Antiqua" w:hAnsi="Book Antiqua"/>
        </w:rPr>
        <w:t> Labour and Welfare</w:t>
      </w:r>
      <w:bookmarkEnd w:id="18"/>
      <w:bookmarkEnd w:id="19"/>
      <w:r w:rsidR="001013EF" w:rsidRPr="0042521B">
        <w:rPr>
          <w:rFonts w:ascii="Book Antiqua" w:hAnsi="Book Antiqua" w:hint="eastAsia"/>
        </w:rPr>
        <w:t>. Av</w:t>
      </w:r>
      <w:r w:rsidR="008C3E4E" w:rsidRPr="0042521B">
        <w:rPr>
          <w:rFonts w:ascii="Book Antiqua" w:hAnsi="Book Antiqua" w:hint="eastAsia"/>
        </w:rPr>
        <w:t>ailable from:</w:t>
      </w:r>
      <w:r w:rsidR="008C3E4E" w:rsidRPr="0042521B">
        <w:t xml:space="preserve"> </w:t>
      </w:r>
      <w:r w:rsidR="008C3E4E" w:rsidRPr="0042521B">
        <w:rPr>
          <w:rFonts w:ascii="Book Antiqua" w:hAnsi="Book Antiqua"/>
        </w:rPr>
        <w:t>https://www.mhlw.go.jp/english/</w:t>
      </w:r>
    </w:p>
    <w:p w14:paraId="73905580"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3 </w:t>
      </w:r>
      <w:r w:rsidRPr="0042521B">
        <w:rPr>
          <w:rFonts w:ascii="Book Antiqua" w:hAnsi="Book Antiqua"/>
          <w:b/>
          <w:bCs/>
        </w:rPr>
        <w:t>Katai H</w:t>
      </w:r>
      <w:r w:rsidRPr="0042521B">
        <w:rPr>
          <w:rFonts w:ascii="Book Antiqua" w:hAnsi="Book Antiqua"/>
        </w:rPr>
        <w:t>, Ishikawa T, Akazawa K, Isobe Y, Miyashiro I, Oda I, Tsujitani S, Ono H, Tanabe S, Fukagawa T, Nunobe S, Kakeji Y, Nashimoto A; Registration Committee of the Japanese Gastric Cancer Association. Five-year survival analysis of surgically resected gastric cancer cases in Japan: a retrospective analysis of more than 100,000 patients from the nationwide registry of the Japanese Gastric Cancer Association (2001-2007). </w:t>
      </w:r>
      <w:r w:rsidRPr="0042521B">
        <w:rPr>
          <w:rFonts w:ascii="Book Antiqua" w:hAnsi="Book Antiqua"/>
          <w:i/>
          <w:iCs/>
        </w:rPr>
        <w:t>Gastric Cancer</w:t>
      </w:r>
      <w:r w:rsidRPr="0042521B">
        <w:rPr>
          <w:rFonts w:ascii="Book Antiqua" w:hAnsi="Book Antiqua"/>
        </w:rPr>
        <w:t> 2018; </w:t>
      </w:r>
      <w:r w:rsidRPr="0042521B">
        <w:rPr>
          <w:rFonts w:ascii="Book Antiqua" w:hAnsi="Book Antiqua"/>
          <w:b/>
          <w:bCs/>
        </w:rPr>
        <w:t>21</w:t>
      </w:r>
      <w:r w:rsidRPr="0042521B">
        <w:rPr>
          <w:rFonts w:ascii="Book Antiqua" w:hAnsi="Book Antiqua"/>
        </w:rPr>
        <w:t>: 144-154 [PMID: 28417260 DOI: 10.1007/s10120-017-0716-7]</w:t>
      </w:r>
    </w:p>
    <w:p w14:paraId="032D0032"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4 </w:t>
      </w:r>
      <w:bookmarkStart w:id="20" w:name="OLE_LINK4"/>
      <w:bookmarkStart w:id="21" w:name="OLE_LINK5"/>
      <w:r w:rsidRPr="0042521B">
        <w:rPr>
          <w:rFonts w:ascii="Book Antiqua" w:hAnsi="Book Antiqua"/>
          <w:b/>
          <w:bCs/>
        </w:rPr>
        <w:t>Oda I</w:t>
      </w:r>
      <w:r w:rsidRPr="0042521B">
        <w:rPr>
          <w:rFonts w:ascii="Book Antiqua" w:hAnsi="Book Antiqua"/>
        </w:rPr>
        <w:t xml:space="preserve">, Gotoda T, Hamanaka H, Eguchi T, Saito Y, Matsuda T. </w:t>
      </w:r>
      <w:bookmarkStart w:id="22" w:name="OLE_LINK1"/>
      <w:r w:rsidRPr="0042521B">
        <w:rPr>
          <w:rFonts w:ascii="Book Antiqua" w:hAnsi="Book Antiqua"/>
        </w:rPr>
        <w:t>Endoscopic submucosal dissection for early gastric cancer: technical feasibility, operation time and complications from a large consecutive series</w:t>
      </w:r>
      <w:bookmarkEnd w:id="22"/>
      <w:r w:rsidRPr="0042521B">
        <w:rPr>
          <w:rFonts w:ascii="Book Antiqua" w:hAnsi="Book Antiqua"/>
        </w:rPr>
        <w:t xml:space="preserve">. </w:t>
      </w:r>
      <w:r w:rsidRPr="0042521B">
        <w:rPr>
          <w:rFonts w:ascii="Book Antiqua" w:hAnsi="Book Antiqua"/>
          <w:i/>
        </w:rPr>
        <w:t>Dig Endosc</w:t>
      </w:r>
      <w:r w:rsidRPr="0042521B">
        <w:rPr>
          <w:rFonts w:ascii="Book Antiqua" w:hAnsi="Book Antiqua"/>
        </w:rPr>
        <w:t xml:space="preserve"> 2005;</w:t>
      </w:r>
      <w:r w:rsidR="00283F34" w:rsidRPr="0042521B">
        <w:rPr>
          <w:rFonts w:ascii="Book Antiqua" w:hAnsi="Book Antiqua" w:hint="eastAsia"/>
        </w:rPr>
        <w:t xml:space="preserve"> </w:t>
      </w:r>
      <w:r w:rsidRPr="0042521B">
        <w:rPr>
          <w:rFonts w:ascii="Book Antiqua" w:hAnsi="Book Antiqua"/>
          <w:b/>
        </w:rPr>
        <w:t>17</w:t>
      </w:r>
      <w:r w:rsidRPr="0042521B">
        <w:rPr>
          <w:rFonts w:ascii="Book Antiqua" w:hAnsi="Book Antiqua"/>
        </w:rPr>
        <w:t>:</w:t>
      </w:r>
      <w:r w:rsidR="00283F34" w:rsidRPr="0042521B">
        <w:rPr>
          <w:rFonts w:ascii="Book Antiqua" w:hAnsi="Book Antiqua" w:hint="eastAsia"/>
        </w:rPr>
        <w:t xml:space="preserve"> </w:t>
      </w:r>
      <w:r w:rsidRPr="0042521B">
        <w:rPr>
          <w:rFonts w:ascii="Book Antiqua" w:hAnsi="Book Antiqua"/>
        </w:rPr>
        <w:t>54</w:t>
      </w:r>
      <w:r w:rsidR="00283F34" w:rsidRPr="0042521B">
        <w:rPr>
          <w:rFonts w:ascii="Book Antiqua" w:hAnsi="Book Antiqua"/>
        </w:rPr>
        <w:t>-</w:t>
      </w:r>
      <w:r w:rsidRPr="0042521B">
        <w:rPr>
          <w:rFonts w:ascii="Book Antiqua" w:hAnsi="Book Antiqua"/>
        </w:rPr>
        <w:t>58</w:t>
      </w:r>
      <w:bookmarkEnd w:id="20"/>
      <w:bookmarkEnd w:id="21"/>
      <w:r w:rsidRPr="0042521B">
        <w:rPr>
          <w:rFonts w:ascii="Book Antiqua" w:hAnsi="Book Antiqua"/>
        </w:rPr>
        <w:t xml:space="preserve"> [</w:t>
      </w:r>
      <w:bookmarkStart w:id="23" w:name="OLE_LINK2"/>
      <w:bookmarkStart w:id="24" w:name="OLE_LINK3"/>
      <w:r w:rsidRPr="0042521B">
        <w:rPr>
          <w:rFonts w:ascii="Book Antiqua" w:hAnsi="Book Antiqua"/>
        </w:rPr>
        <w:t xml:space="preserve">DOI: </w:t>
      </w:r>
      <w:bookmarkEnd w:id="23"/>
      <w:bookmarkEnd w:id="24"/>
      <w:r w:rsidR="00283F34" w:rsidRPr="0042521B">
        <w:rPr>
          <w:rFonts w:ascii="Book Antiqua" w:hAnsi="Book Antiqua"/>
        </w:rPr>
        <w:t>10.1111/j.1443-1661.2005.00459.x</w:t>
      </w:r>
      <w:r w:rsidRPr="0042521B">
        <w:rPr>
          <w:rFonts w:ascii="Book Antiqua" w:hAnsi="Book Antiqua"/>
        </w:rPr>
        <w:t>]</w:t>
      </w:r>
    </w:p>
    <w:p w14:paraId="706D38D5"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5 </w:t>
      </w:r>
      <w:r w:rsidRPr="0042521B">
        <w:rPr>
          <w:rFonts w:ascii="Book Antiqua" w:hAnsi="Book Antiqua"/>
          <w:b/>
          <w:bCs/>
        </w:rPr>
        <w:t>Koh R</w:t>
      </w:r>
      <w:r w:rsidRPr="0042521B">
        <w:rPr>
          <w:rFonts w:ascii="Book Antiqua" w:hAnsi="Book Antiqua"/>
        </w:rPr>
        <w:t>, Hirasawa K, Yahara S, Oka H, Sugimori K, Morimoto M, Numata K, Kokawa A, Sasaki T, Nozawa A, Taguri M, Morita S, Maeda S, Tanaka K. Antithrombotic drugs are risk factors for delayed postoperative bleeding after endoscopic submucosal dissection for gastric neoplasms. </w:t>
      </w:r>
      <w:r w:rsidRPr="0042521B">
        <w:rPr>
          <w:rFonts w:ascii="Book Antiqua" w:hAnsi="Book Antiqua"/>
          <w:i/>
          <w:iCs/>
        </w:rPr>
        <w:t>Gastrointest Endosc</w:t>
      </w:r>
      <w:r w:rsidRPr="0042521B">
        <w:rPr>
          <w:rFonts w:ascii="Book Antiqua" w:hAnsi="Book Antiqua"/>
        </w:rPr>
        <w:t> 2013; </w:t>
      </w:r>
      <w:r w:rsidRPr="0042521B">
        <w:rPr>
          <w:rFonts w:ascii="Book Antiqua" w:hAnsi="Book Antiqua"/>
          <w:b/>
          <w:bCs/>
        </w:rPr>
        <w:t>78</w:t>
      </w:r>
      <w:r w:rsidRPr="0042521B">
        <w:rPr>
          <w:rFonts w:ascii="Book Antiqua" w:hAnsi="Book Antiqua"/>
        </w:rPr>
        <w:t>: 476-483 [PMID: 23622974 DOI: 10.1016/j.gie.2013.03.008]</w:t>
      </w:r>
    </w:p>
    <w:p w14:paraId="292A25D7"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6 </w:t>
      </w:r>
      <w:r w:rsidRPr="0042521B">
        <w:rPr>
          <w:rFonts w:ascii="Book Antiqua" w:hAnsi="Book Antiqua"/>
          <w:b/>
          <w:bCs/>
        </w:rPr>
        <w:t>Sato C</w:t>
      </w:r>
      <w:r w:rsidRPr="0042521B">
        <w:rPr>
          <w:rFonts w:ascii="Book Antiqua" w:hAnsi="Book Antiqua"/>
        </w:rPr>
        <w:t xml:space="preserve">, Hirasawa K, Koh R, Ikeda R, Fukuchi T, Kobayashi R, Kaneko H, Makazu M, Maeda S. Postoperative bleeding in patients on antithrombotic therapy after gastric </w:t>
      </w:r>
      <w:r w:rsidRPr="0042521B">
        <w:rPr>
          <w:rFonts w:ascii="Book Antiqua" w:hAnsi="Book Antiqua"/>
        </w:rPr>
        <w:lastRenderedPageBreak/>
        <w:t>endoscopic submucosal dissection. </w:t>
      </w:r>
      <w:r w:rsidRPr="0042521B">
        <w:rPr>
          <w:rFonts w:ascii="Book Antiqua" w:hAnsi="Book Antiqua"/>
          <w:i/>
          <w:iCs/>
        </w:rPr>
        <w:t>World J Gastroenterol</w:t>
      </w:r>
      <w:r w:rsidRPr="0042521B">
        <w:rPr>
          <w:rFonts w:ascii="Book Antiqua" w:hAnsi="Book Antiqua"/>
        </w:rPr>
        <w:t> 2017; </w:t>
      </w:r>
      <w:r w:rsidRPr="0042521B">
        <w:rPr>
          <w:rFonts w:ascii="Book Antiqua" w:hAnsi="Book Antiqua"/>
          <w:b/>
          <w:bCs/>
        </w:rPr>
        <w:t>23</w:t>
      </w:r>
      <w:r w:rsidRPr="0042521B">
        <w:rPr>
          <w:rFonts w:ascii="Book Antiqua" w:hAnsi="Book Antiqua"/>
        </w:rPr>
        <w:t>: 5557-5566 [PMID: 28852315 DOI: 10.3748/wjg.v23.i30.5557]</w:t>
      </w:r>
    </w:p>
    <w:p w14:paraId="50FA6738"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7 </w:t>
      </w:r>
      <w:r w:rsidRPr="0042521B">
        <w:rPr>
          <w:rFonts w:ascii="Book Antiqua" w:hAnsi="Book Antiqua"/>
          <w:b/>
          <w:bCs/>
        </w:rPr>
        <w:t>Furuhata T</w:t>
      </w:r>
      <w:r w:rsidRPr="0042521B">
        <w:rPr>
          <w:rFonts w:ascii="Book Antiqua" w:hAnsi="Book Antiqua"/>
        </w:rPr>
        <w:t>, Kaise M, Hoteya S, Iizuka T, Yamada A, Nomura K, Kuribayashi Y, Kikuchi D, Matsui A, Ogawa O, Yamashta S, Mitani T. Postoperative bleeding after gastric endoscopic submucosal dissection in patients receiving antithrombotic therapy. </w:t>
      </w:r>
      <w:r w:rsidRPr="0042521B">
        <w:rPr>
          <w:rFonts w:ascii="Book Antiqua" w:hAnsi="Book Antiqua"/>
          <w:i/>
          <w:iCs/>
        </w:rPr>
        <w:t>Gastric Cancer</w:t>
      </w:r>
      <w:r w:rsidRPr="0042521B">
        <w:rPr>
          <w:rFonts w:ascii="Book Antiqua" w:hAnsi="Book Antiqua"/>
        </w:rPr>
        <w:t> 2017; </w:t>
      </w:r>
      <w:r w:rsidRPr="0042521B">
        <w:rPr>
          <w:rFonts w:ascii="Book Antiqua" w:hAnsi="Book Antiqua"/>
          <w:b/>
          <w:bCs/>
        </w:rPr>
        <w:t>20</w:t>
      </w:r>
      <w:r w:rsidRPr="0042521B">
        <w:rPr>
          <w:rFonts w:ascii="Book Antiqua" w:hAnsi="Book Antiqua"/>
        </w:rPr>
        <w:t>: 207-214 [</w:t>
      </w:r>
      <w:bookmarkStart w:id="25" w:name="OLE_LINK8"/>
      <w:bookmarkStart w:id="26" w:name="OLE_LINK9"/>
      <w:r w:rsidRPr="0042521B">
        <w:rPr>
          <w:rFonts w:ascii="Book Antiqua" w:hAnsi="Book Antiqua"/>
        </w:rPr>
        <w:t>PMID: 26754296</w:t>
      </w:r>
      <w:bookmarkEnd w:id="25"/>
      <w:bookmarkEnd w:id="26"/>
      <w:r w:rsidR="00757270" w:rsidRPr="0042521B">
        <w:rPr>
          <w:rFonts w:ascii="Book Antiqua" w:hAnsi="Book Antiqua" w:hint="eastAsia"/>
        </w:rPr>
        <w:t xml:space="preserve"> DOI: </w:t>
      </w:r>
      <w:r w:rsidR="00757270" w:rsidRPr="0042521B">
        <w:rPr>
          <w:rFonts w:ascii="Book Antiqua" w:hAnsi="Book Antiqua"/>
        </w:rPr>
        <w:t>10.1007/s10120-015-0588-7</w:t>
      </w:r>
      <w:r w:rsidRPr="0042521B">
        <w:rPr>
          <w:rFonts w:ascii="Book Antiqua" w:hAnsi="Book Antiqua"/>
        </w:rPr>
        <w:t>]</w:t>
      </w:r>
    </w:p>
    <w:p w14:paraId="3156BF70"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8 </w:t>
      </w:r>
      <w:r w:rsidRPr="0042521B">
        <w:rPr>
          <w:rFonts w:ascii="Book Antiqua" w:hAnsi="Book Antiqua"/>
          <w:b/>
          <w:bCs/>
        </w:rPr>
        <w:t>Libânio D</w:t>
      </w:r>
      <w:r w:rsidRPr="0042521B">
        <w:rPr>
          <w:rFonts w:ascii="Book Antiqua" w:hAnsi="Book Antiqua"/>
        </w:rPr>
        <w:t>, Costa MN, Pimentel-Nunes P, Dinis-Ribeiro M. Risk factors for bleeding after gastric endoscopic submucosal dissection: a systematic review and meta-analysis. </w:t>
      </w:r>
      <w:r w:rsidRPr="0042521B">
        <w:rPr>
          <w:rFonts w:ascii="Book Antiqua" w:hAnsi="Book Antiqua"/>
          <w:i/>
          <w:iCs/>
        </w:rPr>
        <w:t>Gastrointest Endosc</w:t>
      </w:r>
      <w:r w:rsidRPr="0042521B">
        <w:rPr>
          <w:rFonts w:ascii="Book Antiqua" w:hAnsi="Book Antiqua"/>
        </w:rPr>
        <w:t> 2016; </w:t>
      </w:r>
      <w:r w:rsidRPr="0042521B">
        <w:rPr>
          <w:rFonts w:ascii="Book Antiqua" w:hAnsi="Book Antiqua"/>
          <w:b/>
          <w:bCs/>
        </w:rPr>
        <w:t>84</w:t>
      </w:r>
      <w:r w:rsidRPr="0042521B">
        <w:rPr>
          <w:rFonts w:ascii="Book Antiqua" w:hAnsi="Book Antiqua"/>
        </w:rPr>
        <w:t>: 572-586 [PMID: 27345132 DOI: 10.1016/j.gie.2016.06.033]</w:t>
      </w:r>
    </w:p>
    <w:p w14:paraId="67FAFB56"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9 </w:t>
      </w:r>
      <w:r w:rsidRPr="0042521B">
        <w:rPr>
          <w:rFonts w:ascii="Book Antiqua" w:hAnsi="Book Antiqua"/>
          <w:b/>
          <w:bCs/>
        </w:rPr>
        <w:t>Inoue H</w:t>
      </w:r>
      <w:r w:rsidRPr="0042521B">
        <w:rPr>
          <w:rFonts w:ascii="Book Antiqua" w:hAnsi="Book Antiqua"/>
        </w:rPr>
        <w:t>, Fujiki A, Origasa H, Ogawa S, Okumura K, Kubota I, Aizawa Y, Yamashita T, Atarashi H, Horie M, Ohe T, Doi Y, Shimizu A, Chishaki A, Saikawa T, Yano K, Kitabatake A, Mitamura H, Kodama I, Kamakura S. Prevalence of atrial fibrillation in the general population of Japan: an analysis based on periodic health examination. </w:t>
      </w:r>
      <w:r w:rsidRPr="0042521B">
        <w:rPr>
          <w:rFonts w:ascii="Book Antiqua" w:hAnsi="Book Antiqua"/>
          <w:i/>
          <w:iCs/>
        </w:rPr>
        <w:t>Int J Cardiol</w:t>
      </w:r>
      <w:r w:rsidRPr="0042521B">
        <w:rPr>
          <w:rFonts w:ascii="Book Antiqua" w:hAnsi="Book Antiqua"/>
        </w:rPr>
        <w:t> 2009; </w:t>
      </w:r>
      <w:r w:rsidRPr="0042521B">
        <w:rPr>
          <w:rFonts w:ascii="Book Antiqua" w:hAnsi="Book Antiqua"/>
          <w:b/>
          <w:bCs/>
        </w:rPr>
        <w:t>137</w:t>
      </w:r>
      <w:r w:rsidRPr="0042521B">
        <w:rPr>
          <w:rFonts w:ascii="Book Antiqua" w:hAnsi="Book Antiqua"/>
        </w:rPr>
        <w:t>: 102-107 [PMID: 18691774 DOI: 10.1016/j.ijcard.2008.06.029]</w:t>
      </w:r>
    </w:p>
    <w:p w14:paraId="2288EF4E"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10 </w:t>
      </w:r>
      <w:r w:rsidRPr="0042521B">
        <w:rPr>
          <w:rFonts w:ascii="Book Antiqua" w:hAnsi="Book Antiqua"/>
          <w:b/>
          <w:bCs/>
        </w:rPr>
        <w:t>Kataoka Y</w:t>
      </w:r>
      <w:r w:rsidRPr="0042521B">
        <w:rPr>
          <w:rFonts w:ascii="Book Antiqua" w:hAnsi="Book Antiqua"/>
        </w:rPr>
        <w:t>, Tsuji Y, Hirasawa K, Takimoto K, Wada T, Mochizuki S, Ohata K, Sakaguchi Y, Niimi K, Ono S, Kodashima S, Yamamichi N, Fujishiro M, Koike K. Endoscopic tissue shielding to prevent bleeding after endoscopic submucosal dissection: a prospective multicenter randomized controlled trial. </w:t>
      </w:r>
      <w:r w:rsidRPr="0042521B">
        <w:rPr>
          <w:rFonts w:ascii="Book Antiqua" w:hAnsi="Book Antiqua"/>
          <w:i/>
          <w:iCs/>
        </w:rPr>
        <w:t>Endoscopy</w:t>
      </w:r>
      <w:r w:rsidRPr="0042521B">
        <w:rPr>
          <w:rFonts w:ascii="Book Antiqua" w:hAnsi="Book Antiqua"/>
        </w:rPr>
        <w:t> 2019; </w:t>
      </w:r>
      <w:r w:rsidRPr="0042521B">
        <w:rPr>
          <w:rFonts w:ascii="Book Antiqua" w:hAnsi="Book Antiqua"/>
          <w:b/>
          <w:bCs/>
        </w:rPr>
        <w:t>51</w:t>
      </w:r>
      <w:r w:rsidRPr="0042521B">
        <w:rPr>
          <w:rFonts w:ascii="Book Antiqua" w:hAnsi="Book Antiqua"/>
        </w:rPr>
        <w:t>: 619-627 [PMID: 30861532 DOI: 10.1055/a-0860-5280]</w:t>
      </w:r>
    </w:p>
    <w:p w14:paraId="7A514DBD"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11 </w:t>
      </w:r>
      <w:r w:rsidRPr="0042521B">
        <w:rPr>
          <w:rFonts w:ascii="Book Antiqua" w:hAnsi="Book Antiqua"/>
          <w:b/>
          <w:bCs/>
        </w:rPr>
        <w:t>Tsuji Y</w:t>
      </w:r>
      <w:r w:rsidRPr="0042521B">
        <w:rPr>
          <w:rFonts w:ascii="Book Antiqua" w:hAnsi="Book Antiqua"/>
        </w:rPr>
        <w:t>, Fujishiro M, Kodashima S, Ono S, Niimi K, Mochizuki S, Asada-Hirayama I, Matsuda R, Minatsuki C, Nakayama C, Takahashi Y, Sakaguchi Y, Yamamichi N, Koike K. Polyglycolic acid sheets and fibrin glue decrease the risk of bleeding after endoscopic submucosal dissection of gastric neoplasms (with video). </w:t>
      </w:r>
      <w:r w:rsidRPr="0042521B">
        <w:rPr>
          <w:rFonts w:ascii="Book Antiqua" w:hAnsi="Book Antiqua"/>
          <w:i/>
          <w:iCs/>
        </w:rPr>
        <w:t>Gastrointest Endosc</w:t>
      </w:r>
      <w:r w:rsidRPr="0042521B">
        <w:rPr>
          <w:rFonts w:ascii="Book Antiqua" w:hAnsi="Book Antiqua"/>
        </w:rPr>
        <w:t> 2015; </w:t>
      </w:r>
      <w:r w:rsidRPr="0042521B">
        <w:rPr>
          <w:rFonts w:ascii="Book Antiqua" w:hAnsi="Book Antiqua"/>
          <w:b/>
          <w:bCs/>
        </w:rPr>
        <w:t>81</w:t>
      </w:r>
      <w:r w:rsidRPr="0042521B">
        <w:rPr>
          <w:rFonts w:ascii="Book Antiqua" w:hAnsi="Book Antiqua"/>
        </w:rPr>
        <w:t>: 906-912 [PMID: 25440679 DOI: 10.1016/j.gie.2014.08.028]</w:t>
      </w:r>
    </w:p>
    <w:p w14:paraId="1C2033AA"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12 </w:t>
      </w:r>
      <w:r w:rsidRPr="0042521B">
        <w:rPr>
          <w:rFonts w:ascii="Book Antiqua" w:hAnsi="Book Antiqua"/>
          <w:b/>
          <w:bCs/>
        </w:rPr>
        <w:t>Kawata N</w:t>
      </w:r>
      <w:r w:rsidRPr="0042521B">
        <w:rPr>
          <w:rFonts w:ascii="Book Antiqua" w:hAnsi="Book Antiqua"/>
        </w:rPr>
        <w:t xml:space="preserve">, Ono H, Takizawa K, Kakushima N, Tanaka M, Igarashi K, Yoshida M, Kishida Y, Iwai T, Ito S, Imai K, Hotta K, Ishiwatari H, Matsubayashi H. Efficacy of polyglycolic acid sheets and fibrin glue for prevention of bleeding after gastric </w:t>
      </w:r>
      <w:r w:rsidRPr="0042521B">
        <w:rPr>
          <w:rFonts w:ascii="Book Antiqua" w:hAnsi="Book Antiqua"/>
        </w:rPr>
        <w:lastRenderedPageBreak/>
        <w:t>endoscopic submucosal dissection in patients under continued antithrombotic agents. </w:t>
      </w:r>
      <w:r w:rsidRPr="0042521B">
        <w:rPr>
          <w:rFonts w:ascii="Book Antiqua" w:hAnsi="Book Antiqua"/>
          <w:i/>
          <w:iCs/>
        </w:rPr>
        <w:t>Gastric Cancer</w:t>
      </w:r>
      <w:r w:rsidRPr="0042521B">
        <w:rPr>
          <w:rFonts w:ascii="Book Antiqua" w:hAnsi="Book Antiqua"/>
        </w:rPr>
        <w:t> 2018; </w:t>
      </w:r>
      <w:r w:rsidRPr="0042521B">
        <w:rPr>
          <w:rFonts w:ascii="Book Antiqua" w:hAnsi="Book Antiqua"/>
          <w:b/>
          <w:bCs/>
        </w:rPr>
        <w:t>21</w:t>
      </w:r>
      <w:r w:rsidRPr="0042521B">
        <w:rPr>
          <w:rFonts w:ascii="Book Antiqua" w:hAnsi="Book Antiqua"/>
        </w:rPr>
        <w:t>: 696-702 [PMID: 29357012 DOI: 10.1007/s10120-018-0791-4]</w:t>
      </w:r>
    </w:p>
    <w:p w14:paraId="1A6AB8BB"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13 </w:t>
      </w:r>
      <w:r w:rsidRPr="0042521B">
        <w:rPr>
          <w:rFonts w:ascii="Book Antiqua" w:hAnsi="Book Antiqua"/>
          <w:b/>
          <w:bCs/>
        </w:rPr>
        <w:t>Japanese Gastric Cancer Association.</w:t>
      </w:r>
      <w:r w:rsidRPr="0042521B">
        <w:rPr>
          <w:rFonts w:ascii="Book Antiqua" w:hAnsi="Book Antiqua"/>
        </w:rPr>
        <w:t>. Japanese gastric cancer treatment guidelines 2014 (ver. 4). </w:t>
      </w:r>
      <w:r w:rsidRPr="0042521B">
        <w:rPr>
          <w:rFonts w:ascii="Book Antiqua" w:hAnsi="Book Antiqua"/>
          <w:i/>
          <w:iCs/>
        </w:rPr>
        <w:t>Gastric Cancer</w:t>
      </w:r>
      <w:r w:rsidRPr="0042521B">
        <w:rPr>
          <w:rFonts w:ascii="Book Antiqua" w:hAnsi="Book Antiqua"/>
        </w:rPr>
        <w:t> 2017; </w:t>
      </w:r>
      <w:r w:rsidRPr="0042521B">
        <w:rPr>
          <w:rFonts w:ascii="Book Antiqua" w:hAnsi="Book Antiqua"/>
          <w:b/>
          <w:bCs/>
        </w:rPr>
        <w:t>20</w:t>
      </w:r>
      <w:r w:rsidRPr="0042521B">
        <w:rPr>
          <w:rFonts w:ascii="Book Antiqua" w:hAnsi="Book Antiqua"/>
        </w:rPr>
        <w:t>: 1-19 [PMID: 27342689 DOI: 10.1007/s10120-016-0622-4]</w:t>
      </w:r>
    </w:p>
    <w:p w14:paraId="0B3DABB6"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14 </w:t>
      </w:r>
      <w:r w:rsidRPr="0042521B">
        <w:rPr>
          <w:rFonts w:ascii="Book Antiqua" w:hAnsi="Book Antiqua"/>
          <w:b/>
          <w:bCs/>
        </w:rPr>
        <w:t>Japanese Gastric Cancer Association</w:t>
      </w:r>
      <w:r w:rsidRPr="0042521B">
        <w:rPr>
          <w:rFonts w:ascii="Book Antiqua" w:hAnsi="Book Antiqua"/>
        </w:rPr>
        <w:t>. Japanese classification of gastric carcinoma: 3rd English edition. </w:t>
      </w:r>
      <w:r w:rsidRPr="0042521B">
        <w:rPr>
          <w:rFonts w:ascii="Book Antiqua" w:hAnsi="Book Antiqua"/>
          <w:i/>
          <w:iCs/>
        </w:rPr>
        <w:t>Gastric Cancer</w:t>
      </w:r>
      <w:r w:rsidRPr="0042521B">
        <w:rPr>
          <w:rFonts w:ascii="Book Antiqua" w:hAnsi="Book Antiqua"/>
        </w:rPr>
        <w:t> 2011; </w:t>
      </w:r>
      <w:r w:rsidRPr="0042521B">
        <w:rPr>
          <w:rFonts w:ascii="Book Antiqua" w:hAnsi="Book Antiqua"/>
          <w:b/>
          <w:bCs/>
        </w:rPr>
        <w:t>14</w:t>
      </w:r>
      <w:r w:rsidRPr="0042521B">
        <w:rPr>
          <w:rFonts w:ascii="Book Antiqua" w:hAnsi="Book Antiqua"/>
        </w:rPr>
        <w:t>: 101-112 [</w:t>
      </w:r>
      <w:bookmarkStart w:id="27" w:name="OLE_LINK10"/>
      <w:r w:rsidRPr="0042521B">
        <w:rPr>
          <w:rFonts w:ascii="Book Antiqua" w:hAnsi="Book Antiqua"/>
        </w:rPr>
        <w:t>PMID: 21573743</w:t>
      </w:r>
      <w:bookmarkEnd w:id="27"/>
      <w:r w:rsidR="00852DE7" w:rsidRPr="0042521B">
        <w:rPr>
          <w:rFonts w:ascii="Book Antiqua" w:hAnsi="Book Antiqua" w:hint="eastAsia"/>
        </w:rPr>
        <w:t xml:space="preserve"> </w:t>
      </w:r>
      <w:r w:rsidR="00852DE7" w:rsidRPr="0042521B">
        <w:rPr>
          <w:rFonts w:ascii="Book Antiqua" w:hAnsi="Book Antiqua"/>
        </w:rPr>
        <w:t>DOI: 10.1007/s10120-011-0041-5</w:t>
      </w:r>
      <w:r w:rsidRPr="0042521B">
        <w:rPr>
          <w:rFonts w:ascii="Book Antiqua" w:hAnsi="Book Antiqua"/>
        </w:rPr>
        <w:t>]</w:t>
      </w:r>
    </w:p>
    <w:p w14:paraId="57F12D6C"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15 </w:t>
      </w:r>
      <w:r w:rsidRPr="0042521B">
        <w:rPr>
          <w:rFonts w:ascii="Book Antiqua" w:hAnsi="Book Antiqua"/>
          <w:b/>
          <w:bCs/>
        </w:rPr>
        <w:t>Fujimoto K</w:t>
      </w:r>
      <w:r w:rsidRPr="0042521B">
        <w:rPr>
          <w:rFonts w:ascii="Book Antiqua" w:hAnsi="Book Antiqua"/>
        </w:rPr>
        <w:t>,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42521B">
        <w:rPr>
          <w:rFonts w:ascii="Book Antiqua" w:hAnsi="Book Antiqua"/>
          <w:i/>
          <w:iCs/>
        </w:rPr>
        <w:t>Dig Endosc</w:t>
      </w:r>
      <w:r w:rsidRPr="0042521B">
        <w:rPr>
          <w:rFonts w:ascii="Book Antiqua" w:hAnsi="Book Antiqua"/>
        </w:rPr>
        <w:t> 2014; </w:t>
      </w:r>
      <w:r w:rsidRPr="0042521B">
        <w:rPr>
          <w:rFonts w:ascii="Book Antiqua" w:hAnsi="Book Antiqua"/>
          <w:b/>
          <w:bCs/>
        </w:rPr>
        <w:t>26</w:t>
      </w:r>
      <w:r w:rsidRPr="0042521B">
        <w:rPr>
          <w:rFonts w:ascii="Book Antiqua" w:hAnsi="Book Antiqua"/>
        </w:rPr>
        <w:t>: 1-14 [PMID: 24215155 DOI: 10.1111/den.12183]</w:t>
      </w:r>
    </w:p>
    <w:p w14:paraId="5A686CF0"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16 </w:t>
      </w:r>
      <w:r w:rsidRPr="0042521B">
        <w:rPr>
          <w:rFonts w:ascii="Book Antiqua" w:hAnsi="Book Antiqua"/>
          <w:b/>
          <w:bCs/>
        </w:rPr>
        <w:t>Kato M</w:t>
      </w:r>
      <w:r w:rsidRPr="0042521B">
        <w:rPr>
          <w:rFonts w:ascii="Book Antiqua" w:hAnsi="Book Antiqua"/>
        </w:rPr>
        <w:t>, Uedo N, Hokimoto S, Ieko M, Higuchi K, Murakami K, Fujimoto K. Guidelines for Gastroenterological Endoscopy in Patients Undergoing Antithrombotic Treatment: 2017 Appendix on Anticoagulants Including Direct Oral Anticoagulants. </w:t>
      </w:r>
      <w:r w:rsidRPr="0042521B">
        <w:rPr>
          <w:rFonts w:ascii="Book Antiqua" w:hAnsi="Book Antiqua"/>
          <w:i/>
          <w:iCs/>
        </w:rPr>
        <w:t>Dig Endosc</w:t>
      </w:r>
      <w:r w:rsidRPr="0042521B">
        <w:rPr>
          <w:rFonts w:ascii="Book Antiqua" w:hAnsi="Book Antiqua"/>
        </w:rPr>
        <w:t> 2018; </w:t>
      </w:r>
      <w:r w:rsidRPr="0042521B">
        <w:rPr>
          <w:rFonts w:ascii="Book Antiqua" w:hAnsi="Book Antiqua"/>
          <w:b/>
          <w:bCs/>
        </w:rPr>
        <w:t>30</w:t>
      </w:r>
      <w:r w:rsidRPr="0042521B">
        <w:rPr>
          <w:rFonts w:ascii="Book Antiqua" w:hAnsi="Book Antiqua"/>
        </w:rPr>
        <w:t>: 433-440 [PMID: 29733468 DOI: 10.1111/den.13184]</w:t>
      </w:r>
    </w:p>
    <w:p w14:paraId="732811D2"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17 </w:t>
      </w:r>
      <w:r w:rsidRPr="0042521B">
        <w:rPr>
          <w:rFonts w:ascii="Book Antiqua" w:hAnsi="Book Antiqua"/>
          <w:b/>
          <w:bCs/>
        </w:rPr>
        <w:t>Douketis JD</w:t>
      </w:r>
      <w:r w:rsidRPr="0042521B">
        <w:rPr>
          <w:rFonts w:ascii="Book Antiqua" w:hAnsi="Book Antiqua"/>
        </w:rPr>
        <w:t>, Spyropoulos AC, Kaatz S, Becker RC, Caprini JA, Dunn AS, Garcia DA, Jacobson A, Jaffer AK, Kong DF, Schulman S, Turpie AG, Hasselblad V, Ortel TL; BRIDGE Investigators. Perioperative Bridging Anticoagulation in Patients with Atrial Fibrillation. </w:t>
      </w:r>
      <w:r w:rsidRPr="0042521B">
        <w:rPr>
          <w:rFonts w:ascii="Book Antiqua" w:hAnsi="Book Antiqua"/>
          <w:i/>
          <w:iCs/>
        </w:rPr>
        <w:t>N Engl J Med</w:t>
      </w:r>
      <w:r w:rsidRPr="0042521B">
        <w:rPr>
          <w:rFonts w:ascii="Book Antiqua" w:hAnsi="Book Antiqua"/>
        </w:rPr>
        <w:t> 2015; </w:t>
      </w:r>
      <w:r w:rsidRPr="0042521B">
        <w:rPr>
          <w:rFonts w:ascii="Book Antiqua" w:hAnsi="Book Antiqua"/>
          <w:b/>
          <w:bCs/>
        </w:rPr>
        <w:t>373</w:t>
      </w:r>
      <w:r w:rsidRPr="0042521B">
        <w:rPr>
          <w:rFonts w:ascii="Book Antiqua" w:hAnsi="Book Antiqua"/>
        </w:rPr>
        <w:t>: 823-833 [PMID: 26095867 DOI: 10.1056/NEJMoa1501035]</w:t>
      </w:r>
    </w:p>
    <w:p w14:paraId="63408EF0"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18 </w:t>
      </w:r>
      <w:r w:rsidRPr="0042521B">
        <w:rPr>
          <w:rFonts w:ascii="Book Antiqua" w:hAnsi="Book Antiqua"/>
          <w:b/>
          <w:bCs/>
        </w:rPr>
        <w:t>Gotoda T</w:t>
      </w:r>
      <w:r w:rsidRPr="0042521B">
        <w:rPr>
          <w:rFonts w:ascii="Book Antiqua" w:hAnsi="Book Antiqua"/>
        </w:rPr>
        <w:t>, Hori K, Iwamuro M, Kono Y, Miura K, Kanzaki H, Kawano S, Kawahara Y, Okada H. Evaluation of the bleeding risk with various antithrombotic therapies after gastric endoscopic submucosal dissection. </w:t>
      </w:r>
      <w:r w:rsidRPr="0042521B">
        <w:rPr>
          <w:rFonts w:ascii="Book Antiqua" w:hAnsi="Book Antiqua"/>
          <w:i/>
          <w:iCs/>
        </w:rPr>
        <w:t>Endosc Int Open</w:t>
      </w:r>
      <w:r w:rsidRPr="0042521B">
        <w:rPr>
          <w:rFonts w:ascii="Book Antiqua" w:hAnsi="Book Antiqua"/>
        </w:rPr>
        <w:t> 2017; </w:t>
      </w:r>
      <w:r w:rsidRPr="0042521B">
        <w:rPr>
          <w:rFonts w:ascii="Book Antiqua" w:hAnsi="Book Antiqua"/>
          <w:b/>
          <w:bCs/>
        </w:rPr>
        <w:t>5</w:t>
      </w:r>
      <w:r w:rsidRPr="0042521B">
        <w:rPr>
          <w:rFonts w:ascii="Book Antiqua" w:hAnsi="Book Antiqua"/>
        </w:rPr>
        <w:t>: E653-E662 [PMID: 28691050 DOI: 10.1055/s-0043-110050]</w:t>
      </w:r>
    </w:p>
    <w:p w14:paraId="3EB86B86"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19 </w:t>
      </w:r>
      <w:r w:rsidRPr="0042521B">
        <w:rPr>
          <w:rFonts w:ascii="Book Antiqua" w:hAnsi="Book Antiqua"/>
          <w:b/>
          <w:bCs/>
        </w:rPr>
        <w:t>Igarashi K</w:t>
      </w:r>
      <w:r w:rsidRPr="0042521B">
        <w:rPr>
          <w:rFonts w:ascii="Book Antiqua" w:hAnsi="Book Antiqua"/>
        </w:rPr>
        <w:t xml:space="preserve">, Takizawa K, Kakushima N, Tanaka M, Kawata N, Yoshida M, Ito S, Imai K, Hotta K, Ishiwatari H, Matsubayashi H, Ono H. Should antithrombotic therapy be </w:t>
      </w:r>
      <w:r w:rsidRPr="0042521B">
        <w:rPr>
          <w:rFonts w:ascii="Book Antiqua" w:hAnsi="Book Antiqua"/>
        </w:rPr>
        <w:lastRenderedPageBreak/>
        <w:t>stopped in patients undergoing gastric endoscopic submucosal dissection? </w:t>
      </w:r>
      <w:r w:rsidRPr="0042521B">
        <w:rPr>
          <w:rFonts w:ascii="Book Antiqua" w:hAnsi="Book Antiqua"/>
          <w:i/>
          <w:iCs/>
        </w:rPr>
        <w:t>Surg Endosc</w:t>
      </w:r>
      <w:r w:rsidRPr="0042521B">
        <w:rPr>
          <w:rFonts w:ascii="Book Antiqua" w:hAnsi="Book Antiqua"/>
        </w:rPr>
        <w:t> 2017; </w:t>
      </w:r>
      <w:r w:rsidRPr="0042521B">
        <w:rPr>
          <w:rFonts w:ascii="Book Antiqua" w:hAnsi="Book Antiqua"/>
          <w:b/>
          <w:bCs/>
        </w:rPr>
        <w:t>31</w:t>
      </w:r>
      <w:r w:rsidRPr="0042521B">
        <w:rPr>
          <w:rFonts w:ascii="Book Antiqua" w:hAnsi="Book Antiqua"/>
        </w:rPr>
        <w:t>: 1746-1753 [</w:t>
      </w:r>
      <w:bookmarkStart w:id="28" w:name="OLE_LINK11"/>
      <w:r w:rsidRPr="0042521B">
        <w:rPr>
          <w:rFonts w:ascii="Book Antiqua" w:hAnsi="Book Antiqua"/>
        </w:rPr>
        <w:t>PMID: 27530896</w:t>
      </w:r>
      <w:bookmarkEnd w:id="28"/>
      <w:r w:rsidR="009F3F46" w:rsidRPr="0042521B">
        <w:rPr>
          <w:rFonts w:ascii="Book Antiqua" w:hAnsi="Book Antiqua" w:hint="eastAsia"/>
        </w:rPr>
        <w:t xml:space="preserve"> </w:t>
      </w:r>
      <w:r w:rsidR="009F3F46" w:rsidRPr="0042521B">
        <w:rPr>
          <w:rFonts w:ascii="Book Antiqua" w:hAnsi="Book Antiqua"/>
        </w:rPr>
        <w:t>DOI: 10.1007/s00464-016-5167-4</w:t>
      </w:r>
      <w:r w:rsidRPr="0042521B">
        <w:rPr>
          <w:rFonts w:ascii="Book Antiqua" w:hAnsi="Book Antiqua"/>
        </w:rPr>
        <w:t>]</w:t>
      </w:r>
    </w:p>
    <w:p w14:paraId="4401C175"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20 </w:t>
      </w:r>
      <w:r w:rsidRPr="0042521B">
        <w:rPr>
          <w:rFonts w:ascii="Book Antiqua" w:hAnsi="Book Antiqua"/>
          <w:b/>
          <w:bCs/>
        </w:rPr>
        <w:t>Sanomura Y</w:t>
      </w:r>
      <w:r w:rsidRPr="0042521B">
        <w:rPr>
          <w:rFonts w:ascii="Book Antiqua" w:hAnsi="Book Antiqua"/>
        </w:rPr>
        <w:t>, Oka S, Tanaka S, Yorita N, Kuroki K, Kurihara M, Mizumoto T, Yoshifuku Y, Chayama K. Taking Warfarin with Heparin Replacement and Direct Oral Anticoagulant Is a Risk Factor for Bleeding after Endoscopic Submucosal Dissection for Early Gastric Cancer. </w:t>
      </w:r>
      <w:r w:rsidRPr="0042521B">
        <w:rPr>
          <w:rFonts w:ascii="Book Antiqua" w:hAnsi="Book Antiqua"/>
          <w:i/>
          <w:iCs/>
        </w:rPr>
        <w:t>Digestion</w:t>
      </w:r>
      <w:r w:rsidRPr="0042521B">
        <w:rPr>
          <w:rFonts w:ascii="Book Antiqua" w:hAnsi="Book Antiqua"/>
        </w:rPr>
        <w:t> 2018; </w:t>
      </w:r>
      <w:r w:rsidRPr="0042521B">
        <w:rPr>
          <w:rFonts w:ascii="Book Antiqua" w:hAnsi="Book Antiqua"/>
          <w:b/>
          <w:bCs/>
        </w:rPr>
        <w:t>97</w:t>
      </w:r>
      <w:r w:rsidRPr="0042521B">
        <w:rPr>
          <w:rFonts w:ascii="Book Antiqua" w:hAnsi="Book Antiqua"/>
        </w:rPr>
        <w:t>: 240-249 [PMID: 29421806 DOI: 10.1159/000485026]</w:t>
      </w:r>
    </w:p>
    <w:p w14:paraId="12676DD0"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21 </w:t>
      </w:r>
      <w:r w:rsidRPr="0042521B">
        <w:rPr>
          <w:rFonts w:ascii="Book Antiqua" w:hAnsi="Book Antiqua"/>
          <w:b/>
          <w:bCs/>
        </w:rPr>
        <w:t>Takeuchi T</w:t>
      </w:r>
      <w:r w:rsidRPr="0042521B">
        <w:rPr>
          <w:rFonts w:ascii="Book Antiqua" w:hAnsi="Book Antiqua"/>
        </w:rPr>
        <w:t>, Ota K, Harada S, Edogawa S, Kojima Y, Tokioka S, Umegaki E, Higuchi K. The postoperative bleeding rate and its risk factors in patients on antithrombotic therapy who undergo gastric endoscopic submucosal dissection. </w:t>
      </w:r>
      <w:r w:rsidRPr="0042521B">
        <w:rPr>
          <w:rFonts w:ascii="Book Antiqua" w:hAnsi="Book Antiqua"/>
          <w:i/>
          <w:iCs/>
        </w:rPr>
        <w:t>BMC Gastroenterol</w:t>
      </w:r>
      <w:r w:rsidRPr="0042521B">
        <w:rPr>
          <w:rFonts w:ascii="Book Antiqua" w:hAnsi="Book Antiqua"/>
        </w:rPr>
        <w:t> 2013; </w:t>
      </w:r>
      <w:r w:rsidRPr="0042521B">
        <w:rPr>
          <w:rFonts w:ascii="Book Antiqua" w:hAnsi="Book Antiqua"/>
          <w:b/>
          <w:bCs/>
        </w:rPr>
        <w:t>13</w:t>
      </w:r>
      <w:r w:rsidRPr="0042521B">
        <w:rPr>
          <w:rFonts w:ascii="Book Antiqua" w:hAnsi="Book Antiqua"/>
        </w:rPr>
        <w:t>: 136 [PMID: 24010587 DOI: 10.1186/1471-230X-13-136]</w:t>
      </w:r>
    </w:p>
    <w:p w14:paraId="24EC82E8"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22 </w:t>
      </w:r>
      <w:r w:rsidRPr="0042521B">
        <w:rPr>
          <w:rFonts w:ascii="Book Antiqua" w:hAnsi="Book Antiqua"/>
          <w:b/>
          <w:bCs/>
        </w:rPr>
        <w:t>Tounou S</w:t>
      </w:r>
      <w:r w:rsidRPr="0042521B">
        <w:rPr>
          <w:rFonts w:ascii="Book Antiqua" w:hAnsi="Book Antiqua"/>
        </w:rPr>
        <w:t>, Morita Y, Hosono T. Continuous aspirin use does not increase post-endoscopic dissection bleeding risk for gastric neoplasms in patients on antiplatelet therapy. </w:t>
      </w:r>
      <w:r w:rsidRPr="0042521B">
        <w:rPr>
          <w:rFonts w:ascii="Book Antiqua" w:hAnsi="Book Antiqua"/>
          <w:i/>
          <w:iCs/>
        </w:rPr>
        <w:t>Endosc Int Open</w:t>
      </w:r>
      <w:r w:rsidRPr="0042521B">
        <w:rPr>
          <w:rFonts w:ascii="Book Antiqua" w:hAnsi="Book Antiqua"/>
        </w:rPr>
        <w:t> 2015; </w:t>
      </w:r>
      <w:r w:rsidRPr="0042521B">
        <w:rPr>
          <w:rFonts w:ascii="Book Antiqua" w:hAnsi="Book Antiqua"/>
          <w:b/>
          <w:bCs/>
        </w:rPr>
        <w:t>3</w:t>
      </w:r>
      <w:r w:rsidRPr="0042521B">
        <w:rPr>
          <w:rFonts w:ascii="Book Antiqua" w:hAnsi="Book Antiqua"/>
        </w:rPr>
        <w:t>: E31-E38 [PMID: 26134769 DOI: 10.1055/s-0034-1390764]</w:t>
      </w:r>
    </w:p>
    <w:p w14:paraId="2066B68E"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23 </w:t>
      </w:r>
      <w:r w:rsidRPr="0042521B">
        <w:rPr>
          <w:rFonts w:ascii="Book Antiqua" w:hAnsi="Book Antiqua"/>
          <w:b/>
          <w:bCs/>
        </w:rPr>
        <w:t>Yoshio T</w:t>
      </w:r>
      <w:r w:rsidRPr="0042521B">
        <w:rPr>
          <w:rFonts w:ascii="Book Antiqua" w:hAnsi="Book Antiqua"/>
        </w:rPr>
        <w:t>, Tomida H, Iwasaki R, Horiuchi Y, Omae M, Ishiyama A, Hirasawa T, Yamamoto Y, Tsuchida T, Fujisaki J, Yamada T, Mita E, Ninomiya T, Michitaka K, Igarashi M. Effect of direct oral anticoagulants on the risk of delayed bleeding after gastric endoscopic submucosal dissection. </w:t>
      </w:r>
      <w:r w:rsidRPr="0042521B">
        <w:rPr>
          <w:rFonts w:ascii="Book Antiqua" w:hAnsi="Book Antiqua"/>
          <w:i/>
          <w:iCs/>
        </w:rPr>
        <w:t>Dig Endosc</w:t>
      </w:r>
      <w:r w:rsidRPr="0042521B">
        <w:rPr>
          <w:rFonts w:ascii="Book Antiqua" w:hAnsi="Book Antiqua"/>
        </w:rPr>
        <w:t> 2017; </w:t>
      </w:r>
      <w:r w:rsidRPr="0042521B">
        <w:rPr>
          <w:rFonts w:ascii="Book Antiqua" w:hAnsi="Book Antiqua"/>
          <w:b/>
          <w:bCs/>
        </w:rPr>
        <w:t>29</w:t>
      </w:r>
      <w:r w:rsidRPr="0042521B">
        <w:rPr>
          <w:rFonts w:ascii="Book Antiqua" w:hAnsi="Book Antiqua"/>
        </w:rPr>
        <w:t>: 686-694 [PMID: 28295638 DOI: 10.1111/den.12859]</w:t>
      </w:r>
    </w:p>
    <w:p w14:paraId="1F7628E0"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24 </w:t>
      </w:r>
      <w:r w:rsidRPr="0042521B">
        <w:rPr>
          <w:rFonts w:ascii="Book Antiqua" w:hAnsi="Book Antiqua"/>
          <w:b/>
          <w:bCs/>
        </w:rPr>
        <w:t>Ono S</w:t>
      </w:r>
      <w:r w:rsidRPr="0042521B">
        <w:rPr>
          <w:rFonts w:ascii="Book Antiqua" w:hAnsi="Book Antiqua"/>
        </w:rPr>
        <w:t>, Fujishiro M, Yoshida N, Doyama H, Kamoshida T, Hirai S, Kishihara T, Yamamoto Y, Sakae H, Imagawa A, Hirano M, Koike K. Thienopyridine derivatives as risk factors for bleeding following high risk endoscopic treatments: Safe Treatment on Antiplatelets (STRAP) study. </w:t>
      </w:r>
      <w:r w:rsidRPr="0042521B">
        <w:rPr>
          <w:rFonts w:ascii="Book Antiqua" w:hAnsi="Book Antiqua"/>
          <w:i/>
          <w:iCs/>
        </w:rPr>
        <w:t>Endoscopy</w:t>
      </w:r>
      <w:r w:rsidRPr="0042521B">
        <w:rPr>
          <w:rFonts w:ascii="Book Antiqua" w:hAnsi="Book Antiqua"/>
        </w:rPr>
        <w:t> 2015; </w:t>
      </w:r>
      <w:r w:rsidRPr="0042521B">
        <w:rPr>
          <w:rFonts w:ascii="Book Antiqua" w:hAnsi="Book Antiqua"/>
          <w:b/>
          <w:bCs/>
        </w:rPr>
        <w:t>47</w:t>
      </w:r>
      <w:r w:rsidRPr="0042521B">
        <w:rPr>
          <w:rFonts w:ascii="Book Antiqua" w:hAnsi="Book Antiqua"/>
        </w:rPr>
        <w:t>: 632-637 [PMID: 25590184 DOI: 10.1055/s-0034-1391354]</w:t>
      </w:r>
    </w:p>
    <w:p w14:paraId="130AD133"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25 </w:t>
      </w:r>
      <w:r w:rsidRPr="0042521B">
        <w:rPr>
          <w:rFonts w:ascii="Book Antiqua" w:hAnsi="Book Antiqua"/>
          <w:b/>
          <w:bCs/>
        </w:rPr>
        <w:t>Dong J</w:t>
      </w:r>
      <w:r w:rsidRPr="0042521B">
        <w:rPr>
          <w:rFonts w:ascii="Book Antiqua" w:hAnsi="Book Antiqua"/>
        </w:rPr>
        <w:t>, Wei K, Deng J, Zhou X, Huang X, Deng M, Lü M. Effects of antithrombotic therapy on bleeding after endoscopic submucosal dissection. </w:t>
      </w:r>
      <w:r w:rsidRPr="0042521B">
        <w:rPr>
          <w:rFonts w:ascii="Book Antiqua" w:hAnsi="Book Antiqua"/>
          <w:i/>
          <w:iCs/>
        </w:rPr>
        <w:t>Gastrointest Endosc</w:t>
      </w:r>
      <w:r w:rsidRPr="0042521B">
        <w:rPr>
          <w:rFonts w:ascii="Book Antiqua" w:hAnsi="Book Antiqua"/>
        </w:rPr>
        <w:t> 2017; </w:t>
      </w:r>
      <w:r w:rsidRPr="0042521B">
        <w:rPr>
          <w:rFonts w:ascii="Book Antiqua" w:hAnsi="Book Antiqua"/>
          <w:b/>
          <w:bCs/>
        </w:rPr>
        <w:t>86</w:t>
      </w:r>
      <w:r w:rsidRPr="0042521B">
        <w:rPr>
          <w:rFonts w:ascii="Book Antiqua" w:hAnsi="Book Antiqua"/>
        </w:rPr>
        <w:t>: 807-816 [PMID: 28732709 DOI: 10.1016/j.gie.2017.07.017]</w:t>
      </w:r>
    </w:p>
    <w:p w14:paraId="2108515E"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26 </w:t>
      </w:r>
      <w:r w:rsidRPr="0042521B">
        <w:rPr>
          <w:rFonts w:ascii="Book Antiqua" w:hAnsi="Book Antiqua"/>
          <w:b/>
          <w:bCs/>
        </w:rPr>
        <w:t>Uedo N</w:t>
      </w:r>
      <w:r w:rsidRPr="0042521B">
        <w:rPr>
          <w:rFonts w:ascii="Book Antiqua" w:hAnsi="Book Antiqua"/>
        </w:rPr>
        <w:t xml:space="preserve">, Takeuchi Y, Yamada T, Ishihara R, Ogiyama H, Yamamoto S, Kato M, Tatsumi K, Masuda E, Tamai C, Yamamoto S, Higashino K, Iishi H, Tatsuta M. Effect of </w:t>
      </w:r>
      <w:r w:rsidRPr="0042521B">
        <w:rPr>
          <w:rFonts w:ascii="Book Antiqua" w:hAnsi="Book Antiqua"/>
        </w:rPr>
        <w:lastRenderedPageBreak/>
        <w:t>a proton pump inhibitor or an H2-receptor antagonist on prevention of bleeding from ulcer after endoscopic submucosal dissection of early gastric cancer: a prospective randomized controlled trial. </w:t>
      </w:r>
      <w:r w:rsidRPr="0042521B">
        <w:rPr>
          <w:rFonts w:ascii="Book Antiqua" w:hAnsi="Book Antiqua"/>
          <w:i/>
          <w:iCs/>
        </w:rPr>
        <w:t>Am J Gastroenterol</w:t>
      </w:r>
      <w:r w:rsidRPr="0042521B">
        <w:rPr>
          <w:rFonts w:ascii="Book Antiqua" w:hAnsi="Book Antiqua"/>
        </w:rPr>
        <w:t> 2007; </w:t>
      </w:r>
      <w:r w:rsidRPr="0042521B">
        <w:rPr>
          <w:rFonts w:ascii="Book Antiqua" w:hAnsi="Book Antiqua"/>
          <w:b/>
          <w:bCs/>
        </w:rPr>
        <w:t>102</w:t>
      </w:r>
      <w:r w:rsidRPr="0042521B">
        <w:rPr>
          <w:rFonts w:ascii="Book Antiqua" w:hAnsi="Book Antiqua"/>
        </w:rPr>
        <w:t>: 1610-1616 [PMID: 17403076 DOI: 10.1111/j.1572-0241.2007.01197.x]</w:t>
      </w:r>
    </w:p>
    <w:p w14:paraId="572653B2"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27 </w:t>
      </w:r>
      <w:r w:rsidRPr="0042521B">
        <w:rPr>
          <w:rFonts w:ascii="Book Antiqua" w:hAnsi="Book Antiqua"/>
          <w:b/>
          <w:bCs/>
        </w:rPr>
        <w:t>Takizawa K</w:t>
      </w:r>
      <w:r w:rsidRPr="0042521B">
        <w:rPr>
          <w:rFonts w:ascii="Book Antiqua" w:hAnsi="Book Antiqua"/>
        </w:rPr>
        <w:t>, Oda I, Gotoda T, Yokoi C, Matsuda T, Saito Y, Saito D, Ono H. Routine coagulation of visible vessels may prevent delayed bleeding after endoscopic submucosal dissection--an analysis of risk factors. </w:t>
      </w:r>
      <w:r w:rsidRPr="0042521B">
        <w:rPr>
          <w:rFonts w:ascii="Book Antiqua" w:hAnsi="Book Antiqua"/>
          <w:i/>
          <w:iCs/>
        </w:rPr>
        <w:t>Endoscopy</w:t>
      </w:r>
      <w:r w:rsidRPr="0042521B">
        <w:rPr>
          <w:rFonts w:ascii="Book Antiqua" w:hAnsi="Book Antiqua"/>
        </w:rPr>
        <w:t> 2008; </w:t>
      </w:r>
      <w:r w:rsidRPr="0042521B">
        <w:rPr>
          <w:rFonts w:ascii="Book Antiqua" w:hAnsi="Book Antiqua"/>
          <w:b/>
          <w:bCs/>
        </w:rPr>
        <w:t>40</w:t>
      </w:r>
      <w:r w:rsidRPr="0042521B">
        <w:rPr>
          <w:rFonts w:ascii="Book Antiqua" w:hAnsi="Book Antiqua"/>
        </w:rPr>
        <w:t>: 179-183 [</w:t>
      </w:r>
      <w:bookmarkStart w:id="29" w:name="OLE_LINK12"/>
      <w:bookmarkStart w:id="30" w:name="OLE_LINK13"/>
      <w:r w:rsidRPr="0042521B">
        <w:rPr>
          <w:rFonts w:ascii="Book Antiqua" w:hAnsi="Book Antiqua"/>
        </w:rPr>
        <w:t>PMID: 18322872</w:t>
      </w:r>
      <w:bookmarkEnd w:id="29"/>
      <w:bookmarkEnd w:id="30"/>
      <w:r w:rsidRPr="0042521B">
        <w:rPr>
          <w:rFonts w:ascii="Book Antiqua" w:hAnsi="Book Antiqua"/>
        </w:rPr>
        <w:t xml:space="preserve"> </w:t>
      </w:r>
      <w:r w:rsidR="00E24E8E" w:rsidRPr="0042521B">
        <w:rPr>
          <w:rFonts w:ascii="Book Antiqua" w:hAnsi="Book Antiqua"/>
        </w:rPr>
        <w:t>DOI: 10.1055/s-2007-995530</w:t>
      </w:r>
      <w:r w:rsidRPr="0042521B">
        <w:rPr>
          <w:rFonts w:ascii="Book Antiqua" w:hAnsi="Book Antiqua"/>
        </w:rPr>
        <w:t>]</w:t>
      </w:r>
    </w:p>
    <w:p w14:paraId="7465B79E"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28 </w:t>
      </w:r>
      <w:r w:rsidRPr="0042521B">
        <w:rPr>
          <w:rFonts w:ascii="Book Antiqua" w:hAnsi="Book Antiqua"/>
          <w:b/>
          <w:bCs/>
        </w:rPr>
        <w:t>Mochizuki S</w:t>
      </w:r>
      <w:r w:rsidRPr="0042521B">
        <w:rPr>
          <w:rFonts w:ascii="Book Antiqua" w:hAnsi="Book Antiqua"/>
        </w:rPr>
        <w:t>, Uedo N, Oda I, Kaneko K, Yamamoto Y, Yamashina T, Suzuki H, Kodashima S, Yano T, Yamamichi N, Goto O, Shimamoto T, Fujishiro M, Koike K; SAFE Trial Study Group. Scheduled second-look endoscopy is not recommended after endoscopic submucosal dissection for gastric neoplasms (the SAFE trial): a multicentre prospective randomised controlled non-inferiority trial. </w:t>
      </w:r>
      <w:r w:rsidRPr="0042521B">
        <w:rPr>
          <w:rFonts w:ascii="Book Antiqua" w:hAnsi="Book Antiqua"/>
          <w:i/>
          <w:iCs/>
        </w:rPr>
        <w:t>Gut</w:t>
      </w:r>
      <w:r w:rsidRPr="0042521B">
        <w:rPr>
          <w:rFonts w:ascii="Book Antiqua" w:hAnsi="Book Antiqua"/>
        </w:rPr>
        <w:t> 2015; </w:t>
      </w:r>
      <w:r w:rsidRPr="0042521B">
        <w:rPr>
          <w:rFonts w:ascii="Book Antiqua" w:hAnsi="Book Antiqua"/>
          <w:b/>
          <w:bCs/>
        </w:rPr>
        <w:t>64</w:t>
      </w:r>
      <w:r w:rsidRPr="0042521B">
        <w:rPr>
          <w:rFonts w:ascii="Book Antiqua" w:hAnsi="Book Antiqua"/>
        </w:rPr>
        <w:t>: 397-405 [PMID: 25301853 DOI: 10.1136/gutjnl-2014-307552]</w:t>
      </w:r>
    </w:p>
    <w:p w14:paraId="7D420E13"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29 </w:t>
      </w:r>
      <w:r w:rsidRPr="0042521B">
        <w:rPr>
          <w:rFonts w:ascii="Book Antiqua" w:hAnsi="Book Antiqua"/>
          <w:b/>
          <w:bCs/>
        </w:rPr>
        <w:t>Tano S</w:t>
      </w:r>
      <w:r w:rsidRPr="0042521B">
        <w:rPr>
          <w:rFonts w:ascii="Book Antiqua" w:hAnsi="Book Antiqua"/>
        </w:rPr>
        <w:t>, Horiki N, Omata F, Tanaka K, Hamada Y, Katsurahara M, Ninomiya K, Nishikawa K, Nojiri K, Yamada R, Inoue H, Gabazza EC, Katayama N, Takei Y. Second and third-look endoscopy for the prevention of post-ESD bleeding. </w:t>
      </w:r>
      <w:r w:rsidRPr="0042521B">
        <w:rPr>
          <w:rFonts w:ascii="Book Antiqua" w:hAnsi="Book Antiqua"/>
          <w:i/>
          <w:iCs/>
        </w:rPr>
        <w:t>Medicine (Baltimore)</w:t>
      </w:r>
      <w:r w:rsidRPr="0042521B">
        <w:rPr>
          <w:rFonts w:ascii="Book Antiqua" w:hAnsi="Book Antiqua"/>
        </w:rPr>
        <w:t> 2015; </w:t>
      </w:r>
      <w:r w:rsidRPr="0042521B">
        <w:rPr>
          <w:rFonts w:ascii="Book Antiqua" w:hAnsi="Book Antiqua"/>
          <w:b/>
          <w:bCs/>
        </w:rPr>
        <w:t>94</w:t>
      </w:r>
      <w:r w:rsidRPr="0042521B">
        <w:rPr>
          <w:rFonts w:ascii="Book Antiqua" w:hAnsi="Book Antiqua"/>
        </w:rPr>
        <w:t>: e491 [PMID: 25674738 DOI: 10.1097/MD.0000000000000491]</w:t>
      </w:r>
    </w:p>
    <w:p w14:paraId="6A22DB79"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30 </w:t>
      </w:r>
      <w:r w:rsidRPr="0042521B">
        <w:rPr>
          <w:rFonts w:ascii="Book Antiqua" w:hAnsi="Book Antiqua"/>
          <w:b/>
          <w:bCs/>
        </w:rPr>
        <w:t>Takeuchi K</w:t>
      </w:r>
      <w:r w:rsidRPr="0042521B">
        <w:rPr>
          <w:rFonts w:ascii="Book Antiqua" w:hAnsi="Book Antiqua"/>
        </w:rPr>
        <w:t>, Kishi S. [Studies on the fine vessels in the healing process of acetic acid ulcer in the rat stomach--scanning electron microscopic studies using plastic vascular models]. </w:t>
      </w:r>
      <w:r w:rsidRPr="0042521B">
        <w:rPr>
          <w:rFonts w:ascii="Book Antiqua" w:hAnsi="Book Antiqua"/>
          <w:i/>
          <w:iCs/>
        </w:rPr>
        <w:t>Nihon Shokakibyo Gakkai Zasshi</w:t>
      </w:r>
      <w:r w:rsidRPr="0042521B">
        <w:rPr>
          <w:rFonts w:ascii="Book Antiqua" w:hAnsi="Book Antiqua"/>
        </w:rPr>
        <w:t> 1983; </w:t>
      </w:r>
      <w:r w:rsidRPr="0042521B">
        <w:rPr>
          <w:rFonts w:ascii="Book Antiqua" w:hAnsi="Book Antiqua"/>
          <w:b/>
          <w:bCs/>
        </w:rPr>
        <w:t>80</w:t>
      </w:r>
      <w:r w:rsidRPr="0042521B">
        <w:rPr>
          <w:rFonts w:ascii="Book Antiqua" w:hAnsi="Book Antiqua"/>
        </w:rPr>
        <w:t>: 9-15 [</w:t>
      </w:r>
      <w:bookmarkStart w:id="31" w:name="OLE_LINK14"/>
      <w:bookmarkStart w:id="32" w:name="OLE_LINK15"/>
      <w:r w:rsidRPr="0042521B">
        <w:rPr>
          <w:rFonts w:ascii="Book Antiqua" w:hAnsi="Book Antiqua"/>
        </w:rPr>
        <w:t>PMID: 6842900</w:t>
      </w:r>
      <w:bookmarkEnd w:id="31"/>
      <w:bookmarkEnd w:id="32"/>
      <w:r w:rsidRPr="0042521B">
        <w:rPr>
          <w:rFonts w:ascii="Book Antiqua" w:hAnsi="Book Antiqua"/>
        </w:rPr>
        <w:t>]</w:t>
      </w:r>
    </w:p>
    <w:p w14:paraId="564A9270"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31 </w:t>
      </w:r>
      <w:r w:rsidRPr="0042521B">
        <w:rPr>
          <w:rFonts w:ascii="Book Antiqua" w:hAnsi="Book Antiqua"/>
          <w:b/>
          <w:bCs/>
        </w:rPr>
        <w:t>Maulaz AB</w:t>
      </w:r>
      <w:r w:rsidRPr="0042521B">
        <w:rPr>
          <w:rFonts w:ascii="Book Antiqua" w:hAnsi="Book Antiqua"/>
        </w:rPr>
        <w:t>, Bezerra DC, Michel P, Bogousslavsky J. Effect of discontinuing aspirin therapy on the risk of brain ischemic stroke. </w:t>
      </w:r>
      <w:r w:rsidRPr="0042521B">
        <w:rPr>
          <w:rFonts w:ascii="Book Antiqua" w:hAnsi="Book Antiqua"/>
          <w:i/>
          <w:iCs/>
        </w:rPr>
        <w:t>Arch Neurol</w:t>
      </w:r>
      <w:r w:rsidRPr="0042521B">
        <w:rPr>
          <w:rFonts w:ascii="Book Antiqua" w:hAnsi="Book Antiqua"/>
        </w:rPr>
        <w:t> 2005; </w:t>
      </w:r>
      <w:r w:rsidRPr="0042521B">
        <w:rPr>
          <w:rFonts w:ascii="Book Antiqua" w:hAnsi="Book Antiqua"/>
          <w:b/>
          <w:bCs/>
        </w:rPr>
        <w:t>62</w:t>
      </w:r>
      <w:r w:rsidRPr="0042521B">
        <w:rPr>
          <w:rFonts w:ascii="Book Antiqua" w:hAnsi="Book Antiqua"/>
        </w:rPr>
        <w:t>: 1217-1220 [PMID: 16087761 DOI: 10.1001/archneur.62.8.1217]</w:t>
      </w:r>
    </w:p>
    <w:p w14:paraId="05E0B898"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32 </w:t>
      </w:r>
      <w:r w:rsidRPr="0042521B">
        <w:rPr>
          <w:rFonts w:ascii="Book Antiqua" w:hAnsi="Book Antiqua"/>
          <w:b/>
          <w:bCs/>
        </w:rPr>
        <w:t>Biondi-Zoccai GG</w:t>
      </w:r>
      <w:r w:rsidRPr="0042521B">
        <w:rPr>
          <w:rFonts w:ascii="Book Antiqua" w:hAnsi="Book Antiqua"/>
        </w:rPr>
        <w:t>, Lotrionte M, Agostoni P, Abbate A, Fusaro M, Burzotta F, Testa L, Sheiban I, Sangiorgi G. A systematic review and meta-analysis on the hazards of discontinuing or not adhering to aspirin among 50,279 patients at risk for coronary artery disease. </w:t>
      </w:r>
      <w:r w:rsidRPr="0042521B">
        <w:rPr>
          <w:rFonts w:ascii="Book Antiqua" w:hAnsi="Book Antiqua"/>
          <w:i/>
          <w:iCs/>
        </w:rPr>
        <w:t>Eur Heart J</w:t>
      </w:r>
      <w:r w:rsidRPr="0042521B">
        <w:rPr>
          <w:rFonts w:ascii="Book Antiqua" w:hAnsi="Book Antiqua"/>
        </w:rPr>
        <w:t> 2006; </w:t>
      </w:r>
      <w:r w:rsidRPr="0042521B">
        <w:rPr>
          <w:rFonts w:ascii="Book Antiqua" w:hAnsi="Book Antiqua"/>
          <w:b/>
          <w:bCs/>
        </w:rPr>
        <w:t>27</w:t>
      </w:r>
      <w:r w:rsidRPr="0042521B">
        <w:rPr>
          <w:rFonts w:ascii="Book Antiqua" w:hAnsi="Book Antiqua"/>
        </w:rPr>
        <w:t>: 2667-2674 [PMID: 17053008 DOI: 10.1093/eurheartj/ehl334]</w:t>
      </w:r>
    </w:p>
    <w:p w14:paraId="191653E5"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lastRenderedPageBreak/>
        <w:t>33 </w:t>
      </w:r>
      <w:r w:rsidRPr="0042521B">
        <w:rPr>
          <w:rFonts w:ascii="Book Antiqua" w:hAnsi="Book Antiqua"/>
          <w:b/>
          <w:bCs/>
        </w:rPr>
        <w:t>Kazi DS</w:t>
      </w:r>
      <w:r w:rsidRPr="0042521B">
        <w:rPr>
          <w:rFonts w:ascii="Book Antiqua" w:hAnsi="Book Antiqua"/>
        </w:rPr>
        <w:t>, Leong TK, Chang TI, Solomon MD, Hlatky MA, Go AS. Association of spontaneous bleeding and myocardial infarction with long-term mortality after percutaneous coronary intervention. </w:t>
      </w:r>
      <w:r w:rsidRPr="0042521B">
        <w:rPr>
          <w:rFonts w:ascii="Book Antiqua" w:hAnsi="Book Antiqua"/>
          <w:i/>
          <w:iCs/>
        </w:rPr>
        <w:t>J Am Coll Cardiol</w:t>
      </w:r>
      <w:r w:rsidRPr="0042521B">
        <w:rPr>
          <w:rFonts w:ascii="Book Antiqua" w:hAnsi="Book Antiqua"/>
        </w:rPr>
        <w:t> 2015; </w:t>
      </w:r>
      <w:r w:rsidRPr="0042521B">
        <w:rPr>
          <w:rFonts w:ascii="Book Antiqua" w:hAnsi="Book Antiqua"/>
          <w:b/>
          <w:bCs/>
        </w:rPr>
        <w:t>65</w:t>
      </w:r>
      <w:r w:rsidRPr="0042521B">
        <w:rPr>
          <w:rFonts w:ascii="Book Antiqua" w:hAnsi="Book Antiqua"/>
        </w:rPr>
        <w:t>: 1411-1420 [PMID: 25857906 DOI: 10.1016/j.jacc.2015.01.047]</w:t>
      </w:r>
    </w:p>
    <w:p w14:paraId="089D4645"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34 </w:t>
      </w:r>
      <w:r w:rsidRPr="0042521B">
        <w:rPr>
          <w:rFonts w:ascii="Book Antiqua" w:hAnsi="Book Antiqua"/>
          <w:b/>
          <w:bCs/>
        </w:rPr>
        <w:t>Connolly SJ</w:t>
      </w:r>
      <w:r w:rsidRPr="0042521B">
        <w:rPr>
          <w:rFonts w:ascii="Book Antiqua" w:hAnsi="Book Antiqua"/>
        </w:rPr>
        <w:t>, Ezekowitz MD, Yusuf S, Eikelboom J, Oldgren J, Parekh A, Pogue J, Reilly PA, Themeles E, Varrone J, Wang S, Alings M, Xavier D, Zhu J, Diaz R, Lewis BS, Darius H, Diener HC, Joyner CD, Wallentin L; RE-LY Steering Committee and Investigators. Dabigatran versus warfarin in patients with atrial fibrillation. </w:t>
      </w:r>
      <w:r w:rsidRPr="0042521B">
        <w:rPr>
          <w:rFonts w:ascii="Book Antiqua" w:hAnsi="Book Antiqua"/>
          <w:i/>
          <w:iCs/>
        </w:rPr>
        <w:t>N Engl J Med</w:t>
      </w:r>
      <w:r w:rsidRPr="0042521B">
        <w:rPr>
          <w:rFonts w:ascii="Book Antiqua" w:hAnsi="Book Antiqua"/>
        </w:rPr>
        <w:t> 2009; </w:t>
      </w:r>
      <w:r w:rsidRPr="0042521B">
        <w:rPr>
          <w:rFonts w:ascii="Book Antiqua" w:hAnsi="Book Antiqua"/>
          <w:b/>
          <w:bCs/>
        </w:rPr>
        <w:t>361</w:t>
      </w:r>
      <w:r w:rsidRPr="0042521B">
        <w:rPr>
          <w:rFonts w:ascii="Book Antiqua" w:hAnsi="Book Antiqua"/>
        </w:rPr>
        <w:t>: 1139-1151 [PMID: 19717844 DOI: 10.1056/NEJMoa0905561]</w:t>
      </w:r>
    </w:p>
    <w:p w14:paraId="149D82E3" w14:textId="77777777" w:rsidR="00795DD3" w:rsidRPr="0042521B"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42521B">
        <w:rPr>
          <w:rFonts w:ascii="Book Antiqua" w:hAnsi="Book Antiqua"/>
        </w:rPr>
        <w:t>35 </w:t>
      </w:r>
      <w:r w:rsidRPr="0042521B">
        <w:rPr>
          <w:rFonts w:ascii="Book Antiqua" w:hAnsi="Book Antiqua"/>
          <w:b/>
          <w:bCs/>
        </w:rPr>
        <w:t>Hallas J</w:t>
      </w:r>
      <w:r w:rsidRPr="0042521B">
        <w:rPr>
          <w:rFonts w:ascii="Book Antiqua" w:hAnsi="Book Antiqua"/>
        </w:rPr>
        <w:t>, Dall M, Andries A, Andersen BS, Aalykke C, Hansen JM, Andersen M, Lassen AT. Use of single and combined antithrombotic therapy and risk of serious upper gastrointestinal bleeding: population based case-control study. </w:t>
      </w:r>
      <w:r w:rsidRPr="0042521B">
        <w:rPr>
          <w:rFonts w:ascii="Book Antiqua" w:hAnsi="Book Antiqua"/>
          <w:i/>
          <w:iCs/>
        </w:rPr>
        <w:t>BMJ</w:t>
      </w:r>
      <w:r w:rsidRPr="0042521B">
        <w:rPr>
          <w:rFonts w:ascii="Book Antiqua" w:hAnsi="Book Antiqua"/>
        </w:rPr>
        <w:t> 2006; </w:t>
      </w:r>
      <w:r w:rsidRPr="0042521B">
        <w:rPr>
          <w:rFonts w:ascii="Book Antiqua" w:hAnsi="Book Antiqua"/>
          <w:b/>
          <w:bCs/>
        </w:rPr>
        <w:t>333</w:t>
      </w:r>
      <w:r w:rsidRPr="0042521B">
        <w:rPr>
          <w:rFonts w:ascii="Book Antiqua" w:hAnsi="Book Antiqua"/>
        </w:rPr>
        <w:t>: 726 [PMID: 16984924 DOI: 10.1136/bmj.38947.697558.AE]</w:t>
      </w:r>
    </w:p>
    <w:p w14:paraId="6020E5EC" w14:textId="77777777" w:rsidR="00A77B3E" w:rsidRPr="0042521B" w:rsidRDefault="00A77B3E">
      <w:pPr>
        <w:spacing w:line="360" w:lineRule="auto"/>
        <w:jc w:val="both"/>
        <w:sectPr w:rsidR="00A77B3E" w:rsidRPr="0042521B">
          <w:footerReference w:type="default" r:id="rId7"/>
          <w:pgSz w:w="12240" w:h="15840"/>
          <w:pgMar w:top="1440" w:right="1440" w:bottom="1440" w:left="1440" w:header="720" w:footer="720" w:gutter="0"/>
          <w:cols w:space="720"/>
          <w:docGrid w:linePitch="360"/>
        </w:sectPr>
      </w:pPr>
    </w:p>
    <w:p w14:paraId="69216A5F" w14:textId="77777777" w:rsidR="00A77B3E" w:rsidRPr="0042521B" w:rsidRDefault="004E3328">
      <w:pPr>
        <w:spacing w:line="360" w:lineRule="auto"/>
        <w:jc w:val="both"/>
      </w:pPr>
      <w:r w:rsidRPr="0042521B">
        <w:rPr>
          <w:rFonts w:ascii="Book Antiqua" w:eastAsia="Book Antiqua" w:hAnsi="Book Antiqua" w:cs="Book Antiqua"/>
          <w:b/>
          <w:color w:val="000000"/>
        </w:rPr>
        <w:lastRenderedPageBreak/>
        <w:t>Footnotes</w:t>
      </w:r>
    </w:p>
    <w:p w14:paraId="41FA9DF8" w14:textId="77777777" w:rsidR="00A77B3E" w:rsidRPr="0042521B" w:rsidRDefault="004E3328">
      <w:pPr>
        <w:spacing w:line="360" w:lineRule="auto"/>
        <w:jc w:val="both"/>
        <w:rPr>
          <w:lang w:eastAsia="zh-CN"/>
        </w:rPr>
      </w:pPr>
      <w:r w:rsidRPr="0042521B">
        <w:rPr>
          <w:rFonts w:ascii="Book Antiqua" w:eastAsia="Book Antiqua" w:hAnsi="Book Antiqua" w:cs="Book Antiqua"/>
          <w:b/>
          <w:bCs/>
          <w:color w:val="000000"/>
        </w:rPr>
        <w:t xml:space="preserve">Institutional review board statement: </w:t>
      </w:r>
      <w:r w:rsidRPr="0042521B">
        <w:rPr>
          <w:rFonts w:ascii="Book Antiqua" w:eastAsia="Book Antiqua" w:hAnsi="Book Antiqua" w:cs="Book Antiqua"/>
          <w:color w:val="000000"/>
        </w:rPr>
        <w:t>The research ethics committee in our hospital approved this research (Approval number: B170800063) in December 2016</w:t>
      </w:r>
      <w:r w:rsidR="00D8223C" w:rsidRPr="0042521B">
        <w:rPr>
          <w:rFonts w:ascii="Book Antiqua" w:hAnsi="Book Antiqua" w:cs="Book Antiqua" w:hint="eastAsia"/>
          <w:color w:val="000000"/>
          <w:lang w:eastAsia="zh-CN"/>
        </w:rPr>
        <w:t>.</w:t>
      </w:r>
    </w:p>
    <w:p w14:paraId="28A20491" w14:textId="77777777" w:rsidR="00A77B3E" w:rsidRPr="0042521B" w:rsidRDefault="00A77B3E">
      <w:pPr>
        <w:spacing w:line="360" w:lineRule="auto"/>
        <w:jc w:val="both"/>
      </w:pPr>
    </w:p>
    <w:p w14:paraId="08571554" w14:textId="77777777" w:rsidR="001D0B88" w:rsidRPr="0042521B" w:rsidRDefault="001D0B88" w:rsidP="001D0B88">
      <w:pPr>
        <w:spacing w:line="360" w:lineRule="auto"/>
        <w:jc w:val="both"/>
        <w:rPr>
          <w:rFonts w:ascii="Book Antiqua" w:hAnsi="Book Antiqua" w:cs="Arial"/>
          <w:lang w:eastAsia="zh-CN"/>
        </w:rPr>
      </w:pPr>
      <w:r w:rsidRPr="0042521B">
        <w:rPr>
          <w:rFonts w:ascii="Book Antiqua" w:hAnsi="Book Antiqua" w:cs="Arial"/>
          <w:b/>
          <w:lang w:eastAsia="zh-CN"/>
        </w:rPr>
        <w:t>Clinical trial registration statement:</w:t>
      </w:r>
      <w:r w:rsidRPr="0042521B">
        <w:rPr>
          <w:rFonts w:ascii="Book Antiqua" w:hAnsi="Book Antiqua" w:cs="Arial"/>
          <w:lang w:eastAsia="zh-CN"/>
        </w:rPr>
        <w:t xml:space="preserve"> </w:t>
      </w:r>
      <w:bookmarkStart w:id="33" w:name="OLE_LINK2396"/>
      <w:bookmarkStart w:id="34" w:name="OLE_LINK2397"/>
      <w:bookmarkStart w:id="35" w:name="OLE_LINK2394"/>
      <w:bookmarkStart w:id="36" w:name="OLE_LINK2395"/>
      <w:r w:rsidRPr="0042521B">
        <w:rPr>
          <w:rFonts w:ascii="Book Antiqua" w:hAnsi="Book Antiqua" w:cs="Arial"/>
          <w:lang w:eastAsia="zh-CN"/>
        </w:rPr>
        <w:t>T</w:t>
      </w:r>
      <w:r w:rsidRPr="0042521B">
        <w:rPr>
          <w:rFonts w:ascii="Book Antiqua" w:hAnsi="Book Antiqua" w:cs="Arial" w:hint="eastAsia"/>
          <w:lang w:eastAsia="zh-CN"/>
        </w:rPr>
        <w:t>he</w:t>
      </w:r>
      <w:r w:rsidRPr="0042521B">
        <w:rPr>
          <w:rFonts w:ascii="Book Antiqua" w:hAnsi="Book Antiqua" w:cs="Arial"/>
          <w:lang w:eastAsia="zh-CN"/>
        </w:rPr>
        <w:t xml:space="preserve"> study was registered at</w:t>
      </w:r>
      <w:bookmarkEnd w:id="33"/>
      <w:bookmarkEnd w:id="34"/>
      <w:r w:rsidRPr="0042521B">
        <w:rPr>
          <w:rFonts w:ascii="Book Antiqua" w:hAnsi="Book Antiqua" w:cs="Arial"/>
          <w:lang w:eastAsia="zh-CN"/>
        </w:rPr>
        <w:t xml:space="preserve"> </w:t>
      </w:r>
      <w:r w:rsidRPr="0042521B">
        <w:rPr>
          <w:rFonts w:ascii="Book Antiqua" w:eastAsia="Book Antiqua" w:hAnsi="Book Antiqua" w:cs="Book Antiqua"/>
          <w:color w:val="000000"/>
        </w:rPr>
        <w:t>UMIN Clinical Trials Registry System</w:t>
      </w:r>
      <w:r w:rsidRPr="0042521B">
        <w:rPr>
          <w:rFonts w:ascii="Book Antiqua" w:hAnsi="Book Antiqua" w:cs="Arial"/>
          <w:lang w:eastAsia="zh-CN"/>
        </w:rPr>
        <w:t xml:space="preserve">, using identifier </w:t>
      </w:r>
      <w:r w:rsidRPr="0042521B">
        <w:rPr>
          <w:rFonts w:ascii="Book Antiqua" w:eastAsia="Book Antiqua" w:hAnsi="Book Antiqua" w:cs="Book Antiqua"/>
          <w:color w:val="000000"/>
        </w:rPr>
        <w:t>000025607</w:t>
      </w:r>
      <w:r w:rsidRPr="0042521B">
        <w:rPr>
          <w:rFonts w:ascii="Book Antiqua" w:hAnsi="Book Antiqua" w:cs="Arial"/>
          <w:lang w:eastAsia="zh-CN"/>
        </w:rPr>
        <w:t>. Details can be found at https://www.umin.ac.jp/ctr/.</w:t>
      </w:r>
    </w:p>
    <w:bookmarkEnd w:id="35"/>
    <w:bookmarkEnd w:id="36"/>
    <w:p w14:paraId="4D76C8CF" w14:textId="61028C6E" w:rsidR="00FA0610" w:rsidRPr="0042521B" w:rsidRDefault="00FA0610">
      <w:pPr>
        <w:spacing w:line="360" w:lineRule="auto"/>
        <w:jc w:val="both"/>
        <w:rPr>
          <w:rFonts w:ascii="Book Antiqua" w:eastAsia="Book Antiqua" w:hAnsi="Book Antiqua" w:cs="Book Antiqua"/>
          <w:color w:val="000000"/>
        </w:rPr>
      </w:pPr>
    </w:p>
    <w:p w14:paraId="54C6BDDA" w14:textId="77777777" w:rsidR="00FA0610" w:rsidRPr="0042521B" w:rsidRDefault="00FA0610" w:rsidP="00FA0610">
      <w:pPr>
        <w:spacing w:line="360" w:lineRule="auto"/>
        <w:jc w:val="both"/>
      </w:pPr>
      <w:r w:rsidRPr="0042521B">
        <w:rPr>
          <w:rFonts w:ascii="Book Antiqua" w:eastAsia="Book Antiqua" w:hAnsi="Book Antiqua" w:cs="Book Antiqua"/>
          <w:b/>
          <w:bCs/>
          <w:color w:val="000000"/>
        </w:rPr>
        <w:t xml:space="preserve">Informed consent statement: </w:t>
      </w:r>
      <w:r w:rsidRPr="0042521B">
        <w:rPr>
          <w:rFonts w:ascii="Book Antiqua" w:eastAsia="Book Antiqua" w:hAnsi="Book Antiqua" w:cs="Book Antiqua"/>
          <w:color w:val="000000"/>
        </w:rPr>
        <w:t>All patients enrolled in this study provided written informed consent before undergoing endoscopic submucosal dissection.</w:t>
      </w:r>
    </w:p>
    <w:p w14:paraId="0FC174AE" w14:textId="0BA5F64E" w:rsidR="00FA0610" w:rsidRPr="0042521B" w:rsidRDefault="00FA0610">
      <w:pPr>
        <w:spacing w:line="360" w:lineRule="auto"/>
        <w:jc w:val="both"/>
        <w:rPr>
          <w:rFonts w:ascii="Book Antiqua" w:eastAsia="Book Antiqua" w:hAnsi="Book Antiqua" w:cs="Book Antiqua"/>
          <w:color w:val="000000"/>
        </w:rPr>
      </w:pPr>
    </w:p>
    <w:p w14:paraId="35BA0837" w14:textId="77777777" w:rsidR="001D0B88" w:rsidRPr="0042521B" w:rsidRDefault="001D0B88" w:rsidP="001D0B88">
      <w:pPr>
        <w:spacing w:line="360" w:lineRule="auto"/>
        <w:jc w:val="both"/>
        <w:rPr>
          <w:rFonts w:ascii="Book Antiqua" w:eastAsia="Book Antiqua" w:hAnsi="Book Antiqua" w:cs="Book Antiqua"/>
          <w:color w:val="000000"/>
        </w:rPr>
      </w:pPr>
      <w:r w:rsidRPr="0042521B">
        <w:rPr>
          <w:rFonts w:ascii="Book Antiqua" w:eastAsia="Book Antiqua" w:hAnsi="Book Antiqua" w:cs="Book Antiqua"/>
          <w:b/>
          <w:bCs/>
          <w:color w:val="000000"/>
          <w:szCs w:val="21"/>
        </w:rPr>
        <w:t xml:space="preserve">Conflict-of-interest statement: </w:t>
      </w:r>
      <w:r w:rsidRPr="0042521B">
        <w:rPr>
          <w:rFonts w:ascii="Book Antiqua" w:eastAsia="Book Antiqua" w:hAnsi="Book Antiqua" w:cs="Book Antiqua"/>
          <w:color w:val="000000"/>
        </w:rPr>
        <w:t>The authors of this manuscript have no conflicts of interest to disclose.</w:t>
      </w:r>
    </w:p>
    <w:p w14:paraId="175EB250" w14:textId="77777777" w:rsidR="00A77B3E" w:rsidRPr="0042521B" w:rsidRDefault="00A77B3E">
      <w:pPr>
        <w:spacing w:line="360" w:lineRule="auto"/>
        <w:jc w:val="both"/>
      </w:pPr>
    </w:p>
    <w:p w14:paraId="26EB549F" w14:textId="77777777" w:rsidR="00A77B3E" w:rsidRPr="0042521B" w:rsidRDefault="004E3328">
      <w:pPr>
        <w:spacing w:line="360" w:lineRule="auto"/>
        <w:jc w:val="both"/>
      </w:pPr>
      <w:r w:rsidRPr="0042521B">
        <w:rPr>
          <w:rFonts w:ascii="Book Antiqua" w:eastAsia="Book Antiqua" w:hAnsi="Book Antiqua" w:cs="Book Antiqua"/>
          <w:b/>
          <w:bCs/>
          <w:color w:val="000000"/>
          <w:szCs w:val="21"/>
        </w:rPr>
        <w:t xml:space="preserve">Data sharing statement: </w:t>
      </w:r>
      <w:r w:rsidRPr="0042521B">
        <w:rPr>
          <w:rFonts w:ascii="Book Antiqua" w:eastAsia="Book Antiqua" w:hAnsi="Book Antiqua" w:cs="Book Antiqua"/>
          <w:color w:val="000000"/>
        </w:rPr>
        <w:t>There is no additional data available.</w:t>
      </w:r>
    </w:p>
    <w:p w14:paraId="2D1A1C06" w14:textId="77777777" w:rsidR="00A77B3E" w:rsidRPr="0042521B" w:rsidRDefault="00A77B3E">
      <w:pPr>
        <w:spacing w:line="360" w:lineRule="auto"/>
        <w:jc w:val="both"/>
      </w:pPr>
    </w:p>
    <w:p w14:paraId="5DB1D7DD" w14:textId="77777777" w:rsidR="00A77B3E" w:rsidRPr="0042521B" w:rsidRDefault="004E3328">
      <w:pPr>
        <w:spacing w:line="360" w:lineRule="auto"/>
        <w:jc w:val="both"/>
      </w:pPr>
      <w:r w:rsidRPr="0042521B">
        <w:rPr>
          <w:rFonts w:ascii="Book Antiqua" w:eastAsia="Book Antiqua" w:hAnsi="Book Antiqua" w:cs="Book Antiqua"/>
          <w:b/>
          <w:bCs/>
          <w:color w:val="000000"/>
          <w:szCs w:val="21"/>
        </w:rPr>
        <w:t xml:space="preserve">CONSORT 2010 statement: </w:t>
      </w:r>
      <w:r w:rsidRPr="0042521B">
        <w:rPr>
          <w:rFonts w:ascii="Book Antiqua" w:eastAsia="Book Antiqua" w:hAnsi="Book Antiqua" w:cs="Book Antiqua"/>
          <w:color w:val="000000"/>
        </w:rPr>
        <w:t>The authors have read the CONSORT 2010 Statement, and the manuscript was prepared and revised according to the CONSORT 2010 Statement.</w:t>
      </w:r>
    </w:p>
    <w:p w14:paraId="0AB31048" w14:textId="77777777" w:rsidR="00A77B3E" w:rsidRPr="0042521B" w:rsidRDefault="00A77B3E">
      <w:pPr>
        <w:spacing w:line="360" w:lineRule="auto"/>
        <w:jc w:val="both"/>
      </w:pPr>
    </w:p>
    <w:p w14:paraId="12844937" w14:textId="77777777" w:rsidR="00A77B3E" w:rsidRPr="0042521B" w:rsidRDefault="004E3328">
      <w:pPr>
        <w:spacing w:line="360" w:lineRule="auto"/>
        <w:jc w:val="both"/>
      </w:pPr>
      <w:r w:rsidRPr="0042521B">
        <w:rPr>
          <w:rFonts w:ascii="Book Antiqua" w:eastAsia="Book Antiqua" w:hAnsi="Book Antiqua" w:cs="Book Antiqua"/>
          <w:b/>
          <w:bCs/>
          <w:color w:val="000000"/>
        </w:rPr>
        <w:t xml:space="preserve">Open-Access: </w:t>
      </w:r>
      <w:r w:rsidRPr="004252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F97927" w14:textId="77777777" w:rsidR="00A77B3E" w:rsidRPr="0042521B" w:rsidRDefault="00A77B3E">
      <w:pPr>
        <w:spacing w:line="360" w:lineRule="auto"/>
        <w:jc w:val="both"/>
      </w:pPr>
    </w:p>
    <w:p w14:paraId="38A9B385" w14:textId="0F88EBE0" w:rsidR="00A77B3E" w:rsidRPr="0042521B" w:rsidRDefault="004E3328">
      <w:pPr>
        <w:spacing w:line="360" w:lineRule="auto"/>
        <w:jc w:val="both"/>
      </w:pPr>
      <w:r w:rsidRPr="0042521B">
        <w:rPr>
          <w:rFonts w:ascii="Book Antiqua" w:eastAsia="Book Antiqua" w:hAnsi="Book Antiqua" w:cs="Book Antiqua"/>
          <w:b/>
          <w:color w:val="000000"/>
        </w:rPr>
        <w:t xml:space="preserve">Manuscript source: </w:t>
      </w:r>
      <w:r w:rsidRPr="0042521B">
        <w:rPr>
          <w:rFonts w:ascii="Book Antiqua" w:eastAsia="Book Antiqua" w:hAnsi="Book Antiqua" w:cs="Book Antiqua"/>
          <w:color w:val="000000"/>
        </w:rPr>
        <w:t xml:space="preserve">Unsolicited </w:t>
      </w:r>
      <w:r w:rsidR="001D0B88" w:rsidRPr="0042521B">
        <w:rPr>
          <w:rFonts w:ascii="Book Antiqua" w:eastAsia="Book Antiqua" w:hAnsi="Book Antiqua" w:cs="Book Antiqua"/>
          <w:color w:val="000000"/>
        </w:rPr>
        <w:t>m</w:t>
      </w:r>
      <w:r w:rsidRPr="0042521B">
        <w:rPr>
          <w:rFonts w:ascii="Book Antiqua" w:eastAsia="Book Antiqua" w:hAnsi="Book Antiqua" w:cs="Book Antiqua"/>
          <w:color w:val="000000"/>
        </w:rPr>
        <w:t>anuscript</w:t>
      </w:r>
    </w:p>
    <w:p w14:paraId="6158D3F3" w14:textId="77777777" w:rsidR="00A77B3E" w:rsidRPr="0042521B" w:rsidRDefault="00A77B3E">
      <w:pPr>
        <w:spacing w:line="360" w:lineRule="auto"/>
        <w:jc w:val="both"/>
      </w:pPr>
    </w:p>
    <w:p w14:paraId="27C7FAEE" w14:textId="77777777" w:rsidR="00A77B3E" w:rsidRPr="0042521B" w:rsidRDefault="004E3328">
      <w:pPr>
        <w:spacing w:line="360" w:lineRule="auto"/>
        <w:jc w:val="both"/>
      </w:pPr>
      <w:r w:rsidRPr="0042521B">
        <w:rPr>
          <w:rFonts w:ascii="Book Antiqua" w:eastAsia="Book Antiqua" w:hAnsi="Book Antiqua" w:cs="Book Antiqua"/>
          <w:b/>
          <w:color w:val="000000"/>
        </w:rPr>
        <w:lastRenderedPageBreak/>
        <w:t xml:space="preserve">Peer-review started: </w:t>
      </w:r>
      <w:r w:rsidRPr="0042521B">
        <w:rPr>
          <w:rFonts w:ascii="Book Antiqua" w:eastAsia="Book Antiqua" w:hAnsi="Book Antiqua" w:cs="Book Antiqua"/>
          <w:color w:val="000000"/>
        </w:rPr>
        <w:t>June 26, 2020</w:t>
      </w:r>
    </w:p>
    <w:p w14:paraId="3DF23448" w14:textId="77777777" w:rsidR="00A77B3E" w:rsidRPr="0042521B" w:rsidRDefault="004E3328">
      <w:pPr>
        <w:spacing w:line="360" w:lineRule="auto"/>
        <w:jc w:val="both"/>
      </w:pPr>
      <w:r w:rsidRPr="0042521B">
        <w:rPr>
          <w:rFonts w:ascii="Book Antiqua" w:eastAsia="Book Antiqua" w:hAnsi="Book Antiqua" w:cs="Book Antiqua"/>
          <w:b/>
          <w:color w:val="000000"/>
        </w:rPr>
        <w:t xml:space="preserve">First decision: </w:t>
      </w:r>
      <w:r w:rsidRPr="0042521B">
        <w:rPr>
          <w:rFonts w:ascii="Book Antiqua" w:eastAsia="Book Antiqua" w:hAnsi="Book Antiqua" w:cs="Book Antiqua"/>
          <w:color w:val="000000"/>
        </w:rPr>
        <w:t>September 12, 2020</w:t>
      </w:r>
    </w:p>
    <w:p w14:paraId="0FCC945D" w14:textId="7CDC7077" w:rsidR="00A77B3E" w:rsidRPr="0042521B" w:rsidRDefault="004E3328">
      <w:pPr>
        <w:spacing w:line="360" w:lineRule="auto"/>
        <w:jc w:val="both"/>
      </w:pPr>
      <w:r w:rsidRPr="0042521B">
        <w:rPr>
          <w:rFonts w:ascii="Book Antiqua" w:eastAsia="Book Antiqua" w:hAnsi="Book Antiqua" w:cs="Book Antiqua"/>
          <w:b/>
          <w:color w:val="000000"/>
        </w:rPr>
        <w:t xml:space="preserve">Article in press: </w:t>
      </w:r>
      <w:r w:rsidR="00625251" w:rsidRPr="0042521B">
        <w:rPr>
          <w:rFonts w:ascii="Book Antiqua" w:eastAsia="Book Antiqua" w:hAnsi="Book Antiqua" w:cs="Book Antiqua"/>
          <w:color w:val="000000"/>
        </w:rPr>
        <w:t>October 20, 2020</w:t>
      </w:r>
    </w:p>
    <w:p w14:paraId="36645DF8" w14:textId="77777777" w:rsidR="00A77B3E" w:rsidRPr="0042521B" w:rsidRDefault="00A77B3E">
      <w:pPr>
        <w:spacing w:line="360" w:lineRule="auto"/>
        <w:jc w:val="both"/>
      </w:pPr>
    </w:p>
    <w:p w14:paraId="4375D70C" w14:textId="74226A3D" w:rsidR="00A77B3E" w:rsidRPr="0042521B" w:rsidRDefault="004E3328">
      <w:pPr>
        <w:spacing w:line="360" w:lineRule="auto"/>
        <w:jc w:val="both"/>
      </w:pPr>
      <w:r w:rsidRPr="0042521B">
        <w:rPr>
          <w:rFonts w:ascii="Book Antiqua" w:eastAsia="Book Antiqua" w:hAnsi="Book Antiqua" w:cs="Book Antiqua"/>
          <w:b/>
          <w:color w:val="000000"/>
        </w:rPr>
        <w:t xml:space="preserve">Specialty type: </w:t>
      </w:r>
      <w:r w:rsidRPr="0042521B">
        <w:rPr>
          <w:rFonts w:ascii="Book Antiqua" w:eastAsia="Book Antiqua" w:hAnsi="Book Antiqua" w:cs="Book Antiqua"/>
          <w:color w:val="000000"/>
        </w:rPr>
        <w:t xml:space="preserve">Gastroenterology and </w:t>
      </w:r>
      <w:r w:rsidR="001D0B88" w:rsidRPr="0042521B">
        <w:rPr>
          <w:rFonts w:ascii="Book Antiqua" w:eastAsia="Book Antiqua" w:hAnsi="Book Antiqua" w:cs="Book Antiqua"/>
          <w:color w:val="000000"/>
        </w:rPr>
        <w:t>h</w:t>
      </w:r>
      <w:r w:rsidRPr="0042521B">
        <w:rPr>
          <w:rFonts w:ascii="Book Antiqua" w:eastAsia="Book Antiqua" w:hAnsi="Book Antiqua" w:cs="Book Antiqua"/>
          <w:color w:val="000000"/>
        </w:rPr>
        <w:t>epatology</w:t>
      </w:r>
    </w:p>
    <w:p w14:paraId="1AC7CD0A" w14:textId="77777777" w:rsidR="00A77B3E" w:rsidRPr="0042521B" w:rsidRDefault="004E3328">
      <w:pPr>
        <w:spacing w:line="360" w:lineRule="auto"/>
        <w:jc w:val="both"/>
      </w:pPr>
      <w:r w:rsidRPr="0042521B">
        <w:rPr>
          <w:rFonts w:ascii="Book Antiqua" w:eastAsia="Book Antiqua" w:hAnsi="Book Antiqua" w:cs="Book Antiqua"/>
          <w:b/>
          <w:color w:val="000000"/>
        </w:rPr>
        <w:t xml:space="preserve">Country/Territory of origin: </w:t>
      </w:r>
      <w:r w:rsidRPr="0042521B">
        <w:rPr>
          <w:rFonts w:ascii="Book Antiqua" w:eastAsia="Book Antiqua" w:hAnsi="Book Antiqua" w:cs="Book Antiqua"/>
          <w:color w:val="000000"/>
        </w:rPr>
        <w:t>Japan</w:t>
      </w:r>
    </w:p>
    <w:p w14:paraId="7E11BEC3" w14:textId="77777777" w:rsidR="00A77B3E" w:rsidRPr="0042521B" w:rsidRDefault="004E3328">
      <w:pPr>
        <w:spacing w:line="360" w:lineRule="auto"/>
        <w:jc w:val="both"/>
      </w:pPr>
      <w:r w:rsidRPr="0042521B">
        <w:rPr>
          <w:rFonts w:ascii="Book Antiqua" w:eastAsia="Book Antiqua" w:hAnsi="Book Antiqua" w:cs="Book Antiqua"/>
          <w:b/>
          <w:color w:val="000000"/>
        </w:rPr>
        <w:t>Peer-review report’s scientific quality classification</w:t>
      </w:r>
    </w:p>
    <w:p w14:paraId="09D03FA5" w14:textId="77777777" w:rsidR="00A77B3E" w:rsidRPr="0042521B" w:rsidRDefault="004E3328">
      <w:pPr>
        <w:spacing w:line="360" w:lineRule="auto"/>
        <w:jc w:val="both"/>
      </w:pPr>
      <w:r w:rsidRPr="0042521B">
        <w:rPr>
          <w:rFonts w:ascii="Book Antiqua" w:eastAsia="Book Antiqua" w:hAnsi="Book Antiqua" w:cs="Book Antiqua"/>
          <w:color w:val="000000"/>
        </w:rPr>
        <w:t>Grade A (Excellent): 0</w:t>
      </w:r>
    </w:p>
    <w:p w14:paraId="152659B6" w14:textId="77777777" w:rsidR="00A77B3E" w:rsidRPr="0042521B" w:rsidRDefault="004E3328">
      <w:pPr>
        <w:spacing w:line="360" w:lineRule="auto"/>
        <w:jc w:val="both"/>
      </w:pPr>
      <w:r w:rsidRPr="0042521B">
        <w:rPr>
          <w:rFonts w:ascii="Book Antiqua" w:eastAsia="Book Antiqua" w:hAnsi="Book Antiqua" w:cs="Book Antiqua"/>
          <w:color w:val="000000"/>
        </w:rPr>
        <w:t>Grade B (Very good): B</w:t>
      </w:r>
    </w:p>
    <w:p w14:paraId="7B4C5A81" w14:textId="77777777" w:rsidR="00A77B3E" w:rsidRPr="0042521B" w:rsidRDefault="004E3328">
      <w:pPr>
        <w:spacing w:line="360" w:lineRule="auto"/>
        <w:jc w:val="both"/>
      </w:pPr>
      <w:r w:rsidRPr="0042521B">
        <w:rPr>
          <w:rFonts w:ascii="Book Antiqua" w:eastAsia="Book Antiqua" w:hAnsi="Book Antiqua" w:cs="Book Antiqua"/>
          <w:color w:val="000000"/>
        </w:rPr>
        <w:t>Grade C (Good): 0</w:t>
      </w:r>
    </w:p>
    <w:p w14:paraId="3B38FA54" w14:textId="77777777" w:rsidR="00A77B3E" w:rsidRPr="0042521B" w:rsidRDefault="004E3328">
      <w:pPr>
        <w:spacing w:line="360" w:lineRule="auto"/>
        <w:jc w:val="both"/>
      </w:pPr>
      <w:r w:rsidRPr="0042521B">
        <w:rPr>
          <w:rFonts w:ascii="Book Antiqua" w:eastAsia="Book Antiqua" w:hAnsi="Book Antiqua" w:cs="Book Antiqua"/>
          <w:color w:val="000000"/>
        </w:rPr>
        <w:t>Grade D (Fair): 0</w:t>
      </w:r>
    </w:p>
    <w:p w14:paraId="13E83EE9" w14:textId="77777777" w:rsidR="00A77B3E" w:rsidRPr="0042521B" w:rsidRDefault="004E3328">
      <w:pPr>
        <w:spacing w:line="360" w:lineRule="auto"/>
        <w:jc w:val="both"/>
      </w:pPr>
      <w:r w:rsidRPr="0042521B">
        <w:rPr>
          <w:rFonts w:ascii="Book Antiqua" w:eastAsia="Book Antiqua" w:hAnsi="Book Antiqua" w:cs="Book Antiqua"/>
          <w:color w:val="000000"/>
        </w:rPr>
        <w:t>Grade E (Poor): 0</w:t>
      </w:r>
    </w:p>
    <w:p w14:paraId="4FC234AE" w14:textId="77777777" w:rsidR="00A77B3E" w:rsidRPr="0042521B" w:rsidRDefault="00A77B3E">
      <w:pPr>
        <w:spacing w:line="360" w:lineRule="auto"/>
        <w:jc w:val="both"/>
      </w:pPr>
    </w:p>
    <w:p w14:paraId="686BCE5A" w14:textId="55E2E643" w:rsidR="00A77B3E" w:rsidRPr="0042521B" w:rsidRDefault="004E3328">
      <w:pPr>
        <w:spacing w:line="360" w:lineRule="auto"/>
        <w:jc w:val="both"/>
        <w:rPr>
          <w:rFonts w:ascii="Book Antiqua" w:hAnsi="Book Antiqua" w:cs="Book Antiqua"/>
          <w:b/>
          <w:color w:val="000000"/>
          <w:lang w:eastAsia="zh-CN"/>
        </w:rPr>
      </w:pPr>
      <w:r w:rsidRPr="0042521B">
        <w:rPr>
          <w:rFonts w:ascii="Book Antiqua" w:eastAsia="Book Antiqua" w:hAnsi="Book Antiqua" w:cs="Book Antiqua"/>
          <w:b/>
          <w:color w:val="000000"/>
        </w:rPr>
        <w:t xml:space="preserve">P-Reviewer: </w:t>
      </w:r>
      <w:r w:rsidRPr="0042521B">
        <w:rPr>
          <w:rFonts w:ascii="Book Antiqua" w:eastAsia="Book Antiqua" w:hAnsi="Book Antiqua" w:cs="Book Antiqua"/>
          <w:color w:val="000000"/>
        </w:rPr>
        <w:t>Ferreira CN</w:t>
      </w:r>
      <w:r w:rsidRPr="0042521B">
        <w:rPr>
          <w:rFonts w:ascii="Book Antiqua" w:eastAsia="Book Antiqua" w:hAnsi="Book Antiqua" w:cs="Book Antiqua"/>
          <w:b/>
          <w:color w:val="000000"/>
        </w:rPr>
        <w:t xml:space="preserve"> S-Editor: </w:t>
      </w:r>
      <w:r w:rsidR="00ED4DE6" w:rsidRPr="0042521B">
        <w:rPr>
          <w:rFonts w:ascii="Book Antiqua" w:hAnsi="Book Antiqua" w:cs="Book Antiqua" w:hint="eastAsia"/>
          <w:color w:val="000000"/>
          <w:lang w:eastAsia="zh-CN"/>
        </w:rPr>
        <w:t>Zhang H</w:t>
      </w:r>
      <w:r w:rsidR="00ED4DE6" w:rsidRPr="0042521B">
        <w:rPr>
          <w:rFonts w:ascii="Book Antiqua" w:eastAsia="Book Antiqua" w:hAnsi="Book Antiqua" w:cs="Book Antiqua"/>
          <w:b/>
          <w:color w:val="000000"/>
        </w:rPr>
        <w:t xml:space="preserve"> L-Editor:</w:t>
      </w:r>
      <w:r w:rsidRPr="0042521B">
        <w:rPr>
          <w:rFonts w:ascii="Book Antiqua" w:eastAsia="Book Antiqua" w:hAnsi="Book Antiqua" w:cs="Book Antiqua"/>
          <w:b/>
          <w:color w:val="000000"/>
        </w:rPr>
        <w:t xml:space="preserve"> </w:t>
      </w:r>
      <w:r w:rsidR="00625251" w:rsidRPr="0042521B">
        <w:rPr>
          <w:rFonts w:ascii="Book Antiqua" w:hAnsi="Book Antiqua" w:cs="Book Antiqua" w:hint="eastAsia"/>
          <w:b/>
          <w:color w:val="000000"/>
          <w:lang w:eastAsia="zh-CN"/>
        </w:rPr>
        <w:t xml:space="preserve">A </w:t>
      </w:r>
      <w:r w:rsidRPr="0042521B">
        <w:rPr>
          <w:rFonts w:ascii="Book Antiqua" w:eastAsia="Book Antiqua" w:hAnsi="Book Antiqua" w:cs="Book Antiqua"/>
          <w:b/>
          <w:color w:val="000000"/>
        </w:rPr>
        <w:t xml:space="preserve">P-Editor: </w:t>
      </w:r>
      <w:r w:rsidR="00625251" w:rsidRPr="0042521B">
        <w:rPr>
          <w:rFonts w:ascii="Book Antiqua" w:hAnsi="Book Antiqua" w:cs="Book Antiqua" w:hint="eastAsia"/>
          <w:color w:val="000000"/>
          <w:lang w:eastAsia="zh-CN"/>
        </w:rPr>
        <w:t>Ma YJ</w:t>
      </w:r>
    </w:p>
    <w:p w14:paraId="5E5C3689" w14:textId="77777777" w:rsidR="005E0524" w:rsidRPr="0042521B" w:rsidRDefault="005E0524">
      <w:pPr>
        <w:spacing w:line="360" w:lineRule="auto"/>
        <w:jc w:val="both"/>
        <w:sectPr w:rsidR="005E0524" w:rsidRPr="0042521B">
          <w:pgSz w:w="12240" w:h="15840"/>
          <w:pgMar w:top="1440" w:right="1440" w:bottom="1440" w:left="1440" w:header="720" w:footer="720" w:gutter="0"/>
          <w:cols w:space="720"/>
          <w:docGrid w:linePitch="360"/>
        </w:sectPr>
      </w:pPr>
    </w:p>
    <w:p w14:paraId="0AD8360E" w14:textId="77777777" w:rsidR="00A77B3E" w:rsidRPr="0042521B" w:rsidRDefault="004E3328">
      <w:pPr>
        <w:spacing w:line="360" w:lineRule="auto"/>
        <w:jc w:val="both"/>
      </w:pPr>
      <w:r w:rsidRPr="0042521B">
        <w:rPr>
          <w:rFonts w:ascii="Book Antiqua" w:eastAsia="Book Antiqua" w:hAnsi="Book Antiqua" w:cs="Book Antiqua"/>
          <w:b/>
          <w:color w:val="000000"/>
        </w:rPr>
        <w:lastRenderedPageBreak/>
        <w:t>Figure Legends</w:t>
      </w:r>
    </w:p>
    <w:p w14:paraId="239E6505" w14:textId="674606ED" w:rsidR="00410961" w:rsidRPr="0042521B" w:rsidRDefault="001D0B88">
      <w:pPr>
        <w:spacing w:line="360" w:lineRule="auto"/>
        <w:jc w:val="both"/>
        <w:rPr>
          <w:rFonts w:ascii="Book Antiqua" w:hAnsi="Book Antiqua" w:cs="Book Antiqua"/>
          <w:b/>
          <w:bCs/>
          <w:color w:val="000000"/>
          <w:lang w:eastAsia="zh-CN"/>
        </w:rPr>
      </w:pPr>
      <w:r w:rsidRPr="0042521B">
        <w:rPr>
          <w:rFonts w:ascii="Book Antiqua" w:hAnsi="Book Antiqua" w:cs="Book Antiqua"/>
          <w:b/>
          <w:bCs/>
          <w:noProof/>
          <w:color w:val="000000"/>
          <w:lang w:eastAsia="zh-CN"/>
        </w:rPr>
        <w:drawing>
          <wp:inline distT="0" distB="0" distL="0" distR="0" wp14:anchorId="0484AFC2" wp14:editId="5E8010FE">
            <wp:extent cx="4389120" cy="2365717"/>
            <wp:effectExtent l="0" t="0" r="0" b="0"/>
            <wp:docPr id="2" name="图片 2"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日程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453" cy="2367513"/>
                    </a:xfrm>
                    <a:prstGeom prst="rect">
                      <a:avLst/>
                    </a:prstGeom>
                  </pic:spPr>
                </pic:pic>
              </a:graphicData>
            </a:graphic>
          </wp:inline>
        </w:drawing>
      </w:r>
    </w:p>
    <w:p w14:paraId="0E96318F" w14:textId="5B9403DF" w:rsidR="00C9592D" w:rsidRPr="0042521B" w:rsidRDefault="004E3328">
      <w:pPr>
        <w:spacing w:line="360" w:lineRule="auto"/>
        <w:jc w:val="both"/>
        <w:rPr>
          <w:rFonts w:ascii="Book Antiqua" w:hAnsi="Book Antiqua" w:cs="Book Antiqua"/>
          <w:color w:val="000000"/>
          <w:lang w:eastAsia="zh-CN"/>
        </w:rPr>
      </w:pPr>
      <w:r w:rsidRPr="0042521B">
        <w:rPr>
          <w:rFonts w:ascii="Book Antiqua" w:eastAsia="Book Antiqua" w:hAnsi="Book Antiqua" w:cs="Book Antiqua"/>
          <w:b/>
          <w:bCs/>
          <w:color w:val="000000"/>
        </w:rPr>
        <w:t>Figur</w:t>
      </w:r>
      <w:r w:rsidR="00410961" w:rsidRPr="0042521B">
        <w:rPr>
          <w:rFonts w:ascii="Book Antiqua" w:eastAsia="Book Antiqua" w:hAnsi="Book Antiqua" w:cs="Book Antiqua"/>
          <w:b/>
          <w:bCs/>
          <w:color w:val="000000"/>
        </w:rPr>
        <w:t>e 1</w:t>
      </w:r>
      <w:r w:rsidRPr="0042521B">
        <w:rPr>
          <w:rFonts w:ascii="Book Antiqua" w:eastAsia="Book Antiqua" w:hAnsi="Book Antiqua" w:cs="Book Antiqua"/>
          <w:b/>
          <w:bCs/>
          <w:color w:val="000000"/>
        </w:rPr>
        <w:t xml:space="preserve"> </w:t>
      </w:r>
      <w:r w:rsidRPr="0042521B">
        <w:rPr>
          <w:rFonts w:ascii="Book Antiqua" w:eastAsia="Book Antiqua" w:hAnsi="Book Antiqua" w:cs="Book Antiqua"/>
          <w:b/>
          <w:color w:val="000000"/>
        </w:rPr>
        <w:t>Flow chart of the study protocol</w:t>
      </w:r>
      <w:r w:rsidR="00410961" w:rsidRPr="0042521B">
        <w:rPr>
          <w:rFonts w:ascii="Book Antiqua" w:hAnsi="Book Antiqua" w:cs="Book Antiqua" w:hint="eastAsia"/>
          <w:b/>
          <w:color w:val="000000"/>
          <w:lang w:eastAsia="zh-CN"/>
        </w:rPr>
        <w:t>.</w:t>
      </w:r>
      <w:r w:rsidR="00C04D0B" w:rsidRPr="0042521B">
        <w:rPr>
          <w:rFonts w:ascii="Book Antiqua" w:hAnsi="Book Antiqua" w:cs="Book Antiqua" w:hint="eastAsia"/>
          <w:b/>
          <w:color w:val="000000"/>
          <w:lang w:eastAsia="zh-CN"/>
        </w:rPr>
        <w:t xml:space="preserve"> </w:t>
      </w:r>
      <w:r w:rsidR="00C04D0B" w:rsidRPr="0042521B">
        <w:rPr>
          <w:rFonts w:ascii="Book Antiqua" w:hAnsi="Book Antiqua" w:cs="Book Antiqua" w:hint="eastAsia"/>
          <w:color w:val="000000"/>
          <w:lang w:eastAsia="zh-CN"/>
        </w:rPr>
        <w:t>SLE: S</w:t>
      </w:r>
      <w:r w:rsidR="00C04D0B" w:rsidRPr="0042521B">
        <w:rPr>
          <w:rFonts w:ascii="Book Antiqua" w:eastAsia="Book Antiqua" w:hAnsi="Book Antiqua" w:cs="Book Antiqua"/>
          <w:color w:val="000000"/>
        </w:rPr>
        <w:t>econd-look endoscopy</w:t>
      </w:r>
      <w:r w:rsidR="00C04D0B" w:rsidRPr="0042521B">
        <w:rPr>
          <w:rFonts w:ascii="Book Antiqua" w:hAnsi="Book Antiqua" w:cs="Book Antiqua" w:hint="eastAsia"/>
          <w:color w:val="000000"/>
          <w:lang w:eastAsia="zh-CN"/>
        </w:rPr>
        <w:t>; ESD: E</w:t>
      </w:r>
      <w:r w:rsidR="00C04D0B" w:rsidRPr="0042521B">
        <w:rPr>
          <w:rFonts w:ascii="Book Antiqua" w:eastAsia="Book Antiqua" w:hAnsi="Book Antiqua" w:cs="Book Antiqua"/>
          <w:color w:val="000000"/>
        </w:rPr>
        <w:t>ndoscopic submucosal dissection</w:t>
      </w:r>
      <w:r w:rsidR="00C04D0B" w:rsidRPr="0042521B">
        <w:rPr>
          <w:rFonts w:ascii="Book Antiqua" w:hAnsi="Book Antiqua" w:cs="Book Antiqua" w:hint="eastAsia"/>
          <w:color w:val="000000"/>
          <w:lang w:eastAsia="zh-CN"/>
        </w:rPr>
        <w:t>; TLE: T</w:t>
      </w:r>
      <w:r w:rsidR="00C04D0B" w:rsidRPr="0042521B">
        <w:rPr>
          <w:rFonts w:ascii="Book Antiqua" w:eastAsia="Book Antiqua" w:hAnsi="Book Antiqua" w:cs="Book Antiqua"/>
          <w:color w:val="000000"/>
        </w:rPr>
        <w:t>hird-look endoscopy</w:t>
      </w:r>
      <w:r w:rsidR="00C04D0B" w:rsidRPr="0042521B">
        <w:rPr>
          <w:rFonts w:ascii="Book Antiqua" w:hAnsi="Book Antiqua" w:cs="Book Antiqua" w:hint="eastAsia"/>
          <w:color w:val="000000"/>
          <w:lang w:eastAsia="zh-CN"/>
        </w:rPr>
        <w:t xml:space="preserve">; </w:t>
      </w:r>
      <w:bookmarkStart w:id="37" w:name="OLE_LINK51"/>
      <w:bookmarkStart w:id="38" w:name="OLE_LINK52"/>
      <w:r w:rsidR="00C04D0B" w:rsidRPr="0042521B">
        <w:rPr>
          <w:rFonts w:ascii="Book Antiqua" w:hAnsi="Book Antiqua" w:cs="Book Antiqua" w:hint="eastAsia"/>
          <w:color w:val="000000"/>
          <w:lang w:eastAsia="zh-CN"/>
        </w:rPr>
        <w:t>POD:</w:t>
      </w:r>
      <w:r w:rsidR="00C04D0B" w:rsidRPr="0042521B">
        <w:rPr>
          <w:rFonts w:ascii="Book Antiqua" w:eastAsia="Book Antiqua" w:hAnsi="Book Antiqua" w:cs="Book Antiqua"/>
          <w:color w:val="000000"/>
        </w:rPr>
        <w:t xml:space="preserve"> </w:t>
      </w:r>
      <w:r w:rsidR="00C04D0B" w:rsidRPr="0042521B">
        <w:rPr>
          <w:rFonts w:ascii="Book Antiqua" w:hAnsi="Book Antiqua" w:cs="Book Antiqua" w:hint="eastAsia"/>
          <w:color w:val="000000"/>
          <w:lang w:eastAsia="zh-CN"/>
        </w:rPr>
        <w:t>P</w:t>
      </w:r>
      <w:r w:rsidR="00C04D0B" w:rsidRPr="0042521B">
        <w:rPr>
          <w:rFonts w:ascii="Book Antiqua" w:eastAsia="Book Antiqua" w:hAnsi="Book Antiqua" w:cs="Book Antiqua"/>
          <w:color w:val="000000"/>
        </w:rPr>
        <w:t>ostoperative day</w:t>
      </w:r>
      <w:bookmarkEnd w:id="37"/>
      <w:bookmarkEnd w:id="38"/>
      <w:r w:rsidR="00C04D0B" w:rsidRPr="0042521B">
        <w:rPr>
          <w:rFonts w:ascii="Book Antiqua" w:hAnsi="Book Antiqua" w:cs="Book Antiqua" w:hint="eastAsia"/>
          <w:color w:val="000000"/>
          <w:lang w:eastAsia="zh-CN"/>
        </w:rPr>
        <w:t>.</w:t>
      </w:r>
    </w:p>
    <w:p w14:paraId="0BD73EE1" w14:textId="6C1313FF" w:rsidR="00A77B3E" w:rsidRPr="0042521B" w:rsidRDefault="00C9592D">
      <w:pPr>
        <w:spacing w:line="360" w:lineRule="auto"/>
        <w:jc w:val="both"/>
        <w:rPr>
          <w:rFonts w:ascii="Book Antiqua" w:hAnsi="Book Antiqua" w:cs="Book Antiqua"/>
          <w:b/>
          <w:color w:val="000000"/>
          <w:lang w:eastAsia="zh-CN"/>
        </w:rPr>
      </w:pPr>
      <w:r w:rsidRPr="0042521B">
        <w:rPr>
          <w:rFonts w:ascii="Book Antiqua" w:hAnsi="Book Antiqua" w:cs="Book Antiqua"/>
          <w:color w:val="000000"/>
          <w:lang w:eastAsia="zh-CN"/>
        </w:rPr>
        <w:br w:type="page"/>
      </w:r>
      <w:r w:rsidRPr="0042521B">
        <w:rPr>
          <w:rFonts w:ascii="Book Antiqua" w:hAnsi="Book Antiqua" w:cs="Book Antiqua"/>
          <w:b/>
          <w:color w:val="000000"/>
          <w:lang w:eastAsia="zh-CN"/>
        </w:rPr>
        <w:lastRenderedPageBreak/>
        <w:t>Table</w:t>
      </w:r>
      <w:r w:rsidR="004D0958" w:rsidRPr="0042521B">
        <w:rPr>
          <w:rFonts w:ascii="Book Antiqua" w:hAnsi="Book Antiqua" w:cs="Book Antiqua" w:hint="eastAsia"/>
          <w:b/>
          <w:color w:val="000000"/>
          <w:lang w:eastAsia="zh-CN"/>
        </w:rPr>
        <w:t xml:space="preserve"> </w:t>
      </w:r>
      <w:r w:rsidRPr="0042521B">
        <w:rPr>
          <w:rFonts w:ascii="Book Antiqua" w:hAnsi="Book Antiqua" w:cs="Book Antiqua"/>
          <w:b/>
          <w:color w:val="000000"/>
          <w:lang w:eastAsia="zh-CN"/>
        </w:rPr>
        <w:t xml:space="preserve">1 Baseline characteristics and treatment outcome of the </w:t>
      </w:r>
      <w:bookmarkStart w:id="39" w:name="OLE_LINK46"/>
      <w:bookmarkStart w:id="40" w:name="OLE_LINK47"/>
      <w:r w:rsidRPr="0042521B">
        <w:rPr>
          <w:rFonts w:ascii="Book Antiqua" w:hAnsi="Book Antiqua" w:cs="Book Antiqua"/>
          <w:b/>
          <w:color w:val="000000"/>
          <w:lang w:eastAsia="zh-CN"/>
        </w:rPr>
        <w:t>third-look endoscopy</w:t>
      </w:r>
      <w:bookmarkEnd w:id="39"/>
      <w:bookmarkEnd w:id="40"/>
      <w:r w:rsidRPr="0042521B">
        <w:rPr>
          <w:rFonts w:ascii="Book Antiqua" w:hAnsi="Book Antiqua" w:cs="Book Antiqua"/>
          <w:b/>
          <w:color w:val="000000"/>
          <w:lang w:eastAsia="zh-CN"/>
        </w:rPr>
        <w:t xml:space="preserve"> group</w:t>
      </w:r>
    </w:p>
    <w:tbl>
      <w:tblPr>
        <w:tblW w:w="0" w:type="auto"/>
        <w:jc w:val="center"/>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031"/>
        <w:gridCol w:w="1746"/>
        <w:gridCol w:w="3544"/>
        <w:gridCol w:w="1623"/>
      </w:tblGrid>
      <w:tr w:rsidR="00524379" w:rsidRPr="0042521B" w14:paraId="42E1D2A4" w14:textId="77777777" w:rsidTr="003323D0">
        <w:trPr>
          <w:jc w:val="center"/>
        </w:trPr>
        <w:tc>
          <w:tcPr>
            <w:tcW w:w="3031" w:type="dxa"/>
            <w:tcBorders>
              <w:top w:val="single" w:sz="4" w:space="0" w:color="auto"/>
              <w:bottom w:val="single" w:sz="4" w:space="0" w:color="auto"/>
            </w:tcBorders>
            <w:hideMark/>
          </w:tcPr>
          <w:p w14:paraId="7426B7D7" w14:textId="77777777" w:rsidR="001916FA" w:rsidRPr="0042521B" w:rsidRDefault="001916FA" w:rsidP="001916FA">
            <w:pPr>
              <w:adjustRightInd w:val="0"/>
              <w:snapToGrid w:val="0"/>
              <w:spacing w:line="360" w:lineRule="auto"/>
              <w:jc w:val="both"/>
              <w:rPr>
                <w:rFonts w:ascii="Book Antiqua" w:hAnsi="Book Antiqua"/>
                <w:b/>
              </w:rPr>
            </w:pPr>
          </w:p>
        </w:tc>
        <w:tc>
          <w:tcPr>
            <w:tcW w:w="1746" w:type="dxa"/>
            <w:tcBorders>
              <w:top w:val="single" w:sz="4" w:space="0" w:color="auto"/>
              <w:bottom w:val="single" w:sz="4" w:space="0" w:color="auto"/>
            </w:tcBorders>
            <w:vAlign w:val="center"/>
            <w:hideMark/>
          </w:tcPr>
          <w:p w14:paraId="0C67A347" w14:textId="39A2FC77" w:rsidR="001916FA" w:rsidRPr="0042521B" w:rsidRDefault="00524379" w:rsidP="001916FA">
            <w:pPr>
              <w:adjustRightInd w:val="0"/>
              <w:snapToGrid w:val="0"/>
              <w:spacing w:line="360" w:lineRule="auto"/>
              <w:jc w:val="both"/>
              <w:rPr>
                <w:rFonts w:ascii="Book Antiqua" w:eastAsia="MS PGothic" w:hAnsi="Book Antiqua"/>
                <w:b/>
                <w:bCs/>
              </w:rPr>
            </w:pPr>
            <w:r w:rsidRPr="0042521B">
              <w:rPr>
                <w:rFonts w:ascii="Book Antiqua" w:eastAsia="MS PGothic" w:hAnsi="Book Antiqua"/>
                <w:b/>
                <w:bCs/>
              </w:rPr>
              <w:t>TLE group</w:t>
            </w:r>
            <w:r w:rsidR="00BA28BF" w:rsidRPr="0042521B">
              <w:rPr>
                <w:rFonts w:ascii="Book Antiqua" w:eastAsia="MS PGothic" w:hAnsi="Book Antiqua"/>
                <w:b/>
                <w:bCs/>
              </w:rPr>
              <w:t xml:space="preserve"> </w:t>
            </w:r>
            <w:r w:rsidR="001916FA" w:rsidRPr="0042521B">
              <w:rPr>
                <w:rFonts w:ascii="Book Antiqua" w:eastAsia="MS PGothic" w:hAnsi="Book Antiqua"/>
                <w:b/>
                <w:bCs/>
              </w:rPr>
              <w:t>(</w:t>
            </w:r>
            <w:r w:rsidR="001916FA" w:rsidRPr="0042521B">
              <w:rPr>
                <w:rFonts w:ascii="Book Antiqua" w:eastAsia="MS PGothic" w:hAnsi="Book Antiqua"/>
                <w:b/>
                <w:bCs/>
                <w:i/>
              </w:rPr>
              <w:t>n</w:t>
            </w:r>
            <w:r w:rsidRPr="0042521B">
              <w:rPr>
                <w:rFonts w:ascii="Book Antiqua" w:hAnsi="Book Antiqua" w:hint="eastAsia"/>
                <w:b/>
                <w:bCs/>
                <w:lang w:eastAsia="zh-CN"/>
              </w:rPr>
              <w:t xml:space="preserve"> </w:t>
            </w:r>
            <w:r w:rsidR="001916FA" w:rsidRPr="0042521B">
              <w:rPr>
                <w:rFonts w:ascii="Book Antiqua" w:eastAsia="MS PGothic" w:hAnsi="Book Antiqua"/>
                <w:b/>
                <w:bCs/>
              </w:rPr>
              <w:t>=</w:t>
            </w:r>
            <w:r w:rsidRPr="0042521B">
              <w:rPr>
                <w:rFonts w:ascii="Book Antiqua" w:hAnsi="Book Antiqua" w:hint="eastAsia"/>
                <w:b/>
                <w:bCs/>
                <w:lang w:eastAsia="zh-CN"/>
              </w:rPr>
              <w:t xml:space="preserve"> </w:t>
            </w:r>
            <w:r w:rsidR="001916FA" w:rsidRPr="0042521B">
              <w:rPr>
                <w:rFonts w:ascii="Book Antiqua" w:eastAsia="MS PGothic" w:hAnsi="Book Antiqua"/>
                <w:b/>
                <w:bCs/>
              </w:rPr>
              <w:t>114)</w:t>
            </w:r>
          </w:p>
        </w:tc>
        <w:tc>
          <w:tcPr>
            <w:tcW w:w="3544" w:type="dxa"/>
            <w:tcBorders>
              <w:top w:val="single" w:sz="4" w:space="0" w:color="auto"/>
              <w:bottom w:val="single" w:sz="4" w:space="0" w:color="auto"/>
            </w:tcBorders>
            <w:hideMark/>
          </w:tcPr>
          <w:p w14:paraId="7EEF8B1E" w14:textId="77777777" w:rsidR="001916FA" w:rsidRPr="0042521B" w:rsidRDefault="001916FA" w:rsidP="001916FA">
            <w:pPr>
              <w:adjustRightInd w:val="0"/>
              <w:snapToGrid w:val="0"/>
              <w:spacing w:line="360" w:lineRule="auto"/>
              <w:jc w:val="both"/>
              <w:rPr>
                <w:rFonts w:ascii="Book Antiqua" w:eastAsia="MS PGothic" w:hAnsi="Book Antiqua"/>
                <w:b/>
              </w:rPr>
            </w:pPr>
            <w:r w:rsidRPr="0042521B">
              <w:rPr>
                <w:rFonts w:ascii="Book Antiqua" w:eastAsia="MS PGothic" w:hAnsi="Book Antiqua"/>
                <w:b/>
              </w:rPr>
              <w:t xml:space="preserve"> </w:t>
            </w:r>
          </w:p>
        </w:tc>
        <w:tc>
          <w:tcPr>
            <w:tcW w:w="1623" w:type="dxa"/>
            <w:tcBorders>
              <w:top w:val="single" w:sz="4" w:space="0" w:color="auto"/>
              <w:bottom w:val="single" w:sz="4" w:space="0" w:color="auto"/>
            </w:tcBorders>
            <w:vAlign w:val="center"/>
            <w:hideMark/>
          </w:tcPr>
          <w:p w14:paraId="46B9042B" w14:textId="1D5DE5C3" w:rsidR="001916FA" w:rsidRPr="0042521B" w:rsidRDefault="001916FA" w:rsidP="001916FA">
            <w:pPr>
              <w:adjustRightInd w:val="0"/>
              <w:snapToGrid w:val="0"/>
              <w:spacing w:line="360" w:lineRule="auto"/>
              <w:jc w:val="both"/>
              <w:rPr>
                <w:rFonts w:ascii="Book Antiqua" w:eastAsia="MS PGothic" w:hAnsi="Book Antiqua"/>
                <w:b/>
                <w:bCs/>
              </w:rPr>
            </w:pPr>
            <w:bookmarkStart w:id="41" w:name="OLE_LINK45"/>
            <w:bookmarkStart w:id="42" w:name="OLE_LINK43"/>
            <w:bookmarkStart w:id="43" w:name="OLE_LINK44"/>
            <w:r w:rsidRPr="0042521B">
              <w:rPr>
                <w:rFonts w:ascii="Book Antiqua" w:eastAsia="MS PGothic" w:hAnsi="Book Antiqua"/>
                <w:b/>
                <w:bCs/>
              </w:rPr>
              <w:t xml:space="preserve">TLE </w:t>
            </w:r>
            <w:bookmarkEnd w:id="41"/>
            <w:r w:rsidRPr="0042521B">
              <w:rPr>
                <w:rFonts w:ascii="Book Antiqua" w:eastAsia="MS PGothic" w:hAnsi="Book Antiqua"/>
                <w:b/>
                <w:bCs/>
              </w:rPr>
              <w:t>group</w:t>
            </w:r>
            <w:bookmarkEnd w:id="42"/>
            <w:bookmarkEnd w:id="43"/>
            <w:r w:rsidR="00BA28BF" w:rsidRPr="0042521B">
              <w:rPr>
                <w:rFonts w:ascii="Book Antiqua" w:eastAsia="MS PGothic" w:hAnsi="Book Antiqua"/>
                <w:b/>
                <w:bCs/>
              </w:rPr>
              <w:t xml:space="preserve"> </w:t>
            </w:r>
            <w:r w:rsidRPr="0042521B">
              <w:rPr>
                <w:rFonts w:ascii="Book Antiqua" w:eastAsia="MS PGothic" w:hAnsi="Book Antiqua"/>
                <w:b/>
                <w:bCs/>
              </w:rPr>
              <w:t>(</w:t>
            </w:r>
            <w:r w:rsidRPr="0042521B">
              <w:rPr>
                <w:rFonts w:ascii="Book Antiqua" w:eastAsia="MS PGothic" w:hAnsi="Book Antiqua"/>
                <w:b/>
                <w:bCs/>
                <w:i/>
              </w:rPr>
              <w:t>n</w:t>
            </w:r>
            <w:r w:rsidR="00524379" w:rsidRPr="0042521B">
              <w:rPr>
                <w:rFonts w:ascii="Book Antiqua" w:hAnsi="Book Antiqua" w:hint="eastAsia"/>
                <w:b/>
                <w:bCs/>
                <w:lang w:eastAsia="zh-CN"/>
              </w:rPr>
              <w:t xml:space="preserve"> </w:t>
            </w:r>
            <w:r w:rsidRPr="0042521B">
              <w:rPr>
                <w:rFonts w:ascii="Book Antiqua" w:eastAsia="MS PGothic" w:hAnsi="Book Antiqua"/>
                <w:b/>
                <w:bCs/>
              </w:rPr>
              <w:t>=</w:t>
            </w:r>
            <w:r w:rsidR="00524379" w:rsidRPr="0042521B">
              <w:rPr>
                <w:rFonts w:ascii="Book Antiqua" w:hAnsi="Book Antiqua" w:hint="eastAsia"/>
                <w:b/>
                <w:bCs/>
                <w:lang w:eastAsia="zh-CN"/>
              </w:rPr>
              <w:t xml:space="preserve"> </w:t>
            </w:r>
            <w:r w:rsidRPr="0042521B">
              <w:rPr>
                <w:rFonts w:ascii="Book Antiqua" w:eastAsia="MS PGothic" w:hAnsi="Book Antiqua"/>
                <w:b/>
                <w:bCs/>
              </w:rPr>
              <w:t>114)</w:t>
            </w:r>
          </w:p>
        </w:tc>
      </w:tr>
      <w:tr w:rsidR="00524379" w:rsidRPr="0042521B" w14:paraId="7DB50F0E" w14:textId="77777777" w:rsidTr="003323D0">
        <w:trPr>
          <w:jc w:val="center"/>
        </w:trPr>
        <w:tc>
          <w:tcPr>
            <w:tcW w:w="3031" w:type="dxa"/>
            <w:tcBorders>
              <w:top w:val="single" w:sz="4" w:space="0" w:color="auto"/>
            </w:tcBorders>
            <w:vAlign w:val="center"/>
            <w:hideMark/>
          </w:tcPr>
          <w:p w14:paraId="6C5AC26E" w14:textId="04233E6F" w:rsidR="001916FA" w:rsidRPr="0042521B" w:rsidRDefault="00FE120F" w:rsidP="00FE120F">
            <w:pPr>
              <w:adjustRightInd w:val="0"/>
              <w:snapToGrid w:val="0"/>
              <w:spacing w:line="360" w:lineRule="auto"/>
              <w:jc w:val="both"/>
              <w:rPr>
                <w:rFonts w:ascii="Book Antiqua" w:eastAsia="MS PGothic" w:hAnsi="Book Antiqua"/>
                <w:bCs/>
              </w:rPr>
            </w:pPr>
            <w:r w:rsidRPr="0042521B">
              <w:rPr>
                <w:rFonts w:ascii="Book Antiqua" w:hAnsi="Book Antiqua" w:hint="eastAsia"/>
                <w:bCs/>
                <w:lang w:eastAsia="zh-CN"/>
              </w:rPr>
              <w:t>Age, m</w:t>
            </w:r>
            <w:r w:rsidR="001916FA" w:rsidRPr="0042521B">
              <w:rPr>
                <w:rFonts w:ascii="Book Antiqua" w:eastAsia="MS PGothic" w:hAnsi="Book Antiqua"/>
                <w:bCs/>
              </w:rPr>
              <w:t>ean</w:t>
            </w:r>
            <w:r w:rsidRPr="0042521B">
              <w:rPr>
                <w:rFonts w:ascii="Book Antiqua" w:hAnsi="Book Antiqua" w:hint="eastAsia"/>
                <w:bCs/>
                <w:lang w:eastAsia="zh-CN"/>
              </w:rPr>
              <w:t xml:space="preserve"> </w:t>
            </w:r>
            <w:r w:rsidRPr="0042521B">
              <w:rPr>
                <w:rFonts w:ascii="Book Antiqua" w:eastAsia="MS PGothic" w:hAnsi="Book Antiqua"/>
                <w:bCs/>
              </w:rPr>
              <w:t>± SD (yr</w:t>
            </w:r>
            <w:r w:rsidR="001916FA" w:rsidRPr="0042521B">
              <w:rPr>
                <w:rFonts w:ascii="Book Antiqua" w:eastAsia="MS PGothic" w:hAnsi="Book Antiqua"/>
                <w:bCs/>
              </w:rPr>
              <w:t>)</w:t>
            </w:r>
          </w:p>
        </w:tc>
        <w:tc>
          <w:tcPr>
            <w:tcW w:w="1746" w:type="dxa"/>
            <w:tcBorders>
              <w:top w:val="single" w:sz="4" w:space="0" w:color="auto"/>
            </w:tcBorders>
            <w:vAlign w:val="center"/>
            <w:hideMark/>
          </w:tcPr>
          <w:p w14:paraId="70E1E288"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75.5 ± 0.6</w:t>
            </w:r>
          </w:p>
        </w:tc>
        <w:tc>
          <w:tcPr>
            <w:tcW w:w="3544" w:type="dxa"/>
            <w:tcBorders>
              <w:top w:val="single" w:sz="4" w:space="0" w:color="auto"/>
            </w:tcBorders>
            <w:vAlign w:val="center"/>
            <w:hideMark/>
          </w:tcPr>
          <w:p w14:paraId="24BC5CE4"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En-bloc resection, % (</w:t>
            </w:r>
            <w:r w:rsidRPr="0042521B">
              <w:rPr>
                <w:rFonts w:ascii="Book Antiqua" w:eastAsia="MS PGothic" w:hAnsi="Book Antiqua"/>
                <w:bCs/>
                <w:i/>
              </w:rPr>
              <w:t>n</w:t>
            </w:r>
            <w:r w:rsidRPr="0042521B">
              <w:rPr>
                <w:rFonts w:ascii="Book Antiqua" w:eastAsia="MS PGothic" w:hAnsi="Book Antiqua"/>
                <w:bCs/>
              </w:rPr>
              <w:t>)</w:t>
            </w:r>
          </w:p>
        </w:tc>
        <w:tc>
          <w:tcPr>
            <w:tcW w:w="1623" w:type="dxa"/>
            <w:tcBorders>
              <w:top w:val="single" w:sz="4" w:space="0" w:color="auto"/>
            </w:tcBorders>
            <w:vAlign w:val="center"/>
            <w:hideMark/>
          </w:tcPr>
          <w:p w14:paraId="69445671"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rPr>
              <w:t>100 (114)</w:t>
            </w:r>
          </w:p>
        </w:tc>
      </w:tr>
      <w:tr w:rsidR="00524379" w:rsidRPr="0042521B" w14:paraId="18D1932A" w14:textId="77777777" w:rsidTr="003323D0">
        <w:trPr>
          <w:jc w:val="center"/>
        </w:trPr>
        <w:tc>
          <w:tcPr>
            <w:tcW w:w="3031" w:type="dxa"/>
            <w:vAlign w:val="center"/>
            <w:hideMark/>
          </w:tcPr>
          <w:p w14:paraId="260F7C68"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Sex</w:t>
            </w:r>
          </w:p>
        </w:tc>
        <w:tc>
          <w:tcPr>
            <w:tcW w:w="1746" w:type="dxa"/>
            <w:hideMark/>
          </w:tcPr>
          <w:p w14:paraId="3B24600C"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7D858406"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bCs/>
              </w:rPr>
              <w:t>R0 resection, % (</w:t>
            </w:r>
            <w:r w:rsidRPr="0042521B">
              <w:rPr>
                <w:rFonts w:ascii="Book Antiqua" w:eastAsia="MS PGothic" w:hAnsi="Book Antiqua"/>
                <w:bCs/>
                <w:i/>
              </w:rPr>
              <w:t>n</w:t>
            </w:r>
            <w:r w:rsidRPr="0042521B">
              <w:rPr>
                <w:rFonts w:ascii="Book Antiqua" w:eastAsia="MS PGothic" w:hAnsi="Book Antiqua"/>
                <w:bCs/>
              </w:rPr>
              <w:t>)</w:t>
            </w:r>
          </w:p>
        </w:tc>
        <w:tc>
          <w:tcPr>
            <w:tcW w:w="1623" w:type="dxa"/>
            <w:hideMark/>
          </w:tcPr>
          <w:p w14:paraId="0626C7F4"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100 (114)</w:t>
            </w:r>
          </w:p>
        </w:tc>
      </w:tr>
      <w:tr w:rsidR="00524379" w:rsidRPr="0042521B" w14:paraId="666D98B9" w14:textId="77777777" w:rsidTr="003323D0">
        <w:trPr>
          <w:jc w:val="center"/>
        </w:trPr>
        <w:tc>
          <w:tcPr>
            <w:tcW w:w="3031" w:type="dxa"/>
            <w:vAlign w:val="center"/>
            <w:hideMark/>
          </w:tcPr>
          <w:p w14:paraId="3B077C96" w14:textId="62A24550"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Male,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29436787"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86.0 (98)</w:t>
            </w:r>
          </w:p>
        </w:tc>
        <w:tc>
          <w:tcPr>
            <w:tcW w:w="3544" w:type="dxa"/>
            <w:vAlign w:val="center"/>
            <w:hideMark/>
          </w:tcPr>
          <w:p w14:paraId="19E76223"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bCs/>
              </w:rPr>
              <w:t>Curative resection, % (</w:t>
            </w:r>
            <w:r w:rsidRPr="0042521B">
              <w:rPr>
                <w:rFonts w:ascii="Book Antiqua" w:eastAsia="MS PGothic" w:hAnsi="Book Antiqua"/>
                <w:bCs/>
                <w:i/>
              </w:rPr>
              <w:t>n</w:t>
            </w:r>
            <w:r w:rsidRPr="0042521B">
              <w:rPr>
                <w:rFonts w:ascii="Book Antiqua" w:eastAsia="MS PGothic" w:hAnsi="Book Antiqua"/>
                <w:bCs/>
              </w:rPr>
              <w:t>)</w:t>
            </w:r>
          </w:p>
        </w:tc>
        <w:tc>
          <w:tcPr>
            <w:tcW w:w="1623" w:type="dxa"/>
            <w:vAlign w:val="center"/>
            <w:hideMark/>
          </w:tcPr>
          <w:p w14:paraId="5CACA61D"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90.4 (103)</w:t>
            </w:r>
          </w:p>
        </w:tc>
      </w:tr>
      <w:tr w:rsidR="00524379" w:rsidRPr="0042521B" w14:paraId="26153E7A" w14:textId="77777777" w:rsidTr="003323D0">
        <w:trPr>
          <w:jc w:val="center"/>
        </w:trPr>
        <w:tc>
          <w:tcPr>
            <w:tcW w:w="3031" w:type="dxa"/>
            <w:vAlign w:val="center"/>
            <w:hideMark/>
          </w:tcPr>
          <w:p w14:paraId="1588EA85" w14:textId="53B4B185"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Female,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4099A6B7"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14.0 (16)</w:t>
            </w:r>
          </w:p>
        </w:tc>
        <w:tc>
          <w:tcPr>
            <w:tcW w:w="3544" w:type="dxa"/>
            <w:vAlign w:val="center"/>
            <w:hideMark/>
          </w:tcPr>
          <w:p w14:paraId="619D8F5F"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bCs/>
              </w:rPr>
              <w:t>Median procedure time (range)</w:t>
            </w:r>
          </w:p>
        </w:tc>
        <w:tc>
          <w:tcPr>
            <w:tcW w:w="1623" w:type="dxa"/>
            <w:vAlign w:val="center"/>
            <w:hideMark/>
          </w:tcPr>
          <w:p w14:paraId="749227FE"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41.5 (10-180)</w:t>
            </w:r>
          </w:p>
        </w:tc>
      </w:tr>
      <w:tr w:rsidR="00524379" w:rsidRPr="0042521B" w14:paraId="7438E893" w14:textId="77777777" w:rsidTr="003323D0">
        <w:trPr>
          <w:jc w:val="center"/>
        </w:trPr>
        <w:tc>
          <w:tcPr>
            <w:tcW w:w="3031" w:type="dxa"/>
            <w:vAlign w:val="center"/>
            <w:hideMark/>
          </w:tcPr>
          <w:p w14:paraId="180A83E6"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Location-1</w:t>
            </w:r>
          </w:p>
        </w:tc>
        <w:tc>
          <w:tcPr>
            <w:tcW w:w="1746" w:type="dxa"/>
            <w:hideMark/>
          </w:tcPr>
          <w:p w14:paraId="6672BD28"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5ACFA6FC" w14:textId="77777777" w:rsidR="001916FA" w:rsidRPr="0042521B" w:rsidRDefault="001916FA" w:rsidP="001916FA">
            <w:pPr>
              <w:adjustRightInd w:val="0"/>
              <w:snapToGrid w:val="0"/>
              <w:spacing w:line="360" w:lineRule="auto"/>
              <w:jc w:val="both"/>
              <w:rPr>
                <w:rFonts w:ascii="Book Antiqua" w:eastAsia="MS PGothic" w:hAnsi="Book Antiqua"/>
              </w:rPr>
            </w:pPr>
            <w:bookmarkStart w:id="44" w:name="OLE_LINK48"/>
            <w:bookmarkStart w:id="45" w:name="OLE_LINK49"/>
            <w:r w:rsidRPr="0042521B">
              <w:rPr>
                <w:rFonts w:ascii="Book Antiqua" w:eastAsia="MS PGothic" w:hAnsi="Book Antiqua"/>
                <w:bCs/>
              </w:rPr>
              <w:t xml:space="preserve">SLE </w:t>
            </w:r>
            <w:bookmarkEnd w:id="44"/>
            <w:bookmarkEnd w:id="45"/>
            <w:r w:rsidRPr="0042521B">
              <w:rPr>
                <w:rFonts w:ascii="Book Antiqua" w:eastAsia="MS PGothic" w:hAnsi="Book Antiqua"/>
                <w:bCs/>
              </w:rPr>
              <w:t>Hemostasis, % (</w:t>
            </w:r>
            <w:r w:rsidRPr="0042521B">
              <w:rPr>
                <w:rFonts w:ascii="Book Antiqua" w:eastAsia="MS PGothic" w:hAnsi="Book Antiqua"/>
                <w:bCs/>
                <w:i/>
              </w:rPr>
              <w:t>n</w:t>
            </w:r>
            <w:r w:rsidRPr="0042521B">
              <w:rPr>
                <w:rFonts w:ascii="Book Antiqua" w:eastAsia="MS PGothic" w:hAnsi="Book Antiqua"/>
                <w:bCs/>
              </w:rPr>
              <w:t>)</w:t>
            </w:r>
          </w:p>
        </w:tc>
        <w:tc>
          <w:tcPr>
            <w:tcW w:w="1623" w:type="dxa"/>
            <w:hideMark/>
          </w:tcPr>
          <w:p w14:paraId="6B45EA42"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68.8 (77)</w:t>
            </w:r>
          </w:p>
        </w:tc>
      </w:tr>
      <w:tr w:rsidR="00524379" w:rsidRPr="0042521B" w14:paraId="770C5A2A" w14:textId="77777777" w:rsidTr="003323D0">
        <w:trPr>
          <w:jc w:val="center"/>
        </w:trPr>
        <w:tc>
          <w:tcPr>
            <w:tcW w:w="3031" w:type="dxa"/>
            <w:vAlign w:val="center"/>
            <w:hideMark/>
          </w:tcPr>
          <w:p w14:paraId="463F4052" w14:textId="1373CE62"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Upper,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03935971"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18.4 (21)</w:t>
            </w:r>
          </w:p>
        </w:tc>
        <w:tc>
          <w:tcPr>
            <w:tcW w:w="3544" w:type="dxa"/>
            <w:vAlign w:val="center"/>
            <w:hideMark/>
          </w:tcPr>
          <w:p w14:paraId="46DAFAC0" w14:textId="626FADB6"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Forrest classification 1b, % (</w:t>
            </w:r>
            <w:r w:rsidRPr="0042521B">
              <w:rPr>
                <w:rFonts w:ascii="Book Antiqua" w:eastAsia="MS PGothic" w:hAnsi="Book Antiqua"/>
                <w:i/>
              </w:rPr>
              <w:t>n</w:t>
            </w:r>
            <w:r w:rsidRPr="0042521B">
              <w:rPr>
                <w:rFonts w:ascii="Book Antiqua" w:eastAsia="MS PGothic" w:hAnsi="Book Antiqua"/>
              </w:rPr>
              <w:t>)</w:t>
            </w:r>
          </w:p>
        </w:tc>
        <w:tc>
          <w:tcPr>
            <w:tcW w:w="1623" w:type="dxa"/>
            <w:vAlign w:val="center"/>
            <w:hideMark/>
          </w:tcPr>
          <w:p w14:paraId="59D26227"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10.7 (12)</w:t>
            </w:r>
          </w:p>
        </w:tc>
      </w:tr>
      <w:tr w:rsidR="00524379" w:rsidRPr="0042521B" w14:paraId="3DB78074" w14:textId="77777777" w:rsidTr="003323D0">
        <w:trPr>
          <w:jc w:val="center"/>
        </w:trPr>
        <w:tc>
          <w:tcPr>
            <w:tcW w:w="3031" w:type="dxa"/>
            <w:vAlign w:val="center"/>
            <w:hideMark/>
          </w:tcPr>
          <w:p w14:paraId="2FEC01F5" w14:textId="716813A1"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Middle,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0C13E1DC"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12.3 (14)</w:t>
            </w:r>
          </w:p>
        </w:tc>
        <w:tc>
          <w:tcPr>
            <w:tcW w:w="3544" w:type="dxa"/>
            <w:vAlign w:val="center"/>
            <w:hideMark/>
          </w:tcPr>
          <w:p w14:paraId="71CC5DD4" w14:textId="40C5F2A3"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Forrest classification 2a, % (</w:t>
            </w:r>
            <w:r w:rsidRPr="0042521B">
              <w:rPr>
                <w:rFonts w:ascii="Book Antiqua" w:eastAsia="MS PGothic" w:hAnsi="Book Antiqua"/>
                <w:i/>
              </w:rPr>
              <w:t>n</w:t>
            </w:r>
            <w:r w:rsidRPr="0042521B">
              <w:rPr>
                <w:rFonts w:ascii="Book Antiqua" w:eastAsia="MS PGothic" w:hAnsi="Book Antiqua"/>
              </w:rPr>
              <w:t>)</w:t>
            </w:r>
          </w:p>
        </w:tc>
        <w:tc>
          <w:tcPr>
            <w:tcW w:w="1623" w:type="dxa"/>
            <w:vAlign w:val="center"/>
            <w:hideMark/>
          </w:tcPr>
          <w:p w14:paraId="483894F6"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58.0 (65)</w:t>
            </w:r>
          </w:p>
        </w:tc>
      </w:tr>
      <w:tr w:rsidR="00524379" w:rsidRPr="0042521B" w14:paraId="3DB03C86" w14:textId="77777777" w:rsidTr="003323D0">
        <w:trPr>
          <w:jc w:val="center"/>
        </w:trPr>
        <w:tc>
          <w:tcPr>
            <w:tcW w:w="3031" w:type="dxa"/>
            <w:vAlign w:val="center"/>
            <w:hideMark/>
          </w:tcPr>
          <w:p w14:paraId="43C7A8DF" w14:textId="04FA2751"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Lower,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5DA65ED5"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69.3 (79)</w:t>
            </w:r>
          </w:p>
        </w:tc>
        <w:tc>
          <w:tcPr>
            <w:tcW w:w="3544" w:type="dxa"/>
            <w:vAlign w:val="center"/>
            <w:hideMark/>
          </w:tcPr>
          <w:p w14:paraId="5290F9D4"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TLE Hemostasis, % (</w:t>
            </w:r>
            <w:r w:rsidRPr="0042521B">
              <w:rPr>
                <w:rFonts w:ascii="Book Antiqua" w:eastAsia="MS PGothic" w:hAnsi="Book Antiqua"/>
                <w:bCs/>
                <w:i/>
              </w:rPr>
              <w:t>n</w:t>
            </w:r>
            <w:r w:rsidRPr="0042521B">
              <w:rPr>
                <w:rFonts w:ascii="Book Antiqua" w:eastAsia="MS PGothic" w:hAnsi="Book Antiqua"/>
                <w:bCs/>
              </w:rPr>
              <w:t>)</w:t>
            </w:r>
          </w:p>
        </w:tc>
        <w:tc>
          <w:tcPr>
            <w:tcW w:w="1623" w:type="dxa"/>
            <w:vAlign w:val="center"/>
            <w:hideMark/>
          </w:tcPr>
          <w:p w14:paraId="1ECD1BCD"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rPr>
              <w:t>35.7 (40)</w:t>
            </w:r>
          </w:p>
        </w:tc>
      </w:tr>
      <w:tr w:rsidR="00524379" w:rsidRPr="0042521B" w14:paraId="195A7902" w14:textId="77777777" w:rsidTr="003323D0">
        <w:trPr>
          <w:jc w:val="center"/>
        </w:trPr>
        <w:tc>
          <w:tcPr>
            <w:tcW w:w="3031" w:type="dxa"/>
            <w:vAlign w:val="center"/>
            <w:hideMark/>
          </w:tcPr>
          <w:p w14:paraId="2D0EAB3C"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Location-2</w:t>
            </w:r>
          </w:p>
        </w:tc>
        <w:tc>
          <w:tcPr>
            <w:tcW w:w="1746" w:type="dxa"/>
            <w:hideMark/>
          </w:tcPr>
          <w:p w14:paraId="26CBEC5F"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7837CE9A" w14:textId="0BC30893"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Forrest classification 1b, % (</w:t>
            </w:r>
            <w:r w:rsidRPr="0042521B">
              <w:rPr>
                <w:rFonts w:ascii="Book Antiqua" w:eastAsia="MS PGothic" w:hAnsi="Book Antiqua"/>
                <w:i/>
              </w:rPr>
              <w:t>n</w:t>
            </w:r>
            <w:r w:rsidRPr="0042521B">
              <w:rPr>
                <w:rFonts w:ascii="Book Antiqua" w:eastAsia="MS PGothic" w:hAnsi="Book Antiqua"/>
              </w:rPr>
              <w:t>)</w:t>
            </w:r>
          </w:p>
        </w:tc>
        <w:tc>
          <w:tcPr>
            <w:tcW w:w="1623" w:type="dxa"/>
            <w:hideMark/>
          </w:tcPr>
          <w:p w14:paraId="0FFDDED6"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10.7 (12)</w:t>
            </w:r>
          </w:p>
        </w:tc>
      </w:tr>
      <w:tr w:rsidR="00524379" w:rsidRPr="0042521B" w14:paraId="5E5E6EA2" w14:textId="77777777" w:rsidTr="003323D0">
        <w:trPr>
          <w:jc w:val="center"/>
        </w:trPr>
        <w:tc>
          <w:tcPr>
            <w:tcW w:w="3031" w:type="dxa"/>
            <w:vAlign w:val="center"/>
            <w:hideMark/>
          </w:tcPr>
          <w:p w14:paraId="3EE0FD38" w14:textId="542CA114"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Anterior wall,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585F2FB9"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8.8 (10)</w:t>
            </w:r>
          </w:p>
        </w:tc>
        <w:tc>
          <w:tcPr>
            <w:tcW w:w="3544" w:type="dxa"/>
            <w:hideMark/>
          </w:tcPr>
          <w:p w14:paraId="56B6B900" w14:textId="4F2C6683" w:rsidR="001916FA" w:rsidRPr="0042521B" w:rsidRDefault="001916FA" w:rsidP="00DD2024">
            <w:pPr>
              <w:adjustRightInd w:val="0"/>
              <w:snapToGrid w:val="0"/>
              <w:spacing w:line="360" w:lineRule="auto"/>
              <w:ind w:firstLineChars="50" w:firstLine="120"/>
              <w:jc w:val="both"/>
              <w:rPr>
                <w:rFonts w:ascii="Book Antiqua" w:eastAsia="MS PGothic" w:hAnsi="Book Antiqua"/>
                <w:bCs/>
              </w:rPr>
            </w:pPr>
            <w:r w:rsidRPr="0042521B">
              <w:rPr>
                <w:rFonts w:ascii="Book Antiqua" w:eastAsia="Yu Mincho" w:hAnsi="Book Antiqua"/>
              </w:rPr>
              <w:t>Forrest classification 2a, % (</w:t>
            </w:r>
            <w:r w:rsidRPr="0042521B">
              <w:rPr>
                <w:rFonts w:ascii="Book Antiqua" w:eastAsia="Yu Mincho" w:hAnsi="Book Antiqua"/>
                <w:i/>
              </w:rPr>
              <w:t>n</w:t>
            </w:r>
            <w:r w:rsidRPr="0042521B">
              <w:rPr>
                <w:rFonts w:ascii="Book Antiqua" w:eastAsia="Yu Mincho" w:hAnsi="Book Antiqua"/>
              </w:rPr>
              <w:t>)</w:t>
            </w:r>
          </w:p>
        </w:tc>
        <w:tc>
          <w:tcPr>
            <w:tcW w:w="1623" w:type="dxa"/>
            <w:hideMark/>
          </w:tcPr>
          <w:p w14:paraId="3AE42B50"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Yu Mincho" w:hAnsi="Book Antiqua"/>
              </w:rPr>
              <w:t>25.0 (28)</w:t>
            </w:r>
          </w:p>
        </w:tc>
      </w:tr>
      <w:tr w:rsidR="00524379" w:rsidRPr="0042521B" w14:paraId="74A765EF" w14:textId="77777777" w:rsidTr="003323D0">
        <w:trPr>
          <w:jc w:val="center"/>
        </w:trPr>
        <w:tc>
          <w:tcPr>
            <w:tcW w:w="3031" w:type="dxa"/>
            <w:vAlign w:val="center"/>
            <w:hideMark/>
          </w:tcPr>
          <w:p w14:paraId="67C71D22" w14:textId="75659F28"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Posterior wall,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5CB58AD9"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31.6 (36)</w:t>
            </w:r>
          </w:p>
        </w:tc>
        <w:tc>
          <w:tcPr>
            <w:tcW w:w="3544" w:type="dxa"/>
            <w:vAlign w:val="center"/>
            <w:hideMark/>
          </w:tcPr>
          <w:p w14:paraId="3B9C9D72"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bCs/>
              </w:rPr>
              <w:t>The day of TLE, % (</w:t>
            </w:r>
            <w:r w:rsidRPr="0042521B">
              <w:rPr>
                <w:rFonts w:ascii="Book Antiqua" w:eastAsia="MS PGothic" w:hAnsi="Book Antiqua"/>
                <w:bCs/>
                <w:i/>
              </w:rPr>
              <w:t>n</w:t>
            </w:r>
            <w:r w:rsidRPr="0042521B">
              <w:rPr>
                <w:rFonts w:ascii="Book Antiqua" w:eastAsia="MS PGothic" w:hAnsi="Book Antiqua"/>
                <w:bCs/>
              </w:rPr>
              <w:t>)</w:t>
            </w:r>
          </w:p>
        </w:tc>
        <w:tc>
          <w:tcPr>
            <w:tcW w:w="1623" w:type="dxa"/>
            <w:vAlign w:val="center"/>
          </w:tcPr>
          <w:p w14:paraId="0250E680" w14:textId="77777777" w:rsidR="001916FA" w:rsidRPr="0042521B" w:rsidRDefault="001916FA" w:rsidP="001916FA">
            <w:pPr>
              <w:adjustRightInd w:val="0"/>
              <w:snapToGrid w:val="0"/>
              <w:spacing w:line="360" w:lineRule="auto"/>
              <w:jc w:val="both"/>
              <w:rPr>
                <w:rFonts w:ascii="Book Antiqua" w:eastAsia="MS PGothic" w:hAnsi="Book Antiqua"/>
              </w:rPr>
            </w:pPr>
          </w:p>
        </w:tc>
      </w:tr>
      <w:tr w:rsidR="00524379" w:rsidRPr="0042521B" w14:paraId="74371008" w14:textId="77777777" w:rsidTr="003323D0">
        <w:trPr>
          <w:jc w:val="center"/>
        </w:trPr>
        <w:tc>
          <w:tcPr>
            <w:tcW w:w="3031" w:type="dxa"/>
            <w:vAlign w:val="center"/>
            <w:hideMark/>
          </w:tcPr>
          <w:p w14:paraId="54FE6CD3" w14:textId="5697AD21"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Lesser curvature,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3FA1B3BE"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40.3 (46)</w:t>
            </w:r>
          </w:p>
        </w:tc>
        <w:tc>
          <w:tcPr>
            <w:tcW w:w="3544" w:type="dxa"/>
            <w:vAlign w:val="center"/>
            <w:hideMark/>
          </w:tcPr>
          <w:p w14:paraId="397958BD" w14:textId="13D99E89"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POD 4</w:t>
            </w:r>
          </w:p>
        </w:tc>
        <w:tc>
          <w:tcPr>
            <w:tcW w:w="1623" w:type="dxa"/>
            <w:hideMark/>
          </w:tcPr>
          <w:p w14:paraId="7F4E26E5"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29.8 (34)</w:t>
            </w:r>
          </w:p>
        </w:tc>
      </w:tr>
      <w:tr w:rsidR="00524379" w:rsidRPr="0042521B" w14:paraId="62C757C8" w14:textId="77777777" w:rsidTr="003323D0">
        <w:trPr>
          <w:jc w:val="center"/>
        </w:trPr>
        <w:tc>
          <w:tcPr>
            <w:tcW w:w="3031" w:type="dxa"/>
            <w:vAlign w:val="center"/>
            <w:hideMark/>
          </w:tcPr>
          <w:p w14:paraId="7F6EF1DF" w14:textId="1EA3B58E"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Greater curvature,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5E41F8A9"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19.3 (22)</w:t>
            </w:r>
          </w:p>
        </w:tc>
        <w:tc>
          <w:tcPr>
            <w:tcW w:w="3544" w:type="dxa"/>
            <w:vAlign w:val="center"/>
            <w:hideMark/>
          </w:tcPr>
          <w:p w14:paraId="23ED66F4" w14:textId="0978BC84"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POD 5</w:t>
            </w:r>
          </w:p>
        </w:tc>
        <w:tc>
          <w:tcPr>
            <w:tcW w:w="1623" w:type="dxa"/>
            <w:vAlign w:val="center"/>
            <w:hideMark/>
          </w:tcPr>
          <w:p w14:paraId="65936645"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54.4 (62)</w:t>
            </w:r>
          </w:p>
        </w:tc>
      </w:tr>
      <w:tr w:rsidR="00524379" w:rsidRPr="0042521B" w14:paraId="305256CD" w14:textId="77777777" w:rsidTr="003323D0">
        <w:trPr>
          <w:jc w:val="center"/>
        </w:trPr>
        <w:tc>
          <w:tcPr>
            <w:tcW w:w="3031" w:type="dxa"/>
            <w:vAlign w:val="center"/>
            <w:hideMark/>
          </w:tcPr>
          <w:p w14:paraId="147F7105"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Morphology</w:t>
            </w:r>
          </w:p>
        </w:tc>
        <w:tc>
          <w:tcPr>
            <w:tcW w:w="1746" w:type="dxa"/>
            <w:hideMark/>
          </w:tcPr>
          <w:p w14:paraId="781F8CBA"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6D66B973" w14:textId="77E4C2B5"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POD 6</w:t>
            </w:r>
          </w:p>
        </w:tc>
        <w:tc>
          <w:tcPr>
            <w:tcW w:w="1623" w:type="dxa"/>
            <w:vAlign w:val="center"/>
            <w:hideMark/>
          </w:tcPr>
          <w:p w14:paraId="18E5509D"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14.0 (16)</w:t>
            </w:r>
          </w:p>
        </w:tc>
      </w:tr>
      <w:tr w:rsidR="00524379" w:rsidRPr="0042521B" w14:paraId="51D000F0" w14:textId="77777777" w:rsidTr="003323D0">
        <w:trPr>
          <w:jc w:val="center"/>
        </w:trPr>
        <w:tc>
          <w:tcPr>
            <w:tcW w:w="3031" w:type="dxa"/>
            <w:vAlign w:val="center"/>
            <w:hideMark/>
          </w:tcPr>
          <w:p w14:paraId="61D8C00D" w14:textId="1E0E80C8" w:rsidR="001916FA" w:rsidRPr="0042521B" w:rsidRDefault="001916FA" w:rsidP="00DD2024">
            <w:pPr>
              <w:adjustRightInd w:val="0"/>
              <w:snapToGrid w:val="0"/>
              <w:spacing w:line="360" w:lineRule="auto"/>
              <w:ind w:firstLineChars="50" w:firstLine="120"/>
              <w:jc w:val="both"/>
              <w:rPr>
                <w:rFonts w:ascii="Book Antiqua" w:eastAsia="MS PGothic" w:hAnsi="Book Antiqua"/>
              </w:rPr>
            </w:pPr>
            <w:r w:rsidRPr="0042521B">
              <w:rPr>
                <w:rFonts w:ascii="Book Antiqua" w:eastAsia="MS PGothic" w:hAnsi="Book Antiqua"/>
              </w:rPr>
              <w:t>Protruded, % (</w:t>
            </w:r>
            <w:r w:rsidRPr="0042521B">
              <w:rPr>
                <w:rFonts w:ascii="Book Antiqua" w:eastAsia="MS PGothic" w:hAnsi="Book Antiqua"/>
                <w:i/>
              </w:rPr>
              <w:t>n</w:t>
            </w:r>
            <w:r w:rsidRPr="0042521B">
              <w:rPr>
                <w:rFonts w:ascii="Book Antiqua" w:eastAsia="MS PGothic" w:hAnsi="Book Antiqua"/>
              </w:rPr>
              <w:t>)</w:t>
            </w:r>
          </w:p>
        </w:tc>
        <w:tc>
          <w:tcPr>
            <w:tcW w:w="1746" w:type="dxa"/>
            <w:vAlign w:val="center"/>
            <w:hideMark/>
          </w:tcPr>
          <w:p w14:paraId="534C9ACC"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42.9 (49)</w:t>
            </w:r>
          </w:p>
        </w:tc>
        <w:tc>
          <w:tcPr>
            <w:tcW w:w="3544" w:type="dxa"/>
            <w:vAlign w:val="center"/>
            <w:hideMark/>
          </w:tcPr>
          <w:p w14:paraId="3CDB696A"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bCs/>
              </w:rPr>
              <w:t>Comorbidities</w:t>
            </w:r>
          </w:p>
        </w:tc>
        <w:tc>
          <w:tcPr>
            <w:tcW w:w="1623" w:type="dxa"/>
            <w:vAlign w:val="center"/>
          </w:tcPr>
          <w:p w14:paraId="4867D12A" w14:textId="77777777" w:rsidR="001916FA" w:rsidRPr="0042521B" w:rsidRDefault="001916FA" w:rsidP="001916FA">
            <w:pPr>
              <w:adjustRightInd w:val="0"/>
              <w:snapToGrid w:val="0"/>
              <w:spacing w:line="360" w:lineRule="auto"/>
              <w:jc w:val="both"/>
              <w:rPr>
                <w:rFonts w:ascii="Book Antiqua" w:eastAsia="MS PGothic" w:hAnsi="Book Antiqua"/>
              </w:rPr>
            </w:pPr>
          </w:p>
        </w:tc>
      </w:tr>
      <w:tr w:rsidR="00524379" w:rsidRPr="0042521B" w14:paraId="4ACB3893" w14:textId="77777777" w:rsidTr="003323D0">
        <w:trPr>
          <w:jc w:val="center"/>
        </w:trPr>
        <w:tc>
          <w:tcPr>
            <w:tcW w:w="3031" w:type="dxa"/>
            <w:vAlign w:val="center"/>
            <w:hideMark/>
          </w:tcPr>
          <w:p w14:paraId="33C0D85F" w14:textId="0B8336F1"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Flat/depressed,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08397E8B"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57.0 (65)</w:t>
            </w:r>
          </w:p>
        </w:tc>
        <w:tc>
          <w:tcPr>
            <w:tcW w:w="3544" w:type="dxa"/>
            <w:vAlign w:val="center"/>
            <w:hideMark/>
          </w:tcPr>
          <w:p w14:paraId="20B85FA8" w14:textId="59D248FE"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H</w:t>
            </w:r>
            <w:r w:rsidR="001916FA" w:rsidRPr="0042521B">
              <w:rPr>
                <w:rFonts w:ascii="Book Antiqua" w:eastAsia="Yu Mincho" w:hAnsi="Book Antiqua"/>
              </w:rPr>
              <w:t>ypertension</w:t>
            </w:r>
            <w:r w:rsidR="001916FA" w:rsidRPr="0042521B">
              <w:rPr>
                <w:rFonts w:ascii="Book Antiqua" w:eastAsia="MS PGothic" w:hAnsi="Book Antiqua"/>
              </w:rPr>
              <w:t>,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hideMark/>
          </w:tcPr>
          <w:p w14:paraId="5C3A7C9B"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85.1 (97)</w:t>
            </w:r>
          </w:p>
        </w:tc>
      </w:tr>
      <w:tr w:rsidR="00524379" w:rsidRPr="0042521B" w14:paraId="67583D93" w14:textId="77777777" w:rsidTr="003323D0">
        <w:trPr>
          <w:jc w:val="center"/>
        </w:trPr>
        <w:tc>
          <w:tcPr>
            <w:tcW w:w="3031" w:type="dxa"/>
            <w:vAlign w:val="center"/>
            <w:hideMark/>
          </w:tcPr>
          <w:p w14:paraId="71463950"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Median tumor size (range)</w:t>
            </w:r>
          </w:p>
        </w:tc>
        <w:tc>
          <w:tcPr>
            <w:tcW w:w="1746" w:type="dxa"/>
            <w:vAlign w:val="center"/>
            <w:hideMark/>
          </w:tcPr>
          <w:p w14:paraId="2E11B111"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11.0 (2-70)</w:t>
            </w:r>
          </w:p>
        </w:tc>
        <w:tc>
          <w:tcPr>
            <w:tcW w:w="3544" w:type="dxa"/>
            <w:vAlign w:val="center"/>
            <w:hideMark/>
          </w:tcPr>
          <w:p w14:paraId="77C2AE84" w14:textId="0C6B87B9"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D</w:t>
            </w:r>
            <w:r w:rsidR="001916FA" w:rsidRPr="0042521B">
              <w:rPr>
                <w:rFonts w:ascii="Book Antiqua" w:eastAsia="Yu Mincho" w:hAnsi="Book Antiqua"/>
                <w:bCs/>
              </w:rPr>
              <w:t>iabetes mellitus</w:t>
            </w:r>
            <w:r w:rsidR="001916FA" w:rsidRPr="0042521B">
              <w:rPr>
                <w:rFonts w:ascii="Book Antiqua" w:eastAsia="MS PGothic" w:hAnsi="Book Antiqua"/>
              </w:rPr>
              <w:t xml:space="preserve"> M,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02ADF9E3"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21.9 (25)</w:t>
            </w:r>
          </w:p>
        </w:tc>
      </w:tr>
      <w:tr w:rsidR="00524379" w:rsidRPr="0042521B" w14:paraId="45019F8B" w14:textId="77777777" w:rsidTr="003323D0">
        <w:trPr>
          <w:jc w:val="center"/>
        </w:trPr>
        <w:tc>
          <w:tcPr>
            <w:tcW w:w="3031" w:type="dxa"/>
            <w:vAlign w:val="center"/>
            <w:hideMark/>
          </w:tcPr>
          <w:p w14:paraId="3F3F0E84"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Median specimen size (range)</w:t>
            </w:r>
          </w:p>
        </w:tc>
        <w:tc>
          <w:tcPr>
            <w:tcW w:w="1746" w:type="dxa"/>
            <w:vAlign w:val="center"/>
            <w:hideMark/>
          </w:tcPr>
          <w:p w14:paraId="711CADD3"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35.0 (18-95)</w:t>
            </w:r>
          </w:p>
        </w:tc>
        <w:tc>
          <w:tcPr>
            <w:tcW w:w="3544" w:type="dxa"/>
            <w:vAlign w:val="center"/>
            <w:hideMark/>
          </w:tcPr>
          <w:p w14:paraId="7445699E" w14:textId="6DDC0DAE"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Hyperlipidemia,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25F1B6E1"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54.4 (62)</w:t>
            </w:r>
          </w:p>
        </w:tc>
      </w:tr>
      <w:tr w:rsidR="00524379" w:rsidRPr="0042521B" w14:paraId="61F8430A" w14:textId="77777777" w:rsidTr="003323D0">
        <w:trPr>
          <w:jc w:val="center"/>
        </w:trPr>
        <w:tc>
          <w:tcPr>
            <w:tcW w:w="3031" w:type="dxa"/>
            <w:vAlign w:val="center"/>
            <w:hideMark/>
          </w:tcPr>
          <w:p w14:paraId="6A526E1C"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Synchronous occurrence, % (</w:t>
            </w:r>
            <w:r w:rsidRPr="0042521B">
              <w:rPr>
                <w:rFonts w:ascii="Book Antiqua" w:eastAsia="MS PGothic" w:hAnsi="Book Antiqua"/>
                <w:bCs/>
                <w:i/>
              </w:rPr>
              <w:t>n</w:t>
            </w:r>
            <w:r w:rsidRPr="0042521B">
              <w:rPr>
                <w:rFonts w:ascii="Book Antiqua" w:eastAsia="MS PGothic" w:hAnsi="Book Antiqua"/>
                <w:bCs/>
              </w:rPr>
              <w:t>)</w:t>
            </w:r>
          </w:p>
        </w:tc>
        <w:tc>
          <w:tcPr>
            <w:tcW w:w="1746" w:type="dxa"/>
            <w:vAlign w:val="center"/>
            <w:hideMark/>
          </w:tcPr>
          <w:p w14:paraId="77572779" w14:textId="7DA14820"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22.9 (22/96</w:t>
            </w:r>
            <w:r w:rsidR="003601CB" w:rsidRPr="0042521B">
              <w:rPr>
                <w:rFonts w:ascii="Book Antiqua" w:hAnsi="Book Antiqua" w:hint="eastAsia"/>
                <w:lang w:eastAsia="zh-CN"/>
              </w:rPr>
              <w:t xml:space="preserve"> </w:t>
            </w:r>
            <w:r w:rsidRPr="0042521B">
              <w:rPr>
                <w:rFonts w:ascii="Book Antiqua" w:eastAsia="MS PGothic" w:hAnsi="Book Antiqua"/>
              </w:rPr>
              <w:t>patients)</w:t>
            </w:r>
          </w:p>
        </w:tc>
        <w:tc>
          <w:tcPr>
            <w:tcW w:w="3544" w:type="dxa"/>
            <w:vAlign w:val="center"/>
            <w:hideMark/>
          </w:tcPr>
          <w:p w14:paraId="65923E19" w14:textId="2DBF646E"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Cardiac disease,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hideMark/>
          </w:tcPr>
          <w:p w14:paraId="36652990"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69.3 (79)</w:t>
            </w:r>
          </w:p>
        </w:tc>
      </w:tr>
      <w:tr w:rsidR="00524379" w:rsidRPr="0042521B" w14:paraId="0AF1633B" w14:textId="77777777" w:rsidTr="003323D0">
        <w:trPr>
          <w:jc w:val="center"/>
        </w:trPr>
        <w:tc>
          <w:tcPr>
            <w:tcW w:w="3031" w:type="dxa"/>
            <w:vAlign w:val="center"/>
            <w:hideMark/>
          </w:tcPr>
          <w:p w14:paraId="0C30CCA6"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Ulcerative findings</w:t>
            </w:r>
          </w:p>
        </w:tc>
        <w:tc>
          <w:tcPr>
            <w:tcW w:w="1746" w:type="dxa"/>
            <w:vAlign w:val="center"/>
            <w:hideMark/>
          </w:tcPr>
          <w:p w14:paraId="4727B301"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590AF7C4" w14:textId="2599682F" w:rsidR="001916FA" w:rsidRPr="0042521B" w:rsidRDefault="00DD2024"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 xml:space="preserve"> </w:t>
            </w:r>
            <w:r w:rsidR="001916FA" w:rsidRPr="0042521B">
              <w:rPr>
                <w:rFonts w:ascii="Book Antiqua" w:eastAsia="MS PGothic" w:hAnsi="Book Antiqua"/>
              </w:rPr>
              <w:t>Cerebral infarction,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14D00235"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24.6 (28)</w:t>
            </w:r>
          </w:p>
        </w:tc>
      </w:tr>
      <w:tr w:rsidR="00524379" w:rsidRPr="0042521B" w14:paraId="1673AA84" w14:textId="77777777" w:rsidTr="003323D0">
        <w:trPr>
          <w:jc w:val="center"/>
        </w:trPr>
        <w:tc>
          <w:tcPr>
            <w:tcW w:w="3031" w:type="dxa"/>
            <w:vAlign w:val="center"/>
            <w:hideMark/>
          </w:tcPr>
          <w:p w14:paraId="697875D8" w14:textId="4400C43E"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4D4DCE23"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5.3 (6)</w:t>
            </w:r>
          </w:p>
        </w:tc>
        <w:tc>
          <w:tcPr>
            <w:tcW w:w="3544" w:type="dxa"/>
            <w:vAlign w:val="center"/>
            <w:hideMark/>
          </w:tcPr>
          <w:p w14:paraId="3CE9F96B" w14:textId="3A1CEA75"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Hemodialysis,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77125C81"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3.5 (4)</w:t>
            </w:r>
          </w:p>
        </w:tc>
      </w:tr>
      <w:tr w:rsidR="00524379" w:rsidRPr="0042521B" w14:paraId="129F82E8" w14:textId="77777777" w:rsidTr="003323D0">
        <w:trPr>
          <w:jc w:val="center"/>
        </w:trPr>
        <w:tc>
          <w:tcPr>
            <w:tcW w:w="3031" w:type="dxa"/>
            <w:vAlign w:val="center"/>
            <w:hideMark/>
          </w:tcPr>
          <w:p w14:paraId="6E6141C6" w14:textId="0CD22787"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 ,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24252F22"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94.7 (108)</w:t>
            </w:r>
          </w:p>
        </w:tc>
        <w:tc>
          <w:tcPr>
            <w:tcW w:w="3544" w:type="dxa"/>
            <w:vAlign w:val="center"/>
            <w:hideMark/>
          </w:tcPr>
          <w:p w14:paraId="418DFBE6"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bCs/>
              </w:rPr>
              <w:t>Receiving antithrombotic agents</w:t>
            </w:r>
          </w:p>
        </w:tc>
        <w:tc>
          <w:tcPr>
            <w:tcW w:w="1623" w:type="dxa"/>
            <w:vAlign w:val="center"/>
          </w:tcPr>
          <w:p w14:paraId="7F058A81" w14:textId="77777777" w:rsidR="001916FA" w:rsidRPr="0042521B" w:rsidRDefault="001916FA" w:rsidP="001916FA">
            <w:pPr>
              <w:adjustRightInd w:val="0"/>
              <w:snapToGrid w:val="0"/>
              <w:spacing w:line="360" w:lineRule="auto"/>
              <w:jc w:val="both"/>
              <w:rPr>
                <w:rFonts w:ascii="Book Antiqua" w:eastAsia="Times New Roman" w:hAnsi="Book Antiqua"/>
              </w:rPr>
            </w:pPr>
          </w:p>
        </w:tc>
      </w:tr>
      <w:tr w:rsidR="00524379" w:rsidRPr="0042521B" w14:paraId="2AB9CE55" w14:textId="77777777" w:rsidTr="003323D0">
        <w:trPr>
          <w:jc w:val="center"/>
        </w:trPr>
        <w:tc>
          <w:tcPr>
            <w:tcW w:w="3031" w:type="dxa"/>
            <w:vAlign w:val="center"/>
            <w:hideMark/>
          </w:tcPr>
          <w:p w14:paraId="0C6DC47E"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Depth of invasion</w:t>
            </w:r>
          </w:p>
        </w:tc>
        <w:tc>
          <w:tcPr>
            <w:tcW w:w="1746" w:type="dxa"/>
            <w:vAlign w:val="center"/>
            <w:hideMark/>
          </w:tcPr>
          <w:p w14:paraId="6A17D0D1"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2EB2C0DC" w14:textId="2BB803A9" w:rsidR="001916FA" w:rsidRPr="0042521B" w:rsidRDefault="00DD2024"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 xml:space="preserve"> </w:t>
            </w:r>
            <w:r w:rsidR="001916FA" w:rsidRPr="0042521B">
              <w:rPr>
                <w:rFonts w:ascii="Book Antiqua" w:eastAsia="MS PGothic" w:hAnsi="Book Antiqua"/>
              </w:rPr>
              <w:t>Continue,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1A9D9715"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100 (114)</w:t>
            </w:r>
          </w:p>
        </w:tc>
      </w:tr>
      <w:tr w:rsidR="00524379" w:rsidRPr="0042521B" w14:paraId="0CB4FF55" w14:textId="77777777" w:rsidTr="003323D0">
        <w:trPr>
          <w:jc w:val="center"/>
        </w:trPr>
        <w:tc>
          <w:tcPr>
            <w:tcW w:w="3031" w:type="dxa"/>
            <w:vAlign w:val="center"/>
            <w:hideMark/>
          </w:tcPr>
          <w:p w14:paraId="352D5438" w14:textId="0AFD9E5F"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lastRenderedPageBreak/>
              <w:t xml:space="preserve"> </w:t>
            </w:r>
            <w:r w:rsidR="001916FA" w:rsidRPr="0042521B">
              <w:rPr>
                <w:rFonts w:ascii="Book Antiqua" w:eastAsia="MS PGothic" w:hAnsi="Book Antiqua"/>
              </w:rPr>
              <w:t>M/SM1,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2704AACF"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98.2 (112)</w:t>
            </w:r>
          </w:p>
        </w:tc>
        <w:tc>
          <w:tcPr>
            <w:tcW w:w="3544" w:type="dxa"/>
            <w:vAlign w:val="center"/>
            <w:hideMark/>
          </w:tcPr>
          <w:p w14:paraId="79197F18" w14:textId="36254699"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Discontinue,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622DA8E3"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0 (0)</w:t>
            </w:r>
          </w:p>
        </w:tc>
      </w:tr>
      <w:tr w:rsidR="00524379" w:rsidRPr="0042521B" w14:paraId="4665BDF7" w14:textId="77777777" w:rsidTr="003323D0">
        <w:trPr>
          <w:jc w:val="center"/>
        </w:trPr>
        <w:tc>
          <w:tcPr>
            <w:tcW w:w="3031" w:type="dxa"/>
            <w:vAlign w:val="center"/>
            <w:hideMark/>
          </w:tcPr>
          <w:p w14:paraId="16B424D1" w14:textId="0705D404"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SM2-,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17F51D9A"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1.8 (2)</w:t>
            </w:r>
          </w:p>
        </w:tc>
        <w:tc>
          <w:tcPr>
            <w:tcW w:w="3544" w:type="dxa"/>
            <w:vAlign w:val="center"/>
            <w:hideMark/>
          </w:tcPr>
          <w:p w14:paraId="317D4ED9"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bCs/>
              </w:rPr>
              <w:t>Antithrombotic agents</w:t>
            </w:r>
          </w:p>
        </w:tc>
        <w:tc>
          <w:tcPr>
            <w:tcW w:w="1623" w:type="dxa"/>
          </w:tcPr>
          <w:p w14:paraId="2F46B3A0" w14:textId="77777777" w:rsidR="001916FA" w:rsidRPr="0042521B" w:rsidRDefault="001916FA" w:rsidP="001916FA">
            <w:pPr>
              <w:adjustRightInd w:val="0"/>
              <w:snapToGrid w:val="0"/>
              <w:spacing w:line="360" w:lineRule="auto"/>
              <w:jc w:val="both"/>
              <w:rPr>
                <w:rFonts w:ascii="Book Antiqua" w:eastAsia="Times New Roman" w:hAnsi="Book Antiqua"/>
              </w:rPr>
            </w:pPr>
          </w:p>
        </w:tc>
      </w:tr>
      <w:tr w:rsidR="00524379" w:rsidRPr="0042521B" w14:paraId="6EBFEAE1" w14:textId="77777777" w:rsidTr="003323D0">
        <w:trPr>
          <w:jc w:val="center"/>
        </w:trPr>
        <w:tc>
          <w:tcPr>
            <w:tcW w:w="3031" w:type="dxa"/>
            <w:vAlign w:val="center"/>
            <w:hideMark/>
          </w:tcPr>
          <w:p w14:paraId="48359974"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Pathological finding</w:t>
            </w:r>
          </w:p>
        </w:tc>
        <w:tc>
          <w:tcPr>
            <w:tcW w:w="1746" w:type="dxa"/>
            <w:vAlign w:val="center"/>
            <w:hideMark/>
          </w:tcPr>
          <w:p w14:paraId="4B4CC01F"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5A733BF4" w14:textId="658CCA52" w:rsidR="001916FA" w:rsidRPr="0042521B" w:rsidRDefault="00DD2024"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 xml:space="preserve"> </w:t>
            </w:r>
            <w:r w:rsidR="001916FA" w:rsidRPr="0042521B">
              <w:rPr>
                <w:rFonts w:ascii="Book Antiqua" w:eastAsia="MS PGothic" w:hAnsi="Book Antiqua"/>
              </w:rPr>
              <w:t>Aspirin,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11CFDF8D"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43.9 (50)</w:t>
            </w:r>
          </w:p>
        </w:tc>
      </w:tr>
      <w:tr w:rsidR="00524379" w:rsidRPr="0042521B" w14:paraId="3C4B01C5" w14:textId="77777777" w:rsidTr="003323D0">
        <w:trPr>
          <w:jc w:val="center"/>
        </w:trPr>
        <w:tc>
          <w:tcPr>
            <w:tcW w:w="3031" w:type="dxa"/>
            <w:vAlign w:val="center"/>
            <w:hideMark/>
          </w:tcPr>
          <w:p w14:paraId="53A29E97" w14:textId="13EE2317"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Differentiated type,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20AAF36E" w14:textId="6CF15AD9"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95.6</w:t>
            </w:r>
            <w:r w:rsidR="001C6552" w:rsidRPr="0042521B">
              <w:rPr>
                <w:rFonts w:ascii="Book Antiqua" w:hAnsi="Book Antiqua" w:hint="eastAsia"/>
                <w:lang w:eastAsia="zh-CN"/>
              </w:rPr>
              <w:t xml:space="preserve"> </w:t>
            </w:r>
            <w:r w:rsidRPr="0042521B">
              <w:rPr>
                <w:rFonts w:ascii="Book Antiqua" w:eastAsia="MS PGothic" w:hAnsi="Book Antiqua"/>
              </w:rPr>
              <w:t>(109)</w:t>
            </w:r>
          </w:p>
        </w:tc>
        <w:tc>
          <w:tcPr>
            <w:tcW w:w="3544" w:type="dxa"/>
            <w:vAlign w:val="center"/>
            <w:hideMark/>
          </w:tcPr>
          <w:p w14:paraId="59497E01" w14:textId="6A585207"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Thienopyridine,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7373CB4B"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10.5 (12)</w:t>
            </w:r>
          </w:p>
        </w:tc>
      </w:tr>
      <w:tr w:rsidR="00524379" w:rsidRPr="0042521B" w14:paraId="1DB2ADD4" w14:textId="77777777" w:rsidTr="003323D0">
        <w:trPr>
          <w:jc w:val="center"/>
        </w:trPr>
        <w:tc>
          <w:tcPr>
            <w:tcW w:w="3031" w:type="dxa"/>
            <w:vAlign w:val="center"/>
            <w:hideMark/>
          </w:tcPr>
          <w:p w14:paraId="248FB045" w14:textId="662AB7DA"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Undifferentiated type,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376A0868"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4.4 (5)</w:t>
            </w:r>
          </w:p>
        </w:tc>
        <w:tc>
          <w:tcPr>
            <w:tcW w:w="3544" w:type="dxa"/>
            <w:vAlign w:val="center"/>
            <w:hideMark/>
          </w:tcPr>
          <w:p w14:paraId="79D1403D" w14:textId="07A9578C"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Cilostazol,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6B9A68C8"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5.3 (6)</w:t>
            </w:r>
          </w:p>
        </w:tc>
      </w:tr>
      <w:tr w:rsidR="00524379" w:rsidRPr="0042521B" w14:paraId="442C85CF" w14:textId="77777777" w:rsidTr="003323D0">
        <w:trPr>
          <w:jc w:val="center"/>
        </w:trPr>
        <w:tc>
          <w:tcPr>
            <w:tcW w:w="3031" w:type="dxa"/>
            <w:vAlign w:val="center"/>
            <w:hideMark/>
          </w:tcPr>
          <w:p w14:paraId="6AC36A84" w14:textId="77777777" w:rsidR="001916FA" w:rsidRPr="0042521B" w:rsidRDefault="001916FA" w:rsidP="001916FA">
            <w:pPr>
              <w:adjustRightInd w:val="0"/>
              <w:snapToGrid w:val="0"/>
              <w:spacing w:line="360" w:lineRule="auto"/>
              <w:jc w:val="both"/>
              <w:rPr>
                <w:rFonts w:ascii="Book Antiqua" w:eastAsia="MS PGothic" w:hAnsi="Book Antiqua"/>
                <w:bCs/>
              </w:rPr>
            </w:pPr>
            <w:r w:rsidRPr="0042521B">
              <w:rPr>
                <w:rFonts w:ascii="Book Antiqua" w:eastAsia="MS PGothic" w:hAnsi="Book Antiqua"/>
                <w:bCs/>
              </w:rPr>
              <w:t xml:space="preserve">lymphovascular infiltration </w:t>
            </w:r>
          </w:p>
        </w:tc>
        <w:tc>
          <w:tcPr>
            <w:tcW w:w="1746" w:type="dxa"/>
            <w:vAlign w:val="center"/>
            <w:hideMark/>
          </w:tcPr>
          <w:p w14:paraId="65DA3540" w14:textId="77777777" w:rsidR="001916FA" w:rsidRPr="0042521B"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7F39B648" w14:textId="67A24230" w:rsidR="001916FA" w:rsidRPr="0042521B" w:rsidRDefault="00DD2024"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 xml:space="preserve"> </w:t>
            </w:r>
            <w:r w:rsidR="001916FA" w:rsidRPr="0042521B">
              <w:rPr>
                <w:rFonts w:ascii="Book Antiqua" w:eastAsia="MS PGothic" w:hAnsi="Book Antiqua"/>
              </w:rPr>
              <w:t>Warfarin,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6412E6C8"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2.6 (3)</w:t>
            </w:r>
          </w:p>
        </w:tc>
      </w:tr>
      <w:tr w:rsidR="00524379" w:rsidRPr="0042521B" w14:paraId="2BD51FE1" w14:textId="77777777" w:rsidTr="003323D0">
        <w:trPr>
          <w:jc w:val="center"/>
        </w:trPr>
        <w:tc>
          <w:tcPr>
            <w:tcW w:w="3031" w:type="dxa"/>
            <w:vAlign w:val="center"/>
            <w:hideMark/>
          </w:tcPr>
          <w:p w14:paraId="7B163967" w14:textId="5717CD4D"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1EA51124"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4.4 (5)</w:t>
            </w:r>
          </w:p>
        </w:tc>
        <w:tc>
          <w:tcPr>
            <w:tcW w:w="3544" w:type="dxa"/>
            <w:vAlign w:val="center"/>
            <w:hideMark/>
          </w:tcPr>
          <w:p w14:paraId="3D8F5B22" w14:textId="7BAE479B"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bookmarkStart w:id="46" w:name="_Hlk53514835"/>
            <w:bookmarkStart w:id="47" w:name="OLE_LINK53"/>
            <w:r w:rsidR="001916FA" w:rsidRPr="0042521B">
              <w:rPr>
                <w:rFonts w:ascii="Book Antiqua" w:eastAsia="MS PGothic" w:hAnsi="Book Antiqua"/>
              </w:rPr>
              <w:t>DOAC</w:t>
            </w:r>
            <w:bookmarkEnd w:id="46"/>
            <w:bookmarkEnd w:id="47"/>
            <w:r w:rsidR="001916FA" w:rsidRPr="0042521B">
              <w:rPr>
                <w:rFonts w:ascii="Book Antiqua" w:eastAsia="MS PGothic" w:hAnsi="Book Antiqua"/>
              </w:rPr>
              <w:t>,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hideMark/>
          </w:tcPr>
          <w:p w14:paraId="3FA80503"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20.2 (23)</w:t>
            </w:r>
          </w:p>
        </w:tc>
      </w:tr>
      <w:tr w:rsidR="00524379" w:rsidRPr="0042521B" w14:paraId="13CA3DE9" w14:textId="77777777" w:rsidTr="003323D0">
        <w:trPr>
          <w:jc w:val="center"/>
        </w:trPr>
        <w:tc>
          <w:tcPr>
            <w:tcW w:w="3031" w:type="dxa"/>
            <w:vAlign w:val="center"/>
            <w:hideMark/>
          </w:tcPr>
          <w:p w14:paraId="2A34C1C6" w14:textId="177C8076"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 , % (</w:t>
            </w:r>
            <w:r w:rsidR="001916FA" w:rsidRPr="0042521B">
              <w:rPr>
                <w:rFonts w:ascii="Book Antiqua" w:eastAsia="MS PGothic" w:hAnsi="Book Antiqua"/>
                <w:i/>
              </w:rPr>
              <w:t>n</w:t>
            </w:r>
            <w:r w:rsidR="001916FA" w:rsidRPr="0042521B">
              <w:rPr>
                <w:rFonts w:ascii="Book Antiqua" w:eastAsia="MS PGothic" w:hAnsi="Book Antiqua"/>
              </w:rPr>
              <w:t>)</w:t>
            </w:r>
          </w:p>
        </w:tc>
        <w:tc>
          <w:tcPr>
            <w:tcW w:w="1746" w:type="dxa"/>
            <w:vAlign w:val="center"/>
            <w:hideMark/>
          </w:tcPr>
          <w:p w14:paraId="44FA83E6" w14:textId="77777777" w:rsidR="001916FA" w:rsidRPr="0042521B" w:rsidRDefault="001916FA"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95.6 (109)</w:t>
            </w:r>
          </w:p>
        </w:tc>
        <w:tc>
          <w:tcPr>
            <w:tcW w:w="3544" w:type="dxa"/>
            <w:vAlign w:val="center"/>
            <w:hideMark/>
          </w:tcPr>
          <w:p w14:paraId="59A2E685" w14:textId="52A27F22" w:rsidR="001916FA" w:rsidRPr="0042521B" w:rsidRDefault="00DD2024" w:rsidP="001916FA">
            <w:pPr>
              <w:adjustRightInd w:val="0"/>
              <w:snapToGrid w:val="0"/>
              <w:spacing w:line="360" w:lineRule="auto"/>
              <w:jc w:val="both"/>
              <w:rPr>
                <w:rFonts w:ascii="Book Antiqua" w:eastAsia="MS PGothic" w:hAnsi="Book Antiqua"/>
              </w:rPr>
            </w:pPr>
            <w:r w:rsidRPr="0042521B">
              <w:rPr>
                <w:rFonts w:ascii="Book Antiqua" w:eastAsia="MS PGothic" w:hAnsi="Book Antiqua"/>
              </w:rPr>
              <w:t xml:space="preserve"> </w:t>
            </w:r>
            <w:r w:rsidR="001916FA" w:rsidRPr="0042521B">
              <w:rPr>
                <w:rFonts w:ascii="Book Antiqua" w:eastAsia="MS PGothic" w:hAnsi="Book Antiqua"/>
              </w:rPr>
              <w:t>Multiple antithrombotic agents, % (</w:t>
            </w:r>
            <w:r w:rsidR="001916FA" w:rsidRPr="0042521B">
              <w:rPr>
                <w:rFonts w:ascii="Book Antiqua" w:eastAsia="MS PGothic" w:hAnsi="Book Antiqua"/>
                <w:i/>
              </w:rPr>
              <w:t>n</w:t>
            </w:r>
            <w:r w:rsidR="001916FA" w:rsidRPr="0042521B">
              <w:rPr>
                <w:rFonts w:ascii="Book Antiqua" w:eastAsia="MS PGothic" w:hAnsi="Book Antiqua"/>
              </w:rPr>
              <w:t>)</w:t>
            </w:r>
          </w:p>
        </w:tc>
        <w:tc>
          <w:tcPr>
            <w:tcW w:w="1623" w:type="dxa"/>
            <w:vAlign w:val="center"/>
            <w:hideMark/>
          </w:tcPr>
          <w:p w14:paraId="59725F98" w14:textId="77777777" w:rsidR="001916FA" w:rsidRPr="0042521B" w:rsidRDefault="001916FA" w:rsidP="001916FA">
            <w:pPr>
              <w:adjustRightInd w:val="0"/>
              <w:snapToGrid w:val="0"/>
              <w:spacing w:line="360" w:lineRule="auto"/>
              <w:jc w:val="both"/>
              <w:rPr>
                <w:rFonts w:ascii="Book Antiqua" w:eastAsia="Times New Roman" w:hAnsi="Book Antiqua"/>
              </w:rPr>
            </w:pPr>
            <w:r w:rsidRPr="0042521B">
              <w:rPr>
                <w:rFonts w:ascii="Book Antiqua" w:eastAsia="MS PGothic" w:hAnsi="Book Antiqua"/>
              </w:rPr>
              <w:t>17.5 (20)</w:t>
            </w:r>
          </w:p>
        </w:tc>
      </w:tr>
    </w:tbl>
    <w:p w14:paraId="7B18C0DD" w14:textId="524F164B" w:rsidR="001916FA" w:rsidRPr="0042521B" w:rsidRDefault="001C6552">
      <w:pPr>
        <w:spacing w:line="360" w:lineRule="auto"/>
        <w:jc w:val="both"/>
        <w:rPr>
          <w:rFonts w:ascii="Book Antiqua" w:hAnsi="Book Antiqua"/>
          <w:lang w:eastAsia="zh-CN"/>
        </w:rPr>
      </w:pPr>
      <w:bookmarkStart w:id="48" w:name="OLE_LINK59"/>
      <w:bookmarkStart w:id="49" w:name="OLE_LINK60"/>
      <w:r w:rsidRPr="0042521B">
        <w:rPr>
          <w:rFonts w:ascii="Book Antiqua" w:hAnsi="Book Antiqua"/>
          <w:lang w:eastAsia="zh-CN"/>
        </w:rPr>
        <w:t>TLE</w:t>
      </w:r>
      <w:r w:rsidRPr="0042521B">
        <w:rPr>
          <w:rFonts w:ascii="Book Antiqua" w:hAnsi="Book Antiqua" w:hint="eastAsia"/>
          <w:lang w:eastAsia="zh-CN"/>
        </w:rPr>
        <w:t xml:space="preserve">: </w:t>
      </w:r>
      <w:bookmarkStart w:id="50" w:name="OLE_LINK57"/>
      <w:bookmarkStart w:id="51" w:name="OLE_LINK58"/>
      <w:r w:rsidRPr="0042521B">
        <w:rPr>
          <w:rFonts w:ascii="Book Antiqua" w:hAnsi="Book Antiqua" w:hint="eastAsia"/>
          <w:lang w:eastAsia="zh-CN"/>
        </w:rPr>
        <w:t>T</w:t>
      </w:r>
      <w:r w:rsidRPr="0042521B">
        <w:rPr>
          <w:rFonts w:ascii="Book Antiqua" w:hAnsi="Book Antiqua"/>
          <w:lang w:eastAsia="zh-CN"/>
        </w:rPr>
        <w:t>hird-look endoscopy</w:t>
      </w:r>
      <w:bookmarkEnd w:id="50"/>
      <w:bookmarkEnd w:id="51"/>
      <w:r w:rsidRPr="0042521B">
        <w:rPr>
          <w:rFonts w:ascii="Book Antiqua" w:hAnsi="Book Antiqua" w:hint="eastAsia"/>
          <w:lang w:eastAsia="zh-CN"/>
        </w:rPr>
        <w:t>;</w:t>
      </w:r>
      <w:r w:rsidRPr="0042521B">
        <w:rPr>
          <w:rFonts w:ascii="Book Antiqua" w:hAnsi="Book Antiqua"/>
          <w:lang w:eastAsia="zh-CN"/>
        </w:rPr>
        <w:t xml:space="preserve"> </w:t>
      </w:r>
      <w:bookmarkEnd w:id="48"/>
      <w:bookmarkEnd w:id="49"/>
      <w:r w:rsidRPr="0042521B">
        <w:rPr>
          <w:rFonts w:ascii="Book Antiqua" w:eastAsia="MS PGothic" w:hAnsi="Book Antiqua"/>
          <w:bCs/>
        </w:rPr>
        <w:t>SLE</w:t>
      </w:r>
      <w:r w:rsidRPr="0042521B">
        <w:rPr>
          <w:rFonts w:ascii="Book Antiqua" w:hAnsi="Book Antiqua" w:hint="eastAsia"/>
          <w:bCs/>
          <w:lang w:eastAsia="zh-CN"/>
        </w:rPr>
        <w:t>:</w:t>
      </w:r>
      <w:r w:rsidRPr="0042521B">
        <w:rPr>
          <w:rFonts w:ascii="Book Antiqua" w:eastAsia="MS PGothic" w:hAnsi="Book Antiqua"/>
          <w:bCs/>
        </w:rPr>
        <w:t xml:space="preserve"> </w:t>
      </w:r>
      <w:r w:rsidRPr="0042521B">
        <w:rPr>
          <w:rFonts w:ascii="Book Antiqua" w:hAnsi="Book Antiqua" w:cs="Book Antiqua" w:hint="eastAsia"/>
          <w:color w:val="000000"/>
          <w:lang w:eastAsia="zh-CN"/>
        </w:rPr>
        <w:t>S</w:t>
      </w:r>
      <w:r w:rsidRPr="0042521B">
        <w:rPr>
          <w:rFonts w:ascii="Book Antiqua" w:eastAsia="Book Antiqua" w:hAnsi="Book Antiqua" w:cs="Book Antiqua"/>
          <w:color w:val="000000"/>
        </w:rPr>
        <w:t>econd-look endoscopy</w:t>
      </w:r>
      <w:r w:rsidRPr="0042521B">
        <w:rPr>
          <w:rFonts w:ascii="Book Antiqua" w:hAnsi="Book Antiqua" w:cs="Book Antiqua" w:hint="eastAsia"/>
          <w:color w:val="000000"/>
          <w:lang w:eastAsia="zh-CN"/>
        </w:rPr>
        <w:t>;</w:t>
      </w:r>
      <w:r w:rsidRPr="0042521B">
        <w:rPr>
          <w:rFonts w:ascii="Book Antiqua" w:hAnsi="Book Antiqua"/>
          <w:lang w:eastAsia="zh-CN"/>
        </w:rPr>
        <w:t xml:space="preserve"> </w:t>
      </w:r>
      <w:r w:rsidRPr="0042521B">
        <w:rPr>
          <w:rFonts w:ascii="Book Antiqua" w:hAnsi="Book Antiqua" w:cs="Book Antiqua" w:hint="eastAsia"/>
          <w:color w:val="000000"/>
          <w:lang w:eastAsia="zh-CN"/>
        </w:rPr>
        <w:t>POD:</w:t>
      </w:r>
      <w:r w:rsidRPr="0042521B">
        <w:rPr>
          <w:rFonts w:ascii="Book Antiqua" w:eastAsia="Book Antiqua" w:hAnsi="Book Antiqua" w:cs="Book Antiqua"/>
          <w:color w:val="000000"/>
        </w:rPr>
        <w:t xml:space="preserve"> </w:t>
      </w:r>
      <w:r w:rsidRPr="0042521B">
        <w:rPr>
          <w:rFonts w:ascii="Book Antiqua" w:hAnsi="Book Antiqua" w:cs="Book Antiqua" w:hint="eastAsia"/>
          <w:color w:val="000000"/>
          <w:lang w:eastAsia="zh-CN"/>
        </w:rPr>
        <w:t>P</w:t>
      </w:r>
      <w:r w:rsidRPr="0042521B">
        <w:rPr>
          <w:rFonts w:ascii="Book Antiqua" w:eastAsia="Book Antiqua" w:hAnsi="Book Antiqua" w:cs="Book Antiqua"/>
          <w:color w:val="000000"/>
        </w:rPr>
        <w:t>ostoperative day</w:t>
      </w:r>
      <w:r w:rsidRPr="0042521B">
        <w:rPr>
          <w:rFonts w:ascii="Book Antiqua" w:hAnsi="Book Antiqua" w:cs="Book Antiqua" w:hint="eastAsia"/>
          <w:color w:val="000000"/>
          <w:lang w:eastAsia="zh-CN"/>
        </w:rPr>
        <w:t xml:space="preserve">; </w:t>
      </w:r>
      <w:r w:rsidRPr="0042521B">
        <w:rPr>
          <w:rFonts w:ascii="Book Antiqua" w:eastAsia="MS PGothic" w:hAnsi="Book Antiqua"/>
        </w:rPr>
        <w:t>DOAC</w:t>
      </w:r>
      <w:r w:rsidRPr="0042521B">
        <w:rPr>
          <w:rFonts w:ascii="Book Antiqua" w:hAnsi="Book Antiqua" w:hint="eastAsia"/>
          <w:lang w:eastAsia="zh-CN"/>
        </w:rPr>
        <w:t>:</w:t>
      </w:r>
      <w:r w:rsidRPr="0042521B">
        <w:rPr>
          <w:rFonts w:ascii="Book Antiqua" w:hAnsi="Book Antiqua"/>
          <w:lang w:eastAsia="zh-CN"/>
        </w:rPr>
        <w:t xml:space="preserve"> </w:t>
      </w:r>
      <w:bookmarkStart w:id="52" w:name="OLE_LINK76"/>
      <w:bookmarkStart w:id="53" w:name="OLE_LINK77"/>
      <w:bookmarkStart w:id="54" w:name="OLE_LINK78"/>
      <w:bookmarkStart w:id="55" w:name="OLE_LINK79"/>
      <w:bookmarkStart w:id="56" w:name="OLE_LINK80"/>
      <w:bookmarkStart w:id="57" w:name="OLE_LINK81"/>
      <w:r w:rsidRPr="0042521B">
        <w:rPr>
          <w:rFonts w:ascii="Book Antiqua" w:hAnsi="Book Antiqua" w:cs="Book Antiqua" w:hint="eastAsia"/>
          <w:color w:val="000000"/>
          <w:lang w:eastAsia="zh-CN"/>
        </w:rPr>
        <w:t>D</w:t>
      </w:r>
      <w:r w:rsidRPr="0042521B">
        <w:rPr>
          <w:rFonts w:ascii="Book Antiqua" w:eastAsia="Book Antiqua" w:hAnsi="Book Antiqua" w:cs="Book Antiqua"/>
          <w:color w:val="000000"/>
        </w:rPr>
        <w:t>irect oral anticoagulants</w:t>
      </w:r>
      <w:bookmarkEnd w:id="52"/>
      <w:bookmarkEnd w:id="53"/>
      <w:bookmarkEnd w:id="54"/>
      <w:bookmarkEnd w:id="55"/>
      <w:bookmarkEnd w:id="56"/>
      <w:bookmarkEnd w:id="57"/>
      <w:r w:rsidRPr="0042521B">
        <w:rPr>
          <w:rFonts w:ascii="Book Antiqua" w:hAnsi="Book Antiqua" w:cs="Book Antiqua" w:hint="eastAsia"/>
          <w:color w:val="000000"/>
          <w:lang w:eastAsia="zh-CN"/>
        </w:rPr>
        <w:t>;</w:t>
      </w:r>
      <w:r w:rsidRPr="0042521B">
        <w:rPr>
          <w:rFonts w:ascii="Book Antiqua" w:hAnsi="Book Antiqua"/>
          <w:lang w:eastAsia="zh-CN"/>
        </w:rPr>
        <w:t xml:space="preserve"> M</w:t>
      </w:r>
      <w:r w:rsidRPr="0042521B">
        <w:rPr>
          <w:rFonts w:ascii="Book Antiqua" w:hAnsi="Book Antiqua" w:hint="eastAsia"/>
          <w:lang w:eastAsia="zh-CN"/>
        </w:rPr>
        <w:t>:</w:t>
      </w:r>
      <w:r w:rsidRPr="0042521B">
        <w:rPr>
          <w:rFonts w:ascii="Book Antiqua" w:hAnsi="Book Antiqua"/>
          <w:lang w:eastAsia="zh-CN"/>
        </w:rPr>
        <w:t xml:space="preserve"> Mucosa; SM1</w:t>
      </w:r>
      <w:r w:rsidRPr="0042521B">
        <w:rPr>
          <w:rFonts w:ascii="Book Antiqua" w:hAnsi="Book Antiqua" w:hint="eastAsia"/>
          <w:lang w:eastAsia="zh-CN"/>
        </w:rPr>
        <w:t>:</w:t>
      </w:r>
      <w:r w:rsidR="001916FA" w:rsidRPr="0042521B">
        <w:rPr>
          <w:rFonts w:ascii="Book Antiqua" w:hAnsi="Book Antiqua"/>
          <w:lang w:eastAsia="zh-CN"/>
        </w:rPr>
        <w:t xml:space="preserve"> Submucosa (-500</w:t>
      </w:r>
      <w:r w:rsidRPr="0042521B">
        <w:rPr>
          <w:rFonts w:ascii="Book Antiqua" w:hAnsi="Book Antiqua" w:hint="eastAsia"/>
          <w:lang w:eastAsia="zh-CN"/>
        </w:rPr>
        <w:t xml:space="preserve"> </w:t>
      </w:r>
      <w:r w:rsidRPr="0042521B">
        <w:rPr>
          <w:rFonts w:ascii="Book Antiqua" w:hAnsi="Book Antiqua"/>
          <w:lang w:eastAsia="zh-CN"/>
        </w:rPr>
        <w:t>μm); SM2-</w:t>
      </w:r>
      <w:r w:rsidRPr="0042521B">
        <w:rPr>
          <w:rFonts w:ascii="Book Antiqua" w:hAnsi="Book Antiqua" w:hint="eastAsia"/>
          <w:lang w:eastAsia="zh-CN"/>
        </w:rPr>
        <w:t>:</w:t>
      </w:r>
      <w:r w:rsidR="001916FA" w:rsidRPr="0042521B">
        <w:rPr>
          <w:rFonts w:ascii="Book Antiqua" w:hAnsi="Book Antiqua"/>
          <w:lang w:eastAsia="zh-CN"/>
        </w:rPr>
        <w:t xml:space="preserve"> Submucosa (500</w:t>
      </w:r>
      <w:r w:rsidRPr="0042521B">
        <w:rPr>
          <w:rFonts w:ascii="Book Antiqua" w:hAnsi="Book Antiqua" w:hint="eastAsia"/>
          <w:lang w:eastAsia="zh-CN"/>
        </w:rPr>
        <w:t xml:space="preserve"> </w:t>
      </w:r>
      <w:r w:rsidR="001916FA" w:rsidRPr="0042521B">
        <w:rPr>
          <w:rFonts w:ascii="Book Antiqua" w:hAnsi="Book Antiqua"/>
          <w:lang w:eastAsia="zh-CN"/>
        </w:rPr>
        <w:t>μm-)</w:t>
      </w:r>
      <w:r w:rsidRPr="0042521B">
        <w:rPr>
          <w:rFonts w:ascii="Book Antiqua" w:hAnsi="Book Antiqua" w:hint="eastAsia"/>
          <w:lang w:eastAsia="zh-CN"/>
        </w:rPr>
        <w:t>.</w:t>
      </w:r>
    </w:p>
    <w:p w14:paraId="4E99797A" w14:textId="0B418835" w:rsidR="001916FA" w:rsidRPr="0042521B" w:rsidRDefault="001916FA" w:rsidP="001916FA">
      <w:pPr>
        <w:adjustRightInd w:val="0"/>
        <w:snapToGrid w:val="0"/>
        <w:spacing w:line="360" w:lineRule="auto"/>
        <w:jc w:val="both"/>
        <w:rPr>
          <w:rFonts w:ascii="Book Antiqua" w:hAnsi="Book Antiqua"/>
          <w:b/>
          <w:lang w:eastAsia="zh-CN"/>
        </w:rPr>
      </w:pPr>
      <w:r w:rsidRPr="0042521B">
        <w:rPr>
          <w:rFonts w:ascii="Book Antiqua" w:hAnsi="Book Antiqua"/>
          <w:lang w:eastAsia="zh-CN"/>
        </w:rPr>
        <w:br w:type="page"/>
      </w:r>
      <w:bookmarkStart w:id="58" w:name="OLE_LINK37"/>
      <w:bookmarkStart w:id="59" w:name="OLE_LINK38"/>
      <w:bookmarkStart w:id="60" w:name="OLE_LINK39"/>
      <w:bookmarkStart w:id="61" w:name="OLE_LINK40"/>
      <w:bookmarkStart w:id="62" w:name="OLE_LINK41"/>
      <w:r w:rsidRPr="0042521B">
        <w:rPr>
          <w:rFonts w:ascii="Book Antiqua" w:eastAsia="Adobe 繁黑體 Std B" w:hAnsi="Book Antiqua"/>
          <w:b/>
          <w:bCs/>
        </w:rPr>
        <w:lastRenderedPageBreak/>
        <w:t>Table</w:t>
      </w:r>
      <w:r w:rsidR="004D0958" w:rsidRPr="0042521B">
        <w:rPr>
          <w:rFonts w:ascii="Book Antiqua" w:hAnsi="Book Antiqua" w:hint="eastAsia"/>
          <w:b/>
          <w:bCs/>
          <w:lang w:eastAsia="zh-CN"/>
        </w:rPr>
        <w:t xml:space="preserve"> </w:t>
      </w:r>
      <w:r w:rsidRPr="0042521B">
        <w:rPr>
          <w:rFonts w:ascii="Book Antiqua" w:eastAsia="Adobe 繁黑體 Std B" w:hAnsi="Book Antiqua"/>
          <w:b/>
          <w:bCs/>
        </w:rPr>
        <w:t>2</w:t>
      </w:r>
      <w:r w:rsidRPr="0042521B">
        <w:rPr>
          <w:rFonts w:ascii="Book Antiqua" w:eastAsia="Adobe 繁黑體 Std B" w:hAnsi="Book Antiqua"/>
          <w:b/>
        </w:rPr>
        <w:t xml:space="preserve"> </w:t>
      </w:r>
      <w:r w:rsidR="00434D46" w:rsidRPr="0042521B">
        <w:rPr>
          <w:rFonts w:ascii="Book Antiqua" w:eastAsia="Book Antiqua" w:hAnsi="Book Antiqua" w:cs="Book Antiqua"/>
          <w:b/>
          <w:color w:val="000000"/>
        </w:rPr>
        <w:t>Postoperative delayed bleeding</w:t>
      </w:r>
      <w:r w:rsidRPr="0042521B">
        <w:rPr>
          <w:rFonts w:ascii="Book Antiqua" w:eastAsia="Adobe 繁黑體 Std B" w:hAnsi="Book Antiqua"/>
          <w:b/>
        </w:rPr>
        <w:t xml:space="preserve"> rate of the </w:t>
      </w:r>
      <w:bookmarkStart w:id="63" w:name="OLE_LINK61"/>
      <w:bookmarkStart w:id="64" w:name="OLE_LINK62"/>
      <w:r w:rsidR="00434D46" w:rsidRPr="0042521B">
        <w:rPr>
          <w:rFonts w:ascii="Book Antiqua" w:hAnsi="Book Antiqua" w:hint="eastAsia"/>
          <w:b/>
          <w:lang w:eastAsia="zh-CN"/>
        </w:rPr>
        <w:t>t</w:t>
      </w:r>
      <w:r w:rsidR="00434D46" w:rsidRPr="0042521B">
        <w:rPr>
          <w:rFonts w:ascii="Book Antiqua" w:hAnsi="Book Antiqua"/>
          <w:b/>
          <w:lang w:eastAsia="zh-CN"/>
        </w:rPr>
        <w:t>hird-look endoscopy</w:t>
      </w:r>
      <w:bookmarkEnd w:id="63"/>
      <w:bookmarkEnd w:id="64"/>
      <w:r w:rsidR="00434D46" w:rsidRPr="0042521B">
        <w:rPr>
          <w:rFonts w:ascii="Book Antiqua" w:eastAsia="Adobe 繁黑體 Std B" w:hAnsi="Book Antiqua"/>
          <w:b/>
        </w:rPr>
        <w:t xml:space="preserve"> </w:t>
      </w:r>
      <w:r w:rsidRPr="0042521B">
        <w:rPr>
          <w:rFonts w:ascii="Book Antiqua" w:eastAsia="Adobe 繁黑體 Std B" w:hAnsi="Book Antiqua"/>
          <w:b/>
        </w:rPr>
        <w:t>group (primary endpoint)</w:t>
      </w:r>
    </w:p>
    <w:tbl>
      <w:tblPr>
        <w:tblpPr w:leftFromText="142" w:rightFromText="142" w:vertAnchor="text" w:horzAnchor="margin" w:tblpY="151"/>
        <w:tblW w:w="1020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769"/>
        <w:gridCol w:w="1692"/>
        <w:gridCol w:w="1237"/>
        <w:gridCol w:w="1319"/>
        <w:gridCol w:w="2187"/>
      </w:tblGrid>
      <w:tr w:rsidR="001916FA" w:rsidRPr="0042521B" w14:paraId="076E1F1B" w14:textId="77777777" w:rsidTr="000330C6">
        <w:trPr>
          <w:trHeight w:val="730"/>
        </w:trPr>
        <w:tc>
          <w:tcPr>
            <w:tcW w:w="0" w:type="auto"/>
            <w:tcBorders>
              <w:top w:val="single" w:sz="4" w:space="0" w:color="auto"/>
              <w:bottom w:val="single" w:sz="4" w:space="0" w:color="auto"/>
            </w:tcBorders>
            <w:hideMark/>
          </w:tcPr>
          <w:p w14:paraId="70D617E8"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0" w:type="auto"/>
            <w:tcBorders>
              <w:top w:val="single" w:sz="4" w:space="0" w:color="auto"/>
              <w:bottom w:val="single" w:sz="4" w:space="0" w:color="auto"/>
            </w:tcBorders>
            <w:vAlign w:val="center"/>
            <w:hideMark/>
          </w:tcPr>
          <w:p w14:paraId="60601045" w14:textId="140E9962" w:rsidR="001916FA" w:rsidRPr="0042521B" w:rsidRDefault="001916FA"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rPr>
              <w:t>TLE group</w:t>
            </w:r>
            <w:r w:rsidRPr="0042521B">
              <w:rPr>
                <w:rFonts w:ascii="Book Antiqua" w:eastAsia="Adobe 繁黑體 Std B" w:hAnsi="Book Antiqua"/>
                <w:b/>
                <w:bCs/>
              </w:rPr>
              <w:br/>
            </w:r>
            <w:r w:rsidRPr="0042521B">
              <w:rPr>
                <w:rFonts w:ascii="Book Antiqua" w:eastAsia="Adobe 繁黑體 Std B" w:hAnsi="Book Antiqua"/>
                <w:b/>
                <w:bCs/>
                <w:i/>
              </w:rPr>
              <w:t>n</w:t>
            </w:r>
            <w:r w:rsidR="00670E07" w:rsidRPr="0042521B">
              <w:rPr>
                <w:rFonts w:ascii="Book Antiqua" w:hAnsi="Book Antiqua" w:hint="eastAsia"/>
                <w:b/>
                <w:bCs/>
                <w:lang w:eastAsia="zh-CN"/>
              </w:rPr>
              <w:t xml:space="preserve"> </w:t>
            </w:r>
            <w:r w:rsidRPr="0042521B">
              <w:rPr>
                <w:rFonts w:ascii="Book Antiqua" w:eastAsia="Adobe 繁黑體 Std B" w:hAnsi="Book Antiqua"/>
                <w:b/>
                <w:bCs/>
              </w:rPr>
              <w:t>=</w:t>
            </w:r>
            <w:r w:rsidR="00670E07" w:rsidRPr="0042521B">
              <w:rPr>
                <w:rFonts w:ascii="Book Antiqua" w:hAnsi="Book Antiqua" w:hint="eastAsia"/>
                <w:b/>
                <w:bCs/>
                <w:lang w:eastAsia="zh-CN"/>
              </w:rPr>
              <w:t xml:space="preserve"> </w:t>
            </w:r>
            <w:r w:rsidRPr="0042521B">
              <w:rPr>
                <w:rFonts w:ascii="Book Antiqua" w:eastAsia="Adobe 繁黑體 Std B" w:hAnsi="Book Antiqua"/>
                <w:b/>
                <w:bCs/>
              </w:rPr>
              <w:t>114</w:t>
            </w:r>
          </w:p>
        </w:tc>
        <w:tc>
          <w:tcPr>
            <w:tcW w:w="0" w:type="auto"/>
            <w:tcBorders>
              <w:top w:val="single" w:sz="4" w:space="0" w:color="auto"/>
              <w:bottom w:val="single" w:sz="4" w:space="0" w:color="auto"/>
            </w:tcBorders>
            <w:vAlign w:val="center"/>
            <w:hideMark/>
          </w:tcPr>
          <w:p w14:paraId="605D23F8" w14:textId="6BC6D027" w:rsidR="001916FA" w:rsidRPr="0042521B" w:rsidRDefault="001916FA"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rPr>
              <w:t>90</w:t>
            </w:r>
            <w:r w:rsidR="00670E07" w:rsidRPr="0042521B">
              <w:rPr>
                <w:rFonts w:ascii="Book Antiqua" w:hAnsi="Book Antiqua" w:hint="eastAsia"/>
                <w:b/>
                <w:bCs/>
                <w:lang w:eastAsia="zh-CN"/>
              </w:rPr>
              <w:t>%</w:t>
            </w:r>
            <w:r w:rsidRPr="0042521B">
              <w:rPr>
                <w:rFonts w:ascii="Book Antiqua" w:eastAsia="Adobe 繁黑體 Std B" w:hAnsi="Book Antiqua"/>
                <w:b/>
                <w:bCs/>
              </w:rPr>
              <w:t>CI</w:t>
            </w:r>
          </w:p>
        </w:tc>
        <w:tc>
          <w:tcPr>
            <w:tcW w:w="0" w:type="auto"/>
            <w:tcBorders>
              <w:top w:val="single" w:sz="4" w:space="0" w:color="auto"/>
              <w:bottom w:val="single" w:sz="4" w:space="0" w:color="auto"/>
            </w:tcBorders>
            <w:vAlign w:val="center"/>
            <w:hideMark/>
          </w:tcPr>
          <w:p w14:paraId="7039D96D" w14:textId="77777777" w:rsidR="001916FA" w:rsidRPr="0042521B" w:rsidRDefault="001916FA"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i/>
                <w:iCs/>
              </w:rPr>
              <w:t>P</w:t>
            </w:r>
            <w:r w:rsidRPr="0042521B">
              <w:rPr>
                <w:rFonts w:ascii="Book Antiqua" w:eastAsia="Adobe 繁黑體 Std B" w:hAnsi="Book Antiqua"/>
                <w:b/>
                <w:bCs/>
              </w:rPr>
              <w:t xml:space="preserve"> value</w:t>
            </w:r>
          </w:p>
        </w:tc>
        <w:tc>
          <w:tcPr>
            <w:tcW w:w="0" w:type="auto"/>
            <w:tcBorders>
              <w:top w:val="single" w:sz="4" w:space="0" w:color="auto"/>
              <w:bottom w:val="single" w:sz="4" w:space="0" w:color="auto"/>
            </w:tcBorders>
            <w:vAlign w:val="center"/>
            <w:hideMark/>
          </w:tcPr>
          <w:p w14:paraId="76571FDC" w14:textId="77777777" w:rsidR="001916FA" w:rsidRPr="0042521B" w:rsidRDefault="001916FA"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rPr>
              <w:t>Threshold (%)</w:t>
            </w:r>
          </w:p>
        </w:tc>
      </w:tr>
      <w:tr w:rsidR="001916FA" w:rsidRPr="0042521B" w14:paraId="25565783" w14:textId="77777777" w:rsidTr="000330C6">
        <w:trPr>
          <w:trHeight w:val="332"/>
        </w:trPr>
        <w:tc>
          <w:tcPr>
            <w:tcW w:w="0" w:type="auto"/>
            <w:tcBorders>
              <w:top w:val="single" w:sz="4" w:space="0" w:color="auto"/>
            </w:tcBorders>
            <w:vAlign w:val="center"/>
            <w:hideMark/>
          </w:tcPr>
          <w:p w14:paraId="26ABFCBE" w14:textId="51E935ED" w:rsidR="001916FA" w:rsidRPr="0042521B" w:rsidRDefault="001916FA" w:rsidP="003323D0">
            <w:pPr>
              <w:adjustRightInd w:val="0"/>
              <w:snapToGrid w:val="0"/>
              <w:spacing w:line="360" w:lineRule="auto"/>
              <w:jc w:val="both"/>
              <w:rPr>
                <w:rFonts w:ascii="Book Antiqua" w:hAnsi="Book Antiqua"/>
                <w:bCs/>
                <w:lang w:eastAsia="zh-CN"/>
              </w:rPr>
            </w:pPr>
            <w:r w:rsidRPr="0042521B">
              <w:rPr>
                <w:rFonts w:ascii="Book Antiqua" w:eastAsia="Adobe 繁黑體 Std B" w:hAnsi="Book Antiqua"/>
                <w:bCs/>
              </w:rPr>
              <w:t>Overall PB</w:t>
            </w:r>
            <w:r w:rsidR="00670E07" w:rsidRPr="0042521B">
              <w:rPr>
                <w:rFonts w:ascii="Book Antiqua" w:hAnsi="Book Antiqua" w:hint="eastAsia"/>
                <w:bCs/>
                <w:lang w:eastAsia="zh-CN"/>
              </w:rPr>
              <w:t>D</w:t>
            </w:r>
            <w:r w:rsidRPr="0042521B">
              <w:rPr>
                <w:rFonts w:ascii="Book Antiqua" w:eastAsia="Adobe 繁黑體 Std B" w:hAnsi="Book Antiqua"/>
                <w:bCs/>
              </w:rPr>
              <w:t>, % (</w:t>
            </w:r>
            <w:r w:rsidRPr="0042521B">
              <w:rPr>
                <w:rFonts w:ascii="Book Antiqua" w:eastAsia="Adobe 繁黑體 Std B" w:hAnsi="Book Antiqua"/>
                <w:bCs/>
                <w:i/>
              </w:rPr>
              <w:t>n</w:t>
            </w:r>
            <w:r w:rsidRPr="0042521B">
              <w:rPr>
                <w:rFonts w:ascii="Book Antiqua" w:eastAsia="Adobe 繁黑體 Std B" w:hAnsi="Book Antiqua"/>
                <w:bCs/>
              </w:rPr>
              <w:t>)</w:t>
            </w:r>
          </w:p>
        </w:tc>
        <w:tc>
          <w:tcPr>
            <w:tcW w:w="0" w:type="auto"/>
            <w:tcBorders>
              <w:top w:val="single" w:sz="4" w:space="0" w:color="auto"/>
            </w:tcBorders>
            <w:vAlign w:val="center"/>
            <w:hideMark/>
          </w:tcPr>
          <w:p w14:paraId="2F0BC5C3"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7.9 (9)</w:t>
            </w:r>
          </w:p>
        </w:tc>
        <w:tc>
          <w:tcPr>
            <w:tcW w:w="0" w:type="auto"/>
            <w:tcBorders>
              <w:top w:val="single" w:sz="4" w:space="0" w:color="auto"/>
            </w:tcBorders>
            <w:vAlign w:val="center"/>
            <w:hideMark/>
          </w:tcPr>
          <w:p w14:paraId="71AEA14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4.7-13.1</w:t>
            </w:r>
          </w:p>
        </w:tc>
        <w:tc>
          <w:tcPr>
            <w:tcW w:w="0" w:type="auto"/>
            <w:tcBorders>
              <w:top w:val="single" w:sz="4" w:space="0" w:color="auto"/>
            </w:tcBorders>
            <w:vAlign w:val="center"/>
            <w:hideMark/>
          </w:tcPr>
          <w:p w14:paraId="536E2005"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0.005</w:t>
            </w:r>
          </w:p>
        </w:tc>
        <w:tc>
          <w:tcPr>
            <w:tcW w:w="0" w:type="auto"/>
            <w:tcBorders>
              <w:top w:val="single" w:sz="4" w:space="0" w:color="auto"/>
            </w:tcBorders>
            <w:vAlign w:val="center"/>
            <w:hideMark/>
          </w:tcPr>
          <w:p w14:paraId="42CF49F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15.3 </w:t>
            </w:r>
          </w:p>
        </w:tc>
      </w:tr>
      <w:tr w:rsidR="001916FA" w:rsidRPr="0042521B" w14:paraId="6F14016C" w14:textId="77777777" w:rsidTr="000330C6">
        <w:trPr>
          <w:trHeight w:val="332"/>
        </w:trPr>
        <w:tc>
          <w:tcPr>
            <w:tcW w:w="0" w:type="auto"/>
            <w:vAlign w:val="center"/>
            <w:hideMark/>
          </w:tcPr>
          <w:p w14:paraId="7C6805F1" w14:textId="603334BC" w:rsidR="001916FA" w:rsidRPr="0042521B" w:rsidRDefault="001916FA" w:rsidP="00DD2024">
            <w:pPr>
              <w:adjustRightInd w:val="0"/>
              <w:snapToGrid w:val="0"/>
              <w:spacing w:line="360" w:lineRule="auto"/>
              <w:ind w:firstLineChars="50" w:firstLine="120"/>
              <w:jc w:val="both"/>
              <w:rPr>
                <w:rFonts w:ascii="Book Antiqua" w:eastAsia="Adobe 繁黑體 Std B" w:hAnsi="Book Antiqua"/>
              </w:rPr>
            </w:pPr>
            <w:r w:rsidRPr="0042521B">
              <w:rPr>
                <w:rFonts w:ascii="Book Antiqua" w:eastAsia="Adobe 繁黑體 Std B" w:hAnsi="Book Antiqua"/>
              </w:rPr>
              <w:t>Early phase</w:t>
            </w:r>
            <w:r w:rsidR="00670E07" w:rsidRPr="0042521B">
              <w:rPr>
                <w:rFonts w:ascii="Book Antiqua" w:hAnsi="Book Antiqua" w:hint="eastAsia"/>
                <w:lang w:eastAsia="zh-CN"/>
              </w:rPr>
              <w:t xml:space="preserve"> (</w:t>
            </w:r>
            <w:r w:rsidRPr="0042521B">
              <w:rPr>
                <w:rFonts w:ascii="Book Antiqua" w:eastAsia="Adobe 繁黑體 Std B" w:hAnsi="Book Antiqua"/>
              </w:rPr>
              <w:t>E-PDB</w:t>
            </w:r>
            <w:r w:rsidR="00670E07" w:rsidRPr="0042521B">
              <w:rPr>
                <w:rFonts w:ascii="Book Antiqua" w:hAnsi="Book Antiqua" w:hint="eastAsia"/>
                <w:lang w:eastAsia="zh-CN"/>
              </w:rPr>
              <w:t>)</w:t>
            </w:r>
            <w:r w:rsidRPr="0042521B">
              <w:rPr>
                <w:rFonts w:ascii="Book Antiqua" w:eastAsia="Adobe 繁黑體 Std B" w:hAnsi="Book Antiqua"/>
              </w:rPr>
              <w:t>, % (</w:t>
            </w:r>
            <w:r w:rsidRPr="0042521B">
              <w:rPr>
                <w:rFonts w:ascii="Book Antiqua" w:eastAsia="Adobe 繁黑體 Std B" w:hAnsi="Book Antiqua"/>
                <w:i/>
              </w:rPr>
              <w:t>n</w:t>
            </w:r>
            <w:r w:rsidRPr="0042521B">
              <w:rPr>
                <w:rFonts w:ascii="Book Antiqua" w:eastAsia="Adobe 繁黑體 Std B" w:hAnsi="Book Antiqua"/>
              </w:rPr>
              <w:t>)</w:t>
            </w:r>
          </w:p>
        </w:tc>
        <w:tc>
          <w:tcPr>
            <w:tcW w:w="0" w:type="auto"/>
            <w:hideMark/>
          </w:tcPr>
          <w:p w14:paraId="3DB8E81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2.6 (3)</w:t>
            </w:r>
          </w:p>
        </w:tc>
        <w:tc>
          <w:tcPr>
            <w:tcW w:w="0" w:type="auto"/>
            <w:hideMark/>
          </w:tcPr>
          <w:p w14:paraId="79AC5F4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1.1-6.4</w:t>
            </w:r>
          </w:p>
        </w:tc>
        <w:tc>
          <w:tcPr>
            <w:tcW w:w="0" w:type="auto"/>
            <w:hideMark/>
          </w:tcPr>
          <w:p w14:paraId="64D0AF23"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0.51</w:t>
            </w:r>
          </w:p>
        </w:tc>
        <w:tc>
          <w:tcPr>
            <w:tcW w:w="0" w:type="auto"/>
            <w:vAlign w:val="center"/>
            <w:hideMark/>
          </w:tcPr>
          <w:p w14:paraId="34DBCB53"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3.8 </w:t>
            </w:r>
          </w:p>
        </w:tc>
      </w:tr>
      <w:tr w:rsidR="001916FA" w:rsidRPr="0042521B" w14:paraId="5C82DD2B" w14:textId="77777777" w:rsidTr="000330C6">
        <w:trPr>
          <w:trHeight w:val="332"/>
        </w:trPr>
        <w:tc>
          <w:tcPr>
            <w:tcW w:w="0" w:type="auto"/>
            <w:vAlign w:val="center"/>
            <w:hideMark/>
          </w:tcPr>
          <w:p w14:paraId="6D877701" w14:textId="2C476D97" w:rsidR="001916FA" w:rsidRPr="0042521B" w:rsidRDefault="001916FA" w:rsidP="00DD2024">
            <w:pPr>
              <w:adjustRightInd w:val="0"/>
              <w:snapToGrid w:val="0"/>
              <w:spacing w:line="360" w:lineRule="auto"/>
              <w:ind w:firstLineChars="50" w:firstLine="120"/>
              <w:jc w:val="both"/>
              <w:rPr>
                <w:rFonts w:ascii="Book Antiqua" w:eastAsia="Adobe 繁黑體 Std B" w:hAnsi="Book Antiqua"/>
              </w:rPr>
            </w:pPr>
            <w:r w:rsidRPr="0042521B">
              <w:rPr>
                <w:rFonts w:ascii="Book Antiqua" w:eastAsia="Adobe 繁黑體 Std B" w:hAnsi="Book Antiqua"/>
              </w:rPr>
              <w:t>Late phase</w:t>
            </w:r>
            <w:r w:rsidR="00670E07" w:rsidRPr="0042521B">
              <w:rPr>
                <w:rFonts w:ascii="Book Antiqua" w:hAnsi="Book Antiqua" w:hint="eastAsia"/>
                <w:lang w:eastAsia="zh-CN"/>
              </w:rPr>
              <w:t xml:space="preserve"> (</w:t>
            </w:r>
            <w:r w:rsidRPr="0042521B">
              <w:rPr>
                <w:rFonts w:ascii="Book Antiqua" w:eastAsia="Adobe 繁黑體 Std B" w:hAnsi="Book Antiqua"/>
              </w:rPr>
              <w:t>L-PDB</w:t>
            </w:r>
            <w:r w:rsidR="00670E07" w:rsidRPr="0042521B">
              <w:rPr>
                <w:rFonts w:ascii="Book Antiqua" w:hAnsi="Book Antiqua" w:hint="eastAsia"/>
                <w:lang w:eastAsia="zh-CN"/>
              </w:rPr>
              <w:t>)</w:t>
            </w:r>
            <w:r w:rsidRPr="0042521B">
              <w:rPr>
                <w:rFonts w:ascii="Book Antiqua" w:eastAsia="Adobe 繁黑體 Std B" w:hAnsi="Book Antiqua"/>
              </w:rPr>
              <w:t>, % (</w:t>
            </w:r>
            <w:r w:rsidRPr="0042521B">
              <w:rPr>
                <w:rFonts w:ascii="Book Antiqua" w:eastAsia="Adobe 繁黑體 Std B" w:hAnsi="Book Antiqua"/>
                <w:i/>
              </w:rPr>
              <w:t>n</w:t>
            </w:r>
            <w:r w:rsidRPr="0042521B">
              <w:rPr>
                <w:rFonts w:ascii="Book Antiqua" w:eastAsia="Adobe 繁黑體 Std B" w:hAnsi="Book Antiqua"/>
              </w:rPr>
              <w:t>)</w:t>
            </w:r>
          </w:p>
        </w:tc>
        <w:tc>
          <w:tcPr>
            <w:tcW w:w="0" w:type="auto"/>
            <w:vAlign w:val="center"/>
            <w:hideMark/>
          </w:tcPr>
          <w:p w14:paraId="00ED5B6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5.3 (6)</w:t>
            </w:r>
          </w:p>
        </w:tc>
        <w:tc>
          <w:tcPr>
            <w:tcW w:w="0" w:type="auto"/>
            <w:vAlign w:val="center"/>
            <w:hideMark/>
          </w:tcPr>
          <w:p w14:paraId="2CD9140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2.7-9.9</w:t>
            </w:r>
          </w:p>
        </w:tc>
        <w:tc>
          <w:tcPr>
            <w:tcW w:w="0" w:type="auto"/>
            <w:vAlign w:val="center"/>
            <w:hideMark/>
          </w:tcPr>
          <w:p w14:paraId="1EE22990" w14:textId="50BA5781"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&lt;</w:t>
            </w:r>
            <w:r w:rsidR="00670E07" w:rsidRPr="0042521B">
              <w:rPr>
                <w:rFonts w:ascii="Book Antiqua" w:hAnsi="Book Antiqua" w:hint="eastAsia"/>
                <w:lang w:eastAsia="zh-CN"/>
              </w:rPr>
              <w:t xml:space="preserve"> </w:t>
            </w:r>
            <w:r w:rsidRPr="0042521B">
              <w:rPr>
                <w:rFonts w:ascii="Book Antiqua" w:eastAsia="Adobe 繁黑體 Std B" w:hAnsi="Book Antiqua"/>
              </w:rPr>
              <w:t>0.0001</w:t>
            </w:r>
          </w:p>
        </w:tc>
        <w:tc>
          <w:tcPr>
            <w:tcW w:w="0" w:type="auto"/>
            <w:vAlign w:val="center"/>
            <w:hideMark/>
          </w:tcPr>
          <w:p w14:paraId="6561303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11.5 </w:t>
            </w:r>
          </w:p>
        </w:tc>
      </w:tr>
    </w:tbl>
    <w:p w14:paraId="236BAB8A" w14:textId="4AC7A40F" w:rsidR="001916FA" w:rsidRPr="0042521B" w:rsidRDefault="00670E07" w:rsidP="001916FA">
      <w:pPr>
        <w:adjustRightInd w:val="0"/>
        <w:snapToGrid w:val="0"/>
        <w:spacing w:line="360" w:lineRule="auto"/>
        <w:jc w:val="both"/>
        <w:rPr>
          <w:rFonts w:ascii="Book Antiqua" w:hAnsi="Book Antiqua"/>
          <w:kern w:val="2"/>
          <w:lang w:eastAsia="zh-CN"/>
        </w:rPr>
      </w:pPr>
      <w:bookmarkStart w:id="65" w:name="OLE_LINK63"/>
      <w:bookmarkStart w:id="66" w:name="OLE_LINK64"/>
      <w:r w:rsidRPr="0042521B">
        <w:rPr>
          <w:rFonts w:ascii="Book Antiqua" w:hAnsi="Book Antiqua"/>
          <w:lang w:eastAsia="zh-CN"/>
        </w:rPr>
        <w:t>TLE</w:t>
      </w:r>
      <w:r w:rsidRPr="0042521B">
        <w:rPr>
          <w:rFonts w:ascii="Book Antiqua" w:hAnsi="Book Antiqua" w:hint="eastAsia"/>
          <w:lang w:eastAsia="zh-CN"/>
        </w:rPr>
        <w:t>: T</w:t>
      </w:r>
      <w:r w:rsidRPr="0042521B">
        <w:rPr>
          <w:rFonts w:ascii="Book Antiqua" w:hAnsi="Book Antiqua"/>
          <w:lang w:eastAsia="zh-CN"/>
        </w:rPr>
        <w:t>hird-look endoscopy</w:t>
      </w:r>
      <w:bookmarkEnd w:id="65"/>
      <w:bookmarkEnd w:id="66"/>
      <w:r w:rsidRPr="0042521B">
        <w:rPr>
          <w:rFonts w:ascii="Book Antiqua" w:hAnsi="Book Antiqua" w:hint="eastAsia"/>
          <w:lang w:eastAsia="zh-CN"/>
        </w:rPr>
        <w:t>;</w:t>
      </w:r>
      <w:r w:rsidRPr="0042521B">
        <w:rPr>
          <w:rFonts w:ascii="Book Antiqua" w:hAnsi="Book Antiqua"/>
          <w:lang w:eastAsia="zh-CN"/>
        </w:rPr>
        <w:t xml:space="preserve"> </w:t>
      </w:r>
      <w:r w:rsidR="00434D46" w:rsidRPr="0042521B">
        <w:rPr>
          <w:rFonts w:ascii="Book Antiqua" w:hAnsi="Book Antiqua" w:hint="eastAsia"/>
          <w:kern w:val="2"/>
          <w:lang w:eastAsia="zh-CN"/>
        </w:rPr>
        <w:t>PDB:</w:t>
      </w:r>
      <w:r w:rsidR="00434D46" w:rsidRPr="0042521B">
        <w:rPr>
          <w:rFonts w:ascii="Book Antiqua" w:eastAsia="Book Antiqua" w:hAnsi="Book Antiqua" w:cs="Book Antiqua"/>
          <w:color w:val="000000"/>
        </w:rPr>
        <w:t xml:space="preserve"> Postoperative delayed bleeding</w:t>
      </w:r>
      <w:r w:rsidR="00874D57" w:rsidRPr="0042521B">
        <w:rPr>
          <w:rFonts w:ascii="Book Antiqua" w:hAnsi="Book Antiqua" w:cs="Book Antiqua" w:hint="eastAsia"/>
          <w:color w:val="000000"/>
          <w:lang w:eastAsia="zh-CN"/>
        </w:rPr>
        <w:t>.</w:t>
      </w:r>
    </w:p>
    <w:p w14:paraId="74A09CB4" w14:textId="0F6E084F" w:rsidR="001916FA" w:rsidRPr="0042521B" w:rsidRDefault="001916FA" w:rsidP="001916FA">
      <w:pPr>
        <w:adjustRightInd w:val="0"/>
        <w:snapToGrid w:val="0"/>
        <w:spacing w:line="360" w:lineRule="auto"/>
        <w:jc w:val="both"/>
        <w:rPr>
          <w:rFonts w:ascii="Book Antiqua" w:hAnsi="Book Antiqua"/>
          <w:color w:val="000000"/>
          <w:lang w:eastAsia="zh-CN"/>
        </w:rPr>
      </w:pPr>
      <w:r w:rsidRPr="0042521B">
        <w:rPr>
          <w:rFonts w:ascii="Book Antiqua" w:eastAsia="Adobe 繁黑體 Std B" w:hAnsi="Book Antiqua"/>
        </w:rPr>
        <w:br w:type="page"/>
      </w:r>
      <w:r w:rsidRPr="0042521B">
        <w:rPr>
          <w:rFonts w:ascii="Book Antiqua" w:eastAsia="Adobe 繁黑體 Std B" w:hAnsi="Book Antiqua"/>
          <w:b/>
          <w:bCs/>
          <w:color w:val="000000"/>
        </w:rPr>
        <w:lastRenderedPageBreak/>
        <w:t>Table</w:t>
      </w:r>
      <w:r w:rsidR="004D0958" w:rsidRPr="0042521B">
        <w:rPr>
          <w:rFonts w:ascii="Book Antiqua" w:hAnsi="Book Antiqua" w:hint="eastAsia"/>
          <w:b/>
          <w:bCs/>
          <w:color w:val="000000"/>
          <w:lang w:eastAsia="zh-CN"/>
        </w:rPr>
        <w:t xml:space="preserve"> </w:t>
      </w:r>
      <w:r w:rsidRPr="0042521B">
        <w:rPr>
          <w:rFonts w:ascii="Book Antiqua" w:eastAsia="Adobe 繁黑體 Std B" w:hAnsi="Book Antiqua"/>
          <w:b/>
          <w:bCs/>
          <w:color w:val="000000"/>
        </w:rPr>
        <w:t>3</w:t>
      </w:r>
      <w:r w:rsidRPr="0042521B">
        <w:rPr>
          <w:rFonts w:ascii="Book Antiqua" w:eastAsia="Adobe 繁黑體 Std B" w:hAnsi="Book Antiqua"/>
          <w:color w:val="000000"/>
        </w:rPr>
        <w:t xml:space="preserve"> </w:t>
      </w:r>
      <w:r w:rsidRPr="0042521B">
        <w:rPr>
          <w:rFonts w:ascii="Book Antiqua" w:eastAsia="Adobe 繁黑體 Std B" w:hAnsi="Book Antiqua"/>
          <w:b/>
          <w:color w:val="000000"/>
        </w:rPr>
        <w:t xml:space="preserve">Baseline characteristics of the </w:t>
      </w:r>
      <w:r w:rsidR="001D313B" w:rsidRPr="0042521B">
        <w:rPr>
          <w:rFonts w:ascii="Book Antiqua" w:hAnsi="Book Antiqua"/>
          <w:b/>
          <w:lang w:eastAsia="zh-CN"/>
        </w:rPr>
        <w:t>third-look endoscopy</w:t>
      </w:r>
      <w:r w:rsidR="001D313B" w:rsidRPr="0042521B">
        <w:rPr>
          <w:rFonts w:ascii="Book Antiqua" w:eastAsia="Adobe 繁黑體 Std B" w:hAnsi="Book Antiqua"/>
          <w:b/>
          <w:color w:val="000000"/>
        </w:rPr>
        <w:t xml:space="preserve"> </w:t>
      </w:r>
      <w:r w:rsidRPr="0042521B">
        <w:rPr>
          <w:rFonts w:ascii="Book Antiqua" w:eastAsia="Adobe 繁黑體 Std B" w:hAnsi="Book Antiqua"/>
          <w:b/>
          <w:color w:val="000000"/>
        </w:rPr>
        <w:t>and control group before propensity score matching</w:t>
      </w:r>
    </w:p>
    <w:tbl>
      <w:tblPr>
        <w:tblW w:w="9645" w:type="dxa"/>
        <w:tblCellMar>
          <w:left w:w="99" w:type="dxa"/>
          <w:right w:w="99" w:type="dxa"/>
        </w:tblCellMar>
        <w:tblLook w:val="04A0" w:firstRow="1" w:lastRow="0" w:firstColumn="1" w:lastColumn="0" w:noHBand="0" w:noVBand="1"/>
      </w:tblPr>
      <w:tblGrid>
        <w:gridCol w:w="4031"/>
        <w:gridCol w:w="2287"/>
        <w:gridCol w:w="2239"/>
        <w:gridCol w:w="1088"/>
      </w:tblGrid>
      <w:tr w:rsidR="001916FA" w:rsidRPr="0042521B" w14:paraId="4B85E78B" w14:textId="77777777" w:rsidTr="00EE4E41">
        <w:trPr>
          <w:trHeight w:val="576"/>
        </w:trPr>
        <w:tc>
          <w:tcPr>
            <w:tcW w:w="4031" w:type="dxa"/>
            <w:tcBorders>
              <w:top w:val="single" w:sz="12" w:space="0" w:color="auto"/>
              <w:left w:val="nil"/>
              <w:bottom w:val="single" w:sz="4" w:space="0" w:color="auto"/>
              <w:right w:val="nil"/>
            </w:tcBorders>
            <w:hideMark/>
          </w:tcPr>
          <w:p w14:paraId="50A8A1D9" w14:textId="77777777" w:rsidR="001916FA" w:rsidRPr="0042521B" w:rsidRDefault="001916FA" w:rsidP="001916FA">
            <w:pPr>
              <w:adjustRightInd w:val="0"/>
              <w:snapToGrid w:val="0"/>
              <w:spacing w:line="360" w:lineRule="auto"/>
              <w:jc w:val="both"/>
              <w:rPr>
                <w:rFonts w:ascii="Book Antiqua" w:eastAsia="Adobe 繁黑體 Std B" w:hAnsi="Book Antiqua"/>
                <w:b/>
              </w:rPr>
            </w:pPr>
          </w:p>
        </w:tc>
        <w:tc>
          <w:tcPr>
            <w:tcW w:w="2287" w:type="dxa"/>
            <w:tcBorders>
              <w:top w:val="single" w:sz="12" w:space="0" w:color="auto"/>
              <w:left w:val="nil"/>
              <w:bottom w:val="single" w:sz="4" w:space="0" w:color="auto"/>
              <w:right w:val="nil"/>
            </w:tcBorders>
            <w:vAlign w:val="center"/>
            <w:hideMark/>
          </w:tcPr>
          <w:p w14:paraId="7055D06E" w14:textId="0774BE03" w:rsidR="001916FA" w:rsidRPr="0042521B" w:rsidRDefault="003D6F7B" w:rsidP="003D6F7B">
            <w:pPr>
              <w:adjustRightInd w:val="0"/>
              <w:snapToGrid w:val="0"/>
              <w:spacing w:line="360" w:lineRule="auto"/>
              <w:jc w:val="both"/>
              <w:rPr>
                <w:rFonts w:ascii="Book Antiqua" w:eastAsia="Adobe 繁黑體 Std B" w:hAnsi="Book Antiqua"/>
                <w:b/>
                <w:bCs/>
                <w:color w:val="000000"/>
              </w:rPr>
            </w:pPr>
            <w:r w:rsidRPr="0042521B">
              <w:rPr>
                <w:rFonts w:ascii="Book Antiqua" w:eastAsia="Adobe 繁黑體 Std B" w:hAnsi="Book Antiqua"/>
                <w:b/>
                <w:bCs/>
                <w:color w:val="000000"/>
              </w:rPr>
              <w:t xml:space="preserve">TLE </w:t>
            </w:r>
            <w:r w:rsidR="001916FA" w:rsidRPr="0042521B">
              <w:rPr>
                <w:rFonts w:ascii="Book Antiqua" w:eastAsia="Adobe 繁黑體 Std B" w:hAnsi="Book Antiqua"/>
                <w:b/>
                <w:bCs/>
                <w:color w:val="000000"/>
              </w:rPr>
              <w:t>(</w:t>
            </w:r>
            <w:r w:rsidR="001916FA" w:rsidRPr="0042521B">
              <w:rPr>
                <w:rFonts w:ascii="Book Antiqua" w:eastAsia="Adobe 繁黑體 Std B" w:hAnsi="Book Antiqua"/>
                <w:b/>
                <w:bCs/>
                <w:i/>
                <w:color w:val="000000"/>
              </w:rPr>
              <w:t>n</w:t>
            </w:r>
            <w:r w:rsidR="007D7DE0" w:rsidRPr="0042521B">
              <w:rPr>
                <w:rFonts w:ascii="Book Antiqua" w:hAnsi="Book Antiqua" w:hint="eastAsia"/>
                <w:b/>
                <w:bCs/>
                <w:color w:val="000000"/>
                <w:lang w:eastAsia="zh-CN"/>
              </w:rPr>
              <w:t xml:space="preserve"> </w:t>
            </w:r>
            <w:r w:rsidR="001916FA" w:rsidRPr="0042521B">
              <w:rPr>
                <w:rFonts w:ascii="Book Antiqua" w:eastAsia="Adobe 繁黑體 Std B" w:hAnsi="Book Antiqua"/>
                <w:b/>
                <w:bCs/>
                <w:color w:val="000000"/>
              </w:rPr>
              <w:t>=</w:t>
            </w:r>
            <w:r w:rsidR="007D7DE0" w:rsidRPr="0042521B">
              <w:rPr>
                <w:rFonts w:ascii="Book Antiqua" w:hAnsi="Book Antiqua" w:hint="eastAsia"/>
                <w:b/>
                <w:bCs/>
                <w:color w:val="000000"/>
                <w:lang w:eastAsia="zh-CN"/>
              </w:rPr>
              <w:t xml:space="preserve"> </w:t>
            </w:r>
            <w:r w:rsidR="001916FA" w:rsidRPr="0042521B">
              <w:rPr>
                <w:rFonts w:ascii="Book Antiqua" w:eastAsia="Adobe 繁黑體 Std B" w:hAnsi="Book Antiqua"/>
                <w:b/>
                <w:bCs/>
                <w:color w:val="000000"/>
              </w:rPr>
              <w:t>114)</w:t>
            </w:r>
          </w:p>
        </w:tc>
        <w:tc>
          <w:tcPr>
            <w:tcW w:w="2239" w:type="dxa"/>
            <w:tcBorders>
              <w:top w:val="single" w:sz="12" w:space="0" w:color="auto"/>
              <w:left w:val="nil"/>
              <w:bottom w:val="single" w:sz="4" w:space="0" w:color="auto"/>
              <w:right w:val="nil"/>
            </w:tcBorders>
            <w:vAlign w:val="center"/>
            <w:hideMark/>
          </w:tcPr>
          <w:p w14:paraId="2729FA8F" w14:textId="0867F494" w:rsidR="001916FA" w:rsidRPr="0042521B" w:rsidRDefault="003D6F7B" w:rsidP="001916FA">
            <w:pPr>
              <w:adjustRightInd w:val="0"/>
              <w:snapToGrid w:val="0"/>
              <w:spacing w:line="360" w:lineRule="auto"/>
              <w:jc w:val="both"/>
              <w:rPr>
                <w:rFonts w:ascii="Book Antiqua" w:eastAsia="Adobe 繁黑體 Std B" w:hAnsi="Book Antiqua"/>
                <w:b/>
                <w:bCs/>
                <w:color w:val="000000"/>
              </w:rPr>
            </w:pPr>
            <w:r w:rsidRPr="0042521B">
              <w:rPr>
                <w:rFonts w:ascii="Book Antiqua" w:eastAsia="Adobe 繁黑體 Std B" w:hAnsi="Book Antiqua"/>
                <w:b/>
                <w:bCs/>
                <w:color w:val="000000"/>
              </w:rPr>
              <w:t xml:space="preserve">Control </w:t>
            </w:r>
            <w:r w:rsidR="001916FA" w:rsidRPr="0042521B">
              <w:rPr>
                <w:rFonts w:ascii="Book Antiqua" w:eastAsia="Adobe 繁黑體 Std B" w:hAnsi="Book Antiqua"/>
                <w:b/>
                <w:bCs/>
                <w:color w:val="000000"/>
              </w:rPr>
              <w:t>(</w:t>
            </w:r>
            <w:r w:rsidR="001916FA" w:rsidRPr="0042521B">
              <w:rPr>
                <w:rFonts w:ascii="Book Antiqua" w:eastAsia="Adobe 繁黑體 Std B" w:hAnsi="Book Antiqua"/>
                <w:b/>
                <w:bCs/>
                <w:i/>
                <w:color w:val="000000"/>
              </w:rPr>
              <w:t>n</w:t>
            </w:r>
            <w:r w:rsidR="007D7DE0" w:rsidRPr="0042521B">
              <w:rPr>
                <w:rFonts w:ascii="Book Antiqua" w:hAnsi="Book Antiqua" w:hint="eastAsia"/>
                <w:b/>
                <w:bCs/>
                <w:color w:val="000000"/>
                <w:lang w:eastAsia="zh-CN"/>
              </w:rPr>
              <w:t xml:space="preserve"> </w:t>
            </w:r>
            <w:r w:rsidR="001916FA" w:rsidRPr="0042521B">
              <w:rPr>
                <w:rFonts w:ascii="Book Antiqua" w:eastAsia="Adobe 繁黑體 Std B" w:hAnsi="Book Antiqua"/>
                <w:b/>
                <w:bCs/>
                <w:color w:val="000000"/>
              </w:rPr>
              <w:t>=</w:t>
            </w:r>
            <w:r w:rsidR="007D7DE0" w:rsidRPr="0042521B">
              <w:rPr>
                <w:rFonts w:ascii="Book Antiqua" w:hAnsi="Book Antiqua" w:hint="eastAsia"/>
                <w:b/>
                <w:bCs/>
                <w:color w:val="000000"/>
                <w:lang w:eastAsia="zh-CN"/>
              </w:rPr>
              <w:t xml:space="preserve"> </w:t>
            </w:r>
            <w:r w:rsidR="001916FA" w:rsidRPr="0042521B">
              <w:rPr>
                <w:rFonts w:ascii="Book Antiqua" w:eastAsia="Adobe 繁黑體 Std B" w:hAnsi="Book Antiqua"/>
                <w:b/>
                <w:bCs/>
                <w:color w:val="000000"/>
              </w:rPr>
              <w:t>132)</w:t>
            </w:r>
          </w:p>
        </w:tc>
        <w:tc>
          <w:tcPr>
            <w:tcW w:w="1088" w:type="dxa"/>
            <w:tcBorders>
              <w:top w:val="single" w:sz="12" w:space="0" w:color="auto"/>
              <w:left w:val="nil"/>
              <w:bottom w:val="single" w:sz="4" w:space="0" w:color="auto"/>
              <w:right w:val="nil"/>
            </w:tcBorders>
            <w:vAlign w:val="center"/>
            <w:hideMark/>
          </w:tcPr>
          <w:p w14:paraId="107DF753" w14:textId="063B9D1C" w:rsidR="001916FA" w:rsidRPr="0042521B" w:rsidRDefault="007D7DE0" w:rsidP="001916FA">
            <w:pPr>
              <w:adjustRightInd w:val="0"/>
              <w:snapToGrid w:val="0"/>
              <w:spacing w:line="360" w:lineRule="auto"/>
              <w:jc w:val="both"/>
              <w:rPr>
                <w:rFonts w:ascii="Book Antiqua" w:eastAsia="Adobe 繁黑體 Std B" w:hAnsi="Book Antiqua"/>
                <w:b/>
                <w:bCs/>
                <w:i/>
                <w:iCs/>
                <w:color w:val="000000"/>
              </w:rPr>
            </w:pPr>
            <w:r w:rsidRPr="0042521B">
              <w:rPr>
                <w:rFonts w:ascii="Book Antiqua" w:eastAsia="Adobe 繁黑體 Std B" w:hAnsi="Book Antiqua"/>
                <w:b/>
                <w:bCs/>
                <w:i/>
                <w:iCs/>
                <w:color w:val="000000"/>
              </w:rPr>
              <w:t>P</w:t>
            </w:r>
            <w:r w:rsidRPr="0042521B">
              <w:rPr>
                <w:rFonts w:ascii="Book Antiqua" w:eastAsia="Adobe 繁黑體 Std B" w:hAnsi="Book Antiqua"/>
                <w:b/>
                <w:bCs/>
                <w:color w:val="000000"/>
              </w:rPr>
              <w:t xml:space="preserve"> </w:t>
            </w:r>
            <w:r w:rsidR="001916FA" w:rsidRPr="0042521B">
              <w:rPr>
                <w:rFonts w:ascii="Book Antiqua" w:eastAsia="Adobe 繁黑體 Std B" w:hAnsi="Book Antiqua"/>
                <w:b/>
                <w:bCs/>
                <w:color w:val="000000"/>
              </w:rPr>
              <w:t>value</w:t>
            </w:r>
          </w:p>
        </w:tc>
      </w:tr>
      <w:tr w:rsidR="001916FA" w:rsidRPr="0042521B" w14:paraId="71C345DD" w14:textId="77777777" w:rsidTr="00EE4E41">
        <w:trPr>
          <w:trHeight w:val="303"/>
        </w:trPr>
        <w:tc>
          <w:tcPr>
            <w:tcW w:w="4031" w:type="dxa"/>
            <w:vAlign w:val="center"/>
            <w:hideMark/>
          </w:tcPr>
          <w:p w14:paraId="6B10A8C5" w14:textId="12CC3E82" w:rsidR="001916FA" w:rsidRPr="0042521B" w:rsidRDefault="007D7DE0" w:rsidP="007D7DE0">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Age</w:t>
            </w:r>
            <w:r w:rsidRPr="0042521B">
              <w:rPr>
                <w:rFonts w:ascii="Book Antiqua" w:hAnsi="Book Antiqua" w:hint="eastAsia"/>
                <w:bCs/>
                <w:color w:val="000000"/>
                <w:lang w:eastAsia="zh-CN"/>
              </w:rPr>
              <w:t>, m</w:t>
            </w:r>
            <w:r w:rsidR="001916FA" w:rsidRPr="0042521B">
              <w:rPr>
                <w:rFonts w:ascii="Book Antiqua" w:eastAsia="Adobe 繁黑體 Std B" w:hAnsi="Book Antiqua"/>
                <w:bCs/>
                <w:color w:val="000000"/>
              </w:rPr>
              <w:t>ean</w:t>
            </w:r>
            <w:r w:rsidRPr="0042521B">
              <w:rPr>
                <w:rFonts w:ascii="Book Antiqua" w:eastAsia="Adobe 繁黑體 Std B" w:hAnsi="Book Antiqua"/>
                <w:bCs/>
                <w:color w:val="000000"/>
              </w:rPr>
              <w:t xml:space="preserve"> ± SD</w:t>
            </w:r>
            <w:r w:rsidR="00DD2024" w:rsidRPr="0042521B">
              <w:rPr>
                <w:rFonts w:ascii="Book Antiqua" w:eastAsia="Adobe 繁黑體 Std B" w:hAnsi="Book Antiqua"/>
                <w:bCs/>
                <w:color w:val="000000"/>
              </w:rPr>
              <w:t xml:space="preserve"> </w:t>
            </w:r>
            <w:r w:rsidRPr="0042521B">
              <w:rPr>
                <w:rFonts w:ascii="Book Antiqua" w:eastAsia="Adobe 繁黑體 Std B" w:hAnsi="Book Antiqua"/>
                <w:bCs/>
                <w:color w:val="000000"/>
              </w:rPr>
              <w:t>(yr</w:t>
            </w:r>
            <w:r w:rsidR="001916FA" w:rsidRPr="0042521B">
              <w:rPr>
                <w:rFonts w:ascii="Book Antiqua" w:eastAsia="Adobe 繁黑體 Std B" w:hAnsi="Book Antiqua"/>
                <w:bCs/>
                <w:color w:val="000000"/>
              </w:rPr>
              <w:t>)</w:t>
            </w:r>
          </w:p>
        </w:tc>
        <w:tc>
          <w:tcPr>
            <w:tcW w:w="2287" w:type="dxa"/>
            <w:vAlign w:val="center"/>
            <w:hideMark/>
          </w:tcPr>
          <w:p w14:paraId="79276F45" w14:textId="7764A4DC"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75.5</w:t>
            </w:r>
            <w:r w:rsidR="003E4322" w:rsidRPr="0042521B">
              <w:rPr>
                <w:rFonts w:ascii="Book Antiqua" w:hAnsi="Book Antiqua" w:hint="eastAsia"/>
                <w:color w:val="000000"/>
                <w:lang w:eastAsia="zh-CN"/>
              </w:rPr>
              <w:t xml:space="preserve"> </w:t>
            </w:r>
            <w:r w:rsidRPr="0042521B">
              <w:rPr>
                <w:rFonts w:ascii="Book Antiqua" w:eastAsia="Adobe 繁黑體 Std B" w:hAnsi="Book Antiqua"/>
                <w:color w:val="000000"/>
              </w:rPr>
              <w:t>±</w:t>
            </w:r>
            <w:r w:rsidR="003E4322" w:rsidRPr="0042521B">
              <w:rPr>
                <w:rFonts w:ascii="Book Antiqua" w:hAnsi="Book Antiqua" w:hint="eastAsia"/>
                <w:color w:val="000000"/>
                <w:lang w:eastAsia="zh-CN"/>
              </w:rPr>
              <w:t xml:space="preserve"> </w:t>
            </w:r>
            <w:r w:rsidRPr="0042521B">
              <w:rPr>
                <w:rFonts w:ascii="Book Antiqua" w:eastAsia="Adobe 繁黑體 Std B" w:hAnsi="Book Antiqua"/>
                <w:color w:val="000000"/>
              </w:rPr>
              <w:t xml:space="preserve">6.2 </w:t>
            </w:r>
          </w:p>
        </w:tc>
        <w:tc>
          <w:tcPr>
            <w:tcW w:w="2239" w:type="dxa"/>
            <w:vAlign w:val="center"/>
            <w:hideMark/>
          </w:tcPr>
          <w:p w14:paraId="78E4A4DF" w14:textId="34EF9653"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76.2</w:t>
            </w:r>
            <w:r w:rsidR="003E4322" w:rsidRPr="0042521B">
              <w:rPr>
                <w:rFonts w:ascii="Book Antiqua" w:hAnsi="Book Antiqua" w:hint="eastAsia"/>
                <w:color w:val="000000"/>
                <w:lang w:eastAsia="zh-CN"/>
              </w:rPr>
              <w:t xml:space="preserve"> </w:t>
            </w:r>
            <w:r w:rsidRPr="0042521B">
              <w:rPr>
                <w:rFonts w:ascii="Book Antiqua" w:eastAsia="Adobe 繁黑體 Std B" w:hAnsi="Book Antiqua"/>
                <w:color w:val="000000"/>
              </w:rPr>
              <w:t>±</w:t>
            </w:r>
            <w:r w:rsidR="003E4322" w:rsidRPr="0042521B">
              <w:rPr>
                <w:rFonts w:ascii="Book Antiqua" w:hAnsi="Book Antiqua" w:hint="eastAsia"/>
                <w:color w:val="000000"/>
                <w:lang w:eastAsia="zh-CN"/>
              </w:rPr>
              <w:t xml:space="preserve"> </w:t>
            </w:r>
            <w:r w:rsidRPr="0042521B">
              <w:rPr>
                <w:rFonts w:ascii="Book Antiqua" w:eastAsia="Adobe 繁黑體 Std B" w:hAnsi="Book Antiqua"/>
                <w:color w:val="000000"/>
              </w:rPr>
              <w:t xml:space="preserve">6.5 </w:t>
            </w:r>
          </w:p>
        </w:tc>
        <w:tc>
          <w:tcPr>
            <w:tcW w:w="1088" w:type="dxa"/>
            <w:vAlign w:val="center"/>
            <w:hideMark/>
          </w:tcPr>
          <w:p w14:paraId="7695F41F"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0.37</w:t>
            </w:r>
          </w:p>
        </w:tc>
      </w:tr>
      <w:tr w:rsidR="001916FA" w:rsidRPr="0042521B" w14:paraId="24036221" w14:textId="77777777" w:rsidTr="00EE4E41">
        <w:trPr>
          <w:trHeight w:val="303"/>
        </w:trPr>
        <w:tc>
          <w:tcPr>
            <w:tcW w:w="4031" w:type="dxa"/>
            <w:vAlign w:val="center"/>
            <w:hideMark/>
          </w:tcPr>
          <w:p w14:paraId="6B5C322F"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Sex</w:t>
            </w:r>
          </w:p>
        </w:tc>
        <w:tc>
          <w:tcPr>
            <w:tcW w:w="2287" w:type="dxa"/>
            <w:hideMark/>
          </w:tcPr>
          <w:p w14:paraId="4AFE1B80"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hideMark/>
          </w:tcPr>
          <w:p w14:paraId="1171E308"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591F621A"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0.68</w:t>
            </w:r>
          </w:p>
        </w:tc>
      </w:tr>
      <w:tr w:rsidR="001916FA" w:rsidRPr="0042521B" w14:paraId="41C8108C" w14:textId="77777777" w:rsidTr="00EE4E41">
        <w:trPr>
          <w:trHeight w:val="303"/>
        </w:trPr>
        <w:tc>
          <w:tcPr>
            <w:tcW w:w="4031" w:type="dxa"/>
            <w:vAlign w:val="center"/>
            <w:hideMark/>
          </w:tcPr>
          <w:p w14:paraId="30D847EF" w14:textId="09BE1B5A"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Male,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744C5B49"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86.0 (98)</w:t>
            </w:r>
          </w:p>
        </w:tc>
        <w:tc>
          <w:tcPr>
            <w:tcW w:w="2239" w:type="dxa"/>
            <w:vAlign w:val="center"/>
            <w:hideMark/>
          </w:tcPr>
          <w:p w14:paraId="3056F9F4"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84.1 (111)</w:t>
            </w:r>
          </w:p>
        </w:tc>
        <w:tc>
          <w:tcPr>
            <w:tcW w:w="1088" w:type="dxa"/>
            <w:vAlign w:val="center"/>
            <w:hideMark/>
          </w:tcPr>
          <w:p w14:paraId="13BFD7D7"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13C63B81" w14:textId="77777777" w:rsidTr="00EE4E41">
        <w:trPr>
          <w:trHeight w:val="303"/>
        </w:trPr>
        <w:tc>
          <w:tcPr>
            <w:tcW w:w="4031" w:type="dxa"/>
            <w:vAlign w:val="center"/>
            <w:hideMark/>
          </w:tcPr>
          <w:p w14:paraId="332FA29A" w14:textId="7D059FD9"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Female,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457DBC52"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14.0 (16)</w:t>
            </w:r>
          </w:p>
        </w:tc>
        <w:tc>
          <w:tcPr>
            <w:tcW w:w="2239" w:type="dxa"/>
            <w:vAlign w:val="center"/>
            <w:hideMark/>
          </w:tcPr>
          <w:p w14:paraId="03AE6F7B"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15.9 (21)</w:t>
            </w:r>
          </w:p>
        </w:tc>
        <w:tc>
          <w:tcPr>
            <w:tcW w:w="1088" w:type="dxa"/>
            <w:hideMark/>
          </w:tcPr>
          <w:p w14:paraId="55F7856B"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7F12AAC3" w14:textId="77777777" w:rsidTr="00EE4E41">
        <w:trPr>
          <w:trHeight w:val="303"/>
        </w:trPr>
        <w:tc>
          <w:tcPr>
            <w:tcW w:w="4031" w:type="dxa"/>
            <w:vAlign w:val="center"/>
            <w:hideMark/>
          </w:tcPr>
          <w:p w14:paraId="36E59157"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Location-1</w:t>
            </w:r>
          </w:p>
        </w:tc>
        <w:tc>
          <w:tcPr>
            <w:tcW w:w="2287" w:type="dxa"/>
            <w:hideMark/>
          </w:tcPr>
          <w:p w14:paraId="20058967"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vAlign w:val="center"/>
            <w:hideMark/>
          </w:tcPr>
          <w:p w14:paraId="0F75033F"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170A3EAA"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0.51</w:t>
            </w:r>
          </w:p>
        </w:tc>
      </w:tr>
      <w:tr w:rsidR="001916FA" w:rsidRPr="0042521B" w14:paraId="5A3CBB53" w14:textId="77777777" w:rsidTr="00EE4E41">
        <w:trPr>
          <w:trHeight w:val="303"/>
        </w:trPr>
        <w:tc>
          <w:tcPr>
            <w:tcW w:w="4031" w:type="dxa"/>
            <w:vAlign w:val="center"/>
            <w:hideMark/>
          </w:tcPr>
          <w:p w14:paraId="0A2E0516" w14:textId="2F2A9B89"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Upper,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2285D56A"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18.4 (21)</w:t>
            </w:r>
          </w:p>
        </w:tc>
        <w:tc>
          <w:tcPr>
            <w:tcW w:w="2239" w:type="dxa"/>
            <w:vAlign w:val="center"/>
            <w:hideMark/>
          </w:tcPr>
          <w:p w14:paraId="035914B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15.2 (20)</w:t>
            </w:r>
          </w:p>
        </w:tc>
        <w:tc>
          <w:tcPr>
            <w:tcW w:w="1088" w:type="dxa"/>
            <w:hideMark/>
          </w:tcPr>
          <w:p w14:paraId="0B7D1FE1"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55C63E7F" w14:textId="77777777" w:rsidTr="00EE4E41">
        <w:trPr>
          <w:trHeight w:val="303"/>
        </w:trPr>
        <w:tc>
          <w:tcPr>
            <w:tcW w:w="4031" w:type="dxa"/>
            <w:vAlign w:val="center"/>
            <w:hideMark/>
          </w:tcPr>
          <w:p w14:paraId="66EB4F05" w14:textId="09EF607B"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Middle,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6C4353E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12.3 (14)</w:t>
            </w:r>
          </w:p>
        </w:tc>
        <w:tc>
          <w:tcPr>
            <w:tcW w:w="2239" w:type="dxa"/>
            <w:vAlign w:val="center"/>
            <w:hideMark/>
          </w:tcPr>
          <w:p w14:paraId="6DF76E28"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13.6 (18)</w:t>
            </w:r>
          </w:p>
        </w:tc>
        <w:tc>
          <w:tcPr>
            <w:tcW w:w="1088" w:type="dxa"/>
            <w:hideMark/>
          </w:tcPr>
          <w:p w14:paraId="4849E440"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4A21CF88" w14:textId="77777777" w:rsidTr="00EE4E41">
        <w:trPr>
          <w:trHeight w:val="303"/>
        </w:trPr>
        <w:tc>
          <w:tcPr>
            <w:tcW w:w="4031" w:type="dxa"/>
            <w:vAlign w:val="center"/>
            <w:hideMark/>
          </w:tcPr>
          <w:p w14:paraId="31586069" w14:textId="3B5A8F67"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Lower,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2677608E"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69.3 (79)</w:t>
            </w:r>
          </w:p>
        </w:tc>
        <w:tc>
          <w:tcPr>
            <w:tcW w:w="2239" w:type="dxa"/>
            <w:hideMark/>
          </w:tcPr>
          <w:p w14:paraId="4CBFFB35"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71.2 (94)</w:t>
            </w:r>
          </w:p>
        </w:tc>
        <w:tc>
          <w:tcPr>
            <w:tcW w:w="1088" w:type="dxa"/>
            <w:hideMark/>
          </w:tcPr>
          <w:p w14:paraId="7C14EF00" w14:textId="77777777" w:rsidR="001916FA" w:rsidRPr="0042521B" w:rsidRDefault="001916FA" w:rsidP="001916FA">
            <w:pPr>
              <w:adjustRightInd w:val="0"/>
              <w:snapToGrid w:val="0"/>
              <w:spacing w:line="360" w:lineRule="auto"/>
              <w:jc w:val="both"/>
              <w:rPr>
                <w:rFonts w:ascii="Book Antiqua" w:eastAsia="Adobe 繁黑體 Std B" w:hAnsi="Book Antiqua"/>
              </w:rPr>
            </w:pPr>
          </w:p>
        </w:tc>
      </w:tr>
      <w:tr w:rsidR="001916FA" w:rsidRPr="0042521B" w14:paraId="3B8EBD9A" w14:textId="77777777" w:rsidTr="00EE4E41">
        <w:trPr>
          <w:trHeight w:val="303"/>
        </w:trPr>
        <w:tc>
          <w:tcPr>
            <w:tcW w:w="4031" w:type="dxa"/>
            <w:vAlign w:val="center"/>
            <w:hideMark/>
          </w:tcPr>
          <w:p w14:paraId="0E2369E7"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Location-2</w:t>
            </w:r>
          </w:p>
        </w:tc>
        <w:tc>
          <w:tcPr>
            <w:tcW w:w="2287" w:type="dxa"/>
            <w:hideMark/>
          </w:tcPr>
          <w:p w14:paraId="7FA2800E"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vAlign w:val="center"/>
            <w:hideMark/>
          </w:tcPr>
          <w:p w14:paraId="1817A1AF"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vAlign w:val="center"/>
            <w:hideMark/>
          </w:tcPr>
          <w:p w14:paraId="5DA26F25"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0.005</w:t>
            </w:r>
          </w:p>
        </w:tc>
      </w:tr>
      <w:tr w:rsidR="001916FA" w:rsidRPr="0042521B" w14:paraId="6D20DDE3" w14:textId="77777777" w:rsidTr="00EE4E41">
        <w:trPr>
          <w:trHeight w:val="303"/>
        </w:trPr>
        <w:tc>
          <w:tcPr>
            <w:tcW w:w="4031" w:type="dxa"/>
            <w:vAlign w:val="center"/>
            <w:hideMark/>
          </w:tcPr>
          <w:p w14:paraId="6E0C8AA5" w14:textId="4E00203A"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Anterior wall,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722FC3A4"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8.8 (10)</w:t>
            </w:r>
          </w:p>
        </w:tc>
        <w:tc>
          <w:tcPr>
            <w:tcW w:w="2239" w:type="dxa"/>
            <w:vAlign w:val="center"/>
            <w:hideMark/>
          </w:tcPr>
          <w:p w14:paraId="2D715367"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25.0 (33)</w:t>
            </w:r>
          </w:p>
        </w:tc>
        <w:tc>
          <w:tcPr>
            <w:tcW w:w="1088" w:type="dxa"/>
            <w:hideMark/>
          </w:tcPr>
          <w:p w14:paraId="6F9974C0"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0377F82A" w14:textId="77777777" w:rsidTr="00EE4E41">
        <w:trPr>
          <w:trHeight w:val="303"/>
        </w:trPr>
        <w:tc>
          <w:tcPr>
            <w:tcW w:w="4031" w:type="dxa"/>
            <w:vAlign w:val="center"/>
            <w:hideMark/>
          </w:tcPr>
          <w:p w14:paraId="20ED3C23" w14:textId="591B6B1E"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Posterior wall,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4828C921"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31.6 (36)</w:t>
            </w:r>
          </w:p>
        </w:tc>
        <w:tc>
          <w:tcPr>
            <w:tcW w:w="2239" w:type="dxa"/>
            <w:vAlign w:val="center"/>
            <w:hideMark/>
          </w:tcPr>
          <w:p w14:paraId="5FB8DC97"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19.7 (26)</w:t>
            </w:r>
          </w:p>
        </w:tc>
        <w:tc>
          <w:tcPr>
            <w:tcW w:w="1088" w:type="dxa"/>
            <w:hideMark/>
          </w:tcPr>
          <w:p w14:paraId="51F37262"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2327C7BA" w14:textId="77777777" w:rsidTr="00EE4E41">
        <w:trPr>
          <w:trHeight w:val="303"/>
        </w:trPr>
        <w:tc>
          <w:tcPr>
            <w:tcW w:w="4031" w:type="dxa"/>
            <w:vAlign w:val="center"/>
            <w:hideMark/>
          </w:tcPr>
          <w:p w14:paraId="2C781F94" w14:textId="10A3F5F3"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Lesser curvature,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17602CB6"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40.4 (46)</w:t>
            </w:r>
          </w:p>
        </w:tc>
        <w:tc>
          <w:tcPr>
            <w:tcW w:w="2239" w:type="dxa"/>
            <w:hideMark/>
          </w:tcPr>
          <w:p w14:paraId="5FA00194"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37.9 (50)</w:t>
            </w:r>
          </w:p>
        </w:tc>
        <w:tc>
          <w:tcPr>
            <w:tcW w:w="1088" w:type="dxa"/>
            <w:hideMark/>
          </w:tcPr>
          <w:p w14:paraId="18698534" w14:textId="77777777" w:rsidR="001916FA" w:rsidRPr="0042521B" w:rsidRDefault="001916FA" w:rsidP="001916FA">
            <w:pPr>
              <w:adjustRightInd w:val="0"/>
              <w:snapToGrid w:val="0"/>
              <w:spacing w:line="360" w:lineRule="auto"/>
              <w:jc w:val="both"/>
              <w:rPr>
                <w:rFonts w:ascii="Book Antiqua" w:eastAsia="Adobe 繁黑體 Std B" w:hAnsi="Book Antiqua"/>
              </w:rPr>
            </w:pPr>
          </w:p>
        </w:tc>
      </w:tr>
      <w:tr w:rsidR="001916FA" w:rsidRPr="0042521B" w14:paraId="1CA54E93" w14:textId="77777777" w:rsidTr="00EE4E41">
        <w:trPr>
          <w:trHeight w:val="303"/>
        </w:trPr>
        <w:tc>
          <w:tcPr>
            <w:tcW w:w="4031" w:type="dxa"/>
            <w:vAlign w:val="center"/>
            <w:hideMark/>
          </w:tcPr>
          <w:p w14:paraId="4825E803" w14:textId="31723B2E"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Greater curvature,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714292D4"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19.3 (22)</w:t>
            </w:r>
          </w:p>
        </w:tc>
        <w:tc>
          <w:tcPr>
            <w:tcW w:w="2239" w:type="dxa"/>
            <w:vAlign w:val="center"/>
            <w:hideMark/>
          </w:tcPr>
          <w:p w14:paraId="2207C3C2"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17.4 (23)</w:t>
            </w:r>
          </w:p>
        </w:tc>
        <w:tc>
          <w:tcPr>
            <w:tcW w:w="1088" w:type="dxa"/>
            <w:vAlign w:val="center"/>
            <w:hideMark/>
          </w:tcPr>
          <w:p w14:paraId="1EED9CCE"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45281BC4" w14:textId="77777777" w:rsidTr="00EE4E41">
        <w:trPr>
          <w:trHeight w:val="303"/>
        </w:trPr>
        <w:tc>
          <w:tcPr>
            <w:tcW w:w="4031" w:type="dxa"/>
            <w:vAlign w:val="center"/>
            <w:hideMark/>
          </w:tcPr>
          <w:p w14:paraId="0CC418AD"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Morphology</w:t>
            </w:r>
          </w:p>
        </w:tc>
        <w:tc>
          <w:tcPr>
            <w:tcW w:w="2287" w:type="dxa"/>
            <w:hideMark/>
          </w:tcPr>
          <w:p w14:paraId="59F34BF5"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vAlign w:val="center"/>
            <w:hideMark/>
          </w:tcPr>
          <w:p w14:paraId="65B5EF29"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0FA4ED16"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0.53</w:t>
            </w:r>
          </w:p>
        </w:tc>
      </w:tr>
      <w:tr w:rsidR="001916FA" w:rsidRPr="0042521B" w14:paraId="60963BFB" w14:textId="77777777" w:rsidTr="00EE4E41">
        <w:trPr>
          <w:trHeight w:val="303"/>
        </w:trPr>
        <w:tc>
          <w:tcPr>
            <w:tcW w:w="4031" w:type="dxa"/>
            <w:vAlign w:val="center"/>
            <w:hideMark/>
          </w:tcPr>
          <w:p w14:paraId="2EBDFF94" w14:textId="087CFD0B"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Protruded,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4A028E48"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43.0 (49)</w:t>
            </w:r>
          </w:p>
        </w:tc>
        <w:tc>
          <w:tcPr>
            <w:tcW w:w="2239" w:type="dxa"/>
            <w:vAlign w:val="center"/>
            <w:hideMark/>
          </w:tcPr>
          <w:p w14:paraId="5F193EDD"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47.0 (62)</w:t>
            </w:r>
          </w:p>
        </w:tc>
        <w:tc>
          <w:tcPr>
            <w:tcW w:w="1088" w:type="dxa"/>
            <w:vAlign w:val="center"/>
            <w:hideMark/>
          </w:tcPr>
          <w:p w14:paraId="668D94E6"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55628853" w14:textId="77777777" w:rsidTr="00EE4E41">
        <w:trPr>
          <w:trHeight w:val="303"/>
        </w:trPr>
        <w:tc>
          <w:tcPr>
            <w:tcW w:w="4031" w:type="dxa"/>
            <w:vAlign w:val="center"/>
            <w:hideMark/>
          </w:tcPr>
          <w:p w14:paraId="7E87F2C2" w14:textId="435D3A4E"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Flat/depressed,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4078EFDE"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57.0 (65)</w:t>
            </w:r>
          </w:p>
        </w:tc>
        <w:tc>
          <w:tcPr>
            <w:tcW w:w="2239" w:type="dxa"/>
            <w:hideMark/>
          </w:tcPr>
          <w:p w14:paraId="7A96E6FF"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53.0 (70)</w:t>
            </w:r>
          </w:p>
        </w:tc>
        <w:tc>
          <w:tcPr>
            <w:tcW w:w="1088" w:type="dxa"/>
            <w:hideMark/>
          </w:tcPr>
          <w:p w14:paraId="0A28AC31" w14:textId="77777777" w:rsidR="001916FA" w:rsidRPr="0042521B" w:rsidRDefault="001916FA" w:rsidP="001916FA">
            <w:pPr>
              <w:adjustRightInd w:val="0"/>
              <w:snapToGrid w:val="0"/>
              <w:spacing w:line="360" w:lineRule="auto"/>
              <w:jc w:val="both"/>
              <w:rPr>
                <w:rFonts w:ascii="Book Antiqua" w:eastAsia="Adobe 繁黑體 Std B" w:hAnsi="Book Antiqua"/>
              </w:rPr>
            </w:pPr>
          </w:p>
        </w:tc>
      </w:tr>
      <w:tr w:rsidR="001916FA" w:rsidRPr="0042521B" w14:paraId="33C4FE80" w14:textId="77777777" w:rsidTr="00EE4E41">
        <w:trPr>
          <w:trHeight w:val="303"/>
        </w:trPr>
        <w:tc>
          <w:tcPr>
            <w:tcW w:w="4031" w:type="dxa"/>
            <w:vAlign w:val="center"/>
            <w:hideMark/>
          </w:tcPr>
          <w:p w14:paraId="4014BEA8"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Median tumor size (range)</w:t>
            </w:r>
          </w:p>
        </w:tc>
        <w:tc>
          <w:tcPr>
            <w:tcW w:w="2287" w:type="dxa"/>
            <w:vAlign w:val="center"/>
            <w:hideMark/>
          </w:tcPr>
          <w:p w14:paraId="76E2F916"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11.0 (2-70)</w:t>
            </w:r>
          </w:p>
        </w:tc>
        <w:tc>
          <w:tcPr>
            <w:tcW w:w="2239" w:type="dxa"/>
            <w:vAlign w:val="center"/>
            <w:hideMark/>
          </w:tcPr>
          <w:p w14:paraId="7C7ABAD2"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12.0 (3-60)</w:t>
            </w:r>
          </w:p>
        </w:tc>
        <w:tc>
          <w:tcPr>
            <w:tcW w:w="1088" w:type="dxa"/>
            <w:vAlign w:val="center"/>
            <w:hideMark/>
          </w:tcPr>
          <w:p w14:paraId="0B5E17D5"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0.77</w:t>
            </w:r>
          </w:p>
        </w:tc>
      </w:tr>
      <w:tr w:rsidR="001916FA" w:rsidRPr="0042521B" w14:paraId="68D24CF3" w14:textId="77777777" w:rsidTr="00EE4E41">
        <w:trPr>
          <w:trHeight w:val="303"/>
        </w:trPr>
        <w:tc>
          <w:tcPr>
            <w:tcW w:w="4031" w:type="dxa"/>
            <w:vAlign w:val="center"/>
            <w:hideMark/>
          </w:tcPr>
          <w:p w14:paraId="27645037"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Median specimen size (range)</w:t>
            </w:r>
          </w:p>
        </w:tc>
        <w:tc>
          <w:tcPr>
            <w:tcW w:w="2287" w:type="dxa"/>
            <w:vAlign w:val="center"/>
            <w:hideMark/>
          </w:tcPr>
          <w:p w14:paraId="4E660E0B"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35.0 (18-95)</w:t>
            </w:r>
          </w:p>
        </w:tc>
        <w:tc>
          <w:tcPr>
            <w:tcW w:w="2239" w:type="dxa"/>
            <w:vAlign w:val="center"/>
            <w:hideMark/>
          </w:tcPr>
          <w:p w14:paraId="3C35A173"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35.0 (15-97)</w:t>
            </w:r>
          </w:p>
        </w:tc>
        <w:tc>
          <w:tcPr>
            <w:tcW w:w="1088" w:type="dxa"/>
            <w:hideMark/>
          </w:tcPr>
          <w:p w14:paraId="707F905E"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0.89</w:t>
            </w:r>
          </w:p>
        </w:tc>
      </w:tr>
      <w:tr w:rsidR="001916FA" w:rsidRPr="0042521B" w14:paraId="7710350A" w14:textId="77777777" w:rsidTr="00EE4E41">
        <w:trPr>
          <w:trHeight w:val="303"/>
        </w:trPr>
        <w:tc>
          <w:tcPr>
            <w:tcW w:w="4031" w:type="dxa"/>
            <w:vAlign w:val="center"/>
            <w:hideMark/>
          </w:tcPr>
          <w:p w14:paraId="66DEE835"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Ulcerative findings</w:t>
            </w:r>
          </w:p>
        </w:tc>
        <w:tc>
          <w:tcPr>
            <w:tcW w:w="2287" w:type="dxa"/>
            <w:hideMark/>
          </w:tcPr>
          <w:p w14:paraId="107F229B"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hideMark/>
          </w:tcPr>
          <w:p w14:paraId="785F569E"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7C8AE215"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0.79</w:t>
            </w:r>
          </w:p>
        </w:tc>
      </w:tr>
      <w:tr w:rsidR="001916FA" w:rsidRPr="0042521B" w14:paraId="4E74FE3D" w14:textId="77777777" w:rsidTr="00EE4E41">
        <w:trPr>
          <w:trHeight w:val="303"/>
        </w:trPr>
        <w:tc>
          <w:tcPr>
            <w:tcW w:w="4031" w:type="dxa"/>
            <w:vAlign w:val="center"/>
            <w:hideMark/>
          </w:tcPr>
          <w:p w14:paraId="43CFB2C0" w14:textId="12B55C18"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12093BCE"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5.3 (6)</w:t>
            </w:r>
          </w:p>
        </w:tc>
        <w:tc>
          <w:tcPr>
            <w:tcW w:w="2239" w:type="dxa"/>
            <w:vAlign w:val="center"/>
            <w:hideMark/>
          </w:tcPr>
          <w:p w14:paraId="07480F54"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4.6 (6)</w:t>
            </w:r>
          </w:p>
        </w:tc>
        <w:tc>
          <w:tcPr>
            <w:tcW w:w="1088" w:type="dxa"/>
            <w:vAlign w:val="center"/>
            <w:hideMark/>
          </w:tcPr>
          <w:p w14:paraId="7280B38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77B34996" w14:textId="77777777" w:rsidTr="00EE4E41">
        <w:trPr>
          <w:trHeight w:val="303"/>
        </w:trPr>
        <w:tc>
          <w:tcPr>
            <w:tcW w:w="4031" w:type="dxa"/>
            <w:vAlign w:val="center"/>
            <w:hideMark/>
          </w:tcPr>
          <w:p w14:paraId="794A5814" w14:textId="1836BE32"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3421E303"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94.7 (108)</w:t>
            </w:r>
          </w:p>
        </w:tc>
        <w:tc>
          <w:tcPr>
            <w:tcW w:w="2239" w:type="dxa"/>
            <w:vAlign w:val="center"/>
            <w:hideMark/>
          </w:tcPr>
          <w:p w14:paraId="130ECB93"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95.5 (126)</w:t>
            </w:r>
          </w:p>
        </w:tc>
        <w:tc>
          <w:tcPr>
            <w:tcW w:w="1088" w:type="dxa"/>
            <w:hideMark/>
          </w:tcPr>
          <w:p w14:paraId="39A485F1"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75DB9815" w14:textId="77777777" w:rsidTr="00EE4E41">
        <w:trPr>
          <w:trHeight w:val="303"/>
        </w:trPr>
        <w:tc>
          <w:tcPr>
            <w:tcW w:w="4031" w:type="dxa"/>
            <w:vAlign w:val="center"/>
            <w:hideMark/>
          </w:tcPr>
          <w:p w14:paraId="341AF3EF"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Depth of invasion</w:t>
            </w:r>
          </w:p>
        </w:tc>
        <w:tc>
          <w:tcPr>
            <w:tcW w:w="2287" w:type="dxa"/>
            <w:hideMark/>
          </w:tcPr>
          <w:p w14:paraId="090CD5A5"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hideMark/>
          </w:tcPr>
          <w:p w14:paraId="4C6CC8CC"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04601A3F" w14:textId="77777777" w:rsidR="001916FA" w:rsidRPr="0042521B" w:rsidRDefault="001916FA" w:rsidP="001916FA">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0.09</w:t>
            </w:r>
          </w:p>
        </w:tc>
      </w:tr>
      <w:tr w:rsidR="001916FA" w:rsidRPr="0042521B" w14:paraId="10C4C828" w14:textId="77777777" w:rsidTr="00EE4E41">
        <w:trPr>
          <w:trHeight w:val="303"/>
        </w:trPr>
        <w:tc>
          <w:tcPr>
            <w:tcW w:w="4031" w:type="dxa"/>
            <w:vAlign w:val="center"/>
            <w:hideMark/>
          </w:tcPr>
          <w:p w14:paraId="04665C7D" w14:textId="224CC5DF"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M/SM1,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65F6C874"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98.3 (112)</w:t>
            </w:r>
          </w:p>
        </w:tc>
        <w:tc>
          <w:tcPr>
            <w:tcW w:w="2239" w:type="dxa"/>
            <w:vAlign w:val="center"/>
            <w:hideMark/>
          </w:tcPr>
          <w:p w14:paraId="4774E7F3"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93.9 (124)</w:t>
            </w:r>
          </w:p>
        </w:tc>
        <w:tc>
          <w:tcPr>
            <w:tcW w:w="1088" w:type="dxa"/>
            <w:vAlign w:val="center"/>
            <w:hideMark/>
          </w:tcPr>
          <w:p w14:paraId="6AF33F00"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03A022ED" w14:textId="77777777" w:rsidTr="00EE4E41">
        <w:trPr>
          <w:trHeight w:val="303"/>
        </w:trPr>
        <w:tc>
          <w:tcPr>
            <w:tcW w:w="4031" w:type="dxa"/>
            <w:vAlign w:val="center"/>
            <w:hideMark/>
          </w:tcPr>
          <w:p w14:paraId="683F623F" w14:textId="6A795B2A"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SM2-,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vAlign w:val="center"/>
            <w:hideMark/>
          </w:tcPr>
          <w:p w14:paraId="62A9022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1.8 (2)</w:t>
            </w:r>
          </w:p>
        </w:tc>
        <w:tc>
          <w:tcPr>
            <w:tcW w:w="2239" w:type="dxa"/>
            <w:vAlign w:val="center"/>
            <w:hideMark/>
          </w:tcPr>
          <w:p w14:paraId="08C5326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6.1 (8)</w:t>
            </w:r>
          </w:p>
        </w:tc>
        <w:tc>
          <w:tcPr>
            <w:tcW w:w="1088" w:type="dxa"/>
            <w:hideMark/>
          </w:tcPr>
          <w:p w14:paraId="102C03F2"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6C8653F2" w14:textId="77777777" w:rsidTr="00EE4E41">
        <w:trPr>
          <w:trHeight w:val="303"/>
        </w:trPr>
        <w:tc>
          <w:tcPr>
            <w:tcW w:w="4031" w:type="dxa"/>
            <w:noWrap/>
            <w:vAlign w:val="center"/>
            <w:hideMark/>
          </w:tcPr>
          <w:p w14:paraId="31688091"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Pathological finding</w:t>
            </w:r>
          </w:p>
        </w:tc>
        <w:tc>
          <w:tcPr>
            <w:tcW w:w="2287" w:type="dxa"/>
            <w:noWrap/>
            <w:vAlign w:val="center"/>
            <w:hideMark/>
          </w:tcPr>
          <w:p w14:paraId="1119036F"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noWrap/>
            <w:vAlign w:val="center"/>
            <w:hideMark/>
          </w:tcPr>
          <w:p w14:paraId="07A57B1D"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noWrap/>
            <w:vAlign w:val="center"/>
            <w:hideMark/>
          </w:tcPr>
          <w:p w14:paraId="7270CD71"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0.07</w:t>
            </w:r>
          </w:p>
        </w:tc>
      </w:tr>
      <w:tr w:rsidR="001916FA" w:rsidRPr="0042521B" w14:paraId="34DA1BA1" w14:textId="77777777" w:rsidTr="00EE4E41">
        <w:trPr>
          <w:trHeight w:val="303"/>
        </w:trPr>
        <w:tc>
          <w:tcPr>
            <w:tcW w:w="4031" w:type="dxa"/>
            <w:noWrap/>
            <w:vAlign w:val="center"/>
            <w:hideMark/>
          </w:tcPr>
          <w:p w14:paraId="784F5A54" w14:textId="643038BF"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Differentiated type,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noWrap/>
            <w:vAlign w:val="center"/>
            <w:hideMark/>
          </w:tcPr>
          <w:p w14:paraId="17494C9E"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95.6 (109)</w:t>
            </w:r>
          </w:p>
        </w:tc>
        <w:tc>
          <w:tcPr>
            <w:tcW w:w="2239" w:type="dxa"/>
            <w:noWrap/>
            <w:vAlign w:val="center"/>
            <w:hideMark/>
          </w:tcPr>
          <w:p w14:paraId="720D05DD"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99.2 (131)</w:t>
            </w:r>
          </w:p>
        </w:tc>
        <w:tc>
          <w:tcPr>
            <w:tcW w:w="1088" w:type="dxa"/>
            <w:noWrap/>
            <w:vAlign w:val="center"/>
            <w:hideMark/>
          </w:tcPr>
          <w:p w14:paraId="78A6DF86"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3D03F1EC" w14:textId="77777777" w:rsidTr="00EE4E41">
        <w:trPr>
          <w:trHeight w:val="303"/>
        </w:trPr>
        <w:tc>
          <w:tcPr>
            <w:tcW w:w="4031" w:type="dxa"/>
            <w:noWrap/>
            <w:vAlign w:val="center"/>
            <w:hideMark/>
          </w:tcPr>
          <w:p w14:paraId="2E62C462" w14:textId="2D25262C"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Undifferentiated type,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noWrap/>
            <w:vAlign w:val="center"/>
            <w:hideMark/>
          </w:tcPr>
          <w:p w14:paraId="1E14B5BA"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4.4 (5)</w:t>
            </w:r>
          </w:p>
        </w:tc>
        <w:tc>
          <w:tcPr>
            <w:tcW w:w="2239" w:type="dxa"/>
            <w:noWrap/>
            <w:vAlign w:val="center"/>
            <w:hideMark/>
          </w:tcPr>
          <w:p w14:paraId="1B8C570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0.8 (1)</w:t>
            </w:r>
          </w:p>
        </w:tc>
        <w:tc>
          <w:tcPr>
            <w:tcW w:w="1088" w:type="dxa"/>
            <w:noWrap/>
            <w:vAlign w:val="center"/>
            <w:hideMark/>
          </w:tcPr>
          <w:p w14:paraId="71F41CDB"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1D76A2B0" w14:textId="77777777" w:rsidTr="00EE4E41">
        <w:trPr>
          <w:trHeight w:val="303"/>
        </w:trPr>
        <w:tc>
          <w:tcPr>
            <w:tcW w:w="4031" w:type="dxa"/>
            <w:noWrap/>
            <w:vAlign w:val="center"/>
            <w:hideMark/>
          </w:tcPr>
          <w:p w14:paraId="5B64C805"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lastRenderedPageBreak/>
              <w:t xml:space="preserve">Lymphovascular infiltration </w:t>
            </w:r>
          </w:p>
        </w:tc>
        <w:tc>
          <w:tcPr>
            <w:tcW w:w="2287" w:type="dxa"/>
            <w:noWrap/>
            <w:vAlign w:val="center"/>
            <w:hideMark/>
          </w:tcPr>
          <w:p w14:paraId="445A4720"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noWrap/>
            <w:vAlign w:val="center"/>
            <w:hideMark/>
          </w:tcPr>
          <w:p w14:paraId="56677243"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noWrap/>
            <w:vAlign w:val="center"/>
            <w:hideMark/>
          </w:tcPr>
          <w:p w14:paraId="599753C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0.74</w:t>
            </w:r>
          </w:p>
        </w:tc>
      </w:tr>
      <w:tr w:rsidR="001916FA" w:rsidRPr="0042521B" w14:paraId="1E5FC037" w14:textId="77777777" w:rsidTr="00EE4E41">
        <w:trPr>
          <w:trHeight w:val="303"/>
        </w:trPr>
        <w:tc>
          <w:tcPr>
            <w:tcW w:w="4031" w:type="dxa"/>
            <w:noWrap/>
            <w:vAlign w:val="center"/>
            <w:hideMark/>
          </w:tcPr>
          <w:p w14:paraId="6B4BEACA" w14:textId="0D74D0BE"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noWrap/>
            <w:vAlign w:val="center"/>
            <w:hideMark/>
          </w:tcPr>
          <w:p w14:paraId="5A7B31B4"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4.4 (5)</w:t>
            </w:r>
          </w:p>
        </w:tc>
        <w:tc>
          <w:tcPr>
            <w:tcW w:w="2239" w:type="dxa"/>
            <w:noWrap/>
            <w:vAlign w:val="center"/>
            <w:hideMark/>
          </w:tcPr>
          <w:p w14:paraId="432EBD01"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5.3 (7)</w:t>
            </w:r>
          </w:p>
        </w:tc>
        <w:tc>
          <w:tcPr>
            <w:tcW w:w="1088" w:type="dxa"/>
            <w:noWrap/>
            <w:vAlign w:val="center"/>
            <w:hideMark/>
          </w:tcPr>
          <w:p w14:paraId="73159771"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6ED9C115" w14:textId="77777777" w:rsidTr="00EE4E41">
        <w:trPr>
          <w:trHeight w:val="303"/>
        </w:trPr>
        <w:tc>
          <w:tcPr>
            <w:tcW w:w="4031" w:type="dxa"/>
            <w:noWrap/>
            <w:vAlign w:val="center"/>
            <w:hideMark/>
          </w:tcPr>
          <w:p w14:paraId="5A5DC2B0" w14:textId="12F896C8"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noWrap/>
            <w:vAlign w:val="center"/>
            <w:hideMark/>
          </w:tcPr>
          <w:p w14:paraId="5A02C96E"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95.6 (109)</w:t>
            </w:r>
          </w:p>
        </w:tc>
        <w:tc>
          <w:tcPr>
            <w:tcW w:w="2239" w:type="dxa"/>
            <w:noWrap/>
            <w:vAlign w:val="center"/>
            <w:hideMark/>
          </w:tcPr>
          <w:p w14:paraId="37F66597"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94.7 (125)</w:t>
            </w:r>
          </w:p>
        </w:tc>
        <w:tc>
          <w:tcPr>
            <w:tcW w:w="1088" w:type="dxa"/>
            <w:noWrap/>
            <w:vAlign w:val="center"/>
            <w:hideMark/>
          </w:tcPr>
          <w:p w14:paraId="02A42987"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5CB40632" w14:textId="77777777" w:rsidTr="00EE4E41">
        <w:trPr>
          <w:trHeight w:val="303"/>
        </w:trPr>
        <w:tc>
          <w:tcPr>
            <w:tcW w:w="4031" w:type="dxa"/>
            <w:noWrap/>
            <w:vAlign w:val="center"/>
            <w:hideMark/>
          </w:tcPr>
          <w:p w14:paraId="32D146CE"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Median procedure time (range)</w:t>
            </w:r>
          </w:p>
        </w:tc>
        <w:tc>
          <w:tcPr>
            <w:tcW w:w="2287" w:type="dxa"/>
            <w:noWrap/>
            <w:vAlign w:val="center"/>
            <w:hideMark/>
          </w:tcPr>
          <w:p w14:paraId="21962720"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41.5 (10-180)</w:t>
            </w:r>
          </w:p>
        </w:tc>
        <w:tc>
          <w:tcPr>
            <w:tcW w:w="2239" w:type="dxa"/>
            <w:noWrap/>
            <w:vAlign w:val="center"/>
            <w:hideMark/>
          </w:tcPr>
          <w:p w14:paraId="1867CBBF"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42.0 (7-215)</w:t>
            </w:r>
          </w:p>
        </w:tc>
        <w:tc>
          <w:tcPr>
            <w:tcW w:w="1088" w:type="dxa"/>
            <w:noWrap/>
            <w:vAlign w:val="center"/>
            <w:hideMark/>
          </w:tcPr>
          <w:p w14:paraId="61001F0C"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0.84</w:t>
            </w:r>
          </w:p>
        </w:tc>
      </w:tr>
      <w:tr w:rsidR="001916FA" w:rsidRPr="0042521B" w14:paraId="3726AE33" w14:textId="77777777" w:rsidTr="00EE4E41">
        <w:trPr>
          <w:trHeight w:val="303"/>
        </w:trPr>
        <w:tc>
          <w:tcPr>
            <w:tcW w:w="4031" w:type="dxa"/>
            <w:vAlign w:val="center"/>
            <w:hideMark/>
          </w:tcPr>
          <w:p w14:paraId="015E8927"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rPr>
              <w:t>Receiving</w:t>
            </w:r>
            <w:r w:rsidRPr="0042521B">
              <w:rPr>
                <w:rFonts w:ascii="Book Antiqua" w:eastAsia="Adobe 繁黑體 Std B" w:hAnsi="Book Antiqua"/>
                <w:bCs/>
                <w:color w:val="000000"/>
              </w:rPr>
              <w:t xml:space="preserve"> antithrombotic agents</w:t>
            </w:r>
          </w:p>
        </w:tc>
        <w:tc>
          <w:tcPr>
            <w:tcW w:w="2287" w:type="dxa"/>
            <w:noWrap/>
            <w:vAlign w:val="center"/>
            <w:hideMark/>
          </w:tcPr>
          <w:p w14:paraId="22C0609B" w14:textId="77777777" w:rsidR="001916FA" w:rsidRPr="0042521B"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noWrap/>
            <w:vAlign w:val="center"/>
            <w:hideMark/>
          </w:tcPr>
          <w:p w14:paraId="4946E011" w14:textId="77777777" w:rsidR="001916FA" w:rsidRPr="0042521B" w:rsidRDefault="001916FA" w:rsidP="001916FA">
            <w:pPr>
              <w:adjustRightInd w:val="0"/>
              <w:snapToGrid w:val="0"/>
              <w:spacing w:line="360" w:lineRule="auto"/>
              <w:jc w:val="both"/>
              <w:rPr>
                <w:rFonts w:ascii="Book Antiqua" w:eastAsia="Adobe 繁黑體 Std B" w:hAnsi="Book Antiqua"/>
              </w:rPr>
            </w:pPr>
          </w:p>
        </w:tc>
        <w:tc>
          <w:tcPr>
            <w:tcW w:w="1088" w:type="dxa"/>
            <w:noWrap/>
            <w:vAlign w:val="center"/>
            <w:hideMark/>
          </w:tcPr>
          <w:p w14:paraId="3F0ED5A3" w14:textId="16503118"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&lt;</w:t>
            </w:r>
            <w:r w:rsidR="00835ABC" w:rsidRPr="0042521B">
              <w:rPr>
                <w:rFonts w:ascii="Book Antiqua" w:hAnsi="Book Antiqua" w:hint="eastAsia"/>
                <w:color w:val="000000"/>
                <w:lang w:eastAsia="zh-CN"/>
              </w:rPr>
              <w:t xml:space="preserve"> </w:t>
            </w:r>
            <w:r w:rsidRPr="0042521B">
              <w:rPr>
                <w:rFonts w:ascii="Book Antiqua" w:eastAsia="Adobe 繁黑體 Std B" w:hAnsi="Book Antiqua"/>
                <w:color w:val="000000"/>
              </w:rPr>
              <w:t>0.0001</w:t>
            </w:r>
          </w:p>
        </w:tc>
      </w:tr>
      <w:tr w:rsidR="001916FA" w:rsidRPr="0042521B" w14:paraId="47D5404B" w14:textId="77777777" w:rsidTr="00EE4E41">
        <w:trPr>
          <w:trHeight w:val="303"/>
        </w:trPr>
        <w:tc>
          <w:tcPr>
            <w:tcW w:w="4031" w:type="dxa"/>
            <w:noWrap/>
            <w:vAlign w:val="center"/>
            <w:hideMark/>
          </w:tcPr>
          <w:p w14:paraId="61F5A827" w14:textId="23DB397A"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Continue,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noWrap/>
            <w:vAlign w:val="center"/>
            <w:hideMark/>
          </w:tcPr>
          <w:p w14:paraId="2840C0E7"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100 (114)</w:t>
            </w:r>
          </w:p>
        </w:tc>
        <w:tc>
          <w:tcPr>
            <w:tcW w:w="2239" w:type="dxa"/>
            <w:noWrap/>
            <w:vAlign w:val="center"/>
            <w:hideMark/>
          </w:tcPr>
          <w:p w14:paraId="57352480"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43.9 (58)</w:t>
            </w:r>
          </w:p>
        </w:tc>
        <w:tc>
          <w:tcPr>
            <w:tcW w:w="1088" w:type="dxa"/>
            <w:noWrap/>
            <w:vAlign w:val="center"/>
            <w:hideMark/>
          </w:tcPr>
          <w:p w14:paraId="2CC62063"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r w:rsidR="001916FA" w:rsidRPr="0042521B" w14:paraId="05C60516" w14:textId="77777777" w:rsidTr="00EE4E41">
        <w:trPr>
          <w:trHeight w:val="303"/>
        </w:trPr>
        <w:tc>
          <w:tcPr>
            <w:tcW w:w="4031" w:type="dxa"/>
            <w:tcBorders>
              <w:top w:val="nil"/>
              <w:left w:val="nil"/>
              <w:bottom w:val="single" w:sz="12" w:space="0" w:color="auto"/>
              <w:right w:val="nil"/>
            </w:tcBorders>
            <w:noWrap/>
            <w:vAlign w:val="center"/>
            <w:hideMark/>
          </w:tcPr>
          <w:p w14:paraId="5B105E47" w14:textId="16CF092E" w:rsidR="001916FA" w:rsidRPr="0042521B" w:rsidRDefault="00DD2024"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 xml:space="preserve"> </w:t>
            </w:r>
            <w:r w:rsidR="001916FA" w:rsidRPr="0042521B">
              <w:rPr>
                <w:rFonts w:ascii="Book Antiqua" w:eastAsia="Adobe 繁黑體 Std B" w:hAnsi="Book Antiqua"/>
                <w:color w:val="000000"/>
              </w:rPr>
              <w:t>Discontinue, % (</w:t>
            </w:r>
            <w:r w:rsidR="001916FA" w:rsidRPr="0042521B">
              <w:rPr>
                <w:rFonts w:ascii="Book Antiqua" w:eastAsia="Adobe 繁黑體 Std B" w:hAnsi="Book Antiqua"/>
                <w:i/>
                <w:color w:val="000000"/>
              </w:rPr>
              <w:t>n</w:t>
            </w:r>
            <w:r w:rsidR="001916FA" w:rsidRPr="0042521B">
              <w:rPr>
                <w:rFonts w:ascii="Book Antiqua" w:eastAsia="Adobe 繁黑體 Std B" w:hAnsi="Book Antiqua"/>
                <w:color w:val="000000"/>
              </w:rPr>
              <w:t>)</w:t>
            </w:r>
          </w:p>
        </w:tc>
        <w:tc>
          <w:tcPr>
            <w:tcW w:w="2287" w:type="dxa"/>
            <w:tcBorders>
              <w:top w:val="nil"/>
              <w:left w:val="nil"/>
              <w:bottom w:val="single" w:sz="12" w:space="0" w:color="auto"/>
              <w:right w:val="nil"/>
            </w:tcBorders>
            <w:noWrap/>
            <w:vAlign w:val="center"/>
            <w:hideMark/>
          </w:tcPr>
          <w:p w14:paraId="1DFDAC40"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0 (0)</w:t>
            </w:r>
          </w:p>
        </w:tc>
        <w:tc>
          <w:tcPr>
            <w:tcW w:w="2239" w:type="dxa"/>
            <w:tcBorders>
              <w:top w:val="nil"/>
              <w:left w:val="nil"/>
              <w:bottom w:val="single" w:sz="12" w:space="0" w:color="auto"/>
              <w:right w:val="nil"/>
            </w:tcBorders>
            <w:noWrap/>
            <w:vAlign w:val="center"/>
            <w:hideMark/>
          </w:tcPr>
          <w:p w14:paraId="27C5E0A7"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r w:rsidRPr="0042521B">
              <w:rPr>
                <w:rFonts w:ascii="Book Antiqua" w:eastAsia="Adobe 繁黑體 Std B" w:hAnsi="Book Antiqua"/>
                <w:color w:val="000000"/>
              </w:rPr>
              <w:t>56.1 (74)</w:t>
            </w:r>
          </w:p>
        </w:tc>
        <w:tc>
          <w:tcPr>
            <w:tcW w:w="1088" w:type="dxa"/>
            <w:tcBorders>
              <w:top w:val="nil"/>
              <w:left w:val="nil"/>
              <w:bottom w:val="single" w:sz="12" w:space="0" w:color="auto"/>
              <w:right w:val="nil"/>
            </w:tcBorders>
            <w:noWrap/>
            <w:vAlign w:val="center"/>
            <w:hideMark/>
          </w:tcPr>
          <w:p w14:paraId="6D48327E" w14:textId="77777777" w:rsidR="001916FA" w:rsidRPr="0042521B" w:rsidRDefault="001916FA" w:rsidP="001916FA">
            <w:pPr>
              <w:adjustRightInd w:val="0"/>
              <w:snapToGrid w:val="0"/>
              <w:spacing w:line="360" w:lineRule="auto"/>
              <w:jc w:val="both"/>
              <w:rPr>
                <w:rFonts w:ascii="Book Antiqua" w:eastAsia="Adobe 繁黑體 Std B" w:hAnsi="Book Antiqua"/>
                <w:color w:val="000000"/>
              </w:rPr>
            </w:pPr>
          </w:p>
        </w:tc>
      </w:tr>
    </w:tbl>
    <w:p w14:paraId="45665818" w14:textId="5354A578" w:rsidR="001916FA" w:rsidRPr="0042521B" w:rsidRDefault="00874D57" w:rsidP="001916FA">
      <w:pPr>
        <w:adjustRightInd w:val="0"/>
        <w:snapToGrid w:val="0"/>
        <w:spacing w:line="360" w:lineRule="auto"/>
        <w:jc w:val="both"/>
        <w:rPr>
          <w:rFonts w:ascii="Book Antiqua" w:hAnsi="Book Antiqua"/>
          <w:kern w:val="2"/>
          <w:lang w:eastAsia="zh-CN"/>
        </w:rPr>
      </w:pPr>
      <w:bookmarkStart w:id="67" w:name="OLE_LINK67"/>
      <w:bookmarkStart w:id="68" w:name="OLE_LINK68"/>
      <w:r w:rsidRPr="0042521B">
        <w:rPr>
          <w:rFonts w:ascii="Book Antiqua" w:hAnsi="Book Antiqua"/>
          <w:lang w:eastAsia="zh-CN"/>
        </w:rPr>
        <w:t>TLE</w:t>
      </w:r>
      <w:r w:rsidRPr="0042521B">
        <w:rPr>
          <w:rFonts w:ascii="Book Antiqua" w:hAnsi="Book Antiqua" w:hint="eastAsia"/>
          <w:lang w:eastAsia="zh-CN"/>
        </w:rPr>
        <w:t xml:space="preserve">: </w:t>
      </w:r>
      <w:bookmarkStart w:id="69" w:name="OLE_LINK65"/>
      <w:bookmarkStart w:id="70" w:name="OLE_LINK66"/>
      <w:r w:rsidRPr="0042521B">
        <w:rPr>
          <w:rFonts w:ascii="Book Antiqua" w:hAnsi="Book Antiqua" w:hint="eastAsia"/>
          <w:lang w:eastAsia="zh-CN"/>
        </w:rPr>
        <w:t>T</w:t>
      </w:r>
      <w:r w:rsidRPr="0042521B">
        <w:rPr>
          <w:rFonts w:ascii="Book Antiqua" w:hAnsi="Book Antiqua"/>
          <w:lang w:eastAsia="zh-CN"/>
        </w:rPr>
        <w:t>hird-look endoscopy</w:t>
      </w:r>
      <w:bookmarkEnd w:id="69"/>
      <w:bookmarkEnd w:id="70"/>
      <w:r w:rsidRPr="0042521B">
        <w:rPr>
          <w:rFonts w:ascii="Book Antiqua" w:hAnsi="Book Antiqua" w:hint="eastAsia"/>
          <w:lang w:eastAsia="zh-CN"/>
        </w:rPr>
        <w:t>;</w:t>
      </w:r>
      <w:r w:rsidRPr="0042521B">
        <w:rPr>
          <w:rFonts w:ascii="Book Antiqua" w:eastAsia="Adobe 繁黑體 Std B" w:hAnsi="Book Antiqua"/>
        </w:rPr>
        <w:t xml:space="preserve"> </w:t>
      </w:r>
      <w:bookmarkEnd w:id="67"/>
      <w:bookmarkEnd w:id="68"/>
      <w:r w:rsidR="00835ABC" w:rsidRPr="0042521B">
        <w:rPr>
          <w:rFonts w:ascii="Book Antiqua" w:eastAsia="Adobe 繁黑體 Std B" w:hAnsi="Book Antiqua"/>
        </w:rPr>
        <w:t>M</w:t>
      </w:r>
      <w:r w:rsidR="00835ABC" w:rsidRPr="0042521B">
        <w:rPr>
          <w:rFonts w:ascii="Book Antiqua" w:hAnsi="Book Antiqua" w:hint="eastAsia"/>
          <w:lang w:eastAsia="zh-CN"/>
        </w:rPr>
        <w:t>:</w:t>
      </w:r>
      <w:r w:rsidR="00835ABC" w:rsidRPr="0042521B">
        <w:rPr>
          <w:rFonts w:ascii="Book Antiqua" w:eastAsia="Adobe 繁黑體 Std B" w:hAnsi="Book Antiqua"/>
        </w:rPr>
        <w:t xml:space="preserve"> Mucosa; SM1</w:t>
      </w:r>
      <w:r w:rsidR="00835ABC" w:rsidRPr="0042521B">
        <w:rPr>
          <w:rFonts w:ascii="Book Antiqua" w:hAnsi="Book Antiqua" w:hint="eastAsia"/>
          <w:lang w:eastAsia="zh-CN"/>
        </w:rPr>
        <w:t>:</w:t>
      </w:r>
      <w:r w:rsidR="00835ABC" w:rsidRPr="0042521B">
        <w:rPr>
          <w:rFonts w:ascii="Book Antiqua" w:eastAsia="Adobe 繁黑體 Std B" w:hAnsi="Book Antiqua"/>
        </w:rPr>
        <w:t xml:space="preserve"> Submucosa (-500</w:t>
      </w:r>
      <w:r w:rsidR="00835ABC" w:rsidRPr="0042521B">
        <w:rPr>
          <w:rFonts w:ascii="Book Antiqua" w:hAnsi="Book Antiqua" w:hint="eastAsia"/>
          <w:lang w:eastAsia="zh-CN"/>
        </w:rPr>
        <w:t xml:space="preserve"> </w:t>
      </w:r>
      <w:r w:rsidR="00835ABC" w:rsidRPr="0042521B">
        <w:rPr>
          <w:rFonts w:ascii="Book Antiqua" w:eastAsia="Adobe 繁黑體 Std B" w:hAnsi="Book Antiqua"/>
        </w:rPr>
        <w:t>μm); SM2-</w:t>
      </w:r>
      <w:r w:rsidR="00835ABC" w:rsidRPr="0042521B">
        <w:rPr>
          <w:rFonts w:ascii="Book Antiqua" w:hAnsi="Book Antiqua" w:hint="eastAsia"/>
          <w:lang w:eastAsia="zh-CN"/>
        </w:rPr>
        <w:t>:</w:t>
      </w:r>
      <w:r w:rsidR="001916FA" w:rsidRPr="0042521B">
        <w:rPr>
          <w:rFonts w:ascii="Book Antiqua" w:eastAsia="Adobe 繁黑體 Std B" w:hAnsi="Book Antiqua"/>
        </w:rPr>
        <w:t xml:space="preserve"> Submucosa (500</w:t>
      </w:r>
      <w:r w:rsidR="00835ABC" w:rsidRPr="0042521B">
        <w:rPr>
          <w:rFonts w:ascii="Book Antiqua" w:hAnsi="Book Antiqua" w:hint="eastAsia"/>
          <w:lang w:eastAsia="zh-CN"/>
        </w:rPr>
        <w:t xml:space="preserve"> </w:t>
      </w:r>
      <w:r w:rsidR="001916FA" w:rsidRPr="0042521B">
        <w:rPr>
          <w:rFonts w:ascii="Book Antiqua" w:eastAsia="Adobe 繁黑體 Std B" w:hAnsi="Book Antiqua"/>
        </w:rPr>
        <w:t>μm-)</w:t>
      </w:r>
      <w:r w:rsidR="00835ABC" w:rsidRPr="0042521B">
        <w:rPr>
          <w:rFonts w:ascii="Book Antiqua" w:hAnsi="Book Antiqua" w:hint="eastAsia"/>
          <w:lang w:eastAsia="zh-CN"/>
        </w:rPr>
        <w:t>.</w:t>
      </w:r>
    </w:p>
    <w:p w14:paraId="1394960F" w14:textId="61786452" w:rsidR="001916FA" w:rsidRPr="0042521B" w:rsidRDefault="001916FA" w:rsidP="001916FA">
      <w:pPr>
        <w:adjustRightInd w:val="0"/>
        <w:snapToGrid w:val="0"/>
        <w:spacing w:line="360" w:lineRule="auto"/>
        <w:jc w:val="both"/>
        <w:rPr>
          <w:rFonts w:ascii="Book Antiqua" w:hAnsi="Book Antiqua"/>
          <w:lang w:eastAsia="zh-CN"/>
        </w:rPr>
      </w:pPr>
      <w:r w:rsidRPr="0042521B">
        <w:rPr>
          <w:rFonts w:ascii="Book Antiqua" w:eastAsia="Adobe 繁黑體 Std B" w:hAnsi="Book Antiqua"/>
        </w:rPr>
        <w:br w:type="page"/>
      </w:r>
      <w:r w:rsidRPr="0042521B">
        <w:rPr>
          <w:rFonts w:ascii="Book Antiqua" w:eastAsia="Adobe 繁黑體 Std B" w:hAnsi="Book Antiqua"/>
          <w:b/>
          <w:bCs/>
        </w:rPr>
        <w:lastRenderedPageBreak/>
        <w:t>Table</w:t>
      </w:r>
      <w:r w:rsidR="004D0958" w:rsidRPr="0042521B">
        <w:rPr>
          <w:rFonts w:ascii="Book Antiqua" w:hAnsi="Book Antiqua" w:hint="eastAsia"/>
          <w:b/>
          <w:bCs/>
          <w:lang w:eastAsia="zh-CN"/>
        </w:rPr>
        <w:t xml:space="preserve"> </w:t>
      </w:r>
      <w:r w:rsidRPr="0042521B">
        <w:rPr>
          <w:rFonts w:ascii="Book Antiqua" w:eastAsia="Adobe 繁黑體 Std B" w:hAnsi="Book Antiqua"/>
          <w:b/>
          <w:bCs/>
        </w:rPr>
        <w:t>4</w:t>
      </w:r>
      <w:r w:rsidRPr="0042521B">
        <w:rPr>
          <w:rFonts w:ascii="Book Antiqua" w:eastAsia="Adobe 繁黑體 Std B" w:hAnsi="Book Antiqua"/>
        </w:rPr>
        <w:t xml:space="preserve"> </w:t>
      </w:r>
      <w:r w:rsidRPr="0042521B">
        <w:rPr>
          <w:rFonts w:ascii="Book Antiqua" w:eastAsia="Adobe 繁黑體 Std B" w:hAnsi="Book Antiqua"/>
          <w:b/>
        </w:rPr>
        <w:t xml:space="preserve">Baseline characteristics of the </w:t>
      </w:r>
      <w:r w:rsidR="004D0958" w:rsidRPr="0042521B">
        <w:rPr>
          <w:rFonts w:ascii="Book Antiqua" w:hAnsi="Book Antiqua" w:hint="eastAsia"/>
          <w:b/>
          <w:lang w:eastAsia="zh-CN"/>
        </w:rPr>
        <w:t>t</w:t>
      </w:r>
      <w:r w:rsidR="004D0958" w:rsidRPr="0042521B">
        <w:rPr>
          <w:rFonts w:ascii="Book Antiqua" w:hAnsi="Book Antiqua"/>
          <w:b/>
          <w:lang w:eastAsia="zh-CN"/>
        </w:rPr>
        <w:t>hird-look endoscopy</w:t>
      </w:r>
      <w:r w:rsidR="004D0958" w:rsidRPr="0042521B">
        <w:rPr>
          <w:rFonts w:ascii="Book Antiqua" w:eastAsia="Adobe 繁黑體 Std B" w:hAnsi="Book Antiqua"/>
          <w:b/>
        </w:rPr>
        <w:t xml:space="preserve"> </w:t>
      </w:r>
      <w:r w:rsidRPr="0042521B">
        <w:rPr>
          <w:rFonts w:ascii="Book Antiqua" w:eastAsia="Adobe 繁黑體 Std B" w:hAnsi="Book Antiqua"/>
          <w:b/>
        </w:rPr>
        <w:t xml:space="preserve">and control group </w:t>
      </w:r>
      <w:r w:rsidR="004D0958" w:rsidRPr="0042521B">
        <w:rPr>
          <w:rFonts w:ascii="Book Antiqua" w:eastAsia="Adobe 繁黑體 Std B" w:hAnsi="Book Antiqua"/>
          <w:b/>
        </w:rPr>
        <w:t>after propensity score matching</w:t>
      </w:r>
    </w:p>
    <w:tbl>
      <w:tblPr>
        <w:tblpPr w:leftFromText="142" w:rightFromText="142" w:vertAnchor="text" w:horzAnchor="margin" w:tblpY="226"/>
        <w:tblW w:w="9659" w:type="dxa"/>
        <w:tblCellMar>
          <w:left w:w="99" w:type="dxa"/>
          <w:right w:w="99" w:type="dxa"/>
        </w:tblCellMar>
        <w:tblLook w:val="04A0" w:firstRow="1" w:lastRow="0" w:firstColumn="1" w:lastColumn="0" w:noHBand="0" w:noVBand="1"/>
      </w:tblPr>
      <w:tblGrid>
        <w:gridCol w:w="4004"/>
        <w:gridCol w:w="2271"/>
        <w:gridCol w:w="2225"/>
        <w:gridCol w:w="1159"/>
      </w:tblGrid>
      <w:tr w:rsidR="001916FA" w:rsidRPr="0042521B" w14:paraId="6A103621" w14:textId="77777777" w:rsidTr="00737D69">
        <w:trPr>
          <w:trHeight w:val="574"/>
        </w:trPr>
        <w:tc>
          <w:tcPr>
            <w:tcW w:w="4004" w:type="dxa"/>
            <w:tcBorders>
              <w:top w:val="single" w:sz="12" w:space="0" w:color="auto"/>
              <w:left w:val="nil"/>
              <w:bottom w:val="single" w:sz="4" w:space="0" w:color="auto"/>
              <w:right w:val="nil"/>
            </w:tcBorders>
            <w:hideMark/>
          </w:tcPr>
          <w:p w14:paraId="464D6F6E" w14:textId="77777777" w:rsidR="001916FA" w:rsidRPr="0042521B" w:rsidRDefault="001916FA" w:rsidP="00434D46">
            <w:pPr>
              <w:adjustRightInd w:val="0"/>
              <w:snapToGrid w:val="0"/>
              <w:spacing w:line="360" w:lineRule="auto"/>
              <w:jc w:val="both"/>
              <w:rPr>
                <w:rFonts w:ascii="Book Antiqua" w:eastAsia="Adobe 繁黑體 Std B" w:hAnsi="Book Antiqua"/>
                <w:b/>
              </w:rPr>
            </w:pPr>
          </w:p>
        </w:tc>
        <w:tc>
          <w:tcPr>
            <w:tcW w:w="2271" w:type="dxa"/>
            <w:tcBorders>
              <w:top w:val="single" w:sz="12" w:space="0" w:color="auto"/>
              <w:left w:val="nil"/>
              <w:bottom w:val="single" w:sz="4" w:space="0" w:color="auto"/>
              <w:right w:val="nil"/>
            </w:tcBorders>
            <w:vAlign w:val="center"/>
            <w:hideMark/>
          </w:tcPr>
          <w:p w14:paraId="23B89F5C" w14:textId="76611253" w:rsidR="001916FA" w:rsidRPr="0042521B" w:rsidRDefault="00EE4E41" w:rsidP="007C212B">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rPr>
              <w:t>TLE</w:t>
            </w:r>
            <w:r w:rsidR="007C212B" w:rsidRPr="0042521B">
              <w:rPr>
                <w:rFonts w:ascii="Book Antiqua" w:eastAsia="Adobe 繁黑體 Std B" w:hAnsi="Book Antiqua"/>
                <w:b/>
                <w:bCs/>
              </w:rPr>
              <w:t xml:space="preserve"> </w:t>
            </w:r>
            <w:r w:rsidR="001916FA" w:rsidRPr="0042521B">
              <w:rPr>
                <w:rFonts w:ascii="Book Antiqua" w:eastAsia="Adobe 繁黑體 Std B" w:hAnsi="Book Antiqua"/>
                <w:b/>
                <w:bCs/>
              </w:rPr>
              <w:t>(</w:t>
            </w:r>
            <w:r w:rsidR="001916FA" w:rsidRPr="0042521B">
              <w:rPr>
                <w:rFonts w:ascii="Book Antiqua" w:eastAsia="Adobe 繁黑體 Std B" w:hAnsi="Book Antiqua"/>
                <w:b/>
                <w:bCs/>
                <w:i/>
              </w:rPr>
              <w:t>n</w:t>
            </w:r>
            <w:r w:rsidR="007C0F8A" w:rsidRPr="0042521B">
              <w:rPr>
                <w:rFonts w:ascii="Book Antiqua" w:hAnsi="Book Antiqua" w:hint="eastAsia"/>
                <w:b/>
                <w:bCs/>
                <w:lang w:eastAsia="zh-CN"/>
              </w:rPr>
              <w:t xml:space="preserve"> </w:t>
            </w:r>
            <w:r w:rsidR="001916FA" w:rsidRPr="0042521B">
              <w:rPr>
                <w:rFonts w:ascii="Book Antiqua" w:eastAsia="Adobe 繁黑體 Std B" w:hAnsi="Book Antiqua"/>
                <w:b/>
                <w:bCs/>
              </w:rPr>
              <w:t>=</w:t>
            </w:r>
            <w:r w:rsidR="007C0F8A" w:rsidRPr="0042521B">
              <w:rPr>
                <w:rFonts w:ascii="Book Antiqua" w:hAnsi="Book Antiqua" w:hint="eastAsia"/>
                <w:b/>
                <w:bCs/>
                <w:lang w:eastAsia="zh-CN"/>
              </w:rPr>
              <w:t xml:space="preserve"> </w:t>
            </w:r>
            <w:r w:rsidR="001916FA" w:rsidRPr="0042521B">
              <w:rPr>
                <w:rFonts w:ascii="Book Antiqua" w:eastAsia="Adobe 繁黑體 Std B" w:hAnsi="Book Antiqua"/>
                <w:b/>
                <w:bCs/>
              </w:rPr>
              <w:t>58)</w:t>
            </w:r>
          </w:p>
        </w:tc>
        <w:tc>
          <w:tcPr>
            <w:tcW w:w="2225" w:type="dxa"/>
            <w:tcBorders>
              <w:top w:val="single" w:sz="12" w:space="0" w:color="auto"/>
              <w:left w:val="nil"/>
              <w:bottom w:val="single" w:sz="4" w:space="0" w:color="auto"/>
              <w:right w:val="nil"/>
            </w:tcBorders>
            <w:vAlign w:val="center"/>
            <w:hideMark/>
          </w:tcPr>
          <w:p w14:paraId="7CC66270" w14:textId="541E0FAB" w:rsidR="001916FA" w:rsidRPr="0042521B" w:rsidRDefault="00EE4E41"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rPr>
              <w:t xml:space="preserve">Control </w:t>
            </w:r>
            <w:r w:rsidR="001916FA" w:rsidRPr="0042521B">
              <w:rPr>
                <w:rFonts w:ascii="Book Antiqua" w:eastAsia="Adobe 繁黑體 Std B" w:hAnsi="Book Antiqua"/>
                <w:b/>
                <w:bCs/>
              </w:rPr>
              <w:t>(</w:t>
            </w:r>
            <w:r w:rsidR="001916FA" w:rsidRPr="0042521B">
              <w:rPr>
                <w:rFonts w:ascii="Book Antiqua" w:eastAsia="Adobe 繁黑體 Std B" w:hAnsi="Book Antiqua"/>
                <w:b/>
                <w:bCs/>
                <w:i/>
              </w:rPr>
              <w:t>n</w:t>
            </w:r>
            <w:r w:rsidR="007C0F8A" w:rsidRPr="0042521B">
              <w:rPr>
                <w:rFonts w:ascii="Book Antiqua" w:hAnsi="Book Antiqua" w:hint="eastAsia"/>
                <w:b/>
                <w:bCs/>
                <w:lang w:eastAsia="zh-CN"/>
              </w:rPr>
              <w:t xml:space="preserve"> </w:t>
            </w:r>
            <w:r w:rsidR="001916FA" w:rsidRPr="0042521B">
              <w:rPr>
                <w:rFonts w:ascii="Book Antiqua" w:eastAsia="Adobe 繁黑體 Std B" w:hAnsi="Book Antiqua"/>
                <w:b/>
                <w:bCs/>
              </w:rPr>
              <w:t>=</w:t>
            </w:r>
            <w:r w:rsidR="007C0F8A" w:rsidRPr="0042521B">
              <w:rPr>
                <w:rFonts w:ascii="Book Antiqua" w:hAnsi="Book Antiqua" w:hint="eastAsia"/>
                <w:b/>
                <w:bCs/>
                <w:lang w:eastAsia="zh-CN"/>
              </w:rPr>
              <w:t xml:space="preserve"> </w:t>
            </w:r>
            <w:r w:rsidR="001916FA" w:rsidRPr="0042521B">
              <w:rPr>
                <w:rFonts w:ascii="Book Antiqua" w:eastAsia="Adobe 繁黑體 Std B" w:hAnsi="Book Antiqua"/>
                <w:b/>
                <w:bCs/>
              </w:rPr>
              <w:t>58)</w:t>
            </w:r>
          </w:p>
        </w:tc>
        <w:tc>
          <w:tcPr>
            <w:tcW w:w="1159" w:type="dxa"/>
            <w:tcBorders>
              <w:top w:val="single" w:sz="12" w:space="0" w:color="auto"/>
              <w:left w:val="nil"/>
              <w:bottom w:val="single" w:sz="4" w:space="0" w:color="auto"/>
              <w:right w:val="nil"/>
            </w:tcBorders>
            <w:vAlign w:val="center"/>
            <w:hideMark/>
          </w:tcPr>
          <w:p w14:paraId="61BB509B" w14:textId="025C0F15" w:rsidR="001916FA" w:rsidRPr="0042521B" w:rsidRDefault="007C0F8A" w:rsidP="00434D46">
            <w:pPr>
              <w:adjustRightInd w:val="0"/>
              <w:snapToGrid w:val="0"/>
              <w:spacing w:line="360" w:lineRule="auto"/>
              <w:jc w:val="both"/>
              <w:rPr>
                <w:rFonts w:ascii="Book Antiqua" w:eastAsia="Adobe 繁黑體 Std B" w:hAnsi="Book Antiqua"/>
                <w:b/>
                <w:bCs/>
                <w:i/>
                <w:iCs/>
              </w:rPr>
            </w:pPr>
            <w:r w:rsidRPr="0042521B">
              <w:rPr>
                <w:rFonts w:ascii="Book Antiqua" w:eastAsia="Adobe 繁黑體 Std B" w:hAnsi="Book Antiqua"/>
                <w:b/>
                <w:bCs/>
                <w:i/>
                <w:iCs/>
              </w:rPr>
              <w:t>P</w:t>
            </w:r>
            <w:r w:rsidRPr="0042521B">
              <w:rPr>
                <w:rFonts w:ascii="Book Antiqua" w:eastAsia="Adobe 繁黑體 Std B" w:hAnsi="Book Antiqua"/>
                <w:b/>
                <w:bCs/>
              </w:rPr>
              <w:t xml:space="preserve"> </w:t>
            </w:r>
            <w:r w:rsidR="001916FA" w:rsidRPr="0042521B">
              <w:rPr>
                <w:rFonts w:ascii="Book Antiqua" w:eastAsia="Adobe 繁黑體 Std B" w:hAnsi="Book Antiqua"/>
                <w:b/>
                <w:bCs/>
              </w:rPr>
              <w:t>value</w:t>
            </w:r>
          </w:p>
        </w:tc>
      </w:tr>
      <w:tr w:rsidR="001916FA" w:rsidRPr="0042521B" w14:paraId="008C0DBC" w14:textId="77777777" w:rsidTr="00737D69">
        <w:trPr>
          <w:trHeight w:val="302"/>
        </w:trPr>
        <w:tc>
          <w:tcPr>
            <w:tcW w:w="4004" w:type="dxa"/>
            <w:vAlign w:val="center"/>
            <w:hideMark/>
          </w:tcPr>
          <w:p w14:paraId="0AF97871" w14:textId="30BC2E47" w:rsidR="001916FA" w:rsidRPr="0042521B" w:rsidRDefault="00273D70" w:rsidP="00273D70">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Age</w:t>
            </w:r>
            <w:r w:rsidRPr="0042521B">
              <w:rPr>
                <w:rFonts w:ascii="Book Antiqua" w:hAnsi="Book Antiqua" w:hint="eastAsia"/>
                <w:bCs/>
                <w:lang w:eastAsia="zh-CN"/>
              </w:rPr>
              <w:t>,</w:t>
            </w:r>
            <w:r w:rsidRPr="0042521B">
              <w:rPr>
                <w:rFonts w:ascii="Book Antiqua" w:eastAsia="Adobe 繁黑體 Std B" w:hAnsi="Book Antiqua"/>
                <w:bCs/>
              </w:rPr>
              <w:t xml:space="preserve"> </w:t>
            </w:r>
            <w:r w:rsidRPr="0042521B">
              <w:rPr>
                <w:rFonts w:ascii="Book Antiqua" w:hAnsi="Book Antiqua" w:hint="eastAsia"/>
                <w:bCs/>
                <w:lang w:eastAsia="zh-CN"/>
              </w:rPr>
              <w:t>m</w:t>
            </w:r>
            <w:r w:rsidR="001916FA" w:rsidRPr="0042521B">
              <w:rPr>
                <w:rFonts w:ascii="Book Antiqua" w:eastAsia="Adobe 繁黑體 Std B" w:hAnsi="Book Antiqua"/>
                <w:bCs/>
              </w:rPr>
              <w:t>ean</w:t>
            </w:r>
            <w:r w:rsidRPr="0042521B">
              <w:rPr>
                <w:rFonts w:ascii="Book Antiqua" w:hAnsi="Book Antiqua" w:hint="eastAsia"/>
                <w:bCs/>
                <w:lang w:eastAsia="zh-CN"/>
              </w:rPr>
              <w:t xml:space="preserve"> </w:t>
            </w:r>
            <w:r w:rsidRPr="0042521B">
              <w:rPr>
                <w:rFonts w:ascii="Book Antiqua" w:eastAsia="Adobe 繁黑體 Std B" w:hAnsi="Book Antiqua"/>
                <w:bCs/>
              </w:rPr>
              <w:t>± SD (yr</w:t>
            </w:r>
            <w:r w:rsidR="001916FA" w:rsidRPr="0042521B">
              <w:rPr>
                <w:rFonts w:ascii="Book Antiqua" w:eastAsia="Adobe 繁黑體 Std B" w:hAnsi="Book Antiqua"/>
                <w:bCs/>
              </w:rPr>
              <w:t>)</w:t>
            </w:r>
          </w:p>
        </w:tc>
        <w:tc>
          <w:tcPr>
            <w:tcW w:w="2271" w:type="dxa"/>
            <w:vAlign w:val="center"/>
            <w:hideMark/>
          </w:tcPr>
          <w:p w14:paraId="1F8E4279" w14:textId="276F759D"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75.8</w:t>
            </w:r>
            <w:r w:rsidR="00C377B0" w:rsidRPr="0042521B">
              <w:rPr>
                <w:rFonts w:ascii="Book Antiqua" w:hAnsi="Book Antiqua" w:hint="eastAsia"/>
                <w:lang w:eastAsia="zh-CN"/>
              </w:rPr>
              <w:t xml:space="preserve"> </w:t>
            </w:r>
            <w:r w:rsidRPr="0042521B">
              <w:rPr>
                <w:rFonts w:ascii="Book Antiqua" w:eastAsia="Adobe 繁黑體 Std B" w:hAnsi="Book Antiqua"/>
              </w:rPr>
              <w:t>±</w:t>
            </w:r>
            <w:r w:rsidR="00C377B0" w:rsidRPr="0042521B">
              <w:rPr>
                <w:rFonts w:ascii="Book Antiqua" w:hAnsi="Book Antiqua" w:hint="eastAsia"/>
                <w:lang w:eastAsia="zh-CN"/>
              </w:rPr>
              <w:t xml:space="preserve"> </w:t>
            </w:r>
            <w:r w:rsidRPr="0042521B">
              <w:rPr>
                <w:rFonts w:ascii="Book Antiqua" w:eastAsia="Adobe 繁黑體 Std B" w:hAnsi="Book Antiqua"/>
              </w:rPr>
              <w:t xml:space="preserve">6.4 </w:t>
            </w:r>
          </w:p>
        </w:tc>
        <w:tc>
          <w:tcPr>
            <w:tcW w:w="2225" w:type="dxa"/>
            <w:vAlign w:val="center"/>
            <w:hideMark/>
          </w:tcPr>
          <w:p w14:paraId="2F98D102" w14:textId="6889200B"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77.7</w:t>
            </w:r>
            <w:r w:rsidR="00C377B0" w:rsidRPr="0042521B">
              <w:rPr>
                <w:rFonts w:ascii="Book Antiqua" w:hAnsi="Book Antiqua" w:hint="eastAsia"/>
                <w:lang w:eastAsia="zh-CN"/>
              </w:rPr>
              <w:t xml:space="preserve"> </w:t>
            </w:r>
            <w:r w:rsidRPr="0042521B">
              <w:rPr>
                <w:rFonts w:ascii="Book Antiqua" w:eastAsia="Adobe 繁黑體 Std B" w:hAnsi="Book Antiqua"/>
              </w:rPr>
              <w:t>±</w:t>
            </w:r>
            <w:r w:rsidR="00C377B0" w:rsidRPr="0042521B">
              <w:rPr>
                <w:rFonts w:ascii="Book Antiqua" w:hAnsi="Book Antiqua" w:hint="eastAsia"/>
                <w:lang w:eastAsia="zh-CN"/>
              </w:rPr>
              <w:t xml:space="preserve"> </w:t>
            </w:r>
            <w:r w:rsidRPr="0042521B">
              <w:rPr>
                <w:rFonts w:ascii="Book Antiqua" w:eastAsia="Adobe 繁黑體 Std B" w:hAnsi="Book Antiqua"/>
              </w:rPr>
              <w:t xml:space="preserve">6.5 </w:t>
            </w:r>
          </w:p>
        </w:tc>
        <w:tc>
          <w:tcPr>
            <w:tcW w:w="1159" w:type="dxa"/>
            <w:vAlign w:val="center"/>
            <w:hideMark/>
          </w:tcPr>
          <w:p w14:paraId="14970448"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0.10</w:t>
            </w:r>
          </w:p>
        </w:tc>
      </w:tr>
      <w:tr w:rsidR="001916FA" w:rsidRPr="0042521B" w14:paraId="2F7E2027" w14:textId="77777777" w:rsidTr="00737D69">
        <w:trPr>
          <w:trHeight w:val="302"/>
        </w:trPr>
        <w:tc>
          <w:tcPr>
            <w:tcW w:w="4004" w:type="dxa"/>
            <w:vAlign w:val="center"/>
            <w:hideMark/>
          </w:tcPr>
          <w:p w14:paraId="17F79507"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Sex</w:t>
            </w:r>
          </w:p>
        </w:tc>
        <w:tc>
          <w:tcPr>
            <w:tcW w:w="2271" w:type="dxa"/>
            <w:hideMark/>
          </w:tcPr>
          <w:p w14:paraId="101CFC12"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hideMark/>
          </w:tcPr>
          <w:p w14:paraId="42FF0B4E"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4D61797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0.59</w:t>
            </w:r>
          </w:p>
        </w:tc>
      </w:tr>
      <w:tr w:rsidR="001916FA" w:rsidRPr="0042521B" w14:paraId="04E6DEBD" w14:textId="77777777" w:rsidTr="00737D69">
        <w:trPr>
          <w:trHeight w:val="302"/>
        </w:trPr>
        <w:tc>
          <w:tcPr>
            <w:tcW w:w="4004" w:type="dxa"/>
            <w:vAlign w:val="center"/>
            <w:hideMark/>
          </w:tcPr>
          <w:p w14:paraId="14A4420D" w14:textId="53FDC036"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Male,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7C86A3F1"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84.5 (49)</w:t>
            </w:r>
          </w:p>
        </w:tc>
        <w:tc>
          <w:tcPr>
            <w:tcW w:w="2225" w:type="dxa"/>
            <w:vAlign w:val="center"/>
            <w:hideMark/>
          </w:tcPr>
          <w:p w14:paraId="544C4FB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87.9 (51)</w:t>
            </w:r>
          </w:p>
        </w:tc>
        <w:tc>
          <w:tcPr>
            <w:tcW w:w="1159" w:type="dxa"/>
            <w:vAlign w:val="center"/>
            <w:hideMark/>
          </w:tcPr>
          <w:p w14:paraId="0E9BAA74"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76C34E42" w14:textId="77777777" w:rsidTr="00737D69">
        <w:trPr>
          <w:trHeight w:val="302"/>
        </w:trPr>
        <w:tc>
          <w:tcPr>
            <w:tcW w:w="4004" w:type="dxa"/>
            <w:vAlign w:val="center"/>
            <w:hideMark/>
          </w:tcPr>
          <w:p w14:paraId="27FBADC9" w14:textId="1716E032"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Female,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7D46C98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15.5 (9)</w:t>
            </w:r>
          </w:p>
        </w:tc>
        <w:tc>
          <w:tcPr>
            <w:tcW w:w="2225" w:type="dxa"/>
            <w:vAlign w:val="center"/>
            <w:hideMark/>
          </w:tcPr>
          <w:p w14:paraId="1FAEA4F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12.1 (7)</w:t>
            </w:r>
          </w:p>
        </w:tc>
        <w:tc>
          <w:tcPr>
            <w:tcW w:w="1159" w:type="dxa"/>
            <w:hideMark/>
          </w:tcPr>
          <w:p w14:paraId="09FAD4D3"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003BCCA9" w14:textId="77777777" w:rsidTr="00737D69">
        <w:trPr>
          <w:trHeight w:val="302"/>
        </w:trPr>
        <w:tc>
          <w:tcPr>
            <w:tcW w:w="4004" w:type="dxa"/>
            <w:vAlign w:val="center"/>
            <w:hideMark/>
          </w:tcPr>
          <w:p w14:paraId="3D9E2F3D"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Location-1</w:t>
            </w:r>
          </w:p>
        </w:tc>
        <w:tc>
          <w:tcPr>
            <w:tcW w:w="2271" w:type="dxa"/>
            <w:hideMark/>
          </w:tcPr>
          <w:p w14:paraId="78871B56"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vAlign w:val="center"/>
            <w:hideMark/>
          </w:tcPr>
          <w:p w14:paraId="7230ACD2"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5062FAC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0.52</w:t>
            </w:r>
          </w:p>
        </w:tc>
      </w:tr>
      <w:tr w:rsidR="001916FA" w:rsidRPr="0042521B" w14:paraId="1E0D20F0" w14:textId="77777777" w:rsidTr="00737D69">
        <w:trPr>
          <w:trHeight w:val="302"/>
        </w:trPr>
        <w:tc>
          <w:tcPr>
            <w:tcW w:w="4004" w:type="dxa"/>
            <w:vAlign w:val="center"/>
            <w:hideMark/>
          </w:tcPr>
          <w:p w14:paraId="1127287E" w14:textId="162B05D6"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Upper,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26492CF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19.0 (11)</w:t>
            </w:r>
          </w:p>
        </w:tc>
        <w:tc>
          <w:tcPr>
            <w:tcW w:w="2225" w:type="dxa"/>
            <w:vAlign w:val="center"/>
            <w:hideMark/>
          </w:tcPr>
          <w:p w14:paraId="604FA521"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13.8 (8)</w:t>
            </w:r>
          </w:p>
        </w:tc>
        <w:tc>
          <w:tcPr>
            <w:tcW w:w="1159" w:type="dxa"/>
            <w:hideMark/>
          </w:tcPr>
          <w:p w14:paraId="6A7ED062"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00320B28" w14:textId="77777777" w:rsidTr="00737D69">
        <w:trPr>
          <w:trHeight w:val="302"/>
        </w:trPr>
        <w:tc>
          <w:tcPr>
            <w:tcW w:w="4004" w:type="dxa"/>
            <w:vAlign w:val="center"/>
            <w:hideMark/>
          </w:tcPr>
          <w:p w14:paraId="78B548C9" w14:textId="08F14746"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Middle,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5DB650A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6.9 (4)</w:t>
            </w:r>
          </w:p>
        </w:tc>
        <w:tc>
          <w:tcPr>
            <w:tcW w:w="2225" w:type="dxa"/>
            <w:vAlign w:val="center"/>
            <w:hideMark/>
          </w:tcPr>
          <w:p w14:paraId="3641572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12.1 (7)</w:t>
            </w:r>
          </w:p>
        </w:tc>
        <w:tc>
          <w:tcPr>
            <w:tcW w:w="1159" w:type="dxa"/>
            <w:hideMark/>
          </w:tcPr>
          <w:p w14:paraId="03B98BBA"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512ED9BA" w14:textId="77777777" w:rsidTr="00737D69">
        <w:trPr>
          <w:trHeight w:val="302"/>
        </w:trPr>
        <w:tc>
          <w:tcPr>
            <w:tcW w:w="4004" w:type="dxa"/>
            <w:vAlign w:val="center"/>
            <w:hideMark/>
          </w:tcPr>
          <w:p w14:paraId="1AE2B3EF" w14:textId="028F50DB"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Lower,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061D865C"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74.1 (43)</w:t>
            </w:r>
          </w:p>
        </w:tc>
        <w:tc>
          <w:tcPr>
            <w:tcW w:w="2225" w:type="dxa"/>
            <w:hideMark/>
          </w:tcPr>
          <w:p w14:paraId="35B83191"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74.1 (43)</w:t>
            </w:r>
          </w:p>
        </w:tc>
        <w:tc>
          <w:tcPr>
            <w:tcW w:w="1159" w:type="dxa"/>
            <w:hideMark/>
          </w:tcPr>
          <w:p w14:paraId="76525FB7"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78BBCA6D" w14:textId="77777777" w:rsidTr="00737D69">
        <w:trPr>
          <w:trHeight w:val="302"/>
        </w:trPr>
        <w:tc>
          <w:tcPr>
            <w:tcW w:w="4004" w:type="dxa"/>
            <w:vAlign w:val="center"/>
            <w:hideMark/>
          </w:tcPr>
          <w:p w14:paraId="0D63A424"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Location-2</w:t>
            </w:r>
          </w:p>
        </w:tc>
        <w:tc>
          <w:tcPr>
            <w:tcW w:w="2271" w:type="dxa"/>
            <w:hideMark/>
          </w:tcPr>
          <w:p w14:paraId="429CBE50"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vAlign w:val="center"/>
            <w:hideMark/>
          </w:tcPr>
          <w:p w14:paraId="123DD69C"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vAlign w:val="center"/>
            <w:hideMark/>
          </w:tcPr>
          <w:p w14:paraId="695EE673"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0.14</w:t>
            </w:r>
          </w:p>
        </w:tc>
      </w:tr>
      <w:tr w:rsidR="001916FA" w:rsidRPr="0042521B" w14:paraId="4189D7D1" w14:textId="77777777" w:rsidTr="00737D69">
        <w:trPr>
          <w:trHeight w:val="302"/>
        </w:trPr>
        <w:tc>
          <w:tcPr>
            <w:tcW w:w="4004" w:type="dxa"/>
            <w:vAlign w:val="center"/>
            <w:hideMark/>
          </w:tcPr>
          <w:p w14:paraId="5751B314" w14:textId="3C2D947B"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Anterior wall,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744FED4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12.1 (7)</w:t>
            </w:r>
          </w:p>
        </w:tc>
        <w:tc>
          <w:tcPr>
            <w:tcW w:w="2225" w:type="dxa"/>
            <w:vAlign w:val="center"/>
            <w:hideMark/>
          </w:tcPr>
          <w:p w14:paraId="394F26B8"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24.1 (14)</w:t>
            </w:r>
          </w:p>
        </w:tc>
        <w:tc>
          <w:tcPr>
            <w:tcW w:w="1159" w:type="dxa"/>
            <w:hideMark/>
          </w:tcPr>
          <w:p w14:paraId="2C8D3DD5"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679E79D2" w14:textId="77777777" w:rsidTr="00737D69">
        <w:trPr>
          <w:trHeight w:val="302"/>
        </w:trPr>
        <w:tc>
          <w:tcPr>
            <w:tcW w:w="4004" w:type="dxa"/>
            <w:vAlign w:val="center"/>
            <w:hideMark/>
          </w:tcPr>
          <w:p w14:paraId="602932AF" w14:textId="6A60F7B0"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Posterior wall,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278A418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34.5 (20)</w:t>
            </w:r>
          </w:p>
        </w:tc>
        <w:tc>
          <w:tcPr>
            <w:tcW w:w="2225" w:type="dxa"/>
            <w:vAlign w:val="center"/>
            <w:hideMark/>
          </w:tcPr>
          <w:p w14:paraId="7E00F610"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19.0 (11)</w:t>
            </w:r>
          </w:p>
        </w:tc>
        <w:tc>
          <w:tcPr>
            <w:tcW w:w="1159" w:type="dxa"/>
            <w:hideMark/>
          </w:tcPr>
          <w:p w14:paraId="05ECC717"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5B9C32F8" w14:textId="77777777" w:rsidTr="00737D69">
        <w:trPr>
          <w:trHeight w:val="302"/>
        </w:trPr>
        <w:tc>
          <w:tcPr>
            <w:tcW w:w="4004" w:type="dxa"/>
            <w:vAlign w:val="center"/>
            <w:hideMark/>
          </w:tcPr>
          <w:p w14:paraId="45B45D88" w14:textId="347678C3"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Lesser curvature,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337507F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34.5 (20)</w:t>
            </w:r>
          </w:p>
        </w:tc>
        <w:tc>
          <w:tcPr>
            <w:tcW w:w="2225" w:type="dxa"/>
            <w:hideMark/>
          </w:tcPr>
          <w:p w14:paraId="2BC07018"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41.4 (24)</w:t>
            </w:r>
          </w:p>
        </w:tc>
        <w:tc>
          <w:tcPr>
            <w:tcW w:w="1159" w:type="dxa"/>
            <w:hideMark/>
          </w:tcPr>
          <w:p w14:paraId="109913E0"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634659CE" w14:textId="77777777" w:rsidTr="00737D69">
        <w:trPr>
          <w:trHeight w:val="302"/>
        </w:trPr>
        <w:tc>
          <w:tcPr>
            <w:tcW w:w="4004" w:type="dxa"/>
            <w:vAlign w:val="center"/>
            <w:hideMark/>
          </w:tcPr>
          <w:p w14:paraId="125C2F96" w14:textId="6672D57F"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Greater curvature,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759A38A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19.0 (11)</w:t>
            </w:r>
          </w:p>
        </w:tc>
        <w:tc>
          <w:tcPr>
            <w:tcW w:w="2225" w:type="dxa"/>
            <w:vAlign w:val="center"/>
            <w:hideMark/>
          </w:tcPr>
          <w:p w14:paraId="387C2A1F"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15.5 (9)</w:t>
            </w:r>
          </w:p>
        </w:tc>
        <w:tc>
          <w:tcPr>
            <w:tcW w:w="1159" w:type="dxa"/>
            <w:vAlign w:val="center"/>
            <w:hideMark/>
          </w:tcPr>
          <w:p w14:paraId="0E68BDCF"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13E3FCFE" w14:textId="77777777" w:rsidTr="00737D69">
        <w:trPr>
          <w:trHeight w:val="302"/>
        </w:trPr>
        <w:tc>
          <w:tcPr>
            <w:tcW w:w="4004" w:type="dxa"/>
            <w:vAlign w:val="center"/>
            <w:hideMark/>
          </w:tcPr>
          <w:p w14:paraId="1CF0291A"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Morphology</w:t>
            </w:r>
          </w:p>
        </w:tc>
        <w:tc>
          <w:tcPr>
            <w:tcW w:w="2271" w:type="dxa"/>
            <w:hideMark/>
          </w:tcPr>
          <w:p w14:paraId="44658830"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vAlign w:val="center"/>
            <w:hideMark/>
          </w:tcPr>
          <w:p w14:paraId="062666B1"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0A3E523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0.35</w:t>
            </w:r>
          </w:p>
        </w:tc>
      </w:tr>
      <w:tr w:rsidR="001916FA" w:rsidRPr="0042521B" w14:paraId="78E11025" w14:textId="77777777" w:rsidTr="00737D69">
        <w:trPr>
          <w:trHeight w:val="302"/>
        </w:trPr>
        <w:tc>
          <w:tcPr>
            <w:tcW w:w="4004" w:type="dxa"/>
            <w:vAlign w:val="center"/>
            <w:hideMark/>
          </w:tcPr>
          <w:p w14:paraId="2C6D51EC" w14:textId="54521A16"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Protruded,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78ECA6A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46.6 (27)</w:t>
            </w:r>
          </w:p>
        </w:tc>
        <w:tc>
          <w:tcPr>
            <w:tcW w:w="2225" w:type="dxa"/>
            <w:vAlign w:val="center"/>
            <w:hideMark/>
          </w:tcPr>
          <w:p w14:paraId="29C2E97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55.2 (32)</w:t>
            </w:r>
          </w:p>
        </w:tc>
        <w:tc>
          <w:tcPr>
            <w:tcW w:w="1159" w:type="dxa"/>
            <w:vAlign w:val="center"/>
            <w:hideMark/>
          </w:tcPr>
          <w:p w14:paraId="3582E03B"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4591294E" w14:textId="77777777" w:rsidTr="00737D69">
        <w:trPr>
          <w:trHeight w:val="302"/>
        </w:trPr>
        <w:tc>
          <w:tcPr>
            <w:tcW w:w="4004" w:type="dxa"/>
            <w:vAlign w:val="center"/>
            <w:hideMark/>
          </w:tcPr>
          <w:p w14:paraId="6D355E0A" w14:textId="0D3937AB"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Flat/depressed,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3365968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53.5 (31)</w:t>
            </w:r>
          </w:p>
        </w:tc>
        <w:tc>
          <w:tcPr>
            <w:tcW w:w="2225" w:type="dxa"/>
            <w:hideMark/>
          </w:tcPr>
          <w:p w14:paraId="5B4D6EDF"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44.8 (26)</w:t>
            </w:r>
          </w:p>
        </w:tc>
        <w:tc>
          <w:tcPr>
            <w:tcW w:w="1159" w:type="dxa"/>
            <w:hideMark/>
          </w:tcPr>
          <w:p w14:paraId="44A33E13"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659C77F0" w14:textId="77777777" w:rsidTr="00737D69">
        <w:trPr>
          <w:trHeight w:val="302"/>
        </w:trPr>
        <w:tc>
          <w:tcPr>
            <w:tcW w:w="4004" w:type="dxa"/>
            <w:vAlign w:val="center"/>
            <w:hideMark/>
          </w:tcPr>
          <w:p w14:paraId="6CEA7D56"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Median tumor size (range)</w:t>
            </w:r>
          </w:p>
        </w:tc>
        <w:tc>
          <w:tcPr>
            <w:tcW w:w="2271" w:type="dxa"/>
            <w:vAlign w:val="center"/>
            <w:hideMark/>
          </w:tcPr>
          <w:p w14:paraId="7AD72A93"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9.5 (2-40)</w:t>
            </w:r>
          </w:p>
        </w:tc>
        <w:tc>
          <w:tcPr>
            <w:tcW w:w="2225" w:type="dxa"/>
            <w:vAlign w:val="center"/>
            <w:hideMark/>
          </w:tcPr>
          <w:p w14:paraId="2B893D9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11.0 (3-43)</w:t>
            </w:r>
          </w:p>
        </w:tc>
        <w:tc>
          <w:tcPr>
            <w:tcW w:w="1159" w:type="dxa"/>
            <w:vAlign w:val="center"/>
            <w:hideMark/>
          </w:tcPr>
          <w:p w14:paraId="4B0DA5BF"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0.54</w:t>
            </w:r>
          </w:p>
        </w:tc>
      </w:tr>
      <w:tr w:rsidR="001916FA" w:rsidRPr="0042521B" w14:paraId="7BB2B893" w14:textId="77777777" w:rsidTr="00737D69">
        <w:trPr>
          <w:trHeight w:val="302"/>
        </w:trPr>
        <w:tc>
          <w:tcPr>
            <w:tcW w:w="4004" w:type="dxa"/>
            <w:vAlign w:val="center"/>
            <w:hideMark/>
          </w:tcPr>
          <w:p w14:paraId="3EB20D13"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Median specimen size (range)</w:t>
            </w:r>
          </w:p>
        </w:tc>
        <w:tc>
          <w:tcPr>
            <w:tcW w:w="2271" w:type="dxa"/>
            <w:vAlign w:val="center"/>
            <w:hideMark/>
          </w:tcPr>
          <w:p w14:paraId="4FAC786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34 (18-60)</w:t>
            </w:r>
          </w:p>
        </w:tc>
        <w:tc>
          <w:tcPr>
            <w:tcW w:w="2225" w:type="dxa"/>
            <w:vAlign w:val="center"/>
            <w:hideMark/>
          </w:tcPr>
          <w:p w14:paraId="2693F3D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33 (17-78)</w:t>
            </w:r>
          </w:p>
        </w:tc>
        <w:tc>
          <w:tcPr>
            <w:tcW w:w="1159" w:type="dxa"/>
            <w:hideMark/>
          </w:tcPr>
          <w:p w14:paraId="14FE529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0.71</w:t>
            </w:r>
          </w:p>
        </w:tc>
      </w:tr>
      <w:tr w:rsidR="001916FA" w:rsidRPr="0042521B" w14:paraId="10C48AC1" w14:textId="77777777" w:rsidTr="00737D69">
        <w:trPr>
          <w:trHeight w:val="302"/>
        </w:trPr>
        <w:tc>
          <w:tcPr>
            <w:tcW w:w="4004" w:type="dxa"/>
            <w:vAlign w:val="center"/>
            <w:hideMark/>
          </w:tcPr>
          <w:p w14:paraId="125FE42E"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Ulcerative findings</w:t>
            </w:r>
          </w:p>
        </w:tc>
        <w:tc>
          <w:tcPr>
            <w:tcW w:w="2271" w:type="dxa"/>
            <w:hideMark/>
          </w:tcPr>
          <w:p w14:paraId="03C16718"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hideMark/>
          </w:tcPr>
          <w:p w14:paraId="2D9CC7E8"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72ADCDF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1.00</w:t>
            </w:r>
          </w:p>
        </w:tc>
      </w:tr>
      <w:tr w:rsidR="001916FA" w:rsidRPr="0042521B" w14:paraId="71FB445B" w14:textId="77777777" w:rsidTr="00737D69">
        <w:trPr>
          <w:trHeight w:val="302"/>
        </w:trPr>
        <w:tc>
          <w:tcPr>
            <w:tcW w:w="4004" w:type="dxa"/>
            <w:vAlign w:val="center"/>
            <w:hideMark/>
          </w:tcPr>
          <w:p w14:paraId="5F0BBCCB" w14:textId="4F006B3D"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605697C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1.7 (1)</w:t>
            </w:r>
          </w:p>
        </w:tc>
        <w:tc>
          <w:tcPr>
            <w:tcW w:w="2225" w:type="dxa"/>
            <w:vAlign w:val="center"/>
            <w:hideMark/>
          </w:tcPr>
          <w:p w14:paraId="750A8E6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1.7 (1)</w:t>
            </w:r>
          </w:p>
        </w:tc>
        <w:tc>
          <w:tcPr>
            <w:tcW w:w="1159" w:type="dxa"/>
            <w:vAlign w:val="center"/>
            <w:hideMark/>
          </w:tcPr>
          <w:p w14:paraId="3106EE93"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3C97650E" w14:textId="77777777" w:rsidTr="00737D69">
        <w:trPr>
          <w:trHeight w:val="302"/>
        </w:trPr>
        <w:tc>
          <w:tcPr>
            <w:tcW w:w="4004" w:type="dxa"/>
            <w:vAlign w:val="center"/>
            <w:hideMark/>
          </w:tcPr>
          <w:p w14:paraId="4F7A57C9" w14:textId="62810A1E"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2386961C"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98.3 (57)</w:t>
            </w:r>
          </w:p>
        </w:tc>
        <w:tc>
          <w:tcPr>
            <w:tcW w:w="2225" w:type="dxa"/>
            <w:vAlign w:val="center"/>
            <w:hideMark/>
          </w:tcPr>
          <w:p w14:paraId="7D396CB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98.3 (57)</w:t>
            </w:r>
          </w:p>
        </w:tc>
        <w:tc>
          <w:tcPr>
            <w:tcW w:w="1159" w:type="dxa"/>
            <w:hideMark/>
          </w:tcPr>
          <w:p w14:paraId="1F0C7955"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013492A1" w14:textId="77777777" w:rsidTr="00737D69">
        <w:trPr>
          <w:trHeight w:val="302"/>
        </w:trPr>
        <w:tc>
          <w:tcPr>
            <w:tcW w:w="4004" w:type="dxa"/>
            <w:vAlign w:val="center"/>
            <w:hideMark/>
          </w:tcPr>
          <w:p w14:paraId="170CA640"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Depth of invasion</w:t>
            </w:r>
          </w:p>
        </w:tc>
        <w:tc>
          <w:tcPr>
            <w:tcW w:w="2271" w:type="dxa"/>
            <w:hideMark/>
          </w:tcPr>
          <w:p w14:paraId="5B52A8C2"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hideMark/>
          </w:tcPr>
          <w:p w14:paraId="0D210D92"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48124D8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0.17</w:t>
            </w:r>
          </w:p>
        </w:tc>
      </w:tr>
      <w:tr w:rsidR="001916FA" w:rsidRPr="0042521B" w14:paraId="72412368" w14:textId="77777777" w:rsidTr="00737D69">
        <w:trPr>
          <w:trHeight w:val="302"/>
        </w:trPr>
        <w:tc>
          <w:tcPr>
            <w:tcW w:w="4004" w:type="dxa"/>
            <w:vAlign w:val="center"/>
            <w:hideMark/>
          </w:tcPr>
          <w:p w14:paraId="58E9DD83" w14:textId="1697A68F"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M/SM1,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1EE3DF2F"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98.3 (57)</w:t>
            </w:r>
          </w:p>
        </w:tc>
        <w:tc>
          <w:tcPr>
            <w:tcW w:w="2225" w:type="dxa"/>
            <w:vAlign w:val="center"/>
            <w:hideMark/>
          </w:tcPr>
          <w:p w14:paraId="26F5BEE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93.1 (54)</w:t>
            </w:r>
          </w:p>
        </w:tc>
        <w:tc>
          <w:tcPr>
            <w:tcW w:w="1159" w:type="dxa"/>
            <w:vAlign w:val="center"/>
            <w:hideMark/>
          </w:tcPr>
          <w:p w14:paraId="3CAA746C"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7E7B3CDD" w14:textId="77777777" w:rsidTr="00737D69">
        <w:trPr>
          <w:trHeight w:val="302"/>
        </w:trPr>
        <w:tc>
          <w:tcPr>
            <w:tcW w:w="4004" w:type="dxa"/>
            <w:vAlign w:val="center"/>
            <w:hideMark/>
          </w:tcPr>
          <w:p w14:paraId="47F83442" w14:textId="135C0208"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SM2-,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vAlign w:val="center"/>
            <w:hideMark/>
          </w:tcPr>
          <w:p w14:paraId="17F99BF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1.7 (1)</w:t>
            </w:r>
          </w:p>
        </w:tc>
        <w:tc>
          <w:tcPr>
            <w:tcW w:w="2225" w:type="dxa"/>
            <w:vAlign w:val="center"/>
            <w:hideMark/>
          </w:tcPr>
          <w:p w14:paraId="5DE16AAF"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6.9 (4)</w:t>
            </w:r>
          </w:p>
        </w:tc>
        <w:tc>
          <w:tcPr>
            <w:tcW w:w="1159" w:type="dxa"/>
            <w:hideMark/>
          </w:tcPr>
          <w:p w14:paraId="2BC6A380"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4A392CEA" w14:textId="77777777" w:rsidTr="00737D69">
        <w:trPr>
          <w:trHeight w:val="302"/>
        </w:trPr>
        <w:tc>
          <w:tcPr>
            <w:tcW w:w="4004" w:type="dxa"/>
            <w:noWrap/>
            <w:vAlign w:val="center"/>
            <w:hideMark/>
          </w:tcPr>
          <w:p w14:paraId="58DAE28B"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Pathological finding</w:t>
            </w:r>
          </w:p>
        </w:tc>
        <w:tc>
          <w:tcPr>
            <w:tcW w:w="2271" w:type="dxa"/>
            <w:noWrap/>
            <w:vAlign w:val="center"/>
            <w:hideMark/>
          </w:tcPr>
          <w:p w14:paraId="6031DCDD"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noWrap/>
            <w:vAlign w:val="center"/>
            <w:hideMark/>
          </w:tcPr>
          <w:p w14:paraId="73F2F97A"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noWrap/>
            <w:vAlign w:val="center"/>
            <w:hideMark/>
          </w:tcPr>
          <w:p w14:paraId="4B59AC70"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w:t>
            </w:r>
          </w:p>
        </w:tc>
      </w:tr>
      <w:tr w:rsidR="001916FA" w:rsidRPr="0042521B" w14:paraId="5A1C8A05" w14:textId="77777777" w:rsidTr="00737D69">
        <w:trPr>
          <w:trHeight w:val="302"/>
        </w:trPr>
        <w:tc>
          <w:tcPr>
            <w:tcW w:w="4004" w:type="dxa"/>
            <w:noWrap/>
            <w:vAlign w:val="center"/>
            <w:hideMark/>
          </w:tcPr>
          <w:p w14:paraId="0E7CD9E3" w14:textId="2081C491"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Differentiated type,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noWrap/>
            <w:vAlign w:val="center"/>
            <w:hideMark/>
          </w:tcPr>
          <w:p w14:paraId="66BF9AE0"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100 (58)</w:t>
            </w:r>
          </w:p>
        </w:tc>
        <w:tc>
          <w:tcPr>
            <w:tcW w:w="2225" w:type="dxa"/>
            <w:noWrap/>
            <w:vAlign w:val="center"/>
            <w:hideMark/>
          </w:tcPr>
          <w:p w14:paraId="5FA5732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100 (58)</w:t>
            </w:r>
          </w:p>
        </w:tc>
        <w:tc>
          <w:tcPr>
            <w:tcW w:w="1159" w:type="dxa"/>
            <w:noWrap/>
            <w:vAlign w:val="center"/>
            <w:hideMark/>
          </w:tcPr>
          <w:p w14:paraId="694012C2"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0DB5B664" w14:textId="77777777" w:rsidTr="00737D69">
        <w:trPr>
          <w:trHeight w:val="302"/>
        </w:trPr>
        <w:tc>
          <w:tcPr>
            <w:tcW w:w="4004" w:type="dxa"/>
            <w:noWrap/>
            <w:vAlign w:val="center"/>
            <w:hideMark/>
          </w:tcPr>
          <w:p w14:paraId="13E7D117" w14:textId="234E7A88"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Undifferentiated type,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noWrap/>
            <w:vAlign w:val="center"/>
            <w:hideMark/>
          </w:tcPr>
          <w:p w14:paraId="3F4D08B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w:t>
            </w:r>
          </w:p>
        </w:tc>
        <w:tc>
          <w:tcPr>
            <w:tcW w:w="2225" w:type="dxa"/>
            <w:noWrap/>
            <w:vAlign w:val="center"/>
            <w:hideMark/>
          </w:tcPr>
          <w:p w14:paraId="09543883"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w:t>
            </w:r>
          </w:p>
        </w:tc>
        <w:tc>
          <w:tcPr>
            <w:tcW w:w="1159" w:type="dxa"/>
            <w:noWrap/>
            <w:vAlign w:val="center"/>
            <w:hideMark/>
          </w:tcPr>
          <w:p w14:paraId="7F08BFDE"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4A17FD0B" w14:textId="77777777" w:rsidTr="00737D69">
        <w:trPr>
          <w:trHeight w:val="302"/>
        </w:trPr>
        <w:tc>
          <w:tcPr>
            <w:tcW w:w="4004" w:type="dxa"/>
            <w:noWrap/>
            <w:vAlign w:val="center"/>
            <w:hideMark/>
          </w:tcPr>
          <w:p w14:paraId="0F22CEDB"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lastRenderedPageBreak/>
              <w:t xml:space="preserve">Lymphovascular infiltration </w:t>
            </w:r>
          </w:p>
        </w:tc>
        <w:tc>
          <w:tcPr>
            <w:tcW w:w="2271" w:type="dxa"/>
            <w:noWrap/>
            <w:vAlign w:val="center"/>
            <w:hideMark/>
          </w:tcPr>
          <w:p w14:paraId="456667B2"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noWrap/>
            <w:vAlign w:val="center"/>
            <w:hideMark/>
          </w:tcPr>
          <w:p w14:paraId="04A50417"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noWrap/>
            <w:vAlign w:val="center"/>
            <w:hideMark/>
          </w:tcPr>
          <w:p w14:paraId="499A937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1.00</w:t>
            </w:r>
          </w:p>
        </w:tc>
      </w:tr>
      <w:tr w:rsidR="001916FA" w:rsidRPr="0042521B" w14:paraId="42AE50EB" w14:textId="77777777" w:rsidTr="00737D69">
        <w:trPr>
          <w:trHeight w:val="302"/>
        </w:trPr>
        <w:tc>
          <w:tcPr>
            <w:tcW w:w="4004" w:type="dxa"/>
            <w:noWrap/>
            <w:vAlign w:val="center"/>
            <w:hideMark/>
          </w:tcPr>
          <w:p w14:paraId="15536D69" w14:textId="0F506CF7"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noWrap/>
            <w:vAlign w:val="center"/>
            <w:hideMark/>
          </w:tcPr>
          <w:p w14:paraId="3C99038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3.5 (2)</w:t>
            </w:r>
          </w:p>
        </w:tc>
        <w:tc>
          <w:tcPr>
            <w:tcW w:w="2225" w:type="dxa"/>
            <w:noWrap/>
            <w:vAlign w:val="center"/>
            <w:hideMark/>
          </w:tcPr>
          <w:p w14:paraId="5529163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3.5 (2)</w:t>
            </w:r>
          </w:p>
        </w:tc>
        <w:tc>
          <w:tcPr>
            <w:tcW w:w="1159" w:type="dxa"/>
            <w:noWrap/>
            <w:vAlign w:val="center"/>
            <w:hideMark/>
          </w:tcPr>
          <w:p w14:paraId="24469427"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71294E2A" w14:textId="77777777" w:rsidTr="00737D69">
        <w:trPr>
          <w:trHeight w:val="302"/>
        </w:trPr>
        <w:tc>
          <w:tcPr>
            <w:tcW w:w="4004" w:type="dxa"/>
            <w:noWrap/>
            <w:vAlign w:val="center"/>
            <w:hideMark/>
          </w:tcPr>
          <w:p w14:paraId="34631C6A" w14:textId="5751885F"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noWrap/>
            <w:vAlign w:val="center"/>
            <w:hideMark/>
          </w:tcPr>
          <w:p w14:paraId="5945EE91"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96.6 (56)</w:t>
            </w:r>
          </w:p>
        </w:tc>
        <w:tc>
          <w:tcPr>
            <w:tcW w:w="2225" w:type="dxa"/>
            <w:noWrap/>
            <w:vAlign w:val="center"/>
            <w:hideMark/>
          </w:tcPr>
          <w:p w14:paraId="6ADE054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96.6 (56)</w:t>
            </w:r>
          </w:p>
        </w:tc>
        <w:tc>
          <w:tcPr>
            <w:tcW w:w="1159" w:type="dxa"/>
            <w:noWrap/>
            <w:vAlign w:val="center"/>
            <w:hideMark/>
          </w:tcPr>
          <w:p w14:paraId="627D04AD"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031C7D9F" w14:textId="77777777" w:rsidTr="00737D69">
        <w:trPr>
          <w:trHeight w:val="302"/>
        </w:trPr>
        <w:tc>
          <w:tcPr>
            <w:tcW w:w="4004" w:type="dxa"/>
            <w:noWrap/>
            <w:vAlign w:val="center"/>
            <w:hideMark/>
          </w:tcPr>
          <w:p w14:paraId="58A8A1FC"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Median procedure time (range)</w:t>
            </w:r>
          </w:p>
        </w:tc>
        <w:tc>
          <w:tcPr>
            <w:tcW w:w="2271" w:type="dxa"/>
            <w:noWrap/>
            <w:vAlign w:val="center"/>
            <w:hideMark/>
          </w:tcPr>
          <w:p w14:paraId="585B1CA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36.0 (10-78)</w:t>
            </w:r>
          </w:p>
        </w:tc>
        <w:tc>
          <w:tcPr>
            <w:tcW w:w="2225" w:type="dxa"/>
            <w:noWrap/>
            <w:vAlign w:val="center"/>
            <w:hideMark/>
          </w:tcPr>
          <w:p w14:paraId="3A6655C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37.0 (8-175)</w:t>
            </w:r>
          </w:p>
        </w:tc>
        <w:tc>
          <w:tcPr>
            <w:tcW w:w="1159" w:type="dxa"/>
            <w:noWrap/>
            <w:vAlign w:val="center"/>
            <w:hideMark/>
          </w:tcPr>
          <w:p w14:paraId="02F4C45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0.14</w:t>
            </w:r>
          </w:p>
        </w:tc>
      </w:tr>
      <w:tr w:rsidR="001916FA" w:rsidRPr="0042521B" w14:paraId="47D071E5" w14:textId="77777777" w:rsidTr="00737D69">
        <w:trPr>
          <w:trHeight w:val="302"/>
        </w:trPr>
        <w:tc>
          <w:tcPr>
            <w:tcW w:w="4004" w:type="dxa"/>
            <w:vAlign w:val="center"/>
            <w:hideMark/>
          </w:tcPr>
          <w:p w14:paraId="770BEB97" w14:textId="7777777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rPr>
              <w:t>Receiving</w:t>
            </w:r>
            <w:r w:rsidRPr="0042521B">
              <w:rPr>
                <w:rFonts w:ascii="Book Antiqua" w:eastAsia="Adobe 繁黑體 Std B" w:hAnsi="Book Antiqua"/>
                <w:bCs/>
              </w:rPr>
              <w:t xml:space="preserve"> antithrombotic agents</w:t>
            </w:r>
          </w:p>
        </w:tc>
        <w:tc>
          <w:tcPr>
            <w:tcW w:w="2271" w:type="dxa"/>
            <w:noWrap/>
            <w:vAlign w:val="center"/>
            <w:hideMark/>
          </w:tcPr>
          <w:p w14:paraId="1F5A04DA" w14:textId="77777777" w:rsidR="001916FA" w:rsidRPr="0042521B" w:rsidRDefault="001916FA" w:rsidP="00434D46">
            <w:pPr>
              <w:adjustRightInd w:val="0"/>
              <w:snapToGrid w:val="0"/>
              <w:spacing w:line="360" w:lineRule="auto"/>
              <w:jc w:val="both"/>
              <w:rPr>
                <w:rFonts w:ascii="Book Antiqua" w:eastAsia="Adobe 繁黑體 Std B" w:hAnsi="Book Antiqua"/>
                <w:bCs/>
              </w:rPr>
            </w:pPr>
          </w:p>
        </w:tc>
        <w:tc>
          <w:tcPr>
            <w:tcW w:w="2225" w:type="dxa"/>
            <w:noWrap/>
            <w:vAlign w:val="center"/>
            <w:hideMark/>
          </w:tcPr>
          <w:p w14:paraId="5B78DAE9" w14:textId="77777777" w:rsidR="001916FA" w:rsidRPr="0042521B" w:rsidRDefault="001916FA" w:rsidP="00434D46">
            <w:pPr>
              <w:adjustRightInd w:val="0"/>
              <w:snapToGrid w:val="0"/>
              <w:spacing w:line="360" w:lineRule="auto"/>
              <w:jc w:val="both"/>
              <w:rPr>
                <w:rFonts w:ascii="Book Antiqua" w:eastAsia="Adobe 繁黑體 Std B" w:hAnsi="Book Antiqua"/>
              </w:rPr>
            </w:pPr>
          </w:p>
        </w:tc>
        <w:tc>
          <w:tcPr>
            <w:tcW w:w="1159" w:type="dxa"/>
            <w:noWrap/>
            <w:vAlign w:val="center"/>
            <w:hideMark/>
          </w:tcPr>
          <w:p w14:paraId="467313E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w:t>
            </w:r>
          </w:p>
        </w:tc>
      </w:tr>
      <w:tr w:rsidR="001916FA" w:rsidRPr="0042521B" w14:paraId="4698D70E" w14:textId="77777777" w:rsidTr="00737D69">
        <w:trPr>
          <w:trHeight w:val="302"/>
        </w:trPr>
        <w:tc>
          <w:tcPr>
            <w:tcW w:w="4004" w:type="dxa"/>
            <w:noWrap/>
            <w:vAlign w:val="center"/>
            <w:hideMark/>
          </w:tcPr>
          <w:p w14:paraId="22AE2F44" w14:textId="35A62612"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Continue,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noWrap/>
            <w:vAlign w:val="center"/>
            <w:hideMark/>
          </w:tcPr>
          <w:p w14:paraId="0F580BB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100 (58)</w:t>
            </w:r>
          </w:p>
        </w:tc>
        <w:tc>
          <w:tcPr>
            <w:tcW w:w="2225" w:type="dxa"/>
            <w:noWrap/>
            <w:vAlign w:val="center"/>
            <w:hideMark/>
          </w:tcPr>
          <w:p w14:paraId="3FC60DF3"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100 (58)</w:t>
            </w:r>
          </w:p>
        </w:tc>
        <w:tc>
          <w:tcPr>
            <w:tcW w:w="1159" w:type="dxa"/>
            <w:noWrap/>
            <w:vAlign w:val="center"/>
            <w:hideMark/>
          </w:tcPr>
          <w:p w14:paraId="2C11EC09"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r w:rsidR="001916FA" w:rsidRPr="0042521B" w14:paraId="6157FCF5" w14:textId="77777777" w:rsidTr="00737D69">
        <w:trPr>
          <w:trHeight w:val="302"/>
        </w:trPr>
        <w:tc>
          <w:tcPr>
            <w:tcW w:w="4004" w:type="dxa"/>
            <w:tcBorders>
              <w:top w:val="nil"/>
              <w:left w:val="nil"/>
              <w:bottom w:val="single" w:sz="12" w:space="0" w:color="auto"/>
              <w:right w:val="nil"/>
            </w:tcBorders>
            <w:noWrap/>
            <w:vAlign w:val="center"/>
            <w:hideMark/>
          </w:tcPr>
          <w:p w14:paraId="707F205B" w14:textId="5F592BF2" w:rsidR="001916FA" w:rsidRPr="0042521B" w:rsidRDefault="00DD2024"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 xml:space="preserve"> </w:t>
            </w:r>
            <w:r w:rsidR="001916FA" w:rsidRPr="0042521B">
              <w:rPr>
                <w:rFonts w:ascii="Book Antiqua" w:eastAsia="Adobe 繁黑體 Std B" w:hAnsi="Book Antiqua"/>
              </w:rPr>
              <w:t>Discontinue, % (</w:t>
            </w:r>
            <w:r w:rsidR="001916FA" w:rsidRPr="0042521B">
              <w:rPr>
                <w:rFonts w:ascii="Book Antiqua" w:eastAsia="Adobe 繁黑體 Std B" w:hAnsi="Book Antiqua"/>
                <w:i/>
              </w:rPr>
              <w:t>n</w:t>
            </w:r>
            <w:r w:rsidR="001916FA" w:rsidRPr="0042521B">
              <w:rPr>
                <w:rFonts w:ascii="Book Antiqua" w:eastAsia="Adobe 繁黑體 Std B" w:hAnsi="Book Antiqua"/>
              </w:rPr>
              <w:t>)</w:t>
            </w:r>
          </w:p>
        </w:tc>
        <w:tc>
          <w:tcPr>
            <w:tcW w:w="2271" w:type="dxa"/>
            <w:tcBorders>
              <w:top w:val="nil"/>
              <w:left w:val="nil"/>
              <w:bottom w:val="single" w:sz="12" w:space="0" w:color="auto"/>
              <w:right w:val="nil"/>
            </w:tcBorders>
            <w:noWrap/>
            <w:vAlign w:val="center"/>
            <w:hideMark/>
          </w:tcPr>
          <w:p w14:paraId="58092EF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w:t>
            </w:r>
          </w:p>
        </w:tc>
        <w:tc>
          <w:tcPr>
            <w:tcW w:w="2225" w:type="dxa"/>
            <w:tcBorders>
              <w:top w:val="nil"/>
              <w:left w:val="nil"/>
              <w:bottom w:val="single" w:sz="12" w:space="0" w:color="auto"/>
              <w:right w:val="nil"/>
            </w:tcBorders>
            <w:noWrap/>
            <w:vAlign w:val="center"/>
            <w:hideMark/>
          </w:tcPr>
          <w:p w14:paraId="735B360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w:t>
            </w:r>
          </w:p>
        </w:tc>
        <w:tc>
          <w:tcPr>
            <w:tcW w:w="1159" w:type="dxa"/>
            <w:tcBorders>
              <w:top w:val="nil"/>
              <w:left w:val="nil"/>
              <w:bottom w:val="single" w:sz="12" w:space="0" w:color="auto"/>
              <w:right w:val="nil"/>
            </w:tcBorders>
            <w:noWrap/>
            <w:vAlign w:val="center"/>
            <w:hideMark/>
          </w:tcPr>
          <w:p w14:paraId="0D35BB1D" w14:textId="77777777" w:rsidR="001916FA" w:rsidRPr="0042521B" w:rsidRDefault="001916FA" w:rsidP="00434D46">
            <w:pPr>
              <w:adjustRightInd w:val="0"/>
              <w:snapToGrid w:val="0"/>
              <w:spacing w:line="360" w:lineRule="auto"/>
              <w:jc w:val="both"/>
              <w:rPr>
                <w:rFonts w:ascii="Book Antiqua" w:eastAsia="Adobe 繁黑體 Std B" w:hAnsi="Book Antiqua"/>
              </w:rPr>
            </w:pPr>
          </w:p>
        </w:tc>
      </w:tr>
    </w:tbl>
    <w:p w14:paraId="07903067" w14:textId="73D44E3F" w:rsidR="001916FA" w:rsidRPr="0042521B" w:rsidRDefault="008F4C65" w:rsidP="001916FA">
      <w:pPr>
        <w:adjustRightInd w:val="0"/>
        <w:snapToGrid w:val="0"/>
        <w:spacing w:line="360" w:lineRule="auto"/>
        <w:jc w:val="both"/>
        <w:rPr>
          <w:rFonts w:ascii="Book Antiqua" w:hAnsi="Book Antiqua"/>
          <w:kern w:val="2"/>
          <w:lang w:eastAsia="zh-CN"/>
        </w:rPr>
      </w:pPr>
      <w:bookmarkStart w:id="71" w:name="OLE_LINK71"/>
      <w:r w:rsidRPr="0042521B">
        <w:rPr>
          <w:rFonts w:ascii="Book Antiqua" w:hAnsi="Book Antiqua"/>
          <w:lang w:eastAsia="zh-CN"/>
        </w:rPr>
        <w:t xml:space="preserve">TLE: </w:t>
      </w:r>
      <w:bookmarkStart w:id="72" w:name="OLE_LINK69"/>
      <w:bookmarkStart w:id="73" w:name="OLE_LINK70"/>
      <w:r w:rsidRPr="0042521B">
        <w:rPr>
          <w:rFonts w:ascii="Book Antiqua" w:hAnsi="Book Antiqua"/>
          <w:lang w:eastAsia="zh-CN"/>
        </w:rPr>
        <w:t>Third-look endoscopy</w:t>
      </w:r>
      <w:bookmarkEnd w:id="72"/>
      <w:bookmarkEnd w:id="73"/>
      <w:r w:rsidRPr="0042521B">
        <w:rPr>
          <w:rFonts w:ascii="Book Antiqua" w:hAnsi="Book Antiqua"/>
          <w:lang w:eastAsia="zh-CN"/>
        </w:rPr>
        <w:t>;</w:t>
      </w:r>
      <w:r w:rsidRPr="0042521B">
        <w:rPr>
          <w:rFonts w:ascii="Book Antiqua" w:eastAsia="Adobe 繁黑體 Std B" w:hAnsi="Book Antiqua"/>
        </w:rPr>
        <w:t xml:space="preserve"> </w:t>
      </w:r>
      <w:bookmarkEnd w:id="71"/>
      <w:r w:rsidR="00667E98" w:rsidRPr="0042521B">
        <w:rPr>
          <w:rFonts w:ascii="Book Antiqua" w:eastAsia="Adobe 繁黑體 Std B" w:hAnsi="Book Antiqua"/>
        </w:rPr>
        <w:t>M</w:t>
      </w:r>
      <w:r w:rsidR="00667E98" w:rsidRPr="0042521B">
        <w:rPr>
          <w:rFonts w:ascii="Book Antiqua" w:hAnsi="Book Antiqua" w:hint="eastAsia"/>
          <w:lang w:eastAsia="zh-CN"/>
        </w:rPr>
        <w:t>:</w:t>
      </w:r>
      <w:r w:rsidR="00667E98" w:rsidRPr="0042521B">
        <w:rPr>
          <w:rFonts w:ascii="Book Antiqua" w:eastAsia="Adobe 繁黑體 Std B" w:hAnsi="Book Antiqua"/>
        </w:rPr>
        <w:t xml:space="preserve"> Mucosa; SM1</w:t>
      </w:r>
      <w:r w:rsidR="00667E98" w:rsidRPr="0042521B">
        <w:rPr>
          <w:rFonts w:ascii="Book Antiqua" w:hAnsi="Book Antiqua" w:hint="eastAsia"/>
          <w:lang w:eastAsia="zh-CN"/>
        </w:rPr>
        <w:t>:</w:t>
      </w:r>
      <w:r w:rsidR="001916FA" w:rsidRPr="0042521B">
        <w:rPr>
          <w:rFonts w:ascii="Book Antiqua" w:eastAsia="Adobe 繁黑體 Std B" w:hAnsi="Book Antiqua"/>
        </w:rPr>
        <w:t xml:space="preserve"> Submucosa (-500</w:t>
      </w:r>
      <w:r w:rsidR="00667E98" w:rsidRPr="0042521B">
        <w:rPr>
          <w:rFonts w:ascii="Book Antiqua" w:hAnsi="Book Antiqua" w:hint="eastAsia"/>
          <w:lang w:eastAsia="zh-CN"/>
        </w:rPr>
        <w:t xml:space="preserve"> </w:t>
      </w:r>
      <w:r w:rsidR="00667E98" w:rsidRPr="0042521B">
        <w:rPr>
          <w:rFonts w:ascii="Book Antiqua" w:eastAsia="Adobe 繁黑體 Std B" w:hAnsi="Book Antiqua"/>
        </w:rPr>
        <w:t>μm); SM2-</w:t>
      </w:r>
      <w:r w:rsidR="00667E98" w:rsidRPr="0042521B">
        <w:rPr>
          <w:rFonts w:ascii="Book Antiqua" w:hAnsi="Book Antiqua" w:hint="eastAsia"/>
          <w:lang w:eastAsia="zh-CN"/>
        </w:rPr>
        <w:t>:</w:t>
      </w:r>
      <w:r w:rsidR="001916FA" w:rsidRPr="0042521B">
        <w:rPr>
          <w:rFonts w:ascii="Book Antiqua" w:eastAsia="Adobe 繁黑體 Std B" w:hAnsi="Book Antiqua"/>
        </w:rPr>
        <w:t xml:space="preserve"> Submucosa (500</w:t>
      </w:r>
      <w:r w:rsidR="00667E98" w:rsidRPr="0042521B">
        <w:rPr>
          <w:rFonts w:ascii="Book Antiqua" w:hAnsi="Book Antiqua" w:hint="eastAsia"/>
          <w:lang w:eastAsia="zh-CN"/>
        </w:rPr>
        <w:t xml:space="preserve"> </w:t>
      </w:r>
      <w:r w:rsidR="001916FA" w:rsidRPr="0042521B">
        <w:rPr>
          <w:rFonts w:ascii="Book Antiqua" w:eastAsia="Adobe 繁黑體 Std B" w:hAnsi="Book Antiqua"/>
        </w:rPr>
        <w:t>μm-)</w:t>
      </w:r>
      <w:r w:rsidR="00BB6290" w:rsidRPr="0042521B">
        <w:rPr>
          <w:rFonts w:ascii="Book Antiqua" w:hAnsi="Book Antiqua" w:hint="eastAsia"/>
          <w:lang w:eastAsia="zh-CN"/>
        </w:rPr>
        <w:t>.</w:t>
      </w:r>
    </w:p>
    <w:p w14:paraId="419D9A63" w14:textId="66F153E4" w:rsidR="001916FA" w:rsidRPr="0042521B" w:rsidRDefault="001916FA" w:rsidP="001916FA">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rPr>
        <w:br w:type="page"/>
      </w:r>
      <w:r w:rsidRPr="0042521B">
        <w:rPr>
          <w:rFonts w:ascii="Book Antiqua" w:eastAsia="Adobe 繁黑體 Std B" w:hAnsi="Book Antiqua"/>
          <w:b/>
          <w:bCs/>
        </w:rPr>
        <w:lastRenderedPageBreak/>
        <w:t>Table</w:t>
      </w:r>
      <w:r w:rsidR="00413009" w:rsidRPr="0042521B">
        <w:rPr>
          <w:rFonts w:ascii="Book Antiqua" w:hAnsi="Book Antiqua" w:hint="eastAsia"/>
          <w:b/>
          <w:bCs/>
          <w:lang w:eastAsia="zh-CN"/>
        </w:rPr>
        <w:t xml:space="preserve"> </w:t>
      </w:r>
      <w:r w:rsidRPr="0042521B">
        <w:rPr>
          <w:rFonts w:ascii="Book Antiqua" w:eastAsia="Adobe 繁黑體 Std B" w:hAnsi="Book Antiqua"/>
          <w:b/>
          <w:bCs/>
        </w:rPr>
        <w:t>5</w:t>
      </w:r>
      <w:r w:rsidRPr="0042521B">
        <w:rPr>
          <w:rFonts w:ascii="Book Antiqua" w:eastAsia="Adobe 繁黑體 Std B" w:hAnsi="Book Antiqua"/>
        </w:rPr>
        <w:t xml:space="preserve"> </w:t>
      </w:r>
      <w:r w:rsidRPr="0042521B">
        <w:rPr>
          <w:rFonts w:ascii="Book Antiqua" w:eastAsia="Adobe 繁黑體 Std B" w:hAnsi="Book Antiqua"/>
          <w:b/>
        </w:rPr>
        <w:t xml:space="preserve">Comparative analysis of the </w:t>
      </w:r>
      <w:r w:rsidR="00434D46" w:rsidRPr="0042521B">
        <w:rPr>
          <w:rFonts w:ascii="Book Antiqua" w:hAnsi="Book Antiqua" w:cs="Book Antiqua" w:hint="eastAsia"/>
          <w:b/>
          <w:color w:val="000000"/>
          <w:lang w:eastAsia="zh-CN"/>
        </w:rPr>
        <w:t>p</w:t>
      </w:r>
      <w:r w:rsidR="00434D46" w:rsidRPr="0042521B">
        <w:rPr>
          <w:rFonts w:ascii="Book Antiqua" w:eastAsia="Book Antiqua" w:hAnsi="Book Antiqua" w:cs="Book Antiqua"/>
          <w:b/>
          <w:color w:val="000000"/>
        </w:rPr>
        <w:t>ostoperative delayed bleeding</w:t>
      </w:r>
      <w:r w:rsidRPr="0042521B">
        <w:rPr>
          <w:rFonts w:ascii="Book Antiqua" w:eastAsia="Adobe 繁黑體 Std B" w:hAnsi="Book Antiqua"/>
          <w:b/>
        </w:rPr>
        <w:t xml:space="preserve"> rate in the </w:t>
      </w:r>
      <w:bookmarkStart w:id="74" w:name="OLE_LINK72"/>
      <w:bookmarkStart w:id="75" w:name="OLE_LINK73"/>
      <w:r w:rsidR="00413009" w:rsidRPr="0042521B">
        <w:rPr>
          <w:rFonts w:ascii="Book Antiqua" w:hAnsi="Book Antiqua" w:hint="eastAsia"/>
          <w:b/>
          <w:lang w:eastAsia="zh-CN"/>
        </w:rPr>
        <w:t>t</w:t>
      </w:r>
      <w:r w:rsidR="00413009" w:rsidRPr="0042521B">
        <w:rPr>
          <w:rFonts w:ascii="Book Antiqua" w:hAnsi="Book Antiqua"/>
          <w:b/>
          <w:lang w:eastAsia="zh-CN"/>
        </w:rPr>
        <w:t>hird-look endoscopy</w:t>
      </w:r>
      <w:bookmarkEnd w:id="74"/>
      <w:bookmarkEnd w:id="75"/>
      <w:r w:rsidR="00413009" w:rsidRPr="0042521B">
        <w:rPr>
          <w:rFonts w:ascii="Book Antiqua" w:eastAsia="Adobe 繁黑體 Std B" w:hAnsi="Book Antiqua"/>
          <w:b/>
        </w:rPr>
        <w:t xml:space="preserve"> </w:t>
      </w:r>
      <w:r w:rsidRPr="0042521B">
        <w:rPr>
          <w:rFonts w:ascii="Book Antiqua" w:eastAsia="Adobe 繁黑體 Std B" w:hAnsi="Book Antiqua"/>
          <w:b/>
        </w:rPr>
        <w:t>and control group (secondary endpoint)</w:t>
      </w:r>
    </w:p>
    <w:tbl>
      <w:tblPr>
        <w:tblpPr w:leftFromText="142" w:rightFromText="142" w:vertAnchor="text" w:horzAnchor="margin" w:tblpY="268"/>
        <w:tblW w:w="9923"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93"/>
        <w:gridCol w:w="2024"/>
        <w:gridCol w:w="2541"/>
        <w:gridCol w:w="1365"/>
      </w:tblGrid>
      <w:tr w:rsidR="001916FA" w:rsidRPr="0042521B" w14:paraId="18B541A8" w14:textId="77777777" w:rsidTr="0045211B">
        <w:trPr>
          <w:trHeight w:val="813"/>
        </w:trPr>
        <w:tc>
          <w:tcPr>
            <w:tcW w:w="0" w:type="auto"/>
            <w:tcBorders>
              <w:top w:val="single" w:sz="4" w:space="0" w:color="auto"/>
              <w:bottom w:val="single" w:sz="4" w:space="0" w:color="auto"/>
            </w:tcBorders>
            <w:hideMark/>
          </w:tcPr>
          <w:p w14:paraId="56389FEE" w14:textId="77777777" w:rsidR="001916FA" w:rsidRPr="0042521B" w:rsidRDefault="001916FA" w:rsidP="00434D46">
            <w:pPr>
              <w:adjustRightInd w:val="0"/>
              <w:snapToGrid w:val="0"/>
              <w:spacing w:line="360" w:lineRule="auto"/>
              <w:jc w:val="both"/>
              <w:rPr>
                <w:rFonts w:ascii="Book Antiqua" w:eastAsia="Adobe 繁黑體 Std B" w:hAnsi="Book Antiqua"/>
                <w:b/>
              </w:rPr>
            </w:pPr>
          </w:p>
        </w:tc>
        <w:tc>
          <w:tcPr>
            <w:tcW w:w="0" w:type="auto"/>
            <w:tcBorders>
              <w:top w:val="single" w:sz="4" w:space="0" w:color="auto"/>
              <w:bottom w:val="single" w:sz="4" w:space="0" w:color="auto"/>
            </w:tcBorders>
            <w:vAlign w:val="center"/>
            <w:hideMark/>
          </w:tcPr>
          <w:p w14:paraId="555C50BD" w14:textId="1B9EED8B" w:rsidR="001916FA" w:rsidRPr="0042521B" w:rsidRDefault="00737D69"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rPr>
              <w:t xml:space="preserve">TLE </w:t>
            </w:r>
            <w:r w:rsidR="001916FA" w:rsidRPr="0042521B">
              <w:rPr>
                <w:rFonts w:ascii="Book Antiqua" w:eastAsia="Adobe 繁黑體 Std B" w:hAnsi="Book Antiqua"/>
                <w:b/>
                <w:bCs/>
              </w:rPr>
              <w:t>(</w:t>
            </w:r>
            <w:r w:rsidR="001916FA" w:rsidRPr="0042521B">
              <w:rPr>
                <w:rFonts w:ascii="Book Antiqua" w:eastAsia="Adobe 繁黑體 Std B" w:hAnsi="Book Antiqua"/>
                <w:b/>
                <w:bCs/>
                <w:i/>
              </w:rPr>
              <w:t>n</w:t>
            </w:r>
            <w:r w:rsidR="00413009" w:rsidRPr="0042521B">
              <w:rPr>
                <w:rFonts w:ascii="Book Antiqua" w:hAnsi="Book Antiqua" w:hint="eastAsia"/>
                <w:b/>
                <w:bCs/>
                <w:lang w:eastAsia="zh-CN"/>
              </w:rPr>
              <w:t xml:space="preserve"> </w:t>
            </w:r>
            <w:r w:rsidR="001916FA" w:rsidRPr="0042521B">
              <w:rPr>
                <w:rFonts w:ascii="Book Antiqua" w:eastAsia="Adobe 繁黑體 Std B" w:hAnsi="Book Antiqua"/>
                <w:b/>
                <w:bCs/>
              </w:rPr>
              <w:t>=</w:t>
            </w:r>
            <w:r w:rsidR="00413009" w:rsidRPr="0042521B">
              <w:rPr>
                <w:rFonts w:ascii="Book Antiqua" w:hAnsi="Book Antiqua" w:hint="eastAsia"/>
                <w:b/>
                <w:bCs/>
                <w:lang w:eastAsia="zh-CN"/>
              </w:rPr>
              <w:t xml:space="preserve"> </w:t>
            </w:r>
            <w:r w:rsidR="001916FA" w:rsidRPr="0042521B">
              <w:rPr>
                <w:rFonts w:ascii="Book Antiqua" w:eastAsia="Adobe 繁黑體 Std B" w:hAnsi="Book Antiqua"/>
                <w:b/>
                <w:bCs/>
              </w:rPr>
              <w:t>58)</w:t>
            </w:r>
          </w:p>
        </w:tc>
        <w:tc>
          <w:tcPr>
            <w:tcW w:w="0" w:type="auto"/>
            <w:tcBorders>
              <w:top w:val="single" w:sz="4" w:space="0" w:color="auto"/>
              <w:bottom w:val="single" w:sz="4" w:space="0" w:color="auto"/>
            </w:tcBorders>
            <w:vAlign w:val="center"/>
            <w:hideMark/>
          </w:tcPr>
          <w:p w14:paraId="51925659" w14:textId="62078C7E" w:rsidR="001916FA" w:rsidRPr="0042521B" w:rsidRDefault="00737D69"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rPr>
              <w:t xml:space="preserve">Control </w:t>
            </w:r>
            <w:r w:rsidR="001916FA" w:rsidRPr="0042521B">
              <w:rPr>
                <w:rFonts w:ascii="Book Antiqua" w:eastAsia="Adobe 繁黑體 Std B" w:hAnsi="Book Antiqua"/>
                <w:b/>
                <w:bCs/>
              </w:rPr>
              <w:t>(</w:t>
            </w:r>
            <w:r w:rsidR="001916FA" w:rsidRPr="0042521B">
              <w:rPr>
                <w:rFonts w:ascii="Book Antiqua" w:eastAsia="Adobe 繁黑體 Std B" w:hAnsi="Book Antiqua"/>
                <w:b/>
                <w:bCs/>
                <w:i/>
              </w:rPr>
              <w:t>n</w:t>
            </w:r>
            <w:r w:rsidR="00413009" w:rsidRPr="0042521B">
              <w:rPr>
                <w:rFonts w:ascii="Book Antiqua" w:hAnsi="Book Antiqua" w:hint="eastAsia"/>
                <w:b/>
                <w:bCs/>
                <w:lang w:eastAsia="zh-CN"/>
              </w:rPr>
              <w:t xml:space="preserve"> </w:t>
            </w:r>
            <w:r w:rsidR="001916FA" w:rsidRPr="0042521B">
              <w:rPr>
                <w:rFonts w:ascii="Book Antiqua" w:eastAsia="Adobe 繁黑體 Std B" w:hAnsi="Book Antiqua"/>
                <w:b/>
                <w:bCs/>
              </w:rPr>
              <w:t>=</w:t>
            </w:r>
            <w:r w:rsidR="00413009" w:rsidRPr="0042521B">
              <w:rPr>
                <w:rFonts w:ascii="Book Antiqua" w:hAnsi="Book Antiqua" w:hint="eastAsia"/>
                <w:b/>
                <w:bCs/>
                <w:lang w:eastAsia="zh-CN"/>
              </w:rPr>
              <w:t xml:space="preserve"> </w:t>
            </w:r>
            <w:r w:rsidR="001916FA" w:rsidRPr="0042521B">
              <w:rPr>
                <w:rFonts w:ascii="Book Antiqua" w:eastAsia="Adobe 繁黑體 Std B" w:hAnsi="Book Antiqua"/>
                <w:b/>
                <w:bCs/>
              </w:rPr>
              <w:t>58)</w:t>
            </w:r>
          </w:p>
        </w:tc>
        <w:tc>
          <w:tcPr>
            <w:tcW w:w="0" w:type="auto"/>
            <w:tcBorders>
              <w:top w:val="single" w:sz="4" w:space="0" w:color="auto"/>
              <w:bottom w:val="single" w:sz="4" w:space="0" w:color="auto"/>
            </w:tcBorders>
            <w:vAlign w:val="center"/>
            <w:hideMark/>
          </w:tcPr>
          <w:p w14:paraId="76077F8D" w14:textId="26479F8B" w:rsidR="001916FA" w:rsidRPr="0042521B" w:rsidRDefault="00413009" w:rsidP="00434D46">
            <w:pPr>
              <w:adjustRightInd w:val="0"/>
              <w:snapToGrid w:val="0"/>
              <w:spacing w:line="360" w:lineRule="auto"/>
              <w:jc w:val="both"/>
              <w:rPr>
                <w:rFonts w:ascii="Book Antiqua" w:eastAsia="Adobe 繁黑體 Std B" w:hAnsi="Book Antiqua"/>
                <w:b/>
                <w:bCs/>
              </w:rPr>
            </w:pPr>
            <w:r w:rsidRPr="0042521B">
              <w:rPr>
                <w:rFonts w:ascii="Book Antiqua" w:eastAsia="Adobe 繁黑體 Std B" w:hAnsi="Book Antiqua"/>
                <w:b/>
                <w:bCs/>
                <w:i/>
                <w:iCs/>
              </w:rPr>
              <w:t>P</w:t>
            </w:r>
            <w:r w:rsidRPr="0042521B">
              <w:rPr>
                <w:rFonts w:ascii="Book Antiqua" w:eastAsia="Adobe 繁黑體 Std B" w:hAnsi="Book Antiqua"/>
                <w:b/>
                <w:bCs/>
              </w:rPr>
              <w:t xml:space="preserve"> </w:t>
            </w:r>
            <w:r w:rsidR="001916FA" w:rsidRPr="0042521B">
              <w:rPr>
                <w:rFonts w:ascii="Book Antiqua" w:eastAsia="Adobe 繁黑體 Std B" w:hAnsi="Book Antiqua"/>
                <w:b/>
                <w:bCs/>
              </w:rPr>
              <w:t>value</w:t>
            </w:r>
          </w:p>
        </w:tc>
      </w:tr>
      <w:tr w:rsidR="001916FA" w:rsidRPr="0042521B" w14:paraId="13BAAE61" w14:textId="77777777" w:rsidTr="0045211B">
        <w:trPr>
          <w:trHeight w:val="368"/>
        </w:trPr>
        <w:tc>
          <w:tcPr>
            <w:tcW w:w="0" w:type="auto"/>
            <w:tcBorders>
              <w:top w:val="single" w:sz="4" w:space="0" w:color="auto"/>
            </w:tcBorders>
            <w:vAlign w:val="center"/>
            <w:hideMark/>
          </w:tcPr>
          <w:p w14:paraId="7CA4800D" w14:textId="4E083867" w:rsidR="001916FA" w:rsidRPr="0042521B" w:rsidRDefault="001916FA" w:rsidP="00434D46">
            <w:pPr>
              <w:adjustRightInd w:val="0"/>
              <w:snapToGrid w:val="0"/>
              <w:spacing w:line="360" w:lineRule="auto"/>
              <w:jc w:val="both"/>
              <w:rPr>
                <w:rFonts w:ascii="Book Antiqua" w:eastAsia="Adobe 繁黑體 Std B" w:hAnsi="Book Antiqua"/>
                <w:bCs/>
              </w:rPr>
            </w:pPr>
            <w:r w:rsidRPr="0042521B">
              <w:rPr>
                <w:rFonts w:ascii="Book Antiqua" w:eastAsia="Adobe 繁黑體 Std B" w:hAnsi="Book Antiqua"/>
                <w:bCs/>
              </w:rPr>
              <w:t>Overall PDB rate, % (</w:t>
            </w:r>
            <w:r w:rsidRPr="0042521B">
              <w:rPr>
                <w:rFonts w:ascii="Book Antiqua" w:eastAsia="Adobe 繁黑體 Std B" w:hAnsi="Book Antiqua"/>
                <w:bCs/>
                <w:i/>
              </w:rPr>
              <w:t>n</w:t>
            </w:r>
            <w:r w:rsidRPr="0042521B">
              <w:rPr>
                <w:rFonts w:ascii="Book Antiqua" w:eastAsia="Adobe 繁黑體 Std B" w:hAnsi="Book Antiqua"/>
                <w:bCs/>
              </w:rPr>
              <w:t xml:space="preserve">) </w:t>
            </w:r>
          </w:p>
        </w:tc>
        <w:tc>
          <w:tcPr>
            <w:tcW w:w="0" w:type="auto"/>
            <w:tcBorders>
              <w:top w:val="single" w:sz="4" w:space="0" w:color="auto"/>
            </w:tcBorders>
            <w:vAlign w:val="center"/>
            <w:hideMark/>
          </w:tcPr>
          <w:p w14:paraId="4DD17180"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10.3 (6)</w:t>
            </w:r>
          </w:p>
        </w:tc>
        <w:tc>
          <w:tcPr>
            <w:tcW w:w="0" w:type="auto"/>
            <w:tcBorders>
              <w:top w:val="single" w:sz="4" w:space="0" w:color="auto"/>
            </w:tcBorders>
            <w:vAlign w:val="center"/>
            <w:hideMark/>
          </w:tcPr>
          <w:p w14:paraId="76FC223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20.7 (12)</w:t>
            </w:r>
          </w:p>
        </w:tc>
        <w:tc>
          <w:tcPr>
            <w:tcW w:w="0" w:type="auto"/>
            <w:tcBorders>
              <w:top w:val="single" w:sz="4" w:space="0" w:color="auto"/>
            </w:tcBorders>
            <w:vAlign w:val="center"/>
            <w:hideMark/>
          </w:tcPr>
          <w:p w14:paraId="41B9E60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0.12</w:t>
            </w:r>
          </w:p>
        </w:tc>
      </w:tr>
      <w:tr w:rsidR="001916FA" w:rsidRPr="0042521B" w14:paraId="5E825F35" w14:textId="77777777" w:rsidTr="0045211B">
        <w:trPr>
          <w:trHeight w:val="368"/>
        </w:trPr>
        <w:tc>
          <w:tcPr>
            <w:tcW w:w="0" w:type="auto"/>
            <w:vAlign w:val="center"/>
            <w:hideMark/>
          </w:tcPr>
          <w:p w14:paraId="7BC0812C" w14:textId="095ED742" w:rsidR="001916FA" w:rsidRPr="0042521B" w:rsidRDefault="001916FA" w:rsidP="00DD2024">
            <w:pPr>
              <w:adjustRightInd w:val="0"/>
              <w:snapToGrid w:val="0"/>
              <w:spacing w:line="360" w:lineRule="auto"/>
              <w:ind w:firstLineChars="50" w:firstLine="120"/>
              <w:jc w:val="both"/>
              <w:rPr>
                <w:rFonts w:ascii="Book Antiqua" w:eastAsia="Adobe 繁黑體 Std B" w:hAnsi="Book Antiqua"/>
              </w:rPr>
            </w:pPr>
            <w:r w:rsidRPr="0042521B">
              <w:rPr>
                <w:rFonts w:ascii="Book Antiqua" w:eastAsia="Adobe 繁黑體 Std B" w:hAnsi="Book Antiqua"/>
              </w:rPr>
              <w:t>Early phase(E-PDB), % (</w:t>
            </w:r>
            <w:r w:rsidRPr="0042521B">
              <w:rPr>
                <w:rFonts w:ascii="Book Antiqua" w:eastAsia="Adobe 繁黑體 Std B" w:hAnsi="Book Antiqua"/>
                <w:i/>
              </w:rPr>
              <w:t>n</w:t>
            </w:r>
            <w:r w:rsidRPr="0042521B">
              <w:rPr>
                <w:rFonts w:ascii="Book Antiqua" w:eastAsia="Adobe 繁黑體 Std B" w:hAnsi="Book Antiqua"/>
              </w:rPr>
              <w:t>)</w:t>
            </w:r>
          </w:p>
        </w:tc>
        <w:tc>
          <w:tcPr>
            <w:tcW w:w="0" w:type="auto"/>
            <w:hideMark/>
          </w:tcPr>
          <w:p w14:paraId="23286F3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5.2 (3)</w:t>
            </w:r>
          </w:p>
        </w:tc>
        <w:tc>
          <w:tcPr>
            <w:tcW w:w="0" w:type="auto"/>
            <w:hideMark/>
          </w:tcPr>
          <w:p w14:paraId="613E8E8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3.5 (2)</w:t>
            </w:r>
          </w:p>
        </w:tc>
        <w:tc>
          <w:tcPr>
            <w:tcW w:w="0" w:type="auto"/>
            <w:hideMark/>
          </w:tcPr>
          <w:p w14:paraId="37EEC82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w:t>
            </w:r>
          </w:p>
        </w:tc>
      </w:tr>
      <w:tr w:rsidR="001916FA" w:rsidRPr="0042521B" w14:paraId="6914D4C8" w14:textId="77777777" w:rsidTr="0045211B">
        <w:trPr>
          <w:trHeight w:val="442"/>
        </w:trPr>
        <w:tc>
          <w:tcPr>
            <w:tcW w:w="0" w:type="auto"/>
            <w:vAlign w:val="center"/>
            <w:hideMark/>
          </w:tcPr>
          <w:p w14:paraId="4A8B4D91" w14:textId="1674C3D7" w:rsidR="001916FA" w:rsidRPr="0042521B" w:rsidRDefault="001916FA" w:rsidP="00DD2024">
            <w:pPr>
              <w:adjustRightInd w:val="0"/>
              <w:snapToGrid w:val="0"/>
              <w:spacing w:line="360" w:lineRule="auto"/>
              <w:ind w:firstLineChars="50" w:firstLine="120"/>
              <w:jc w:val="both"/>
              <w:rPr>
                <w:rFonts w:ascii="Book Antiqua" w:eastAsia="Adobe 繁黑體 Std B" w:hAnsi="Book Antiqua"/>
              </w:rPr>
            </w:pPr>
            <w:r w:rsidRPr="0042521B">
              <w:rPr>
                <w:rFonts w:ascii="Book Antiqua" w:eastAsia="Adobe 繁黑體 Std B" w:hAnsi="Book Antiqua"/>
              </w:rPr>
              <w:t>Late phase(L-PDB) , % (</w:t>
            </w:r>
            <w:r w:rsidRPr="0042521B">
              <w:rPr>
                <w:rFonts w:ascii="Book Antiqua" w:eastAsia="Adobe 繁黑體 Std B" w:hAnsi="Book Antiqua"/>
                <w:i/>
              </w:rPr>
              <w:t>n</w:t>
            </w:r>
            <w:r w:rsidRPr="0042521B">
              <w:rPr>
                <w:rFonts w:ascii="Book Antiqua" w:eastAsia="Adobe 繁黑體 Std B" w:hAnsi="Book Antiqua"/>
              </w:rPr>
              <w:t>)</w:t>
            </w:r>
          </w:p>
        </w:tc>
        <w:tc>
          <w:tcPr>
            <w:tcW w:w="0" w:type="auto"/>
            <w:vAlign w:val="center"/>
            <w:hideMark/>
          </w:tcPr>
          <w:p w14:paraId="5D2BA14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5.2 (3)</w:t>
            </w:r>
          </w:p>
        </w:tc>
        <w:tc>
          <w:tcPr>
            <w:tcW w:w="0" w:type="auto"/>
            <w:vAlign w:val="center"/>
            <w:hideMark/>
          </w:tcPr>
          <w:p w14:paraId="6DD7B07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17.2 (10)</w:t>
            </w:r>
          </w:p>
        </w:tc>
        <w:tc>
          <w:tcPr>
            <w:tcW w:w="0" w:type="auto"/>
            <w:vAlign w:val="center"/>
            <w:hideMark/>
          </w:tcPr>
          <w:p w14:paraId="069A50A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0.04</w:t>
            </w:r>
          </w:p>
        </w:tc>
      </w:tr>
    </w:tbl>
    <w:p w14:paraId="660E5166" w14:textId="4870EA11" w:rsidR="001916FA" w:rsidRPr="0042521B" w:rsidRDefault="00413009" w:rsidP="001916FA">
      <w:pPr>
        <w:adjustRightInd w:val="0"/>
        <w:snapToGrid w:val="0"/>
        <w:spacing w:line="360" w:lineRule="auto"/>
        <w:jc w:val="both"/>
        <w:rPr>
          <w:rFonts w:ascii="Book Antiqua" w:hAnsi="Book Antiqua" w:cs="Book Antiqua"/>
          <w:color w:val="000000"/>
          <w:lang w:eastAsia="zh-CN"/>
        </w:rPr>
      </w:pPr>
      <w:bookmarkStart w:id="76" w:name="OLE_LINK74"/>
      <w:bookmarkStart w:id="77" w:name="OLE_LINK75"/>
      <w:r w:rsidRPr="0042521B">
        <w:rPr>
          <w:rFonts w:ascii="Book Antiqua" w:hAnsi="Book Antiqua"/>
          <w:lang w:eastAsia="zh-CN"/>
        </w:rPr>
        <w:t>TLE: Third-look endoscopy;</w:t>
      </w:r>
      <w:r w:rsidRPr="0042521B">
        <w:rPr>
          <w:rFonts w:ascii="Book Antiqua" w:eastAsia="Adobe 繁黑體 Std B" w:hAnsi="Book Antiqua"/>
        </w:rPr>
        <w:t xml:space="preserve"> </w:t>
      </w:r>
      <w:bookmarkEnd w:id="76"/>
      <w:bookmarkEnd w:id="77"/>
      <w:r w:rsidR="00434D46" w:rsidRPr="0042521B">
        <w:rPr>
          <w:rFonts w:ascii="Book Antiqua" w:hAnsi="Book Antiqua" w:hint="eastAsia"/>
          <w:lang w:eastAsia="zh-CN"/>
        </w:rPr>
        <w:t>PDB:</w:t>
      </w:r>
      <w:r w:rsidR="00434D46" w:rsidRPr="0042521B">
        <w:rPr>
          <w:rFonts w:ascii="Book Antiqua" w:eastAsia="Book Antiqua" w:hAnsi="Book Antiqua" w:cs="Book Antiqua"/>
          <w:color w:val="000000"/>
        </w:rPr>
        <w:t xml:space="preserve"> Postoperative delayed bleeding</w:t>
      </w:r>
      <w:r w:rsidRPr="0042521B">
        <w:rPr>
          <w:rFonts w:ascii="Book Antiqua" w:hAnsi="Book Antiqua" w:cs="Book Antiqua" w:hint="eastAsia"/>
          <w:color w:val="000000"/>
          <w:lang w:eastAsia="zh-CN"/>
        </w:rPr>
        <w:t>.</w:t>
      </w:r>
    </w:p>
    <w:p w14:paraId="742C7255" w14:textId="77777777" w:rsidR="00434D46" w:rsidRPr="0042521B" w:rsidRDefault="00434D46" w:rsidP="001916FA">
      <w:pPr>
        <w:adjustRightInd w:val="0"/>
        <w:snapToGrid w:val="0"/>
        <w:spacing w:line="360" w:lineRule="auto"/>
        <w:jc w:val="both"/>
        <w:rPr>
          <w:rFonts w:ascii="Book Antiqua" w:hAnsi="Book Antiqua"/>
          <w:lang w:eastAsia="zh-CN"/>
        </w:rPr>
        <w:sectPr w:rsidR="00434D46" w:rsidRPr="0042521B">
          <w:pgSz w:w="11906" w:h="16838"/>
          <w:pgMar w:top="1440" w:right="1080" w:bottom="1440" w:left="1080" w:header="851" w:footer="992" w:gutter="0"/>
          <w:cols w:space="720"/>
          <w:docGrid w:type="lines" w:linePitch="360"/>
        </w:sectPr>
      </w:pPr>
    </w:p>
    <w:p w14:paraId="4E55931D" w14:textId="36FCC181" w:rsidR="001916FA" w:rsidRPr="0042521B" w:rsidRDefault="001916FA" w:rsidP="001916FA">
      <w:pPr>
        <w:adjustRightInd w:val="0"/>
        <w:snapToGrid w:val="0"/>
        <w:spacing w:line="360" w:lineRule="auto"/>
        <w:jc w:val="both"/>
        <w:rPr>
          <w:rFonts w:ascii="Book Antiqua" w:eastAsia="Adobe 繁黑體 Std B" w:hAnsi="Book Antiqua"/>
          <w:b/>
          <w:color w:val="000000"/>
        </w:rPr>
      </w:pPr>
      <w:r w:rsidRPr="0042521B">
        <w:rPr>
          <w:rFonts w:ascii="Book Antiqua" w:eastAsia="Adobe 繁黑體 Std B" w:hAnsi="Book Antiqua"/>
          <w:b/>
          <w:bCs/>
          <w:color w:val="000000"/>
        </w:rPr>
        <w:lastRenderedPageBreak/>
        <w:t>Table</w:t>
      </w:r>
      <w:r w:rsidR="004A39D3" w:rsidRPr="0042521B">
        <w:rPr>
          <w:rFonts w:ascii="Book Antiqua" w:hAnsi="Book Antiqua" w:hint="eastAsia"/>
          <w:b/>
          <w:bCs/>
          <w:color w:val="000000"/>
          <w:lang w:eastAsia="zh-CN"/>
        </w:rPr>
        <w:t xml:space="preserve"> </w:t>
      </w:r>
      <w:r w:rsidRPr="0042521B">
        <w:rPr>
          <w:rFonts w:ascii="Book Antiqua" w:eastAsia="Adobe 繁黑體 Std B" w:hAnsi="Book Antiqua"/>
          <w:b/>
          <w:bCs/>
          <w:color w:val="000000"/>
        </w:rPr>
        <w:t>6</w:t>
      </w:r>
      <w:r w:rsidRPr="0042521B">
        <w:rPr>
          <w:rFonts w:ascii="Book Antiqua" w:eastAsia="Adobe 繁黑體 Std B" w:hAnsi="Book Antiqua"/>
          <w:color w:val="000000"/>
        </w:rPr>
        <w:t xml:space="preserve"> </w:t>
      </w:r>
      <w:r w:rsidR="004A39D3" w:rsidRPr="0042521B">
        <w:rPr>
          <w:rFonts w:ascii="Book Antiqua" w:hAnsi="Book Antiqua" w:hint="eastAsia"/>
          <w:b/>
          <w:color w:val="000000"/>
          <w:lang w:eastAsia="zh-CN"/>
        </w:rPr>
        <w:t>P</w:t>
      </w:r>
      <w:r w:rsidR="00434D46" w:rsidRPr="0042521B">
        <w:rPr>
          <w:rFonts w:ascii="Book Antiqua" w:eastAsia="Book Antiqua" w:hAnsi="Book Antiqua" w:cs="Book Antiqua"/>
          <w:b/>
          <w:color w:val="000000"/>
        </w:rPr>
        <w:t>ostoperative delayed bleeding</w:t>
      </w:r>
      <w:r w:rsidRPr="0042521B">
        <w:rPr>
          <w:rFonts w:ascii="Book Antiqua" w:eastAsia="Adobe 繁黑體 Std B" w:hAnsi="Book Antiqua"/>
          <w:b/>
          <w:color w:val="000000"/>
        </w:rPr>
        <w:t xml:space="preserve"> rate by each drug in </w:t>
      </w:r>
      <w:r w:rsidR="004A39D3" w:rsidRPr="0042521B">
        <w:rPr>
          <w:rFonts w:ascii="Book Antiqua" w:hAnsi="Book Antiqua"/>
          <w:b/>
          <w:lang w:eastAsia="zh-CN"/>
        </w:rPr>
        <w:t>third-look endoscopy</w:t>
      </w:r>
      <w:r w:rsidR="004A39D3" w:rsidRPr="0042521B">
        <w:rPr>
          <w:rFonts w:ascii="Book Antiqua" w:eastAsia="Adobe 繁黑體 Std B" w:hAnsi="Book Antiqua"/>
          <w:b/>
          <w:color w:val="000000"/>
        </w:rPr>
        <w:t xml:space="preserve"> </w:t>
      </w:r>
      <w:r w:rsidRPr="0042521B">
        <w:rPr>
          <w:rFonts w:ascii="Book Antiqua" w:eastAsia="Adobe 繁黑體 Std B" w:hAnsi="Book Antiqua"/>
          <w:b/>
          <w:color w:val="000000"/>
        </w:rPr>
        <w:t>(</w:t>
      </w:r>
      <w:r w:rsidRPr="0042521B">
        <w:rPr>
          <w:rFonts w:ascii="Book Antiqua" w:eastAsia="Adobe 繁黑體 Std B" w:hAnsi="Book Antiqua"/>
          <w:b/>
          <w:i/>
          <w:color w:val="000000"/>
        </w:rPr>
        <w:t>n</w:t>
      </w:r>
      <w:r w:rsidR="004A39D3" w:rsidRPr="0042521B">
        <w:rPr>
          <w:rFonts w:ascii="Book Antiqua" w:hAnsi="Book Antiqua" w:hint="eastAsia"/>
          <w:b/>
          <w:color w:val="000000"/>
          <w:lang w:eastAsia="zh-CN"/>
        </w:rPr>
        <w:t xml:space="preserve"> </w:t>
      </w:r>
      <w:r w:rsidRPr="0042521B">
        <w:rPr>
          <w:rFonts w:ascii="Book Antiqua" w:eastAsia="Adobe 繁黑體 Std B" w:hAnsi="Book Antiqua"/>
          <w:b/>
          <w:color w:val="000000"/>
        </w:rPr>
        <w:t>=</w:t>
      </w:r>
      <w:r w:rsidR="004A39D3" w:rsidRPr="0042521B">
        <w:rPr>
          <w:rFonts w:ascii="Book Antiqua" w:hAnsi="Book Antiqua" w:hint="eastAsia"/>
          <w:b/>
          <w:color w:val="000000"/>
          <w:lang w:eastAsia="zh-CN"/>
        </w:rPr>
        <w:t xml:space="preserve"> </w:t>
      </w:r>
      <w:r w:rsidRPr="0042521B">
        <w:rPr>
          <w:rFonts w:ascii="Book Antiqua" w:eastAsia="Adobe 繁黑體 Std B" w:hAnsi="Book Antiqua"/>
          <w:b/>
          <w:color w:val="000000"/>
        </w:rPr>
        <w:t>114) and control (</w:t>
      </w:r>
      <w:r w:rsidRPr="0042521B">
        <w:rPr>
          <w:rFonts w:ascii="Book Antiqua" w:eastAsia="Adobe 繁黑體 Std B" w:hAnsi="Book Antiqua"/>
          <w:b/>
          <w:i/>
          <w:color w:val="000000"/>
        </w:rPr>
        <w:t>n</w:t>
      </w:r>
      <w:r w:rsidR="004A39D3" w:rsidRPr="0042521B">
        <w:rPr>
          <w:rFonts w:ascii="Book Antiqua" w:hAnsi="Book Antiqua" w:hint="eastAsia"/>
          <w:b/>
          <w:color w:val="000000"/>
          <w:lang w:eastAsia="zh-CN"/>
        </w:rPr>
        <w:t xml:space="preserve"> </w:t>
      </w:r>
      <w:r w:rsidRPr="0042521B">
        <w:rPr>
          <w:rFonts w:ascii="Book Antiqua" w:eastAsia="Adobe 繁黑體 Std B" w:hAnsi="Book Antiqua"/>
          <w:b/>
          <w:color w:val="000000"/>
        </w:rPr>
        <w:t>=</w:t>
      </w:r>
      <w:r w:rsidR="004A39D3" w:rsidRPr="0042521B">
        <w:rPr>
          <w:rFonts w:ascii="Book Antiqua" w:hAnsi="Book Antiqua" w:hint="eastAsia"/>
          <w:b/>
          <w:color w:val="000000"/>
          <w:lang w:eastAsia="zh-CN"/>
        </w:rPr>
        <w:t xml:space="preserve"> </w:t>
      </w:r>
      <w:r w:rsidRPr="0042521B">
        <w:rPr>
          <w:rFonts w:ascii="Book Antiqua" w:eastAsia="Adobe 繁黑體 Std B" w:hAnsi="Book Antiqua"/>
          <w:b/>
          <w:color w:val="000000"/>
        </w:rPr>
        <w:t>132) group</w:t>
      </w:r>
    </w:p>
    <w:tbl>
      <w:tblPr>
        <w:tblpPr w:leftFromText="142" w:rightFromText="142" w:vertAnchor="page" w:horzAnchor="margin" w:tblpXSpec="center" w:tblpY="2176"/>
        <w:tblW w:w="14536" w:type="dxa"/>
        <w:tblLayout w:type="fixed"/>
        <w:tblCellMar>
          <w:left w:w="99" w:type="dxa"/>
          <w:right w:w="99" w:type="dxa"/>
        </w:tblCellMar>
        <w:tblLook w:val="04A0" w:firstRow="1" w:lastRow="0" w:firstColumn="1" w:lastColumn="0" w:noHBand="0" w:noVBand="1"/>
      </w:tblPr>
      <w:tblGrid>
        <w:gridCol w:w="4016"/>
        <w:gridCol w:w="1752"/>
        <w:gridCol w:w="1754"/>
        <w:gridCol w:w="1753"/>
        <w:gridCol w:w="1753"/>
        <w:gridCol w:w="1753"/>
        <w:gridCol w:w="1755"/>
      </w:tblGrid>
      <w:tr w:rsidR="001916FA" w:rsidRPr="0042521B" w14:paraId="541194FC" w14:textId="77777777" w:rsidTr="00434D46">
        <w:trPr>
          <w:trHeight w:val="358"/>
        </w:trPr>
        <w:tc>
          <w:tcPr>
            <w:tcW w:w="4016" w:type="dxa"/>
            <w:vMerge w:val="restart"/>
            <w:tcBorders>
              <w:top w:val="single" w:sz="12" w:space="0" w:color="auto"/>
              <w:left w:val="nil"/>
              <w:bottom w:val="single" w:sz="4" w:space="0" w:color="000000"/>
              <w:right w:val="nil"/>
            </w:tcBorders>
            <w:vAlign w:val="center"/>
            <w:hideMark/>
          </w:tcPr>
          <w:p w14:paraId="43F9B04D" w14:textId="5DCE0E57" w:rsidR="001916FA" w:rsidRPr="0042521B" w:rsidRDefault="001916FA" w:rsidP="00434D46">
            <w:pPr>
              <w:adjustRightInd w:val="0"/>
              <w:snapToGrid w:val="0"/>
              <w:spacing w:line="360" w:lineRule="auto"/>
              <w:jc w:val="both"/>
              <w:rPr>
                <w:rFonts w:ascii="Book Antiqua" w:hAnsi="Book Antiqua"/>
                <w:b/>
                <w:lang w:eastAsia="zh-CN"/>
              </w:rPr>
            </w:pPr>
          </w:p>
        </w:tc>
        <w:tc>
          <w:tcPr>
            <w:tcW w:w="3506" w:type="dxa"/>
            <w:gridSpan w:val="2"/>
            <w:tcBorders>
              <w:top w:val="single" w:sz="12" w:space="0" w:color="auto"/>
              <w:left w:val="nil"/>
              <w:bottom w:val="single" w:sz="4" w:space="0" w:color="auto"/>
              <w:right w:val="nil"/>
            </w:tcBorders>
            <w:vAlign w:val="center"/>
            <w:hideMark/>
          </w:tcPr>
          <w:p w14:paraId="5CED61F9"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Overall</w:t>
            </w:r>
          </w:p>
        </w:tc>
        <w:tc>
          <w:tcPr>
            <w:tcW w:w="3506" w:type="dxa"/>
            <w:gridSpan w:val="2"/>
            <w:tcBorders>
              <w:top w:val="single" w:sz="12" w:space="0" w:color="auto"/>
              <w:left w:val="nil"/>
              <w:bottom w:val="single" w:sz="4" w:space="0" w:color="auto"/>
              <w:right w:val="nil"/>
            </w:tcBorders>
            <w:vAlign w:val="center"/>
            <w:hideMark/>
          </w:tcPr>
          <w:p w14:paraId="19D46BCB"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E-PDB</w:t>
            </w:r>
          </w:p>
        </w:tc>
        <w:tc>
          <w:tcPr>
            <w:tcW w:w="3508" w:type="dxa"/>
            <w:gridSpan w:val="2"/>
            <w:tcBorders>
              <w:top w:val="single" w:sz="12" w:space="0" w:color="auto"/>
              <w:left w:val="nil"/>
              <w:bottom w:val="single" w:sz="4" w:space="0" w:color="auto"/>
              <w:right w:val="nil"/>
            </w:tcBorders>
            <w:noWrap/>
            <w:vAlign w:val="center"/>
            <w:hideMark/>
          </w:tcPr>
          <w:p w14:paraId="05381887"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L-PDB</w:t>
            </w:r>
          </w:p>
        </w:tc>
      </w:tr>
      <w:tr w:rsidR="001916FA" w:rsidRPr="0042521B" w14:paraId="6BFA893F" w14:textId="77777777" w:rsidTr="00434D46">
        <w:trPr>
          <w:trHeight w:val="358"/>
        </w:trPr>
        <w:tc>
          <w:tcPr>
            <w:tcW w:w="4016" w:type="dxa"/>
            <w:vMerge/>
            <w:tcBorders>
              <w:top w:val="single" w:sz="12" w:space="0" w:color="auto"/>
              <w:left w:val="nil"/>
              <w:bottom w:val="single" w:sz="4" w:space="0" w:color="000000"/>
              <w:right w:val="nil"/>
            </w:tcBorders>
            <w:vAlign w:val="center"/>
            <w:hideMark/>
          </w:tcPr>
          <w:p w14:paraId="418D6C40" w14:textId="77777777" w:rsidR="001916FA" w:rsidRPr="0042521B" w:rsidRDefault="001916FA" w:rsidP="00434D46">
            <w:pPr>
              <w:adjustRightInd w:val="0"/>
              <w:snapToGrid w:val="0"/>
              <w:spacing w:line="360" w:lineRule="auto"/>
              <w:jc w:val="both"/>
              <w:rPr>
                <w:rFonts w:ascii="Book Antiqua" w:eastAsia="Adobe 繁黑體 Std B" w:hAnsi="Book Antiqua"/>
                <w:b/>
              </w:rPr>
            </w:pPr>
          </w:p>
        </w:tc>
        <w:tc>
          <w:tcPr>
            <w:tcW w:w="1752" w:type="dxa"/>
            <w:tcBorders>
              <w:top w:val="nil"/>
              <w:left w:val="nil"/>
              <w:bottom w:val="single" w:sz="4" w:space="0" w:color="auto"/>
              <w:right w:val="nil"/>
            </w:tcBorders>
            <w:noWrap/>
            <w:vAlign w:val="center"/>
            <w:hideMark/>
          </w:tcPr>
          <w:p w14:paraId="697EB1E2"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TLE</w:t>
            </w:r>
          </w:p>
        </w:tc>
        <w:tc>
          <w:tcPr>
            <w:tcW w:w="1754" w:type="dxa"/>
            <w:tcBorders>
              <w:top w:val="nil"/>
              <w:left w:val="nil"/>
              <w:bottom w:val="single" w:sz="4" w:space="0" w:color="auto"/>
              <w:right w:val="nil"/>
            </w:tcBorders>
            <w:noWrap/>
            <w:vAlign w:val="center"/>
            <w:hideMark/>
          </w:tcPr>
          <w:p w14:paraId="3C7B14C0"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Control</w:t>
            </w:r>
          </w:p>
        </w:tc>
        <w:tc>
          <w:tcPr>
            <w:tcW w:w="1753" w:type="dxa"/>
            <w:tcBorders>
              <w:top w:val="nil"/>
              <w:left w:val="nil"/>
              <w:bottom w:val="single" w:sz="4" w:space="0" w:color="auto"/>
              <w:right w:val="nil"/>
            </w:tcBorders>
            <w:noWrap/>
            <w:vAlign w:val="center"/>
            <w:hideMark/>
          </w:tcPr>
          <w:p w14:paraId="58D7E7EF"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TLE</w:t>
            </w:r>
          </w:p>
        </w:tc>
        <w:tc>
          <w:tcPr>
            <w:tcW w:w="1753" w:type="dxa"/>
            <w:tcBorders>
              <w:top w:val="nil"/>
              <w:left w:val="nil"/>
              <w:bottom w:val="single" w:sz="4" w:space="0" w:color="auto"/>
              <w:right w:val="nil"/>
            </w:tcBorders>
            <w:noWrap/>
            <w:vAlign w:val="center"/>
            <w:hideMark/>
          </w:tcPr>
          <w:p w14:paraId="6DE9A206"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Control</w:t>
            </w:r>
          </w:p>
        </w:tc>
        <w:tc>
          <w:tcPr>
            <w:tcW w:w="1753" w:type="dxa"/>
            <w:tcBorders>
              <w:top w:val="nil"/>
              <w:left w:val="nil"/>
              <w:bottom w:val="single" w:sz="4" w:space="0" w:color="auto"/>
              <w:right w:val="nil"/>
            </w:tcBorders>
            <w:noWrap/>
            <w:vAlign w:val="center"/>
            <w:hideMark/>
          </w:tcPr>
          <w:p w14:paraId="36F9B717"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TLE</w:t>
            </w:r>
          </w:p>
        </w:tc>
        <w:tc>
          <w:tcPr>
            <w:tcW w:w="1755" w:type="dxa"/>
            <w:tcBorders>
              <w:top w:val="nil"/>
              <w:left w:val="nil"/>
              <w:bottom w:val="single" w:sz="4" w:space="0" w:color="auto"/>
              <w:right w:val="nil"/>
            </w:tcBorders>
            <w:noWrap/>
            <w:vAlign w:val="center"/>
            <w:hideMark/>
          </w:tcPr>
          <w:p w14:paraId="24F1D163" w14:textId="77777777" w:rsidR="001916FA" w:rsidRPr="0042521B" w:rsidRDefault="001916FA" w:rsidP="00434D46">
            <w:pPr>
              <w:adjustRightInd w:val="0"/>
              <w:snapToGrid w:val="0"/>
              <w:spacing w:line="360" w:lineRule="auto"/>
              <w:jc w:val="both"/>
              <w:rPr>
                <w:rFonts w:ascii="Book Antiqua" w:eastAsia="Adobe 繁黑體 Std B" w:hAnsi="Book Antiqua"/>
                <w:b/>
              </w:rPr>
            </w:pPr>
            <w:r w:rsidRPr="0042521B">
              <w:rPr>
                <w:rFonts w:ascii="Book Antiqua" w:eastAsia="Adobe 繁黑體 Std B" w:hAnsi="Book Antiqua"/>
                <w:b/>
              </w:rPr>
              <w:t>Control</w:t>
            </w:r>
          </w:p>
        </w:tc>
      </w:tr>
      <w:tr w:rsidR="001916FA" w:rsidRPr="0042521B" w14:paraId="64F488C5" w14:textId="77777777" w:rsidTr="00434D46">
        <w:trPr>
          <w:trHeight w:val="358"/>
        </w:trPr>
        <w:tc>
          <w:tcPr>
            <w:tcW w:w="4016" w:type="dxa"/>
            <w:noWrap/>
            <w:vAlign w:val="center"/>
            <w:hideMark/>
          </w:tcPr>
          <w:p w14:paraId="05701E44" w14:textId="77777777" w:rsidR="001916FA" w:rsidRPr="0042521B" w:rsidRDefault="001916FA" w:rsidP="00434D46">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Aspirin, % (</w:t>
            </w:r>
            <w:r w:rsidRPr="0042521B">
              <w:rPr>
                <w:rFonts w:ascii="Book Antiqua" w:eastAsia="Adobe 繁黑體 Std B" w:hAnsi="Book Antiqua"/>
                <w:bCs/>
                <w:i/>
                <w:color w:val="000000"/>
              </w:rPr>
              <w:t>n</w:t>
            </w:r>
            <w:r w:rsidRPr="0042521B">
              <w:rPr>
                <w:rFonts w:ascii="Book Antiqua" w:eastAsia="Adobe 繁黑體 Std B" w:hAnsi="Book Antiqua"/>
                <w:bCs/>
                <w:color w:val="000000"/>
              </w:rPr>
              <w:t>)</w:t>
            </w:r>
          </w:p>
        </w:tc>
        <w:tc>
          <w:tcPr>
            <w:tcW w:w="1752" w:type="dxa"/>
            <w:vAlign w:val="center"/>
            <w:hideMark/>
          </w:tcPr>
          <w:p w14:paraId="3945CB3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6.0 (3/50)</w:t>
            </w:r>
          </w:p>
        </w:tc>
        <w:tc>
          <w:tcPr>
            <w:tcW w:w="1754" w:type="dxa"/>
            <w:noWrap/>
            <w:vAlign w:val="center"/>
            <w:hideMark/>
          </w:tcPr>
          <w:p w14:paraId="4592569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3.4 (2/59)</w:t>
            </w:r>
          </w:p>
        </w:tc>
        <w:tc>
          <w:tcPr>
            <w:tcW w:w="1753" w:type="dxa"/>
            <w:noWrap/>
            <w:vAlign w:val="center"/>
            <w:hideMark/>
          </w:tcPr>
          <w:p w14:paraId="1A100B77"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2.0 (1/50)</w:t>
            </w:r>
          </w:p>
        </w:tc>
        <w:tc>
          <w:tcPr>
            <w:tcW w:w="1753" w:type="dxa"/>
            <w:noWrap/>
            <w:vAlign w:val="center"/>
            <w:hideMark/>
          </w:tcPr>
          <w:p w14:paraId="7494815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3.4 (2/59)</w:t>
            </w:r>
          </w:p>
        </w:tc>
        <w:tc>
          <w:tcPr>
            <w:tcW w:w="1753" w:type="dxa"/>
            <w:noWrap/>
            <w:vAlign w:val="center"/>
            <w:hideMark/>
          </w:tcPr>
          <w:p w14:paraId="0032A76C"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4.0 (2/50)</w:t>
            </w:r>
          </w:p>
        </w:tc>
        <w:tc>
          <w:tcPr>
            <w:tcW w:w="1755" w:type="dxa"/>
            <w:noWrap/>
            <w:vAlign w:val="center"/>
            <w:hideMark/>
          </w:tcPr>
          <w:p w14:paraId="324D925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(0/59)</w:t>
            </w:r>
          </w:p>
        </w:tc>
      </w:tr>
      <w:tr w:rsidR="001916FA" w:rsidRPr="0042521B" w14:paraId="18B63726" w14:textId="77777777" w:rsidTr="00434D46">
        <w:trPr>
          <w:trHeight w:val="358"/>
        </w:trPr>
        <w:tc>
          <w:tcPr>
            <w:tcW w:w="4016" w:type="dxa"/>
            <w:noWrap/>
            <w:vAlign w:val="center"/>
            <w:hideMark/>
          </w:tcPr>
          <w:p w14:paraId="142FE262" w14:textId="77777777" w:rsidR="001916FA" w:rsidRPr="0042521B" w:rsidRDefault="001916FA" w:rsidP="00434D46">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Thienopyridine, % (</w:t>
            </w:r>
            <w:r w:rsidRPr="0042521B">
              <w:rPr>
                <w:rFonts w:ascii="Book Antiqua" w:eastAsia="Adobe 繁黑體 Std B" w:hAnsi="Book Antiqua"/>
                <w:bCs/>
                <w:i/>
                <w:color w:val="000000"/>
              </w:rPr>
              <w:t>n</w:t>
            </w:r>
            <w:r w:rsidRPr="0042521B">
              <w:rPr>
                <w:rFonts w:ascii="Book Antiqua" w:eastAsia="Adobe 繁黑體 Std B" w:hAnsi="Book Antiqua"/>
                <w:bCs/>
                <w:color w:val="000000"/>
              </w:rPr>
              <w:t>)</w:t>
            </w:r>
          </w:p>
        </w:tc>
        <w:tc>
          <w:tcPr>
            <w:tcW w:w="1752" w:type="dxa"/>
            <w:noWrap/>
            <w:vAlign w:val="center"/>
            <w:hideMark/>
          </w:tcPr>
          <w:p w14:paraId="0C0C83E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8.3 (1/12)</w:t>
            </w:r>
          </w:p>
        </w:tc>
        <w:tc>
          <w:tcPr>
            <w:tcW w:w="1754" w:type="dxa"/>
            <w:noWrap/>
            <w:vAlign w:val="center"/>
            <w:hideMark/>
          </w:tcPr>
          <w:p w14:paraId="572CCE2B"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9.1 (1/11)</w:t>
            </w:r>
          </w:p>
        </w:tc>
        <w:tc>
          <w:tcPr>
            <w:tcW w:w="1753" w:type="dxa"/>
            <w:noWrap/>
            <w:vAlign w:val="center"/>
            <w:hideMark/>
          </w:tcPr>
          <w:p w14:paraId="6CEE29A0"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(0/12)</w:t>
            </w:r>
          </w:p>
        </w:tc>
        <w:tc>
          <w:tcPr>
            <w:tcW w:w="1753" w:type="dxa"/>
            <w:noWrap/>
            <w:vAlign w:val="center"/>
            <w:hideMark/>
          </w:tcPr>
          <w:p w14:paraId="07BFCF7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(0/11)</w:t>
            </w:r>
          </w:p>
        </w:tc>
        <w:tc>
          <w:tcPr>
            <w:tcW w:w="1753" w:type="dxa"/>
            <w:noWrap/>
            <w:vAlign w:val="center"/>
            <w:hideMark/>
          </w:tcPr>
          <w:p w14:paraId="648606A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8.3 (1/12)</w:t>
            </w:r>
          </w:p>
        </w:tc>
        <w:tc>
          <w:tcPr>
            <w:tcW w:w="1755" w:type="dxa"/>
            <w:noWrap/>
            <w:vAlign w:val="center"/>
            <w:hideMark/>
          </w:tcPr>
          <w:p w14:paraId="04BB18E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9.1 (1/11)</w:t>
            </w:r>
          </w:p>
        </w:tc>
      </w:tr>
      <w:tr w:rsidR="001916FA" w:rsidRPr="0042521B" w14:paraId="5DF3183C" w14:textId="77777777" w:rsidTr="00434D46">
        <w:trPr>
          <w:trHeight w:val="358"/>
        </w:trPr>
        <w:tc>
          <w:tcPr>
            <w:tcW w:w="4016" w:type="dxa"/>
            <w:noWrap/>
            <w:vAlign w:val="center"/>
            <w:hideMark/>
          </w:tcPr>
          <w:p w14:paraId="216E6441" w14:textId="77777777" w:rsidR="001916FA" w:rsidRPr="0042521B" w:rsidRDefault="001916FA" w:rsidP="00434D46">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Cilostazol, % (</w:t>
            </w:r>
            <w:r w:rsidRPr="0042521B">
              <w:rPr>
                <w:rFonts w:ascii="Book Antiqua" w:eastAsia="Adobe 繁黑體 Std B" w:hAnsi="Book Antiqua"/>
                <w:bCs/>
                <w:i/>
                <w:color w:val="000000"/>
              </w:rPr>
              <w:t>n</w:t>
            </w:r>
            <w:r w:rsidRPr="0042521B">
              <w:rPr>
                <w:rFonts w:ascii="Book Antiqua" w:eastAsia="Adobe 繁黑體 Std B" w:hAnsi="Book Antiqua"/>
                <w:bCs/>
                <w:color w:val="000000"/>
              </w:rPr>
              <w:t>)</w:t>
            </w:r>
          </w:p>
        </w:tc>
        <w:tc>
          <w:tcPr>
            <w:tcW w:w="1752" w:type="dxa"/>
            <w:noWrap/>
            <w:vAlign w:val="center"/>
            <w:hideMark/>
          </w:tcPr>
          <w:p w14:paraId="2308D4F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(0/6)</w:t>
            </w:r>
          </w:p>
        </w:tc>
        <w:tc>
          <w:tcPr>
            <w:tcW w:w="1754" w:type="dxa"/>
            <w:noWrap/>
            <w:vAlign w:val="center"/>
            <w:hideMark/>
          </w:tcPr>
          <w:p w14:paraId="24DF399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(0/14)</w:t>
            </w:r>
          </w:p>
        </w:tc>
        <w:tc>
          <w:tcPr>
            <w:tcW w:w="1753" w:type="dxa"/>
            <w:noWrap/>
            <w:vAlign w:val="center"/>
            <w:hideMark/>
          </w:tcPr>
          <w:p w14:paraId="22B1F7C1"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(0/6)</w:t>
            </w:r>
          </w:p>
        </w:tc>
        <w:tc>
          <w:tcPr>
            <w:tcW w:w="1753" w:type="dxa"/>
            <w:noWrap/>
            <w:vAlign w:val="center"/>
            <w:hideMark/>
          </w:tcPr>
          <w:p w14:paraId="207A780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(0/14)</w:t>
            </w:r>
          </w:p>
        </w:tc>
        <w:tc>
          <w:tcPr>
            <w:tcW w:w="1753" w:type="dxa"/>
            <w:noWrap/>
            <w:vAlign w:val="center"/>
            <w:hideMark/>
          </w:tcPr>
          <w:p w14:paraId="155BD1B5"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(0/6)</w:t>
            </w:r>
          </w:p>
        </w:tc>
        <w:tc>
          <w:tcPr>
            <w:tcW w:w="1755" w:type="dxa"/>
            <w:noWrap/>
            <w:vAlign w:val="center"/>
            <w:hideMark/>
          </w:tcPr>
          <w:p w14:paraId="7E88B77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(0/14)</w:t>
            </w:r>
          </w:p>
        </w:tc>
      </w:tr>
      <w:tr w:rsidR="001916FA" w:rsidRPr="0042521B" w14:paraId="10B1DCAE" w14:textId="77777777" w:rsidTr="00434D46">
        <w:trPr>
          <w:trHeight w:val="358"/>
        </w:trPr>
        <w:tc>
          <w:tcPr>
            <w:tcW w:w="4016" w:type="dxa"/>
            <w:noWrap/>
            <w:vAlign w:val="center"/>
            <w:hideMark/>
          </w:tcPr>
          <w:p w14:paraId="51F5A511" w14:textId="77777777" w:rsidR="001916FA" w:rsidRPr="0042521B" w:rsidRDefault="001916FA" w:rsidP="00434D46">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Warfarin, % (</w:t>
            </w:r>
            <w:r w:rsidRPr="0042521B">
              <w:rPr>
                <w:rFonts w:ascii="Book Antiqua" w:eastAsia="Adobe 繁黑體 Std B" w:hAnsi="Book Antiqua"/>
                <w:bCs/>
                <w:i/>
                <w:color w:val="000000"/>
              </w:rPr>
              <w:t>n</w:t>
            </w:r>
            <w:r w:rsidRPr="0042521B">
              <w:rPr>
                <w:rFonts w:ascii="Book Antiqua" w:eastAsia="Adobe 繁黑體 Std B" w:hAnsi="Book Antiqua"/>
                <w:bCs/>
                <w:color w:val="000000"/>
              </w:rPr>
              <w:t>)</w:t>
            </w:r>
          </w:p>
        </w:tc>
        <w:tc>
          <w:tcPr>
            <w:tcW w:w="1752" w:type="dxa"/>
            <w:noWrap/>
            <w:vAlign w:val="center"/>
            <w:hideMark/>
          </w:tcPr>
          <w:p w14:paraId="57CA4CE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(0/3)</w:t>
            </w:r>
          </w:p>
        </w:tc>
        <w:tc>
          <w:tcPr>
            <w:tcW w:w="1754" w:type="dxa"/>
            <w:noWrap/>
            <w:vAlign w:val="center"/>
            <w:hideMark/>
          </w:tcPr>
          <w:p w14:paraId="06F4F79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w:t>
            </w:r>
          </w:p>
        </w:tc>
        <w:tc>
          <w:tcPr>
            <w:tcW w:w="1753" w:type="dxa"/>
            <w:noWrap/>
            <w:vAlign w:val="center"/>
            <w:hideMark/>
          </w:tcPr>
          <w:p w14:paraId="7ECAFBC5"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(0/3)</w:t>
            </w:r>
          </w:p>
        </w:tc>
        <w:tc>
          <w:tcPr>
            <w:tcW w:w="1753" w:type="dxa"/>
            <w:noWrap/>
            <w:vAlign w:val="center"/>
            <w:hideMark/>
          </w:tcPr>
          <w:p w14:paraId="4C29C34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w:t>
            </w:r>
          </w:p>
        </w:tc>
        <w:tc>
          <w:tcPr>
            <w:tcW w:w="1753" w:type="dxa"/>
            <w:noWrap/>
            <w:vAlign w:val="center"/>
            <w:hideMark/>
          </w:tcPr>
          <w:p w14:paraId="7936623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(0/3)</w:t>
            </w:r>
          </w:p>
        </w:tc>
        <w:tc>
          <w:tcPr>
            <w:tcW w:w="1755" w:type="dxa"/>
            <w:noWrap/>
            <w:vAlign w:val="center"/>
            <w:hideMark/>
          </w:tcPr>
          <w:p w14:paraId="36630B3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w:t>
            </w:r>
          </w:p>
        </w:tc>
      </w:tr>
      <w:tr w:rsidR="001916FA" w:rsidRPr="0042521B" w14:paraId="38020B95" w14:textId="77777777" w:rsidTr="00434D46">
        <w:trPr>
          <w:trHeight w:val="358"/>
        </w:trPr>
        <w:tc>
          <w:tcPr>
            <w:tcW w:w="4016" w:type="dxa"/>
            <w:noWrap/>
            <w:vAlign w:val="center"/>
            <w:hideMark/>
          </w:tcPr>
          <w:p w14:paraId="126BAC52" w14:textId="0FA5F0A1" w:rsidR="001916FA" w:rsidRPr="0042521B" w:rsidRDefault="00C45AFE" w:rsidP="00434D46">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DOAC</w:t>
            </w:r>
            <w:r w:rsidR="001916FA" w:rsidRPr="0042521B">
              <w:rPr>
                <w:rFonts w:ascii="Book Antiqua" w:eastAsia="Adobe 繁黑體 Std B" w:hAnsi="Book Antiqua"/>
                <w:bCs/>
                <w:color w:val="000000"/>
              </w:rPr>
              <w:t>, % (</w:t>
            </w:r>
            <w:r w:rsidR="001916FA" w:rsidRPr="0042521B">
              <w:rPr>
                <w:rFonts w:ascii="Book Antiqua" w:eastAsia="Adobe 繁黑體 Std B" w:hAnsi="Book Antiqua"/>
                <w:bCs/>
                <w:i/>
                <w:color w:val="000000"/>
              </w:rPr>
              <w:t>n</w:t>
            </w:r>
            <w:r w:rsidR="001916FA" w:rsidRPr="0042521B">
              <w:rPr>
                <w:rFonts w:ascii="Book Antiqua" w:eastAsia="Adobe 繁黑體 Std B" w:hAnsi="Book Antiqua"/>
                <w:bCs/>
                <w:color w:val="000000"/>
              </w:rPr>
              <w:t>)</w:t>
            </w:r>
          </w:p>
        </w:tc>
        <w:tc>
          <w:tcPr>
            <w:tcW w:w="1752" w:type="dxa"/>
            <w:noWrap/>
            <w:vAlign w:val="center"/>
            <w:hideMark/>
          </w:tcPr>
          <w:p w14:paraId="47BE869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13.0 (3/23)</w:t>
            </w:r>
          </w:p>
        </w:tc>
        <w:tc>
          <w:tcPr>
            <w:tcW w:w="1754" w:type="dxa"/>
            <w:noWrap/>
            <w:vAlign w:val="center"/>
            <w:hideMark/>
          </w:tcPr>
          <w:p w14:paraId="733EA05A"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23.1 (3/13)</w:t>
            </w:r>
          </w:p>
        </w:tc>
        <w:tc>
          <w:tcPr>
            <w:tcW w:w="1753" w:type="dxa"/>
            <w:noWrap/>
            <w:vAlign w:val="center"/>
            <w:hideMark/>
          </w:tcPr>
          <w:p w14:paraId="449A97CD"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4.3 (1/23)</w:t>
            </w:r>
          </w:p>
        </w:tc>
        <w:tc>
          <w:tcPr>
            <w:tcW w:w="1753" w:type="dxa"/>
            <w:noWrap/>
            <w:vAlign w:val="center"/>
            <w:hideMark/>
          </w:tcPr>
          <w:p w14:paraId="79BE7E18"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0 (0/13)</w:t>
            </w:r>
          </w:p>
        </w:tc>
        <w:tc>
          <w:tcPr>
            <w:tcW w:w="1753" w:type="dxa"/>
            <w:noWrap/>
            <w:vAlign w:val="center"/>
            <w:hideMark/>
          </w:tcPr>
          <w:p w14:paraId="1BF84AC5"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8.7 (2/23)</w:t>
            </w:r>
          </w:p>
        </w:tc>
        <w:tc>
          <w:tcPr>
            <w:tcW w:w="1755" w:type="dxa"/>
            <w:noWrap/>
            <w:vAlign w:val="center"/>
            <w:hideMark/>
          </w:tcPr>
          <w:p w14:paraId="1F591832"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23.1 (3/13)</w:t>
            </w:r>
          </w:p>
        </w:tc>
      </w:tr>
      <w:tr w:rsidR="001916FA" w:rsidRPr="0042521B" w14:paraId="76C7B6FA" w14:textId="77777777" w:rsidTr="00434D46">
        <w:trPr>
          <w:trHeight w:val="358"/>
        </w:trPr>
        <w:tc>
          <w:tcPr>
            <w:tcW w:w="4016" w:type="dxa"/>
            <w:tcBorders>
              <w:top w:val="nil"/>
              <w:left w:val="nil"/>
              <w:bottom w:val="single" w:sz="12" w:space="0" w:color="auto"/>
              <w:right w:val="nil"/>
            </w:tcBorders>
            <w:noWrap/>
            <w:vAlign w:val="center"/>
            <w:hideMark/>
          </w:tcPr>
          <w:p w14:paraId="41832FAA" w14:textId="77777777" w:rsidR="001916FA" w:rsidRPr="0042521B" w:rsidRDefault="001916FA" w:rsidP="00434D46">
            <w:pPr>
              <w:adjustRightInd w:val="0"/>
              <w:snapToGrid w:val="0"/>
              <w:spacing w:line="360" w:lineRule="auto"/>
              <w:jc w:val="both"/>
              <w:rPr>
                <w:rFonts w:ascii="Book Antiqua" w:eastAsia="Adobe 繁黑體 Std B" w:hAnsi="Book Antiqua"/>
                <w:bCs/>
                <w:color w:val="000000"/>
              </w:rPr>
            </w:pPr>
            <w:r w:rsidRPr="0042521B">
              <w:rPr>
                <w:rFonts w:ascii="Book Antiqua" w:eastAsia="Adobe 繁黑體 Std B" w:hAnsi="Book Antiqua"/>
                <w:bCs/>
                <w:color w:val="000000"/>
              </w:rPr>
              <w:t>Multiple antithrombotic agents, % (</w:t>
            </w:r>
            <w:r w:rsidRPr="0042521B">
              <w:rPr>
                <w:rFonts w:ascii="Book Antiqua" w:eastAsia="Adobe 繁黑體 Std B" w:hAnsi="Book Antiqua"/>
                <w:bCs/>
                <w:i/>
                <w:color w:val="000000"/>
              </w:rPr>
              <w:t>n</w:t>
            </w:r>
            <w:r w:rsidRPr="0042521B">
              <w:rPr>
                <w:rFonts w:ascii="Book Antiqua" w:eastAsia="Adobe 繁黑體 Std B" w:hAnsi="Book Antiqua"/>
                <w:bCs/>
                <w:color w:val="000000"/>
              </w:rPr>
              <w:t>)</w:t>
            </w:r>
          </w:p>
        </w:tc>
        <w:tc>
          <w:tcPr>
            <w:tcW w:w="1752" w:type="dxa"/>
            <w:tcBorders>
              <w:top w:val="nil"/>
              <w:left w:val="nil"/>
              <w:bottom w:val="single" w:sz="12" w:space="0" w:color="auto"/>
              <w:right w:val="nil"/>
            </w:tcBorders>
            <w:noWrap/>
            <w:vAlign w:val="center"/>
            <w:hideMark/>
          </w:tcPr>
          <w:p w14:paraId="60C8731C"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10.0 (2/20)</w:t>
            </w:r>
          </w:p>
        </w:tc>
        <w:tc>
          <w:tcPr>
            <w:tcW w:w="1754" w:type="dxa"/>
            <w:tcBorders>
              <w:top w:val="nil"/>
              <w:left w:val="nil"/>
              <w:bottom w:val="single" w:sz="12" w:space="0" w:color="auto"/>
              <w:right w:val="nil"/>
            </w:tcBorders>
            <w:noWrap/>
            <w:vAlign w:val="center"/>
            <w:hideMark/>
          </w:tcPr>
          <w:p w14:paraId="04F4D7A9"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32.4 (11/34)</w:t>
            </w:r>
          </w:p>
        </w:tc>
        <w:tc>
          <w:tcPr>
            <w:tcW w:w="1753" w:type="dxa"/>
            <w:tcBorders>
              <w:top w:val="nil"/>
              <w:left w:val="nil"/>
              <w:bottom w:val="single" w:sz="12" w:space="0" w:color="auto"/>
              <w:right w:val="nil"/>
            </w:tcBorders>
            <w:noWrap/>
            <w:vAlign w:val="center"/>
            <w:hideMark/>
          </w:tcPr>
          <w:p w14:paraId="400223BE"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5.0(1/20)</w:t>
            </w:r>
          </w:p>
        </w:tc>
        <w:tc>
          <w:tcPr>
            <w:tcW w:w="1753" w:type="dxa"/>
            <w:tcBorders>
              <w:top w:val="nil"/>
              <w:left w:val="nil"/>
              <w:bottom w:val="single" w:sz="12" w:space="0" w:color="auto"/>
              <w:right w:val="nil"/>
            </w:tcBorders>
            <w:noWrap/>
            <w:vAlign w:val="center"/>
            <w:hideMark/>
          </w:tcPr>
          <w:p w14:paraId="2D221674"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2.9 (1/34)</w:t>
            </w:r>
          </w:p>
        </w:tc>
        <w:tc>
          <w:tcPr>
            <w:tcW w:w="1753" w:type="dxa"/>
            <w:tcBorders>
              <w:top w:val="nil"/>
              <w:left w:val="nil"/>
              <w:bottom w:val="single" w:sz="12" w:space="0" w:color="auto"/>
              <w:right w:val="nil"/>
            </w:tcBorders>
            <w:noWrap/>
            <w:vAlign w:val="center"/>
            <w:hideMark/>
          </w:tcPr>
          <w:p w14:paraId="0FC41F3C"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5.0 (1/20)</w:t>
            </w:r>
          </w:p>
        </w:tc>
        <w:tc>
          <w:tcPr>
            <w:tcW w:w="1755" w:type="dxa"/>
            <w:tcBorders>
              <w:top w:val="nil"/>
              <w:left w:val="nil"/>
              <w:bottom w:val="single" w:sz="12" w:space="0" w:color="auto"/>
              <w:right w:val="nil"/>
            </w:tcBorders>
            <w:noWrap/>
            <w:vAlign w:val="center"/>
            <w:hideMark/>
          </w:tcPr>
          <w:p w14:paraId="71EEF206" w14:textId="77777777" w:rsidR="001916FA" w:rsidRPr="0042521B" w:rsidRDefault="001916FA" w:rsidP="00434D46">
            <w:pPr>
              <w:adjustRightInd w:val="0"/>
              <w:snapToGrid w:val="0"/>
              <w:spacing w:line="360" w:lineRule="auto"/>
              <w:jc w:val="both"/>
              <w:rPr>
                <w:rFonts w:ascii="Book Antiqua" w:eastAsia="Adobe 繁黑體 Std B" w:hAnsi="Book Antiqua"/>
              </w:rPr>
            </w:pPr>
            <w:r w:rsidRPr="0042521B">
              <w:rPr>
                <w:rFonts w:ascii="Book Antiqua" w:eastAsia="Adobe 繁黑體 Std B" w:hAnsi="Book Antiqua"/>
              </w:rPr>
              <w:t>29.4 (10/34)</w:t>
            </w:r>
          </w:p>
        </w:tc>
      </w:tr>
    </w:tbl>
    <w:p w14:paraId="2C15E2E1" w14:textId="1595BF77" w:rsidR="00C9592D" w:rsidRPr="00AE2DD2" w:rsidRDefault="00C45AFE" w:rsidP="00AE2DD2">
      <w:pPr>
        <w:adjustRightInd w:val="0"/>
        <w:snapToGrid w:val="0"/>
        <w:spacing w:line="360" w:lineRule="auto"/>
        <w:jc w:val="both"/>
        <w:rPr>
          <w:rFonts w:ascii="Book Antiqua" w:hAnsi="Book Antiqua"/>
          <w:color w:val="000000"/>
          <w:lang w:eastAsia="zh-CN"/>
        </w:rPr>
      </w:pPr>
      <w:r w:rsidRPr="0042521B">
        <w:rPr>
          <w:rFonts w:ascii="Book Antiqua" w:hAnsi="Book Antiqua"/>
          <w:lang w:eastAsia="zh-CN"/>
        </w:rPr>
        <w:t>TLE: Third-look endoscopy;</w:t>
      </w:r>
      <w:r w:rsidRPr="0042521B">
        <w:rPr>
          <w:rFonts w:ascii="Book Antiqua" w:eastAsia="Adobe 繁黑體 Std B" w:hAnsi="Book Antiqua"/>
        </w:rPr>
        <w:t xml:space="preserve"> </w:t>
      </w:r>
      <w:r w:rsidR="00434D46" w:rsidRPr="0042521B">
        <w:rPr>
          <w:rFonts w:ascii="Book Antiqua" w:hAnsi="Book Antiqua" w:hint="eastAsia"/>
          <w:color w:val="000000"/>
          <w:lang w:eastAsia="zh-CN"/>
        </w:rPr>
        <w:t xml:space="preserve">PDB: </w:t>
      </w:r>
      <w:r w:rsidR="00434D46" w:rsidRPr="0042521B">
        <w:rPr>
          <w:rFonts w:ascii="Book Antiqua" w:eastAsia="Book Antiqua" w:hAnsi="Book Antiqua" w:cs="Book Antiqua"/>
          <w:color w:val="000000"/>
        </w:rPr>
        <w:t>Postoperative delayed bleeding</w:t>
      </w:r>
      <w:r w:rsidRPr="0042521B">
        <w:rPr>
          <w:rFonts w:ascii="Book Antiqua" w:hAnsi="Book Antiqua" w:cs="Book Antiqua" w:hint="eastAsia"/>
          <w:color w:val="000000"/>
          <w:lang w:eastAsia="zh-CN"/>
        </w:rPr>
        <w:t>;</w:t>
      </w:r>
      <w:r w:rsidRPr="0042521B">
        <w:rPr>
          <w:rFonts w:ascii="Book Antiqua" w:eastAsia="Adobe 繁黑體 Std B" w:hAnsi="Book Antiqua"/>
          <w:bCs/>
          <w:color w:val="000000"/>
        </w:rPr>
        <w:t xml:space="preserve"> DOAC</w:t>
      </w:r>
      <w:r w:rsidRPr="0042521B">
        <w:rPr>
          <w:rFonts w:ascii="Book Antiqua" w:hAnsi="Book Antiqua" w:hint="eastAsia"/>
          <w:bCs/>
          <w:color w:val="000000"/>
          <w:lang w:eastAsia="zh-CN"/>
        </w:rPr>
        <w:t>:</w:t>
      </w:r>
      <w:r w:rsidRPr="0042521B">
        <w:rPr>
          <w:rFonts w:ascii="Book Antiqua" w:hAnsi="Book Antiqua" w:cs="Book Antiqua" w:hint="eastAsia"/>
          <w:color w:val="000000"/>
          <w:lang w:eastAsia="zh-CN"/>
        </w:rPr>
        <w:t xml:space="preserve"> D</w:t>
      </w:r>
      <w:r w:rsidRPr="0042521B">
        <w:rPr>
          <w:rFonts w:ascii="Book Antiqua" w:eastAsia="Book Antiqua" w:hAnsi="Book Antiqua" w:cs="Book Antiqua"/>
          <w:color w:val="000000"/>
        </w:rPr>
        <w:t>irect oral anticoagulants</w:t>
      </w:r>
      <w:r w:rsidRPr="0042521B">
        <w:rPr>
          <w:rFonts w:ascii="Book Antiqua" w:hAnsi="Book Antiqua" w:cs="Book Antiqua" w:hint="eastAsia"/>
          <w:color w:val="000000"/>
          <w:lang w:eastAsia="zh-CN"/>
        </w:rPr>
        <w:t>.</w:t>
      </w:r>
      <w:bookmarkStart w:id="78" w:name="_GoBack"/>
      <w:bookmarkEnd w:id="58"/>
      <w:bookmarkEnd w:id="59"/>
      <w:bookmarkEnd w:id="60"/>
      <w:bookmarkEnd w:id="61"/>
      <w:bookmarkEnd w:id="62"/>
      <w:bookmarkEnd w:id="78"/>
    </w:p>
    <w:sectPr w:rsidR="00C9592D" w:rsidRPr="00AE2DD2" w:rsidSect="001916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CBF26" w14:textId="77777777" w:rsidR="00FE58DA" w:rsidRDefault="00FE58DA" w:rsidP="00210146">
      <w:r>
        <w:separator/>
      </w:r>
    </w:p>
  </w:endnote>
  <w:endnote w:type="continuationSeparator" w:id="0">
    <w:p w14:paraId="20112099" w14:textId="77777777" w:rsidR="00FE58DA" w:rsidRDefault="00FE58DA" w:rsidP="0021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Adobe 繁黑體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18890"/>
      <w:docPartObj>
        <w:docPartGallery w:val="Page Numbers (Bottom of Page)"/>
        <w:docPartUnique/>
      </w:docPartObj>
    </w:sdtPr>
    <w:sdtEndPr/>
    <w:sdtContent>
      <w:sdt>
        <w:sdtPr>
          <w:id w:val="860082579"/>
          <w:docPartObj>
            <w:docPartGallery w:val="Page Numbers (Top of Page)"/>
            <w:docPartUnique/>
          </w:docPartObj>
        </w:sdtPr>
        <w:sdtEndPr/>
        <w:sdtContent>
          <w:p w14:paraId="6A488329" w14:textId="77777777" w:rsidR="00434D46" w:rsidRDefault="00434D4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521B">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521B">
              <w:rPr>
                <w:b/>
                <w:bCs/>
                <w:noProof/>
              </w:rPr>
              <w:t>34</w:t>
            </w:r>
            <w:r>
              <w:rPr>
                <w:b/>
                <w:bCs/>
                <w:sz w:val="24"/>
                <w:szCs w:val="24"/>
              </w:rPr>
              <w:fldChar w:fldCharType="end"/>
            </w:r>
          </w:p>
        </w:sdtContent>
      </w:sdt>
    </w:sdtContent>
  </w:sdt>
  <w:p w14:paraId="7ADCA773" w14:textId="77777777" w:rsidR="00434D46" w:rsidRDefault="00434D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1F41E" w14:textId="77777777" w:rsidR="00FE58DA" w:rsidRDefault="00FE58DA" w:rsidP="00210146">
      <w:r>
        <w:separator/>
      </w:r>
    </w:p>
  </w:footnote>
  <w:footnote w:type="continuationSeparator" w:id="0">
    <w:p w14:paraId="26E8D5C0" w14:textId="77777777" w:rsidR="00FE58DA" w:rsidRDefault="00FE58DA" w:rsidP="0021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0C6"/>
    <w:rsid w:val="0006628C"/>
    <w:rsid w:val="0006776D"/>
    <w:rsid w:val="000A11B8"/>
    <w:rsid w:val="001013EF"/>
    <w:rsid w:val="0011701E"/>
    <w:rsid w:val="001178A7"/>
    <w:rsid w:val="00142322"/>
    <w:rsid w:val="001916FA"/>
    <w:rsid w:val="001963FF"/>
    <w:rsid w:val="001B52E0"/>
    <w:rsid w:val="001C6552"/>
    <w:rsid w:val="001D0B88"/>
    <w:rsid w:val="001D313B"/>
    <w:rsid w:val="001E2F5E"/>
    <w:rsid w:val="00202349"/>
    <w:rsid w:val="00210146"/>
    <w:rsid w:val="00231ED4"/>
    <w:rsid w:val="00273D70"/>
    <w:rsid w:val="00283F34"/>
    <w:rsid w:val="0029021B"/>
    <w:rsid w:val="00295625"/>
    <w:rsid w:val="002D7C18"/>
    <w:rsid w:val="003323D0"/>
    <w:rsid w:val="00347727"/>
    <w:rsid w:val="003601CB"/>
    <w:rsid w:val="003766B2"/>
    <w:rsid w:val="00380B71"/>
    <w:rsid w:val="003D6F7B"/>
    <w:rsid w:val="003E4322"/>
    <w:rsid w:val="003E77B6"/>
    <w:rsid w:val="00410961"/>
    <w:rsid w:val="00413009"/>
    <w:rsid w:val="004135AF"/>
    <w:rsid w:val="0042521B"/>
    <w:rsid w:val="00434D46"/>
    <w:rsid w:val="0045211B"/>
    <w:rsid w:val="004716C0"/>
    <w:rsid w:val="00473F74"/>
    <w:rsid w:val="004A39D3"/>
    <w:rsid w:val="004D0958"/>
    <w:rsid w:val="004D267A"/>
    <w:rsid w:val="004E3328"/>
    <w:rsid w:val="00524379"/>
    <w:rsid w:val="00535FCF"/>
    <w:rsid w:val="005427CB"/>
    <w:rsid w:val="0054317A"/>
    <w:rsid w:val="005D2B75"/>
    <w:rsid w:val="005E0524"/>
    <w:rsid w:val="00615E82"/>
    <w:rsid w:val="00625251"/>
    <w:rsid w:val="006362C3"/>
    <w:rsid w:val="0065484B"/>
    <w:rsid w:val="00660C65"/>
    <w:rsid w:val="00667E98"/>
    <w:rsid w:val="00670E07"/>
    <w:rsid w:val="0067626A"/>
    <w:rsid w:val="00686369"/>
    <w:rsid w:val="007143CB"/>
    <w:rsid w:val="00737D69"/>
    <w:rsid w:val="00757270"/>
    <w:rsid w:val="007603ED"/>
    <w:rsid w:val="00795DD3"/>
    <w:rsid w:val="007C0F8A"/>
    <w:rsid w:val="007C212B"/>
    <w:rsid w:val="007C495E"/>
    <w:rsid w:val="007C530A"/>
    <w:rsid w:val="007D7DE0"/>
    <w:rsid w:val="00815A57"/>
    <w:rsid w:val="00835ABC"/>
    <w:rsid w:val="00852DE7"/>
    <w:rsid w:val="00853B17"/>
    <w:rsid w:val="00874D57"/>
    <w:rsid w:val="00896B96"/>
    <w:rsid w:val="008B7D29"/>
    <w:rsid w:val="008C3E4E"/>
    <w:rsid w:val="008C5DB1"/>
    <w:rsid w:val="008E44EE"/>
    <w:rsid w:val="008F4C65"/>
    <w:rsid w:val="00905F30"/>
    <w:rsid w:val="00950EF3"/>
    <w:rsid w:val="009C77E9"/>
    <w:rsid w:val="009E1869"/>
    <w:rsid w:val="009F3F46"/>
    <w:rsid w:val="00A6014C"/>
    <w:rsid w:val="00A77B3E"/>
    <w:rsid w:val="00AD38F6"/>
    <w:rsid w:val="00AE2DD2"/>
    <w:rsid w:val="00AE5668"/>
    <w:rsid w:val="00B54F79"/>
    <w:rsid w:val="00B66327"/>
    <w:rsid w:val="00B73D4F"/>
    <w:rsid w:val="00BA28BF"/>
    <w:rsid w:val="00BB6290"/>
    <w:rsid w:val="00BE6C58"/>
    <w:rsid w:val="00BF2BFE"/>
    <w:rsid w:val="00C04D0B"/>
    <w:rsid w:val="00C27C0E"/>
    <w:rsid w:val="00C33238"/>
    <w:rsid w:val="00C377B0"/>
    <w:rsid w:val="00C45AFE"/>
    <w:rsid w:val="00C93EC3"/>
    <w:rsid w:val="00C954C1"/>
    <w:rsid w:val="00C9592D"/>
    <w:rsid w:val="00CA2A55"/>
    <w:rsid w:val="00CD5FC3"/>
    <w:rsid w:val="00CF3ECF"/>
    <w:rsid w:val="00CF533C"/>
    <w:rsid w:val="00D45566"/>
    <w:rsid w:val="00D46AA0"/>
    <w:rsid w:val="00D8223C"/>
    <w:rsid w:val="00DC0AE7"/>
    <w:rsid w:val="00DD2024"/>
    <w:rsid w:val="00DE4270"/>
    <w:rsid w:val="00E03CDC"/>
    <w:rsid w:val="00E24E8E"/>
    <w:rsid w:val="00E76722"/>
    <w:rsid w:val="00ED4DE6"/>
    <w:rsid w:val="00EE4E41"/>
    <w:rsid w:val="00EF0669"/>
    <w:rsid w:val="00F043D1"/>
    <w:rsid w:val="00F071AE"/>
    <w:rsid w:val="00F14423"/>
    <w:rsid w:val="00F21B72"/>
    <w:rsid w:val="00F37B7F"/>
    <w:rsid w:val="00F45DDE"/>
    <w:rsid w:val="00F5741B"/>
    <w:rsid w:val="00F62A9A"/>
    <w:rsid w:val="00F65F4A"/>
    <w:rsid w:val="00F82745"/>
    <w:rsid w:val="00FA0610"/>
    <w:rsid w:val="00FE120F"/>
    <w:rsid w:val="00FE5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C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Normal (Web)"/>
    <w:basedOn w:val="a"/>
    <w:uiPriority w:val="99"/>
    <w:unhideWhenUsed/>
    <w:rsid w:val="00795DD3"/>
    <w:pPr>
      <w:spacing w:before="100" w:beforeAutospacing="1" w:after="100" w:afterAutospacing="1"/>
    </w:pPr>
    <w:rPr>
      <w:rFonts w:ascii="宋体" w:eastAsia="宋体" w:hAnsi="宋体" w:cs="宋体"/>
      <w:lang w:eastAsia="zh-CN"/>
    </w:rPr>
  </w:style>
  <w:style w:type="paragraph" w:styleId="a4">
    <w:name w:val="Balloon Text"/>
    <w:basedOn w:val="a"/>
    <w:link w:val="Char"/>
    <w:rsid w:val="00410961"/>
    <w:rPr>
      <w:sz w:val="18"/>
      <w:szCs w:val="18"/>
    </w:rPr>
  </w:style>
  <w:style w:type="character" w:customStyle="1" w:styleId="Char">
    <w:name w:val="批注框文本 Char"/>
    <w:basedOn w:val="a0"/>
    <w:link w:val="a4"/>
    <w:rsid w:val="00410961"/>
    <w:rPr>
      <w:sz w:val="18"/>
      <w:szCs w:val="18"/>
    </w:rPr>
  </w:style>
  <w:style w:type="paragraph" w:styleId="a5">
    <w:name w:val="header"/>
    <w:basedOn w:val="a"/>
    <w:link w:val="Char0"/>
    <w:rsid w:val="002101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10146"/>
    <w:rPr>
      <w:sz w:val="18"/>
      <w:szCs w:val="18"/>
    </w:rPr>
  </w:style>
  <w:style w:type="paragraph" w:styleId="a6">
    <w:name w:val="footer"/>
    <w:basedOn w:val="a"/>
    <w:link w:val="Char1"/>
    <w:uiPriority w:val="99"/>
    <w:rsid w:val="00210146"/>
    <w:pPr>
      <w:tabs>
        <w:tab w:val="center" w:pos="4153"/>
        <w:tab w:val="right" w:pos="8306"/>
      </w:tabs>
      <w:snapToGrid w:val="0"/>
    </w:pPr>
    <w:rPr>
      <w:sz w:val="18"/>
      <w:szCs w:val="18"/>
    </w:rPr>
  </w:style>
  <w:style w:type="character" w:customStyle="1" w:styleId="Char1">
    <w:name w:val="页脚 Char"/>
    <w:basedOn w:val="a0"/>
    <w:link w:val="a6"/>
    <w:uiPriority w:val="99"/>
    <w:rsid w:val="002101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Normal (Web)"/>
    <w:basedOn w:val="a"/>
    <w:uiPriority w:val="99"/>
    <w:unhideWhenUsed/>
    <w:rsid w:val="00795DD3"/>
    <w:pPr>
      <w:spacing w:before="100" w:beforeAutospacing="1" w:after="100" w:afterAutospacing="1"/>
    </w:pPr>
    <w:rPr>
      <w:rFonts w:ascii="宋体" w:eastAsia="宋体" w:hAnsi="宋体" w:cs="宋体"/>
      <w:lang w:eastAsia="zh-CN"/>
    </w:rPr>
  </w:style>
  <w:style w:type="paragraph" w:styleId="a4">
    <w:name w:val="Balloon Text"/>
    <w:basedOn w:val="a"/>
    <w:link w:val="Char"/>
    <w:rsid w:val="00410961"/>
    <w:rPr>
      <w:sz w:val="18"/>
      <w:szCs w:val="18"/>
    </w:rPr>
  </w:style>
  <w:style w:type="character" w:customStyle="1" w:styleId="Char">
    <w:name w:val="批注框文本 Char"/>
    <w:basedOn w:val="a0"/>
    <w:link w:val="a4"/>
    <w:rsid w:val="00410961"/>
    <w:rPr>
      <w:sz w:val="18"/>
      <w:szCs w:val="18"/>
    </w:rPr>
  </w:style>
  <w:style w:type="paragraph" w:styleId="a5">
    <w:name w:val="header"/>
    <w:basedOn w:val="a"/>
    <w:link w:val="Char0"/>
    <w:rsid w:val="002101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10146"/>
    <w:rPr>
      <w:sz w:val="18"/>
      <w:szCs w:val="18"/>
    </w:rPr>
  </w:style>
  <w:style w:type="paragraph" w:styleId="a6">
    <w:name w:val="footer"/>
    <w:basedOn w:val="a"/>
    <w:link w:val="Char1"/>
    <w:uiPriority w:val="99"/>
    <w:rsid w:val="00210146"/>
    <w:pPr>
      <w:tabs>
        <w:tab w:val="center" w:pos="4153"/>
        <w:tab w:val="right" w:pos="8306"/>
      </w:tabs>
      <w:snapToGrid w:val="0"/>
    </w:pPr>
    <w:rPr>
      <w:sz w:val="18"/>
      <w:szCs w:val="18"/>
    </w:rPr>
  </w:style>
  <w:style w:type="character" w:customStyle="1" w:styleId="Char1">
    <w:name w:val="页脚 Char"/>
    <w:basedOn w:val="a0"/>
    <w:link w:val="a6"/>
    <w:uiPriority w:val="99"/>
    <w:rsid w:val="00210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8216">
      <w:bodyDiv w:val="1"/>
      <w:marLeft w:val="0"/>
      <w:marRight w:val="0"/>
      <w:marTop w:val="0"/>
      <w:marBottom w:val="0"/>
      <w:divBdr>
        <w:top w:val="none" w:sz="0" w:space="0" w:color="auto"/>
        <w:left w:val="none" w:sz="0" w:space="0" w:color="auto"/>
        <w:bottom w:val="none" w:sz="0" w:space="0" w:color="auto"/>
        <w:right w:val="none" w:sz="0" w:space="0" w:color="auto"/>
      </w:divBdr>
    </w:div>
    <w:div w:id="70356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7425</Words>
  <Characters>42327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dcterms:created xsi:type="dcterms:W3CDTF">2020-10-19T22:13:00Z</dcterms:created>
  <dcterms:modified xsi:type="dcterms:W3CDTF">2020-11-05T03:52:00Z</dcterms:modified>
</cp:coreProperties>
</file>