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C5" w:rsidRDefault="00B65CF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D164C5" w:rsidRDefault="00B65CF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57998</w:t>
      </w:r>
    </w:p>
    <w:p w:rsidR="00D164C5" w:rsidRDefault="00B65CF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i/>
          <w:color w:val="000000"/>
        </w:rPr>
        <w:t>Clinical Trials Study</w:t>
      </w:r>
    </w:p>
    <w:p w:rsidR="00D164C5" w:rsidRDefault="00B65CF9">
      <w:pPr>
        <w:spacing w:line="360" w:lineRule="auto"/>
        <w:jc w:val="both"/>
        <w:rPr>
          <w:rFonts w:ascii="Book Antiqua" w:hAnsi="Book Antiqua"/>
        </w:rPr>
      </w:pPr>
      <w:r>
        <w:rPr>
          <w:rFonts w:ascii="Book Antiqua" w:eastAsia="Book Antiqua" w:hAnsi="Book Antiqua" w:cs="Book Antiqua"/>
          <w:b/>
          <w:color w:val="000000"/>
        </w:rPr>
        <w:t>Biliary stent combined with iodine-125 seed strand implantation in malignant obstructive jaundice</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Wang HW </w:t>
      </w:r>
      <w:r>
        <w:rPr>
          <w:rFonts w:ascii="Book Antiqua" w:eastAsia="Book Antiqua" w:hAnsi="Book Antiqua" w:cs="Book Antiqua"/>
          <w:i/>
          <w:iCs/>
          <w:color w:val="000000"/>
        </w:rPr>
        <w:t>et al</w:t>
      </w:r>
      <w:r>
        <w:rPr>
          <w:rFonts w:ascii="Book Antiqua" w:eastAsia="Book Antiqua" w:hAnsi="Book Antiqua" w:cs="Book Antiqua"/>
          <w:color w:val="000000"/>
        </w:rPr>
        <w:t xml:space="preserve">. Biliary stent and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color w:val="000000"/>
        </w:rPr>
        <w:t>Hui-Wen Wang, Xiao-Jing Li, Shi-</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 Jun-</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Lu, Dong-Feng He</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Hui-Wen Wang, Xiao-Jing Li, Shi-</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Jun-</w:t>
      </w:r>
      <w:proofErr w:type="spellStart"/>
      <w:r>
        <w:rPr>
          <w:rFonts w:ascii="Book Antiqua" w:eastAsia="Book Antiqua" w:hAnsi="Book Antiqua" w:cs="Book Antiqua"/>
          <w:b/>
          <w:bCs/>
          <w:color w:val="000000"/>
        </w:rPr>
        <w:t>Rong</w:t>
      </w:r>
      <w:proofErr w:type="spellEnd"/>
      <w:r>
        <w:rPr>
          <w:rFonts w:ascii="Book Antiqua" w:eastAsia="Book Antiqua" w:hAnsi="Book Antiqua" w:cs="Book Antiqua"/>
          <w:b/>
          <w:bCs/>
          <w:color w:val="000000"/>
        </w:rPr>
        <w:t xml:space="preserve"> Lu, Dong-Feng He, </w:t>
      </w:r>
      <w:r>
        <w:rPr>
          <w:rFonts w:ascii="Book Antiqua" w:eastAsia="Book Antiqua" w:hAnsi="Book Antiqua" w:cs="Book Antiqua"/>
          <w:color w:val="000000"/>
        </w:rPr>
        <w:t>Department of Interventional, Harbin Medical University Cancer Hospital, Harbin 1500</w:t>
      </w:r>
      <w:r>
        <w:rPr>
          <w:rFonts w:ascii="Book Antiqua" w:eastAsia="Book Antiqua" w:hAnsi="Book Antiqua" w:cs="Book Antiqua"/>
          <w:color w:val="000000"/>
        </w:rPr>
        <w:t>81, Heilongjiang Province, China</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HW and Li XJ drafted the manuscript and analyzed all the data; He DF performed the surgeries and acquired data; Li SJ and Lu JR assisted in all surgeries and data collection; He DF designed and s</w:t>
      </w:r>
      <w:r>
        <w:rPr>
          <w:rFonts w:ascii="Book Antiqua" w:eastAsia="Book Antiqua" w:hAnsi="Book Antiqua" w:cs="Book Antiqua"/>
          <w:color w:val="000000"/>
        </w:rPr>
        <w:t>upervised the study, analyzed all the data, and revised the manuscript.</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Corresponding author: Dong-Feng He, PhD, Research Scientist, Surgical Oncologist, </w:t>
      </w:r>
      <w:r>
        <w:rPr>
          <w:rFonts w:ascii="Book Antiqua" w:eastAsia="Book Antiqua" w:hAnsi="Book Antiqua" w:cs="Book Antiqua"/>
          <w:color w:val="000000"/>
        </w:rPr>
        <w:t xml:space="preserve">Department of Interventional, Harbin Medical University Cancer Hospital, No. 150 </w:t>
      </w:r>
      <w:proofErr w:type="spellStart"/>
      <w:r>
        <w:rPr>
          <w:rFonts w:ascii="Book Antiqua" w:eastAsia="Book Antiqua" w:hAnsi="Book Antiqua" w:cs="Book Antiqua"/>
          <w:color w:val="000000"/>
        </w:rPr>
        <w:t>Haping</w:t>
      </w:r>
      <w:proofErr w:type="spellEnd"/>
      <w:r>
        <w:rPr>
          <w:rFonts w:ascii="Book Antiqua" w:eastAsia="Book Antiqua" w:hAnsi="Book Antiqua" w:cs="Book Antiqua"/>
          <w:color w:val="000000"/>
        </w:rPr>
        <w:t xml:space="preserve"> </w:t>
      </w:r>
      <w:r>
        <w:rPr>
          <w:rFonts w:ascii="Book Antiqua" w:eastAsia="Book Antiqua" w:hAnsi="Book Antiqua" w:cs="Book Antiqua"/>
          <w:caps/>
          <w:color w:val="000000"/>
        </w:rPr>
        <w:t>s</w:t>
      </w:r>
      <w:r>
        <w:rPr>
          <w:rFonts w:ascii="Book Antiqua" w:eastAsia="Book Antiqua" w:hAnsi="Book Antiqua" w:cs="Book Antiqua"/>
          <w:color w:val="000000"/>
        </w:rPr>
        <w:t xml:space="preserve">treet, </w:t>
      </w:r>
      <w:proofErr w:type="spellStart"/>
      <w:r>
        <w:rPr>
          <w:rFonts w:ascii="Book Antiqua" w:eastAsia="Book Antiqua" w:hAnsi="Book Antiqua" w:cs="Book Antiqua"/>
          <w:color w:val="000000"/>
        </w:rPr>
        <w:t>Nanga</w:t>
      </w:r>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 District, Harbin 150081, Heilongjiang Province, China. 13644578588@139.com</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 2020</w:t>
      </w: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23, 2020</w:t>
      </w: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10, 2020</w:t>
      </w: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lastRenderedPageBreak/>
        <w:t>Published online:</w:t>
      </w:r>
      <w:r>
        <w:rPr>
          <w:rFonts w:ascii="Book Antiqua" w:eastAsia="Book Antiqua" w:hAnsi="Book Antiqua" w:cs="Book Antiqua" w:hint="eastAsia"/>
          <w:color w:val="000000"/>
        </w:rPr>
        <w:t xml:space="preserve"> February 6, 2021</w:t>
      </w:r>
      <w:r>
        <w:rPr>
          <w:rFonts w:ascii="Book Antiqua" w:eastAsia="Book Antiqua" w:hAnsi="Book Antiqua" w:cs="Book Antiqua"/>
          <w:b/>
          <w:bCs/>
          <w:color w:val="000000"/>
        </w:rPr>
        <w:t xml:space="preserve"> </w:t>
      </w:r>
    </w:p>
    <w:p w:rsidR="00D164C5" w:rsidRDefault="00D164C5">
      <w:pPr>
        <w:spacing w:line="360" w:lineRule="auto"/>
        <w:jc w:val="both"/>
        <w:rPr>
          <w:rFonts w:ascii="Book Antiqua" w:hAnsi="Book Antiqua"/>
        </w:rPr>
        <w:sectPr w:rsidR="00D164C5">
          <w:footerReference w:type="default" r:id="rId8"/>
          <w:pgSz w:w="12240" w:h="15840"/>
          <w:pgMar w:top="1440" w:right="1440" w:bottom="1440" w:left="1440" w:header="720" w:footer="720" w:gutter="0"/>
          <w:cols w:space="720"/>
          <w:docGrid w:linePitch="360"/>
        </w:sectPr>
      </w:pPr>
    </w:p>
    <w:p w:rsidR="00D164C5" w:rsidRDefault="00B65CF9">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D164C5" w:rsidRDefault="00B65CF9">
      <w:pPr>
        <w:spacing w:line="360" w:lineRule="auto"/>
        <w:jc w:val="both"/>
        <w:rPr>
          <w:rFonts w:ascii="Book Antiqua" w:hAnsi="Book Antiqua"/>
        </w:rPr>
      </w:pPr>
      <w:r>
        <w:rPr>
          <w:rFonts w:ascii="Book Antiqua" w:eastAsia="Book Antiqua" w:hAnsi="Book Antiqua" w:cs="Book Antiqua"/>
          <w:color w:val="000000"/>
        </w:rPr>
        <w:t>BACKGROUND</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Malignant obstructive jaundice is mainly caused by cholangiocarcinoma. Only </w:t>
      </w:r>
      <w:r>
        <w:rPr>
          <w:rFonts w:ascii="Book Antiqua" w:eastAsia="Book Antiqua" w:hAnsi="Book Antiqua" w:cs="Book Antiqua"/>
          <w:color w:val="000000"/>
        </w:rPr>
        <w:t>a few patients are indicated for surgical resection, and the 3-year survival rate is &lt; 50%. For patients who are not eligible for surgery, biliary stent placement can relieve biliary obstruction and improve liver function and quality of life. However, rest</w:t>
      </w:r>
      <w:r>
        <w:rPr>
          <w:rFonts w:ascii="Book Antiqua" w:eastAsia="Book Antiqua" w:hAnsi="Book Antiqua" w:cs="Book Antiqua"/>
          <w:color w:val="000000"/>
        </w:rPr>
        <w:t>enosis after biliary stents has a poor prognosis and is a clinical challenge. Biliary stent combined with iodine-125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implantation can prolong stent patency and improve survival.</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color w:val="000000"/>
        </w:rPr>
        <w:t>AIM</w:t>
      </w:r>
    </w:p>
    <w:p w:rsidR="00D164C5" w:rsidRDefault="00B65CF9">
      <w:pPr>
        <w:spacing w:line="360" w:lineRule="auto"/>
        <w:jc w:val="both"/>
        <w:rPr>
          <w:rFonts w:ascii="Book Antiqua" w:hAnsi="Book Antiqua"/>
        </w:rPr>
      </w:pPr>
      <w:r>
        <w:rPr>
          <w:rFonts w:ascii="Book Antiqua" w:eastAsia="Book Antiqua" w:hAnsi="Book Antiqua" w:cs="Book Antiqua"/>
          <w:color w:val="000000"/>
        </w:rPr>
        <w:t>To evaluate the safety and efficacy of biliary stent combined</w:t>
      </w:r>
      <w:r>
        <w:rPr>
          <w:rFonts w:ascii="Book Antiqua" w:eastAsia="Book Antiqua" w:hAnsi="Book Antiqua" w:cs="Book Antiqua"/>
          <w:color w:val="000000"/>
        </w:rPr>
        <w:t xml:space="preserve">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implantation in malignant obstructive jaundice. </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color w:val="000000"/>
        </w:rPr>
        <w:t>METHODS</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We enrolled 67 patients between January 2016 and June 2018 with malignant obstructive jaundice and randomized them into a biliary stent combined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 treatmen</w:t>
      </w:r>
      <w:r>
        <w:rPr>
          <w:rFonts w:ascii="Book Antiqua" w:eastAsia="Book Antiqua" w:hAnsi="Book Antiqua" w:cs="Book Antiqua"/>
          <w:color w:val="000000"/>
        </w:rPr>
        <w:t xml:space="preserve">t (combined) group </w:t>
      </w:r>
      <w:r>
        <w:rPr>
          <w:rFonts w:ascii="Book Antiqua" w:eastAsia="Book Antiqua" w:hAnsi="Book Antiqua" w:cs="Book Antiqua"/>
          <w:i/>
          <w:iCs/>
          <w:color w:val="000000"/>
        </w:rPr>
        <w:t xml:space="preserve">(n = </w:t>
      </w:r>
      <w:r>
        <w:rPr>
          <w:rFonts w:ascii="Book Antiqua" w:eastAsia="Book Antiqua" w:hAnsi="Book Antiqua" w:cs="Book Antiqua"/>
          <w:color w:val="000000"/>
        </w:rPr>
        <w:t>32) and biliary stent (control)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35). All patients underwent enhanced computed tomography and magnetic resonance imaging and were tested for biochemical and cancer markers. Twelve patients underwent pathological examinatio</w:t>
      </w:r>
      <w:r>
        <w:rPr>
          <w:rFonts w:ascii="Book Antiqua" w:eastAsia="Book Antiqua" w:hAnsi="Book Antiqua" w:cs="Book Antiqua"/>
          <w:color w:val="000000"/>
        </w:rPr>
        <w:t xml:space="preserve">n before surgery. All patients were followed up by telephone or clinical visit. Postoperative liver function improvement, postoperative complications, stent patency time, and survival time were compared between the two groups. Prognostic risk factors were </w:t>
      </w:r>
      <w:r>
        <w:rPr>
          <w:rFonts w:ascii="Book Antiqua" w:eastAsia="Book Antiqua" w:hAnsi="Book Antiqua" w:cs="Book Antiqua"/>
          <w:color w:val="000000"/>
        </w:rPr>
        <w:t xml:space="preserve">evaluated. </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color w:val="000000"/>
        </w:rPr>
        <w:t>RESULTS</w:t>
      </w:r>
    </w:p>
    <w:p w:rsidR="00D164C5" w:rsidRDefault="00B65CF9">
      <w:pPr>
        <w:spacing w:line="360" w:lineRule="auto"/>
        <w:jc w:val="both"/>
        <w:rPr>
          <w:rFonts w:ascii="Book Antiqua" w:hAnsi="Book Antiqua"/>
        </w:rPr>
      </w:pPr>
      <w:r>
        <w:rPr>
          <w:rFonts w:ascii="Book Antiqua" w:eastAsia="Book Antiqua" w:hAnsi="Book Antiqua" w:cs="Book Antiqua"/>
          <w:color w:val="000000"/>
        </w:rPr>
        <w:t>Technical success was achieved in all patients in both groups. Postoperative liver function improved significantly in all patients (total bilirubin, direct bilirubin, alanine aminotransferase, and aspartate aminotransferase decreased significantly in all p</w:t>
      </w:r>
      <w:r>
        <w:rPr>
          <w:rFonts w:ascii="Book Antiqua" w:eastAsia="Book Antiqua" w:hAnsi="Book Antiqua" w:cs="Book Antiqua"/>
          <w:color w:val="000000"/>
        </w:rPr>
        <w:t xml:space="preserve">atients, the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values were less than 0.05). There was no significant difference in preoperative or </w:t>
      </w:r>
      <w:r>
        <w:rPr>
          <w:rFonts w:ascii="Book Antiqua" w:eastAsia="Book Antiqua" w:hAnsi="Book Antiqua" w:cs="Book Antiqua"/>
          <w:color w:val="000000"/>
        </w:rPr>
        <w:lastRenderedPageBreak/>
        <w:t>postoperative indexes between the two groups for changes in total bilirubin (</w:t>
      </w:r>
      <w:r>
        <w:rPr>
          <w:rFonts w:ascii="Book Antiqua" w:eastAsia="Book Antiqua" w:hAnsi="Book Antiqua" w:cs="Book Antiqua"/>
          <w:i/>
          <w:iCs/>
          <w:color w:val="000000"/>
        </w:rPr>
        <w:t xml:space="preserve">P </w:t>
      </w:r>
      <w:r>
        <w:rPr>
          <w:rFonts w:ascii="Book Antiqua" w:eastAsia="Book Antiqua" w:hAnsi="Book Antiqua" w:cs="Book Antiqua"/>
          <w:color w:val="000000"/>
        </w:rPr>
        <w:t>= 0.147), direct bilirubin (</w:t>
      </w:r>
      <w:r>
        <w:rPr>
          <w:rFonts w:ascii="Book Antiqua" w:eastAsia="Book Antiqua" w:hAnsi="Book Antiqua" w:cs="Book Antiqua"/>
          <w:i/>
          <w:iCs/>
          <w:color w:val="000000"/>
        </w:rPr>
        <w:t xml:space="preserve">P </w:t>
      </w:r>
      <w:r>
        <w:rPr>
          <w:rFonts w:ascii="Book Antiqua" w:eastAsia="Book Antiqua" w:hAnsi="Book Antiqua" w:cs="Book Antiqua"/>
          <w:color w:val="000000"/>
        </w:rPr>
        <w:t>= 0.448), alanine aminotransferase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0.120), </w:t>
      </w:r>
      <w:r>
        <w:rPr>
          <w:rFonts w:ascii="Book Antiqua" w:eastAsia="Book Antiqua" w:hAnsi="Book Antiqua" w:cs="Book Antiqua"/>
          <w:color w:val="000000"/>
        </w:rPr>
        <w:t>and aspartate aminotransferase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0.387) between the two groups. The median stent patency time of the combined group was 9.0 ±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 confidence interval (CI): 6.3</w:t>
      </w:r>
      <w:r>
        <w:rPr>
          <w:rFonts w:ascii="Book Antiqua" w:hAnsi="Book Antiqua" w:cs="Book Antiqua"/>
          <w:color w:val="000000"/>
          <w:lang w:eastAsia="zh-CN"/>
        </w:rPr>
        <w:t>-</w:t>
      </w:r>
      <w:r>
        <w:rPr>
          <w:rFonts w:ascii="Book Antiqua" w:eastAsia="Book Antiqua" w:hAnsi="Book Antiqua" w:cs="Book Antiqua"/>
          <w:color w:val="000000"/>
        </w:rPr>
        <w:t xml:space="preserve">11.8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significantly longer than </w:t>
      </w:r>
      <w:proofErr w:type="gramStart"/>
      <w:r>
        <w:rPr>
          <w:rFonts w:ascii="Book Antiqua" w:eastAsia="Book Antiqua" w:hAnsi="Book Antiqua" w:cs="Book Antiqua"/>
          <w:color w:val="000000"/>
        </w:rPr>
        <w:t>the that</w:t>
      </w:r>
      <w:proofErr w:type="gramEnd"/>
      <w:r>
        <w:rPr>
          <w:rFonts w:ascii="Book Antiqua" w:eastAsia="Book Antiqua" w:hAnsi="Book Antiqua" w:cs="Book Antiqua"/>
          <w:color w:val="000000"/>
        </w:rPr>
        <w:t xml:space="preserve"> of the control group (6.0 ± 0.</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 5.5</w:t>
      </w:r>
      <w:r>
        <w:rPr>
          <w:rFonts w:ascii="Book Antiqua" w:hAnsi="Book Antiqua" w:cs="Book Antiqua"/>
          <w:color w:val="000000"/>
          <w:lang w:eastAsia="zh-CN"/>
        </w:rPr>
        <w:t>-</w:t>
      </w:r>
      <w:r>
        <w:rPr>
          <w:rFonts w:ascii="Book Antiqua" w:eastAsia="Book Antiqua" w:hAnsi="Book Antiqua" w:cs="Book Antiqua"/>
          <w:color w:val="000000"/>
        </w:rPr>
        <w:t xml:space="preserve">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The median survival time of the combined group was 11.0 ±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8.2-13.7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significantly longer than that of the control group (7.0 ± 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 6.4</w:t>
      </w:r>
      <w:r>
        <w:rPr>
          <w:rFonts w:ascii="Book Antiqua" w:hAnsi="Book Antiqua" w:cs="Book Antiqua"/>
          <w:color w:val="000000"/>
          <w:lang w:eastAsia="zh-CN"/>
        </w:rPr>
        <w:t>-</w:t>
      </w:r>
      <w:r>
        <w:rPr>
          <w:rFonts w:ascii="Book Antiqua" w:eastAsia="Book Antiqua" w:hAnsi="Book Antiqua" w:cs="Book Antiqua"/>
          <w:color w:val="000000"/>
        </w:rPr>
        <w:t xml:space="preserve">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Location of obstruction </w:t>
      </w:r>
      <w:r>
        <w:rPr>
          <w:rFonts w:ascii="Book Antiqua" w:eastAsia="Book Antiqua" w:hAnsi="Book Antiqua" w:cs="Book Antiqua"/>
          <w:color w:val="000000"/>
        </w:rPr>
        <w:t>and number of stents were independent risk factors affecting prognosis.</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color w:val="000000"/>
        </w:rPr>
        <w:t>CONCLUSION</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Biliary stent combined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 implantation is safe and effective in malignant obstructive jaundice and improves stent patency time and median survival time.</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Biliary stent;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Obstructive jaundice; </w:t>
      </w:r>
      <w:proofErr w:type="gramStart"/>
      <w:r>
        <w:rPr>
          <w:rFonts w:ascii="Book Antiqua" w:eastAsia="Book Antiqua" w:hAnsi="Book Antiqua" w:cs="Book Antiqua"/>
          <w:color w:val="000000"/>
        </w:rPr>
        <w:t>Malignant</w:t>
      </w:r>
      <w:proofErr w:type="gramEnd"/>
      <w:r>
        <w:rPr>
          <w:rFonts w:ascii="Book Antiqua" w:eastAsia="Book Antiqua" w:hAnsi="Book Antiqua" w:cs="Book Antiqua"/>
          <w:color w:val="000000"/>
        </w:rPr>
        <w:t xml:space="preserve"> tumor; Clinical research; Surgery</w:t>
      </w:r>
    </w:p>
    <w:p w:rsidR="00FB4C2A" w:rsidRDefault="00FB4C2A">
      <w:pPr>
        <w:spacing w:line="360" w:lineRule="auto"/>
        <w:jc w:val="both"/>
        <w:rPr>
          <w:rFonts w:ascii="Book Antiqua" w:hAnsi="Book Antiqua" w:cs="Book Antiqua" w:hint="eastAsia"/>
          <w:color w:val="000000"/>
          <w:lang w:eastAsia="zh-CN"/>
        </w:rPr>
      </w:pPr>
    </w:p>
    <w:p w:rsidR="00FB4C2A" w:rsidRPr="00FB4C2A" w:rsidRDefault="00FB4C2A">
      <w:pPr>
        <w:spacing w:line="360" w:lineRule="auto"/>
        <w:jc w:val="both"/>
        <w:rPr>
          <w:rFonts w:ascii="Book Antiqua" w:hAnsi="Book Antiqua" w:hint="eastAsia"/>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rsidR="00D164C5" w:rsidRDefault="00D164C5">
      <w:pPr>
        <w:spacing w:line="360" w:lineRule="auto"/>
        <w:jc w:val="both"/>
        <w:rPr>
          <w:rFonts w:ascii="Book Antiqua" w:hAnsi="Book Antiqua"/>
        </w:rPr>
      </w:pPr>
    </w:p>
    <w:p w:rsidR="00D164C5" w:rsidRPr="00FB4C2A" w:rsidRDefault="00B65CF9">
      <w:pPr>
        <w:spacing w:line="360" w:lineRule="auto"/>
        <w:jc w:val="both"/>
        <w:rPr>
          <w:rFonts w:ascii="Book Antiqua" w:hAnsi="Book Antiqua"/>
          <w:lang w:eastAsia="zh-CN"/>
        </w:rPr>
      </w:pPr>
      <w:proofErr w:type="gramStart"/>
      <w:r>
        <w:rPr>
          <w:rFonts w:ascii="Book Antiqua" w:eastAsia="Book Antiqua" w:hAnsi="Book Antiqua" w:cs="Book Antiqua"/>
          <w:color w:val="000000"/>
        </w:rPr>
        <w:t>Wang HW, Li XJ, Li SJ, Lu JR, He DF.</w:t>
      </w:r>
      <w:proofErr w:type="gramEnd"/>
      <w:r>
        <w:rPr>
          <w:rFonts w:ascii="Book Antiqua" w:eastAsia="Book Antiqua" w:hAnsi="Book Antiqua" w:cs="Book Antiqua"/>
          <w:color w:val="000000"/>
        </w:rPr>
        <w:t xml:space="preserve"> Biliary stent combined with iodine-125 seed strand implantation in malignant obstructive jaundice.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w:t>
      </w:r>
      <w:r>
        <w:rPr>
          <w:rFonts w:ascii="Book Antiqua" w:eastAsia="Book Antiqua" w:hAnsi="Book Antiqua" w:cs="Book Antiqua"/>
          <w:color w:val="000000"/>
        </w:rPr>
        <w:t>02</w:t>
      </w:r>
      <w:r>
        <w:rPr>
          <w:rFonts w:ascii="Book Antiqua" w:eastAsia="Book Antiqua" w:hAnsi="Book Antiqua" w:cs="Book Antiqua" w:hint="eastAsia"/>
          <w:color w:val="000000"/>
        </w:rPr>
        <w:t>1; 9(</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 xml:space="preserve">): </w:t>
      </w:r>
      <w:r w:rsidR="00FB4C2A">
        <w:rPr>
          <w:rFonts w:ascii="Book Antiqua" w:hAnsi="Book Antiqua" w:cs="Book Antiqua" w:hint="eastAsia"/>
          <w:color w:val="000000"/>
          <w:lang w:eastAsia="zh-CN"/>
        </w:rPr>
        <w:t>801-</w:t>
      </w:r>
      <w:proofErr w:type="gramStart"/>
      <w:r w:rsidR="00FB4C2A">
        <w:rPr>
          <w:rFonts w:ascii="Book Antiqua" w:hAnsi="Book Antiqua" w:cs="Book Antiqua" w:hint="eastAsia"/>
          <w:color w:val="000000"/>
          <w:lang w:eastAsia="zh-CN"/>
        </w:rPr>
        <w:t>811</w:t>
      </w:r>
      <w:r>
        <w:rPr>
          <w:rFonts w:ascii="Book Antiqua" w:eastAsia="Book Antiqua" w:hAnsi="Book Antiqua" w:cs="Book Antiqua" w:hint="eastAsia"/>
          <w:color w:val="000000"/>
        </w:rPr>
        <w:t xml:space="preserve">  URL</w:t>
      </w:r>
      <w:proofErr w:type="gramEnd"/>
      <w:r>
        <w:rPr>
          <w:rFonts w:ascii="Book Antiqua" w:eastAsia="Book Antiqua" w:hAnsi="Book Antiqua" w:cs="Book Antiqua" w:hint="eastAsia"/>
          <w:color w:val="000000"/>
        </w:rPr>
        <w:t>: https://www.wjgnet.com/2307-8960/full/v9/i</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w:t>
      </w:r>
      <w:r w:rsidR="00FB4C2A">
        <w:rPr>
          <w:rFonts w:ascii="Book Antiqua" w:hAnsi="Book Antiqua" w:cs="Book Antiqua" w:hint="eastAsia"/>
          <w:color w:val="000000"/>
          <w:lang w:eastAsia="zh-CN"/>
        </w:rPr>
        <w:t>801</w:t>
      </w:r>
      <w:r>
        <w:rPr>
          <w:rFonts w:ascii="Book Antiqua" w:eastAsia="Book Antiqua" w:hAnsi="Book Antiqua" w:cs="Book Antiqua" w:hint="eastAsia"/>
          <w:color w:val="000000"/>
        </w:rPr>
        <w:t>.htm  DOI: https://dx.doi.org/10.12998/</w:t>
      </w:r>
      <w:r>
        <w:rPr>
          <w:rFonts w:ascii="Book Antiqua" w:eastAsia="宋体" w:hAnsi="Book Antiqua" w:cs="Book Antiqua" w:hint="eastAsia"/>
          <w:color w:val="000000"/>
          <w:lang w:eastAsia="zh-CN"/>
        </w:rPr>
        <w:t>wjcc</w:t>
      </w:r>
      <w:r>
        <w:rPr>
          <w:rFonts w:ascii="Book Antiqua" w:eastAsia="Book Antiqua" w:hAnsi="Book Antiqua" w:cs="Book Antiqua" w:hint="eastAsia"/>
          <w:color w:val="000000"/>
        </w:rPr>
        <w:t>.v9.i</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w:t>
      </w:r>
      <w:r w:rsidR="00FB4C2A">
        <w:rPr>
          <w:rFonts w:ascii="Book Antiqua" w:hAnsi="Book Antiqua" w:cs="Book Antiqua" w:hint="eastAsia"/>
          <w:color w:val="000000"/>
          <w:lang w:eastAsia="zh-CN"/>
        </w:rPr>
        <w:t>801</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For patients who are unable to undergo surgery, biliary stent placement can relieve biliary obstruction and prolong</w:t>
      </w:r>
      <w:r>
        <w:rPr>
          <w:rFonts w:ascii="Book Antiqua" w:eastAsia="Book Antiqua" w:hAnsi="Book Antiqua" w:cs="Book Antiqua"/>
          <w:color w:val="000000"/>
        </w:rPr>
        <w:t xml:space="preserve"> survival. </w:t>
      </w:r>
      <w:proofErr w:type="gramStart"/>
      <w:r>
        <w:rPr>
          <w:rFonts w:ascii="Book Antiqua" w:eastAsia="Book Antiqua" w:hAnsi="Book Antiqua" w:cs="Book Antiqua"/>
          <w:color w:val="000000"/>
        </w:rPr>
        <w:t xml:space="preserve">However, previous studies relieved stenosis caused by an existing tumor lesion by placing an iodine-125 seed in the middle </w:t>
      </w:r>
      <w:r>
        <w:rPr>
          <w:rFonts w:ascii="Book Antiqua" w:eastAsia="Book Antiqua" w:hAnsi="Book Antiqua" w:cs="Book Antiqua"/>
          <w:color w:val="000000"/>
        </w:rPr>
        <w:lastRenderedPageBreak/>
        <w:t>of the stent while ignoring both ends.</w:t>
      </w:r>
      <w:proofErr w:type="gramEnd"/>
      <w:r>
        <w:rPr>
          <w:rFonts w:ascii="Book Antiqua" w:eastAsia="Book Antiqua" w:hAnsi="Book Antiqua" w:cs="Book Antiqua"/>
          <w:color w:val="000000"/>
        </w:rPr>
        <w:t xml:space="preserve"> Both ends of the stent can be </w:t>
      </w:r>
      <w:proofErr w:type="spellStart"/>
      <w:r>
        <w:rPr>
          <w:rFonts w:ascii="Book Antiqua" w:eastAsia="Book Antiqua" w:hAnsi="Book Antiqua" w:cs="Book Antiqua"/>
          <w:color w:val="000000"/>
        </w:rPr>
        <w:t>reobstructed</w:t>
      </w:r>
      <w:proofErr w:type="spellEnd"/>
      <w:r>
        <w:rPr>
          <w:rFonts w:ascii="Book Antiqua" w:eastAsia="Book Antiqua" w:hAnsi="Book Antiqua" w:cs="Book Antiqua"/>
          <w:color w:val="000000"/>
        </w:rPr>
        <w:t>. We observed that extending the iodine-1</w:t>
      </w:r>
      <w:r>
        <w:rPr>
          <w:rFonts w:ascii="Book Antiqua" w:eastAsia="Book Antiqua" w:hAnsi="Book Antiqua" w:cs="Book Antiqua"/>
          <w:color w:val="000000"/>
        </w:rPr>
        <w:t>25 seed strand along the length of the stent produced a safe and effective result in malignant obstructive jaundice.</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Malignant obstructive jaundice is caused by cholangiocarcinoma or </w:t>
      </w:r>
      <w:proofErr w:type="spellStart"/>
      <w:r>
        <w:rPr>
          <w:rFonts w:ascii="Book Antiqua" w:eastAsia="Book Antiqua" w:hAnsi="Book Antiqua" w:cs="Book Antiqua"/>
          <w:color w:val="000000"/>
        </w:rPr>
        <w:t>peribiliary</w:t>
      </w:r>
      <w:proofErr w:type="spellEnd"/>
      <w:r>
        <w:rPr>
          <w:rFonts w:ascii="Book Antiqua" w:eastAsia="Book Antiqua" w:hAnsi="Book Antiqua" w:cs="Book Antiqua"/>
          <w:color w:val="000000"/>
        </w:rPr>
        <w:t xml:space="preserve"> malignant tumor invasion and compression; </w:t>
      </w:r>
      <w:r>
        <w:rPr>
          <w:rFonts w:ascii="Book Antiqua" w:eastAsia="Book Antiqua" w:hAnsi="Book Antiqua" w:cs="Book Antiqua"/>
          <w:color w:val="000000"/>
        </w:rPr>
        <w:t>onset of symptoms is generally insidious with only 10%-20% of patients indicated for surgical resection. The 3-year survival rate is &lt;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For patients who are not indicated for or unwilling to undergo surgery, biliary stent placement can relieve bil</w:t>
      </w:r>
      <w:r>
        <w:rPr>
          <w:rFonts w:ascii="Book Antiqua" w:eastAsia="Book Antiqua" w:hAnsi="Book Antiqua" w:cs="Book Antiqua"/>
          <w:color w:val="000000"/>
        </w:rPr>
        <w:t xml:space="preserve">iary obstruction, improve liver function and quality of life, and prolong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However, restenosis after a biliary stent may significantly worsen prognosis and remains a clinical challenge. The main causes of restenosis include tumor growth, </w:t>
      </w:r>
      <w:proofErr w:type="spellStart"/>
      <w:r>
        <w:rPr>
          <w:rFonts w:ascii="Book Antiqua" w:eastAsia="Book Antiqua" w:hAnsi="Book Antiqua" w:cs="Book Antiqua"/>
          <w:color w:val="000000"/>
        </w:rPr>
        <w:t>chol</w:t>
      </w:r>
      <w:r>
        <w:rPr>
          <w:rFonts w:ascii="Book Antiqua" w:eastAsia="Book Antiqua" w:hAnsi="Book Antiqua" w:cs="Book Antiqua"/>
          <w:color w:val="000000"/>
        </w:rPr>
        <w:t>estatic</w:t>
      </w:r>
      <w:proofErr w:type="spellEnd"/>
      <w:r>
        <w:rPr>
          <w:rFonts w:ascii="Book Antiqua" w:eastAsia="Book Antiqua" w:hAnsi="Book Antiqua" w:cs="Book Antiqua"/>
          <w:color w:val="000000"/>
        </w:rPr>
        <w:t xml:space="preserve"> accumulation, and granulation tissue hyperplasia. In recent years, reports of biliary stents combined with iodine-125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implantation seemed to prolong stent patency time and improved patient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However, most attempts to reliev</w:t>
      </w:r>
      <w:r>
        <w:rPr>
          <w:rFonts w:ascii="Book Antiqua" w:eastAsia="Book Antiqua" w:hAnsi="Book Antiqua" w:cs="Book Antiqua"/>
          <w:color w:val="000000"/>
        </w:rPr>
        <w:t xml:space="preserve">e stenosis caused by tumors utilized a technique of placing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in the middle of the stent while ignoring both ends. Because of overgrowth of the tumor and fibrous granulation tissue hyperplasia caused by frictional stimulation between the two en</w:t>
      </w:r>
      <w:r>
        <w:rPr>
          <w:rFonts w:ascii="Book Antiqua" w:eastAsia="Book Antiqua" w:hAnsi="Book Antiqua" w:cs="Book Antiqua"/>
          <w:color w:val="000000"/>
        </w:rPr>
        <w:t xml:space="preserve">ds of the stent and the bile duct wall, both ends of the stent can be </w:t>
      </w:r>
      <w:proofErr w:type="spellStart"/>
      <w:r>
        <w:rPr>
          <w:rFonts w:ascii="Book Antiqua" w:eastAsia="Book Antiqua" w:hAnsi="Book Antiqua" w:cs="Book Antiqua"/>
          <w:color w:val="000000"/>
        </w:rPr>
        <w:t>reobstructed</w:t>
      </w:r>
      <w:proofErr w:type="spell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Therefore, measures to prevent </w:t>
      </w:r>
      <w:proofErr w:type="spellStart"/>
      <w:r>
        <w:rPr>
          <w:rFonts w:ascii="Book Antiqua" w:eastAsia="Book Antiqua" w:hAnsi="Book Antiqua" w:cs="Book Antiqua"/>
          <w:color w:val="000000"/>
        </w:rPr>
        <w:t>reobstruction</w:t>
      </w:r>
      <w:proofErr w:type="spellEnd"/>
      <w:r>
        <w:rPr>
          <w:rFonts w:ascii="Book Antiqua" w:eastAsia="Book Antiqua" w:hAnsi="Book Antiqua" w:cs="Book Antiqua"/>
          <w:color w:val="000000"/>
        </w:rPr>
        <w:t xml:space="preserve"> may provide a greater benefit to patients. In this study, we evaluated extending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 across the entire l</w:t>
      </w:r>
      <w:r>
        <w:rPr>
          <w:rFonts w:ascii="Book Antiqua" w:eastAsia="Book Antiqua" w:hAnsi="Book Antiqua" w:cs="Book Antiqua"/>
          <w:color w:val="000000"/>
        </w:rPr>
        <w:t xml:space="preserve">ength of the stent. </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Ethical permission</w:t>
      </w:r>
    </w:p>
    <w:p w:rsidR="00D164C5" w:rsidRDefault="00B65CF9">
      <w:pPr>
        <w:spacing w:line="360" w:lineRule="auto"/>
        <w:jc w:val="both"/>
        <w:rPr>
          <w:rFonts w:ascii="Book Antiqua" w:hAnsi="Book Antiqua"/>
        </w:rPr>
      </w:pPr>
      <w:r>
        <w:rPr>
          <w:rFonts w:ascii="Book Antiqua" w:eastAsia="Book Antiqua" w:hAnsi="Book Antiqua" w:cs="Book Antiqua"/>
          <w:color w:val="000000"/>
        </w:rPr>
        <w:t>This study was approved by the Medical Ethics Review Committee of Harbin Medical University Cancer Hospital and registered for the Chinese clinical trial (Registration Number: ChiCTR2000030878)</w:t>
      </w:r>
      <w:r>
        <w:rPr>
          <w:rFonts w:ascii="Book Antiqua" w:eastAsia="Book Antiqua" w:hAnsi="Book Antiqua" w:cs="Book Antiqua"/>
          <w:color w:val="000000"/>
        </w:rPr>
        <w:t>.</w:t>
      </w:r>
    </w:p>
    <w:p w:rsidR="00D164C5" w:rsidRDefault="00D164C5">
      <w:pPr>
        <w:spacing w:line="360" w:lineRule="auto"/>
        <w:jc w:val="both"/>
        <w:rPr>
          <w:rFonts w:ascii="Book Antiqua" w:eastAsia="Book Antiqua" w:hAnsi="Book Antiqua" w:cs="Book Antiqua"/>
          <w:b/>
          <w:bCs/>
          <w:i/>
          <w:iCs/>
          <w:color w:val="000000"/>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Inclusion and exclusion criteria</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This was a single center, randomized, controlled study. The inclusion criteria were as follows: (1)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ge 18-80 years; (2) Eastern Cooperative Oncology Group score ≤ 2 points; (3) </w:t>
      </w:r>
      <w:r>
        <w:rPr>
          <w:rFonts w:ascii="Book Antiqua" w:eastAsia="宋体" w:hAnsi="Book Antiqua" w:cs="Book Antiqua" w:hint="eastAsia"/>
          <w:color w:val="000000"/>
          <w:lang w:eastAsia="zh-CN"/>
        </w:rPr>
        <w:t>O</w:t>
      </w:r>
      <w:r>
        <w:rPr>
          <w:rFonts w:ascii="Book Antiqua" w:eastAsia="Book Antiqua" w:hAnsi="Book Antiqua" w:cs="Book Antiqua"/>
          <w:color w:val="000000"/>
        </w:rPr>
        <w:t>bstructive jaundice caused by pathologica</w:t>
      </w:r>
      <w:r>
        <w:rPr>
          <w:rFonts w:ascii="Book Antiqua" w:eastAsia="Book Antiqua" w:hAnsi="Book Antiqua" w:cs="Book Antiqua"/>
          <w:color w:val="000000"/>
        </w:rPr>
        <w:t xml:space="preserve">lly or clinically diagnosed malignant </w:t>
      </w:r>
      <w:r>
        <w:rPr>
          <w:rFonts w:ascii="Book Antiqua" w:eastAsia="Book Antiqua" w:hAnsi="Book Antiqua" w:cs="Book Antiqua"/>
          <w:color w:val="000000"/>
        </w:rPr>
        <w:lastRenderedPageBreak/>
        <w:t xml:space="preserve">tumor, and patient not indicated or unwilling to undergo surgery; (4)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 severe cardiovascular and cerebrovascular diseases; (5)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 severe coagulation abnormalities; and (6) </w:t>
      </w:r>
      <w:r>
        <w:rPr>
          <w:rFonts w:ascii="Book Antiqua" w:eastAsia="宋体" w:hAnsi="Book Antiqua" w:cs="Book Antiqua" w:hint="eastAsia"/>
          <w:color w:val="000000"/>
          <w:lang w:eastAsia="zh-CN"/>
        </w:rPr>
        <w:t>W</w:t>
      </w:r>
      <w:r>
        <w:rPr>
          <w:rFonts w:ascii="Book Antiqua" w:eastAsia="Book Antiqua" w:hAnsi="Book Antiqua" w:cs="Book Antiqua"/>
          <w:color w:val="000000"/>
        </w:rPr>
        <w:t>illing to participate in this study and giv</w:t>
      </w:r>
      <w:r>
        <w:rPr>
          <w:rFonts w:ascii="Book Antiqua" w:eastAsia="Book Antiqua" w:hAnsi="Book Antiqua" w:cs="Book Antiqua"/>
          <w:color w:val="000000"/>
        </w:rPr>
        <w:t xml:space="preserve">e signed informed consent. The exclusion criteria were as follows: (1)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uspicion of benign biliary stricture; and (2)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w:t>
      </w:r>
      <w:proofErr w:type="spellStart"/>
      <w:r>
        <w:rPr>
          <w:rFonts w:ascii="Book Antiqua" w:eastAsia="Book Antiqua" w:hAnsi="Book Antiqua" w:cs="Book Antiqua"/>
          <w:color w:val="000000"/>
        </w:rPr>
        <w:t>reobstruction</w:t>
      </w:r>
      <w:proofErr w:type="spellEnd"/>
      <w:r>
        <w:rPr>
          <w:rFonts w:ascii="Book Antiqua" w:eastAsia="Book Antiqua" w:hAnsi="Book Antiqua" w:cs="Book Antiqua"/>
          <w:color w:val="000000"/>
        </w:rPr>
        <w:t xml:space="preserve"> after biliary stenting or drainage.</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 xml:space="preserve">Patient characteristics </w:t>
      </w:r>
    </w:p>
    <w:p w:rsidR="00D164C5" w:rsidRDefault="00B65CF9">
      <w:pPr>
        <w:spacing w:line="360" w:lineRule="auto"/>
        <w:jc w:val="both"/>
        <w:rPr>
          <w:rFonts w:ascii="Book Antiqua" w:hAnsi="Book Antiqua"/>
        </w:rPr>
      </w:pPr>
      <w:r>
        <w:rPr>
          <w:rFonts w:ascii="Book Antiqua" w:eastAsia="Book Antiqua" w:hAnsi="Book Antiqua" w:cs="Book Antiqua"/>
          <w:color w:val="000000"/>
        </w:rPr>
        <w:t>Based on previous reports, the median survival t</w:t>
      </w:r>
      <w:r>
        <w:rPr>
          <w:rFonts w:ascii="Book Antiqua" w:eastAsia="Book Antiqua" w:hAnsi="Book Antiqua" w:cs="Book Antiqua"/>
          <w:color w:val="000000"/>
        </w:rPr>
        <w:t xml:space="preserve">ime after traditional biliary stent implantation is 3-8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6,11-13]</w:t>
      </w:r>
      <w:r>
        <w:rPr>
          <w:rFonts w:ascii="Book Antiqua" w:eastAsia="Book Antiqua" w:hAnsi="Book Antiqua" w:cs="Book Antiqua"/>
          <w:color w:val="000000"/>
        </w:rPr>
        <w:t xml:space="preserve">. We assumed median survival time of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in the control group and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combined group. </w:t>
      </w:r>
      <w:proofErr w:type="gramStart"/>
      <w:r>
        <w:rPr>
          <w:rFonts w:ascii="Book Antiqua" w:eastAsia="Book Antiqua" w:hAnsi="Book Antiqua" w:cs="Book Antiqua"/>
          <w:color w:val="000000"/>
        </w:rPr>
        <w:t>The α</w:t>
      </w:r>
      <w:proofErr w:type="gramEnd"/>
      <w:r>
        <w:rPr>
          <w:rFonts w:ascii="Book Antiqua" w:eastAsia="Book Antiqua" w:hAnsi="Book Antiqua" w:cs="Book Antiqua"/>
          <w:color w:val="000000"/>
        </w:rPr>
        <w:t xml:space="preserve"> value was 0.05 (unilateral test), the power was 0.9, and we needed 30 cases in each grou</w:t>
      </w:r>
      <w:r>
        <w:rPr>
          <w:rFonts w:ascii="Book Antiqua" w:eastAsia="Book Antiqua" w:hAnsi="Book Antiqua" w:cs="Book Antiqua"/>
          <w:color w:val="000000"/>
        </w:rPr>
        <w:t>p for the sample size.</w:t>
      </w:r>
    </w:p>
    <w:p w:rsidR="00D164C5" w:rsidRDefault="00B65CF9">
      <w:pPr>
        <w:spacing w:line="360" w:lineRule="auto"/>
        <w:ind w:firstLineChars="200" w:firstLine="480"/>
        <w:jc w:val="both"/>
        <w:rPr>
          <w:rFonts w:ascii="Book Antiqua" w:hAnsi="Book Antiqua"/>
        </w:rPr>
      </w:pPr>
      <w:r>
        <w:rPr>
          <w:rFonts w:ascii="Book Antiqua" w:eastAsia="Book Antiqua" w:hAnsi="Book Antiqua" w:cs="Book Antiqua"/>
          <w:color w:val="000000"/>
        </w:rPr>
        <w:t>Between January 2016 and June 2018, 67 patients with malignant obstructive jaundice were treated in our center. All patients underwent enhanced computed tomography and magnetic resonance imaging and were tested for biochemical and ca</w:t>
      </w:r>
      <w:r>
        <w:rPr>
          <w:rFonts w:ascii="Book Antiqua" w:eastAsia="Book Antiqua" w:hAnsi="Book Antiqua" w:cs="Book Antiqua"/>
          <w:color w:val="000000"/>
        </w:rPr>
        <w:t xml:space="preserve">ncer markers. Twelve patients underwent pathological examination before surgery. All patients were diagnosed with malignant obstructive jaundice. Envelopes were randomly assigned to the simple stent (control) group and the biliary stent combined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w:t>
      </w:r>
      <w:r>
        <w:rPr>
          <w:rFonts w:ascii="Book Antiqua" w:eastAsia="Book Antiqua" w:hAnsi="Book Antiqua" w:cs="Book Antiqua"/>
          <w:color w:val="000000"/>
        </w:rPr>
        <w:t xml:space="preserve">seed strand treatment (combined) group according to a 1:1 ratio. There were 35 patients in the control group and 32 in the combined group (one patient in the combined group was transferred to the control group for economic reasons). There were 35 patients </w:t>
      </w:r>
      <w:r>
        <w:rPr>
          <w:rFonts w:ascii="Book Antiqua" w:eastAsia="Book Antiqua" w:hAnsi="Book Antiqua" w:cs="Book Antiqua"/>
          <w:color w:val="000000"/>
        </w:rPr>
        <w:t>with pancreatic cancer (21 in the control group and 14 in the combined group); 19 patients with gallbladder cancer and cholangiocarcinoma (8 in the control group and 11 in the combined group); and 13 patients with lymph node metastasis from digestive malig</w:t>
      </w:r>
      <w:r>
        <w:rPr>
          <w:rFonts w:ascii="Book Antiqua" w:eastAsia="Book Antiqua" w:hAnsi="Book Antiqua" w:cs="Book Antiqua"/>
          <w:color w:val="000000"/>
        </w:rPr>
        <w:t>nant tumors (6 in the control group and 7 in the combined group). The statistician was blinded to group assignment. The general clinical characteristics of the two groups of patients are shown in Table 1. The differences between the two groups were not sig</w:t>
      </w:r>
      <w:r>
        <w:rPr>
          <w:rFonts w:ascii="Book Antiqua" w:eastAsia="Book Antiqua" w:hAnsi="Book Antiqua" w:cs="Book Antiqua"/>
          <w:color w:val="000000"/>
        </w:rPr>
        <w:t xml:space="preserve">nificant. </w:t>
      </w:r>
    </w:p>
    <w:p w:rsidR="00D164C5" w:rsidRDefault="00D164C5">
      <w:pPr>
        <w:spacing w:line="360" w:lineRule="auto"/>
        <w:ind w:firstLine="480"/>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Stent and</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vertAlign w:val="superscript"/>
        </w:rPr>
        <w:t>125</w:t>
      </w:r>
      <w:r>
        <w:rPr>
          <w:rFonts w:ascii="Book Antiqua" w:eastAsia="Book Antiqua" w:hAnsi="Book Antiqua" w:cs="Book Antiqua"/>
          <w:b/>
          <w:bCs/>
          <w:i/>
          <w:iCs/>
          <w:color w:val="000000"/>
        </w:rPr>
        <w:t xml:space="preserve">I seed </w:t>
      </w:r>
    </w:p>
    <w:p w:rsidR="00D164C5" w:rsidRDefault="00B65CF9">
      <w:pPr>
        <w:spacing w:line="360" w:lineRule="auto"/>
        <w:jc w:val="both"/>
        <w:rPr>
          <w:rFonts w:ascii="Book Antiqua" w:hAnsi="Book Antiqua"/>
        </w:rPr>
      </w:pPr>
      <w:r>
        <w:rPr>
          <w:rFonts w:ascii="Book Antiqua" w:eastAsia="Book Antiqua" w:hAnsi="Book Antiqua" w:cs="Book Antiqua"/>
          <w:color w:val="000000"/>
          <w:vertAlign w:val="superscript"/>
        </w:rPr>
        <w:lastRenderedPageBreak/>
        <w:t>125</w:t>
      </w:r>
      <w:r>
        <w:rPr>
          <w:rFonts w:ascii="Book Antiqua" w:eastAsia="Book Antiqua" w:hAnsi="Book Antiqua" w:cs="Book Antiqua"/>
          <w:color w:val="000000"/>
        </w:rPr>
        <w:t xml:space="preserve">I seeds were produced by Beijing Science and Technology Biotechnology Co. Ltd. (Beijing, China). Dimensions: length = 4.5 mm, diameter = 0.8 mm, effective radiation radius of 15-20 mm, half-life of 59.43 d, energy of </w:t>
      </w:r>
      <w:r>
        <w:rPr>
          <w:rFonts w:ascii="Book Antiqua" w:eastAsia="Book Antiqua" w:hAnsi="Book Antiqua" w:cs="Book Antiqua"/>
          <w:color w:val="000000"/>
        </w:rPr>
        <w:t xml:space="preserve">27.4 </w:t>
      </w:r>
      <w:proofErr w:type="spellStart"/>
      <w:r>
        <w:rPr>
          <w:rFonts w:ascii="Book Antiqua" w:eastAsia="Book Antiqua" w:hAnsi="Book Antiqua" w:cs="Book Antiqua"/>
          <w:color w:val="000000"/>
        </w:rPr>
        <w:t>keV</w:t>
      </w:r>
      <w:proofErr w:type="spellEnd"/>
      <w:r>
        <w:rPr>
          <w:rFonts w:ascii="Book Antiqua" w:eastAsia="Book Antiqua" w:hAnsi="Book Antiqua" w:cs="Book Antiqua"/>
          <w:color w:val="000000"/>
        </w:rPr>
        <w:t xml:space="preserve"> for X rays and 35.5 </w:t>
      </w:r>
      <w:proofErr w:type="spellStart"/>
      <w:r>
        <w:rPr>
          <w:rFonts w:ascii="Book Antiqua" w:eastAsia="Book Antiqua" w:hAnsi="Book Antiqua" w:cs="Book Antiqua"/>
          <w:color w:val="000000"/>
        </w:rPr>
        <w:t>keV</w:t>
      </w:r>
      <w:proofErr w:type="spellEnd"/>
      <w:r>
        <w:rPr>
          <w:rFonts w:ascii="Book Antiqua" w:eastAsia="Book Antiqua" w:hAnsi="Book Antiqua" w:cs="Book Antiqua"/>
          <w:color w:val="000000"/>
        </w:rPr>
        <w:t xml:space="preserve"> for R rays. The stent was a biliary stent produced by Nanjing </w:t>
      </w:r>
      <w:proofErr w:type="spellStart"/>
      <w:r>
        <w:rPr>
          <w:rFonts w:ascii="Book Antiqua" w:eastAsia="Book Antiqua" w:hAnsi="Book Antiqua" w:cs="Book Antiqua"/>
          <w:color w:val="000000"/>
        </w:rPr>
        <w:t>Minitron</w:t>
      </w:r>
      <w:proofErr w:type="spellEnd"/>
      <w:r>
        <w:rPr>
          <w:rFonts w:ascii="Book Antiqua" w:eastAsia="Book Antiqua" w:hAnsi="Book Antiqua" w:cs="Book Antiqua"/>
          <w:color w:val="000000"/>
        </w:rPr>
        <w:t xml:space="preserve"> Co. Ltd. (Nanjing, China) with a diameter of 10 mm and length of 40-80 mm.</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Procedures</w:t>
      </w:r>
    </w:p>
    <w:p w:rsidR="00D164C5" w:rsidRDefault="00B65CF9">
      <w:pPr>
        <w:spacing w:line="360" w:lineRule="auto"/>
        <w:jc w:val="both"/>
        <w:rPr>
          <w:rFonts w:ascii="Book Antiqua" w:hAnsi="Book Antiqua"/>
        </w:rPr>
      </w:pPr>
      <w:r>
        <w:rPr>
          <w:rFonts w:ascii="Book Antiqua" w:eastAsia="Book Antiqua" w:hAnsi="Book Antiqua" w:cs="Book Antiqua"/>
          <w:color w:val="000000"/>
        </w:rPr>
        <w:t>Under the guidance of ultrasound and digital subtraction angiogra</w:t>
      </w:r>
      <w:r>
        <w:rPr>
          <w:rFonts w:ascii="Book Antiqua" w:eastAsia="Book Antiqua" w:hAnsi="Book Antiqua" w:cs="Book Antiqua"/>
          <w:color w:val="000000"/>
        </w:rPr>
        <w:t>phy, an 18G needle was used to puncture the intrahepatic dilated bile duct. A guide wire was introduced in place of the puncture needle core, and the puncture needle sheath was pulled out. An 8F long arterial sheath was introduced through the guide wire, a</w:t>
      </w:r>
      <w:r>
        <w:rPr>
          <w:rFonts w:ascii="Book Antiqua" w:eastAsia="Book Antiqua" w:hAnsi="Book Antiqua" w:cs="Book Antiqua"/>
          <w:color w:val="000000"/>
        </w:rPr>
        <w:t xml:space="preserve">nd two guide wires were introduced through the long arterial sheath after withdrawing the core of the arterial sheath. After removing the arterial sheath, the stent conveyor was placed along one of the guide wires. A customized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was placed </w:t>
      </w:r>
      <w:r>
        <w:rPr>
          <w:rFonts w:ascii="Book Antiqua" w:eastAsia="Book Antiqua" w:hAnsi="Book Antiqua" w:cs="Book Antiqua"/>
          <w:color w:val="000000"/>
        </w:rPr>
        <w:t xml:space="preserve">along an 8F long arterial sheath that was introduced along the other guide wire (Figure 1A-F).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were placed in a 4F plastic tube </w:t>
      </w:r>
      <w:r>
        <w:rPr>
          <w:rFonts w:ascii="Book Antiqua" w:eastAsia="Book Antiqua" w:hAnsi="Book Antiqua" w:cs="Book Antiqua"/>
          <w:i/>
          <w:iCs/>
          <w:color w:val="000000"/>
        </w:rPr>
        <w:t>via</w:t>
      </w:r>
      <w:r>
        <w:rPr>
          <w:rFonts w:ascii="Book Antiqua" w:eastAsia="Book Antiqua" w:hAnsi="Book Antiqua" w:cs="Book Antiqua"/>
          <w:color w:val="000000"/>
        </w:rPr>
        <w:t xml:space="preserve"> a seed gun, and both ends were heated and then clamped shut (Figure 1G). The number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was calcula</w:t>
      </w:r>
      <w:r>
        <w:rPr>
          <w:rFonts w:ascii="Book Antiqua" w:eastAsia="Book Antiqua" w:hAnsi="Book Antiqua" w:cs="Book Antiqua"/>
          <w:color w:val="000000"/>
        </w:rPr>
        <w:t xml:space="preserve">ted by: N = L/4.5 + 2 (L = stent length). Only simple stents were placed in the control group. After successful stenting and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implantation, an external drainage tube was placed through the guide wire. After 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imaging examination was per</w:t>
      </w:r>
      <w:r>
        <w:rPr>
          <w:rFonts w:ascii="Book Antiqua" w:eastAsia="Book Antiqua" w:hAnsi="Book Antiqua" w:cs="Book Antiqua"/>
          <w:color w:val="000000"/>
        </w:rPr>
        <w:t>formed to confirm that the stent was unobstructed before the drainage tube was removed.</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Follow-up</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All patients were followed up by telephone or clinical visit. Telephone follow-up was performed every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document the patient’s status. If a patient had</w:t>
      </w:r>
      <w:r>
        <w:rPr>
          <w:rFonts w:ascii="Book Antiqua" w:eastAsia="Book Antiqua" w:hAnsi="Book Antiqua" w:cs="Book Antiqua"/>
          <w:color w:val="000000"/>
        </w:rPr>
        <w:t xml:space="preserve"> new jaundice or a significant increase in total bilirubin, abdominal enhanced computed tomography or magnetic resonance imaging was recommended to determine stent obstruction. Follow-up continued until a patient died or the end of the study. The overall s</w:t>
      </w:r>
      <w:r>
        <w:rPr>
          <w:rFonts w:ascii="Book Antiqua" w:eastAsia="Book Antiqua" w:hAnsi="Book Antiqua" w:cs="Book Antiqua"/>
          <w:color w:val="000000"/>
        </w:rPr>
        <w:t xml:space="preserve">urvival period was calculated from the time the stent was placed to when the patient died or the end of </w:t>
      </w:r>
      <w:r>
        <w:rPr>
          <w:rFonts w:ascii="Book Antiqua" w:eastAsia="Book Antiqua" w:hAnsi="Book Antiqua" w:cs="Book Antiqua"/>
          <w:color w:val="000000"/>
        </w:rPr>
        <w:lastRenderedPageBreak/>
        <w:t>the study. The stent patency time was from stent placement to stent blockage or the end of the study.</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 xml:space="preserve">Statistical analysis </w:t>
      </w:r>
    </w:p>
    <w:p w:rsidR="00D164C5" w:rsidRDefault="00B65CF9">
      <w:pPr>
        <w:spacing w:line="360" w:lineRule="auto"/>
        <w:jc w:val="both"/>
        <w:rPr>
          <w:rFonts w:ascii="Book Antiqua" w:hAnsi="Book Antiqua"/>
        </w:rPr>
      </w:pPr>
      <w:r>
        <w:rPr>
          <w:rFonts w:ascii="Book Antiqua" w:eastAsia="Book Antiqua" w:hAnsi="Book Antiqua" w:cs="Book Antiqua"/>
          <w:color w:val="000000"/>
        </w:rPr>
        <w:t>The c</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com</w:t>
      </w:r>
      <w:r>
        <w:rPr>
          <w:rFonts w:ascii="Book Antiqua" w:eastAsia="Book Antiqua" w:hAnsi="Book Antiqua" w:cs="Book Antiqua"/>
          <w:color w:val="000000"/>
        </w:rPr>
        <w:t xml:space="preserve">pare the numerical data. Continuous variables were expressed as mean ± standard deviation, and changes in the laboratory tests in the same group were evaluated by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 Comparison of changes in preoperative and postoperative indexes in both groups</w:t>
      </w:r>
      <w:r>
        <w:rPr>
          <w:rFonts w:ascii="Book Antiqua" w:eastAsia="Book Antiqua" w:hAnsi="Book Antiqua" w:cs="Book Antiqua"/>
          <w:color w:val="000000"/>
        </w:rPr>
        <w:t xml:space="preserve"> was performed by independent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 Survival was calculated using the Kaplan-Meier method, and factors affecting prognosis were analyzed using a Cox regression model.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indicated that the difference was significant. Statistical analysis was perfor</w:t>
      </w:r>
      <w:r>
        <w:rPr>
          <w:rFonts w:ascii="Book Antiqua" w:eastAsia="Book Antiqua" w:hAnsi="Book Antiqua" w:cs="Book Antiqua"/>
          <w:color w:val="000000"/>
        </w:rPr>
        <w:t>med using SPSS version 17.0.</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aps/>
          <w:color w:val="000000"/>
          <w:u w:val="single"/>
        </w:rPr>
        <w:t>RESULTS</w:t>
      </w: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Technical success rate, liver function relief, and complications</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Both groups of patients were successfully implanted with biliary stents or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 and the technical success rate was 100%. Liver function was significantly improved in both groups 5 d after surgery (total bilirubin, direct bilirubin, alanine aminotransferase, and aspartate aminotransferase decreased significantly in all p</w:t>
      </w:r>
      <w:r>
        <w:rPr>
          <w:rFonts w:ascii="Book Antiqua" w:eastAsia="Book Antiqua" w:hAnsi="Book Antiqua" w:cs="Book Antiqua"/>
          <w:color w:val="000000"/>
        </w:rPr>
        <w:t xml:space="preserve">atients; the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 were less than 0.05). There was no significant difference in preoperative or postoperative indexes between the two groups for changes in total bilirubin (</w:t>
      </w:r>
      <w:r>
        <w:rPr>
          <w:rFonts w:ascii="Book Antiqua" w:eastAsia="Book Antiqua" w:hAnsi="Book Antiqua" w:cs="Book Antiqua"/>
          <w:i/>
          <w:iCs/>
          <w:color w:val="000000"/>
        </w:rPr>
        <w:t xml:space="preserve">P </w:t>
      </w:r>
      <w:r>
        <w:rPr>
          <w:rFonts w:ascii="Book Antiqua" w:eastAsia="Book Antiqua" w:hAnsi="Book Antiqua" w:cs="Book Antiqua"/>
          <w:color w:val="000000"/>
        </w:rPr>
        <w:t>= 0.147), direct bilirubin (</w:t>
      </w:r>
      <w:r>
        <w:rPr>
          <w:rFonts w:ascii="Book Antiqua" w:eastAsia="Book Antiqua" w:hAnsi="Book Antiqua" w:cs="Book Antiqua"/>
          <w:i/>
          <w:iCs/>
          <w:color w:val="000000"/>
        </w:rPr>
        <w:t xml:space="preserve">P </w:t>
      </w:r>
      <w:r>
        <w:rPr>
          <w:rFonts w:ascii="Book Antiqua" w:eastAsia="Book Antiqua" w:hAnsi="Book Antiqua" w:cs="Book Antiqua"/>
          <w:color w:val="000000"/>
        </w:rPr>
        <w:t>= 0.448), alanine aminotransferase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0.120), </w:t>
      </w:r>
      <w:r>
        <w:rPr>
          <w:rFonts w:ascii="Book Antiqua" w:eastAsia="Book Antiqua" w:hAnsi="Book Antiqua" w:cs="Book Antiqua"/>
          <w:color w:val="000000"/>
        </w:rPr>
        <w:t>and aspartate aminotransferase (</w:t>
      </w:r>
      <w:r>
        <w:rPr>
          <w:rFonts w:ascii="Book Antiqua" w:eastAsia="Book Antiqua" w:hAnsi="Book Antiqua" w:cs="Book Antiqua"/>
          <w:i/>
          <w:iCs/>
          <w:color w:val="000000"/>
        </w:rPr>
        <w:t xml:space="preserve">P </w:t>
      </w:r>
      <w:r>
        <w:rPr>
          <w:rFonts w:ascii="Book Antiqua" w:eastAsia="Book Antiqua" w:hAnsi="Book Antiqua" w:cs="Book Antiqua"/>
          <w:color w:val="000000"/>
        </w:rPr>
        <w:t>= 0.387) (Table 2). No serious complications occurred in either group.</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Stent patency time</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The mean and median stent patency times for the combined group were 9.5 ± 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 confidence interval (CI): 8.3-10.7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9.</w:t>
      </w:r>
      <w:r>
        <w:rPr>
          <w:rFonts w:ascii="Book Antiqua" w:eastAsia="Book Antiqua" w:hAnsi="Book Antiqua" w:cs="Book Antiqua"/>
          <w:color w:val="000000"/>
        </w:rPr>
        <w:t xml:space="preserve">0 ±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6.3-11.8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For the control group, they were 5.8 ± 0.2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5.4-6.3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6.0 ± 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5.5-6.5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There was a significant difference between the two </w:t>
      </w:r>
      <w:r>
        <w:rPr>
          <w:rFonts w:ascii="Book Antiqua" w:eastAsia="Book Antiqua" w:hAnsi="Book Antiqua" w:cs="Book Antiqua"/>
          <w:color w:val="000000"/>
        </w:rPr>
        <w:lastRenderedPageBreak/>
        <w:t>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(Figure 2A). By the </w:t>
      </w:r>
      <w:r>
        <w:rPr>
          <w:rFonts w:ascii="Book Antiqua" w:eastAsia="Book Antiqua" w:hAnsi="Book Antiqua" w:cs="Book Antiqua"/>
          <w:color w:val="000000"/>
        </w:rPr>
        <w:t xml:space="preserve">end of the study, 18 patients in the combined group had stent occlusion, of whom four had percutaneous </w:t>
      </w:r>
      <w:proofErr w:type="spellStart"/>
      <w:r>
        <w:rPr>
          <w:rFonts w:ascii="Book Antiqua" w:eastAsia="Book Antiqua" w:hAnsi="Book Antiqua" w:cs="Book Antiqua"/>
          <w:color w:val="000000"/>
        </w:rPr>
        <w:t>transhepatic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cholangial</w:t>
      </w:r>
      <w:proofErr w:type="spellEnd"/>
      <w:r>
        <w:rPr>
          <w:rFonts w:ascii="Book Antiqua" w:eastAsia="Book Antiqua" w:hAnsi="Book Antiqua" w:cs="Book Antiqua"/>
          <w:color w:val="000000"/>
        </w:rPr>
        <w:t xml:space="preserve"> drainage, and 19 patients in the control group had stent occlusion, of </w:t>
      </w:r>
      <w:proofErr w:type="gramStart"/>
      <w:r>
        <w:rPr>
          <w:rFonts w:ascii="Book Antiqua" w:eastAsia="Book Antiqua" w:hAnsi="Book Antiqua" w:cs="Book Antiqua"/>
          <w:color w:val="000000"/>
        </w:rPr>
        <w:t>whom</w:t>
      </w:r>
      <w:proofErr w:type="gramEnd"/>
      <w:r>
        <w:rPr>
          <w:rFonts w:ascii="Book Antiqua" w:eastAsia="Book Antiqua" w:hAnsi="Book Antiqua" w:cs="Book Antiqua"/>
          <w:color w:val="000000"/>
        </w:rPr>
        <w:t xml:space="preserve"> seven had percutaneous </w:t>
      </w:r>
      <w:proofErr w:type="spellStart"/>
      <w:r>
        <w:rPr>
          <w:rFonts w:ascii="Book Antiqua" w:eastAsia="Book Antiqua" w:hAnsi="Book Antiqua" w:cs="Book Antiqua"/>
          <w:color w:val="000000"/>
        </w:rPr>
        <w:t>transhepatic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cholangial</w:t>
      </w:r>
      <w:proofErr w:type="spellEnd"/>
      <w:r>
        <w:rPr>
          <w:rFonts w:ascii="Book Antiqua" w:eastAsia="Book Antiqua" w:hAnsi="Book Antiqua" w:cs="Book Antiqua"/>
          <w:color w:val="000000"/>
        </w:rPr>
        <w:t xml:space="preserve"> draina</w:t>
      </w:r>
      <w:r>
        <w:rPr>
          <w:rFonts w:ascii="Book Antiqua" w:eastAsia="Book Antiqua" w:hAnsi="Book Antiqua" w:cs="Book Antiqua"/>
          <w:color w:val="000000"/>
        </w:rPr>
        <w:t>ge.</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Survival time</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The median survival time for the combined group was 11.0 ± 1.4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(95%CI: 8.3-13.8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control group, it was 7.0 ± 0.3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(95%CI: 6.4-7.6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There was a significant difference between the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0.000) (Figure 2B).</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i/>
          <w:iCs/>
          <w:color w:val="000000"/>
        </w:rPr>
        <w:t xml:space="preserve">Risk </w:t>
      </w:r>
      <w:r>
        <w:rPr>
          <w:rFonts w:ascii="Book Antiqua" w:eastAsia="Book Antiqua" w:hAnsi="Book Antiqua" w:cs="Book Antiqua"/>
          <w:b/>
          <w:bCs/>
          <w:i/>
          <w:iCs/>
          <w:color w:val="000000"/>
        </w:rPr>
        <w:t>factors affecting prognosis of survival</w:t>
      </w:r>
    </w:p>
    <w:p w:rsidR="00D164C5" w:rsidRDefault="00B65CF9">
      <w:pPr>
        <w:spacing w:line="360" w:lineRule="auto"/>
        <w:jc w:val="both"/>
        <w:rPr>
          <w:rFonts w:ascii="Book Antiqua" w:hAnsi="Book Antiqua"/>
        </w:rPr>
      </w:pPr>
      <w:r>
        <w:rPr>
          <w:rFonts w:ascii="Book Antiqua" w:eastAsia="Book Antiqua" w:hAnsi="Book Antiqua" w:cs="Book Antiqua"/>
          <w:color w:val="000000"/>
        </w:rPr>
        <w:t>Univariate and multivariate analysis showed that the type of obstruction and the number of stents were independent risk factors that affected the prognosis for survival. Patients with low biliary obstruction and a si</w:t>
      </w:r>
      <w:r>
        <w:rPr>
          <w:rFonts w:ascii="Book Antiqua" w:eastAsia="Book Antiqua" w:hAnsi="Book Antiqua" w:cs="Book Antiqua"/>
          <w:color w:val="000000"/>
        </w:rPr>
        <w:t xml:space="preserve">ngle stent had a better prognosis </w:t>
      </w:r>
      <w:r>
        <w:rPr>
          <w:rFonts w:ascii="Book Antiqua" w:eastAsia="宋体" w:hAnsi="Book Antiqua" w:cs="宋体"/>
          <w:color w:val="000000"/>
          <w:lang w:eastAsia="zh-CN"/>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0.015 and 0.035, respectively; hazard ratios were 2.060 and 3.489, respectively</w:t>
      </w:r>
      <w:r>
        <w:rPr>
          <w:rFonts w:ascii="Book Antiqua" w:eastAsia="宋体" w:hAnsi="Book Antiqua" w:cs="宋体"/>
          <w:color w:val="000000"/>
          <w:lang w:eastAsia="zh-CN"/>
        </w:rPr>
        <w:t xml:space="preserve">) </w:t>
      </w:r>
      <w:r>
        <w:rPr>
          <w:rFonts w:ascii="Book Antiqua" w:eastAsia="Book Antiqua" w:hAnsi="Book Antiqua" w:cs="Book Antiqua"/>
          <w:color w:val="000000"/>
        </w:rPr>
        <w:t>(Table 3).</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To treat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malignant obstructive jaundice, the first task is to remove biliary blockage, imp</w:t>
      </w:r>
      <w:r>
        <w:rPr>
          <w:rFonts w:ascii="Book Antiqua" w:eastAsia="Book Antiqua" w:hAnsi="Book Antiqua" w:cs="Book Antiqua"/>
          <w:color w:val="000000"/>
        </w:rPr>
        <w:t xml:space="preserve">rove liver function, and relieve symptoms to prepare for further radiotherapy, chemotherapy, or other treatments. Biliary stent placement has become the preferred treatment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3-5,14]</w:t>
      </w:r>
      <w:r>
        <w:rPr>
          <w:rFonts w:ascii="Book Antiqua" w:eastAsia="Book Antiqua" w:hAnsi="Book Antiqua" w:cs="Book Antiqua"/>
          <w:color w:val="000000"/>
        </w:rPr>
        <w:t>. However, after stent placement due to tumor overgrowth, tissue-reac</w:t>
      </w:r>
      <w:r>
        <w:rPr>
          <w:rFonts w:ascii="Book Antiqua" w:eastAsia="Book Antiqua" w:hAnsi="Book Antiqua" w:cs="Book Antiqua"/>
          <w:color w:val="000000"/>
        </w:rPr>
        <w:t xml:space="preserve">tive hyperplasia, and biliary formation, stent restenosis significantly affects the survival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15-18]</w:t>
      </w:r>
      <w:r>
        <w:rPr>
          <w:rFonts w:ascii="Book Antiqua" w:eastAsia="Book Antiqua" w:hAnsi="Book Antiqua" w:cs="Book Antiqua"/>
          <w:color w:val="000000"/>
        </w:rPr>
        <w:t>. Therefore, prevention of restenosis after stenting has been a hot topic for clinical research and investigation in recent years and has include</w:t>
      </w:r>
      <w:r>
        <w:rPr>
          <w:rFonts w:ascii="Book Antiqua" w:eastAsia="Book Antiqua" w:hAnsi="Book Antiqua" w:cs="Book Antiqua"/>
          <w:color w:val="000000"/>
        </w:rPr>
        <w:t xml:space="preserve">d the study of covered and drug-eluting stents. Covered stents are prone to displacement, and stent displacement tends to increase the incidence of cholecystitis and pancreatitis. These two approaches have not achieved satisfactory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rsidR="00D164C5" w:rsidRDefault="00B65CF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vertAlign w:val="superscript"/>
        </w:rPr>
        <w:lastRenderedPageBreak/>
        <w:t>125</w:t>
      </w:r>
      <w:r>
        <w:rPr>
          <w:rFonts w:ascii="Book Antiqua" w:eastAsia="Book Antiqua" w:hAnsi="Book Antiqua" w:cs="Book Antiqua"/>
          <w:color w:val="000000"/>
        </w:rPr>
        <w:t xml:space="preserve">I seeds are new micro-low-dose-rate particle sources developed in recent years with an effective irradiation radius of 15-20 mm, half-life of 59.43 d, and energy of 27.4 </w:t>
      </w:r>
      <w:proofErr w:type="spellStart"/>
      <w:r>
        <w:rPr>
          <w:rFonts w:ascii="Book Antiqua" w:eastAsia="Book Antiqua" w:hAnsi="Book Antiqua" w:cs="Book Antiqua"/>
          <w:color w:val="000000"/>
        </w:rPr>
        <w:t>keV</w:t>
      </w:r>
      <w:proofErr w:type="spellEnd"/>
      <w:r>
        <w:rPr>
          <w:rFonts w:ascii="Book Antiqua" w:eastAsia="Book Antiqua" w:hAnsi="Book Antiqua" w:cs="Book Antiqua"/>
          <w:color w:val="000000"/>
        </w:rPr>
        <w:t xml:space="preserve"> for </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 xml:space="preserve"> rays and 35.5keV for R rays. Low dose rate and continuous irradiation l</w:t>
      </w:r>
      <w:r>
        <w:rPr>
          <w:rFonts w:ascii="Book Antiqua" w:eastAsia="Book Antiqua" w:hAnsi="Book Antiqua" w:cs="Book Antiqua"/>
          <w:color w:val="000000"/>
        </w:rPr>
        <w:t>ead to high dose within the target, resulting in a strong targeted killing effect on tumor cells by destroying DNA double strands of tumor cells and reducing their ability to proliferate without significantly affecting surrounding normal tissues. Because o</w:t>
      </w:r>
      <w:r>
        <w:rPr>
          <w:rFonts w:ascii="Book Antiqua" w:eastAsia="Book Antiqua" w:hAnsi="Book Antiqua" w:cs="Book Antiqua"/>
          <w:color w:val="000000"/>
        </w:rPr>
        <w:t xml:space="preserve">f these advantages,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implantation has achieved good results in the treatment of various solid malignancies in recent years. </w:t>
      </w:r>
    </w:p>
    <w:p w:rsidR="00D164C5" w:rsidRDefault="00B65CF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first implanted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into porcine bile duct. They demonstrated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were safe and did not </w:t>
      </w:r>
      <w:r>
        <w:rPr>
          <w:rFonts w:ascii="Book Antiqua" w:eastAsia="Book Antiqua" w:hAnsi="Book Antiqua" w:cs="Book Antiqua"/>
          <w:color w:val="000000"/>
        </w:rPr>
        <w:t xml:space="preserve">cause serious damage to the bile duct. There are also reports that biliary stents combined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for patients with malignant obstructive jaundice. Due to the killing effect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on tumor tissues, they can increase stent patency ti</w:t>
      </w:r>
      <w:r>
        <w:rPr>
          <w:rFonts w:ascii="Book Antiqua" w:eastAsia="Book Antiqua" w:hAnsi="Book Antiqua" w:cs="Book Antiqua"/>
          <w:color w:val="000000"/>
        </w:rPr>
        <w:t xml:space="preserve">me and prolong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6,8,11,12,23]</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Some researchers placed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into biliary stenosis through an external drainage tube and then removed the drainage tube and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later. This approach also improved the stent patency </w:t>
      </w:r>
      <w:r>
        <w:rPr>
          <w:rFonts w:ascii="Book Antiqua" w:eastAsia="Book Antiqua" w:hAnsi="Book Antiqua" w:cs="Book Antiqua"/>
          <w:color w:val="000000"/>
        </w:rPr>
        <w:t xml:space="preserve">time and survival of patients compared with traditional </w:t>
      </w:r>
      <w:proofErr w:type="gramStart"/>
      <w:r>
        <w:rPr>
          <w:rFonts w:ascii="Book Antiqua" w:eastAsia="Book Antiqua" w:hAnsi="Book Antiqua" w:cs="Book Antiqua"/>
          <w:color w:val="000000"/>
        </w:rPr>
        <w:t>stents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6,8,11,12,23]</w:t>
      </w:r>
      <w:r>
        <w:rPr>
          <w:rFonts w:ascii="Book Antiqua" w:eastAsia="Book Antiqua" w:hAnsi="Book Antiqua" w:cs="Book Antiqua"/>
          <w:color w:val="000000"/>
        </w:rPr>
        <w:t xml:space="preserve">, but the drainage tube was unstable due to respiratory movement and other daily activities and affected quality of life. Because the drainage tube and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were removed after 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had a shorter duration of action, which inevitably affected treatment efficacy. </w:t>
      </w:r>
    </w:p>
    <w:p w:rsidR="00D164C5" w:rsidRDefault="00B65C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Subsequently,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developed a biliary stent carrying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and placed the biliary stent into 12 pat</w:t>
      </w:r>
      <w:r>
        <w:rPr>
          <w:rFonts w:ascii="Book Antiqua" w:eastAsia="Book Antiqua" w:hAnsi="Book Antiqua" w:cs="Book Antiqua"/>
          <w:color w:val="000000"/>
        </w:rPr>
        <w:t>ients with malignant obstructive jaundice. They showed that radioactive particle stents were superior to traditional bare stents. However, because the stent was divided into a jacket and an inner stent carrying particles, the inner diameter of the stent fo</w:t>
      </w:r>
      <w:r>
        <w:rPr>
          <w:rFonts w:ascii="Book Antiqua" w:eastAsia="Book Antiqua" w:hAnsi="Book Antiqua" w:cs="Book Antiqua"/>
          <w:color w:val="000000"/>
        </w:rPr>
        <w:t xml:space="preserve">r drainage was reduced, and the narrowing of the stent inevitably affected bile drainage and stent patency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15,24]</w:t>
      </w:r>
      <w:r>
        <w:rPr>
          <w:rFonts w:ascii="Book Antiqua" w:eastAsia="Book Antiqua" w:hAnsi="Book Antiqua" w:cs="Book Antiqua"/>
          <w:color w:val="000000"/>
        </w:rPr>
        <w:t xml:space="preserve">. Additionally, other researchers inserted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strands between the stent and bile duct wall, and the stent patency time and pati</w:t>
      </w:r>
      <w:r>
        <w:rPr>
          <w:rFonts w:ascii="Book Antiqua" w:eastAsia="Book Antiqua" w:hAnsi="Book Antiqua" w:cs="Book Antiqua"/>
          <w:color w:val="000000"/>
        </w:rPr>
        <w:t xml:space="preserve">ent survival also </w:t>
      </w:r>
      <w:proofErr w:type="gramStart"/>
      <w:r>
        <w:rPr>
          <w:rFonts w:ascii="Book Antiqua" w:eastAsia="Book Antiqua" w:hAnsi="Book Antiqua" w:cs="Book Antiqua"/>
          <w:color w:val="000000"/>
        </w:rPr>
        <w:t>improved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are fixed and stable, and the quality of life can be significantly improved without carrying an </w:t>
      </w:r>
      <w:r>
        <w:rPr>
          <w:rFonts w:ascii="Book Antiqua" w:eastAsia="Book Antiqua" w:hAnsi="Book Antiqua" w:cs="Book Antiqua"/>
          <w:color w:val="000000"/>
        </w:rPr>
        <w:lastRenderedPageBreak/>
        <w:t>external drainage tube for a long time. We also used this approach with a satisfactory outcome and quality</w:t>
      </w:r>
      <w:r>
        <w:rPr>
          <w:rFonts w:ascii="Book Antiqua" w:eastAsia="Book Antiqua" w:hAnsi="Book Antiqua" w:cs="Book Antiqua"/>
          <w:color w:val="000000"/>
        </w:rPr>
        <w:t xml:space="preserve"> of life was significantly improved. However, all of the aforementioned studies focused on the stenosis caused by existing tumors and placed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in the middle of the stent, ignoring both ends of the stent. </w:t>
      </w:r>
    </w:p>
    <w:p w:rsidR="00D164C5" w:rsidRDefault="00B65C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Tumor growth will occur along the outside </w:t>
      </w:r>
      <w:r>
        <w:rPr>
          <w:rFonts w:ascii="Book Antiqua" w:eastAsia="Book Antiqua" w:hAnsi="Book Antiqua" w:cs="Book Antiqua"/>
          <w:color w:val="000000"/>
        </w:rPr>
        <w:t xml:space="preserve">of the stent, causing obstruction at both ends of the stent as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found that after esophageal stent implantation, both ends were prone to </w:t>
      </w:r>
      <w:proofErr w:type="spellStart"/>
      <w:r>
        <w:rPr>
          <w:rFonts w:ascii="Book Antiqua" w:eastAsia="Book Antiqua" w:hAnsi="Book Antiqua" w:cs="Book Antiqua"/>
          <w:color w:val="000000"/>
        </w:rPr>
        <w:t>reocclusion</w:t>
      </w:r>
      <w:proofErr w:type="spellEnd"/>
      <w:r>
        <w:rPr>
          <w:rFonts w:ascii="Book Antiqua" w:eastAsia="Book Antiqua" w:hAnsi="Book Antiqua" w:cs="Book Antiqua"/>
          <w:color w:val="000000"/>
        </w:rPr>
        <w:t xml:space="preserve"> in animal experiments and clinical practice. Pathological examinatio</w:t>
      </w:r>
      <w:r>
        <w:rPr>
          <w:rFonts w:ascii="Book Antiqua" w:eastAsia="Book Antiqua" w:hAnsi="Book Antiqua" w:cs="Book Antiqua"/>
          <w:color w:val="000000"/>
        </w:rPr>
        <w:t xml:space="preserve">n revealed that the obstruction was mainly caused by overgrown tumor tissue and hyperplastic granulation tissue. After biliary stenting, granulation tissue hyperplasia may also occur with local frictional stimulation between both ends of the stent and the </w:t>
      </w:r>
      <w:r>
        <w:rPr>
          <w:rFonts w:ascii="Book Antiqua" w:eastAsia="Book Antiqua" w:hAnsi="Book Antiqua" w:cs="Book Antiqua"/>
          <w:color w:val="000000"/>
        </w:rPr>
        <w:t xml:space="preserve">biliary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These factors can cause </w:t>
      </w:r>
      <w:proofErr w:type="spellStart"/>
      <w:r>
        <w:rPr>
          <w:rFonts w:ascii="Book Antiqua" w:eastAsia="Book Antiqua" w:hAnsi="Book Antiqua" w:cs="Book Antiqua"/>
          <w:color w:val="000000"/>
        </w:rPr>
        <w:t>reobstruction</w:t>
      </w:r>
      <w:proofErr w:type="spellEnd"/>
      <w:r>
        <w:rPr>
          <w:rFonts w:ascii="Book Antiqua" w:eastAsia="Book Antiqua" w:hAnsi="Book Antiqua" w:cs="Book Antiqua"/>
          <w:color w:val="000000"/>
        </w:rPr>
        <w:t xml:space="preserve"> at both ends of the stent.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destroy double-stranded DNA of tumor cells and stop tumor proliferation. Additionally, it has been found that radioactive stents increase the activity of the cas</w:t>
      </w:r>
      <w:r>
        <w:rPr>
          <w:rFonts w:ascii="Book Antiqua" w:eastAsia="Book Antiqua" w:hAnsi="Book Antiqua" w:cs="Book Antiqua"/>
          <w:color w:val="000000"/>
        </w:rPr>
        <w:t xml:space="preserve">pase-3 gene through γ rays, promoting canine bile duct smooth muscle cell apoptosis, and therefore inhibiting canine bile duct stenosis in animal </w:t>
      </w:r>
      <w:proofErr w:type="gramStart"/>
      <w:r>
        <w:rPr>
          <w:rFonts w:ascii="Book Antiqua" w:eastAsia="Book Antiqua" w:hAnsi="Book Antiqua" w:cs="Book Antiqua"/>
          <w:color w:val="000000"/>
        </w:rPr>
        <w:t>experiments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rsidR="00D164C5" w:rsidRDefault="00B65C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Based on the inhibitory effect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on tumor and granulation tissues, we extended th</w:t>
      </w:r>
      <w:r>
        <w:rPr>
          <w:rFonts w:ascii="Book Antiqua" w:eastAsia="Book Antiqua" w:hAnsi="Book Antiqua" w:cs="Book Antiqua"/>
          <w:color w:val="000000"/>
        </w:rPr>
        <w:t xml:space="preserve">e coverage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to both ends of the biliary stent to prevent </w:t>
      </w:r>
      <w:proofErr w:type="spellStart"/>
      <w:r>
        <w:rPr>
          <w:rFonts w:ascii="Book Antiqua" w:eastAsia="Book Antiqua" w:hAnsi="Book Antiqua" w:cs="Book Antiqua"/>
          <w:color w:val="000000"/>
        </w:rPr>
        <w:t>reobstruction</w:t>
      </w:r>
      <w:proofErr w:type="spellEnd"/>
      <w:r>
        <w:rPr>
          <w:rFonts w:ascii="Book Antiqua" w:eastAsia="Book Antiqua" w:hAnsi="Book Antiqua" w:cs="Book Antiqua"/>
          <w:color w:val="000000"/>
        </w:rPr>
        <w:t xml:space="preserve"> at either end. Our results showed that the survival time of the combined group reached 11.0 ±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is longer than that from the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study (median s</w:t>
      </w:r>
      <w:r>
        <w:rPr>
          <w:rFonts w:ascii="Book Antiqua" w:eastAsia="Book Antiqua" w:hAnsi="Book Antiqua" w:cs="Book Antiqua"/>
          <w:color w:val="000000"/>
        </w:rPr>
        <w:t xml:space="preserve">urvival time 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stent patency time reached 9.0 ±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significantly better than that reported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(stent patency time and median survival time of 194 d)</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few factors may have contributed to the improved outcomes in </w:t>
      </w:r>
      <w:r>
        <w:rPr>
          <w:rFonts w:ascii="Book Antiqua" w:eastAsia="Book Antiqua" w:hAnsi="Book Antiqua" w:cs="Book Antiqua"/>
          <w:color w:val="000000"/>
        </w:rPr>
        <w:t xml:space="preserve">our study. Firstly, the extended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 played a role in preventing obstruction at both ends of the stent. Secondly, the diameter of our stent was 10 mm. Some studies have shown that the larger the diameter of the stent, the longer the restenosis</w:t>
      </w:r>
      <w:r>
        <w:rPr>
          <w:rFonts w:ascii="Book Antiqua" w:eastAsia="Book Antiqua" w:hAnsi="Book Antiqua" w:cs="Book Antiqua"/>
          <w:color w:val="000000"/>
        </w:rPr>
        <w:t xml:space="preserve"> time appears to </w:t>
      </w:r>
      <w:proofErr w:type="gramStart"/>
      <w:r>
        <w:rPr>
          <w:rFonts w:ascii="Book Antiqua" w:eastAsia="Book Antiqua" w:hAnsi="Book Antiqua" w:cs="Book Antiqua"/>
          <w:color w:val="000000"/>
        </w:rPr>
        <w:t>be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Thirdly, if there was biliary tract infection, we performed conventional percutaneous </w:t>
      </w:r>
      <w:proofErr w:type="spellStart"/>
      <w:r>
        <w:rPr>
          <w:rFonts w:ascii="Book Antiqua" w:eastAsia="Book Antiqua" w:hAnsi="Book Antiqua" w:cs="Book Antiqua"/>
          <w:color w:val="000000"/>
        </w:rPr>
        <w:t>transhepatic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cholangial</w:t>
      </w:r>
      <w:proofErr w:type="spellEnd"/>
      <w:r>
        <w:rPr>
          <w:rFonts w:ascii="Book Antiqua" w:eastAsia="Book Antiqua" w:hAnsi="Book Antiqua" w:cs="Book Antiqua"/>
          <w:color w:val="000000"/>
        </w:rPr>
        <w:t xml:space="preserve"> drainage before biliary stent placement to reduce biliary edema and control infection. When the biliary stent </w:t>
      </w:r>
      <w:r>
        <w:rPr>
          <w:rFonts w:ascii="Book Antiqua" w:eastAsia="Book Antiqua" w:hAnsi="Book Antiqua" w:cs="Book Antiqua"/>
          <w:color w:val="000000"/>
        </w:rPr>
        <w:lastRenderedPageBreak/>
        <w:t>was implant</w:t>
      </w:r>
      <w:r>
        <w:rPr>
          <w:rFonts w:ascii="Book Antiqua" w:eastAsia="Book Antiqua" w:hAnsi="Book Antiqua" w:cs="Book Antiqua"/>
          <w:color w:val="000000"/>
        </w:rPr>
        <w:t xml:space="preserve">ed, the catheter was first used to drain the accumulated viscous bile, and normal saline was used to wash out the remaining bile. </w:t>
      </w:r>
    </w:p>
    <w:p w:rsidR="00D164C5" w:rsidRDefault="00B65CF9">
      <w:pPr>
        <w:spacing w:line="360" w:lineRule="auto"/>
        <w:ind w:firstLine="480"/>
        <w:jc w:val="both"/>
        <w:rPr>
          <w:rFonts w:ascii="Book Antiqua" w:hAnsi="Book Antiqua"/>
        </w:rPr>
      </w:pPr>
      <w:r>
        <w:rPr>
          <w:rFonts w:ascii="Book Antiqua" w:eastAsia="Book Antiqua" w:hAnsi="Book Antiqua" w:cs="Book Antiqua"/>
          <w:color w:val="000000"/>
        </w:rPr>
        <w:t>The stent was placed after bile drainage, which seemed to prolong stent patency time, presumably because thick bile can rapid</w:t>
      </w:r>
      <w:r>
        <w:rPr>
          <w:rFonts w:ascii="Book Antiqua" w:eastAsia="Book Antiqua" w:hAnsi="Book Antiqua" w:cs="Book Antiqua"/>
          <w:color w:val="000000"/>
        </w:rPr>
        <w:t xml:space="preserve">ly cause </w:t>
      </w:r>
      <w:proofErr w:type="spellStart"/>
      <w:r>
        <w:rPr>
          <w:rFonts w:ascii="Book Antiqua" w:eastAsia="Book Antiqua" w:hAnsi="Book Antiqua" w:cs="Book Antiqua"/>
          <w:color w:val="000000"/>
        </w:rPr>
        <w:t>reobstruction</w:t>
      </w:r>
      <w:proofErr w:type="spellEnd"/>
      <w:r>
        <w:rPr>
          <w:rFonts w:ascii="Book Antiqua" w:eastAsia="Book Antiqua" w:hAnsi="Book Antiqua" w:cs="Book Antiqua"/>
          <w:color w:val="000000"/>
        </w:rPr>
        <w:t xml:space="preserve"> of the </w:t>
      </w:r>
      <w:proofErr w:type="gramStart"/>
      <w:r>
        <w:rPr>
          <w:rFonts w:ascii="Book Antiqua" w:eastAsia="Book Antiqua" w:hAnsi="Book Antiqua" w:cs="Book Antiqua"/>
          <w:color w:val="000000"/>
        </w:rPr>
        <w:t>stent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15,24]</w:t>
      </w:r>
      <w:r>
        <w:rPr>
          <w:rFonts w:ascii="Book Antiqua" w:eastAsia="Book Antiqua" w:hAnsi="Book Antiqua" w:cs="Book Antiqua"/>
          <w:color w:val="000000"/>
        </w:rPr>
        <w:t>. Our study also found that the type of obstruction and number of stents were independent risk factors that affected prognosis. The higher the location of the obstruction, the more and thinner the bile duct branche</w:t>
      </w:r>
      <w:r>
        <w:rPr>
          <w:rFonts w:ascii="Book Antiqua" w:eastAsia="Book Antiqua" w:hAnsi="Book Antiqua" w:cs="Book Antiqua"/>
          <w:color w:val="000000"/>
        </w:rPr>
        <w:t xml:space="preserve">s would be. Because left and right hepatic ducts are disconnected, bilateral stents are required. One stent can only resolve one obstruction. If there are more than two biliary obstructions, then the stents cannot resolve all the obstructions. Therefore, </w:t>
      </w:r>
      <w:proofErr w:type="spellStart"/>
      <w:r>
        <w:rPr>
          <w:rFonts w:ascii="Book Antiqua" w:eastAsia="Book Antiqua" w:hAnsi="Book Antiqua" w:cs="Book Antiqua"/>
          <w:color w:val="000000"/>
        </w:rPr>
        <w:t>m</w:t>
      </w:r>
      <w:r>
        <w:rPr>
          <w:rFonts w:ascii="Book Antiqua" w:eastAsia="Book Antiqua" w:hAnsi="Book Antiqua" w:cs="Book Antiqua"/>
          <w:color w:val="000000"/>
        </w:rPr>
        <w:t>ultibranch</w:t>
      </w:r>
      <w:proofErr w:type="spellEnd"/>
      <w:r>
        <w:rPr>
          <w:rFonts w:ascii="Book Antiqua" w:eastAsia="Book Antiqua" w:hAnsi="Book Antiqua" w:cs="Book Antiqua"/>
          <w:color w:val="000000"/>
        </w:rPr>
        <w:t xml:space="preserve"> biliary obstruction has a generally poor bilirubin declining effect, which directly affects liver function and prognosis.</w:t>
      </w:r>
    </w:p>
    <w:p w:rsidR="00D164C5" w:rsidRDefault="00B65CF9">
      <w:pPr>
        <w:spacing w:line="360" w:lineRule="auto"/>
        <w:ind w:firstLine="480"/>
        <w:jc w:val="both"/>
        <w:rPr>
          <w:rFonts w:ascii="Book Antiqua" w:hAnsi="Book Antiqua"/>
        </w:rPr>
      </w:pPr>
      <w:r>
        <w:rPr>
          <w:rFonts w:ascii="Book Antiqua" w:eastAsia="Book Antiqua" w:hAnsi="Book Antiqua" w:cs="Book Antiqua"/>
          <w:color w:val="000000"/>
        </w:rPr>
        <w:t>There were some limitations to our study. First, the sample size was small, and a multicenter study with a large sample siz</w:t>
      </w:r>
      <w:r>
        <w:rPr>
          <w:rFonts w:ascii="Book Antiqua" w:eastAsia="Book Antiqua" w:hAnsi="Book Antiqua" w:cs="Book Antiqua"/>
          <w:color w:val="000000"/>
        </w:rPr>
        <w:t>e is needed. Second, due to the lack of advanced measuring instruments, accurate metrological data could not be obtained.</w:t>
      </w:r>
    </w:p>
    <w:p w:rsidR="00D164C5" w:rsidRDefault="00D164C5">
      <w:pPr>
        <w:spacing w:line="360" w:lineRule="auto"/>
        <w:ind w:firstLine="480"/>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In conclusion, biliary stent combined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implantation is safe and effective for treatment of malignant </w:t>
      </w:r>
      <w:r>
        <w:rPr>
          <w:rFonts w:ascii="Book Antiqua" w:eastAsia="Book Antiqua" w:hAnsi="Book Antiqua" w:cs="Book Antiqua"/>
          <w:color w:val="000000"/>
        </w:rPr>
        <w:t>obstructive jaundice. The present study suggests that it could improve stent patency and median survival.</w:t>
      </w:r>
    </w:p>
    <w:p w:rsidR="00D164C5" w:rsidRDefault="00D164C5">
      <w:pPr>
        <w:spacing w:line="360" w:lineRule="auto"/>
        <w:ind w:firstLine="600"/>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D164C5" w:rsidRDefault="00B65CF9">
      <w:pPr>
        <w:spacing w:line="360" w:lineRule="auto"/>
        <w:jc w:val="both"/>
        <w:rPr>
          <w:rFonts w:ascii="Book Antiqua" w:hAnsi="Book Antiqua"/>
        </w:rPr>
      </w:pPr>
      <w:r>
        <w:rPr>
          <w:rFonts w:ascii="Book Antiqua" w:eastAsia="Book Antiqua" w:hAnsi="Book Antiqua" w:cs="Book Antiqua"/>
          <w:b/>
          <w:i/>
          <w:color w:val="000000"/>
        </w:rPr>
        <w:t>Research background</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Biliary stent placement can relieve biliary obstruction and improve liver function and quality of life. </w:t>
      </w:r>
      <w:r>
        <w:rPr>
          <w:rFonts w:ascii="Book Antiqua" w:eastAsia="Book Antiqua" w:hAnsi="Book Antiqua" w:cs="Book Antiqua"/>
          <w:color w:val="000000"/>
        </w:rPr>
        <w:t>However, restenosis after biliary stents has a poor prognosis and is a clinical challenge.</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i/>
          <w:color w:val="000000"/>
        </w:rPr>
        <w:t>Research motivation</w:t>
      </w:r>
    </w:p>
    <w:p w:rsidR="00D164C5" w:rsidRDefault="00B65CF9">
      <w:pPr>
        <w:spacing w:line="360" w:lineRule="auto"/>
        <w:jc w:val="both"/>
        <w:rPr>
          <w:rFonts w:ascii="Book Antiqua" w:hAnsi="Book Antiqua"/>
        </w:rPr>
      </w:pPr>
      <w:r>
        <w:rPr>
          <w:rFonts w:ascii="Book Antiqua" w:eastAsia="Book Antiqua" w:hAnsi="Book Antiqua" w:cs="Book Antiqua"/>
          <w:color w:val="000000"/>
        </w:rPr>
        <w:lastRenderedPageBreak/>
        <w:t>In order to solve the problem of biliary stent restenosis, we should seek a better method for clinical treatment.</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i/>
          <w:color w:val="000000"/>
        </w:rPr>
        <w:t>Research objectives</w:t>
      </w:r>
    </w:p>
    <w:p w:rsidR="00D164C5" w:rsidRDefault="00B65CF9">
      <w:pPr>
        <w:spacing w:line="360" w:lineRule="auto"/>
        <w:jc w:val="both"/>
        <w:rPr>
          <w:rFonts w:ascii="Book Antiqua" w:hAnsi="Book Antiqua"/>
        </w:rPr>
      </w:pPr>
      <w:r>
        <w:rPr>
          <w:rFonts w:ascii="Book Antiqua" w:eastAsia="Book Antiqua" w:hAnsi="Book Antiqua" w:cs="Book Antiqua"/>
          <w:color w:val="000000"/>
        </w:rPr>
        <w:t>To evalua</w:t>
      </w:r>
      <w:r>
        <w:rPr>
          <w:rFonts w:ascii="Book Antiqua" w:eastAsia="Book Antiqua" w:hAnsi="Book Antiqua" w:cs="Book Antiqua"/>
          <w:color w:val="000000"/>
        </w:rPr>
        <w:t xml:space="preserve">te the safety and efficacy of biliary stent combined with iodine-125 seed strand implantation in malignant obstructive jaundice. </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i/>
          <w:color w:val="000000"/>
        </w:rPr>
        <w:t>Research methods</w:t>
      </w:r>
    </w:p>
    <w:p w:rsidR="00D164C5" w:rsidRDefault="00B65CF9">
      <w:pPr>
        <w:spacing w:line="360" w:lineRule="auto"/>
        <w:jc w:val="both"/>
        <w:rPr>
          <w:rFonts w:ascii="Book Antiqua" w:hAnsi="Book Antiqua"/>
        </w:rPr>
      </w:pPr>
      <w:r>
        <w:rPr>
          <w:rFonts w:ascii="Book Antiqua" w:eastAsia="Book Antiqua" w:hAnsi="Book Antiqua" w:cs="Book Antiqua"/>
          <w:color w:val="000000"/>
        </w:rPr>
        <w:t>Sixty-seven patients were randomly divided into the biliary stent with iodine-125 group (combined group) and</w:t>
      </w:r>
      <w:r>
        <w:rPr>
          <w:rFonts w:ascii="Book Antiqua" w:eastAsia="Book Antiqua" w:hAnsi="Book Antiqua" w:cs="Book Antiqua"/>
          <w:color w:val="000000"/>
        </w:rPr>
        <w:t xml:space="preserve"> the biliary stent group (control group). The stent patency time and total survival time were compared between the two groups.</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i/>
          <w:color w:val="000000"/>
        </w:rPr>
        <w:t>Research results</w:t>
      </w:r>
    </w:p>
    <w:p w:rsidR="00D164C5" w:rsidRDefault="00B65CF9">
      <w:pPr>
        <w:spacing w:line="360" w:lineRule="auto"/>
        <w:jc w:val="both"/>
        <w:rPr>
          <w:rFonts w:ascii="Book Antiqua" w:hAnsi="Book Antiqua"/>
        </w:rPr>
      </w:pPr>
      <w:r>
        <w:rPr>
          <w:rFonts w:ascii="Book Antiqua" w:eastAsia="Book Antiqua" w:hAnsi="Book Antiqua" w:cs="Book Antiqua"/>
          <w:color w:val="000000"/>
        </w:rPr>
        <w:t>The present study suggests that biliary stent combined with iodine-125 seed strands could improve stent patency</w:t>
      </w:r>
      <w:r>
        <w:rPr>
          <w:rFonts w:ascii="Book Antiqua" w:eastAsia="Book Antiqua" w:hAnsi="Book Antiqua" w:cs="Book Antiqua"/>
          <w:color w:val="000000"/>
        </w:rPr>
        <w:t xml:space="preserve"> and median survival.</w:t>
      </w:r>
    </w:p>
    <w:p w:rsidR="00D164C5" w:rsidRDefault="00D164C5">
      <w:pPr>
        <w:spacing w:line="360" w:lineRule="auto"/>
        <w:ind w:firstLine="600"/>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i/>
          <w:color w:val="000000"/>
        </w:rPr>
        <w:t>Research conclusions</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Biliary stent combined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implantation is safe and effective for the treatment of malignant obstructive jaundice. </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i/>
          <w:color w:val="000000"/>
        </w:rPr>
        <w:t>Research perspectives</w:t>
      </w:r>
    </w:p>
    <w:p w:rsidR="00D164C5" w:rsidRDefault="00B65CF9">
      <w:pPr>
        <w:spacing w:line="360" w:lineRule="auto"/>
        <w:jc w:val="both"/>
        <w:rPr>
          <w:rFonts w:ascii="Book Antiqua" w:hAnsi="Book Antiqua"/>
        </w:rPr>
      </w:pPr>
      <w:r>
        <w:rPr>
          <w:rFonts w:ascii="Book Antiqua" w:eastAsia="Book Antiqua" w:hAnsi="Book Antiqua" w:cs="Book Antiqua"/>
          <w:color w:val="000000"/>
        </w:rPr>
        <w:t>A multicenter study with a large sample size is needed.</w:t>
      </w:r>
      <w:r>
        <w:rPr>
          <w:rFonts w:ascii="Book Antiqua" w:eastAsia="Book Antiqua" w:hAnsi="Book Antiqua" w:cs="Book Antiqua"/>
          <w:color w:val="000000"/>
        </w:rPr>
        <w:t xml:space="preserve"> Accurate metrological data is needed.</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rsidR="00D164C5" w:rsidRDefault="00B65CF9">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Skipworth</w:t>
      </w:r>
      <w:proofErr w:type="spellEnd"/>
      <w:r>
        <w:rPr>
          <w:rFonts w:ascii="Book Antiqua" w:hAnsi="Book Antiqua"/>
          <w:b/>
          <w:bCs/>
        </w:rPr>
        <w:t xml:space="preserve"> JR</w:t>
      </w:r>
      <w:r>
        <w:rPr>
          <w:rFonts w:ascii="Book Antiqua" w:hAnsi="Book Antiqua"/>
        </w:rPr>
        <w:t xml:space="preserve">, </w:t>
      </w:r>
      <w:proofErr w:type="spellStart"/>
      <w:r>
        <w:rPr>
          <w:rFonts w:ascii="Book Antiqua" w:hAnsi="Book Antiqua"/>
        </w:rPr>
        <w:t>Olde</w:t>
      </w:r>
      <w:proofErr w:type="spellEnd"/>
      <w:r>
        <w:rPr>
          <w:rFonts w:ascii="Book Antiqua" w:hAnsi="Book Antiqua"/>
        </w:rPr>
        <w:t xml:space="preserve"> </w:t>
      </w:r>
      <w:proofErr w:type="spellStart"/>
      <w:r>
        <w:rPr>
          <w:rFonts w:ascii="Book Antiqua" w:hAnsi="Book Antiqua"/>
        </w:rPr>
        <w:t>Damink</w:t>
      </w:r>
      <w:proofErr w:type="spellEnd"/>
      <w:r>
        <w:rPr>
          <w:rFonts w:ascii="Book Antiqua" w:hAnsi="Book Antiqua"/>
        </w:rPr>
        <w:t xml:space="preserve"> SW, </w:t>
      </w:r>
      <w:proofErr w:type="spellStart"/>
      <w:r>
        <w:rPr>
          <w:rFonts w:ascii="Book Antiqua" w:hAnsi="Book Antiqua"/>
        </w:rPr>
        <w:t>Imber</w:t>
      </w:r>
      <w:proofErr w:type="spellEnd"/>
      <w:r>
        <w:rPr>
          <w:rFonts w:ascii="Book Antiqua" w:hAnsi="Book Antiqua"/>
        </w:rPr>
        <w:t xml:space="preserve"> C, Bridgewater J, Pereira SP, </w:t>
      </w:r>
      <w:proofErr w:type="spellStart"/>
      <w:r>
        <w:rPr>
          <w:rFonts w:ascii="Book Antiqua" w:hAnsi="Book Antiqua"/>
        </w:rPr>
        <w:t>Malagó</w:t>
      </w:r>
      <w:proofErr w:type="spellEnd"/>
      <w:r>
        <w:rPr>
          <w:rFonts w:ascii="Book Antiqua" w:hAnsi="Book Antiqua"/>
        </w:rPr>
        <w:t xml:space="preserve"> M. Review article: surgical, neo-adjuvant and adjuvant management strategies in biliary tract cancer.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2011;</w:t>
      </w:r>
      <w:r>
        <w:rPr>
          <w:rFonts w:ascii="Book Antiqua" w:hAnsi="Book Antiqua"/>
        </w:rPr>
        <w:t xml:space="preserve"> </w:t>
      </w:r>
      <w:r>
        <w:rPr>
          <w:rFonts w:ascii="Book Antiqua" w:hAnsi="Book Antiqua"/>
          <w:b/>
          <w:bCs/>
        </w:rPr>
        <w:t>34</w:t>
      </w:r>
      <w:r>
        <w:rPr>
          <w:rFonts w:ascii="Book Antiqua" w:hAnsi="Book Antiqua"/>
        </w:rPr>
        <w:t>: 1063-1078 [PMID: 21933219 DOI: 10.1111/j.1365-2036.2011.04851.x]</w:t>
      </w:r>
    </w:p>
    <w:p w:rsidR="00D164C5" w:rsidRDefault="00B65CF9">
      <w:pPr>
        <w:spacing w:line="360" w:lineRule="auto"/>
        <w:jc w:val="both"/>
        <w:rPr>
          <w:rFonts w:ascii="Book Antiqua" w:hAnsi="Book Antiqua"/>
        </w:rPr>
      </w:pPr>
      <w:proofErr w:type="gramStart"/>
      <w:r>
        <w:rPr>
          <w:rFonts w:ascii="Book Antiqua" w:hAnsi="Book Antiqua"/>
        </w:rPr>
        <w:lastRenderedPageBreak/>
        <w:t xml:space="preserve">2 </w:t>
      </w:r>
      <w:proofErr w:type="spellStart"/>
      <w:r>
        <w:rPr>
          <w:rFonts w:ascii="Book Antiqua" w:hAnsi="Book Antiqua"/>
          <w:b/>
          <w:bCs/>
        </w:rPr>
        <w:t>Jemal</w:t>
      </w:r>
      <w:proofErr w:type="spellEnd"/>
      <w:r>
        <w:rPr>
          <w:rFonts w:ascii="Book Antiqua" w:hAnsi="Book Antiqua"/>
          <w:b/>
          <w:bCs/>
        </w:rPr>
        <w:t xml:space="preserve"> A</w:t>
      </w:r>
      <w:r>
        <w:rPr>
          <w:rFonts w:ascii="Book Antiqua" w:hAnsi="Book Antiqua"/>
        </w:rPr>
        <w:t xml:space="preserve">, Siegel R, Ward E, </w:t>
      </w:r>
      <w:proofErr w:type="spellStart"/>
      <w:r>
        <w:rPr>
          <w:rFonts w:ascii="Book Antiqua" w:hAnsi="Book Antiqua"/>
        </w:rPr>
        <w:t>Hao</w:t>
      </w:r>
      <w:proofErr w:type="spellEnd"/>
      <w:r>
        <w:rPr>
          <w:rFonts w:ascii="Book Antiqua" w:hAnsi="Book Antiqua"/>
        </w:rPr>
        <w:t xml:space="preserve"> Y, Xu J, Thun MJ.</w:t>
      </w:r>
      <w:proofErr w:type="gramEnd"/>
      <w:r>
        <w:rPr>
          <w:rFonts w:ascii="Book Antiqua" w:hAnsi="Book Antiqua"/>
        </w:rPr>
        <w:t xml:space="preserve"> </w:t>
      </w:r>
      <w:proofErr w:type="gramStart"/>
      <w:r>
        <w:rPr>
          <w:rFonts w:ascii="Book Antiqua" w:hAnsi="Book Antiqua"/>
        </w:rPr>
        <w:t>Cancer statistics, 2009.</w:t>
      </w:r>
      <w:proofErr w:type="gramEnd"/>
      <w:r>
        <w:rPr>
          <w:rFonts w:ascii="Book Antiqua" w:hAnsi="Book Antiqua"/>
        </w:rPr>
        <w:t xml:space="preserve"> </w:t>
      </w:r>
      <w:r>
        <w:rPr>
          <w:rFonts w:ascii="Book Antiqua" w:hAnsi="Book Antiqua"/>
          <w:i/>
          <w:iCs/>
        </w:rPr>
        <w:t xml:space="preserve">CA Cancer J </w:t>
      </w:r>
      <w:proofErr w:type="spellStart"/>
      <w:r>
        <w:rPr>
          <w:rFonts w:ascii="Book Antiqua" w:hAnsi="Book Antiqua"/>
          <w:i/>
          <w:iCs/>
        </w:rPr>
        <w:t>Clin</w:t>
      </w:r>
      <w:proofErr w:type="spellEnd"/>
      <w:r>
        <w:rPr>
          <w:rFonts w:ascii="Book Antiqua" w:hAnsi="Book Antiqua"/>
        </w:rPr>
        <w:t xml:space="preserve"> 2009; </w:t>
      </w:r>
      <w:r>
        <w:rPr>
          <w:rFonts w:ascii="Book Antiqua" w:hAnsi="Book Antiqua"/>
          <w:b/>
          <w:bCs/>
        </w:rPr>
        <w:t>59</w:t>
      </w:r>
      <w:r>
        <w:rPr>
          <w:rFonts w:ascii="Book Antiqua" w:hAnsi="Book Antiqua"/>
        </w:rPr>
        <w:t>: 225-249 [PMID: 19474385 DOI: 10.3322/caac.20006]</w:t>
      </w:r>
    </w:p>
    <w:p w:rsidR="00D164C5" w:rsidRDefault="00B65CF9">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Crosara</w:t>
      </w:r>
      <w:proofErr w:type="spellEnd"/>
      <w:r>
        <w:rPr>
          <w:rFonts w:ascii="Book Antiqua" w:hAnsi="Book Antiqua"/>
          <w:b/>
          <w:bCs/>
        </w:rPr>
        <w:t xml:space="preserve"> Teixeira M</w:t>
      </w:r>
      <w:r>
        <w:rPr>
          <w:rFonts w:ascii="Book Antiqua" w:hAnsi="Book Antiqua"/>
        </w:rPr>
        <w:t xml:space="preserve">, </w:t>
      </w:r>
      <w:proofErr w:type="spellStart"/>
      <w:r>
        <w:rPr>
          <w:rFonts w:ascii="Book Antiqua" w:hAnsi="Book Antiqua"/>
        </w:rPr>
        <w:t>Mak</w:t>
      </w:r>
      <w:proofErr w:type="spellEnd"/>
      <w:r>
        <w:rPr>
          <w:rFonts w:ascii="Book Antiqua" w:hAnsi="Book Antiqua"/>
        </w:rPr>
        <w:t xml:space="preserve"> MP, Marq</w:t>
      </w:r>
      <w:r>
        <w:rPr>
          <w:rFonts w:ascii="Book Antiqua" w:hAnsi="Book Antiqua"/>
        </w:rPr>
        <w:t xml:space="preserve">ues DF, </w:t>
      </w:r>
      <w:proofErr w:type="spellStart"/>
      <w:r>
        <w:rPr>
          <w:rFonts w:ascii="Book Antiqua" w:hAnsi="Book Antiqua"/>
        </w:rPr>
        <w:t>Capareli</w:t>
      </w:r>
      <w:proofErr w:type="spellEnd"/>
      <w:r>
        <w:rPr>
          <w:rFonts w:ascii="Book Antiqua" w:hAnsi="Book Antiqua"/>
        </w:rPr>
        <w:t xml:space="preserve"> F, </w:t>
      </w:r>
      <w:proofErr w:type="spellStart"/>
      <w:r>
        <w:rPr>
          <w:rFonts w:ascii="Book Antiqua" w:hAnsi="Book Antiqua"/>
        </w:rPr>
        <w:t>Carnevale</w:t>
      </w:r>
      <w:proofErr w:type="spellEnd"/>
      <w:r>
        <w:rPr>
          <w:rFonts w:ascii="Book Antiqua" w:hAnsi="Book Antiqua"/>
        </w:rPr>
        <w:t xml:space="preserve"> FC, Moreira AM, Ribeiro U Jr, </w:t>
      </w:r>
      <w:proofErr w:type="spellStart"/>
      <w:r>
        <w:rPr>
          <w:rFonts w:ascii="Book Antiqua" w:hAnsi="Book Antiqua"/>
        </w:rPr>
        <w:t>Cecconello</w:t>
      </w:r>
      <w:proofErr w:type="spellEnd"/>
      <w:r>
        <w:rPr>
          <w:rFonts w:ascii="Book Antiqua" w:hAnsi="Book Antiqua"/>
        </w:rPr>
        <w:t xml:space="preserve"> I, Hoff PM. Percutaneous </w:t>
      </w:r>
      <w:proofErr w:type="spellStart"/>
      <w:r>
        <w:rPr>
          <w:rFonts w:ascii="Book Antiqua" w:hAnsi="Book Antiqua"/>
        </w:rPr>
        <w:t>transhepatic</w:t>
      </w:r>
      <w:proofErr w:type="spellEnd"/>
      <w:r>
        <w:rPr>
          <w:rFonts w:ascii="Book Antiqua" w:hAnsi="Book Antiqua"/>
        </w:rPr>
        <w:t xml:space="preserve"> biliary drainage in patients with advanced solid malignancies: prognostic factors and clinical outcomes.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Cancer</w:t>
      </w:r>
      <w:r>
        <w:rPr>
          <w:rFonts w:ascii="Book Antiqua" w:hAnsi="Book Antiqua"/>
        </w:rPr>
        <w:t xml:space="preserve"> 2013; </w:t>
      </w:r>
      <w:r>
        <w:rPr>
          <w:rFonts w:ascii="Book Antiqua" w:hAnsi="Book Antiqua"/>
          <w:b/>
          <w:bCs/>
        </w:rPr>
        <w:t>44</w:t>
      </w:r>
      <w:r>
        <w:rPr>
          <w:rFonts w:ascii="Book Antiqua" w:hAnsi="Book Antiqua"/>
        </w:rPr>
        <w:t>: 398-403 [P</w:t>
      </w:r>
      <w:r>
        <w:rPr>
          <w:rFonts w:ascii="Book Antiqua" w:hAnsi="Book Antiqua"/>
        </w:rPr>
        <w:t>MID: 23760941 DOI: 10.1007/s12029-013-9509-3]</w:t>
      </w:r>
    </w:p>
    <w:p w:rsidR="00D164C5" w:rsidRDefault="00B65CF9">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Tsuyuguchi</w:t>
      </w:r>
      <w:proofErr w:type="spellEnd"/>
      <w:r>
        <w:rPr>
          <w:rFonts w:ascii="Book Antiqua" w:hAnsi="Book Antiqua"/>
          <w:b/>
          <w:bCs/>
        </w:rPr>
        <w:t xml:space="preserve"> T</w:t>
      </w:r>
      <w:r>
        <w:rPr>
          <w:rFonts w:ascii="Book Antiqua" w:hAnsi="Book Antiqua"/>
        </w:rPr>
        <w:t xml:space="preserve">, Takada T, Miyazaki M, </w:t>
      </w:r>
      <w:proofErr w:type="spellStart"/>
      <w:r>
        <w:rPr>
          <w:rFonts w:ascii="Book Antiqua" w:hAnsi="Book Antiqua"/>
        </w:rPr>
        <w:t>Miyakawa</w:t>
      </w:r>
      <w:proofErr w:type="spellEnd"/>
      <w:r>
        <w:rPr>
          <w:rFonts w:ascii="Book Antiqua" w:hAnsi="Book Antiqua"/>
        </w:rPr>
        <w:t xml:space="preserve"> S, </w:t>
      </w:r>
      <w:proofErr w:type="spellStart"/>
      <w:r>
        <w:rPr>
          <w:rFonts w:ascii="Book Antiqua" w:hAnsi="Book Antiqua"/>
        </w:rPr>
        <w:t>Tsukada</w:t>
      </w:r>
      <w:proofErr w:type="spellEnd"/>
      <w:r>
        <w:rPr>
          <w:rFonts w:ascii="Book Antiqua" w:hAnsi="Book Antiqua"/>
        </w:rPr>
        <w:t xml:space="preserve"> K, </w:t>
      </w:r>
      <w:proofErr w:type="spellStart"/>
      <w:r>
        <w:rPr>
          <w:rFonts w:ascii="Book Antiqua" w:hAnsi="Book Antiqua"/>
        </w:rPr>
        <w:t>Nagino</w:t>
      </w:r>
      <w:proofErr w:type="spellEnd"/>
      <w:r>
        <w:rPr>
          <w:rFonts w:ascii="Book Antiqua" w:hAnsi="Book Antiqua"/>
        </w:rPr>
        <w:t xml:space="preserve"> M, Kondo S, </w:t>
      </w:r>
      <w:proofErr w:type="spellStart"/>
      <w:r>
        <w:rPr>
          <w:rFonts w:ascii="Book Antiqua" w:hAnsi="Book Antiqua"/>
        </w:rPr>
        <w:t>Furuse</w:t>
      </w:r>
      <w:proofErr w:type="spellEnd"/>
      <w:r>
        <w:rPr>
          <w:rFonts w:ascii="Book Antiqua" w:hAnsi="Book Antiqua"/>
        </w:rPr>
        <w:t xml:space="preserve"> J, Saito H, </w:t>
      </w:r>
      <w:proofErr w:type="spellStart"/>
      <w:r>
        <w:rPr>
          <w:rFonts w:ascii="Book Antiqua" w:hAnsi="Book Antiqua"/>
        </w:rPr>
        <w:t>Suyama</w:t>
      </w:r>
      <w:proofErr w:type="spellEnd"/>
      <w:r>
        <w:rPr>
          <w:rFonts w:ascii="Book Antiqua" w:hAnsi="Book Antiqua"/>
        </w:rPr>
        <w:t xml:space="preserve"> M, Kimura F, Yoshitomi H, </w:t>
      </w:r>
      <w:proofErr w:type="spellStart"/>
      <w:r>
        <w:rPr>
          <w:rFonts w:ascii="Book Antiqua" w:hAnsi="Book Antiqua"/>
        </w:rPr>
        <w:t>Nozawa</w:t>
      </w:r>
      <w:proofErr w:type="spellEnd"/>
      <w:r>
        <w:rPr>
          <w:rFonts w:ascii="Book Antiqua" w:hAnsi="Book Antiqua"/>
        </w:rPr>
        <w:t xml:space="preserve"> S, Yoshida M, Wada K, Amano H, Miura F; Japanese Association of Biliary Surgery; Japanese Society of </w:t>
      </w:r>
      <w:proofErr w:type="spellStart"/>
      <w:r>
        <w:rPr>
          <w:rFonts w:ascii="Book Antiqua" w:hAnsi="Book Antiqua"/>
        </w:rPr>
        <w:t>Hepato</w:t>
      </w:r>
      <w:proofErr w:type="spellEnd"/>
      <w:r>
        <w:rPr>
          <w:rFonts w:ascii="Book Antiqua" w:hAnsi="Book Antiqua"/>
        </w:rPr>
        <w:t>-Biliary-Pancreatic Surg</w:t>
      </w:r>
      <w:r>
        <w:rPr>
          <w:rFonts w:ascii="Book Antiqua" w:hAnsi="Book Antiqua"/>
        </w:rPr>
        <w:t xml:space="preserve">ery; Japan Society of Clinical Oncology. </w:t>
      </w:r>
      <w:proofErr w:type="gramStart"/>
      <w:r>
        <w:rPr>
          <w:rFonts w:ascii="Book Antiqua" w:hAnsi="Book Antiqua"/>
        </w:rPr>
        <w:t xml:space="preserve">Stenting and interventional radiology for obstructive jaundice in patients with </w:t>
      </w:r>
      <w:proofErr w:type="spellStart"/>
      <w:r>
        <w:rPr>
          <w:rFonts w:ascii="Book Antiqua" w:hAnsi="Book Antiqua"/>
        </w:rPr>
        <w:t>unresectable</w:t>
      </w:r>
      <w:proofErr w:type="spellEnd"/>
      <w:r>
        <w:rPr>
          <w:rFonts w:ascii="Book Antiqua" w:hAnsi="Book Antiqua"/>
        </w:rPr>
        <w:t xml:space="preserve"> biliary tract carcinomas.</w:t>
      </w:r>
      <w:proofErr w:type="gramEnd"/>
      <w:r>
        <w:rPr>
          <w:rFonts w:ascii="Book Antiqua" w:hAnsi="Book Antiqua"/>
        </w:rPr>
        <w:t xml:space="preserve">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2008; </w:t>
      </w:r>
      <w:r>
        <w:rPr>
          <w:rFonts w:ascii="Book Antiqua" w:hAnsi="Book Antiqua"/>
          <w:b/>
          <w:bCs/>
        </w:rPr>
        <w:t>15</w:t>
      </w:r>
      <w:r>
        <w:rPr>
          <w:rFonts w:ascii="Book Antiqua" w:hAnsi="Book Antiqua"/>
        </w:rPr>
        <w:t>: 69-73 [PMID: 18274846 DOI: 10.1007/s00534-007-1282-x]</w:t>
      </w:r>
    </w:p>
    <w:p w:rsidR="00D164C5" w:rsidRDefault="00B65CF9">
      <w:pPr>
        <w:spacing w:line="360" w:lineRule="auto"/>
        <w:jc w:val="both"/>
        <w:rPr>
          <w:rFonts w:ascii="Book Antiqua" w:hAnsi="Book Antiqua"/>
        </w:rPr>
      </w:pPr>
      <w:proofErr w:type="gramStart"/>
      <w:r>
        <w:rPr>
          <w:rFonts w:ascii="Book Antiqua" w:hAnsi="Book Antiqua"/>
        </w:rPr>
        <w:t xml:space="preserve">5 </w:t>
      </w:r>
      <w:proofErr w:type="spellStart"/>
      <w:r>
        <w:rPr>
          <w:rFonts w:ascii="Book Antiqua" w:hAnsi="Book Antiqua"/>
          <w:b/>
          <w:bCs/>
        </w:rPr>
        <w:t>Meller</w:t>
      </w:r>
      <w:proofErr w:type="spellEnd"/>
      <w:r>
        <w:rPr>
          <w:rFonts w:ascii="Book Antiqua" w:hAnsi="Book Antiqua"/>
          <w:b/>
          <w:bCs/>
        </w:rPr>
        <w:t xml:space="preserve"> MT</w:t>
      </w:r>
      <w:r>
        <w:rPr>
          <w:rFonts w:ascii="Book Antiqua" w:hAnsi="Book Antiqua"/>
        </w:rPr>
        <w:t>, Arts GR, Dean JR. Outcomes in percutaneous stenting of non-</w:t>
      </w:r>
      <w:proofErr w:type="spellStart"/>
      <w:r>
        <w:rPr>
          <w:rFonts w:ascii="Book Antiqua" w:hAnsi="Book Antiqua"/>
        </w:rPr>
        <w:t>hepato</w:t>
      </w:r>
      <w:proofErr w:type="spellEnd"/>
      <w:r>
        <w:rPr>
          <w:rFonts w:ascii="Book Antiqua" w:hAnsi="Book Antiqua"/>
        </w:rPr>
        <w:t>-biliary/pancreatic malignant jaundice.</w:t>
      </w:r>
      <w:proofErr w:type="gramEnd"/>
      <w:r>
        <w:rPr>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J Cancer Care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2010; </w:t>
      </w:r>
      <w:r>
        <w:rPr>
          <w:rFonts w:ascii="Book Antiqua" w:hAnsi="Book Antiqua"/>
          <w:b/>
          <w:bCs/>
        </w:rPr>
        <w:t>19</w:t>
      </w:r>
      <w:r>
        <w:rPr>
          <w:rFonts w:ascii="Book Antiqua" w:hAnsi="Book Antiqua"/>
        </w:rPr>
        <w:t>: 664-668 [PMID: 19708950 DOI: 10.1111/j.1365-2354.2009.01120.x]</w:t>
      </w:r>
    </w:p>
    <w:p w:rsidR="00D164C5" w:rsidRDefault="00B65CF9">
      <w:pPr>
        <w:spacing w:line="360" w:lineRule="auto"/>
        <w:jc w:val="both"/>
        <w:rPr>
          <w:rFonts w:ascii="Book Antiqua" w:hAnsi="Book Antiqua"/>
        </w:rPr>
      </w:pPr>
      <w:r>
        <w:rPr>
          <w:rFonts w:ascii="Book Antiqua" w:hAnsi="Book Antiqua"/>
        </w:rPr>
        <w:t xml:space="preserve">6 </w:t>
      </w:r>
      <w:r>
        <w:rPr>
          <w:rFonts w:ascii="Book Antiqua" w:hAnsi="Book Antiqua"/>
          <w:b/>
          <w:bCs/>
        </w:rPr>
        <w:t>Zhu HD</w:t>
      </w:r>
      <w:r>
        <w:rPr>
          <w:rFonts w:ascii="Book Antiqua" w:hAnsi="Book Antiqua"/>
        </w:rPr>
        <w:t xml:space="preserve">, </w:t>
      </w:r>
      <w:proofErr w:type="spellStart"/>
      <w:r>
        <w:rPr>
          <w:rFonts w:ascii="Book Antiqua" w:hAnsi="Book Antiqua"/>
        </w:rPr>
        <w:t>Guo</w:t>
      </w:r>
      <w:proofErr w:type="spellEnd"/>
      <w:r>
        <w:rPr>
          <w:rFonts w:ascii="Book Antiqua" w:hAnsi="Book Antiqua"/>
        </w:rPr>
        <w:t xml:space="preserve"> JH, Zhu GY, He SC, Fang W, D</w:t>
      </w:r>
      <w:r>
        <w:rPr>
          <w:rFonts w:ascii="Book Antiqua" w:hAnsi="Book Antiqua"/>
        </w:rPr>
        <w:t xml:space="preserve">eng G, Qin YL, Li GZ, Coldwell DM, </w:t>
      </w:r>
      <w:proofErr w:type="spellStart"/>
      <w:r>
        <w:rPr>
          <w:rFonts w:ascii="Book Antiqua" w:hAnsi="Book Antiqua"/>
        </w:rPr>
        <w:t>Teng</w:t>
      </w:r>
      <w:proofErr w:type="spellEnd"/>
      <w:r>
        <w:rPr>
          <w:rFonts w:ascii="Book Antiqua" w:hAnsi="Book Antiqua"/>
        </w:rPr>
        <w:t xml:space="preserve"> GJ. A novel biliary stent loaded with (125</w:t>
      </w:r>
      <w:proofErr w:type="gramStart"/>
      <w:r>
        <w:rPr>
          <w:rFonts w:ascii="Book Antiqua" w:hAnsi="Book Antiqua"/>
        </w:rPr>
        <w:t>)I</w:t>
      </w:r>
      <w:proofErr w:type="gramEnd"/>
      <w:r>
        <w:rPr>
          <w:rFonts w:ascii="Book Antiqua" w:hAnsi="Book Antiqua"/>
        </w:rPr>
        <w:t xml:space="preserve"> seeds in patients with malignant biliary obstruction: preliminary results versus a conventional biliary stent.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2012; </w:t>
      </w:r>
      <w:r>
        <w:rPr>
          <w:rFonts w:ascii="Book Antiqua" w:hAnsi="Book Antiqua"/>
          <w:b/>
          <w:bCs/>
        </w:rPr>
        <w:t>56</w:t>
      </w:r>
      <w:r>
        <w:rPr>
          <w:rFonts w:ascii="Book Antiqua" w:hAnsi="Book Antiqua"/>
        </w:rPr>
        <w:t>: 1104-1111 [PMID: 22266605 DOI: 10.1016/j</w:t>
      </w:r>
      <w:r>
        <w:rPr>
          <w:rFonts w:ascii="Book Antiqua" w:hAnsi="Book Antiqua"/>
        </w:rPr>
        <w:t>.jhep.2011.12.018]</w:t>
      </w:r>
    </w:p>
    <w:p w:rsidR="00D164C5" w:rsidRDefault="00B65CF9">
      <w:pPr>
        <w:spacing w:line="360" w:lineRule="auto"/>
        <w:jc w:val="both"/>
        <w:rPr>
          <w:rFonts w:ascii="Book Antiqua" w:hAnsi="Book Antiqua"/>
        </w:rPr>
      </w:pPr>
      <w:r>
        <w:rPr>
          <w:rFonts w:ascii="Book Antiqua" w:hAnsi="Book Antiqua"/>
        </w:rPr>
        <w:t xml:space="preserve">7 </w:t>
      </w:r>
      <w:r>
        <w:rPr>
          <w:rFonts w:ascii="Book Antiqua" w:hAnsi="Book Antiqua"/>
          <w:b/>
          <w:bCs/>
        </w:rPr>
        <w:t>Li S</w:t>
      </w:r>
      <w:r>
        <w:rPr>
          <w:rFonts w:ascii="Book Antiqua" w:hAnsi="Book Antiqua"/>
        </w:rPr>
        <w:t xml:space="preserve">, He X, Dang L, Xu F, Fang J, Li F, Wang W. Efficacy of </w:t>
      </w:r>
      <w:r>
        <w:rPr>
          <w:rFonts w:ascii="Book Antiqua" w:hAnsi="Book Antiqua"/>
          <w:vertAlign w:val="superscript"/>
        </w:rPr>
        <w:t>125</w:t>
      </w:r>
      <w:r>
        <w:rPr>
          <w:rFonts w:ascii="Book Antiqua" w:hAnsi="Book Antiqua"/>
        </w:rPr>
        <w:t>I Versus Non-</w:t>
      </w:r>
      <w:r>
        <w:rPr>
          <w:rFonts w:ascii="Book Antiqua" w:hAnsi="Book Antiqua"/>
          <w:vertAlign w:val="superscript"/>
        </w:rPr>
        <w:t>125</w:t>
      </w:r>
      <w:r>
        <w:rPr>
          <w:rFonts w:ascii="Book Antiqua" w:hAnsi="Book Antiqua"/>
        </w:rPr>
        <w:t xml:space="preserve">I Combined with </w:t>
      </w:r>
      <w:proofErr w:type="spellStart"/>
      <w:r>
        <w:rPr>
          <w:rFonts w:ascii="Book Antiqua" w:hAnsi="Book Antiqua"/>
        </w:rPr>
        <w:t>Transcatheter</w:t>
      </w:r>
      <w:proofErr w:type="spellEnd"/>
      <w:r>
        <w:rPr>
          <w:rFonts w:ascii="Book Antiqua" w:hAnsi="Book Antiqua"/>
        </w:rPr>
        <w:t xml:space="preserve"> Arterial Chemoembolization for the Treatment of </w:t>
      </w:r>
      <w:proofErr w:type="spellStart"/>
      <w:r>
        <w:rPr>
          <w:rFonts w:ascii="Book Antiqua" w:hAnsi="Book Antiqua"/>
        </w:rPr>
        <w:t>Unresectable</w:t>
      </w:r>
      <w:proofErr w:type="spellEnd"/>
      <w:r>
        <w:rPr>
          <w:rFonts w:ascii="Book Antiqua" w:hAnsi="Book Antiqua"/>
        </w:rPr>
        <w:t xml:space="preserve"> Hepatocellular Carcinoma with Obstructive Jaundice.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w:t>
      </w:r>
      <w:r>
        <w:rPr>
          <w:rFonts w:ascii="Book Antiqua" w:hAnsi="Book Antiqua"/>
        </w:rPr>
        <w:t xml:space="preserve">018; </w:t>
      </w:r>
      <w:r>
        <w:rPr>
          <w:rFonts w:ascii="Book Antiqua" w:hAnsi="Book Antiqua"/>
          <w:b/>
          <w:bCs/>
        </w:rPr>
        <w:t>63</w:t>
      </w:r>
      <w:r>
        <w:rPr>
          <w:rFonts w:ascii="Book Antiqua" w:hAnsi="Book Antiqua"/>
        </w:rPr>
        <w:t>: 321-328 [PMID: 29305738 DOI: 10.1007/s10620-017-4899-x]</w:t>
      </w:r>
    </w:p>
    <w:p w:rsidR="00D164C5" w:rsidRDefault="00B65CF9">
      <w:pPr>
        <w:spacing w:line="360" w:lineRule="auto"/>
        <w:jc w:val="both"/>
        <w:rPr>
          <w:rFonts w:ascii="Book Antiqua" w:hAnsi="Book Antiqua"/>
        </w:rPr>
      </w:pPr>
      <w:r>
        <w:rPr>
          <w:rFonts w:ascii="Book Antiqua" w:hAnsi="Book Antiqua"/>
        </w:rPr>
        <w:t xml:space="preserve">8 </w:t>
      </w:r>
      <w:r>
        <w:rPr>
          <w:rFonts w:ascii="Book Antiqua" w:hAnsi="Book Antiqua"/>
          <w:b/>
          <w:bCs/>
        </w:rPr>
        <w:t>Chen W</w:t>
      </w:r>
      <w:r>
        <w:rPr>
          <w:rFonts w:ascii="Book Antiqua" w:hAnsi="Book Antiqua"/>
        </w:rPr>
        <w:t xml:space="preserve">, Fang XM, Wang X, </w:t>
      </w:r>
      <w:proofErr w:type="spellStart"/>
      <w:r>
        <w:rPr>
          <w:rFonts w:ascii="Book Antiqua" w:hAnsi="Book Antiqua"/>
        </w:rPr>
        <w:t>Sudarshan</w:t>
      </w:r>
      <w:proofErr w:type="spellEnd"/>
      <w:r>
        <w:rPr>
          <w:rFonts w:ascii="Book Antiqua" w:hAnsi="Book Antiqua"/>
        </w:rPr>
        <w:t xml:space="preserve"> SKP, Hu XY, Chen HW. Preliminary clinical application of integrated 125I seeds stents in the therapy of malignant lower biliary tract obstruction. </w:t>
      </w:r>
      <w:r>
        <w:rPr>
          <w:rFonts w:ascii="Book Antiqua" w:hAnsi="Book Antiqua"/>
          <w:i/>
          <w:iCs/>
        </w:rPr>
        <w:t xml:space="preserve">J </w:t>
      </w:r>
      <w:proofErr w:type="spellStart"/>
      <w:r>
        <w:rPr>
          <w:rFonts w:ascii="Book Antiqua" w:hAnsi="Book Antiqua"/>
          <w:i/>
          <w:iCs/>
        </w:rPr>
        <w:t>Xray</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Technol</w:t>
      </w:r>
      <w:proofErr w:type="spellEnd"/>
      <w:r>
        <w:rPr>
          <w:rFonts w:ascii="Book Antiqua" w:hAnsi="Book Antiqua"/>
        </w:rPr>
        <w:t xml:space="preserve"> 2018; </w:t>
      </w:r>
      <w:r>
        <w:rPr>
          <w:rFonts w:ascii="Book Antiqua" w:hAnsi="Book Antiqua"/>
          <w:b/>
          <w:bCs/>
        </w:rPr>
        <w:t>26</w:t>
      </w:r>
      <w:r>
        <w:rPr>
          <w:rFonts w:ascii="Book Antiqua" w:hAnsi="Book Antiqua"/>
        </w:rPr>
        <w:t>: 865-875 [PMID: 30040791 DOI: 10.3233/XST-180403]</w:t>
      </w:r>
    </w:p>
    <w:p w:rsidR="00D164C5" w:rsidRDefault="00B65CF9">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Lee SJ</w:t>
      </w:r>
      <w:r>
        <w:rPr>
          <w:rFonts w:ascii="Book Antiqua" w:hAnsi="Book Antiqua"/>
        </w:rPr>
        <w:t>, Kim MD, Lee MS, Kim IJ, Park SI, Won JY, Lee DY. Comparison of the efficacy of covered versus uncovered metallic stents in treating inoperable malignant common bile duct obstr</w:t>
      </w:r>
      <w:r>
        <w:rPr>
          <w:rFonts w:ascii="Book Antiqua" w:hAnsi="Book Antiqua"/>
        </w:rPr>
        <w:t xml:space="preserve">uction: a randomized trial.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Interv</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2014; </w:t>
      </w:r>
      <w:r>
        <w:rPr>
          <w:rFonts w:ascii="Book Antiqua" w:hAnsi="Book Antiqua"/>
          <w:b/>
          <w:bCs/>
        </w:rPr>
        <w:t>25</w:t>
      </w:r>
      <w:r>
        <w:rPr>
          <w:rFonts w:ascii="Book Antiqua" w:hAnsi="Book Antiqua"/>
        </w:rPr>
        <w:t>: 1912-1920 [PMID: 25085230 DOI: 10.1016/j.jvir.2014.05.021]</w:t>
      </w:r>
    </w:p>
    <w:p w:rsidR="00D164C5" w:rsidRDefault="00B65CF9">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Hausegger</w:t>
      </w:r>
      <w:proofErr w:type="spellEnd"/>
      <w:r>
        <w:rPr>
          <w:rFonts w:ascii="Book Antiqua" w:hAnsi="Book Antiqua"/>
          <w:b/>
          <w:bCs/>
        </w:rPr>
        <w:t xml:space="preserve"> KA</w:t>
      </w:r>
      <w:r>
        <w:rPr>
          <w:rFonts w:ascii="Book Antiqua" w:hAnsi="Book Antiqua"/>
        </w:rPr>
        <w:t xml:space="preserve">, </w:t>
      </w:r>
      <w:proofErr w:type="spellStart"/>
      <w:r>
        <w:rPr>
          <w:rFonts w:ascii="Book Antiqua" w:hAnsi="Book Antiqua"/>
        </w:rPr>
        <w:t>Kleinert</w:t>
      </w:r>
      <w:proofErr w:type="spellEnd"/>
      <w:r>
        <w:rPr>
          <w:rFonts w:ascii="Book Antiqua" w:hAnsi="Book Antiqua"/>
        </w:rPr>
        <w:t xml:space="preserve"> R, </w:t>
      </w:r>
      <w:proofErr w:type="spellStart"/>
      <w:r>
        <w:rPr>
          <w:rFonts w:ascii="Book Antiqua" w:hAnsi="Book Antiqua"/>
        </w:rPr>
        <w:t>Lammer</w:t>
      </w:r>
      <w:proofErr w:type="spellEnd"/>
      <w:r>
        <w:rPr>
          <w:rFonts w:ascii="Book Antiqua" w:hAnsi="Book Antiqua"/>
        </w:rPr>
        <w:t xml:space="preserve"> J, Klein GE, </w:t>
      </w:r>
      <w:proofErr w:type="spellStart"/>
      <w:r>
        <w:rPr>
          <w:rFonts w:ascii="Book Antiqua" w:hAnsi="Book Antiqua"/>
        </w:rPr>
        <w:t>Flückiger</w:t>
      </w:r>
      <w:proofErr w:type="spellEnd"/>
      <w:r>
        <w:rPr>
          <w:rFonts w:ascii="Book Antiqua" w:hAnsi="Book Antiqua"/>
        </w:rPr>
        <w:t xml:space="preserve"> F. Malignant biliary obstruction: histologic findings after treatment with self</w:t>
      </w:r>
      <w:r>
        <w:rPr>
          <w:rFonts w:ascii="Book Antiqua" w:hAnsi="Book Antiqua"/>
        </w:rPr>
        <w:t xml:space="preserve">-expandable stents. </w:t>
      </w:r>
      <w:r>
        <w:rPr>
          <w:rFonts w:ascii="Book Antiqua" w:hAnsi="Book Antiqua"/>
          <w:i/>
          <w:iCs/>
        </w:rPr>
        <w:t>Radiology</w:t>
      </w:r>
      <w:r>
        <w:rPr>
          <w:rFonts w:ascii="Book Antiqua" w:hAnsi="Book Antiqua"/>
        </w:rPr>
        <w:t xml:space="preserve"> 1992; </w:t>
      </w:r>
      <w:r>
        <w:rPr>
          <w:rFonts w:ascii="Book Antiqua" w:hAnsi="Book Antiqua"/>
          <w:b/>
          <w:bCs/>
        </w:rPr>
        <w:t>185</w:t>
      </w:r>
      <w:r>
        <w:rPr>
          <w:rFonts w:ascii="Book Antiqua" w:hAnsi="Book Antiqua"/>
        </w:rPr>
        <w:t>: 461-464 [PMID: 1410354 DOI: 10.1148/radiology.185.2.1410354]</w:t>
      </w:r>
    </w:p>
    <w:p w:rsidR="00D164C5" w:rsidRDefault="00B65CF9">
      <w:pPr>
        <w:spacing w:line="360" w:lineRule="auto"/>
        <w:jc w:val="both"/>
        <w:rPr>
          <w:rFonts w:ascii="Book Antiqua" w:hAnsi="Book Antiqua"/>
        </w:rPr>
      </w:pPr>
      <w:r>
        <w:rPr>
          <w:rFonts w:ascii="Book Antiqua" w:hAnsi="Book Antiqua"/>
        </w:rPr>
        <w:t xml:space="preserve">11 </w:t>
      </w:r>
      <w:r>
        <w:rPr>
          <w:rFonts w:ascii="Book Antiqua" w:hAnsi="Book Antiqua"/>
          <w:b/>
          <w:bCs/>
        </w:rPr>
        <w:t>Yang M</w:t>
      </w:r>
      <w:r>
        <w:rPr>
          <w:rFonts w:ascii="Book Antiqua" w:hAnsi="Book Antiqua"/>
        </w:rPr>
        <w:t xml:space="preserve">, Yan Z, Luo J, Liu Q, Zhang W, Ma J, Zhang Z, Yu T, Zhao Q, Liu L. A pilot study of intraluminal brachytherapy using </w:t>
      </w:r>
      <w:r>
        <w:rPr>
          <w:rFonts w:ascii="Book Antiqua" w:hAnsi="Book Antiqua"/>
          <w:vertAlign w:val="superscript"/>
        </w:rPr>
        <w:t>125</w:t>
      </w:r>
      <w:r>
        <w:rPr>
          <w:rFonts w:ascii="Book Antiqua" w:hAnsi="Book Antiqua"/>
        </w:rPr>
        <w:t>I seed strand for locall</w:t>
      </w:r>
      <w:r>
        <w:rPr>
          <w:rFonts w:ascii="Book Antiqua" w:hAnsi="Book Antiqua"/>
        </w:rPr>
        <w:t xml:space="preserve">y advanced pancreatic ductal adenocarcinoma with obstructive jaundice. </w:t>
      </w:r>
      <w:r>
        <w:rPr>
          <w:rFonts w:ascii="Book Antiqua" w:hAnsi="Book Antiqua"/>
          <w:i/>
          <w:iCs/>
        </w:rPr>
        <w:t>Brachytherapy</w:t>
      </w:r>
      <w:r>
        <w:rPr>
          <w:rFonts w:ascii="Book Antiqua" w:hAnsi="Book Antiqua"/>
        </w:rPr>
        <w:t xml:space="preserve"> 2016; </w:t>
      </w:r>
      <w:r>
        <w:rPr>
          <w:rFonts w:ascii="Book Antiqua" w:hAnsi="Book Antiqua"/>
          <w:b/>
          <w:bCs/>
        </w:rPr>
        <w:t>15</w:t>
      </w:r>
      <w:r>
        <w:rPr>
          <w:rFonts w:ascii="Book Antiqua" w:hAnsi="Book Antiqua"/>
        </w:rPr>
        <w:t>: 859-864 [PMID: 27364870 DOI: 10.1016/j.brachy.2016.05.004]</w:t>
      </w:r>
    </w:p>
    <w:p w:rsidR="00D164C5" w:rsidRDefault="00B65CF9">
      <w:pPr>
        <w:spacing w:line="360" w:lineRule="auto"/>
        <w:jc w:val="both"/>
        <w:rPr>
          <w:rFonts w:ascii="Book Antiqua" w:hAnsi="Book Antiqua"/>
        </w:rPr>
      </w:pPr>
      <w:proofErr w:type="gramStart"/>
      <w:r>
        <w:rPr>
          <w:rFonts w:ascii="Book Antiqua" w:hAnsi="Book Antiqua"/>
        </w:rPr>
        <w:t xml:space="preserve">12 </w:t>
      </w:r>
      <w:r>
        <w:rPr>
          <w:rFonts w:ascii="Book Antiqua" w:hAnsi="Book Antiqua"/>
          <w:b/>
          <w:bCs/>
        </w:rPr>
        <w:t>Jiao D</w:t>
      </w:r>
      <w:r>
        <w:rPr>
          <w:rFonts w:ascii="Book Antiqua" w:hAnsi="Book Antiqua"/>
        </w:rPr>
        <w:t xml:space="preserve">, Wu G, Ren J, Han X. Study of self-expandable metallic stent placement intraluminal </w:t>
      </w:r>
      <w:r>
        <w:rPr>
          <w:rFonts w:ascii="Book Antiqua" w:hAnsi="Book Antiqua"/>
          <w:vertAlign w:val="superscript"/>
        </w:rPr>
        <w:t>125</w:t>
      </w:r>
      <w:r>
        <w:rPr>
          <w:rFonts w:ascii="Book Antiqua" w:hAnsi="Book Antiqua"/>
        </w:rPr>
        <w:t>I see</w:t>
      </w:r>
      <w:r>
        <w:rPr>
          <w:rFonts w:ascii="Book Antiqua" w:hAnsi="Book Antiqua"/>
        </w:rPr>
        <w:t>d strands brachytherapy of malignant biliary obstruction.</w:t>
      </w:r>
      <w:proofErr w:type="gramEnd"/>
      <w:r>
        <w:rPr>
          <w:rFonts w:ascii="Book Antiqua" w:hAnsi="Book Antiqua"/>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31</w:t>
      </w:r>
      <w:r>
        <w:rPr>
          <w:rFonts w:ascii="Book Antiqua" w:hAnsi="Book Antiqua"/>
        </w:rPr>
        <w:t>: 4996-5005 [PMID: 28643064 DOI: 10.1007/s00464-017-5481-5]</w:t>
      </w:r>
    </w:p>
    <w:p w:rsidR="00D164C5" w:rsidRDefault="00B65CF9">
      <w:pPr>
        <w:spacing w:line="360" w:lineRule="auto"/>
        <w:jc w:val="both"/>
        <w:rPr>
          <w:rFonts w:ascii="Book Antiqua" w:hAnsi="Book Antiqua"/>
        </w:rPr>
      </w:pPr>
      <w:r>
        <w:rPr>
          <w:rFonts w:ascii="Book Antiqua" w:hAnsi="Book Antiqua"/>
        </w:rPr>
        <w:t xml:space="preserve">13 </w:t>
      </w:r>
      <w:r>
        <w:rPr>
          <w:rFonts w:ascii="Book Antiqua" w:hAnsi="Book Antiqua"/>
          <w:b/>
          <w:bCs/>
        </w:rPr>
        <w:t>Zhou WZ</w:t>
      </w:r>
      <w:r>
        <w:rPr>
          <w:rFonts w:ascii="Book Antiqua" w:hAnsi="Book Antiqua"/>
        </w:rPr>
        <w:t xml:space="preserve">, Fu YM, Yang ZQ, Shi HB, Liu S, Xia JG, Zhou CG. </w:t>
      </w:r>
      <w:proofErr w:type="gramStart"/>
      <w:r>
        <w:rPr>
          <w:rFonts w:ascii="Book Antiqua" w:hAnsi="Book Antiqua"/>
        </w:rPr>
        <w:t>Study of Percutaneous Stent Placement with Iodine-125 Seed</w:t>
      </w:r>
      <w:r>
        <w:rPr>
          <w:rFonts w:ascii="Book Antiqua" w:hAnsi="Book Antiqua"/>
        </w:rPr>
        <w:t xml:space="preserve"> Strand for Malignant Biliary Obstruction.</w:t>
      </w:r>
      <w:proofErr w:type="gramEnd"/>
      <w:r>
        <w:rPr>
          <w:rFonts w:ascii="Book Antiqua" w:hAnsi="Book Antiqua"/>
        </w:rPr>
        <w:t xml:space="preserve"> </w:t>
      </w:r>
      <w:proofErr w:type="spellStart"/>
      <w:r>
        <w:rPr>
          <w:rFonts w:ascii="Book Antiqua" w:hAnsi="Book Antiqua"/>
          <w:i/>
          <w:iCs/>
        </w:rPr>
        <w:t>Cardiovasc</w:t>
      </w:r>
      <w:proofErr w:type="spellEnd"/>
      <w:r>
        <w:rPr>
          <w:rFonts w:ascii="Book Antiqua" w:hAnsi="Book Antiqua"/>
          <w:i/>
          <w:iCs/>
        </w:rPr>
        <w:t xml:space="preserve"> </w:t>
      </w:r>
      <w:proofErr w:type="spellStart"/>
      <w:r>
        <w:rPr>
          <w:rFonts w:ascii="Book Antiqua" w:hAnsi="Book Antiqua"/>
          <w:i/>
          <w:iCs/>
        </w:rPr>
        <w:t>Intervent</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42</w:t>
      </w:r>
      <w:r>
        <w:rPr>
          <w:rFonts w:ascii="Book Antiqua" w:hAnsi="Book Antiqua"/>
        </w:rPr>
        <w:t>: 268-275 [PMID: 30506169 DOI: 10.1007/s00270-018-2117-7]</w:t>
      </w:r>
    </w:p>
    <w:p w:rsidR="00D164C5" w:rsidRDefault="00B65CF9">
      <w:pPr>
        <w:spacing w:line="360" w:lineRule="auto"/>
        <w:jc w:val="both"/>
        <w:rPr>
          <w:rFonts w:ascii="Book Antiqua" w:hAnsi="Book Antiqua"/>
        </w:rPr>
      </w:pPr>
      <w:r>
        <w:rPr>
          <w:rFonts w:ascii="Book Antiqua" w:hAnsi="Book Antiqua"/>
        </w:rPr>
        <w:t xml:space="preserve">14 </w:t>
      </w:r>
      <w:r>
        <w:rPr>
          <w:rFonts w:ascii="Book Antiqua" w:hAnsi="Book Antiqua"/>
          <w:b/>
          <w:bCs/>
        </w:rPr>
        <w:t xml:space="preserve">van </w:t>
      </w:r>
      <w:proofErr w:type="spellStart"/>
      <w:r>
        <w:rPr>
          <w:rFonts w:ascii="Book Antiqua" w:hAnsi="Book Antiqua"/>
          <w:b/>
          <w:bCs/>
        </w:rPr>
        <w:t>Delden</w:t>
      </w:r>
      <w:proofErr w:type="spellEnd"/>
      <w:r>
        <w:rPr>
          <w:rFonts w:ascii="Book Antiqua" w:hAnsi="Book Antiqua"/>
          <w:b/>
          <w:bCs/>
        </w:rPr>
        <w:t xml:space="preserve"> OM</w:t>
      </w:r>
      <w:r>
        <w:rPr>
          <w:rFonts w:ascii="Book Antiqua" w:hAnsi="Book Antiqua"/>
        </w:rPr>
        <w:t xml:space="preserve">, </w:t>
      </w:r>
      <w:proofErr w:type="spellStart"/>
      <w:r>
        <w:rPr>
          <w:rFonts w:ascii="Book Antiqua" w:hAnsi="Book Antiqua"/>
        </w:rPr>
        <w:t>Laméris</w:t>
      </w:r>
      <w:proofErr w:type="spellEnd"/>
      <w:r>
        <w:rPr>
          <w:rFonts w:ascii="Book Antiqua" w:hAnsi="Book Antiqua"/>
        </w:rPr>
        <w:t xml:space="preserve"> JS. Percutaneous drainage and stenting for palliation of malignant bile duct obstruction.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2008; </w:t>
      </w:r>
      <w:r>
        <w:rPr>
          <w:rFonts w:ascii="Book Antiqua" w:hAnsi="Book Antiqua"/>
          <w:b/>
          <w:bCs/>
        </w:rPr>
        <w:t>18</w:t>
      </w:r>
      <w:r>
        <w:rPr>
          <w:rFonts w:ascii="Book Antiqua" w:hAnsi="Book Antiqua"/>
        </w:rPr>
        <w:t>: 448-456 [PMID: 17960388 DOI: 10.1007/s00330-007-0796-6]</w:t>
      </w:r>
    </w:p>
    <w:p w:rsidR="00D164C5" w:rsidRDefault="00B65CF9">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Guo</w:t>
      </w:r>
      <w:proofErr w:type="spellEnd"/>
      <w:r>
        <w:rPr>
          <w:rFonts w:ascii="Book Antiqua" w:hAnsi="Book Antiqua"/>
          <w:b/>
          <w:bCs/>
        </w:rPr>
        <w:t xml:space="preserve"> Y</w:t>
      </w:r>
      <w:r>
        <w:rPr>
          <w:rFonts w:ascii="Book Antiqua" w:hAnsi="Book Antiqua"/>
        </w:rPr>
        <w:t xml:space="preserve">, Liu Y, Lu Z, Shi X, Zou D, Wang D, Liu F, </w:t>
      </w:r>
      <w:proofErr w:type="spellStart"/>
      <w:r>
        <w:rPr>
          <w:rFonts w:ascii="Book Antiqua" w:hAnsi="Book Antiqua"/>
        </w:rPr>
        <w:t>Jin</w:t>
      </w:r>
      <w:proofErr w:type="spellEnd"/>
      <w:r>
        <w:rPr>
          <w:rFonts w:ascii="Book Antiqua" w:hAnsi="Book Antiqua"/>
        </w:rPr>
        <w:t xml:space="preserve"> Z, Li Z. Obstructive component analysis of radioactive stents and common plastic stents in the bile duct.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2014; </w:t>
      </w:r>
      <w:r>
        <w:rPr>
          <w:rFonts w:ascii="Book Antiqua" w:hAnsi="Book Antiqua"/>
          <w:b/>
          <w:bCs/>
        </w:rPr>
        <w:t>26</w:t>
      </w:r>
      <w:r>
        <w:rPr>
          <w:rFonts w:ascii="Book Antiqua" w:hAnsi="Book Antiqua"/>
        </w:rPr>
        <w:t>: 795-802 [PMID: 24901823 DOI: 10.1097/MEG.0000000000000120]</w:t>
      </w:r>
    </w:p>
    <w:p w:rsidR="00D164C5" w:rsidRDefault="00B65CF9">
      <w:pPr>
        <w:spacing w:line="360" w:lineRule="auto"/>
        <w:jc w:val="both"/>
        <w:rPr>
          <w:rFonts w:ascii="Book Antiqua" w:hAnsi="Book Antiqua"/>
        </w:rPr>
      </w:pPr>
      <w:r>
        <w:rPr>
          <w:rFonts w:ascii="Book Antiqua" w:hAnsi="Book Antiqua"/>
        </w:rPr>
        <w:t xml:space="preserve">16 </w:t>
      </w:r>
      <w:r>
        <w:rPr>
          <w:rFonts w:ascii="Book Antiqua" w:hAnsi="Book Antiqua"/>
          <w:b/>
          <w:bCs/>
        </w:rPr>
        <w:t>Kida M</w:t>
      </w:r>
      <w:r>
        <w:rPr>
          <w:rFonts w:ascii="Book Antiqua" w:hAnsi="Book Antiqua"/>
        </w:rPr>
        <w:t xml:space="preserve">, Miyazawa S, Iwai T, Ikeda H, </w:t>
      </w:r>
      <w:proofErr w:type="spellStart"/>
      <w:r>
        <w:rPr>
          <w:rFonts w:ascii="Book Antiqua" w:hAnsi="Book Antiqua"/>
        </w:rPr>
        <w:t>Takezawa</w:t>
      </w:r>
      <w:proofErr w:type="spellEnd"/>
      <w:r>
        <w:rPr>
          <w:rFonts w:ascii="Book Antiqua" w:hAnsi="Book Antiqua"/>
        </w:rPr>
        <w:t xml:space="preserve"> M, Kikuchi H, Watanabe M, </w:t>
      </w:r>
      <w:proofErr w:type="spellStart"/>
      <w:r>
        <w:rPr>
          <w:rFonts w:ascii="Book Antiqua" w:hAnsi="Book Antiqua"/>
        </w:rPr>
        <w:t>Imaizumi</w:t>
      </w:r>
      <w:proofErr w:type="spellEnd"/>
      <w:r>
        <w:rPr>
          <w:rFonts w:ascii="Book Antiqua" w:hAnsi="Book Antiqua"/>
        </w:rPr>
        <w:t xml:space="preserve"> H, Koizumi W. Recent advances of biliary stent management. </w:t>
      </w:r>
      <w:r>
        <w:rPr>
          <w:rFonts w:ascii="Book Antiqua" w:hAnsi="Book Antiqua"/>
          <w:i/>
          <w:iCs/>
        </w:rPr>
        <w:t xml:space="preserve">Korean J </w:t>
      </w:r>
      <w:proofErr w:type="spellStart"/>
      <w:r>
        <w:rPr>
          <w:rFonts w:ascii="Book Antiqua" w:hAnsi="Book Antiqua"/>
          <w:i/>
          <w:iCs/>
        </w:rPr>
        <w:t>Radiol</w:t>
      </w:r>
      <w:proofErr w:type="spellEnd"/>
      <w:r>
        <w:rPr>
          <w:rFonts w:ascii="Book Antiqua" w:hAnsi="Book Antiqua"/>
        </w:rPr>
        <w:t xml:space="preserve"> 2012; </w:t>
      </w:r>
      <w:r>
        <w:rPr>
          <w:rFonts w:ascii="Book Antiqua" w:hAnsi="Book Antiqua"/>
          <w:b/>
          <w:bCs/>
        </w:rPr>
        <w:t xml:space="preserve">13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S6</w:t>
      </w:r>
      <w:r>
        <w:rPr>
          <w:rFonts w:ascii="Book Antiqua" w:hAnsi="Book Antiqua"/>
        </w:rPr>
        <w:t>2-S66 [PMID: 22563289 DOI: 10.3348/kjr.2012.13.S1.S62]</w:t>
      </w:r>
    </w:p>
    <w:p w:rsidR="00D164C5" w:rsidRDefault="00B65CF9">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Steel AW</w:t>
      </w:r>
      <w:r>
        <w:rPr>
          <w:rFonts w:ascii="Book Antiqua" w:hAnsi="Book Antiqua"/>
        </w:rPr>
        <w:t xml:space="preserve">, </w:t>
      </w:r>
      <w:proofErr w:type="spellStart"/>
      <w:r>
        <w:rPr>
          <w:rFonts w:ascii="Book Antiqua" w:hAnsi="Book Antiqua"/>
        </w:rPr>
        <w:t>Postgate</w:t>
      </w:r>
      <w:proofErr w:type="spellEnd"/>
      <w:r>
        <w:rPr>
          <w:rFonts w:ascii="Book Antiqua" w:hAnsi="Book Antiqua"/>
        </w:rPr>
        <w:t xml:space="preserve"> AJ, </w:t>
      </w:r>
      <w:proofErr w:type="spellStart"/>
      <w:r>
        <w:rPr>
          <w:rFonts w:ascii="Book Antiqua" w:hAnsi="Book Antiqua"/>
        </w:rPr>
        <w:t>Khorsandi</w:t>
      </w:r>
      <w:proofErr w:type="spellEnd"/>
      <w:r>
        <w:rPr>
          <w:rFonts w:ascii="Book Antiqua" w:hAnsi="Book Antiqua"/>
        </w:rPr>
        <w:t xml:space="preserve"> S, Nicholls J, Jiao L, </w:t>
      </w:r>
      <w:proofErr w:type="spellStart"/>
      <w:r>
        <w:rPr>
          <w:rFonts w:ascii="Book Antiqua" w:hAnsi="Book Antiqua"/>
        </w:rPr>
        <w:t>Vlavianos</w:t>
      </w:r>
      <w:proofErr w:type="spellEnd"/>
      <w:r>
        <w:rPr>
          <w:rFonts w:ascii="Book Antiqua" w:hAnsi="Book Antiqua"/>
        </w:rPr>
        <w:t xml:space="preserve"> P, Habib N, </w:t>
      </w:r>
      <w:proofErr w:type="spellStart"/>
      <w:r>
        <w:rPr>
          <w:rFonts w:ascii="Book Antiqua" w:hAnsi="Book Antiqua"/>
        </w:rPr>
        <w:t>Westaby</w:t>
      </w:r>
      <w:proofErr w:type="spellEnd"/>
      <w:r>
        <w:rPr>
          <w:rFonts w:ascii="Book Antiqua" w:hAnsi="Book Antiqua"/>
        </w:rPr>
        <w:t xml:space="preserve"> D. Endoscopically applied radiofrequency ablation appears to be safe in the treatment of malignant biliary obstr</w:t>
      </w:r>
      <w:r>
        <w:rPr>
          <w:rFonts w:ascii="Book Antiqua" w:hAnsi="Book Antiqua"/>
        </w:rPr>
        <w:t xml:space="preserve">uction.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73</w:t>
      </w:r>
      <w:r>
        <w:rPr>
          <w:rFonts w:ascii="Book Antiqua" w:hAnsi="Book Antiqua"/>
        </w:rPr>
        <w:t>: 149-153 [PMID: 21184881 DOI: 10.1016/j.gie.2010.09.031]</w:t>
      </w:r>
    </w:p>
    <w:p w:rsidR="00D164C5" w:rsidRDefault="00B65CF9">
      <w:pPr>
        <w:spacing w:line="360" w:lineRule="auto"/>
        <w:jc w:val="both"/>
        <w:rPr>
          <w:rFonts w:ascii="Book Antiqua" w:hAnsi="Book Antiqua"/>
        </w:rPr>
      </w:pPr>
      <w:r>
        <w:rPr>
          <w:rFonts w:ascii="Book Antiqua" w:hAnsi="Book Antiqua"/>
        </w:rPr>
        <w:t xml:space="preserve">18 </w:t>
      </w:r>
      <w:r>
        <w:rPr>
          <w:rFonts w:ascii="Book Antiqua" w:hAnsi="Book Antiqua"/>
          <w:b/>
          <w:bCs/>
        </w:rPr>
        <w:t>Kim HS</w:t>
      </w:r>
      <w:r>
        <w:rPr>
          <w:rFonts w:ascii="Book Antiqua" w:hAnsi="Book Antiqua"/>
        </w:rPr>
        <w:t xml:space="preserve">, Lee DK, Kim HG, Park JJ, Park SH, Kim JH, </w:t>
      </w:r>
      <w:proofErr w:type="spellStart"/>
      <w:r>
        <w:rPr>
          <w:rFonts w:ascii="Book Antiqua" w:hAnsi="Book Antiqua"/>
        </w:rPr>
        <w:t>Yoo</w:t>
      </w:r>
      <w:proofErr w:type="spellEnd"/>
      <w:r>
        <w:rPr>
          <w:rFonts w:ascii="Book Antiqua" w:hAnsi="Book Antiqua"/>
        </w:rPr>
        <w:t xml:space="preserve"> BM, Roe IH, Moon YS, Myung SJ. Features of malignant biliary obstruction affecting the patency of metalli</w:t>
      </w:r>
      <w:r>
        <w:rPr>
          <w:rFonts w:ascii="Book Antiqua" w:hAnsi="Book Antiqua"/>
        </w:rPr>
        <w:t xml:space="preserve">c stents: a multicenter study.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2002; </w:t>
      </w:r>
      <w:r>
        <w:rPr>
          <w:rFonts w:ascii="Book Antiqua" w:hAnsi="Book Antiqua"/>
          <w:b/>
          <w:bCs/>
        </w:rPr>
        <w:t>55</w:t>
      </w:r>
      <w:r>
        <w:rPr>
          <w:rFonts w:ascii="Book Antiqua" w:hAnsi="Book Antiqua"/>
        </w:rPr>
        <w:t>: 359-365 [PMID: 11868009 DOI: 10.1067/mge.2002.121603]</w:t>
      </w:r>
    </w:p>
    <w:p w:rsidR="00D164C5" w:rsidRDefault="00B65CF9">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Isayama</w:t>
      </w:r>
      <w:proofErr w:type="spellEnd"/>
      <w:r>
        <w:rPr>
          <w:rFonts w:ascii="Book Antiqua" w:hAnsi="Book Antiqua"/>
          <w:b/>
          <w:bCs/>
        </w:rPr>
        <w:t xml:space="preserve"> H</w:t>
      </w:r>
      <w:r>
        <w:rPr>
          <w:rFonts w:ascii="Book Antiqua" w:hAnsi="Book Antiqua"/>
        </w:rPr>
        <w:t xml:space="preserve">, Komatsu Y, </w:t>
      </w:r>
      <w:proofErr w:type="spellStart"/>
      <w:r>
        <w:rPr>
          <w:rFonts w:ascii="Book Antiqua" w:hAnsi="Book Antiqua"/>
        </w:rPr>
        <w:t>Tsujino</w:t>
      </w:r>
      <w:proofErr w:type="spellEnd"/>
      <w:r>
        <w:rPr>
          <w:rFonts w:ascii="Book Antiqua" w:hAnsi="Book Antiqua"/>
        </w:rPr>
        <w:t xml:space="preserve"> T, </w:t>
      </w:r>
      <w:proofErr w:type="spellStart"/>
      <w:r>
        <w:rPr>
          <w:rFonts w:ascii="Book Antiqua" w:hAnsi="Book Antiqua"/>
        </w:rPr>
        <w:t>Sasahira</w:t>
      </w:r>
      <w:proofErr w:type="spellEnd"/>
      <w:r>
        <w:rPr>
          <w:rFonts w:ascii="Book Antiqua" w:hAnsi="Book Antiqua"/>
        </w:rPr>
        <w:t xml:space="preserve"> N, Hirano K, Toda N, </w:t>
      </w:r>
      <w:proofErr w:type="spellStart"/>
      <w:r>
        <w:rPr>
          <w:rFonts w:ascii="Book Antiqua" w:hAnsi="Book Antiqua"/>
        </w:rPr>
        <w:t>Nakai</w:t>
      </w:r>
      <w:proofErr w:type="spellEnd"/>
      <w:r>
        <w:rPr>
          <w:rFonts w:ascii="Book Antiqua" w:hAnsi="Book Antiqua"/>
        </w:rPr>
        <w:t xml:space="preserve"> Y, Yamamoto N, Tada M, Yoshida H, </w:t>
      </w:r>
      <w:proofErr w:type="spellStart"/>
      <w:r>
        <w:rPr>
          <w:rFonts w:ascii="Book Antiqua" w:hAnsi="Book Antiqua"/>
        </w:rPr>
        <w:t>Shiratori</w:t>
      </w:r>
      <w:proofErr w:type="spellEnd"/>
      <w:r>
        <w:rPr>
          <w:rFonts w:ascii="Book Antiqua" w:hAnsi="Book Antiqua"/>
        </w:rPr>
        <w:t xml:space="preserve"> Y, </w:t>
      </w:r>
      <w:proofErr w:type="spellStart"/>
      <w:r>
        <w:rPr>
          <w:rFonts w:ascii="Book Antiqua" w:hAnsi="Book Antiqua"/>
        </w:rPr>
        <w:t>Kawabe</w:t>
      </w:r>
      <w:proofErr w:type="spellEnd"/>
      <w:r>
        <w:rPr>
          <w:rFonts w:ascii="Book Antiqua" w:hAnsi="Book Antiqua"/>
        </w:rPr>
        <w:t xml:space="preserve"> T, </w:t>
      </w:r>
      <w:proofErr w:type="spellStart"/>
      <w:r>
        <w:rPr>
          <w:rFonts w:ascii="Book Antiqua" w:hAnsi="Book Antiqua"/>
        </w:rPr>
        <w:t>Omata</w:t>
      </w:r>
      <w:proofErr w:type="spellEnd"/>
      <w:r>
        <w:rPr>
          <w:rFonts w:ascii="Book Antiqua" w:hAnsi="Book Antiqua"/>
        </w:rPr>
        <w:t xml:space="preserve"> M. A p</w:t>
      </w:r>
      <w:r>
        <w:rPr>
          <w:rFonts w:ascii="Book Antiqua" w:hAnsi="Book Antiqua"/>
        </w:rPr>
        <w:t xml:space="preserve">rospective </w:t>
      </w:r>
      <w:proofErr w:type="spellStart"/>
      <w:r>
        <w:rPr>
          <w:rFonts w:ascii="Book Antiqua" w:hAnsi="Book Antiqua"/>
        </w:rPr>
        <w:t>randomised</w:t>
      </w:r>
      <w:proofErr w:type="spellEnd"/>
      <w:r>
        <w:rPr>
          <w:rFonts w:ascii="Book Antiqua" w:hAnsi="Book Antiqua"/>
        </w:rPr>
        <w:t xml:space="preserve"> study of "covered" versus "uncovered" diamond stents for the management of distal malignant biliary obstruction. </w:t>
      </w:r>
      <w:r>
        <w:rPr>
          <w:rFonts w:ascii="Book Antiqua" w:hAnsi="Book Antiqua"/>
          <w:i/>
          <w:iCs/>
        </w:rPr>
        <w:t>Gut</w:t>
      </w:r>
      <w:r>
        <w:rPr>
          <w:rFonts w:ascii="Book Antiqua" w:hAnsi="Book Antiqua"/>
        </w:rPr>
        <w:t xml:space="preserve"> 2004; </w:t>
      </w:r>
      <w:r>
        <w:rPr>
          <w:rFonts w:ascii="Book Antiqua" w:hAnsi="Book Antiqua"/>
          <w:b/>
          <w:bCs/>
        </w:rPr>
        <w:t>53</w:t>
      </w:r>
      <w:r>
        <w:rPr>
          <w:rFonts w:ascii="Book Antiqua" w:hAnsi="Book Antiqua"/>
        </w:rPr>
        <w:t>: 729-734 [PMID: 15082593 DOI: 10.1136/gut.2003.018945]</w:t>
      </w:r>
    </w:p>
    <w:p w:rsidR="00D164C5" w:rsidRDefault="00B65CF9">
      <w:pPr>
        <w:spacing w:line="360" w:lineRule="auto"/>
        <w:jc w:val="both"/>
        <w:rPr>
          <w:rFonts w:ascii="Book Antiqua" w:hAnsi="Book Antiqua"/>
        </w:rPr>
      </w:pPr>
      <w:r>
        <w:rPr>
          <w:rFonts w:ascii="Book Antiqua" w:hAnsi="Book Antiqua"/>
        </w:rPr>
        <w:t xml:space="preserve">20 </w:t>
      </w:r>
      <w:r>
        <w:rPr>
          <w:rFonts w:ascii="Book Antiqua" w:hAnsi="Book Antiqua"/>
          <w:b/>
          <w:bCs/>
        </w:rPr>
        <w:t>Song TJ</w:t>
      </w:r>
      <w:r>
        <w:rPr>
          <w:rFonts w:ascii="Book Antiqua" w:hAnsi="Book Antiqua"/>
        </w:rPr>
        <w:t xml:space="preserve">, Lee SS, Yun SC, Park DH, </w:t>
      </w:r>
      <w:proofErr w:type="spellStart"/>
      <w:r>
        <w:rPr>
          <w:rFonts w:ascii="Book Antiqua" w:hAnsi="Book Antiqua"/>
        </w:rPr>
        <w:t>Seo</w:t>
      </w:r>
      <w:proofErr w:type="spellEnd"/>
      <w:r>
        <w:rPr>
          <w:rFonts w:ascii="Book Antiqua" w:hAnsi="Book Antiqua"/>
        </w:rPr>
        <w:t xml:space="preserve"> DW, Lee SK, </w:t>
      </w:r>
      <w:r>
        <w:rPr>
          <w:rFonts w:ascii="Book Antiqua" w:hAnsi="Book Antiqua"/>
        </w:rPr>
        <w:t xml:space="preserve">Kim MH. Paclitaxel-eluting covered metal stents versus covered metal stents for distal malignant biliary obstruction: a prospective comparative pilot study.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73</w:t>
      </w:r>
      <w:r>
        <w:rPr>
          <w:rFonts w:ascii="Book Antiqua" w:hAnsi="Book Antiqua"/>
        </w:rPr>
        <w:t>: 727-733 [PMID: 21288514 DOI: 10.1016/j.gie.2010.11.048]</w:t>
      </w:r>
    </w:p>
    <w:p w:rsidR="00D164C5" w:rsidRDefault="00B65CF9">
      <w:pPr>
        <w:spacing w:line="360" w:lineRule="auto"/>
        <w:jc w:val="both"/>
        <w:rPr>
          <w:rFonts w:ascii="Book Antiqua" w:hAnsi="Book Antiqua"/>
        </w:rPr>
      </w:pPr>
      <w:r>
        <w:rPr>
          <w:rFonts w:ascii="Book Antiqua" w:hAnsi="Book Antiqua"/>
        </w:rPr>
        <w:t xml:space="preserve">21 </w:t>
      </w:r>
      <w:r>
        <w:rPr>
          <w:rFonts w:ascii="Book Antiqua" w:hAnsi="Book Antiqua"/>
          <w:b/>
          <w:bCs/>
        </w:rPr>
        <w:t>Yoon WJ</w:t>
      </w:r>
      <w:r>
        <w:rPr>
          <w:rFonts w:ascii="Book Antiqua" w:hAnsi="Book Antiqua"/>
        </w:rPr>
        <w:t>, L</w:t>
      </w:r>
      <w:r>
        <w:rPr>
          <w:rFonts w:ascii="Book Antiqua" w:hAnsi="Book Antiqua"/>
        </w:rPr>
        <w:t xml:space="preserve">ee JK, Lee KH, Lee WJ, </w:t>
      </w:r>
      <w:proofErr w:type="spellStart"/>
      <w:r>
        <w:rPr>
          <w:rFonts w:ascii="Book Antiqua" w:hAnsi="Book Antiqua"/>
        </w:rPr>
        <w:t>Ryu</w:t>
      </w:r>
      <w:proofErr w:type="spellEnd"/>
      <w:r>
        <w:rPr>
          <w:rFonts w:ascii="Book Antiqua" w:hAnsi="Book Antiqua"/>
        </w:rPr>
        <w:t xml:space="preserve"> JK, Kim YT, Yoon YB. </w:t>
      </w:r>
      <w:proofErr w:type="gramStart"/>
      <w:r>
        <w:rPr>
          <w:rFonts w:ascii="Book Antiqua" w:hAnsi="Book Antiqua"/>
        </w:rPr>
        <w:t xml:space="preserve">A comparison of covered and uncovered </w:t>
      </w:r>
      <w:proofErr w:type="spellStart"/>
      <w:r>
        <w:rPr>
          <w:rFonts w:ascii="Book Antiqua" w:hAnsi="Book Antiqua"/>
        </w:rPr>
        <w:t>Wallstents</w:t>
      </w:r>
      <w:proofErr w:type="spellEnd"/>
      <w:r>
        <w:rPr>
          <w:rFonts w:ascii="Book Antiqua" w:hAnsi="Book Antiqua"/>
        </w:rPr>
        <w:t xml:space="preserve"> for the management of distal malignant biliary obstruction.</w:t>
      </w:r>
      <w:proofErr w:type="gramEnd"/>
      <w:r>
        <w:rPr>
          <w:rFonts w:ascii="Book Antiqua" w:hAnsi="Book Antiqua"/>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2006; </w:t>
      </w:r>
      <w:r>
        <w:rPr>
          <w:rFonts w:ascii="Book Antiqua" w:hAnsi="Book Antiqua"/>
          <w:b/>
          <w:bCs/>
        </w:rPr>
        <w:t>63</w:t>
      </w:r>
      <w:r>
        <w:rPr>
          <w:rFonts w:ascii="Book Antiqua" w:hAnsi="Book Antiqua"/>
        </w:rPr>
        <w:t>: 996-1000 [PMID: 16733115 DOI: 10.1016/j.gie.2005.11.054]</w:t>
      </w:r>
    </w:p>
    <w:p w:rsidR="00D164C5" w:rsidRDefault="00B65CF9">
      <w:pPr>
        <w:spacing w:line="360" w:lineRule="auto"/>
        <w:jc w:val="both"/>
        <w:rPr>
          <w:rFonts w:ascii="Book Antiqua" w:hAnsi="Book Antiqua"/>
        </w:rPr>
      </w:pPr>
      <w:r>
        <w:rPr>
          <w:rFonts w:ascii="Book Antiqua" w:hAnsi="Book Antiqua"/>
        </w:rPr>
        <w:t xml:space="preserve">22 </w:t>
      </w:r>
      <w:r>
        <w:rPr>
          <w:rFonts w:ascii="Book Antiqua" w:hAnsi="Book Antiqua"/>
          <w:b/>
          <w:bCs/>
        </w:rPr>
        <w:t>Chen Y</w:t>
      </w:r>
      <w:r>
        <w:rPr>
          <w:rFonts w:ascii="Book Antiqua" w:hAnsi="Book Antiqua"/>
        </w:rPr>
        <w:t>, W</w:t>
      </w:r>
      <w:r>
        <w:rPr>
          <w:rFonts w:ascii="Book Antiqua" w:hAnsi="Book Antiqua"/>
        </w:rPr>
        <w:t>ang XL, Yan ZP, Wang JH, Cheng JM, Gong GQ, Li GP. Damage to pig bile duct caused by intraluminal brachytherapy using a (125</w:t>
      </w:r>
      <w:proofErr w:type="gramStart"/>
      <w:r>
        <w:rPr>
          <w:rFonts w:ascii="Book Antiqua" w:hAnsi="Book Antiqua"/>
        </w:rPr>
        <w:t>)I</w:t>
      </w:r>
      <w:proofErr w:type="gramEnd"/>
      <w:r>
        <w:rPr>
          <w:rFonts w:ascii="Book Antiqua" w:hAnsi="Book Antiqua"/>
        </w:rPr>
        <w:t xml:space="preserve"> ribbon.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2013; </w:t>
      </w:r>
      <w:r>
        <w:rPr>
          <w:rFonts w:ascii="Book Antiqua" w:hAnsi="Book Antiqua"/>
          <w:b/>
          <w:bCs/>
        </w:rPr>
        <w:t>54</w:t>
      </w:r>
      <w:r>
        <w:rPr>
          <w:rFonts w:ascii="Book Antiqua" w:hAnsi="Book Antiqua"/>
        </w:rPr>
        <w:t>: 272-277 [PMID: 23446746 DOI: 10.1258/ar.2012.120214]</w:t>
      </w:r>
    </w:p>
    <w:p w:rsidR="00D164C5" w:rsidRDefault="00B65CF9">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Hasimu</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Gu</w:t>
      </w:r>
      <w:proofErr w:type="spellEnd"/>
      <w:r>
        <w:rPr>
          <w:rFonts w:ascii="Book Antiqua" w:hAnsi="Book Antiqua"/>
        </w:rPr>
        <w:t xml:space="preserve"> JP, Ji WZ, Zhang HX, Zhu DW, R</w:t>
      </w:r>
      <w:r>
        <w:rPr>
          <w:rFonts w:ascii="Book Antiqua" w:hAnsi="Book Antiqua"/>
        </w:rPr>
        <w:t xml:space="preserve">en WX. </w:t>
      </w:r>
      <w:proofErr w:type="gramStart"/>
      <w:r>
        <w:rPr>
          <w:rFonts w:ascii="Book Antiqua" w:hAnsi="Book Antiqua"/>
        </w:rPr>
        <w:t xml:space="preserve">Comparative Study of Percutaneous </w:t>
      </w:r>
      <w:proofErr w:type="spellStart"/>
      <w:r>
        <w:rPr>
          <w:rFonts w:ascii="Book Antiqua" w:hAnsi="Book Antiqua"/>
        </w:rPr>
        <w:t>Transhepatic</w:t>
      </w:r>
      <w:proofErr w:type="spellEnd"/>
      <w:r>
        <w:rPr>
          <w:rFonts w:ascii="Book Antiqua" w:hAnsi="Book Antiqua"/>
        </w:rPr>
        <w:t xml:space="preserve"> Biliary Stent Placement with or without Iodine-125 Seeds for Treating Patients with Malignant Biliary Obstruction.</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Interv</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2017; </w:t>
      </w:r>
      <w:r>
        <w:rPr>
          <w:rFonts w:ascii="Book Antiqua" w:hAnsi="Book Antiqua"/>
          <w:b/>
          <w:bCs/>
        </w:rPr>
        <w:t>28</w:t>
      </w:r>
      <w:r>
        <w:rPr>
          <w:rFonts w:ascii="Book Antiqua" w:hAnsi="Book Antiqua"/>
        </w:rPr>
        <w:t>: 583-593 [PMID: 28162906 DOI: 10.1016/j.jvir.2016.11.038]</w:t>
      </w:r>
    </w:p>
    <w:p w:rsidR="00D164C5" w:rsidRDefault="00B65CF9">
      <w:pPr>
        <w:spacing w:line="360" w:lineRule="auto"/>
        <w:jc w:val="both"/>
        <w:rPr>
          <w:rFonts w:ascii="Book Antiqua" w:hAnsi="Book Antiqua"/>
        </w:rPr>
      </w:pPr>
      <w:proofErr w:type="gramStart"/>
      <w:r>
        <w:rPr>
          <w:rFonts w:ascii="Book Antiqua" w:hAnsi="Book Antiqua"/>
        </w:rPr>
        <w:lastRenderedPageBreak/>
        <w:t xml:space="preserve">24 </w:t>
      </w:r>
      <w:r>
        <w:rPr>
          <w:rFonts w:ascii="Book Antiqua" w:hAnsi="Book Antiqua"/>
          <w:b/>
          <w:bCs/>
        </w:rPr>
        <w:t>Rey JF</w:t>
      </w:r>
      <w:r>
        <w:rPr>
          <w:rFonts w:ascii="Book Antiqua" w:hAnsi="Book Antiqua"/>
        </w:rPr>
        <w:t xml:space="preserve">, </w:t>
      </w:r>
      <w:proofErr w:type="spellStart"/>
      <w:r>
        <w:rPr>
          <w:rFonts w:ascii="Book Antiqua" w:hAnsi="Book Antiqua"/>
        </w:rPr>
        <w:t>Maupetit</w:t>
      </w:r>
      <w:proofErr w:type="spellEnd"/>
      <w:r>
        <w:rPr>
          <w:rFonts w:ascii="Book Antiqua" w:hAnsi="Book Antiqua"/>
        </w:rPr>
        <w:t xml:space="preserve"> P, </w:t>
      </w:r>
      <w:proofErr w:type="spellStart"/>
      <w:r>
        <w:rPr>
          <w:rFonts w:ascii="Book Antiqua" w:hAnsi="Book Antiqua"/>
        </w:rPr>
        <w:t>Greff</w:t>
      </w:r>
      <w:proofErr w:type="spellEnd"/>
      <w:r>
        <w:rPr>
          <w:rFonts w:ascii="Book Antiqua" w:hAnsi="Book Antiqua"/>
        </w:rPr>
        <w:t xml:space="preserve"> M. Experimental study of biliary </w:t>
      </w:r>
      <w:proofErr w:type="spellStart"/>
      <w:r>
        <w:rPr>
          <w:rFonts w:ascii="Book Antiqua" w:hAnsi="Book Antiqua"/>
        </w:rPr>
        <w:t>endoprosthesis</w:t>
      </w:r>
      <w:proofErr w:type="spellEnd"/>
      <w:r>
        <w:rPr>
          <w:rFonts w:ascii="Book Antiqua" w:hAnsi="Book Antiqua"/>
        </w:rPr>
        <w:t xml:space="preserve"> efficiency.</w:t>
      </w:r>
      <w:proofErr w:type="gramEnd"/>
      <w:r>
        <w:rPr>
          <w:rFonts w:ascii="Book Antiqua" w:hAnsi="Book Antiqua"/>
        </w:rPr>
        <w:t xml:space="preserve"> </w:t>
      </w:r>
      <w:r>
        <w:rPr>
          <w:rFonts w:ascii="Book Antiqua" w:hAnsi="Book Antiqua"/>
          <w:i/>
          <w:iCs/>
        </w:rPr>
        <w:t>Endoscopy</w:t>
      </w:r>
      <w:r>
        <w:rPr>
          <w:rFonts w:ascii="Book Antiqua" w:hAnsi="Book Antiqua"/>
        </w:rPr>
        <w:t xml:space="preserve"> 1985; </w:t>
      </w:r>
      <w:r>
        <w:rPr>
          <w:rFonts w:ascii="Book Antiqua" w:hAnsi="Book Antiqua"/>
          <w:b/>
          <w:bCs/>
        </w:rPr>
        <w:t>17</w:t>
      </w:r>
      <w:r>
        <w:rPr>
          <w:rFonts w:ascii="Book Antiqua" w:hAnsi="Book Antiqua"/>
        </w:rPr>
        <w:t>: 145-148 [PMID: 2410246 DOI: 10.1055/s-2007-1018485]</w:t>
      </w:r>
    </w:p>
    <w:p w:rsidR="00D164C5" w:rsidRDefault="00B65CF9">
      <w:pPr>
        <w:spacing w:line="360" w:lineRule="auto"/>
        <w:jc w:val="both"/>
        <w:rPr>
          <w:rFonts w:ascii="Book Antiqua" w:hAnsi="Book Antiqua"/>
        </w:rPr>
      </w:pPr>
      <w:r>
        <w:rPr>
          <w:rFonts w:ascii="Book Antiqua" w:hAnsi="Book Antiqua"/>
        </w:rPr>
        <w:t xml:space="preserve">25 </w:t>
      </w:r>
      <w:r>
        <w:rPr>
          <w:rFonts w:ascii="Book Antiqua" w:hAnsi="Book Antiqua"/>
          <w:b/>
          <w:bCs/>
        </w:rPr>
        <w:t>Ma J</w:t>
      </w:r>
      <w:r>
        <w:rPr>
          <w:rFonts w:ascii="Book Antiqua" w:hAnsi="Book Antiqua"/>
        </w:rPr>
        <w:t xml:space="preserve">, Luo J, </w:t>
      </w:r>
      <w:proofErr w:type="spellStart"/>
      <w:r>
        <w:rPr>
          <w:rFonts w:ascii="Book Antiqua" w:hAnsi="Book Antiqua"/>
        </w:rPr>
        <w:t>Gu</w:t>
      </w:r>
      <w:proofErr w:type="spellEnd"/>
      <w:r>
        <w:rPr>
          <w:rFonts w:ascii="Book Antiqua" w:hAnsi="Book Antiqua"/>
        </w:rPr>
        <w:t xml:space="preserve"> J, Liu Q, Liu L, Zhang W, Zhang Z, Yan Z. Malignant obstructive jaundice tr</w:t>
      </w:r>
      <w:r>
        <w:rPr>
          <w:rFonts w:ascii="Book Antiqua" w:hAnsi="Book Antiqua"/>
        </w:rPr>
        <w:t xml:space="preserve">eated with intraluminal placement of Iodine-125 seed strands and metal stents: An analysis of long-term outcomes and prognostic features. </w:t>
      </w:r>
      <w:r>
        <w:rPr>
          <w:rFonts w:ascii="Book Antiqua" w:hAnsi="Book Antiqua"/>
          <w:i/>
          <w:iCs/>
        </w:rPr>
        <w:t>Brachytherapy</w:t>
      </w:r>
      <w:r>
        <w:rPr>
          <w:rFonts w:ascii="Book Antiqua" w:hAnsi="Book Antiqua"/>
        </w:rPr>
        <w:t xml:space="preserve"> 2018; </w:t>
      </w:r>
      <w:r>
        <w:rPr>
          <w:rFonts w:ascii="Book Antiqua" w:hAnsi="Book Antiqua"/>
          <w:b/>
          <w:bCs/>
        </w:rPr>
        <w:t>17</w:t>
      </w:r>
      <w:r>
        <w:rPr>
          <w:rFonts w:ascii="Book Antiqua" w:hAnsi="Book Antiqua"/>
        </w:rPr>
        <w:t>: 689-695 [PMID: 29748084 DOI: 10.1016/j.brachy.2018.04.001]</w:t>
      </w:r>
    </w:p>
    <w:p w:rsidR="00D164C5" w:rsidRDefault="00B65CF9">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Guo</w:t>
      </w:r>
      <w:proofErr w:type="spellEnd"/>
      <w:r>
        <w:rPr>
          <w:rFonts w:ascii="Book Antiqua" w:hAnsi="Book Antiqua"/>
          <w:b/>
          <w:bCs/>
        </w:rPr>
        <w:t xml:space="preserve"> JH</w:t>
      </w:r>
      <w:r>
        <w:rPr>
          <w:rFonts w:ascii="Book Antiqua" w:hAnsi="Book Antiqua"/>
        </w:rPr>
        <w:t xml:space="preserve">, </w:t>
      </w:r>
      <w:proofErr w:type="spellStart"/>
      <w:r>
        <w:rPr>
          <w:rFonts w:ascii="Book Antiqua" w:hAnsi="Book Antiqua"/>
        </w:rPr>
        <w:t>Teng</w:t>
      </w:r>
      <w:proofErr w:type="spellEnd"/>
      <w:r>
        <w:rPr>
          <w:rFonts w:ascii="Book Antiqua" w:hAnsi="Book Antiqua"/>
        </w:rPr>
        <w:t xml:space="preserve"> GJ, Zhu GY, He SC, Deng G, He J. Self-expandable stent loaded with 125I seeds: feasibility and safety in a rabbit model.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Radiol</w:t>
      </w:r>
      <w:proofErr w:type="spellEnd"/>
      <w:r>
        <w:rPr>
          <w:rFonts w:ascii="Book Antiqua" w:hAnsi="Book Antiqua"/>
        </w:rPr>
        <w:t xml:space="preserve"> 2007; </w:t>
      </w:r>
      <w:r>
        <w:rPr>
          <w:rFonts w:ascii="Book Antiqua" w:hAnsi="Book Antiqua"/>
          <w:b/>
          <w:bCs/>
        </w:rPr>
        <w:t>61</w:t>
      </w:r>
      <w:r>
        <w:rPr>
          <w:rFonts w:ascii="Book Antiqua" w:hAnsi="Book Antiqua"/>
        </w:rPr>
        <w:t>: 356-361 [PMID: 17085003 DOI: 10.1016/j.ejrad.2006.10.003]</w:t>
      </w:r>
    </w:p>
    <w:p w:rsidR="00D164C5" w:rsidRDefault="00B65CF9">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Guo</w:t>
      </w:r>
      <w:proofErr w:type="spellEnd"/>
      <w:r>
        <w:rPr>
          <w:rFonts w:ascii="Book Antiqua" w:hAnsi="Book Antiqua"/>
          <w:b/>
          <w:bCs/>
        </w:rPr>
        <w:t xml:space="preserve"> JH</w:t>
      </w:r>
      <w:r>
        <w:rPr>
          <w:rFonts w:ascii="Book Antiqua" w:hAnsi="Book Antiqua"/>
        </w:rPr>
        <w:t xml:space="preserve">, </w:t>
      </w:r>
      <w:proofErr w:type="spellStart"/>
      <w:r>
        <w:rPr>
          <w:rFonts w:ascii="Book Antiqua" w:hAnsi="Book Antiqua"/>
        </w:rPr>
        <w:t>Teng</w:t>
      </w:r>
      <w:proofErr w:type="spellEnd"/>
      <w:r>
        <w:rPr>
          <w:rFonts w:ascii="Book Antiqua" w:hAnsi="Book Antiqua"/>
        </w:rPr>
        <w:t xml:space="preserve"> GJ, Zhu GY, He SC, Fang W, Deng</w:t>
      </w:r>
      <w:r>
        <w:rPr>
          <w:rFonts w:ascii="Book Antiqua" w:hAnsi="Book Antiqua"/>
        </w:rPr>
        <w:t xml:space="preserve"> G, Li GZ. Self-expandable esophageal stent loaded with 125I seeds: initial experience in patients with advanced esophageal cancer. </w:t>
      </w:r>
      <w:r>
        <w:rPr>
          <w:rFonts w:ascii="Book Antiqua" w:hAnsi="Book Antiqua"/>
          <w:i/>
          <w:iCs/>
        </w:rPr>
        <w:t>Radiology</w:t>
      </w:r>
      <w:r>
        <w:rPr>
          <w:rFonts w:ascii="Book Antiqua" w:hAnsi="Book Antiqua"/>
        </w:rPr>
        <w:t xml:space="preserve"> 2008; </w:t>
      </w:r>
      <w:r>
        <w:rPr>
          <w:rFonts w:ascii="Book Antiqua" w:hAnsi="Book Antiqua"/>
          <w:b/>
          <w:bCs/>
        </w:rPr>
        <w:t>247</w:t>
      </w:r>
      <w:r>
        <w:rPr>
          <w:rFonts w:ascii="Book Antiqua" w:hAnsi="Book Antiqua"/>
        </w:rPr>
        <w:t>: 574-581 [PMID: 18349316 DOI: 10.1148/radiol.2472070999]</w:t>
      </w:r>
    </w:p>
    <w:p w:rsidR="00D164C5" w:rsidRDefault="00B65CF9">
      <w:pPr>
        <w:spacing w:line="360" w:lineRule="auto"/>
        <w:jc w:val="both"/>
        <w:rPr>
          <w:rFonts w:ascii="Book Antiqua" w:hAnsi="Book Antiqua"/>
        </w:rPr>
      </w:pPr>
      <w:r>
        <w:rPr>
          <w:rFonts w:ascii="Book Antiqua" w:hAnsi="Book Antiqua"/>
        </w:rPr>
        <w:t xml:space="preserve">28 </w:t>
      </w:r>
      <w:r>
        <w:rPr>
          <w:rFonts w:ascii="Book Antiqua" w:hAnsi="Book Antiqua"/>
          <w:b/>
          <w:bCs/>
        </w:rPr>
        <w:t>He GJ</w:t>
      </w:r>
      <w:r>
        <w:rPr>
          <w:rFonts w:ascii="Book Antiqua" w:hAnsi="Book Antiqua"/>
        </w:rPr>
        <w:t xml:space="preserve">, Yu FQ, Wu R, </w:t>
      </w:r>
      <w:proofErr w:type="gramStart"/>
      <w:r>
        <w:rPr>
          <w:rFonts w:ascii="Book Antiqua" w:hAnsi="Book Antiqua"/>
        </w:rPr>
        <w:t>Gao</w:t>
      </w:r>
      <w:proofErr w:type="gramEnd"/>
      <w:r>
        <w:rPr>
          <w:rFonts w:ascii="Book Antiqua" w:hAnsi="Book Antiqua"/>
        </w:rPr>
        <w:t xml:space="preserve"> QY, Xu SH, Gao H, Ji</w:t>
      </w:r>
      <w:r>
        <w:rPr>
          <w:rFonts w:ascii="Book Antiqua" w:hAnsi="Book Antiqua"/>
        </w:rPr>
        <w:t xml:space="preserve">ang WG, Jiang T, Dai XW. 103Pd-induced apoptosis of proliferative smooth muscle cells in bile ducts of dogs: significance and effects on related genes. </w:t>
      </w:r>
      <w:r>
        <w:rPr>
          <w:rFonts w:ascii="Book Antiqua" w:hAnsi="Book Antiqua"/>
          <w:i/>
          <w:iCs/>
        </w:rPr>
        <w:t xml:space="preserve">Hepatobiliary </w:t>
      </w:r>
      <w:proofErr w:type="spellStart"/>
      <w:r>
        <w:rPr>
          <w:rFonts w:ascii="Book Antiqua" w:hAnsi="Book Antiqua"/>
          <w:i/>
          <w:iCs/>
        </w:rPr>
        <w:t>Pancreat</w:t>
      </w:r>
      <w:proofErr w:type="spellEnd"/>
      <w:r>
        <w:rPr>
          <w:rFonts w:ascii="Book Antiqua" w:hAnsi="Book Antiqua"/>
          <w:i/>
          <w:iCs/>
        </w:rPr>
        <w:t xml:space="preserve"> Dis </w:t>
      </w:r>
      <w:proofErr w:type="spellStart"/>
      <w:r>
        <w:rPr>
          <w:rFonts w:ascii="Book Antiqua" w:hAnsi="Book Antiqua"/>
          <w:i/>
          <w:iCs/>
        </w:rPr>
        <w:t>Int</w:t>
      </w:r>
      <w:proofErr w:type="spellEnd"/>
      <w:r>
        <w:rPr>
          <w:rFonts w:ascii="Book Antiqua" w:hAnsi="Book Antiqua"/>
        </w:rPr>
        <w:t xml:space="preserve"> 2007; </w:t>
      </w:r>
      <w:r>
        <w:rPr>
          <w:rFonts w:ascii="Book Antiqua" w:hAnsi="Book Antiqua"/>
          <w:b/>
          <w:bCs/>
        </w:rPr>
        <w:t>6</w:t>
      </w:r>
      <w:r>
        <w:rPr>
          <w:rFonts w:ascii="Book Antiqua" w:hAnsi="Book Antiqua"/>
        </w:rPr>
        <w:t>: 521-526 [PMID: 17897918]</w:t>
      </w:r>
    </w:p>
    <w:p w:rsidR="00D164C5" w:rsidRDefault="00D164C5">
      <w:pPr>
        <w:spacing w:line="360" w:lineRule="auto"/>
        <w:jc w:val="both"/>
        <w:rPr>
          <w:rFonts w:ascii="Book Antiqua" w:hAnsi="Book Antiqua"/>
        </w:rPr>
      </w:pPr>
    </w:p>
    <w:p w:rsidR="00D164C5" w:rsidRDefault="00D164C5">
      <w:pPr>
        <w:spacing w:line="360" w:lineRule="auto"/>
        <w:jc w:val="both"/>
        <w:rPr>
          <w:rFonts w:ascii="Book Antiqua" w:hAnsi="Book Antiqua"/>
        </w:rPr>
        <w:sectPr w:rsidR="00D164C5">
          <w:pgSz w:w="12240" w:h="15840"/>
          <w:pgMar w:top="1440" w:right="1440" w:bottom="1440" w:left="1440" w:header="720" w:footer="720" w:gutter="0"/>
          <w:cols w:space="720"/>
          <w:docGrid w:linePitch="360"/>
        </w:sectPr>
      </w:pPr>
    </w:p>
    <w:p w:rsidR="00D164C5" w:rsidRDefault="00B65CF9">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Medical Ethics Review Committee of Harbin Medical University Cancer Hospital. </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registration policy applies to prospective, randomi</w:t>
      </w:r>
      <w:r>
        <w:rPr>
          <w:rFonts w:ascii="Book Antiqua" w:eastAsia="Book Antiqua" w:hAnsi="Book Antiqua" w:cs="Book Antiqua"/>
          <w:color w:val="000000"/>
        </w:rPr>
        <w:t xml:space="preserve">zed, controlled trials only. </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study participants, or their legal guardian, provided informed written consent prior to study enrollment. </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interests.</w:t>
      </w:r>
    </w:p>
    <w:p w:rsidR="00D164C5" w:rsidRDefault="00D164C5">
      <w:pPr>
        <w:spacing w:line="360" w:lineRule="auto"/>
        <w:jc w:val="both"/>
        <w:rPr>
          <w:rFonts w:ascii="Book Antiqua" w:eastAsia="Book Antiqua" w:hAnsi="Book Antiqua" w:cs="Book Antiqua"/>
          <w:color w:val="000000"/>
        </w:rPr>
      </w:pPr>
    </w:p>
    <w:p w:rsidR="00D164C5" w:rsidRDefault="00B65CF9">
      <w:pPr>
        <w:spacing w:line="360" w:lineRule="auto"/>
        <w:jc w:val="both"/>
        <w:rPr>
          <w:rFonts w:ascii="Book Antiqua" w:hAnsi="Book Antiqua"/>
        </w:rPr>
      </w:pPr>
      <w:r>
        <w:rPr>
          <w:rFonts w:ascii="Book Antiqua" w:hAnsi="Book Antiqua" w:cs="Garamond"/>
          <w:b/>
          <w:bCs/>
          <w:color w:val="000000"/>
        </w:rPr>
        <w:t xml:space="preserve">CONSORT </w:t>
      </w:r>
      <w:r>
        <w:rPr>
          <w:rFonts w:ascii="Book Antiqua" w:hAnsi="Book Antiqua" w:cs="Garamond"/>
          <w:b/>
          <w:bCs/>
          <w:color w:val="000000"/>
        </w:rPr>
        <w:t>2010 Statement:</w:t>
      </w:r>
      <w:r>
        <w:rPr>
          <w:rFonts w:ascii="Book Antiqua" w:hAnsi="Book Antiqua" w:cs="Garamond"/>
          <w:color w:val="000000"/>
        </w:rPr>
        <w:t xml:space="preserve"> The authors have read the CONSORT 2010 Statement, and the manuscript was prepared and revised according to the CONSORT 2010 Statement.</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w:t>
      </w:r>
      <w:r>
        <w:rPr>
          <w:rFonts w:ascii="Book Antiqua" w:eastAsia="Book Antiqua" w:hAnsi="Book Antiqua" w:cs="Book Antiqua"/>
          <w:color w:val="000000"/>
        </w:rPr>
        <w:t xml:space="preserv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w:t>
      </w:r>
      <w:r>
        <w:rPr>
          <w:rFonts w:ascii="Book Antiqua" w:eastAsia="Book Antiqua" w:hAnsi="Book Antiqua" w:cs="Book Antiqua"/>
          <w:color w:val="000000"/>
        </w:rPr>
        <w:t>tive works on different terms, provided the original work is properly cited and the use is non-commercial. See: http://creativecommons.org/Licenses/by-nc/4.0/</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 2020</w:t>
      </w:r>
    </w:p>
    <w:p w:rsidR="00D164C5" w:rsidRDefault="00B65CF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rsidR="00D164C5" w:rsidRDefault="00B65CF9">
      <w:pPr>
        <w:spacing w:line="360" w:lineRule="auto"/>
        <w:jc w:val="both"/>
        <w:rPr>
          <w:rFonts w:ascii="Book Antiqua" w:hAnsi="Book Antiqua"/>
        </w:rPr>
      </w:pPr>
      <w:r>
        <w:rPr>
          <w:rFonts w:ascii="Book Antiqua" w:eastAsia="Book Antiqua" w:hAnsi="Book Antiqua" w:cs="Book Antiqua"/>
          <w:b/>
          <w:color w:val="000000"/>
        </w:rPr>
        <w:t>Article in press:</w:t>
      </w:r>
      <w:r>
        <w:rPr>
          <w:rFonts w:ascii="Book Antiqua" w:eastAsia="Book Antiqua" w:hAnsi="Book Antiqua" w:cs="Book Antiqua"/>
          <w:bCs/>
          <w:color w:val="000000"/>
        </w:rPr>
        <w:t xml:space="preserve"> </w:t>
      </w:r>
      <w:r>
        <w:rPr>
          <w:rFonts w:ascii="Book Antiqua" w:eastAsia="Book Antiqua" w:hAnsi="Book Antiqua" w:cs="Book Antiqua" w:hint="eastAsia"/>
          <w:bCs/>
          <w:color w:val="000000"/>
        </w:rPr>
        <w:t>December 10, 2020</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bookmarkStart w:id="0" w:name="OLE_LINK1952"/>
      <w:bookmarkStart w:id="1" w:name="OLE_LINK1953"/>
      <w:bookmarkStart w:id="2" w:name="OLE_LINK2066"/>
      <w:r>
        <w:rPr>
          <w:rFonts w:ascii="Book Antiqua" w:eastAsia="微软雅黑" w:hAnsi="Book Antiqua" w:cs="宋体"/>
        </w:rPr>
        <w:t>Medicine, research and experimental</w:t>
      </w:r>
      <w:bookmarkEnd w:id="0"/>
      <w:bookmarkEnd w:id="1"/>
      <w:bookmarkEnd w:id="2"/>
    </w:p>
    <w:p w:rsidR="00D164C5" w:rsidRDefault="00B65CF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D164C5" w:rsidRDefault="00B65CF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D164C5" w:rsidRDefault="00B65CF9">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D164C5" w:rsidRDefault="00B65CF9">
      <w:pPr>
        <w:spacing w:line="360" w:lineRule="auto"/>
        <w:jc w:val="both"/>
        <w:rPr>
          <w:rFonts w:ascii="Book Antiqua" w:hAnsi="Book Antiqua"/>
        </w:rPr>
      </w:pPr>
      <w:r>
        <w:rPr>
          <w:rFonts w:ascii="Book Antiqua" w:eastAsia="Book Antiqua" w:hAnsi="Book Antiqua" w:cs="Book Antiqua"/>
          <w:color w:val="000000"/>
        </w:rPr>
        <w:t>Grade B (Very good):</w:t>
      </w:r>
      <w:r>
        <w:rPr>
          <w:rFonts w:ascii="Book Antiqua" w:eastAsia="Book Antiqua" w:hAnsi="Book Antiqua" w:cs="Book Antiqua"/>
          <w:color w:val="000000"/>
        </w:rPr>
        <w:t xml:space="preserve"> B, B</w:t>
      </w:r>
    </w:p>
    <w:p w:rsidR="00D164C5" w:rsidRDefault="00B65CF9">
      <w:pPr>
        <w:spacing w:line="360" w:lineRule="auto"/>
        <w:jc w:val="both"/>
        <w:rPr>
          <w:rFonts w:ascii="Book Antiqua" w:hAnsi="Book Antiqua"/>
        </w:rPr>
      </w:pPr>
      <w:r>
        <w:rPr>
          <w:rFonts w:ascii="Book Antiqua" w:eastAsia="Book Antiqua" w:hAnsi="Book Antiqua" w:cs="Book Antiqua"/>
          <w:color w:val="000000"/>
        </w:rPr>
        <w:t>Grade C (Good): 0</w:t>
      </w:r>
    </w:p>
    <w:p w:rsidR="00D164C5" w:rsidRDefault="00B65CF9">
      <w:pPr>
        <w:spacing w:line="360" w:lineRule="auto"/>
        <w:jc w:val="both"/>
        <w:rPr>
          <w:rFonts w:ascii="Book Antiqua" w:hAnsi="Book Antiqua"/>
        </w:rPr>
      </w:pPr>
      <w:r>
        <w:rPr>
          <w:rFonts w:ascii="Book Antiqua" w:eastAsia="Book Antiqua" w:hAnsi="Book Antiqua" w:cs="Book Antiqua"/>
          <w:color w:val="000000"/>
        </w:rPr>
        <w:t>Grade D (Fair): 0</w:t>
      </w:r>
    </w:p>
    <w:p w:rsidR="00D164C5" w:rsidRDefault="00B65CF9">
      <w:pPr>
        <w:spacing w:line="360" w:lineRule="auto"/>
        <w:jc w:val="both"/>
        <w:rPr>
          <w:rFonts w:ascii="Book Antiqua" w:hAnsi="Book Antiqua"/>
        </w:rPr>
      </w:pPr>
      <w:r>
        <w:rPr>
          <w:rFonts w:ascii="Book Antiqua" w:eastAsia="Book Antiqua" w:hAnsi="Book Antiqua" w:cs="Book Antiqua"/>
          <w:color w:val="000000"/>
        </w:rPr>
        <w:t>Grade E (Poor): 0</w:t>
      </w:r>
    </w:p>
    <w:p w:rsidR="00D164C5" w:rsidRDefault="00D164C5">
      <w:pPr>
        <w:spacing w:line="360" w:lineRule="auto"/>
        <w:jc w:val="both"/>
        <w:rPr>
          <w:rFonts w:ascii="Book Antiqua" w:hAnsi="Book Antiqua"/>
        </w:rPr>
      </w:pPr>
    </w:p>
    <w:p w:rsidR="00D164C5" w:rsidRDefault="00B65CF9">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Faloppi</w:t>
      </w:r>
      <w:proofErr w:type="spellEnd"/>
      <w:r>
        <w:rPr>
          <w:rFonts w:ascii="Book Antiqua" w:eastAsia="Book Antiqua" w:hAnsi="Book Antiqua" w:cs="Book Antiqua"/>
          <w:color w:val="000000"/>
        </w:rPr>
        <w:t xml:space="preserve"> L, Otto G, </w:t>
      </w:r>
      <w:proofErr w:type="spellStart"/>
      <w:r>
        <w:rPr>
          <w:rFonts w:ascii="Book Antiqua" w:eastAsia="Book Antiqua" w:hAnsi="Book Antiqua" w:cs="Book Antiqua"/>
          <w:color w:val="000000"/>
        </w:rPr>
        <w:t>Raisch</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Y</w:t>
      </w:r>
      <w:r>
        <w:rPr>
          <w:rFonts w:ascii="Book Antiqua" w:eastAsia="Book Antiqua" w:hAnsi="Book Antiqua" w:cs="Book Antiqua" w:hint="eastAsia"/>
          <w:bCs/>
          <w:color w:val="000000"/>
        </w:rPr>
        <w:t>u</w:t>
      </w:r>
      <w:r>
        <w:rPr>
          <w:rFonts w:ascii="Book Antiqua" w:eastAsia="宋体" w:hAnsi="Book Antiqua" w:cs="Book Antiqua" w:hint="eastAsia"/>
          <w:bCs/>
          <w:color w:val="000000"/>
          <w:lang w:eastAsia="zh-CN"/>
        </w:rPr>
        <w:t>an</w:t>
      </w:r>
      <w:r>
        <w:rPr>
          <w:rFonts w:ascii="Book Antiqua" w:eastAsia="Book Antiqua" w:hAnsi="Book Antiqua" w:cs="Book Antiqua" w:hint="eastAsia"/>
          <w:bCs/>
          <w:color w:val="000000"/>
        </w:rPr>
        <w:t xml:space="preserve"> Y</w:t>
      </w:r>
      <w:r>
        <w:rPr>
          <w:rFonts w:ascii="Book Antiqua" w:eastAsia="宋体" w:hAnsi="Book Antiqua" w:cs="Book Antiqua" w:hint="eastAsia"/>
          <w:bCs/>
          <w:color w:val="000000"/>
          <w:lang w:eastAsia="zh-CN"/>
        </w:rPr>
        <w:t>Y</w:t>
      </w:r>
    </w:p>
    <w:p w:rsidR="00D164C5" w:rsidRDefault="00B65C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rsidR="00D164C5" w:rsidRDefault="00B65CF9">
      <w:pPr>
        <w:spacing w:line="360" w:lineRule="auto"/>
        <w:jc w:val="both"/>
        <w:rPr>
          <w:rFonts w:ascii="Book Antiqua" w:hAnsi="Book Antiqua"/>
        </w:rPr>
      </w:pPr>
      <w:r>
        <w:rPr>
          <w:rFonts w:ascii="Book Antiqua" w:hAnsi="Book Antiqua"/>
          <w:noProof/>
          <w:lang w:eastAsia="zh-CN"/>
        </w:rPr>
        <w:drawing>
          <wp:inline distT="0" distB="0" distL="0" distR="0" wp14:anchorId="79FD9C8B" wp14:editId="116B6A5F">
            <wp:extent cx="2879725" cy="1750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002066" cy="1825696"/>
                    </a:xfrm>
                    <a:prstGeom prst="rect">
                      <a:avLst/>
                    </a:prstGeom>
                  </pic:spPr>
                </pic:pic>
              </a:graphicData>
            </a:graphic>
          </wp:inline>
        </w:drawing>
      </w:r>
      <w:r>
        <w:rPr>
          <w:rFonts w:ascii="Book Antiqua" w:hAnsi="Book Antiqua"/>
          <w:noProof/>
          <w:lang w:eastAsia="zh-CN"/>
        </w:rPr>
        <w:drawing>
          <wp:inline distT="0" distB="0" distL="0" distR="0" wp14:anchorId="60DC8B50" wp14:editId="07D95CE0">
            <wp:extent cx="2902585" cy="1733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039848" cy="1815446"/>
                    </a:xfrm>
                    <a:prstGeom prst="rect">
                      <a:avLst/>
                    </a:prstGeom>
                  </pic:spPr>
                </pic:pic>
              </a:graphicData>
            </a:graphic>
          </wp:inline>
        </w:drawing>
      </w:r>
    </w:p>
    <w:p w:rsidR="00D164C5" w:rsidRDefault="00B65CF9">
      <w:pPr>
        <w:spacing w:line="360" w:lineRule="auto"/>
        <w:jc w:val="both"/>
        <w:rPr>
          <w:rFonts w:ascii="Book Antiqua" w:hAnsi="Book Antiqua"/>
        </w:rPr>
      </w:pPr>
      <w:r>
        <w:rPr>
          <w:rFonts w:ascii="Book Antiqua" w:hAnsi="Book Antiqua"/>
          <w:noProof/>
          <w:lang w:eastAsia="zh-CN"/>
        </w:rPr>
        <w:drawing>
          <wp:inline distT="0" distB="0" distL="0" distR="0" wp14:anchorId="38CCA490" wp14:editId="1DD20214">
            <wp:extent cx="2832100" cy="1803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2851585" cy="1815702"/>
                    </a:xfrm>
                    <a:prstGeom prst="rect">
                      <a:avLst/>
                    </a:prstGeom>
                  </pic:spPr>
                </pic:pic>
              </a:graphicData>
            </a:graphic>
          </wp:inline>
        </w:drawing>
      </w:r>
      <w:r>
        <w:rPr>
          <w:rFonts w:ascii="Book Antiqua" w:hAnsi="Book Antiqua"/>
          <w:noProof/>
          <w:lang w:eastAsia="zh-CN"/>
        </w:rPr>
        <w:drawing>
          <wp:inline distT="0" distB="0" distL="0" distR="0" wp14:anchorId="1CA683F9" wp14:editId="3B219E9B">
            <wp:extent cx="1543685" cy="17856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1566204" cy="1812123"/>
                    </a:xfrm>
                    <a:prstGeom prst="rect">
                      <a:avLst/>
                    </a:prstGeom>
                  </pic:spPr>
                </pic:pic>
              </a:graphicData>
            </a:graphic>
          </wp:inline>
        </w:drawing>
      </w:r>
    </w:p>
    <w:p w:rsidR="00D164C5" w:rsidRDefault="00B65CF9">
      <w:pPr>
        <w:spacing w:line="360" w:lineRule="auto"/>
        <w:jc w:val="both"/>
        <w:rPr>
          <w:rFonts w:ascii="Book Antiqua" w:hAnsi="Book Antiqua"/>
        </w:rPr>
      </w:pPr>
      <w:proofErr w:type="gramStart"/>
      <w:r>
        <w:rPr>
          <w:rFonts w:ascii="Book Antiqua" w:hAnsi="Book Antiqua"/>
          <w:b/>
          <w:bCs/>
        </w:rPr>
        <w:t xml:space="preserve">Figure 1 </w:t>
      </w:r>
      <w:r>
        <w:rPr>
          <w:rFonts w:ascii="Book Antiqua" w:eastAsia="Book Antiqua" w:hAnsi="Book Antiqua" w:cs="Book Antiqua"/>
          <w:b/>
          <w:bCs/>
          <w:color w:val="000000"/>
        </w:rPr>
        <w:t>Guidance by ultrasound and digital subtraction angiography</w:t>
      </w:r>
      <w:r>
        <w:rPr>
          <w:rFonts w:ascii="Book Antiqua" w:hAnsi="Book Antiqua"/>
          <w:b/>
          <w:bCs/>
        </w:rPr>
        <w:t>.</w:t>
      </w:r>
      <w:proofErr w:type="gramEnd"/>
      <w:r>
        <w:rPr>
          <w:rFonts w:ascii="Book Antiqua" w:hAnsi="Book Antiqua"/>
        </w:rPr>
        <w:t xml:space="preserve"> A: The dilated bile duct was punctured with an 18G cannula puncture needle; B: A guide wire was introduced through the puncture needle sheath; C: Two guide wires were introduced through the 8F catheter; D: One guide wire was introduced into the stent conv</w:t>
      </w:r>
      <w:r>
        <w:rPr>
          <w:rFonts w:ascii="Book Antiqua" w:hAnsi="Book Antiqua"/>
        </w:rPr>
        <w:t>eyor, and the other into the 8F catheter, ready to push the iodine-125 (</w:t>
      </w:r>
      <w:r>
        <w:rPr>
          <w:rFonts w:ascii="Book Antiqua" w:hAnsi="Book Antiqua"/>
          <w:vertAlign w:val="superscript"/>
        </w:rPr>
        <w:t>125</w:t>
      </w:r>
      <w:r>
        <w:rPr>
          <w:rFonts w:ascii="Book Antiqua" w:hAnsi="Book Antiqua"/>
        </w:rPr>
        <w:t xml:space="preserve">I) seed strands; E: Successful placement of stent and </w:t>
      </w:r>
      <w:r>
        <w:rPr>
          <w:rFonts w:ascii="Book Antiqua" w:hAnsi="Book Antiqua"/>
          <w:vertAlign w:val="superscript"/>
        </w:rPr>
        <w:t>125</w:t>
      </w:r>
      <w:r>
        <w:rPr>
          <w:rFonts w:ascii="Book Antiqua" w:hAnsi="Book Antiqua"/>
        </w:rPr>
        <w:t xml:space="preserve">I seed strands; F: External drainage tube angiography showing the unobstructed stent; G: </w:t>
      </w:r>
      <w:r>
        <w:rPr>
          <w:rFonts w:ascii="Book Antiqua" w:hAnsi="Book Antiqua"/>
          <w:vertAlign w:val="superscript"/>
        </w:rPr>
        <w:t>125</w:t>
      </w:r>
      <w:r>
        <w:rPr>
          <w:rFonts w:ascii="Book Antiqua" w:hAnsi="Book Antiqua"/>
        </w:rPr>
        <w:t>I seeds were placed into 4F plas</w:t>
      </w:r>
      <w:r>
        <w:rPr>
          <w:rFonts w:ascii="Book Antiqua" w:hAnsi="Book Antiqua"/>
        </w:rPr>
        <w:t xml:space="preserve">tic tubes to make </w:t>
      </w:r>
      <w:r>
        <w:rPr>
          <w:rFonts w:ascii="Book Antiqua" w:hAnsi="Book Antiqua"/>
          <w:vertAlign w:val="superscript"/>
        </w:rPr>
        <w:t>125</w:t>
      </w:r>
      <w:r>
        <w:rPr>
          <w:rFonts w:ascii="Book Antiqua" w:hAnsi="Book Antiqua"/>
        </w:rPr>
        <w:t>I seed strands.</w:t>
      </w:r>
      <w:r>
        <w:rPr>
          <w:rFonts w:ascii="Book Antiqua" w:hAnsi="Book Antiqua"/>
        </w:rPr>
        <w:cr/>
      </w:r>
      <w:r>
        <w:rPr>
          <w:rFonts w:ascii="Book Antiqua" w:hAnsi="Book Antiqua"/>
        </w:rPr>
        <w:br w:type="page"/>
      </w:r>
      <w:r>
        <w:rPr>
          <w:rFonts w:ascii="Book Antiqua" w:hAnsi="Book Antiqua"/>
          <w:noProof/>
          <w:lang w:eastAsia="zh-CN"/>
        </w:rPr>
        <w:lastRenderedPageBreak/>
        <w:drawing>
          <wp:inline distT="0" distB="0" distL="0" distR="0" wp14:anchorId="13CE6E2A" wp14:editId="7164EA2A">
            <wp:extent cx="4172585" cy="26396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4181930" cy="2645428"/>
                    </a:xfrm>
                    <a:prstGeom prst="rect">
                      <a:avLst/>
                    </a:prstGeom>
                  </pic:spPr>
                </pic:pic>
              </a:graphicData>
            </a:graphic>
          </wp:inline>
        </w:drawing>
      </w:r>
    </w:p>
    <w:p w:rsidR="00D164C5" w:rsidRDefault="00B65CF9">
      <w:pPr>
        <w:spacing w:line="360" w:lineRule="auto"/>
        <w:jc w:val="both"/>
        <w:rPr>
          <w:rFonts w:ascii="Book Antiqua" w:hAnsi="Book Antiqua"/>
        </w:rPr>
      </w:pPr>
      <w:r>
        <w:rPr>
          <w:rFonts w:ascii="Book Antiqua" w:hAnsi="Book Antiqua"/>
          <w:noProof/>
          <w:lang w:eastAsia="zh-CN"/>
        </w:rPr>
        <w:drawing>
          <wp:inline distT="0" distB="0" distL="0" distR="0" wp14:anchorId="47785434" wp14:editId="6E432DF9">
            <wp:extent cx="4142105" cy="2768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4148011" cy="2772431"/>
                    </a:xfrm>
                    <a:prstGeom prst="rect">
                      <a:avLst/>
                    </a:prstGeom>
                  </pic:spPr>
                </pic:pic>
              </a:graphicData>
            </a:graphic>
          </wp:inline>
        </w:drawing>
      </w:r>
    </w:p>
    <w:p w:rsidR="00D164C5" w:rsidRDefault="00B65CF9">
      <w:pPr>
        <w:spacing w:line="360" w:lineRule="auto"/>
        <w:jc w:val="both"/>
        <w:rPr>
          <w:rFonts w:ascii="Book Antiqua" w:hAnsi="Book Antiqua"/>
        </w:rPr>
      </w:pPr>
      <w:proofErr w:type="gramStart"/>
      <w:r>
        <w:rPr>
          <w:rFonts w:ascii="Book Antiqua" w:hAnsi="Book Antiqua"/>
          <w:b/>
          <w:bCs/>
        </w:rPr>
        <w:t xml:space="preserve">Figure 2 </w:t>
      </w:r>
      <w:r>
        <w:rPr>
          <w:rFonts w:ascii="Book Antiqua" w:eastAsia="Book Antiqua" w:hAnsi="Book Antiqua" w:cs="Book Antiqua"/>
          <w:b/>
          <w:bCs/>
          <w:color w:val="000000"/>
        </w:rPr>
        <w:t>Median stent patency times and survival time for the combined group</w:t>
      </w:r>
      <w:r>
        <w:rPr>
          <w:rFonts w:ascii="Book Antiqua" w:hAnsi="Book Antiqua"/>
          <w:b/>
          <w:bCs/>
        </w:rPr>
        <w:t>.</w:t>
      </w:r>
      <w:proofErr w:type="gramEnd"/>
      <w:r>
        <w:rPr>
          <w:rFonts w:ascii="Book Antiqua" w:hAnsi="Book Antiqua"/>
        </w:rPr>
        <w:t xml:space="preserve"> A: The survival curve showed that the median stent patency time in the combined group was 9.000 ± 1.414 </w:t>
      </w:r>
      <w:proofErr w:type="spellStart"/>
      <w:r>
        <w:rPr>
          <w:rFonts w:ascii="Book Antiqua" w:hAnsi="Book Antiqua"/>
        </w:rPr>
        <w:t>mo</w:t>
      </w:r>
      <w:proofErr w:type="spellEnd"/>
      <w:r>
        <w:rPr>
          <w:rFonts w:ascii="Book Antiqua" w:hAnsi="Book Antiqua"/>
        </w:rPr>
        <w:t xml:space="preserve"> (95% confidence interval (CI)</w:t>
      </w:r>
      <w:r>
        <w:rPr>
          <w:rFonts w:ascii="Book Antiqua" w:hAnsi="Book Antiqua"/>
        </w:rPr>
        <w:t xml:space="preserve">: 6.228-11.772 </w:t>
      </w:r>
      <w:proofErr w:type="spellStart"/>
      <w:r>
        <w:rPr>
          <w:rFonts w:ascii="Book Antiqua" w:hAnsi="Book Antiqua"/>
        </w:rPr>
        <w:t>mo</w:t>
      </w:r>
      <w:proofErr w:type="spellEnd"/>
      <w:r>
        <w:rPr>
          <w:rFonts w:ascii="Book Antiqua" w:hAnsi="Book Antiqua"/>
        </w:rPr>
        <w:t xml:space="preserve">), the control group was 6.000 ± 0.267 </w:t>
      </w:r>
      <w:proofErr w:type="spellStart"/>
      <w:r>
        <w:rPr>
          <w:rFonts w:ascii="Book Antiqua" w:hAnsi="Book Antiqua"/>
        </w:rPr>
        <w:t>mo</w:t>
      </w:r>
      <w:proofErr w:type="spellEnd"/>
      <w:r>
        <w:rPr>
          <w:rFonts w:ascii="Book Antiqua" w:hAnsi="Book Antiqua"/>
        </w:rPr>
        <w:t xml:space="preserve"> (95%CI: 5.476-6.524 </w:t>
      </w:r>
      <w:proofErr w:type="spellStart"/>
      <w:r>
        <w:rPr>
          <w:rFonts w:ascii="Book Antiqua" w:hAnsi="Book Antiqua"/>
        </w:rPr>
        <w:t>mo</w:t>
      </w:r>
      <w:proofErr w:type="spellEnd"/>
      <w:r>
        <w:rPr>
          <w:rFonts w:ascii="Book Antiqua" w:hAnsi="Book Antiqua"/>
        </w:rPr>
        <w:t>), and there was a significant difference (</w:t>
      </w:r>
      <w:r>
        <w:rPr>
          <w:rFonts w:ascii="Book Antiqua" w:hAnsi="Book Antiqua"/>
          <w:i/>
          <w:iCs/>
        </w:rPr>
        <w:t>P</w:t>
      </w:r>
      <w:r>
        <w:rPr>
          <w:rFonts w:ascii="Book Antiqua" w:hAnsi="Book Antiqua"/>
        </w:rPr>
        <w:t xml:space="preserve"> = 0.000); B: The survival curve showed that the median survival time of the combined group was 11.000 ± 1.403 </w:t>
      </w:r>
      <w:proofErr w:type="spellStart"/>
      <w:r>
        <w:rPr>
          <w:rFonts w:ascii="Book Antiqua" w:hAnsi="Book Antiqua"/>
        </w:rPr>
        <w:t>mo</w:t>
      </w:r>
      <w:proofErr w:type="spellEnd"/>
      <w:r>
        <w:rPr>
          <w:rFonts w:ascii="Book Antiqua" w:hAnsi="Book Antiqua"/>
        </w:rPr>
        <w:t xml:space="preserve"> (95%CI: 8.250-13.</w:t>
      </w:r>
      <w:r>
        <w:rPr>
          <w:rFonts w:ascii="Book Antiqua" w:hAnsi="Book Antiqua"/>
        </w:rPr>
        <w:t xml:space="preserve">750 </w:t>
      </w:r>
      <w:proofErr w:type="spellStart"/>
      <w:r>
        <w:rPr>
          <w:rFonts w:ascii="Book Antiqua" w:hAnsi="Book Antiqua"/>
        </w:rPr>
        <w:t>mo</w:t>
      </w:r>
      <w:proofErr w:type="spellEnd"/>
      <w:r>
        <w:rPr>
          <w:rFonts w:ascii="Book Antiqua" w:hAnsi="Book Antiqua"/>
        </w:rPr>
        <w:t xml:space="preserve">), the control group was 7.000 ± 0.327 </w:t>
      </w:r>
      <w:proofErr w:type="spellStart"/>
      <w:r>
        <w:rPr>
          <w:rFonts w:ascii="Book Antiqua" w:hAnsi="Book Antiqua"/>
        </w:rPr>
        <w:t>mo</w:t>
      </w:r>
      <w:proofErr w:type="spellEnd"/>
      <w:r>
        <w:rPr>
          <w:rFonts w:ascii="Book Antiqua" w:hAnsi="Book Antiqua"/>
        </w:rPr>
        <w:t xml:space="preserve"> (95%CI: 6.358-7.642 </w:t>
      </w:r>
      <w:proofErr w:type="spellStart"/>
      <w:r>
        <w:rPr>
          <w:rFonts w:ascii="Book Antiqua" w:hAnsi="Book Antiqua"/>
        </w:rPr>
        <w:t>mo</w:t>
      </w:r>
      <w:proofErr w:type="spellEnd"/>
      <w:r>
        <w:rPr>
          <w:rFonts w:ascii="Book Antiqua" w:hAnsi="Book Antiqua"/>
        </w:rPr>
        <w:t>), and there was a significant difference between the two groups (</w:t>
      </w:r>
      <w:r>
        <w:rPr>
          <w:rFonts w:ascii="Book Antiqua" w:hAnsi="Book Antiqua"/>
          <w:i/>
          <w:iCs/>
        </w:rPr>
        <w:t>P</w:t>
      </w:r>
      <w:r>
        <w:rPr>
          <w:rFonts w:ascii="Book Antiqua" w:hAnsi="Book Antiqua"/>
        </w:rPr>
        <w:t xml:space="preserve"> = 0.000).</w:t>
      </w:r>
    </w:p>
    <w:p w:rsidR="00D164C5" w:rsidRDefault="00B65CF9">
      <w:pPr>
        <w:spacing w:line="360" w:lineRule="auto"/>
        <w:jc w:val="both"/>
        <w:rPr>
          <w:rFonts w:ascii="Book Antiqua" w:hAnsi="Book Antiqua" w:cs="Arial"/>
          <w:b/>
        </w:rPr>
      </w:pPr>
      <w:r>
        <w:rPr>
          <w:rFonts w:ascii="Book Antiqua" w:hAnsi="Book Antiqua"/>
        </w:rPr>
        <w:cr/>
      </w:r>
      <w:r>
        <w:rPr>
          <w:rFonts w:ascii="Book Antiqua" w:hAnsi="Book Antiqua"/>
        </w:rPr>
        <w:br w:type="page"/>
      </w:r>
      <w:r>
        <w:rPr>
          <w:rFonts w:ascii="Book Antiqua" w:hAnsi="Book Antiqua" w:cs="Arial"/>
          <w:b/>
        </w:rPr>
        <w:lastRenderedPageBreak/>
        <w:t xml:space="preserve">Table </w:t>
      </w:r>
      <w:r>
        <w:rPr>
          <w:rFonts w:ascii="Book Antiqua" w:hAnsi="Book Antiqua" w:cs="Arial"/>
          <w:b/>
          <w:color w:val="000000"/>
        </w:rPr>
        <w:t>1 Comparison of baseline clinical characteristics between the two groups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73"/>
        <w:gridCol w:w="1587"/>
        <w:gridCol w:w="1683"/>
        <w:gridCol w:w="1196"/>
        <w:gridCol w:w="1251"/>
      </w:tblGrid>
      <w:tr w:rsidR="00D164C5">
        <w:trPr>
          <w:trHeight w:val="285"/>
        </w:trPr>
        <w:tc>
          <w:tcPr>
            <w:tcW w:w="1956" w:type="pct"/>
            <w:tcBorders>
              <w:top w:val="single" w:sz="4" w:space="0" w:color="auto"/>
              <w:bottom w:val="single" w:sz="4" w:space="0" w:color="auto"/>
            </w:tcBorders>
            <w:noWrap/>
            <w:tcMar>
              <w:top w:w="15" w:type="dxa"/>
              <w:left w:w="15" w:type="dxa"/>
              <w:right w:w="15" w:type="dxa"/>
            </w:tcMar>
            <w:vAlign w:val="center"/>
          </w:tcPr>
          <w:p w:rsidR="00D164C5" w:rsidRDefault="00D164C5">
            <w:pPr>
              <w:spacing w:line="360" w:lineRule="auto"/>
              <w:rPr>
                <w:rFonts w:ascii="Book Antiqua" w:hAnsi="Book Antiqua" w:cs="Arial"/>
                <w:b/>
                <w:bCs/>
              </w:rPr>
            </w:pPr>
          </w:p>
        </w:tc>
        <w:tc>
          <w:tcPr>
            <w:tcW w:w="845" w:type="pct"/>
            <w:tcBorders>
              <w:top w:val="single" w:sz="4" w:space="0" w:color="auto"/>
              <w:bottom w:val="single" w:sz="4" w:space="0" w:color="auto"/>
            </w:tcBorders>
            <w:noWrap/>
            <w:tcMar>
              <w:top w:w="15" w:type="dxa"/>
              <w:left w:w="15" w:type="dxa"/>
              <w:right w:w="15" w:type="dxa"/>
            </w:tcMar>
            <w:vAlign w:val="center"/>
          </w:tcPr>
          <w:p w:rsidR="00D164C5" w:rsidRDefault="00B65CF9">
            <w:pPr>
              <w:spacing w:line="360" w:lineRule="auto"/>
              <w:rPr>
                <w:rFonts w:ascii="Book Antiqua" w:hAnsi="Book Antiqua" w:cs="Arial"/>
                <w:b/>
                <w:bCs/>
              </w:rPr>
            </w:pPr>
            <w:r>
              <w:rPr>
                <w:rFonts w:ascii="Book Antiqua" w:hAnsi="Book Antiqua" w:cs="Arial"/>
                <w:b/>
                <w:bCs/>
              </w:rPr>
              <w:t xml:space="preserve">Combined </w:t>
            </w:r>
          </w:p>
        </w:tc>
        <w:tc>
          <w:tcPr>
            <w:tcW w:w="896" w:type="pct"/>
            <w:tcBorders>
              <w:top w:val="single" w:sz="4" w:space="0" w:color="auto"/>
              <w:bottom w:val="single" w:sz="4" w:space="0" w:color="auto"/>
            </w:tcBorders>
            <w:noWrap/>
            <w:tcMar>
              <w:top w:w="15" w:type="dxa"/>
              <w:left w:w="15" w:type="dxa"/>
              <w:right w:w="15" w:type="dxa"/>
            </w:tcMar>
            <w:vAlign w:val="center"/>
          </w:tcPr>
          <w:p w:rsidR="00D164C5" w:rsidRDefault="00B65CF9">
            <w:pPr>
              <w:spacing w:line="360" w:lineRule="auto"/>
              <w:rPr>
                <w:rFonts w:ascii="Book Antiqua" w:hAnsi="Book Antiqua" w:cs="Arial"/>
                <w:b/>
                <w:bCs/>
              </w:rPr>
            </w:pPr>
            <w:r>
              <w:rPr>
                <w:rFonts w:ascii="Book Antiqua" w:hAnsi="Book Antiqua" w:cs="Arial"/>
                <w:b/>
                <w:bCs/>
              </w:rPr>
              <w:t xml:space="preserve">Control </w:t>
            </w:r>
          </w:p>
        </w:tc>
        <w:tc>
          <w:tcPr>
            <w:tcW w:w="637" w:type="pct"/>
            <w:tcBorders>
              <w:top w:val="single" w:sz="4" w:space="0" w:color="auto"/>
              <w:bottom w:val="single" w:sz="4" w:space="0" w:color="auto"/>
            </w:tcBorders>
            <w:noWrap/>
            <w:tcMar>
              <w:top w:w="15" w:type="dxa"/>
              <w:left w:w="15" w:type="dxa"/>
              <w:right w:w="15" w:type="dxa"/>
            </w:tcMar>
            <w:vAlign w:val="center"/>
          </w:tcPr>
          <w:p w:rsidR="00D164C5" w:rsidRDefault="00B65CF9">
            <w:pPr>
              <w:spacing w:line="360" w:lineRule="auto"/>
              <w:rPr>
                <w:rFonts w:ascii="Book Antiqua" w:hAnsi="Book Antiqua" w:cs="Arial"/>
                <w:b/>
                <w:bCs/>
              </w:rPr>
            </w:pPr>
            <w:r>
              <w:rPr>
                <w:rFonts w:ascii="Book Antiqua" w:hAnsi="Book Antiqua" w:cs="Arial"/>
                <w:b/>
                <w:bCs/>
              </w:rPr>
              <w:sym w:font="Symbol" w:char="F063"/>
            </w:r>
            <w:r>
              <w:rPr>
                <w:rFonts w:ascii="Book Antiqua" w:hAnsi="Book Antiqua" w:cs="Arial"/>
                <w:b/>
                <w:bCs/>
                <w:vertAlign w:val="superscript"/>
              </w:rPr>
              <w:t>2</w:t>
            </w:r>
            <w:r>
              <w:rPr>
                <w:rFonts w:ascii="Book Antiqua" w:hAnsi="Book Antiqua" w:cs="Arial"/>
                <w:b/>
                <w:bCs/>
                <w:i/>
                <w:iCs/>
              </w:rPr>
              <w:t xml:space="preserve"> </w:t>
            </w:r>
            <w:r>
              <w:rPr>
                <w:rFonts w:ascii="Book Antiqua" w:hAnsi="Book Antiqua" w:cs="Arial"/>
                <w:b/>
                <w:bCs/>
              </w:rPr>
              <w:t>/</w:t>
            </w:r>
            <w:r>
              <w:rPr>
                <w:rFonts w:ascii="Book Antiqua" w:hAnsi="Book Antiqua" w:cs="Arial"/>
                <w:b/>
                <w:bCs/>
                <w:i/>
                <w:iCs/>
              </w:rPr>
              <w:t>t</w:t>
            </w:r>
            <w:r>
              <w:rPr>
                <w:rFonts w:ascii="Book Antiqua" w:hAnsi="Book Antiqua" w:cs="Arial"/>
                <w:b/>
                <w:bCs/>
              </w:rPr>
              <w:t xml:space="preserve"> </w:t>
            </w:r>
          </w:p>
        </w:tc>
        <w:tc>
          <w:tcPr>
            <w:tcW w:w="666" w:type="pct"/>
            <w:tcBorders>
              <w:top w:val="single" w:sz="4" w:space="0" w:color="auto"/>
              <w:bottom w:val="single" w:sz="4" w:space="0" w:color="auto"/>
            </w:tcBorders>
            <w:noWrap/>
            <w:tcMar>
              <w:top w:w="15" w:type="dxa"/>
              <w:left w:w="15" w:type="dxa"/>
              <w:right w:w="15" w:type="dxa"/>
            </w:tcMar>
            <w:vAlign w:val="center"/>
          </w:tcPr>
          <w:p w:rsidR="00D164C5" w:rsidRDefault="00B65CF9">
            <w:pPr>
              <w:spacing w:line="360" w:lineRule="auto"/>
              <w:rPr>
                <w:rFonts w:ascii="Book Antiqua" w:hAnsi="Book Antiqua" w:cs="Arial"/>
                <w:b/>
                <w:bCs/>
              </w:rPr>
            </w:pPr>
            <w:r>
              <w:rPr>
                <w:rFonts w:ascii="Book Antiqua" w:hAnsi="Book Antiqua" w:cs="Arial"/>
                <w:b/>
                <w:bCs/>
                <w:i/>
                <w:iCs/>
              </w:rPr>
              <w:t xml:space="preserve">P </w:t>
            </w:r>
            <w:r>
              <w:rPr>
                <w:rFonts w:ascii="Book Antiqua" w:hAnsi="Book Antiqua" w:cs="Arial"/>
                <w:b/>
                <w:bCs/>
              </w:rPr>
              <w:t>value</w:t>
            </w:r>
          </w:p>
        </w:tc>
      </w:tr>
      <w:tr w:rsidR="00D164C5">
        <w:trPr>
          <w:trHeight w:val="627"/>
        </w:trPr>
        <w:tc>
          <w:tcPr>
            <w:tcW w:w="1956" w:type="pct"/>
            <w:tcBorders>
              <w:top w:val="single" w:sz="4" w:space="0" w:color="auto"/>
            </w:tcBorders>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 xml:space="preserve">Age in </w:t>
            </w:r>
            <w:proofErr w:type="spellStart"/>
            <w:r>
              <w:rPr>
                <w:rFonts w:ascii="Book Antiqua" w:hAnsi="Book Antiqua" w:cs="Arial"/>
              </w:rPr>
              <w:t>yr</w:t>
            </w:r>
            <w:proofErr w:type="spellEnd"/>
          </w:p>
        </w:tc>
        <w:tc>
          <w:tcPr>
            <w:tcW w:w="845" w:type="pct"/>
            <w:tcBorders>
              <w:top w:val="single" w:sz="4" w:space="0" w:color="auto"/>
            </w:tcBorders>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63.25 ± 9.92</w:t>
            </w:r>
          </w:p>
        </w:tc>
        <w:tc>
          <w:tcPr>
            <w:tcW w:w="896" w:type="pct"/>
            <w:tcBorders>
              <w:top w:val="single" w:sz="4" w:space="0" w:color="auto"/>
            </w:tcBorders>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63.46 ± 10.43</w:t>
            </w:r>
          </w:p>
        </w:tc>
        <w:tc>
          <w:tcPr>
            <w:tcW w:w="637" w:type="pct"/>
            <w:tcBorders>
              <w:top w:val="single" w:sz="4" w:space="0" w:color="auto"/>
            </w:tcBorders>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-0.083</w:t>
            </w:r>
            <w:r>
              <w:rPr>
                <w:rFonts w:ascii="Book Antiqua" w:hAnsi="Book Antiqua" w:cs="Arial"/>
                <w:vertAlign w:val="superscript"/>
              </w:rPr>
              <w:t>1</w:t>
            </w:r>
          </w:p>
        </w:tc>
        <w:tc>
          <w:tcPr>
            <w:tcW w:w="666" w:type="pct"/>
            <w:tcBorders>
              <w:top w:val="single" w:sz="4" w:space="0" w:color="auto"/>
            </w:tcBorders>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0.934</w:t>
            </w:r>
          </w:p>
        </w:tc>
      </w:tr>
      <w:tr w:rsidR="00D164C5">
        <w:trPr>
          <w:trHeight w:val="285"/>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Sex</w:t>
            </w:r>
          </w:p>
        </w:tc>
        <w:tc>
          <w:tcPr>
            <w:tcW w:w="845"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896"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Male</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16</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15</w:t>
            </w:r>
          </w:p>
        </w:tc>
        <w:tc>
          <w:tcPr>
            <w:tcW w:w="637"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0.343</w:t>
            </w:r>
          </w:p>
        </w:tc>
        <w:tc>
          <w:tcPr>
            <w:tcW w:w="66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0.558</w:t>
            </w:r>
          </w:p>
        </w:tc>
      </w:tr>
      <w:tr w:rsidR="00D164C5">
        <w:trPr>
          <w:trHeight w:val="591"/>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Female</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16</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20</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ECOG score</w:t>
            </w:r>
          </w:p>
        </w:tc>
        <w:tc>
          <w:tcPr>
            <w:tcW w:w="845"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896"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&lt; 2</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20</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25</w:t>
            </w:r>
          </w:p>
        </w:tc>
        <w:tc>
          <w:tcPr>
            <w:tcW w:w="637"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0.604</w:t>
            </w:r>
          </w:p>
        </w:tc>
        <w:tc>
          <w:tcPr>
            <w:tcW w:w="66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0.437</w:t>
            </w: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12</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10</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Child grade</w:t>
            </w:r>
          </w:p>
        </w:tc>
        <w:tc>
          <w:tcPr>
            <w:tcW w:w="845"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896"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B</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25</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26</w:t>
            </w:r>
          </w:p>
        </w:tc>
        <w:tc>
          <w:tcPr>
            <w:tcW w:w="637"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0.136</w:t>
            </w:r>
          </w:p>
        </w:tc>
        <w:tc>
          <w:tcPr>
            <w:tcW w:w="66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0.713</w:t>
            </w: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C</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7</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9</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Type of obstruction</w:t>
            </w:r>
            <w:r>
              <w:rPr>
                <w:rFonts w:ascii="Book Antiqua" w:hAnsi="Book Antiqua" w:cs="Arial"/>
                <w:vertAlign w:val="superscript"/>
              </w:rPr>
              <w:t>1</w:t>
            </w:r>
          </w:p>
        </w:tc>
        <w:tc>
          <w:tcPr>
            <w:tcW w:w="845"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896"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High</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16</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16</w:t>
            </w:r>
          </w:p>
        </w:tc>
        <w:tc>
          <w:tcPr>
            <w:tcW w:w="637"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0.123</w:t>
            </w:r>
          </w:p>
        </w:tc>
        <w:tc>
          <w:tcPr>
            <w:tcW w:w="66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0.726</w:t>
            </w: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Low</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16</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19</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Obstruction length (cm)</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3.22 ± 1.04</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3.26 ± 0.98</w:t>
            </w:r>
          </w:p>
        </w:tc>
        <w:tc>
          <w:tcPr>
            <w:tcW w:w="637"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-0.156</w:t>
            </w:r>
            <w:r>
              <w:rPr>
                <w:rFonts w:ascii="Book Antiqua" w:hAnsi="Book Antiqua" w:cs="Arial"/>
                <w:vertAlign w:val="superscript"/>
              </w:rPr>
              <w:t>2</w:t>
            </w:r>
          </w:p>
        </w:tc>
        <w:tc>
          <w:tcPr>
            <w:tcW w:w="66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0.877</w:t>
            </w: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Number of stents</w:t>
            </w:r>
          </w:p>
        </w:tc>
        <w:tc>
          <w:tcPr>
            <w:tcW w:w="845"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896"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Unilateral</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30</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32</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1.000</w:t>
            </w:r>
            <w:r>
              <w:rPr>
                <w:rFonts w:ascii="Book Antiqua" w:hAnsi="Book Antiqua" w:cs="Arial"/>
                <w:vertAlign w:val="superscript"/>
              </w:rPr>
              <w:t>3</w:t>
            </w:r>
          </w:p>
        </w:tc>
      </w:tr>
      <w:tr w:rsidR="00D164C5">
        <w:trPr>
          <w:trHeight w:val="285"/>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Bilateral</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3</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80"/>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Tumor type</w:t>
            </w:r>
          </w:p>
        </w:tc>
        <w:tc>
          <w:tcPr>
            <w:tcW w:w="845"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896"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Pancreatic cancer</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14</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21</w:t>
            </w:r>
          </w:p>
        </w:tc>
        <w:tc>
          <w:tcPr>
            <w:tcW w:w="637"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1.820</w:t>
            </w:r>
          </w:p>
        </w:tc>
        <w:tc>
          <w:tcPr>
            <w:tcW w:w="66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0.403</w:t>
            </w:r>
          </w:p>
        </w:tc>
      </w:tr>
      <w:tr w:rsidR="00D164C5">
        <w:trPr>
          <w:trHeight w:val="285"/>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Bile duct and gallbladder cancer</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11</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8</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 xml:space="preserve">Gastrointestinal </w:t>
            </w:r>
            <w:r>
              <w:rPr>
                <w:rFonts w:ascii="Book Antiqua" w:hAnsi="Book Antiqua" w:cs="Arial"/>
              </w:rPr>
              <w:t>cancer metastasis</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7</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6</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285"/>
        </w:trPr>
        <w:tc>
          <w:tcPr>
            <w:tcW w:w="1956" w:type="pct"/>
            <w:noWrap/>
            <w:tcMar>
              <w:top w:w="15" w:type="dxa"/>
              <w:left w:w="15" w:type="dxa"/>
              <w:right w:w="15" w:type="dxa"/>
            </w:tcMar>
          </w:tcPr>
          <w:p w:rsidR="00D164C5" w:rsidRDefault="00B65CF9">
            <w:pPr>
              <w:spacing w:line="360" w:lineRule="auto"/>
              <w:rPr>
                <w:rFonts w:ascii="Book Antiqua" w:hAnsi="Book Antiqua" w:cs="Arial"/>
              </w:rPr>
            </w:pPr>
            <w:r>
              <w:rPr>
                <w:rFonts w:ascii="Book Antiqua" w:hAnsi="Book Antiqua" w:cs="Arial"/>
              </w:rPr>
              <w:t>Combined infusion chemotherapy</w:t>
            </w:r>
          </w:p>
        </w:tc>
        <w:tc>
          <w:tcPr>
            <w:tcW w:w="845"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896"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r w:rsidR="00D164C5">
        <w:trPr>
          <w:trHeight w:val="6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Yes</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13</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14</w:t>
            </w:r>
          </w:p>
        </w:tc>
        <w:tc>
          <w:tcPr>
            <w:tcW w:w="637"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0.003</w:t>
            </w:r>
          </w:p>
        </w:tc>
        <w:tc>
          <w:tcPr>
            <w:tcW w:w="66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0.958</w:t>
            </w:r>
          </w:p>
        </w:tc>
      </w:tr>
      <w:tr w:rsidR="00D164C5">
        <w:trPr>
          <w:trHeight w:val="285"/>
        </w:trPr>
        <w:tc>
          <w:tcPr>
            <w:tcW w:w="195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 xml:space="preserve">No </w:t>
            </w:r>
          </w:p>
        </w:tc>
        <w:tc>
          <w:tcPr>
            <w:tcW w:w="845"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19</w:t>
            </w:r>
          </w:p>
        </w:tc>
        <w:tc>
          <w:tcPr>
            <w:tcW w:w="896" w:type="pct"/>
            <w:noWrap/>
            <w:tcMar>
              <w:top w:w="15" w:type="dxa"/>
              <w:left w:w="15" w:type="dxa"/>
              <w:right w:w="15" w:type="dxa"/>
            </w:tcMar>
            <w:vAlign w:val="center"/>
          </w:tcPr>
          <w:p w:rsidR="00D164C5" w:rsidRDefault="00B65CF9">
            <w:pPr>
              <w:spacing w:line="360" w:lineRule="auto"/>
              <w:rPr>
                <w:rFonts w:ascii="Book Antiqua" w:hAnsi="Book Antiqua" w:cs="Arial"/>
              </w:rPr>
            </w:pPr>
            <w:r>
              <w:rPr>
                <w:rFonts w:ascii="Book Antiqua" w:hAnsi="Book Antiqua" w:cs="Arial"/>
              </w:rPr>
              <w:t>21</w:t>
            </w:r>
          </w:p>
        </w:tc>
        <w:tc>
          <w:tcPr>
            <w:tcW w:w="637" w:type="pct"/>
            <w:noWrap/>
            <w:tcMar>
              <w:top w:w="15" w:type="dxa"/>
              <w:left w:w="15" w:type="dxa"/>
              <w:right w:w="15" w:type="dxa"/>
            </w:tcMar>
            <w:vAlign w:val="center"/>
          </w:tcPr>
          <w:p w:rsidR="00D164C5" w:rsidRDefault="00D164C5">
            <w:pPr>
              <w:spacing w:line="360" w:lineRule="auto"/>
              <w:rPr>
                <w:rFonts w:ascii="Book Antiqua" w:hAnsi="Book Antiqua" w:cs="Arial"/>
              </w:rPr>
            </w:pPr>
          </w:p>
        </w:tc>
        <w:tc>
          <w:tcPr>
            <w:tcW w:w="666" w:type="pct"/>
            <w:noWrap/>
            <w:tcMar>
              <w:top w:w="15" w:type="dxa"/>
              <w:left w:w="15" w:type="dxa"/>
              <w:right w:w="15" w:type="dxa"/>
            </w:tcMar>
            <w:vAlign w:val="center"/>
          </w:tcPr>
          <w:p w:rsidR="00D164C5" w:rsidRDefault="00D164C5">
            <w:pPr>
              <w:spacing w:line="360" w:lineRule="auto"/>
              <w:rPr>
                <w:rFonts w:ascii="Book Antiqua" w:hAnsi="Book Antiqua" w:cs="Arial"/>
              </w:rPr>
            </w:pPr>
          </w:p>
        </w:tc>
      </w:tr>
    </w:tbl>
    <w:p w:rsidR="00D164C5" w:rsidRDefault="00B65CF9">
      <w:pPr>
        <w:spacing w:line="360" w:lineRule="auto"/>
        <w:jc w:val="both"/>
        <w:rPr>
          <w:rFonts w:ascii="Book Antiqua" w:hAnsi="Book Antiqua" w:cs="Arial"/>
        </w:rPr>
      </w:pPr>
      <w:r>
        <w:rPr>
          <w:rFonts w:ascii="Book Antiqua" w:hAnsi="Book Antiqua" w:cs="Arial"/>
          <w:vertAlign w:val="superscript"/>
        </w:rPr>
        <w:lastRenderedPageBreak/>
        <w:t>1</w:t>
      </w:r>
      <w:r>
        <w:rPr>
          <w:rFonts w:ascii="Book Antiqua" w:hAnsi="Book Antiqua" w:cs="Arial"/>
        </w:rPr>
        <w:t>Above the junction of the cystic duct and common hepatic duct is called high obstruction, below the junction is called low obstruction;</w:t>
      </w:r>
      <w:r>
        <w:rPr>
          <w:rFonts w:ascii="Book Antiqua" w:hAnsi="Book Antiqua" w:cs="Arial"/>
          <w:i/>
          <w:iCs/>
        </w:rPr>
        <w:t xml:space="preserve"> </w:t>
      </w:r>
      <w:r>
        <w:rPr>
          <w:rFonts w:ascii="Book Antiqua" w:hAnsi="Book Antiqua" w:cs="Arial"/>
          <w:vertAlign w:val="superscript"/>
        </w:rPr>
        <w:t>2</w:t>
      </w:r>
      <w:r>
        <w:rPr>
          <w:rFonts w:ascii="Book Antiqua" w:hAnsi="Book Antiqua" w:cs="Arial"/>
          <w:i/>
          <w:iCs/>
        </w:rPr>
        <w:t>t</w:t>
      </w:r>
      <w:r>
        <w:rPr>
          <w:rFonts w:ascii="Book Antiqua" w:hAnsi="Book Antiqua" w:cs="Arial"/>
        </w:rPr>
        <w:t xml:space="preserve"> value, using independent sample </w:t>
      </w:r>
      <w:r>
        <w:rPr>
          <w:rFonts w:ascii="Book Antiqua" w:hAnsi="Book Antiqua" w:cs="Arial"/>
          <w:i/>
          <w:iCs/>
        </w:rPr>
        <w:t>t</w:t>
      </w:r>
      <w:r>
        <w:rPr>
          <w:rFonts w:ascii="Book Antiqua" w:hAnsi="Book Antiqua" w:cs="Arial"/>
        </w:rPr>
        <w:t xml:space="preserve"> test;</w:t>
      </w:r>
      <w:r>
        <w:rPr>
          <w:rFonts w:ascii="Book Antiqua" w:hAnsi="Book Antiqua" w:cs="Arial"/>
          <w:lang w:eastAsia="zh-CN"/>
        </w:rPr>
        <w:t xml:space="preserve"> </w:t>
      </w:r>
      <w:r>
        <w:rPr>
          <w:rFonts w:ascii="Book Antiqua" w:hAnsi="Book Antiqua" w:cs="Arial"/>
          <w:vertAlign w:val="superscript"/>
        </w:rPr>
        <w:t>3</w:t>
      </w:r>
      <w:r>
        <w:rPr>
          <w:rFonts w:ascii="Book Antiqua" w:hAnsi="Book Antiqua" w:cs="Arial"/>
        </w:rPr>
        <w:t xml:space="preserve">Using Fisher’s exact probability method. ECOG: </w:t>
      </w:r>
      <w:r>
        <w:rPr>
          <w:rFonts w:ascii="Book Antiqua" w:eastAsia="Book Antiqua" w:hAnsi="Book Antiqua" w:cs="Book Antiqua"/>
          <w:color w:val="000000"/>
        </w:rPr>
        <w:t>Eastern Cooperative Oncology Group.</w:t>
      </w:r>
    </w:p>
    <w:p w:rsidR="00D164C5" w:rsidRDefault="00D164C5">
      <w:pPr>
        <w:spacing w:line="360" w:lineRule="auto"/>
        <w:jc w:val="both"/>
        <w:rPr>
          <w:rFonts w:ascii="Book Antiqua" w:hAnsi="Book Antiqua" w:cs="Arial"/>
          <w:b/>
          <w:color w:val="000000"/>
        </w:rPr>
      </w:pPr>
    </w:p>
    <w:p w:rsidR="00D164C5" w:rsidRDefault="00B65CF9">
      <w:pPr>
        <w:snapToGrid w:val="0"/>
        <w:spacing w:line="360" w:lineRule="auto"/>
        <w:jc w:val="both"/>
        <w:rPr>
          <w:rFonts w:ascii="Book Antiqua" w:hAnsi="Book Antiqua" w:cs="Arial"/>
        </w:rPr>
      </w:pPr>
      <w:r>
        <w:rPr>
          <w:rFonts w:ascii="Book Antiqua" w:hAnsi="Book Antiqua" w:cs="Arial"/>
          <w:b/>
          <w:color w:val="000000"/>
        </w:rPr>
        <w:br w:type="page"/>
      </w:r>
      <w:r>
        <w:rPr>
          <w:rFonts w:ascii="Book Antiqua" w:hAnsi="Book Antiqua" w:cs="Arial"/>
          <w:b/>
          <w:color w:val="000000"/>
        </w:rPr>
        <w:lastRenderedPageBreak/>
        <w:t>Table 2 Comparison of preoperative and postoperative changes in the two</w:t>
      </w:r>
      <w:r>
        <w:rPr>
          <w:rFonts w:ascii="Book Antiqua" w:hAnsi="Book Antiqua" w:cs="Arial"/>
        </w:rPr>
        <w:t xml:space="preserve"> </w:t>
      </w:r>
      <w:r>
        <w:rPr>
          <w:rFonts w:ascii="Book Antiqua" w:hAnsi="Book Antiqua" w:cs="Arial"/>
          <w:b/>
          <w:color w:val="000000"/>
        </w:rPr>
        <w:t>groups of patients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10"/>
        <w:gridCol w:w="2226"/>
        <w:gridCol w:w="2227"/>
        <w:gridCol w:w="2227"/>
      </w:tblGrid>
      <w:tr w:rsidR="00D164C5">
        <w:trPr>
          <w:trHeight w:val="270"/>
        </w:trPr>
        <w:tc>
          <w:tcPr>
            <w:tcW w:w="1250" w:type="pct"/>
            <w:tcBorders>
              <w:top w:val="single" w:sz="4" w:space="0" w:color="auto"/>
              <w:bottom w:val="single" w:sz="4" w:space="0" w:color="auto"/>
            </w:tcBorders>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b/>
                <w:bCs/>
                <w:color w:val="000000"/>
              </w:rPr>
            </w:pPr>
          </w:p>
        </w:tc>
        <w:tc>
          <w:tcPr>
            <w:tcW w:w="1250" w:type="pct"/>
            <w:tcBorders>
              <w:top w:val="single" w:sz="4" w:space="0" w:color="auto"/>
              <w:bottom w:val="single" w:sz="4" w:space="0" w:color="auto"/>
            </w:tcBorders>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b/>
                <w:bCs/>
                <w:color w:val="000000"/>
              </w:rPr>
            </w:pPr>
            <w:r>
              <w:rPr>
                <w:rFonts w:ascii="Book Antiqua" w:eastAsia="宋体" w:hAnsi="Book Antiqua" w:cs="Arial"/>
                <w:b/>
                <w:bCs/>
                <w:color w:val="000000"/>
              </w:rPr>
              <w:t>Combined</w:t>
            </w:r>
          </w:p>
        </w:tc>
        <w:tc>
          <w:tcPr>
            <w:tcW w:w="1250" w:type="pct"/>
            <w:tcBorders>
              <w:top w:val="single" w:sz="4" w:space="0" w:color="auto"/>
              <w:bottom w:val="single" w:sz="4" w:space="0" w:color="auto"/>
            </w:tcBorders>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b/>
                <w:bCs/>
                <w:color w:val="000000"/>
              </w:rPr>
            </w:pPr>
            <w:r>
              <w:rPr>
                <w:rFonts w:ascii="Book Antiqua" w:eastAsia="宋体" w:hAnsi="Book Antiqua" w:cs="Arial"/>
                <w:b/>
                <w:bCs/>
                <w:color w:val="000000"/>
              </w:rPr>
              <w:t>Control</w:t>
            </w:r>
          </w:p>
        </w:tc>
        <w:tc>
          <w:tcPr>
            <w:tcW w:w="1251" w:type="pct"/>
            <w:tcBorders>
              <w:top w:val="single" w:sz="4" w:space="0" w:color="auto"/>
              <w:bottom w:val="single" w:sz="4" w:space="0" w:color="auto"/>
            </w:tcBorders>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b/>
                <w:bCs/>
                <w:color w:val="000000"/>
              </w:rPr>
            </w:pPr>
            <w:r>
              <w:rPr>
                <w:rFonts w:ascii="Book Antiqua" w:eastAsia="宋体" w:hAnsi="Book Antiqua" w:cs="Arial"/>
                <w:b/>
                <w:bCs/>
                <w:i/>
                <w:color w:val="000000"/>
              </w:rPr>
              <w:t>P</w:t>
            </w:r>
            <w:r>
              <w:rPr>
                <w:rFonts w:ascii="Book Antiqua" w:eastAsia="宋体" w:hAnsi="Book Antiqua" w:cs="Arial"/>
                <w:b/>
                <w:bCs/>
                <w:color w:val="000000"/>
              </w:rPr>
              <w:t xml:space="preserve"> value</w:t>
            </w:r>
          </w:p>
        </w:tc>
      </w:tr>
      <w:tr w:rsidR="00D164C5">
        <w:trPr>
          <w:trHeight w:val="270"/>
        </w:trPr>
        <w:tc>
          <w:tcPr>
            <w:tcW w:w="1250" w:type="pct"/>
            <w:tcBorders>
              <w:top w:val="single" w:sz="4" w:space="0" w:color="auto"/>
            </w:tcBorders>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 xml:space="preserve">Total </w:t>
            </w:r>
            <w:r>
              <w:rPr>
                <w:rFonts w:ascii="Book Antiqua" w:eastAsia="宋体" w:hAnsi="Book Antiqua" w:cs="Arial"/>
                <w:color w:val="000000"/>
              </w:rPr>
              <w:t xml:space="preserve">bilirubin, </w:t>
            </w:r>
            <w:proofErr w:type="spellStart"/>
            <w:r>
              <w:rPr>
                <w:rFonts w:ascii="Book Antiqua" w:eastAsia="宋体" w:hAnsi="Book Antiqua" w:cs="Arial"/>
                <w:color w:val="000000"/>
              </w:rPr>
              <w:t>μmoL</w:t>
            </w:r>
            <w:proofErr w:type="spellEnd"/>
            <w:r>
              <w:rPr>
                <w:rFonts w:ascii="Book Antiqua" w:eastAsia="宋体" w:hAnsi="Book Antiqua" w:cs="Arial"/>
                <w:color w:val="000000"/>
              </w:rPr>
              <w:t>/L</w:t>
            </w:r>
          </w:p>
        </w:tc>
        <w:tc>
          <w:tcPr>
            <w:tcW w:w="1250" w:type="pct"/>
            <w:tcBorders>
              <w:top w:val="single" w:sz="4" w:space="0" w:color="auto"/>
            </w:tcBorders>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c>
          <w:tcPr>
            <w:tcW w:w="1250" w:type="pct"/>
            <w:tcBorders>
              <w:top w:val="single" w:sz="4" w:space="0" w:color="auto"/>
            </w:tcBorders>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c>
          <w:tcPr>
            <w:tcW w:w="1251" w:type="pct"/>
            <w:tcBorders>
              <w:top w:val="single" w:sz="4" w:space="0" w:color="auto"/>
            </w:tcBorders>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0.147</w:t>
            </w: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Before</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358.98 ± 134.05</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347.86 ± 131.73</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After</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180.08 ± 110.94</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199.43 ± 113.88</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i/>
                <w:iCs/>
                <w:color w:val="000000"/>
              </w:rPr>
              <w:t xml:space="preserve">P </w:t>
            </w:r>
            <w:r>
              <w:rPr>
                <w:rFonts w:ascii="Book Antiqua" w:eastAsia="宋体" w:hAnsi="Book Antiqua" w:cs="Arial"/>
                <w:color w:val="000000"/>
              </w:rPr>
              <w:t>value</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0.000</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0.000</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 xml:space="preserve">Direct bilirubin, </w:t>
            </w:r>
            <w:proofErr w:type="spellStart"/>
            <w:r>
              <w:rPr>
                <w:rFonts w:ascii="Book Antiqua" w:eastAsia="宋体" w:hAnsi="Book Antiqua" w:cs="Arial"/>
                <w:color w:val="000000"/>
              </w:rPr>
              <w:t>μmoL</w:t>
            </w:r>
            <w:proofErr w:type="spellEnd"/>
            <w:r>
              <w:rPr>
                <w:rFonts w:ascii="Book Antiqua" w:eastAsia="宋体" w:hAnsi="Book Antiqua" w:cs="Arial"/>
                <w:color w:val="000000"/>
              </w:rPr>
              <w:t>/L</w:t>
            </w:r>
          </w:p>
        </w:tc>
        <w:tc>
          <w:tcPr>
            <w:tcW w:w="1250"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c>
          <w:tcPr>
            <w:tcW w:w="1250"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c>
          <w:tcPr>
            <w:tcW w:w="1251"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0.448</w:t>
            </w: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Before</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196.02 ± 74.90</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194.76 ± 73.52</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After</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97.89 ± 67.33</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108.97 ± 66.91</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i/>
                <w:iCs/>
                <w:color w:val="000000"/>
              </w:rPr>
              <w:t>P</w:t>
            </w:r>
            <w:r>
              <w:rPr>
                <w:rFonts w:ascii="Book Antiqua" w:eastAsia="宋体" w:hAnsi="Book Antiqua" w:cs="Arial"/>
                <w:color w:val="000000"/>
              </w:rPr>
              <w:t xml:space="preserve"> value</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0.000</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0.000</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ALT, U/L</w:t>
            </w:r>
          </w:p>
        </w:tc>
        <w:tc>
          <w:tcPr>
            <w:tcW w:w="1250"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c>
          <w:tcPr>
            <w:tcW w:w="1250"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c>
          <w:tcPr>
            <w:tcW w:w="1251"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0.120</w:t>
            </w: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Before</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209.82 ± 148.62</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209.65 ± 152.53</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After</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80.73 ± 54.18</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95.41 ± 68.73</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i/>
                <w:iCs/>
                <w:color w:val="000000"/>
              </w:rPr>
              <w:t>P</w:t>
            </w:r>
            <w:r>
              <w:rPr>
                <w:rFonts w:ascii="Book Antiqua" w:eastAsia="宋体" w:hAnsi="Book Antiqua" w:cs="Arial"/>
                <w:color w:val="000000"/>
              </w:rPr>
              <w:t xml:space="preserve"> value</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0.000</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0.000</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AST, U/L</w:t>
            </w:r>
          </w:p>
        </w:tc>
        <w:tc>
          <w:tcPr>
            <w:tcW w:w="1250"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c>
          <w:tcPr>
            <w:tcW w:w="1250"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c>
          <w:tcPr>
            <w:tcW w:w="1251"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0.387</w:t>
            </w: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Before</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195.46 ± 154.29</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193.51 ± 136.76</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27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After</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61.97 ± 47.25</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80.71 ± 67.98</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r w:rsidR="00D164C5">
        <w:trPr>
          <w:trHeight w:val="90"/>
        </w:trPr>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i/>
                <w:iCs/>
                <w:color w:val="000000"/>
              </w:rPr>
              <w:t>P</w:t>
            </w:r>
            <w:r>
              <w:rPr>
                <w:rFonts w:ascii="Book Antiqua" w:eastAsia="宋体" w:hAnsi="Book Antiqua" w:cs="Arial"/>
                <w:color w:val="000000"/>
              </w:rPr>
              <w:t xml:space="preserve"> value</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0.000</w:t>
            </w:r>
          </w:p>
        </w:tc>
        <w:tc>
          <w:tcPr>
            <w:tcW w:w="1250" w:type="pct"/>
            <w:noWrap/>
            <w:tcMar>
              <w:top w:w="15" w:type="dxa"/>
              <w:left w:w="15" w:type="dxa"/>
              <w:right w:w="15" w:type="dxa"/>
            </w:tcMar>
            <w:vAlign w:val="center"/>
          </w:tcPr>
          <w:p w:rsidR="00D164C5" w:rsidRDefault="00B65CF9">
            <w:pPr>
              <w:snapToGrid w:val="0"/>
              <w:spacing w:line="360" w:lineRule="auto"/>
              <w:rPr>
                <w:rFonts w:ascii="Book Antiqua" w:eastAsia="宋体" w:hAnsi="Book Antiqua" w:cs="Arial"/>
                <w:color w:val="000000"/>
              </w:rPr>
            </w:pPr>
            <w:r>
              <w:rPr>
                <w:rFonts w:ascii="Book Antiqua" w:eastAsia="宋体" w:hAnsi="Book Antiqua" w:cs="Arial"/>
                <w:color w:val="000000"/>
              </w:rPr>
              <w:t>0.000</w:t>
            </w:r>
          </w:p>
        </w:tc>
        <w:tc>
          <w:tcPr>
            <w:tcW w:w="1251" w:type="pct"/>
            <w:noWrap/>
            <w:tcMar>
              <w:top w:w="15" w:type="dxa"/>
              <w:left w:w="15" w:type="dxa"/>
              <w:right w:w="15" w:type="dxa"/>
            </w:tcMar>
            <w:vAlign w:val="center"/>
          </w:tcPr>
          <w:p w:rsidR="00D164C5" w:rsidRDefault="00D164C5">
            <w:pPr>
              <w:snapToGrid w:val="0"/>
              <w:spacing w:line="360" w:lineRule="auto"/>
              <w:rPr>
                <w:rFonts w:ascii="Book Antiqua" w:eastAsia="宋体" w:hAnsi="Book Antiqua" w:cs="Arial"/>
                <w:color w:val="000000"/>
              </w:rPr>
            </w:pPr>
          </w:p>
        </w:tc>
      </w:tr>
    </w:tbl>
    <w:p w:rsidR="00D164C5" w:rsidRDefault="00B65CF9">
      <w:pPr>
        <w:spacing w:line="360" w:lineRule="auto"/>
        <w:jc w:val="both"/>
        <w:rPr>
          <w:rFonts w:ascii="Book Antiqua" w:eastAsia="宋体" w:hAnsi="Book Antiqua" w:cs="Arial"/>
          <w:color w:val="000000"/>
        </w:rPr>
      </w:pPr>
      <w:r>
        <w:rPr>
          <w:rFonts w:ascii="Book Antiqua" w:eastAsia="宋体" w:hAnsi="Book Antiqua" w:cs="Arial"/>
          <w:color w:val="000000"/>
        </w:rPr>
        <w:t xml:space="preserve">ALT: Alanine </w:t>
      </w:r>
      <w:r>
        <w:rPr>
          <w:rFonts w:ascii="Book Antiqua" w:eastAsia="宋体" w:hAnsi="Book Antiqua" w:cs="Arial"/>
          <w:color w:val="000000"/>
        </w:rPr>
        <w:t>aminotransferase; AST: Aspartate aminotransferase.</w:t>
      </w:r>
    </w:p>
    <w:p w:rsidR="00D164C5" w:rsidRDefault="00D164C5">
      <w:pPr>
        <w:spacing w:line="360" w:lineRule="auto"/>
        <w:jc w:val="both"/>
        <w:rPr>
          <w:rFonts w:ascii="Book Antiqua" w:hAnsi="Book Antiqua" w:cs="Arial"/>
          <w:b/>
          <w:color w:val="000000"/>
        </w:rPr>
      </w:pPr>
    </w:p>
    <w:p w:rsidR="00D164C5" w:rsidRDefault="00B65CF9">
      <w:pPr>
        <w:spacing w:line="360" w:lineRule="auto"/>
        <w:jc w:val="both"/>
        <w:rPr>
          <w:rFonts w:ascii="Book Antiqua" w:hAnsi="Book Antiqua" w:cs="Arial"/>
          <w:b/>
          <w:color w:val="000000"/>
        </w:rPr>
      </w:pPr>
      <w:r>
        <w:rPr>
          <w:rFonts w:ascii="Book Antiqua" w:hAnsi="Book Antiqua" w:cs="Arial"/>
          <w:b/>
          <w:color w:val="000000"/>
        </w:rPr>
        <w:br w:type="page"/>
      </w:r>
      <w:r>
        <w:rPr>
          <w:rFonts w:ascii="Book Antiqua" w:hAnsi="Book Antiqua" w:cs="Arial"/>
          <w:b/>
          <w:color w:val="000000"/>
        </w:rPr>
        <w:lastRenderedPageBreak/>
        <w:t xml:space="preserve">Table 3 </w:t>
      </w:r>
      <w:r>
        <w:rPr>
          <w:rFonts w:ascii="Book Antiqua" w:hAnsi="Book Antiqua" w:cs="Arial"/>
          <w:b/>
        </w:rPr>
        <w:t>Univariate and multivariate</w:t>
      </w:r>
      <w:r>
        <w:rPr>
          <w:rFonts w:ascii="Book Antiqua" w:hAnsi="Book Antiqua" w:cs="Arial"/>
          <w:b/>
          <w:color w:val="000000"/>
        </w:rPr>
        <w:t xml:space="preserve"> analysis of overall survival</w:t>
      </w:r>
    </w:p>
    <w:tbl>
      <w:tblPr>
        <w:tblW w:w="5133" w:type="pct"/>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851"/>
        <w:gridCol w:w="1699"/>
        <w:gridCol w:w="1078"/>
        <w:gridCol w:w="885"/>
        <w:gridCol w:w="1442"/>
        <w:gridCol w:w="991"/>
      </w:tblGrid>
      <w:tr w:rsidR="00D164C5">
        <w:trPr>
          <w:trHeight w:val="271"/>
        </w:trPr>
        <w:tc>
          <w:tcPr>
            <w:tcW w:w="1396" w:type="pct"/>
            <w:vMerge w:val="restart"/>
          </w:tcPr>
          <w:p w:rsidR="00D164C5" w:rsidRDefault="00D164C5">
            <w:pPr>
              <w:snapToGrid w:val="0"/>
              <w:spacing w:line="360" w:lineRule="auto"/>
              <w:rPr>
                <w:rFonts w:ascii="Book Antiqua" w:hAnsi="Book Antiqua" w:cs="Arial"/>
                <w:b/>
                <w:color w:val="000000"/>
              </w:rPr>
            </w:pPr>
          </w:p>
        </w:tc>
        <w:tc>
          <w:tcPr>
            <w:tcW w:w="1881" w:type="pct"/>
            <w:gridSpan w:val="3"/>
            <w:tcBorders>
              <w:top w:val="single" w:sz="4" w:space="0" w:color="auto"/>
              <w:bottom w:val="single" w:sz="4" w:space="0" w:color="auto"/>
            </w:tcBorders>
          </w:tcPr>
          <w:p w:rsidR="00D164C5" w:rsidRDefault="00B65CF9">
            <w:pPr>
              <w:snapToGrid w:val="0"/>
              <w:spacing w:line="360" w:lineRule="auto"/>
              <w:rPr>
                <w:rFonts w:ascii="Book Antiqua" w:hAnsi="Book Antiqua" w:cs="Arial"/>
                <w:b/>
                <w:color w:val="000000"/>
              </w:rPr>
            </w:pPr>
            <w:r>
              <w:rPr>
                <w:rFonts w:ascii="Book Antiqua" w:hAnsi="Book Antiqua" w:cs="Arial"/>
                <w:b/>
              </w:rPr>
              <w:t>Univariate</w:t>
            </w:r>
            <w:r>
              <w:rPr>
                <w:rFonts w:ascii="Book Antiqua" w:hAnsi="Book Antiqua" w:cs="Arial"/>
                <w:b/>
                <w:color w:val="000000"/>
              </w:rPr>
              <w:t xml:space="preserve"> analysis</w:t>
            </w:r>
          </w:p>
        </w:tc>
        <w:tc>
          <w:tcPr>
            <w:tcW w:w="1721" w:type="pct"/>
            <w:gridSpan w:val="3"/>
            <w:tcBorders>
              <w:top w:val="single" w:sz="4" w:space="0" w:color="auto"/>
              <w:bottom w:val="single" w:sz="4" w:space="0" w:color="auto"/>
            </w:tcBorders>
          </w:tcPr>
          <w:p w:rsidR="00D164C5" w:rsidRDefault="00B65CF9">
            <w:pPr>
              <w:snapToGrid w:val="0"/>
              <w:spacing w:line="360" w:lineRule="auto"/>
              <w:rPr>
                <w:rFonts w:ascii="Book Antiqua" w:hAnsi="Book Antiqua" w:cs="Arial"/>
                <w:b/>
                <w:color w:val="000000"/>
              </w:rPr>
            </w:pPr>
            <w:r>
              <w:rPr>
                <w:rFonts w:ascii="Book Antiqua" w:hAnsi="Book Antiqua" w:cs="Arial"/>
                <w:b/>
              </w:rPr>
              <w:t>Multivariate</w:t>
            </w:r>
            <w:r>
              <w:rPr>
                <w:rFonts w:ascii="Book Antiqua" w:hAnsi="Book Antiqua" w:cs="Arial"/>
                <w:b/>
                <w:color w:val="000000"/>
              </w:rPr>
              <w:t xml:space="preserve"> analysis</w:t>
            </w:r>
          </w:p>
        </w:tc>
      </w:tr>
      <w:tr w:rsidR="00D164C5">
        <w:trPr>
          <w:trHeight w:val="662"/>
        </w:trPr>
        <w:tc>
          <w:tcPr>
            <w:tcW w:w="1396" w:type="pct"/>
            <w:vMerge/>
            <w:tcBorders>
              <w:bottom w:val="single" w:sz="4" w:space="0" w:color="auto"/>
            </w:tcBorders>
          </w:tcPr>
          <w:p w:rsidR="00D164C5" w:rsidRDefault="00D164C5">
            <w:pPr>
              <w:snapToGrid w:val="0"/>
              <w:spacing w:line="360" w:lineRule="auto"/>
              <w:rPr>
                <w:rFonts w:ascii="Book Antiqua" w:hAnsi="Book Antiqua" w:cs="Arial"/>
                <w:bCs/>
                <w:color w:val="000000"/>
              </w:rPr>
            </w:pPr>
          </w:p>
        </w:tc>
        <w:tc>
          <w:tcPr>
            <w:tcW w:w="441" w:type="pct"/>
            <w:tcBorders>
              <w:top w:val="single" w:sz="4" w:space="0" w:color="auto"/>
              <w:bottom w:val="single" w:sz="4" w:space="0" w:color="auto"/>
            </w:tcBorders>
          </w:tcPr>
          <w:p w:rsidR="00D164C5" w:rsidRDefault="00B65CF9">
            <w:pPr>
              <w:snapToGrid w:val="0"/>
              <w:spacing w:line="360" w:lineRule="auto"/>
              <w:rPr>
                <w:rFonts w:ascii="Book Antiqua" w:hAnsi="Book Antiqua" w:cs="Arial"/>
                <w:b/>
                <w:bCs/>
                <w:color w:val="000000"/>
              </w:rPr>
            </w:pPr>
            <w:r>
              <w:rPr>
                <w:rFonts w:ascii="Book Antiqua" w:hAnsi="Book Antiqua" w:cs="Arial"/>
                <w:b/>
                <w:bCs/>
                <w:color w:val="000000"/>
              </w:rPr>
              <w:t>HR</w:t>
            </w:r>
          </w:p>
        </w:tc>
        <w:tc>
          <w:tcPr>
            <w:tcW w:w="881" w:type="pct"/>
            <w:tcBorders>
              <w:top w:val="single" w:sz="4" w:space="0" w:color="auto"/>
              <w:bottom w:val="single" w:sz="4" w:space="0" w:color="auto"/>
            </w:tcBorders>
          </w:tcPr>
          <w:p w:rsidR="00D164C5" w:rsidRDefault="00B65CF9">
            <w:pPr>
              <w:snapToGrid w:val="0"/>
              <w:spacing w:line="360" w:lineRule="auto"/>
              <w:rPr>
                <w:rFonts w:ascii="Book Antiqua" w:hAnsi="Book Antiqua" w:cs="Arial"/>
                <w:b/>
                <w:bCs/>
                <w:color w:val="000000"/>
              </w:rPr>
            </w:pPr>
            <w:r>
              <w:rPr>
                <w:rFonts w:ascii="Book Antiqua" w:hAnsi="Book Antiqua" w:cs="Arial"/>
                <w:b/>
                <w:bCs/>
                <w:color w:val="000000"/>
              </w:rPr>
              <w:t>95%CI</w:t>
            </w:r>
          </w:p>
        </w:tc>
        <w:tc>
          <w:tcPr>
            <w:tcW w:w="558" w:type="pct"/>
            <w:tcBorders>
              <w:top w:val="single" w:sz="4" w:space="0" w:color="auto"/>
              <w:bottom w:val="single" w:sz="4" w:space="0" w:color="auto"/>
            </w:tcBorders>
          </w:tcPr>
          <w:p w:rsidR="00D164C5" w:rsidRDefault="00B65CF9">
            <w:pPr>
              <w:snapToGrid w:val="0"/>
              <w:spacing w:line="360" w:lineRule="auto"/>
              <w:rPr>
                <w:rFonts w:ascii="Book Antiqua" w:hAnsi="Book Antiqua" w:cs="Arial"/>
                <w:b/>
                <w:bCs/>
                <w:color w:val="000000"/>
              </w:rPr>
            </w:pPr>
            <w:r>
              <w:rPr>
                <w:rFonts w:ascii="Book Antiqua" w:hAnsi="Book Antiqua" w:cs="Arial"/>
                <w:b/>
                <w:bCs/>
                <w:i/>
                <w:iCs/>
                <w:color w:val="000000"/>
              </w:rPr>
              <w:t>P</w:t>
            </w:r>
            <w:r>
              <w:rPr>
                <w:rFonts w:ascii="Book Antiqua" w:hAnsi="Book Antiqua" w:cs="Arial"/>
                <w:b/>
                <w:bCs/>
                <w:color w:val="000000"/>
              </w:rPr>
              <w:t xml:space="preserve"> value</w:t>
            </w:r>
          </w:p>
        </w:tc>
        <w:tc>
          <w:tcPr>
            <w:tcW w:w="459" w:type="pct"/>
            <w:tcBorders>
              <w:top w:val="single" w:sz="4" w:space="0" w:color="auto"/>
              <w:bottom w:val="single" w:sz="4" w:space="0" w:color="auto"/>
            </w:tcBorders>
          </w:tcPr>
          <w:p w:rsidR="00D164C5" w:rsidRDefault="00B65CF9">
            <w:pPr>
              <w:snapToGrid w:val="0"/>
              <w:spacing w:line="360" w:lineRule="auto"/>
              <w:rPr>
                <w:rFonts w:ascii="Book Antiqua" w:hAnsi="Book Antiqua" w:cs="Arial"/>
                <w:b/>
                <w:bCs/>
                <w:color w:val="000000"/>
              </w:rPr>
            </w:pPr>
            <w:r>
              <w:rPr>
                <w:rFonts w:ascii="Book Antiqua" w:hAnsi="Book Antiqua" w:cs="Arial"/>
                <w:b/>
                <w:bCs/>
                <w:color w:val="000000"/>
              </w:rPr>
              <w:t>HR</w:t>
            </w:r>
          </w:p>
        </w:tc>
        <w:tc>
          <w:tcPr>
            <w:tcW w:w="748" w:type="pct"/>
            <w:tcBorders>
              <w:top w:val="single" w:sz="4" w:space="0" w:color="auto"/>
              <w:bottom w:val="single" w:sz="4" w:space="0" w:color="auto"/>
            </w:tcBorders>
          </w:tcPr>
          <w:p w:rsidR="00D164C5" w:rsidRDefault="00B65CF9">
            <w:pPr>
              <w:snapToGrid w:val="0"/>
              <w:spacing w:line="360" w:lineRule="auto"/>
              <w:rPr>
                <w:rFonts w:ascii="Book Antiqua" w:hAnsi="Book Antiqua" w:cs="Arial"/>
                <w:b/>
                <w:bCs/>
                <w:color w:val="000000"/>
              </w:rPr>
            </w:pPr>
            <w:r>
              <w:rPr>
                <w:rFonts w:ascii="Book Antiqua" w:hAnsi="Book Antiqua" w:cs="Arial"/>
                <w:b/>
                <w:bCs/>
                <w:color w:val="000000"/>
              </w:rPr>
              <w:t>95%CI</w:t>
            </w:r>
          </w:p>
        </w:tc>
        <w:tc>
          <w:tcPr>
            <w:tcW w:w="514" w:type="pct"/>
            <w:tcBorders>
              <w:top w:val="single" w:sz="4" w:space="0" w:color="auto"/>
              <w:bottom w:val="single" w:sz="4" w:space="0" w:color="auto"/>
            </w:tcBorders>
          </w:tcPr>
          <w:p w:rsidR="00D164C5" w:rsidRDefault="00B65CF9">
            <w:pPr>
              <w:snapToGrid w:val="0"/>
              <w:spacing w:line="360" w:lineRule="auto"/>
              <w:rPr>
                <w:rFonts w:ascii="Book Antiqua" w:hAnsi="Book Antiqua" w:cs="Arial"/>
                <w:b/>
                <w:bCs/>
                <w:color w:val="000000"/>
              </w:rPr>
            </w:pPr>
            <w:r>
              <w:rPr>
                <w:rFonts w:ascii="Book Antiqua" w:hAnsi="Book Antiqua" w:cs="Arial"/>
                <w:b/>
                <w:bCs/>
                <w:i/>
                <w:iCs/>
                <w:color w:val="000000"/>
              </w:rPr>
              <w:t>P</w:t>
            </w:r>
            <w:r>
              <w:rPr>
                <w:rFonts w:ascii="Book Antiqua" w:hAnsi="Book Antiqua" w:cs="Arial"/>
                <w:b/>
                <w:bCs/>
                <w:color w:val="000000"/>
              </w:rPr>
              <w:t xml:space="preserve"> value</w:t>
            </w:r>
          </w:p>
        </w:tc>
      </w:tr>
      <w:tr w:rsidR="00D164C5">
        <w:trPr>
          <w:trHeight w:val="628"/>
        </w:trPr>
        <w:tc>
          <w:tcPr>
            <w:tcW w:w="1396" w:type="pct"/>
            <w:tcBorders>
              <w:top w:val="single" w:sz="4" w:space="0" w:color="auto"/>
            </w:tcBorders>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ECOG score, &lt; 2/2</w:t>
            </w:r>
          </w:p>
        </w:tc>
        <w:tc>
          <w:tcPr>
            <w:tcW w:w="441" w:type="pct"/>
            <w:tcBorders>
              <w:top w:val="single" w:sz="4" w:space="0" w:color="auto"/>
            </w:tcBorders>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1.569</w:t>
            </w:r>
          </w:p>
        </w:tc>
        <w:tc>
          <w:tcPr>
            <w:tcW w:w="881" w:type="pct"/>
            <w:tcBorders>
              <w:top w:val="single" w:sz="4" w:space="0" w:color="auto"/>
            </w:tcBorders>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(0.931-2.646)</w:t>
            </w:r>
          </w:p>
        </w:tc>
        <w:tc>
          <w:tcPr>
            <w:tcW w:w="558" w:type="pct"/>
            <w:tcBorders>
              <w:top w:val="single" w:sz="4" w:space="0" w:color="auto"/>
            </w:tcBorders>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0.091</w:t>
            </w:r>
          </w:p>
        </w:tc>
        <w:tc>
          <w:tcPr>
            <w:tcW w:w="459" w:type="pct"/>
            <w:tcBorders>
              <w:top w:val="single" w:sz="4" w:space="0" w:color="auto"/>
            </w:tcBorders>
          </w:tcPr>
          <w:p w:rsidR="00D164C5" w:rsidRDefault="00D164C5">
            <w:pPr>
              <w:snapToGrid w:val="0"/>
              <w:spacing w:line="360" w:lineRule="auto"/>
              <w:rPr>
                <w:rFonts w:ascii="Book Antiqua" w:hAnsi="Book Antiqua" w:cs="Arial"/>
                <w:bCs/>
                <w:color w:val="000000"/>
              </w:rPr>
            </w:pPr>
          </w:p>
        </w:tc>
        <w:tc>
          <w:tcPr>
            <w:tcW w:w="748" w:type="pct"/>
            <w:tcBorders>
              <w:top w:val="single" w:sz="4" w:space="0" w:color="auto"/>
            </w:tcBorders>
          </w:tcPr>
          <w:p w:rsidR="00D164C5" w:rsidRDefault="00D164C5">
            <w:pPr>
              <w:snapToGrid w:val="0"/>
              <w:spacing w:line="360" w:lineRule="auto"/>
              <w:rPr>
                <w:rFonts w:ascii="Book Antiqua" w:hAnsi="Book Antiqua" w:cs="Arial"/>
                <w:bCs/>
                <w:color w:val="000000"/>
              </w:rPr>
            </w:pPr>
          </w:p>
        </w:tc>
        <w:tc>
          <w:tcPr>
            <w:tcW w:w="514" w:type="pct"/>
            <w:tcBorders>
              <w:top w:val="single" w:sz="4" w:space="0" w:color="auto"/>
            </w:tcBorders>
          </w:tcPr>
          <w:p w:rsidR="00D164C5" w:rsidRDefault="00D164C5">
            <w:pPr>
              <w:snapToGrid w:val="0"/>
              <w:spacing w:line="360" w:lineRule="auto"/>
              <w:rPr>
                <w:rFonts w:ascii="Book Antiqua" w:hAnsi="Book Antiqua" w:cs="Arial"/>
                <w:bCs/>
                <w:color w:val="000000"/>
              </w:rPr>
            </w:pPr>
          </w:p>
        </w:tc>
      </w:tr>
      <w:tr w:rsidR="00D164C5">
        <w:trPr>
          <w:trHeight w:val="573"/>
        </w:trPr>
        <w:tc>
          <w:tcPr>
            <w:tcW w:w="1396" w:type="pct"/>
          </w:tcPr>
          <w:p w:rsidR="00D164C5" w:rsidRDefault="00B65CF9">
            <w:pPr>
              <w:snapToGrid w:val="0"/>
              <w:spacing w:line="360" w:lineRule="auto"/>
              <w:rPr>
                <w:rFonts w:ascii="Book Antiqua" w:hAnsi="Book Antiqua" w:cs="Arial"/>
                <w:bCs/>
                <w:color w:val="000000"/>
                <w:lang w:eastAsia="zh-CN"/>
              </w:rPr>
            </w:pPr>
            <w:r>
              <w:rPr>
                <w:rFonts w:ascii="Book Antiqua" w:hAnsi="Book Antiqua" w:cs="Arial"/>
                <w:bCs/>
                <w:color w:val="000000"/>
              </w:rPr>
              <w:t xml:space="preserve">Child </w:t>
            </w:r>
            <w:r>
              <w:rPr>
                <w:rFonts w:ascii="Book Antiqua" w:hAnsi="Book Antiqua" w:cs="Arial"/>
                <w:bCs/>
                <w:color w:val="000000"/>
              </w:rPr>
              <w:t>rating, B/C</w:t>
            </w:r>
          </w:p>
        </w:tc>
        <w:tc>
          <w:tcPr>
            <w:tcW w:w="44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0.901</w:t>
            </w:r>
          </w:p>
        </w:tc>
        <w:tc>
          <w:tcPr>
            <w:tcW w:w="88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(0.504-1.610)</w:t>
            </w:r>
          </w:p>
        </w:tc>
        <w:tc>
          <w:tcPr>
            <w:tcW w:w="55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0.724</w:t>
            </w:r>
          </w:p>
        </w:tc>
        <w:tc>
          <w:tcPr>
            <w:tcW w:w="459" w:type="pct"/>
          </w:tcPr>
          <w:p w:rsidR="00D164C5" w:rsidRDefault="00D164C5">
            <w:pPr>
              <w:snapToGrid w:val="0"/>
              <w:spacing w:line="360" w:lineRule="auto"/>
              <w:rPr>
                <w:rFonts w:ascii="Book Antiqua" w:hAnsi="Book Antiqua" w:cs="Arial"/>
                <w:bCs/>
                <w:color w:val="000000"/>
              </w:rPr>
            </w:pPr>
          </w:p>
        </w:tc>
        <w:tc>
          <w:tcPr>
            <w:tcW w:w="748" w:type="pct"/>
          </w:tcPr>
          <w:p w:rsidR="00D164C5" w:rsidRDefault="00D164C5">
            <w:pPr>
              <w:snapToGrid w:val="0"/>
              <w:spacing w:line="360" w:lineRule="auto"/>
              <w:rPr>
                <w:rFonts w:ascii="Book Antiqua" w:hAnsi="Book Antiqua" w:cs="Arial"/>
                <w:bCs/>
                <w:color w:val="000000"/>
              </w:rPr>
            </w:pPr>
          </w:p>
        </w:tc>
        <w:tc>
          <w:tcPr>
            <w:tcW w:w="514" w:type="pct"/>
          </w:tcPr>
          <w:p w:rsidR="00D164C5" w:rsidRDefault="00D164C5">
            <w:pPr>
              <w:snapToGrid w:val="0"/>
              <w:spacing w:line="360" w:lineRule="auto"/>
              <w:rPr>
                <w:rFonts w:ascii="Book Antiqua" w:hAnsi="Book Antiqua" w:cs="Arial"/>
                <w:bCs/>
                <w:color w:val="000000"/>
              </w:rPr>
            </w:pPr>
          </w:p>
        </w:tc>
      </w:tr>
      <w:tr w:rsidR="00D164C5">
        <w:trPr>
          <w:trHeight w:val="948"/>
        </w:trPr>
        <w:tc>
          <w:tcPr>
            <w:tcW w:w="1396"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Type of obstruction, low/high</w:t>
            </w:r>
          </w:p>
        </w:tc>
        <w:tc>
          <w:tcPr>
            <w:tcW w:w="44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2.395</w:t>
            </w:r>
          </w:p>
        </w:tc>
        <w:tc>
          <w:tcPr>
            <w:tcW w:w="88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(1.412-4.062)</w:t>
            </w:r>
          </w:p>
        </w:tc>
        <w:tc>
          <w:tcPr>
            <w:tcW w:w="55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0.001</w:t>
            </w:r>
          </w:p>
        </w:tc>
        <w:tc>
          <w:tcPr>
            <w:tcW w:w="459"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2.060</w:t>
            </w:r>
          </w:p>
        </w:tc>
        <w:tc>
          <w:tcPr>
            <w:tcW w:w="74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(1.153-3.678)</w:t>
            </w:r>
          </w:p>
        </w:tc>
        <w:tc>
          <w:tcPr>
            <w:tcW w:w="514"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0.015</w:t>
            </w:r>
          </w:p>
        </w:tc>
      </w:tr>
      <w:tr w:rsidR="00D164C5">
        <w:trPr>
          <w:trHeight w:val="238"/>
        </w:trPr>
        <w:tc>
          <w:tcPr>
            <w:tcW w:w="1396"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Obstruction length in cm</w:t>
            </w:r>
          </w:p>
        </w:tc>
        <w:tc>
          <w:tcPr>
            <w:tcW w:w="44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1.188</w:t>
            </w:r>
          </w:p>
        </w:tc>
        <w:tc>
          <w:tcPr>
            <w:tcW w:w="88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(0.904-1.560)</w:t>
            </w:r>
          </w:p>
        </w:tc>
        <w:tc>
          <w:tcPr>
            <w:tcW w:w="55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0.216</w:t>
            </w:r>
          </w:p>
        </w:tc>
        <w:tc>
          <w:tcPr>
            <w:tcW w:w="459" w:type="pct"/>
          </w:tcPr>
          <w:p w:rsidR="00D164C5" w:rsidRDefault="00D164C5">
            <w:pPr>
              <w:snapToGrid w:val="0"/>
              <w:spacing w:line="360" w:lineRule="auto"/>
              <w:rPr>
                <w:rFonts w:ascii="Book Antiqua" w:hAnsi="Book Antiqua" w:cs="Arial"/>
                <w:bCs/>
                <w:color w:val="000000"/>
              </w:rPr>
            </w:pPr>
          </w:p>
        </w:tc>
        <w:tc>
          <w:tcPr>
            <w:tcW w:w="748" w:type="pct"/>
          </w:tcPr>
          <w:p w:rsidR="00D164C5" w:rsidRDefault="00D164C5">
            <w:pPr>
              <w:snapToGrid w:val="0"/>
              <w:spacing w:line="360" w:lineRule="auto"/>
              <w:rPr>
                <w:rFonts w:ascii="Book Antiqua" w:hAnsi="Book Antiqua" w:cs="Arial"/>
                <w:bCs/>
                <w:color w:val="000000"/>
              </w:rPr>
            </w:pPr>
          </w:p>
        </w:tc>
        <w:tc>
          <w:tcPr>
            <w:tcW w:w="514" w:type="pct"/>
          </w:tcPr>
          <w:p w:rsidR="00D164C5" w:rsidRDefault="00D164C5">
            <w:pPr>
              <w:snapToGrid w:val="0"/>
              <w:spacing w:line="360" w:lineRule="auto"/>
              <w:rPr>
                <w:rFonts w:ascii="Book Antiqua" w:hAnsi="Book Antiqua" w:cs="Arial"/>
                <w:bCs/>
                <w:color w:val="000000"/>
              </w:rPr>
            </w:pPr>
          </w:p>
        </w:tc>
      </w:tr>
      <w:tr w:rsidR="00D164C5">
        <w:trPr>
          <w:trHeight w:val="608"/>
        </w:trPr>
        <w:tc>
          <w:tcPr>
            <w:tcW w:w="1396"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Number of stents, unilateral/bilateral</w:t>
            </w:r>
          </w:p>
        </w:tc>
        <w:tc>
          <w:tcPr>
            <w:tcW w:w="44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6.129</w:t>
            </w:r>
          </w:p>
        </w:tc>
        <w:tc>
          <w:tcPr>
            <w:tcW w:w="88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(2.310-16.262)</w:t>
            </w:r>
          </w:p>
        </w:tc>
        <w:tc>
          <w:tcPr>
            <w:tcW w:w="55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0.000</w:t>
            </w:r>
          </w:p>
        </w:tc>
        <w:tc>
          <w:tcPr>
            <w:tcW w:w="459"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3.489</w:t>
            </w:r>
          </w:p>
        </w:tc>
        <w:tc>
          <w:tcPr>
            <w:tcW w:w="74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(1.094-11.126)</w:t>
            </w:r>
          </w:p>
        </w:tc>
        <w:tc>
          <w:tcPr>
            <w:tcW w:w="514"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0.035</w:t>
            </w:r>
          </w:p>
        </w:tc>
      </w:tr>
      <w:tr w:rsidR="00D164C5">
        <w:trPr>
          <w:trHeight w:val="555"/>
        </w:trPr>
        <w:tc>
          <w:tcPr>
            <w:tcW w:w="1396" w:type="pct"/>
            <w:vMerge w:val="restar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Tumor type</w:t>
            </w:r>
            <w:r>
              <w:rPr>
                <w:rFonts w:ascii="Book Antiqua" w:hAnsi="Book Antiqua" w:cs="Arial"/>
                <w:bCs/>
                <w:color w:val="000000"/>
                <w:vertAlign w:val="superscript"/>
              </w:rPr>
              <w:t>1</w:t>
            </w:r>
            <w:r>
              <w:rPr>
                <w:rFonts w:ascii="Book Antiqua" w:hAnsi="Book Antiqua" w:cs="Arial"/>
                <w:bCs/>
                <w:color w:val="000000"/>
              </w:rPr>
              <w:t>, pancreatic cancer/biliary cancer/gastrointestinal metastatic cancer</w:t>
            </w:r>
          </w:p>
        </w:tc>
        <w:tc>
          <w:tcPr>
            <w:tcW w:w="44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1.192</w:t>
            </w:r>
          </w:p>
        </w:tc>
        <w:tc>
          <w:tcPr>
            <w:tcW w:w="88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(0.665-2.135)</w:t>
            </w:r>
          </w:p>
        </w:tc>
        <w:tc>
          <w:tcPr>
            <w:tcW w:w="55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0.555</w:t>
            </w:r>
          </w:p>
        </w:tc>
        <w:tc>
          <w:tcPr>
            <w:tcW w:w="459" w:type="pct"/>
          </w:tcPr>
          <w:p w:rsidR="00D164C5" w:rsidRDefault="00D164C5">
            <w:pPr>
              <w:snapToGrid w:val="0"/>
              <w:spacing w:line="360" w:lineRule="auto"/>
              <w:rPr>
                <w:rFonts w:ascii="Book Antiqua" w:hAnsi="Book Antiqua" w:cs="Arial"/>
                <w:bCs/>
                <w:color w:val="000000"/>
              </w:rPr>
            </w:pPr>
          </w:p>
        </w:tc>
        <w:tc>
          <w:tcPr>
            <w:tcW w:w="748" w:type="pct"/>
          </w:tcPr>
          <w:p w:rsidR="00D164C5" w:rsidRDefault="00D164C5">
            <w:pPr>
              <w:snapToGrid w:val="0"/>
              <w:spacing w:line="360" w:lineRule="auto"/>
              <w:rPr>
                <w:rFonts w:ascii="Book Antiqua" w:hAnsi="Book Antiqua" w:cs="Arial"/>
                <w:bCs/>
                <w:color w:val="000000"/>
              </w:rPr>
            </w:pPr>
          </w:p>
        </w:tc>
        <w:tc>
          <w:tcPr>
            <w:tcW w:w="514" w:type="pct"/>
          </w:tcPr>
          <w:p w:rsidR="00D164C5" w:rsidRDefault="00D164C5">
            <w:pPr>
              <w:snapToGrid w:val="0"/>
              <w:spacing w:line="360" w:lineRule="auto"/>
              <w:rPr>
                <w:rFonts w:ascii="Book Antiqua" w:hAnsi="Book Antiqua" w:cs="Arial"/>
                <w:bCs/>
                <w:color w:val="000000"/>
              </w:rPr>
            </w:pPr>
          </w:p>
        </w:tc>
      </w:tr>
      <w:tr w:rsidR="00D164C5">
        <w:trPr>
          <w:trHeight w:val="1034"/>
        </w:trPr>
        <w:tc>
          <w:tcPr>
            <w:tcW w:w="1396" w:type="pct"/>
            <w:vMerge/>
          </w:tcPr>
          <w:p w:rsidR="00D164C5" w:rsidRDefault="00D164C5">
            <w:pPr>
              <w:snapToGrid w:val="0"/>
              <w:spacing w:line="360" w:lineRule="auto"/>
              <w:rPr>
                <w:rFonts w:ascii="Book Antiqua" w:hAnsi="Book Antiqua" w:cs="Arial"/>
                <w:bCs/>
                <w:color w:val="000000"/>
              </w:rPr>
            </w:pPr>
          </w:p>
        </w:tc>
        <w:tc>
          <w:tcPr>
            <w:tcW w:w="44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0.532</w:t>
            </w:r>
          </w:p>
        </w:tc>
        <w:tc>
          <w:tcPr>
            <w:tcW w:w="88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(0.269-1.053)</w:t>
            </w:r>
          </w:p>
        </w:tc>
        <w:tc>
          <w:tcPr>
            <w:tcW w:w="55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0.070</w:t>
            </w:r>
          </w:p>
        </w:tc>
        <w:tc>
          <w:tcPr>
            <w:tcW w:w="459" w:type="pct"/>
          </w:tcPr>
          <w:p w:rsidR="00D164C5" w:rsidRDefault="00D164C5">
            <w:pPr>
              <w:snapToGrid w:val="0"/>
              <w:spacing w:line="360" w:lineRule="auto"/>
              <w:rPr>
                <w:rFonts w:ascii="Book Antiqua" w:hAnsi="Book Antiqua" w:cs="Arial"/>
                <w:bCs/>
                <w:color w:val="000000"/>
              </w:rPr>
            </w:pPr>
          </w:p>
        </w:tc>
        <w:tc>
          <w:tcPr>
            <w:tcW w:w="748" w:type="pct"/>
          </w:tcPr>
          <w:p w:rsidR="00D164C5" w:rsidRDefault="00D164C5">
            <w:pPr>
              <w:snapToGrid w:val="0"/>
              <w:spacing w:line="360" w:lineRule="auto"/>
              <w:rPr>
                <w:rFonts w:ascii="Book Antiqua" w:hAnsi="Book Antiqua" w:cs="Arial"/>
                <w:bCs/>
                <w:color w:val="000000"/>
              </w:rPr>
            </w:pPr>
          </w:p>
        </w:tc>
        <w:tc>
          <w:tcPr>
            <w:tcW w:w="514" w:type="pct"/>
          </w:tcPr>
          <w:p w:rsidR="00D164C5" w:rsidRDefault="00D164C5">
            <w:pPr>
              <w:snapToGrid w:val="0"/>
              <w:spacing w:line="360" w:lineRule="auto"/>
              <w:rPr>
                <w:rFonts w:ascii="Book Antiqua" w:hAnsi="Book Antiqua" w:cs="Arial"/>
                <w:bCs/>
                <w:color w:val="000000"/>
              </w:rPr>
            </w:pPr>
          </w:p>
        </w:tc>
      </w:tr>
      <w:tr w:rsidR="00D164C5">
        <w:trPr>
          <w:trHeight w:val="271"/>
        </w:trPr>
        <w:tc>
          <w:tcPr>
            <w:tcW w:w="1396"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Combined perfusion, yes/no</w:t>
            </w:r>
          </w:p>
        </w:tc>
        <w:tc>
          <w:tcPr>
            <w:tcW w:w="44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0.766</w:t>
            </w:r>
          </w:p>
        </w:tc>
        <w:tc>
          <w:tcPr>
            <w:tcW w:w="881"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(0.465-1.264)</w:t>
            </w:r>
          </w:p>
        </w:tc>
        <w:tc>
          <w:tcPr>
            <w:tcW w:w="558" w:type="pct"/>
          </w:tcPr>
          <w:p w:rsidR="00D164C5" w:rsidRDefault="00B65CF9">
            <w:pPr>
              <w:snapToGrid w:val="0"/>
              <w:spacing w:line="360" w:lineRule="auto"/>
              <w:rPr>
                <w:rFonts w:ascii="Book Antiqua" w:hAnsi="Book Antiqua" w:cs="Arial"/>
                <w:bCs/>
                <w:color w:val="000000"/>
              </w:rPr>
            </w:pPr>
            <w:r>
              <w:rPr>
                <w:rFonts w:ascii="Book Antiqua" w:hAnsi="Book Antiqua" w:cs="Arial"/>
                <w:bCs/>
                <w:color w:val="000000"/>
              </w:rPr>
              <w:t>0.297</w:t>
            </w:r>
          </w:p>
        </w:tc>
        <w:tc>
          <w:tcPr>
            <w:tcW w:w="459" w:type="pct"/>
          </w:tcPr>
          <w:p w:rsidR="00D164C5" w:rsidRDefault="00D164C5">
            <w:pPr>
              <w:snapToGrid w:val="0"/>
              <w:spacing w:line="360" w:lineRule="auto"/>
              <w:rPr>
                <w:rFonts w:ascii="Book Antiqua" w:hAnsi="Book Antiqua" w:cs="Arial"/>
                <w:bCs/>
                <w:color w:val="000000"/>
              </w:rPr>
            </w:pPr>
          </w:p>
        </w:tc>
        <w:tc>
          <w:tcPr>
            <w:tcW w:w="748" w:type="pct"/>
          </w:tcPr>
          <w:p w:rsidR="00D164C5" w:rsidRDefault="00D164C5">
            <w:pPr>
              <w:snapToGrid w:val="0"/>
              <w:spacing w:line="360" w:lineRule="auto"/>
              <w:rPr>
                <w:rFonts w:ascii="Book Antiqua" w:hAnsi="Book Antiqua" w:cs="Arial"/>
                <w:bCs/>
                <w:color w:val="000000"/>
              </w:rPr>
            </w:pPr>
          </w:p>
        </w:tc>
        <w:tc>
          <w:tcPr>
            <w:tcW w:w="514" w:type="pct"/>
          </w:tcPr>
          <w:p w:rsidR="00D164C5" w:rsidRDefault="00D164C5">
            <w:pPr>
              <w:snapToGrid w:val="0"/>
              <w:spacing w:line="360" w:lineRule="auto"/>
              <w:rPr>
                <w:rFonts w:ascii="Book Antiqua" w:hAnsi="Book Antiqua" w:cs="Arial"/>
                <w:bCs/>
                <w:color w:val="000000"/>
              </w:rPr>
            </w:pPr>
          </w:p>
        </w:tc>
      </w:tr>
    </w:tbl>
    <w:p w:rsidR="00D164C5" w:rsidRDefault="00B65CF9">
      <w:pPr>
        <w:snapToGrid w:val="0"/>
        <w:spacing w:line="360" w:lineRule="auto"/>
        <w:jc w:val="both"/>
        <w:rPr>
          <w:rFonts w:ascii="Book Antiqua" w:hAnsi="Book Antiqua" w:cs="Arial"/>
          <w:bCs/>
          <w:color w:val="000000"/>
        </w:rPr>
      </w:pPr>
      <w:r>
        <w:rPr>
          <w:rFonts w:ascii="Book Antiqua" w:hAnsi="Book Antiqua" w:cs="Arial"/>
          <w:bCs/>
          <w:color w:val="000000"/>
          <w:vertAlign w:val="superscript"/>
        </w:rPr>
        <w:t>1</w:t>
      </w:r>
      <w:r>
        <w:rPr>
          <w:rFonts w:ascii="Book Antiqua" w:hAnsi="Book Antiqua" w:cs="Arial"/>
          <w:bCs/>
          <w:color w:val="000000"/>
        </w:rPr>
        <w:t xml:space="preserve">A dummy variable with pancreatic cancer set as a control, biliary cancer and gastrointestinal metastatic cancer are compared with pancreatic cancer. </w:t>
      </w:r>
      <w:r>
        <w:rPr>
          <w:rFonts w:ascii="Book Antiqua" w:eastAsia="Book Antiqua" w:hAnsi="Book Antiqua" w:cs="Book Antiqua"/>
          <w:color w:val="000000"/>
        </w:rPr>
        <w:t>CI: Confidence interval;</w:t>
      </w:r>
      <w:r>
        <w:rPr>
          <w:rFonts w:ascii="Book Antiqua" w:hAnsi="Book Antiqua" w:cs="Arial"/>
          <w:bCs/>
          <w:color w:val="000000"/>
        </w:rPr>
        <w:t xml:space="preserve"> ECOG: </w:t>
      </w:r>
      <w:r>
        <w:rPr>
          <w:rFonts w:ascii="Book Antiqua" w:eastAsia="Book Antiqua" w:hAnsi="Book Antiqua" w:cs="Book Antiqua"/>
          <w:color w:val="000000"/>
        </w:rPr>
        <w:t>Eastern Cooperative Oncology Group; HR: Hazard ratio</w:t>
      </w:r>
      <w:r>
        <w:rPr>
          <w:rFonts w:ascii="Book Antiqua" w:hAnsi="Book Antiqua" w:cs="Arial"/>
          <w:bCs/>
          <w:color w:val="000000"/>
        </w:rPr>
        <w:t>.</w:t>
      </w:r>
    </w:p>
    <w:p w:rsidR="00FB4C2A" w:rsidRDefault="00FB4C2A">
      <w:pPr>
        <w:spacing w:line="360" w:lineRule="auto"/>
        <w:jc w:val="both"/>
        <w:rPr>
          <w:rFonts w:ascii="Book Antiqua" w:hAnsi="Book Antiqua"/>
        </w:rPr>
      </w:pPr>
    </w:p>
    <w:p w:rsidR="00FB4C2A" w:rsidRDefault="00FB4C2A">
      <w:pPr>
        <w:rPr>
          <w:rFonts w:ascii="Book Antiqua" w:hAnsi="Book Antiqua"/>
        </w:rPr>
      </w:pPr>
      <w:r>
        <w:rPr>
          <w:rFonts w:ascii="Book Antiqua" w:hAnsi="Book Antiqua"/>
        </w:rPr>
        <w:br w:type="page"/>
      </w:r>
    </w:p>
    <w:p w:rsidR="00FB4C2A" w:rsidRDefault="00FB4C2A" w:rsidP="00FB4C2A">
      <w:pPr>
        <w:jc w:val="center"/>
        <w:rPr>
          <w:rFonts w:ascii="Book Antiqua" w:hAnsi="Book Antiqua"/>
        </w:rPr>
      </w:pPr>
      <w:r>
        <w:rPr>
          <w:rFonts w:ascii="Book Antiqua" w:hAnsi="Book Antiqua"/>
          <w:noProof/>
          <w:lang w:eastAsia="zh-CN"/>
        </w:rPr>
        <w:lastRenderedPageBreak/>
        <w:drawing>
          <wp:inline distT="0" distB="0" distL="0" distR="0">
            <wp:extent cx="2499360" cy="1440180"/>
            <wp:effectExtent l="0" t="0" r="0" b="7620"/>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B4C2A" w:rsidRDefault="00FB4C2A" w:rsidP="00FB4C2A">
      <w:pPr>
        <w:jc w:val="center"/>
        <w:rPr>
          <w:rFonts w:ascii="Book Antiqua" w:hAnsi="Book Antiqua"/>
        </w:rPr>
      </w:pPr>
    </w:p>
    <w:p w:rsidR="00FB4C2A" w:rsidRDefault="00FB4C2A" w:rsidP="00FB4C2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FB4C2A" w:rsidRDefault="00FB4C2A" w:rsidP="00FB4C2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FB4C2A" w:rsidRDefault="00FB4C2A" w:rsidP="00FB4C2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FB4C2A" w:rsidRDefault="00FB4C2A" w:rsidP="00FB4C2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FB4C2A" w:rsidRDefault="00FB4C2A" w:rsidP="00FB4C2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FB4C2A" w:rsidRDefault="00FB4C2A" w:rsidP="00FB4C2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FB4C2A" w:rsidRDefault="00FB4C2A" w:rsidP="00FB4C2A">
      <w:pPr>
        <w:jc w:val="center"/>
        <w:rPr>
          <w:rFonts w:ascii="Book Antiqua" w:hAnsi="Book Antiqua"/>
        </w:rPr>
      </w:pPr>
    </w:p>
    <w:p w:rsidR="00FB4C2A" w:rsidRDefault="00FB4C2A" w:rsidP="00FB4C2A">
      <w:pPr>
        <w:jc w:val="center"/>
        <w:rPr>
          <w:rFonts w:ascii="Book Antiqua" w:hAnsi="Book Antiqua"/>
        </w:rPr>
      </w:pPr>
    </w:p>
    <w:p w:rsidR="00FB4C2A" w:rsidRDefault="00FB4C2A" w:rsidP="00FB4C2A">
      <w:pPr>
        <w:jc w:val="center"/>
        <w:rPr>
          <w:rFonts w:ascii="Book Antiqua" w:hAnsi="Book Antiqua"/>
        </w:rPr>
      </w:pPr>
    </w:p>
    <w:p w:rsidR="00FB4C2A" w:rsidRDefault="00FB4C2A" w:rsidP="00FB4C2A">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7" name="图片 7"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B4C2A" w:rsidRDefault="00FB4C2A" w:rsidP="00FB4C2A">
      <w:pPr>
        <w:jc w:val="center"/>
        <w:rPr>
          <w:rFonts w:ascii="Book Antiqua" w:hAnsi="Book Antiqua"/>
        </w:rPr>
      </w:pPr>
    </w:p>
    <w:p w:rsidR="00FB4C2A" w:rsidRDefault="00FB4C2A" w:rsidP="00FB4C2A">
      <w:pPr>
        <w:jc w:val="center"/>
        <w:rPr>
          <w:rFonts w:ascii="Book Antiqua" w:hAnsi="Book Antiqua"/>
          <w:lang w:eastAsia="zh-CN"/>
        </w:rPr>
      </w:pPr>
    </w:p>
    <w:p w:rsidR="00FB4C2A" w:rsidRDefault="00FB4C2A" w:rsidP="00FB4C2A">
      <w:pPr>
        <w:jc w:val="center"/>
        <w:rPr>
          <w:rFonts w:ascii="Book Antiqua" w:hAnsi="Book Antiqua"/>
        </w:rPr>
      </w:pPr>
    </w:p>
    <w:p w:rsidR="00FB4C2A" w:rsidRDefault="00FB4C2A" w:rsidP="00FB4C2A">
      <w:pPr>
        <w:jc w:val="center"/>
        <w:rPr>
          <w:rFonts w:ascii="Book Antiqua" w:hAnsi="Book Antiqua"/>
          <w:color w:val="000000" w:themeColor="text1"/>
        </w:rPr>
      </w:pPr>
    </w:p>
    <w:p w:rsidR="00FB4C2A" w:rsidRDefault="00FB4C2A" w:rsidP="00FB4C2A">
      <w:pPr>
        <w:spacing w:line="360" w:lineRule="auto"/>
        <w:jc w:val="center"/>
        <w:rPr>
          <w:rFonts w:ascii="Book Antiqua" w:hAnsi="Book Antiqua"/>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D164C5" w:rsidRDefault="00D164C5">
      <w:pPr>
        <w:spacing w:line="360" w:lineRule="auto"/>
        <w:jc w:val="both"/>
        <w:rPr>
          <w:rFonts w:ascii="Book Antiqua" w:hAnsi="Book Antiqua"/>
        </w:rPr>
      </w:pPr>
      <w:bookmarkStart w:id="3" w:name="_GoBack"/>
      <w:bookmarkEnd w:id="3"/>
    </w:p>
    <w:sectPr w:rsidR="00D16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F9" w:rsidRDefault="00B65CF9">
      <w:r>
        <w:separator/>
      </w:r>
    </w:p>
  </w:endnote>
  <w:endnote w:type="continuationSeparator" w:id="0">
    <w:p w:rsidR="00B65CF9" w:rsidRDefault="00B6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C5" w:rsidRDefault="00B65CF9">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FB4C2A" w:rsidRPr="00FB4C2A">
      <w:rPr>
        <w:rFonts w:ascii="Book Antiqua" w:hAnsi="Book Antiqua"/>
        <w:noProof/>
        <w:sz w:val="24"/>
        <w:szCs w:val="24"/>
        <w:lang w:val="zh-CN" w:eastAsia="zh-CN"/>
      </w:rPr>
      <w:t>27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FB4C2A" w:rsidRPr="00FB4C2A">
      <w:rPr>
        <w:rFonts w:ascii="Book Antiqua" w:hAnsi="Book Antiqua"/>
        <w:noProof/>
        <w:sz w:val="24"/>
        <w:szCs w:val="24"/>
        <w:lang w:val="zh-CN" w:eastAsia="zh-CN"/>
      </w:rPr>
      <w:t>27</w:t>
    </w:r>
    <w:r>
      <w:rPr>
        <w:rFonts w:ascii="Book Antiqua" w:hAnsi="Book Antiqua"/>
        <w:sz w:val="24"/>
        <w:szCs w:val="24"/>
      </w:rPr>
      <w:fldChar w:fldCharType="end"/>
    </w:r>
  </w:p>
  <w:p w:rsidR="00D164C5" w:rsidRDefault="00D164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F9" w:rsidRDefault="00B65CF9">
      <w:r>
        <w:separator/>
      </w:r>
    </w:p>
  </w:footnote>
  <w:footnote w:type="continuationSeparator" w:id="0">
    <w:p w:rsidR="00B65CF9" w:rsidRDefault="00B65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3A5"/>
    <w:rsid w:val="000534E5"/>
    <w:rsid w:val="000679EA"/>
    <w:rsid w:val="000814C9"/>
    <w:rsid w:val="000A498B"/>
    <w:rsid w:val="000C7F05"/>
    <w:rsid w:val="000E5E15"/>
    <w:rsid w:val="000F1242"/>
    <w:rsid w:val="00113073"/>
    <w:rsid w:val="0014189E"/>
    <w:rsid w:val="0015140C"/>
    <w:rsid w:val="00163D50"/>
    <w:rsid w:val="001714D3"/>
    <w:rsid w:val="00186509"/>
    <w:rsid w:val="00197C3F"/>
    <w:rsid w:val="001A19BD"/>
    <w:rsid w:val="001A3507"/>
    <w:rsid w:val="001B1FE7"/>
    <w:rsid w:val="001F0925"/>
    <w:rsid w:val="00222575"/>
    <w:rsid w:val="00282835"/>
    <w:rsid w:val="002830B3"/>
    <w:rsid w:val="00295942"/>
    <w:rsid w:val="002A045A"/>
    <w:rsid w:val="002A4B45"/>
    <w:rsid w:val="002D2838"/>
    <w:rsid w:val="002D4B02"/>
    <w:rsid w:val="002E036B"/>
    <w:rsid w:val="002F5057"/>
    <w:rsid w:val="00312975"/>
    <w:rsid w:val="003151F6"/>
    <w:rsid w:val="0032011F"/>
    <w:rsid w:val="00326D75"/>
    <w:rsid w:val="00327F88"/>
    <w:rsid w:val="00353C00"/>
    <w:rsid w:val="00376095"/>
    <w:rsid w:val="003829B8"/>
    <w:rsid w:val="003857B7"/>
    <w:rsid w:val="003A0315"/>
    <w:rsid w:val="003A5FD2"/>
    <w:rsid w:val="003B0B10"/>
    <w:rsid w:val="003B656A"/>
    <w:rsid w:val="003D1BD8"/>
    <w:rsid w:val="003D7F82"/>
    <w:rsid w:val="003E2CC0"/>
    <w:rsid w:val="003E52FF"/>
    <w:rsid w:val="004015AE"/>
    <w:rsid w:val="00410E6B"/>
    <w:rsid w:val="004401AF"/>
    <w:rsid w:val="00470A0A"/>
    <w:rsid w:val="004B09C5"/>
    <w:rsid w:val="004C2AE3"/>
    <w:rsid w:val="004C5D04"/>
    <w:rsid w:val="004D1082"/>
    <w:rsid w:val="004F18D3"/>
    <w:rsid w:val="00505BA3"/>
    <w:rsid w:val="005077CE"/>
    <w:rsid w:val="0050781D"/>
    <w:rsid w:val="00526947"/>
    <w:rsid w:val="00533118"/>
    <w:rsid w:val="00544A1D"/>
    <w:rsid w:val="005773D6"/>
    <w:rsid w:val="005A38CC"/>
    <w:rsid w:val="005A7C9A"/>
    <w:rsid w:val="005B1AE6"/>
    <w:rsid w:val="005B5BA0"/>
    <w:rsid w:val="005C232B"/>
    <w:rsid w:val="005E34E6"/>
    <w:rsid w:val="005E42EE"/>
    <w:rsid w:val="005F4613"/>
    <w:rsid w:val="00641E32"/>
    <w:rsid w:val="0066141F"/>
    <w:rsid w:val="00666E56"/>
    <w:rsid w:val="00671254"/>
    <w:rsid w:val="006B2052"/>
    <w:rsid w:val="006D4D10"/>
    <w:rsid w:val="006D5C0B"/>
    <w:rsid w:val="00704D5A"/>
    <w:rsid w:val="00733020"/>
    <w:rsid w:val="00777548"/>
    <w:rsid w:val="007B63EE"/>
    <w:rsid w:val="007C34C1"/>
    <w:rsid w:val="007D5B1C"/>
    <w:rsid w:val="007D6335"/>
    <w:rsid w:val="00820DC9"/>
    <w:rsid w:val="00822118"/>
    <w:rsid w:val="00826A5A"/>
    <w:rsid w:val="008631AC"/>
    <w:rsid w:val="008709ED"/>
    <w:rsid w:val="008858F6"/>
    <w:rsid w:val="00893968"/>
    <w:rsid w:val="008E18C5"/>
    <w:rsid w:val="008F5C79"/>
    <w:rsid w:val="008F7F44"/>
    <w:rsid w:val="009002DB"/>
    <w:rsid w:val="00910592"/>
    <w:rsid w:val="00912BB5"/>
    <w:rsid w:val="00917006"/>
    <w:rsid w:val="00946FDF"/>
    <w:rsid w:val="009B51A4"/>
    <w:rsid w:val="009E7161"/>
    <w:rsid w:val="00A14CA1"/>
    <w:rsid w:val="00A23829"/>
    <w:rsid w:val="00A4558B"/>
    <w:rsid w:val="00A61A7D"/>
    <w:rsid w:val="00A77B3E"/>
    <w:rsid w:val="00AB622D"/>
    <w:rsid w:val="00AC0AA3"/>
    <w:rsid w:val="00AC20BE"/>
    <w:rsid w:val="00AC2477"/>
    <w:rsid w:val="00AC3B4E"/>
    <w:rsid w:val="00AC4A3C"/>
    <w:rsid w:val="00AE0D1A"/>
    <w:rsid w:val="00AE2F07"/>
    <w:rsid w:val="00B20463"/>
    <w:rsid w:val="00B37378"/>
    <w:rsid w:val="00B40E62"/>
    <w:rsid w:val="00B4667C"/>
    <w:rsid w:val="00B65CF9"/>
    <w:rsid w:val="00B66D91"/>
    <w:rsid w:val="00B838E2"/>
    <w:rsid w:val="00B942D3"/>
    <w:rsid w:val="00BC77E1"/>
    <w:rsid w:val="00BF44F8"/>
    <w:rsid w:val="00BF698F"/>
    <w:rsid w:val="00C00DB1"/>
    <w:rsid w:val="00C2010F"/>
    <w:rsid w:val="00C25451"/>
    <w:rsid w:val="00C3292F"/>
    <w:rsid w:val="00C706E9"/>
    <w:rsid w:val="00C7502E"/>
    <w:rsid w:val="00C84158"/>
    <w:rsid w:val="00C87A64"/>
    <w:rsid w:val="00CA2A55"/>
    <w:rsid w:val="00CA4214"/>
    <w:rsid w:val="00CA48F7"/>
    <w:rsid w:val="00CA632F"/>
    <w:rsid w:val="00CC0181"/>
    <w:rsid w:val="00CC0520"/>
    <w:rsid w:val="00D116E0"/>
    <w:rsid w:val="00D164C5"/>
    <w:rsid w:val="00D2538D"/>
    <w:rsid w:val="00D45C9B"/>
    <w:rsid w:val="00D766B2"/>
    <w:rsid w:val="00D80547"/>
    <w:rsid w:val="00DA4BDF"/>
    <w:rsid w:val="00DA4F9B"/>
    <w:rsid w:val="00DD2B64"/>
    <w:rsid w:val="00DD30B2"/>
    <w:rsid w:val="00DE785F"/>
    <w:rsid w:val="00DF1A01"/>
    <w:rsid w:val="00E054EC"/>
    <w:rsid w:val="00E152E1"/>
    <w:rsid w:val="00E44082"/>
    <w:rsid w:val="00E4622C"/>
    <w:rsid w:val="00E5430F"/>
    <w:rsid w:val="00E56CB4"/>
    <w:rsid w:val="00E7546A"/>
    <w:rsid w:val="00E94081"/>
    <w:rsid w:val="00E96E0F"/>
    <w:rsid w:val="00ED0151"/>
    <w:rsid w:val="00EE6511"/>
    <w:rsid w:val="00EF3B21"/>
    <w:rsid w:val="00F04163"/>
    <w:rsid w:val="00F17E34"/>
    <w:rsid w:val="00F27AAD"/>
    <w:rsid w:val="00F40973"/>
    <w:rsid w:val="00F57FF0"/>
    <w:rsid w:val="00F650E1"/>
    <w:rsid w:val="00F72041"/>
    <w:rsid w:val="00F8746F"/>
    <w:rsid w:val="00F90E17"/>
    <w:rsid w:val="00FA039B"/>
    <w:rsid w:val="00FB0148"/>
    <w:rsid w:val="00FB4C2A"/>
    <w:rsid w:val="00FC3C21"/>
    <w:rsid w:val="00FD6867"/>
    <w:rsid w:val="00FF2873"/>
    <w:rsid w:val="00FF3074"/>
    <w:rsid w:val="0B9C640A"/>
    <w:rsid w:val="2486712E"/>
    <w:rsid w:val="33BC3A6C"/>
    <w:rsid w:val="4A774CCA"/>
    <w:rsid w:val="4B2B6F35"/>
    <w:rsid w:val="654C4882"/>
    <w:rsid w:val="6BA60616"/>
    <w:rsid w:val="6DBE6280"/>
    <w:rsid w:val="6E364857"/>
    <w:rsid w:val="7C7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5307</Words>
  <Characters>30253</Characters>
  <Application>Microsoft Office Word</Application>
  <DocSecurity>0</DocSecurity>
  <Lines>252</Lines>
  <Paragraphs>70</Paragraphs>
  <ScaleCrop>false</ScaleCrop>
  <LinksUpToDate>false</LinksUpToDate>
  <CharactersWithSpaces>35490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2020-12-18T01:53:00Z</dcterms:created>
  <dcterms:modified xsi:type="dcterms:W3CDTF">2021-01-22T17:28:00Z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