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036F" w14:textId="77777777" w:rsidR="00A77B3E" w:rsidRDefault="00EA33F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678492DD" w14:textId="77777777" w:rsidR="00A77B3E" w:rsidRDefault="00EA33F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58017</w:t>
      </w:r>
    </w:p>
    <w:p w14:paraId="64030472" w14:textId="77777777" w:rsidR="00A77B3E" w:rsidRDefault="00EA33F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2CE7349" w14:textId="77777777" w:rsidR="00A77B3E" w:rsidRDefault="00A77B3E">
      <w:pPr>
        <w:spacing w:line="360" w:lineRule="auto"/>
        <w:jc w:val="both"/>
      </w:pPr>
    </w:p>
    <w:p w14:paraId="2529AA9D" w14:textId="2CAA5160" w:rsidR="00A77B3E" w:rsidRDefault="00EA33F8">
      <w:pPr>
        <w:spacing w:line="360" w:lineRule="auto"/>
        <w:jc w:val="both"/>
      </w:pPr>
      <w:r>
        <w:rPr>
          <w:rFonts w:ascii="Book Antiqua" w:eastAsia="Book Antiqua" w:hAnsi="Book Antiqua" w:cs="Book Antiqua"/>
          <w:b/>
          <w:color w:val="000000"/>
        </w:rPr>
        <w:t xml:space="preserve">Practice change in </w:t>
      </w:r>
      <w:r w:rsidR="00084EE7">
        <w:rPr>
          <w:rFonts w:ascii="Book Antiqua" w:eastAsia="Book Antiqua" w:hAnsi="Book Antiqua" w:cs="Book Antiqua"/>
          <w:b/>
          <w:color w:val="000000"/>
        </w:rPr>
        <w:t xml:space="preserve">the </w:t>
      </w:r>
      <w:r>
        <w:rPr>
          <w:rFonts w:ascii="Book Antiqua" w:eastAsia="Book Antiqua" w:hAnsi="Book Antiqua" w:cs="Book Antiqua"/>
          <w:b/>
          <w:color w:val="000000"/>
        </w:rPr>
        <w:t>management of metastatic urothelial carcinoma after ASCO 2020</w:t>
      </w:r>
    </w:p>
    <w:p w14:paraId="4A82FC83" w14:textId="77777777" w:rsidR="00A77B3E" w:rsidRDefault="00A77B3E">
      <w:pPr>
        <w:spacing w:line="360" w:lineRule="auto"/>
        <w:jc w:val="both"/>
      </w:pPr>
    </w:p>
    <w:p w14:paraId="1E1DFF44" w14:textId="1A2F3151" w:rsidR="00A77B3E" w:rsidRDefault="00CD714B">
      <w:pPr>
        <w:spacing w:line="360" w:lineRule="auto"/>
        <w:jc w:val="both"/>
      </w:pP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P</w:t>
      </w:r>
      <w:r w:rsidRPr="00CD714B">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EA33F8">
        <w:rPr>
          <w:rFonts w:ascii="Book Antiqua" w:eastAsia="Book Antiqua" w:hAnsi="Book Antiqua" w:cs="Book Antiqua"/>
          <w:color w:val="000000"/>
        </w:rPr>
        <w:t xml:space="preserve">Management </w:t>
      </w:r>
      <w:r w:rsidR="00B44FD6">
        <w:rPr>
          <w:rFonts w:ascii="Book Antiqua" w:eastAsia="Book Antiqua" w:hAnsi="Book Antiqua" w:cs="Book Antiqua"/>
          <w:color w:val="000000"/>
        </w:rPr>
        <w:t xml:space="preserve">of </w:t>
      </w:r>
      <w:r w:rsidR="00EA33F8">
        <w:rPr>
          <w:rFonts w:ascii="Book Antiqua" w:eastAsia="Book Antiqua" w:hAnsi="Book Antiqua" w:cs="Book Antiqua"/>
          <w:color w:val="000000"/>
        </w:rPr>
        <w:t>metastatic urothelial carcinoma</w:t>
      </w:r>
    </w:p>
    <w:p w14:paraId="7FD686BA" w14:textId="77777777" w:rsidR="00A77B3E" w:rsidRDefault="00A77B3E">
      <w:pPr>
        <w:spacing w:line="360" w:lineRule="auto"/>
        <w:jc w:val="both"/>
      </w:pPr>
    </w:p>
    <w:p w14:paraId="63FB8228" w14:textId="77777777" w:rsidR="00A77B3E" w:rsidRDefault="00EA33F8">
      <w:pPr>
        <w:spacing w:line="360" w:lineRule="auto"/>
        <w:jc w:val="both"/>
      </w:pPr>
      <w:r>
        <w:rPr>
          <w:rFonts w:ascii="Book Antiqua" w:eastAsia="Book Antiqua" w:hAnsi="Book Antiqua" w:cs="Book Antiqua"/>
          <w:color w:val="000000"/>
        </w:rPr>
        <w:t xml:space="preserve">Pablo </w:t>
      </w: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Javier Torres-Jiménez, Carolina </w:t>
      </w:r>
      <w:proofErr w:type="spellStart"/>
      <w:r>
        <w:rPr>
          <w:rFonts w:ascii="Book Antiqua" w:eastAsia="Book Antiqua" w:hAnsi="Book Antiqua" w:cs="Book Antiqua"/>
          <w:color w:val="000000"/>
        </w:rPr>
        <w:t>Bueno</w:t>
      </w:r>
      <w:proofErr w:type="spellEnd"/>
      <w:r>
        <w:rPr>
          <w:rFonts w:ascii="Book Antiqua" w:eastAsia="Book Antiqua" w:hAnsi="Book Antiqua" w:cs="Book Antiqua"/>
          <w:color w:val="000000"/>
        </w:rPr>
        <w:t xml:space="preserve">-Bravo, Felipe </w:t>
      </w:r>
      <w:proofErr w:type="spellStart"/>
      <w:r>
        <w:rPr>
          <w:rFonts w:ascii="Book Antiqua" w:eastAsia="Book Antiqua" w:hAnsi="Book Antiqua" w:cs="Book Antiqua"/>
          <w:color w:val="000000"/>
        </w:rPr>
        <w:t>Couñago</w:t>
      </w:r>
      <w:proofErr w:type="spellEnd"/>
    </w:p>
    <w:p w14:paraId="42BD2AA6" w14:textId="77777777" w:rsidR="00A77B3E" w:rsidRDefault="00A77B3E">
      <w:pPr>
        <w:spacing w:line="360" w:lineRule="auto"/>
        <w:jc w:val="both"/>
      </w:pPr>
    </w:p>
    <w:p w14:paraId="6E19EE48" w14:textId="77777777" w:rsidR="00A77B3E" w:rsidRDefault="00EA33F8">
      <w:pPr>
        <w:spacing w:line="360" w:lineRule="auto"/>
        <w:jc w:val="both"/>
      </w:pPr>
      <w:r>
        <w:rPr>
          <w:rFonts w:ascii="Book Antiqua" w:eastAsia="Book Antiqua" w:hAnsi="Book Antiqua" w:cs="Book Antiqua"/>
          <w:b/>
          <w:bCs/>
          <w:color w:val="000000"/>
        </w:rPr>
        <w:t xml:space="preserve">Pablo </w:t>
      </w:r>
      <w:proofErr w:type="spellStart"/>
      <w:r>
        <w:rPr>
          <w:rFonts w:ascii="Book Antiqua" w:eastAsia="Book Antiqua" w:hAnsi="Book Antiqua" w:cs="Book Antiqua"/>
          <w:b/>
          <w:bCs/>
          <w:color w:val="000000"/>
        </w:rPr>
        <w:t>Gajate</w:t>
      </w:r>
      <w:proofErr w:type="spellEnd"/>
      <w:r>
        <w:rPr>
          <w:rFonts w:ascii="Book Antiqua" w:eastAsia="Book Antiqua" w:hAnsi="Book Antiqua" w:cs="Book Antiqua"/>
          <w:b/>
          <w:bCs/>
          <w:color w:val="000000"/>
        </w:rPr>
        <w:t xml:space="preserve">, Javier Torres-Jiménez, </w:t>
      </w:r>
      <w:r>
        <w:rPr>
          <w:rFonts w:ascii="Book Antiqua" w:eastAsia="Book Antiqua" w:hAnsi="Book Antiqua" w:cs="Book Antiqua"/>
          <w:color w:val="000000"/>
        </w:rPr>
        <w:t xml:space="preserve">Medical Oncology Department,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Madrid 28034, Spain</w:t>
      </w:r>
    </w:p>
    <w:p w14:paraId="73D72109" w14:textId="77777777" w:rsidR="00A77B3E" w:rsidRDefault="00A77B3E">
      <w:pPr>
        <w:spacing w:line="360" w:lineRule="auto"/>
        <w:jc w:val="both"/>
      </w:pPr>
    </w:p>
    <w:p w14:paraId="1F1B513B" w14:textId="77777777" w:rsidR="00A77B3E" w:rsidRDefault="00EA33F8">
      <w:pPr>
        <w:spacing w:line="360" w:lineRule="auto"/>
        <w:jc w:val="both"/>
      </w:pPr>
      <w:r>
        <w:rPr>
          <w:rFonts w:ascii="Book Antiqua" w:eastAsia="Book Antiqua" w:hAnsi="Book Antiqua" w:cs="Book Antiqua"/>
          <w:b/>
          <w:bCs/>
          <w:color w:val="000000"/>
        </w:rPr>
        <w:t xml:space="preserve">Carolina Bueno-Bravo, </w:t>
      </w:r>
      <w:r>
        <w:rPr>
          <w:rFonts w:ascii="Book Antiqua" w:eastAsia="Book Antiqua" w:hAnsi="Book Antiqua" w:cs="Book Antiqua"/>
          <w:color w:val="000000"/>
        </w:rPr>
        <w:t>Urology Department, Hospital Universitario Infanta Sofia, Madrid 28703, Spain</w:t>
      </w:r>
    </w:p>
    <w:p w14:paraId="7607FAC1" w14:textId="77777777" w:rsidR="00A77B3E" w:rsidRDefault="00A77B3E">
      <w:pPr>
        <w:spacing w:line="360" w:lineRule="auto"/>
        <w:jc w:val="both"/>
      </w:pPr>
    </w:p>
    <w:p w14:paraId="2B2BB267" w14:textId="36A9C01F" w:rsidR="00A77B3E" w:rsidRDefault="00EA33F8">
      <w:pPr>
        <w:spacing w:line="360" w:lineRule="auto"/>
        <w:jc w:val="both"/>
      </w:pPr>
      <w:r>
        <w:rPr>
          <w:rFonts w:ascii="Book Antiqua" w:eastAsia="Book Antiqua" w:hAnsi="Book Antiqua" w:cs="Book Antiqua"/>
          <w:b/>
          <w:bCs/>
          <w:color w:val="000000"/>
        </w:rPr>
        <w:t xml:space="preserve">Felipe </w:t>
      </w:r>
      <w:proofErr w:type="spellStart"/>
      <w:r>
        <w:rPr>
          <w:rFonts w:ascii="Book Antiqua" w:eastAsia="Book Antiqua" w:hAnsi="Book Antiqua" w:cs="Book Antiqua"/>
          <w:b/>
          <w:bCs/>
          <w:color w:val="000000"/>
        </w:rPr>
        <w:t>Couñago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Radiation Oncology Department,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Quirónsalud</w:t>
      </w:r>
      <w:proofErr w:type="spellEnd"/>
      <w:r>
        <w:rPr>
          <w:rFonts w:ascii="Book Antiqua" w:eastAsia="Book Antiqua" w:hAnsi="Book Antiqua" w:cs="Book Antiqua"/>
          <w:color w:val="000000"/>
        </w:rPr>
        <w:t xml:space="preserve"> Madrid</w:t>
      </w:r>
      <w:r w:rsidR="00567A14">
        <w:rPr>
          <w:rFonts w:ascii="Book Antiqua" w:eastAsia="Book Antiqua" w:hAnsi="Book Antiqua" w:cs="Book Antiqua"/>
          <w:color w:val="000000"/>
        </w:rPr>
        <w:t>,</w:t>
      </w:r>
      <w:r>
        <w:rPr>
          <w:rFonts w:ascii="Book Antiqua" w:eastAsia="Book Antiqua" w:hAnsi="Book Antiqua" w:cs="Book Antiqua"/>
          <w:color w:val="000000"/>
        </w:rPr>
        <w:t xml:space="preserve"> Hospital La Luz</w:t>
      </w:r>
      <w:r w:rsidR="00567A14">
        <w:rPr>
          <w:rFonts w:ascii="Book Antiqua" w:eastAsia="Book Antiqua" w:hAnsi="Book Antiqua" w:cs="Book Antiqua"/>
          <w:color w:val="000000"/>
        </w:rPr>
        <w:t>,</w:t>
      </w:r>
      <w:r>
        <w:rPr>
          <w:rFonts w:ascii="Book Antiqua" w:eastAsia="Book Antiqua" w:hAnsi="Book Antiqua" w:cs="Book Antiqua"/>
          <w:color w:val="000000"/>
        </w:rPr>
        <w:t xml:space="preserve"> Universidad </w:t>
      </w:r>
      <w:proofErr w:type="spellStart"/>
      <w:r>
        <w:rPr>
          <w:rFonts w:ascii="Book Antiqua" w:eastAsia="Book Antiqua" w:hAnsi="Book Antiqua" w:cs="Book Antiqua"/>
          <w:color w:val="000000"/>
        </w:rPr>
        <w:t>Europea</w:t>
      </w:r>
      <w:proofErr w:type="spellEnd"/>
      <w:r>
        <w:rPr>
          <w:rFonts w:ascii="Book Antiqua" w:eastAsia="Book Antiqua" w:hAnsi="Book Antiqua" w:cs="Book Antiqua"/>
          <w:color w:val="000000"/>
        </w:rPr>
        <w:t xml:space="preserve"> de Madrid, Madrid 28028, Spain</w:t>
      </w:r>
    </w:p>
    <w:p w14:paraId="48CD2610" w14:textId="77777777" w:rsidR="00FC1F84" w:rsidRDefault="00FC1F84">
      <w:pPr>
        <w:spacing w:line="360" w:lineRule="auto"/>
        <w:jc w:val="both"/>
      </w:pPr>
    </w:p>
    <w:p w14:paraId="1C6202DC" w14:textId="399E9E93" w:rsidR="00A77B3E" w:rsidRDefault="00EA33F8">
      <w:pPr>
        <w:spacing w:line="360" w:lineRule="auto"/>
        <w:jc w:val="both"/>
      </w:pPr>
      <w:r>
        <w:rPr>
          <w:rFonts w:ascii="Book Antiqua" w:eastAsia="Book Antiqua" w:hAnsi="Book Antiqua" w:cs="Book Antiqua"/>
          <w:b/>
          <w:bCs/>
          <w:color w:val="000000"/>
        </w:rPr>
        <w:t xml:space="preserve">Author contributions: </w:t>
      </w:r>
      <w:proofErr w:type="spellStart"/>
      <w:r w:rsidR="00FC1F84" w:rsidRPr="00FC1F84">
        <w:rPr>
          <w:rFonts w:ascii="Book Antiqua" w:eastAsia="Book Antiqua" w:hAnsi="Book Antiqua" w:cs="Book Antiqua"/>
          <w:color w:val="000000"/>
        </w:rPr>
        <w:t>Gajate</w:t>
      </w:r>
      <w:proofErr w:type="spellEnd"/>
      <w:r w:rsidR="00FC1F84" w:rsidRPr="00FC1F84">
        <w:rPr>
          <w:rFonts w:ascii="Book Antiqua" w:eastAsia="Book Antiqua" w:hAnsi="Book Antiqua" w:cs="Book Antiqua"/>
          <w:color w:val="000000"/>
        </w:rPr>
        <w:t xml:space="preserve"> P, Torres-Jiménez J, </w:t>
      </w:r>
      <w:proofErr w:type="spellStart"/>
      <w:r w:rsidR="00FC1F84" w:rsidRPr="00FC1F84">
        <w:rPr>
          <w:rFonts w:ascii="Book Antiqua" w:eastAsia="Book Antiqua" w:hAnsi="Book Antiqua" w:cs="Book Antiqua"/>
          <w:color w:val="000000"/>
        </w:rPr>
        <w:t>Bueno</w:t>
      </w:r>
      <w:proofErr w:type="spellEnd"/>
      <w:r w:rsidR="00FC1F84" w:rsidRPr="00FC1F84">
        <w:rPr>
          <w:rFonts w:ascii="Book Antiqua" w:eastAsia="Book Antiqua" w:hAnsi="Book Antiqua" w:cs="Book Antiqua"/>
          <w:color w:val="000000"/>
        </w:rPr>
        <w:t xml:space="preserve">-Bravo C, </w:t>
      </w:r>
      <w:r w:rsidR="00FC1F84">
        <w:rPr>
          <w:rFonts w:ascii="Book Antiqua" w:eastAsia="Book Antiqua" w:hAnsi="Book Antiqua" w:cs="Book Antiqua"/>
          <w:color w:val="000000"/>
        </w:rPr>
        <w:t xml:space="preserve">and </w:t>
      </w:r>
      <w:proofErr w:type="spellStart"/>
      <w:r w:rsidR="00FC1F84" w:rsidRPr="00FC1F84">
        <w:rPr>
          <w:rFonts w:ascii="Book Antiqua" w:eastAsia="Book Antiqua" w:hAnsi="Book Antiqua" w:cs="Book Antiqua"/>
          <w:color w:val="000000"/>
        </w:rPr>
        <w:t>Couñago</w:t>
      </w:r>
      <w:proofErr w:type="spellEnd"/>
      <w:r w:rsidR="00FC1F84" w:rsidRPr="00FC1F84">
        <w:rPr>
          <w:rFonts w:ascii="Book Antiqua" w:eastAsia="Book Antiqua" w:hAnsi="Book Antiqua" w:cs="Book Antiqua"/>
          <w:color w:val="000000"/>
        </w:rPr>
        <w:t xml:space="preserve"> F</w:t>
      </w:r>
      <w:r>
        <w:rPr>
          <w:rFonts w:ascii="Book Antiqua" w:eastAsia="Book Antiqua" w:hAnsi="Book Antiqua" w:cs="Book Antiqua"/>
          <w:color w:val="000000"/>
        </w:rPr>
        <w:t xml:space="preserve"> wrote the paper.</w:t>
      </w:r>
    </w:p>
    <w:p w14:paraId="692913DE" w14:textId="77777777" w:rsidR="00A77B3E" w:rsidRDefault="00A77B3E">
      <w:pPr>
        <w:spacing w:line="360" w:lineRule="auto"/>
        <w:jc w:val="both"/>
      </w:pPr>
    </w:p>
    <w:p w14:paraId="67EC1598" w14:textId="03682369" w:rsidR="00A77B3E" w:rsidRDefault="00EA33F8">
      <w:pPr>
        <w:spacing w:line="360" w:lineRule="auto"/>
        <w:jc w:val="both"/>
      </w:pPr>
      <w:r>
        <w:rPr>
          <w:rFonts w:ascii="Book Antiqua" w:eastAsia="Book Antiqua" w:hAnsi="Book Antiqua" w:cs="Book Antiqua"/>
          <w:b/>
          <w:bCs/>
          <w:color w:val="000000"/>
        </w:rPr>
        <w:t xml:space="preserve">Corresponding author: Pablo </w:t>
      </w:r>
      <w:proofErr w:type="spellStart"/>
      <w:r>
        <w:rPr>
          <w:rFonts w:ascii="Book Antiqua" w:eastAsia="Book Antiqua" w:hAnsi="Book Antiqua" w:cs="Book Antiqua"/>
          <w:b/>
          <w:bCs/>
          <w:color w:val="000000"/>
        </w:rPr>
        <w:t>Gajate</w:t>
      </w:r>
      <w:proofErr w:type="spellEnd"/>
      <w:r>
        <w:rPr>
          <w:rFonts w:ascii="Book Antiqua" w:eastAsia="Book Antiqua" w:hAnsi="Book Antiqua" w:cs="Book Antiqua"/>
          <w:b/>
          <w:bCs/>
          <w:color w:val="000000"/>
        </w:rPr>
        <w:t xml:space="preserve">, MD, Staff Physician, </w:t>
      </w:r>
      <w:r>
        <w:rPr>
          <w:rFonts w:ascii="Book Antiqua" w:eastAsia="Book Antiqua" w:hAnsi="Book Antiqua" w:cs="Book Antiqua"/>
          <w:color w:val="000000"/>
        </w:rPr>
        <w:t xml:space="preserve">Medical Oncology Department, Hospital </w:t>
      </w:r>
      <w:proofErr w:type="spellStart"/>
      <w:r>
        <w:rPr>
          <w:rFonts w:ascii="Book Antiqua" w:eastAsia="Book Antiqua" w:hAnsi="Book Antiqua" w:cs="Book Antiqua"/>
          <w:color w:val="000000"/>
        </w:rPr>
        <w:t>Universitario</w:t>
      </w:r>
      <w:proofErr w:type="spellEnd"/>
      <w:r>
        <w:rPr>
          <w:rFonts w:ascii="Book Antiqua" w:eastAsia="Book Antiqua" w:hAnsi="Book Antiqua" w:cs="Book Antiqua"/>
          <w:color w:val="000000"/>
        </w:rPr>
        <w:t xml:space="preserve"> Ramón y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Ctra</w:t>
      </w:r>
      <w:proofErr w:type="spellEnd"/>
      <w:r>
        <w:rPr>
          <w:rFonts w:ascii="Book Antiqua" w:eastAsia="Book Antiqua" w:hAnsi="Book Antiqua" w:cs="Book Antiqua"/>
          <w:color w:val="000000"/>
        </w:rPr>
        <w:t>. de Colmenar Viejo km. 9100, Madrid 28034, Spain. pgajateborau@gmail.com</w:t>
      </w:r>
    </w:p>
    <w:p w14:paraId="67056246" w14:textId="77777777" w:rsidR="00A77B3E" w:rsidRDefault="00A77B3E">
      <w:pPr>
        <w:spacing w:line="360" w:lineRule="auto"/>
        <w:jc w:val="both"/>
      </w:pPr>
    </w:p>
    <w:p w14:paraId="54981383" w14:textId="77777777" w:rsidR="00A77B3E" w:rsidRDefault="00EA33F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 2020</w:t>
      </w:r>
    </w:p>
    <w:p w14:paraId="69315AA2" w14:textId="77777777" w:rsidR="00A77B3E" w:rsidRDefault="00EA33F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2020</w:t>
      </w:r>
    </w:p>
    <w:p w14:paraId="256EF516" w14:textId="1CD7A727" w:rsidR="00A77B3E" w:rsidRDefault="00EA33F8">
      <w:pPr>
        <w:spacing w:line="360" w:lineRule="auto"/>
        <w:jc w:val="both"/>
      </w:pPr>
      <w:r>
        <w:rPr>
          <w:rFonts w:ascii="Book Antiqua" w:eastAsia="Book Antiqua" w:hAnsi="Book Antiqua" w:cs="Book Antiqua"/>
          <w:b/>
          <w:bCs/>
          <w:color w:val="000000"/>
        </w:rPr>
        <w:t xml:space="preserve">Accepted: </w:t>
      </w:r>
      <w:r w:rsidR="00EE4E3D">
        <w:rPr>
          <w:rFonts w:ascii="Book Antiqua" w:eastAsia="Book Antiqua" w:hAnsi="Book Antiqua" w:cs="Book Antiqua"/>
          <w:color w:val="000000"/>
        </w:rPr>
        <w:t>November 11, 2020</w:t>
      </w:r>
    </w:p>
    <w:p w14:paraId="2CBD069D" w14:textId="18437225" w:rsidR="00A77B3E" w:rsidRDefault="00EA33F8">
      <w:pPr>
        <w:spacing w:line="360" w:lineRule="auto"/>
        <w:jc w:val="both"/>
        <w:rPr>
          <w:lang w:eastAsia="zh-CN"/>
        </w:rPr>
      </w:pPr>
      <w:r>
        <w:rPr>
          <w:rFonts w:ascii="Book Antiqua" w:eastAsia="Book Antiqua" w:hAnsi="Book Antiqua" w:cs="Book Antiqua"/>
          <w:b/>
          <w:bCs/>
          <w:color w:val="000000"/>
        </w:rPr>
        <w:lastRenderedPageBreak/>
        <w:t xml:space="preserve">Published online: </w:t>
      </w:r>
      <w:r w:rsidR="00275078">
        <w:rPr>
          <w:rFonts w:ascii="Book Antiqua" w:hAnsi="Book Antiqua"/>
          <w:color w:val="000000"/>
          <w:shd w:val="clear" w:color="auto" w:fill="FFFFFF"/>
        </w:rPr>
        <w:t>December 24</w:t>
      </w:r>
      <w:r w:rsidR="00275078">
        <w:rPr>
          <w:rFonts w:ascii="Book Antiqua" w:hAnsi="Book Antiqua" w:hint="eastAsia"/>
          <w:color w:val="000000"/>
          <w:shd w:val="clear" w:color="auto" w:fill="FFFFFF"/>
          <w:lang w:eastAsia="zh-CN"/>
        </w:rPr>
        <w:t>, 2020</w:t>
      </w:r>
    </w:p>
    <w:p w14:paraId="6AB382A9"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3A86E22" w14:textId="77777777" w:rsidR="00A77B3E" w:rsidRDefault="00EA33F8">
      <w:pPr>
        <w:spacing w:line="360" w:lineRule="auto"/>
        <w:jc w:val="both"/>
      </w:pPr>
      <w:r>
        <w:rPr>
          <w:rFonts w:ascii="Book Antiqua" w:eastAsia="Book Antiqua" w:hAnsi="Book Antiqua" w:cs="Book Antiqua"/>
          <w:b/>
          <w:color w:val="000000"/>
        </w:rPr>
        <w:lastRenderedPageBreak/>
        <w:t>Abstract</w:t>
      </w:r>
    </w:p>
    <w:p w14:paraId="6F95AE91" w14:textId="576674D6" w:rsidR="00A77B3E" w:rsidRDefault="00EA33F8">
      <w:pPr>
        <w:spacing w:line="360" w:lineRule="auto"/>
        <w:jc w:val="both"/>
      </w:pPr>
      <w:r>
        <w:rPr>
          <w:rFonts w:ascii="Book Antiqua" w:eastAsia="Book Antiqua" w:hAnsi="Book Antiqua" w:cs="Book Antiqua"/>
          <w:color w:val="000000"/>
        </w:rPr>
        <w:t xml:space="preserve">Metastatic </w:t>
      </w:r>
      <w:proofErr w:type="spellStart"/>
      <w:r>
        <w:rPr>
          <w:rFonts w:ascii="Book Antiqua" w:eastAsia="Book Antiqua" w:hAnsi="Book Antiqua" w:cs="Book Antiqua"/>
          <w:color w:val="000000"/>
        </w:rPr>
        <w:t>urothelial</w:t>
      </w:r>
      <w:proofErr w:type="spellEnd"/>
      <w:r>
        <w:rPr>
          <w:rFonts w:ascii="Book Antiqua" w:eastAsia="Book Antiqua" w:hAnsi="Book Antiqua" w:cs="Book Antiqua"/>
          <w:color w:val="000000"/>
        </w:rPr>
        <w:t xml:space="preserve"> 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is an incurable and aggressive disease. </w:t>
      </w:r>
      <w:r w:rsidR="0000688E">
        <w:rPr>
          <w:rFonts w:ascii="Book Antiqua" w:eastAsia="Book Antiqua" w:hAnsi="Book Antiqua" w:cs="Book Antiqua"/>
          <w:color w:val="000000"/>
        </w:rPr>
        <w:t>In the past</w:t>
      </w:r>
      <w:r>
        <w:rPr>
          <w:rFonts w:ascii="Book Antiqua" w:eastAsia="Book Antiqua" w:hAnsi="Book Antiqua" w:cs="Book Antiqua"/>
          <w:color w:val="000000"/>
        </w:rPr>
        <w:t xml:space="preserve"> decades </w:t>
      </w:r>
      <w:r w:rsidR="0000688E">
        <w:rPr>
          <w:rFonts w:ascii="Book Antiqua" w:eastAsia="Book Antiqua" w:hAnsi="Book Antiqua" w:cs="Book Antiqua"/>
          <w:color w:val="000000"/>
        </w:rPr>
        <w:t>there</w:t>
      </w:r>
      <w:r>
        <w:rPr>
          <w:rFonts w:ascii="Book Antiqua" w:eastAsia="Book Antiqua" w:hAnsi="Book Antiqua" w:cs="Book Antiqua"/>
          <w:color w:val="000000"/>
        </w:rPr>
        <w:t xml:space="preserve"> have </w:t>
      </w:r>
      <w:r w:rsidR="0000688E">
        <w:rPr>
          <w:rFonts w:ascii="Book Antiqua" w:eastAsia="Book Antiqua" w:hAnsi="Book Antiqua" w:cs="Book Antiqua"/>
          <w:color w:val="000000"/>
        </w:rPr>
        <w:t>been</w:t>
      </w:r>
      <w:r>
        <w:rPr>
          <w:rFonts w:ascii="Book Antiqua" w:eastAsia="Book Antiqua" w:hAnsi="Book Antiqua" w:cs="Book Antiqua"/>
          <w:color w:val="000000"/>
        </w:rPr>
        <w:t xml:space="preserve"> few effective treatment options that </w:t>
      </w:r>
      <w:r w:rsidR="0000688E">
        <w:rPr>
          <w:rFonts w:ascii="Book Antiqua" w:eastAsia="Book Antiqua" w:hAnsi="Book Antiqua" w:cs="Book Antiqua"/>
          <w:color w:val="000000"/>
        </w:rPr>
        <w:t xml:space="preserve">have </w:t>
      </w:r>
      <w:r>
        <w:rPr>
          <w:rFonts w:ascii="Book Antiqua" w:eastAsia="Book Antiqua" w:hAnsi="Book Antiqua" w:cs="Book Antiqua"/>
          <w:color w:val="000000"/>
        </w:rPr>
        <w:t>impact</w:t>
      </w:r>
      <w:r w:rsidR="0000688E">
        <w:rPr>
          <w:rFonts w:ascii="Book Antiqua" w:eastAsia="Book Antiqua" w:hAnsi="Book Antiqua" w:cs="Book Antiqua"/>
          <w:color w:val="000000"/>
        </w:rPr>
        <w:t>ed</w:t>
      </w:r>
      <w:r>
        <w:rPr>
          <w:rFonts w:ascii="Book Antiqua" w:eastAsia="Book Antiqua" w:hAnsi="Book Antiqua" w:cs="Book Antiqua"/>
          <w:color w:val="000000"/>
        </w:rPr>
        <w:t xml:space="preserve"> the prognosis of </w:t>
      </w:r>
      <w:proofErr w:type="spellStart"/>
      <w:r w:rsidR="0028072A">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patients. However, in the last </w:t>
      </w:r>
      <w:r w:rsidR="0000688E">
        <w:rPr>
          <w:rFonts w:ascii="Book Antiqua" w:eastAsia="Book Antiqua" w:hAnsi="Book Antiqua" w:cs="Book Antiqua"/>
          <w:color w:val="000000"/>
        </w:rPr>
        <w:t xml:space="preserve">few </w:t>
      </w:r>
      <w:r>
        <w:rPr>
          <w:rFonts w:ascii="Book Antiqua" w:eastAsia="Book Antiqua" w:hAnsi="Book Antiqua" w:cs="Book Antiqua"/>
          <w:color w:val="000000"/>
        </w:rPr>
        <w:t>years, several drugs have emerged as new treatment choices that are changing the therap</w:t>
      </w:r>
      <w:r w:rsidR="00957742">
        <w:rPr>
          <w:rFonts w:ascii="Book Antiqua" w:eastAsia="Book Antiqua" w:hAnsi="Book Antiqua" w:cs="Book Antiqua"/>
          <w:color w:val="000000"/>
        </w:rPr>
        <w:t>eutic</w:t>
      </w:r>
      <w:r>
        <w:rPr>
          <w:rFonts w:ascii="Book Antiqua" w:eastAsia="Book Antiqua" w:hAnsi="Book Antiqua" w:cs="Book Antiqua"/>
          <w:color w:val="000000"/>
        </w:rPr>
        <w:t xml:space="preserve"> landscape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Immune checkpoint inhibitors (ICI</w:t>
      </w:r>
      <w:r w:rsidR="001E6CB4">
        <w:rPr>
          <w:rFonts w:ascii="Book Antiqua" w:eastAsia="Book Antiqua" w:hAnsi="Book Antiqua" w:cs="Book Antiqua"/>
          <w:color w:val="000000"/>
        </w:rPr>
        <w:t>s</w:t>
      </w:r>
      <w:r>
        <w:rPr>
          <w:rFonts w:ascii="Book Antiqua" w:eastAsia="Book Antiqua" w:hAnsi="Book Antiqua" w:cs="Book Antiqua"/>
          <w:color w:val="000000"/>
        </w:rPr>
        <w:t xml:space="preserve">) and targeted agents are useful </w:t>
      </w:r>
      <w:r w:rsidR="0000688E">
        <w:rPr>
          <w:rFonts w:ascii="Book Antiqua" w:eastAsia="Book Antiqua" w:hAnsi="Book Antiqua" w:cs="Book Antiqua"/>
          <w:color w:val="000000"/>
        </w:rPr>
        <w:t xml:space="preserve">treatment </w:t>
      </w:r>
      <w:r>
        <w:rPr>
          <w:rFonts w:ascii="Book Antiqua" w:eastAsia="Book Antiqua" w:hAnsi="Book Antiqua" w:cs="Book Antiqua"/>
          <w:color w:val="000000"/>
        </w:rPr>
        <w:t xml:space="preserve">strategies that have been incorporated into our clinical practice. Nevertheless, cisplatin-based chemotherapy is still the standard of care in </w:t>
      </w:r>
      <w:r w:rsidR="0000688E">
        <w:rPr>
          <w:rFonts w:ascii="Book Antiqua" w:eastAsia="Book Antiqua" w:hAnsi="Book Antiqua" w:cs="Book Antiqua"/>
          <w:color w:val="000000"/>
        </w:rPr>
        <w:t xml:space="preserve">the </w:t>
      </w:r>
      <w:r>
        <w:rPr>
          <w:rFonts w:ascii="Book Antiqua" w:eastAsia="Book Antiqua" w:hAnsi="Book Antiqua" w:cs="Book Antiqua"/>
          <w:color w:val="000000"/>
        </w:rPr>
        <w:t>first</w:t>
      </w:r>
      <w:r w:rsidR="00957742">
        <w:rPr>
          <w:rFonts w:ascii="Book Antiqua" w:eastAsia="Book Antiqua" w:hAnsi="Book Antiqua" w:cs="Book Antiqua"/>
          <w:color w:val="000000"/>
        </w:rPr>
        <w:t>-</w:t>
      </w:r>
      <w:r>
        <w:rPr>
          <w:rFonts w:ascii="Book Antiqua" w:eastAsia="Book Antiqua" w:hAnsi="Book Antiqua" w:cs="Book Antiqua"/>
          <w:color w:val="000000"/>
        </w:rPr>
        <w:t xml:space="preserve">line of metastatic disease. The results of </w:t>
      </w:r>
      <w:r w:rsidR="0000688E">
        <w:rPr>
          <w:rFonts w:ascii="Book Antiqua" w:eastAsia="Book Antiqua" w:hAnsi="Book Antiqua" w:cs="Book Antiqua"/>
          <w:color w:val="000000"/>
        </w:rPr>
        <w:t xml:space="preserve">the </w:t>
      </w:r>
      <w:r>
        <w:rPr>
          <w:rFonts w:ascii="Book Antiqua" w:eastAsia="Book Antiqua" w:hAnsi="Book Antiqua" w:cs="Book Antiqua"/>
          <w:color w:val="000000"/>
        </w:rPr>
        <w:t xml:space="preserve">JAVELIN Bladder 100 phase 3 trial were presented at ASCO 2020, </w:t>
      </w:r>
      <w:r w:rsidR="0000688E">
        <w:rPr>
          <w:rFonts w:ascii="Book Antiqua" w:eastAsia="Book Antiqua" w:hAnsi="Book Antiqua" w:cs="Book Antiqua"/>
          <w:color w:val="000000"/>
        </w:rPr>
        <w:t xml:space="preserve">this trial </w:t>
      </w:r>
      <w:r>
        <w:rPr>
          <w:rFonts w:ascii="Book Antiqua" w:eastAsia="Book Antiqua" w:hAnsi="Book Antiqua" w:cs="Book Antiqua"/>
          <w:color w:val="000000"/>
        </w:rPr>
        <w:t>evaluat</w:t>
      </w:r>
      <w:r w:rsidR="0000688E">
        <w:rPr>
          <w:rFonts w:ascii="Book Antiqua" w:eastAsia="Book Antiqua" w:hAnsi="Book Antiqua" w:cs="Book Antiqua"/>
          <w:color w:val="000000"/>
        </w:rPr>
        <w:t>ed</w:t>
      </w:r>
      <w:r>
        <w:rPr>
          <w:rFonts w:ascii="Book Antiqua" w:eastAsia="Book Antiqua" w:hAnsi="Book Antiqua" w:cs="Book Antiqua"/>
          <w:color w:val="000000"/>
        </w:rPr>
        <w:t xml:space="preserve"> the role of avelumab, an ICI, as maintenance therapy in patients who ha</w:t>
      </w:r>
      <w:r w:rsidR="0000688E">
        <w:rPr>
          <w:rFonts w:ascii="Book Antiqua" w:eastAsia="Book Antiqua" w:hAnsi="Book Antiqua" w:cs="Book Antiqua"/>
          <w:color w:val="000000"/>
        </w:rPr>
        <w:t>d</w:t>
      </w:r>
      <w:r>
        <w:rPr>
          <w:rFonts w:ascii="Book Antiqua" w:eastAsia="Book Antiqua" w:hAnsi="Book Antiqua" w:cs="Book Antiqua"/>
          <w:color w:val="000000"/>
        </w:rPr>
        <w:t xml:space="preserve"> not progressed after first</w:t>
      </w:r>
      <w:r w:rsidR="00957742">
        <w:rPr>
          <w:rFonts w:ascii="Book Antiqua" w:eastAsia="Book Antiqua" w:hAnsi="Book Antiqua" w:cs="Book Antiqua"/>
          <w:color w:val="000000"/>
        </w:rPr>
        <w:t>-</w:t>
      </w:r>
      <w:r>
        <w:rPr>
          <w:rFonts w:ascii="Book Antiqua" w:eastAsia="Book Antiqua" w:hAnsi="Book Antiqua" w:cs="Book Antiqua"/>
          <w:color w:val="000000"/>
        </w:rPr>
        <w:t>line platinum-based chemotherapy. Th</w:t>
      </w:r>
      <w:r w:rsidR="0000688E">
        <w:rPr>
          <w:rFonts w:ascii="Book Antiqua" w:eastAsia="Book Antiqua" w:hAnsi="Book Antiqua" w:cs="Book Antiqua"/>
          <w:color w:val="000000"/>
        </w:rPr>
        <w:t>e</w:t>
      </w:r>
      <w:r>
        <w:rPr>
          <w:rFonts w:ascii="Book Antiqua" w:eastAsia="Book Antiqua" w:hAnsi="Book Antiqua" w:cs="Book Antiqua"/>
          <w:color w:val="000000"/>
        </w:rPr>
        <w:t xml:space="preserve"> trial met its primary endpoint demonstrating an overall survival benefit with avelumab maintenance. In addition, new drugs and combinations are being evaluated to improve the outcomes of second and subsequent lines. </w:t>
      </w:r>
      <w:r w:rsidR="0028072A">
        <w:rPr>
          <w:rFonts w:ascii="Book Antiqua" w:hAnsi="Book Antiqua"/>
          <w:lang w:val="en-GB"/>
        </w:rPr>
        <w:t>F</w:t>
      </w:r>
      <w:r w:rsidR="0028072A" w:rsidRPr="0055295D">
        <w:rPr>
          <w:rFonts w:ascii="Book Antiqua" w:hAnsi="Book Antiqua"/>
          <w:lang w:val="en-GB"/>
        </w:rPr>
        <w:t>ibroblast growth factor receptor</w:t>
      </w:r>
      <w:r w:rsidR="0028072A" w:rsidRPr="0028072A">
        <w:rPr>
          <w:rFonts w:ascii="Book Antiqua" w:eastAsia="Book Antiqua" w:hAnsi="Book Antiqua" w:cs="Book Antiqua"/>
          <w:color w:val="000000"/>
        </w:rPr>
        <w:t xml:space="preserve"> </w:t>
      </w:r>
      <w:r w:rsidR="0028072A">
        <w:rPr>
          <w:rFonts w:ascii="Book Antiqua" w:eastAsia="Book Antiqua" w:hAnsi="Book Antiqua" w:cs="Book Antiqua"/>
          <w:color w:val="000000"/>
        </w:rPr>
        <w:t>(</w:t>
      </w:r>
      <w:r w:rsidRPr="0028072A">
        <w:rPr>
          <w:rFonts w:ascii="Book Antiqua" w:eastAsia="Book Antiqua" w:hAnsi="Book Antiqua" w:cs="Book Antiqua"/>
          <w:color w:val="000000"/>
        </w:rPr>
        <w:t>FGFR</w:t>
      </w:r>
      <w:r w:rsidR="0028072A">
        <w:rPr>
          <w:rFonts w:ascii="Book Antiqua" w:eastAsia="Book Antiqua" w:hAnsi="Book Antiqua" w:cs="Book Antiqua"/>
          <w:color w:val="000000"/>
        </w:rPr>
        <w:t xml:space="preserve">) </w:t>
      </w:r>
      <w:r>
        <w:rPr>
          <w:rFonts w:ascii="Book Antiqua" w:eastAsia="Book Antiqua" w:hAnsi="Book Antiqua" w:cs="Book Antiqua"/>
          <w:color w:val="000000"/>
        </w:rPr>
        <w:t>inhibitors and immunotherapy combinations were some of the strategies presented at ASCO 2020 that have shown promising results. Finally, the development of predictive biomarkers that help us in the decision-making process will be one of the most important challenges in the next years.</w:t>
      </w:r>
    </w:p>
    <w:p w14:paraId="5C56F4EC" w14:textId="77777777" w:rsidR="00A77B3E" w:rsidRDefault="00A77B3E">
      <w:pPr>
        <w:spacing w:line="360" w:lineRule="auto"/>
        <w:jc w:val="both"/>
      </w:pPr>
    </w:p>
    <w:p w14:paraId="0EFEF281" w14:textId="3020870B" w:rsidR="00A77B3E" w:rsidRDefault="00EA33F8">
      <w:pPr>
        <w:spacing w:line="360" w:lineRule="auto"/>
        <w:jc w:val="both"/>
      </w:pPr>
      <w:r>
        <w:rPr>
          <w:rFonts w:ascii="Book Antiqua" w:eastAsia="Book Antiqua" w:hAnsi="Book Antiqua" w:cs="Book Antiqua"/>
          <w:b/>
          <w:bCs/>
          <w:color w:val="000000"/>
        </w:rPr>
        <w:t xml:space="preserve">Key Words: </w:t>
      </w:r>
      <w:r w:rsidR="001E6CB4">
        <w:rPr>
          <w:rFonts w:ascii="Book Antiqua" w:eastAsia="Book Antiqua" w:hAnsi="Book Antiqua" w:cs="Book Antiqua"/>
          <w:color w:val="000000"/>
        </w:rPr>
        <w:t>M</w:t>
      </w:r>
      <w:r>
        <w:rPr>
          <w:rFonts w:ascii="Book Antiqua" w:eastAsia="Book Antiqua" w:hAnsi="Book Antiqua" w:cs="Book Antiqua"/>
          <w:color w:val="000000"/>
        </w:rPr>
        <w:t xml:space="preserve">etastatic urothelial carcinoma; </w:t>
      </w:r>
      <w:r w:rsidR="001E6CB4">
        <w:rPr>
          <w:rFonts w:ascii="Book Antiqua" w:eastAsia="Book Antiqua" w:hAnsi="Book Antiqua" w:cs="Book Antiqua"/>
          <w:color w:val="000000"/>
        </w:rPr>
        <w:t>I</w:t>
      </w:r>
      <w:r>
        <w:rPr>
          <w:rFonts w:ascii="Book Antiqua" w:eastAsia="Book Antiqua" w:hAnsi="Book Antiqua" w:cs="Book Antiqua"/>
          <w:color w:val="000000"/>
        </w:rPr>
        <w:t xml:space="preserve">mmune checkpoint inhibitors; </w:t>
      </w:r>
      <w:r w:rsidR="001E6CB4">
        <w:rPr>
          <w:rFonts w:ascii="Book Antiqua" w:eastAsia="Book Antiqua" w:hAnsi="Book Antiqua" w:cs="Book Antiqua"/>
          <w:color w:val="000000"/>
        </w:rPr>
        <w:t>A</w:t>
      </w:r>
      <w:r>
        <w:rPr>
          <w:rFonts w:ascii="Book Antiqua" w:eastAsia="Book Antiqua" w:hAnsi="Book Antiqua" w:cs="Book Antiqua"/>
          <w:color w:val="000000"/>
        </w:rPr>
        <w:t>velumab; JAVELIN Bladder 100; FGFR inhibitors; ASCO 2020</w:t>
      </w:r>
    </w:p>
    <w:p w14:paraId="65AA0080" w14:textId="77777777" w:rsidR="00A77B3E" w:rsidRDefault="00A77B3E">
      <w:pPr>
        <w:spacing w:line="360" w:lineRule="auto"/>
        <w:jc w:val="both"/>
      </w:pPr>
    </w:p>
    <w:p w14:paraId="0C59AC0D" w14:textId="66797D26" w:rsidR="00C53364" w:rsidRPr="00C53364" w:rsidRDefault="00C53364">
      <w:pPr>
        <w:spacing w:line="360" w:lineRule="auto"/>
        <w:jc w:val="both"/>
        <w:rPr>
          <w:rFonts w:ascii="Book Antiqua" w:hAnsi="Book Antiqua" w:cs="Book Antiqua" w:hint="eastAsia"/>
          <w:color w:val="000000"/>
          <w:lang w:eastAsia="zh-CN"/>
        </w:rPr>
      </w:pPr>
      <w:r w:rsidRPr="00C5336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EA33F8">
        <w:rPr>
          <w:rFonts w:ascii="Book Antiqua" w:eastAsia="Book Antiqua" w:hAnsi="Book Antiqua" w:cs="Book Antiqua"/>
          <w:color w:val="000000"/>
        </w:rPr>
        <w:t>Gajate</w:t>
      </w:r>
      <w:proofErr w:type="spellEnd"/>
      <w:r w:rsidR="00EA33F8">
        <w:rPr>
          <w:rFonts w:ascii="Book Antiqua" w:eastAsia="Book Antiqua" w:hAnsi="Book Antiqua" w:cs="Book Antiqua"/>
          <w:color w:val="000000"/>
        </w:rPr>
        <w:t xml:space="preserve"> P, Torres-Jiménez J, </w:t>
      </w:r>
      <w:proofErr w:type="spellStart"/>
      <w:r w:rsidR="00EA33F8">
        <w:rPr>
          <w:rFonts w:ascii="Book Antiqua" w:eastAsia="Book Antiqua" w:hAnsi="Book Antiqua" w:cs="Book Antiqua"/>
          <w:color w:val="000000"/>
        </w:rPr>
        <w:t>Bueno</w:t>
      </w:r>
      <w:proofErr w:type="spellEnd"/>
      <w:r w:rsidR="00EA33F8">
        <w:rPr>
          <w:rFonts w:ascii="Book Antiqua" w:eastAsia="Book Antiqua" w:hAnsi="Book Antiqua" w:cs="Book Antiqua"/>
          <w:color w:val="000000"/>
        </w:rPr>
        <w:t xml:space="preserve">-Bravo C, </w:t>
      </w:r>
      <w:proofErr w:type="spellStart"/>
      <w:r w:rsidR="00EA33F8">
        <w:rPr>
          <w:rFonts w:ascii="Book Antiqua" w:eastAsia="Book Antiqua" w:hAnsi="Book Antiqua" w:cs="Book Antiqua"/>
          <w:color w:val="000000"/>
        </w:rPr>
        <w:t>Couñago</w:t>
      </w:r>
      <w:proofErr w:type="spellEnd"/>
      <w:r w:rsidR="00EA33F8">
        <w:rPr>
          <w:rFonts w:ascii="Book Antiqua" w:eastAsia="Book Antiqua" w:hAnsi="Book Antiqua" w:cs="Book Antiqua"/>
          <w:color w:val="000000"/>
        </w:rPr>
        <w:t xml:space="preserve"> F. Practice change in </w:t>
      </w:r>
      <w:r w:rsidR="00084EE7">
        <w:rPr>
          <w:rFonts w:ascii="Book Antiqua" w:eastAsia="Book Antiqua" w:hAnsi="Book Antiqua" w:cs="Book Antiqua"/>
          <w:color w:val="000000"/>
        </w:rPr>
        <w:t xml:space="preserve">the </w:t>
      </w:r>
      <w:r w:rsidR="00EA33F8">
        <w:rPr>
          <w:rFonts w:ascii="Book Antiqua" w:eastAsia="Book Antiqua" w:hAnsi="Book Antiqua" w:cs="Book Antiqua"/>
          <w:color w:val="000000"/>
        </w:rPr>
        <w:t xml:space="preserve">management of metastatic urothelial carcinoma after ASCO 2020. </w:t>
      </w:r>
      <w:r w:rsidR="00EA33F8">
        <w:rPr>
          <w:rFonts w:ascii="Book Antiqua" w:eastAsia="Book Antiqua" w:hAnsi="Book Antiqua" w:cs="Book Antiqua"/>
          <w:i/>
          <w:iCs/>
          <w:color w:val="000000"/>
        </w:rPr>
        <w:t xml:space="preserve">World J Clin </w:t>
      </w:r>
      <w:proofErr w:type="spellStart"/>
      <w:r w:rsidR="00EA33F8">
        <w:rPr>
          <w:rFonts w:ascii="Book Antiqua" w:eastAsia="Book Antiqua" w:hAnsi="Book Antiqua" w:cs="Book Antiqua"/>
          <w:i/>
          <w:iCs/>
          <w:color w:val="000000"/>
        </w:rPr>
        <w:t>Oncol</w:t>
      </w:r>
      <w:proofErr w:type="spellEnd"/>
      <w:r w:rsidR="00EA33F8">
        <w:rPr>
          <w:rFonts w:ascii="Book Antiqua" w:eastAsia="Book Antiqua" w:hAnsi="Book Antiqua" w:cs="Book Antiqua"/>
          <w:color w:val="000000"/>
        </w:rPr>
        <w:t xml:space="preserve"> 2020; </w:t>
      </w:r>
      <w:r w:rsidR="00275078" w:rsidRPr="00275078">
        <w:rPr>
          <w:rFonts w:ascii="Book Antiqua" w:eastAsia="Book Antiqua" w:hAnsi="Book Antiqua" w:cs="Book Antiqua"/>
          <w:color w:val="000000"/>
        </w:rPr>
        <w:t>11(</w:t>
      </w:r>
      <w:r w:rsidR="00275078">
        <w:rPr>
          <w:rFonts w:ascii="Book Antiqua" w:hAnsi="Book Antiqua" w:cs="Book Antiqua" w:hint="eastAsia"/>
          <w:color w:val="000000"/>
          <w:lang w:eastAsia="zh-CN"/>
        </w:rPr>
        <w:t>12</w:t>
      </w:r>
      <w:r w:rsidR="00275078" w:rsidRPr="00275078">
        <w:rPr>
          <w:rFonts w:ascii="Book Antiqua" w:eastAsia="Book Antiqua" w:hAnsi="Book Antiqua" w:cs="Book Antiqua"/>
          <w:color w:val="000000"/>
        </w:rPr>
        <w:t xml:space="preserve">): </w:t>
      </w:r>
      <w:r>
        <w:rPr>
          <w:rFonts w:ascii="Book Antiqua" w:hAnsi="Book Antiqua" w:cs="Book Antiqua" w:hint="eastAsia"/>
          <w:color w:val="000000"/>
          <w:lang w:eastAsia="zh-CN"/>
        </w:rPr>
        <w:t>976</w:t>
      </w:r>
      <w:r w:rsidR="00275078" w:rsidRPr="00275078">
        <w:rPr>
          <w:rFonts w:ascii="Book Antiqua" w:eastAsia="Book Antiqua" w:hAnsi="Book Antiqua" w:cs="Book Antiqua"/>
          <w:color w:val="000000"/>
        </w:rPr>
        <w:t>-</w:t>
      </w:r>
      <w:r>
        <w:rPr>
          <w:rFonts w:ascii="Book Antiqua" w:hAnsi="Book Antiqua" w:cs="Book Antiqua" w:hint="eastAsia"/>
          <w:color w:val="000000"/>
          <w:lang w:eastAsia="zh-CN"/>
        </w:rPr>
        <w:t>982</w:t>
      </w:r>
    </w:p>
    <w:p w14:paraId="576EA4B0" w14:textId="325CEFBA" w:rsidR="00C53364" w:rsidRDefault="00275078">
      <w:pPr>
        <w:spacing w:line="360" w:lineRule="auto"/>
        <w:jc w:val="both"/>
        <w:rPr>
          <w:rFonts w:ascii="Book Antiqua" w:hAnsi="Book Antiqua" w:cs="Book Antiqua" w:hint="eastAsia"/>
          <w:color w:val="000000"/>
          <w:lang w:eastAsia="zh-CN"/>
        </w:rPr>
      </w:pPr>
      <w:r w:rsidRPr="00C53364">
        <w:rPr>
          <w:rFonts w:ascii="Book Antiqua" w:hAnsi="Book Antiqua" w:cs="Book Antiqua"/>
          <w:b/>
          <w:color w:val="000000"/>
          <w:lang w:eastAsia="zh-CN"/>
        </w:rPr>
        <w:t xml:space="preserve">URL: </w:t>
      </w:r>
      <w:r w:rsidR="00C53364" w:rsidRPr="00C53364">
        <w:rPr>
          <w:rFonts w:ascii="Book Antiqua" w:eastAsia="Book Antiqua" w:hAnsi="Book Antiqua" w:cs="Book Antiqua"/>
          <w:color w:val="000000"/>
        </w:rPr>
        <w:t>https://www.wjgnet.com/2218-4333/full/v11/i</w:t>
      </w:r>
      <w:r w:rsidR="00C53364" w:rsidRPr="00C53364">
        <w:rPr>
          <w:rFonts w:ascii="Book Antiqua" w:hAnsi="Book Antiqua" w:cs="Book Antiqua" w:hint="eastAsia"/>
          <w:color w:val="000000"/>
          <w:lang w:eastAsia="zh-CN"/>
        </w:rPr>
        <w:t>12</w:t>
      </w:r>
      <w:r w:rsidR="00C53364" w:rsidRPr="00C53364">
        <w:rPr>
          <w:rFonts w:ascii="Book Antiqua" w:eastAsia="Book Antiqua" w:hAnsi="Book Antiqua" w:cs="Book Antiqua"/>
          <w:color w:val="000000"/>
        </w:rPr>
        <w:t>/</w:t>
      </w:r>
      <w:r w:rsidR="00C53364">
        <w:rPr>
          <w:rFonts w:ascii="Book Antiqua" w:hAnsi="Book Antiqua" w:cs="Book Antiqua" w:hint="eastAsia"/>
          <w:color w:val="000000"/>
          <w:lang w:eastAsia="zh-CN"/>
        </w:rPr>
        <w:t>976</w:t>
      </w:r>
      <w:r w:rsidR="00C53364" w:rsidRPr="00C53364">
        <w:rPr>
          <w:rFonts w:ascii="Book Antiqua" w:eastAsia="Book Antiqua" w:hAnsi="Book Antiqua" w:cs="Book Antiqua"/>
          <w:color w:val="000000"/>
        </w:rPr>
        <w:t>.htm</w:t>
      </w:r>
      <w:r w:rsidRPr="00275078">
        <w:rPr>
          <w:rFonts w:ascii="Book Antiqua" w:eastAsia="Book Antiqua" w:hAnsi="Book Antiqua" w:cs="Book Antiqua"/>
          <w:color w:val="000000"/>
        </w:rPr>
        <w:t xml:space="preserve"> </w:t>
      </w:r>
    </w:p>
    <w:p w14:paraId="45E20CD6" w14:textId="51121A05" w:rsidR="00A77B3E" w:rsidRPr="00C53364" w:rsidRDefault="00275078">
      <w:pPr>
        <w:spacing w:line="360" w:lineRule="auto"/>
        <w:jc w:val="both"/>
        <w:rPr>
          <w:rFonts w:hint="eastAsia"/>
          <w:lang w:eastAsia="zh-CN"/>
        </w:rPr>
      </w:pPr>
      <w:r w:rsidRPr="00C53364">
        <w:rPr>
          <w:rFonts w:ascii="Book Antiqua" w:hAnsi="Book Antiqua" w:cs="Book Antiqua"/>
          <w:b/>
          <w:color w:val="000000"/>
          <w:lang w:eastAsia="zh-CN"/>
        </w:rPr>
        <w:t>DOI:</w:t>
      </w:r>
      <w:r w:rsidRPr="00275078">
        <w:rPr>
          <w:rFonts w:ascii="Book Antiqua" w:eastAsia="Book Antiqua" w:hAnsi="Book Antiqua" w:cs="Book Antiqua"/>
          <w:color w:val="000000"/>
        </w:rPr>
        <w:t xml:space="preserve"> </w:t>
      </w:r>
      <w:bookmarkStart w:id="0" w:name="_GoBack"/>
      <w:r w:rsidRPr="00275078">
        <w:rPr>
          <w:rFonts w:ascii="Book Antiqua" w:eastAsia="Book Antiqua" w:hAnsi="Book Antiqua" w:cs="Book Antiqua"/>
          <w:color w:val="000000"/>
        </w:rPr>
        <w:t>https://dx.doi.org/10.5306/wjco.v11.i</w:t>
      </w:r>
      <w:r>
        <w:rPr>
          <w:rFonts w:ascii="Book Antiqua" w:hAnsi="Book Antiqua" w:cs="Book Antiqua" w:hint="eastAsia"/>
          <w:color w:val="000000"/>
          <w:lang w:eastAsia="zh-CN"/>
        </w:rPr>
        <w:t>12</w:t>
      </w:r>
      <w:r w:rsidRPr="00275078">
        <w:rPr>
          <w:rFonts w:ascii="Book Antiqua" w:eastAsia="Book Antiqua" w:hAnsi="Book Antiqua" w:cs="Book Antiqua"/>
          <w:color w:val="000000"/>
        </w:rPr>
        <w:t>.</w:t>
      </w:r>
      <w:r w:rsidR="00C53364">
        <w:rPr>
          <w:rFonts w:ascii="Book Antiqua" w:hAnsi="Book Antiqua" w:cs="Book Antiqua" w:hint="eastAsia"/>
          <w:color w:val="000000"/>
          <w:lang w:eastAsia="zh-CN"/>
        </w:rPr>
        <w:t>976</w:t>
      </w:r>
      <w:bookmarkEnd w:id="0"/>
    </w:p>
    <w:p w14:paraId="0C133B85" w14:textId="77777777" w:rsidR="00A77B3E" w:rsidRDefault="00A77B3E">
      <w:pPr>
        <w:spacing w:line="360" w:lineRule="auto"/>
        <w:jc w:val="both"/>
      </w:pPr>
    </w:p>
    <w:p w14:paraId="58DF259F" w14:textId="6BF75D40" w:rsidR="001E6CB4" w:rsidRDefault="00EA33F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landscape of urothelial carcinoma treatment has changed significantly in the last 5 years. Several drugs with different mechanism</w:t>
      </w:r>
      <w:r w:rsidR="00084EE7">
        <w:rPr>
          <w:rFonts w:ascii="Book Antiqua" w:eastAsia="Book Antiqua" w:hAnsi="Book Antiqua" w:cs="Book Antiqua"/>
          <w:color w:val="000000"/>
        </w:rPr>
        <w:t>s</w:t>
      </w:r>
      <w:r>
        <w:rPr>
          <w:rFonts w:ascii="Book Antiqua" w:eastAsia="Book Antiqua" w:hAnsi="Book Antiqua" w:cs="Book Antiqua"/>
          <w:color w:val="000000"/>
        </w:rPr>
        <w:t xml:space="preserve"> of action have emerged as new therapeutic opportunities. At ASCO 2020</w:t>
      </w:r>
      <w:r w:rsidR="00084EE7">
        <w:rPr>
          <w:rFonts w:ascii="Book Antiqua" w:eastAsia="Book Antiqua" w:hAnsi="Book Antiqua" w:cs="Book Antiqua"/>
          <w:color w:val="000000"/>
        </w:rPr>
        <w:t>,</w:t>
      </w:r>
      <w:r>
        <w:rPr>
          <w:rFonts w:ascii="Book Antiqua" w:eastAsia="Book Antiqua" w:hAnsi="Book Antiqua" w:cs="Book Antiqua"/>
          <w:color w:val="000000"/>
        </w:rPr>
        <w:t xml:space="preserve"> avelumab, an </w:t>
      </w:r>
      <w:r w:rsidR="001E6CB4">
        <w:rPr>
          <w:rFonts w:ascii="Book Antiqua" w:eastAsia="Book Antiqua" w:hAnsi="Book Antiqua" w:cs="Book Antiqua"/>
          <w:color w:val="000000"/>
        </w:rPr>
        <w:t>immune checkpoint inhibitor</w:t>
      </w:r>
      <w:r>
        <w:rPr>
          <w:rFonts w:ascii="Book Antiqua" w:eastAsia="Book Antiqua" w:hAnsi="Book Antiqua" w:cs="Book Antiqua"/>
          <w:color w:val="000000"/>
        </w:rPr>
        <w:t xml:space="preserve">, was evaluated as maintenance therapy in the JAVELIN Bladder 100 trial: </w:t>
      </w:r>
      <w:r w:rsidR="001E6CB4">
        <w:rPr>
          <w:rFonts w:ascii="Book Antiqua" w:eastAsia="Book Antiqua" w:hAnsi="Book Antiqua" w:cs="Book Antiqua"/>
          <w:color w:val="000000"/>
        </w:rPr>
        <w:t>T</w:t>
      </w:r>
      <w:r>
        <w:rPr>
          <w:rFonts w:ascii="Book Antiqua" w:eastAsia="Book Antiqua" w:hAnsi="Book Antiqua" w:cs="Book Antiqua"/>
          <w:color w:val="000000"/>
        </w:rPr>
        <w:t xml:space="preserve">his was the first clinical trial that improved overall survival in </w:t>
      </w:r>
      <w:r w:rsidR="00084EE7">
        <w:rPr>
          <w:rFonts w:ascii="Book Antiqua" w:eastAsia="Book Antiqua" w:hAnsi="Book Antiqua" w:cs="Book Antiqua"/>
          <w:color w:val="000000"/>
        </w:rPr>
        <w:t>the</w:t>
      </w:r>
      <w:r>
        <w:rPr>
          <w:rFonts w:ascii="Book Antiqua" w:eastAsia="Book Antiqua" w:hAnsi="Book Antiqua" w:cs="Book Antiqua"/>
          <w:color w:val="000000"/>
        </w:rPr>
        <w:t xml:space="preserve"> metastatic setting since the 80s. Moreover, new drugs and combination strategies have shown </w:t>
      </w:r>
      <w:r w:rsidR="00084EE7">
        <w:rPr>
          <w:rFonts w:ascii="Book Antiqua" w:eastAsia="Book Antiqua" w:hAnsi="Book Antiqua" w:cs="Book Antiqua"/>
          <w:color w:val="000000"/>
        </w:rPr>
        <w:t>their</w:t>
      </w:r>
      <w:r>
        <w:rPr>
          <w:rFonts w:ascii="Book Antiqua" w:eastAsia="Book Antiqua" w:hAnsi="Book Antiqua" w:cs="Book Antiqua"/>
          <w:color w:val="000000"/>
        </w:rPr>
        <w:t xml:space="preserve"> potential role as new therapeutic alternatives to increase survival in this </w:t>
      </w:r>
      <w:r w:rsidR="00084EE7">
        <w:rPr>
          <w:rFonts w:ascii="Book Antiqua" w:eastAsia="Book Antiqua" w:hAnsi="Book Antiqua" w:cs="Book Antiqua"/>
          <w:color w:val="000000"/>
        </w:rPr>
        <w:t xml:space="preserve">disease which has a </w:t>
      </w:r>
      <w:r>
        <w:rPr>
          <w:rFonts w:ascii="Book Antiqua" w:eastAsia="Book Antiqua" w:hAnsi="Book Antiqua" w:cs="Book Antiqua"/>
          <w:color w:val="000000"/>
        </w:rPr>
        <w:t>poor prognosis.</w:t>
      </w:r>
    </w:p>
    <w:p w14:paraId="0B4A98DE" w14:textId="3B60089B" w:rsidR="00A77B3E" w:rsidRDefault="001E6CB4">
      <w:pPr>
        <w:spacing w:line="360" w:lineRule="auto"/>
        <w:jc w:val="both"/>
      </w:pPr>
      <w:r>
        <w:rPr>
          <w:rFonts w:ascii="Book Antiqua" w:eastAsia="Book Antiqua" w:hAnsi="Book Antiqua" w:cs="Book Antiqua"/>
          <w:color w:val="000000"/>
        </w:rPr>
        <w:br w:type="page"/>
      </w:r>
      <w:r w:rsidR="00EA33F8">
        <w:rPr>
          <w:rFonts w:ascii="Book Antiqua" w:eastAsia="Book Antiqua" w:hAnsi="Book Antiqua" w:cs="Book Antiqua"/>
          <w:b/>
          <w:caps/>
          <w:color w:val="000000"/>
          <w:u w:val="single"/>
        </w:rPr>
        <w:lastRenderedPageBreak/>
        <w:t>INTRODUCTION</w:t>
      </w:r>
    </w:p>
    <w:p w14:paraId="083A3CEF" w14:textId="0BC14F99" w:rsidR="00A77B3E" w:rsidRDefault="00EA33F8">
      <w:pPr>
        <w:spacing w:line="360" w:lineRule="auto"/>
        <w:jc w:val="both"/>
      </w:pPr>
      <w:r>
        <w:rPr>
          <w:rFonts w:ascii="Book Antiqua" w:eastAsia="Book Antiqua" w:hAnsi="Book Antiqua" w:cs="Book Antiqua"/>
          <w:color w:val="000000"/>
        </w:rPr>
        <w:t>Bladder cancer is the 10th most common cancer worldwide with an estimated 550000 new cases and 200000 deaths in 2018</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Urothelial carcinoma is the predominant histologic type, with approximately 90</w:t>
      </w:r>
      <w:r w:rsidR="00084EE7">
        <w:rPr>
          <w:rFonts w:ascii="Book Antiqua" w:eastAsia="Book Antiqua" w:hAnsi="Book Antiqua" w:cs="Book Antiqua"/>
          <w:color w:val="000000"/>
        </w:rPr>
        <w:t xml:space="preserve">% </w:t>
      </w:r>
      <w:r>
        <w:rPr>
          <w:rFonts w:ascii="Book Antiqua" w:eastAsia="Book Antiqua" w:hAnsi="Book Antiqua" w:cs="Book Antiqua"/>
          <w:color w:val="000000"/>
        </w:rPr>
        <w:t xml:space="preserve">of bladder cancers in </w:t>
      </w:r>
      <w:r w:rsidR="00084EE7">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5F0FBAE" w14:textId="0A651407" w:rsidR="00A77B3E" w:rsidRDefault="00EA33F8" w:rsidP="00F04B91">
      <w:pPr>
        <w:spacing w:line="360" w:lineRule="auto"/>
        <w:ind w:firstLineChars="100" w:firstLine="240"/>
        <w:jc w:val="both"/>
      </w:pPr>
      <w:r>
        <w:rPr>
          <w:rFonts w:ascii="Book Antiqua" w:eastAsia="Book Antiqua" w:hAnsi="Book Antiqua" w:cs="Book Antiqua"/>
          <w:color w:val="000000"/>
        </w:rPr>
        <w:t xml:space="preserve">Cisplatin–based chemotherapy </w:t>
      </w:r>
      <w:r w:rsidR="00084EE7">
        <w:rPr>
          <w:rFonts w:ascii="Book Antiqua" w:eastAsia="Book Antiqua" w:hAnsi="Book Antiqua" w:cs="Book Antiqua"/>
          <w:color w:val="000000"/>
        </w:rPr>
        <w:t>has been</w:t>
      </w:r>
      <w:r>
        <w:rPr>
          <w:rFonts w:ascii="Book Antiqua" w:eastAsia="Book Antiqua" w:hAnsi="Book Antiqua" w:cs="Book Antiqua"/>
          <w:color w:val="000000"/>
        </w:rPr>
        <w:t xml:space="preserve"> the standard of care first</w:t>
      </w:r>
      <w:r w:rsidR="00084EE7">
        <w:rPr>
          <w:rFonts w:ascii="Book Antiqua" w:eastAsia="Book Antiqua" w:hAnsi="Book Antiqua" w:cs="Book Antiqua"/>
          <w:color w:val="000000"/>
        </w:rPr>
        <w:t>-</w:t>
      </w:r>
      <w:r>
        <w:rPr>
          <w:rFonts w:ascii="Book Antiqua" w:eastAsia="Book Antiqua" w:hAnsi="Book Antiqua" w:cs="Book Antiqua"/>
          <w:color w:val="000000"/>
        </w:rPr>
        <w:t xml:space="preserve">line treatment for metastatic </w:t>
      </w:r>
      <w:proofErr w:type="spellStart"/>
      <w:r>
        <w:rPr>
          <w:rFonts w:ascii="Book Antiqua" w:eastAsia="Book Antiqua" w:hAnsi="Book Antiqua" w:cs="Book Antiqua"/>
          <w:color w:val="000000"/>
        </w:rPr>
        <w:t>urothelial</w:t>
      </w:r>
      <w:proofErr w:type="spellEnd"/>
      <w:r>
        <w:rPr>
          <w:rFonts w:ascii="Book Antiqua" w:eastAsia="Book Antiqua" w:hAnsi="Book Antiqua" w:cs="Book Antiqua"/>
          <w:color w:val="000000"/>
        </w:rPr>
        <w:t xml:space="preserve"> 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since 1980</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50% of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are ineligible for cisplatin treatment, and </w:t>
      </w:r>
      <w:r w:rsidR="00084EE7">
        <w:rPr>
          <w:rFonts w:ascii="Book Antiqua" w:eastAsia="Book Antiqua" w:hAnsi="Book Antiqua" w:cs="Book Antiqua"/>
          <w:color w:val="000000"/>
        </w:rPr>
        <w:t xml:space="preserve">a </w:t>
      </w:r>
      <w:r>
        <w:rPr>
          <w:rFonts w:ascii="Book Antiqua" w:eastAsia="Book Antiqua" w:hAnsi="Book Antiqua" w:cs="Book Antiqua"/>
          <w:color w:val="000000"/>
        </w:rPr>
        <w:t xml:space="preserve">carboplatin-based regimen is the standard chemotherapy </w:t>
      </w:r>
      <w:proofErr w:type="gramStart"/>
      <w:r>
        <w:rPr>
          <w:rFonts w:ascii="Book Antiqua" w:eastAsia="Book Antiqua" w:hAnsi="Book Antiqua" w:cs="Book Antiqua"/>
          <w:color w:val="000000"/>
        </w:rPr>
        <w:t>alternative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In addition, new drugs, such as immune checkpoint inhibitors (ICI</w:t>
      </w:r>
      <w:r w:rsidR="00F04B91">
        <w:rPr>
          <w:rFonts w:ascii="Book Antiqua" w:eastAsia="Book Antiqua" w:hAnsi="Book Antiqua" w:cs="Book Antiqua"/>
          <w:color w:val="000000"/>
        </w:rPr>
        <w:t>s</w:t>
      </w:r>
      <w:r>
        <w:rPr>
          <w:rFonts w:ascii="Book Antiqua" w:eastAsia="Book Antiqua" w:hAnsi="Book Antiqua" w:cs="Book Antiqua"/>
          <w:color w:val="000000"/>
        </w:rPr>
        <w:t>) and molecular targeted agents, have emerged as new therapeutic choices in the last 5 years and have changed the therap</w:t>
      </w:r>
      <w:r w:rsidR="00084EE7">
        <w:rPr>
          <w:rFonts w:ascii="Book Antiqua" w:eastAsia="Book Antiqua" w:hAnsi="Book Antiqua" w:cs="Book Antiqua"/>
          <w:color w:val="000000"/>
        </w:rPr>
        <w:t xml:space="preserve">eutic </w:t>
      </w:r>
      <w:r>
        <w:rPr>
          <w:rFonts w:ascii="Book Antiqua" w:eastAsia="Book Antiqua" w:hAnsi="Book Antiqua" w:cs="Book Antiqua"/>
          <w:color w:val="000000"/>
        </w:rPr>
        <w:t xml:space="preserve">landscape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ICI is a frontline option for PD-L1 positive metastatic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and the standard treatment for second-line patients with disease progression after platinum-containing chemotherapy</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Furthermore, the Food and Drug Administration (FDA) has recently approved two targeted agents, </w:t>
      </w:r>
      <w:proofErr w:type="spellStart"/>
      <w:r>
        <w:rPr>
          <w:rFonts w:ascii="Book Antiqua" w:eastAsia="Book Antiqua" w:hAnsi="Book Antiqua" w:cs="Book Antiqua"/>
          <w:color w:val="000000"/>
        </w:rPr>
        <w:t>erdafitinib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enfortumab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vedotin</w:t>
      </w:r>
      <w:proofErr w:type="spellEnd"/>
      <w:r>
        <w:rPr>
          <w:rFonts w:ascii="Book Antiqua" w:eastAsia="Book Antiqua" w:hAnsi="Book Antiqua" w:cs="Book Antiqua"/>
          <w:color w:val="000000"/>
        </w:rPr>
        <w:t xml:space="preserve">, for patients with locally advanced 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 have previously received platinum-based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79AB1BF5" w14:textId="5FE756A2" w:rsidR="00A77B3E" w:rsidRDefault="00EA33F8" w:rsidP="00F04B91">
      <w:pPr>
        <w:spacing w:line="360" w:lineRule="auto"/>
        <w:ind w:firstLineChars="100" w:firstLine="240"/>
        <w:jc w:val="both"/>
      </w:pPr>
      <w:r>
        <w:rPr>
          <w:rFonts w:ascii="Book Antiqua" w:eastAsia="Book Antiqua" w:hAnsi="Book Antiqua" w:cs="Book Antiqua"/>
          <w:color w:val="000000"/>
        </w:rPr>
        <w:t>At ASCO 2020</w:t>
      </w:r>
      <w:r w:rsidR="00084EE7">
        <w:rPr>
          <w:rFonts w:ascii="Book Antiqua" w:eastAsia="Book Antiqua" w:hAnsi="Book Antiqua" w:cs="Book Antiqua"/>
          <w:color w:val="000000"/>
        </w:rPr>
        <w:t>, the</w:t>
      </w:r>
      <w:r>
        <w:rPr>
          <w:rFonts w:ascii="Book Antiqua" w:eastAsia="Book Antiqua" w:hAnsi="Book Antiqua" w:cs="Book Antiqua"/>
          <w:color w:val="000000"/>
        </w:rPr>
        <w:t xml:space="preserve"> JAVELIN Bladder 100 trial was presented as an attractive treatment strategy, </w:t>
      </w:r>
      <w:r w:rsidR="00084EE7">
        <w:rPr>
          <w:rFonts w:ascii="Book Antiqua" w:eastAsia="Book Antiqua" w:hAnsi="Book Antiqua" w:cs="Book Antiqua"/>
          <w:color w:val="000000"/>
        </w:rPr>
        <w:t xml:space="preserve">which </w:t>
      </w:r>
      <w:r>
        <w:rPr>
          <w:rFonts w:ascii="Book Antiqua" w:eastAsia="Book Antiqua" w:hAnsi="Book Antiqua" w:cs="Book Antiqua"/>
          <w:color w:val="000000"/>
        </w:rPr>
        <w:t>assess</w:t>
      </w:r>
      <w:r w:rsidR="00084EE7">
        <w:rPr>
          <w:rFonts w:ascii="Book Antiqua" w:eastAsia="Book Antiqua" w:hAnsi="Book Antiqua" w:cs="Book Antiqua"/>
          <w:color w:val="000000"/>
        </w:rPr>
        <w:t>ed</w:t>
      </w:r>
      <w:r>
        <w:rPr>
          <w:rFonts w:ascii="Book Antiqua" w:eastAsia="Book Antiqua" w:hAnsi="Book Antiqua" w:cs="Book Antiqua"/>
          <w:color w:val="000000"/>
        </w:rPr>
        <w:t xml:space="preserve"> an ICI as maintenance therapy after achieving an objective response or stable disease with first</w:t>
      </w:r>
      <w:r w:rsidR="00084EE7">
        <w:rPr>
          <w:rFonts w:ascii="Book Antiqua" w:eastAsia="Book Antiqua" w:hAnsi="Book Antiqua" w:cs="Book Antiqua"/>
          <w:color w:val="000000"/>
        </w:rPr>
        <w:t>-</w:t>
      </w:r>
      <w:r>
        <w:rPr>
          <w:rFonts w:ascii="Book Antiqua" w:eastAsia="Book Antiqua" w:hAnsi="Book Antiqua" w:cs="Book Antiqua"/>
          <w:color w:val="000000"/>
        </w:rPr>
        <w:t xml:space="preserve">line chemotherapy. New drugs and combination strategies have also shown their potential role as new therapeutic options to prolong survival in this </w:t>
      </w:r>
      <w:r w:rsidR="00084EE7">
        <w:rPr>
          <w:rFonts w:ascii="Book Antiqua" w:eastAsia="Book Antiqua" w:hAnsi="Book Antiqua" w:cs="Book Antiqua"/>
          <w:color w:val="000000"/>
        </w:rPr>
        <w:t xml:space="preserve">disease which has a </w:t>
      </w:r>
      <w:r>
        <w:rPr>
          <w:rFonts w:ascii="Book Antiqua" w:eastAsia="Book Antiqua" w:hAnsi="Book Antiqua" w:cs="Book Antiqua"/>
          <w:color w:val="000000"/>
        </w:rPr>
        <w:t xml:space="preserve">poor prognosis. Our objective is to summarize the most important studies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that have just been presented at ASCO 2020, and how they modify the standard clinical practice.</w:t>
      </w:r>
    </w:p>
    <w:p w14:paraId="345C86CF" w14:textId="77777777" w:rsidR="00A77B3E" w:rsidRDefault="00A77B3E">
      <w:pPr>
        <w:spacing w:line="360" w:lineRule="auto"/>
        <w:jc w:val="both"/>
      </w:pPr>
    </w:p>
    <w:p w14:paraId="5CAC6FF7" w14:textId="77777777" w:rsidR="00A77B3E" w:rsidRDefault="00EA33F8">
      <w:pPr>
        <w:spacing w:line="360" w:lineRule="auto"/>
        <w:jc w:val="both"/>
      </w:pPr>
      <w:r>
        <w:rPr>
          <w:rFonts w:ascii="Book Antiqua" w:eastAsia="Book Antiqua" w:hAnsi="Book Antiqua" w:cs="Book Antiqua"/>
          <w:b/>
          <w:bCs/>
          <w:caps/>
          <w:color w:val="000000"/>
          <w:u w:val="single"/>
        </w:rPr>
        <w:t>MOST RELEVANT STUDIES PRESENTED AT ASCO 2020</w:t>
      </w:r>
    </w:p>
    <w:p w14:paraId="5E503C7B" w14:textId="37C3C091" w:rsidR="00A77B3E" w:rsidRDefault="00EA33F8">
      <w:pPr>
        <w:spacing w:line="360" w:lineRule="auto"/>
        <w:jc w:val="both"/>
      </w:pPr>
      <w:r>
        <w:rPr>
          <w:rFonts w:ascii="Book Antiqua" w:eastAsia="Book Antiqua" w:hAnsi="Book Antiqua" w:cs="Book Antiqua"/>
          <w:color w:val="000000"/>
        </w:rPr>
        <w:t>JAVELIN Bladder 100 was one of the most important studies presented at ASCO 2020</w:t>
      </w:r>
      <w:r>
        <w:rPr>
          <w:rFonts w:ascii="Book Antiqua" w:eastAsia="Book Antiqua" w:hAnsi="Book Antiqua" w:cs="Book Antiqua"/>
          <w:color w:val="000000"/>
          <w:szCs w:val="30"/>
          <w:vertAlign w:val="superscript"/>
        </w:rPr>
        <w:t>[13]</w:t>
      </w:r>
      <w:r w:rsidR="00FB18B6" w:rsidRPr="0044322A">
        <w:rPr>
          <w:rFonts w:ascii="Book Antiqua" w:eastAsia="Book Antiqua" w:hAnsi="Book Antiqua" w:cs="Book Antiqua"/>
          <w:color w:val="000000"/>
          <w:szCs w:val="30"/>
        </w:rPr>
        <w:t>(Table 1)</w:t>
      </w:r>
      <w:r>
        <w:rPr>
          <w:rFonts w:ascii="Book Antiqua" w:eastAsia="Book Antiqua" w:hAnsi="Book Antiqua" w:cs="Book Antiqua"/>
          <w:color w:val="000000"/>
        </w:rPr>
        <w:t xml:space="preserve">. It is a randomized phase 3 trial, which assessed avelumab (anti-PD-L1 treatment) as maintenance therapy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whose disease ha</w:t>
      </w:r>
      <w:r w:rsidR="00957742">
        <w:rPr>
          <w:rFonts w:ascii="Book Antiqua" w:eastAsia="Book Antiqua" w:hAnsi="Book Antiqua" w:cs="Book Antiqua"/>
          <w:color w:val="000000"/>
        </w:rPr>
        <w:t>d</w:t>
      </w:r>
      <w:r>
        <w:rPr>
          <w:rFonts w:ascii="Book Antiqua" w:eastAsia="Book Antiqua" w:hAnsi="Book Antiqua" w:cs="Book Antiqua"/>
          <w:color w:val="000000"/>
        </w:rPr>
        <w:t xml:space="preserve"> not </w:t>
      </w:r>
      <w:r>
        <w:rPr>
          <w:rFonts w:ascii="Book Antiqua" w:eastAsia="Book Antiqua" w:hAnsi="Book Antiqua" w:cs="Book Antiqua"/>
          <w:color w:val="000000"/>
        </w:rPr>
        <w:lastRenderedPageBreak/>
        <w:t>progressed with first</w:t>
      </w:r>
      <w:r w:rsidR="00957742">
        <w:rPr>
          <w:rFonts w:ascii="Book Antiqua" w:eastAsia="Book Antiqua" w:hAnsi="Book Antiqua" w:cs="Book Antiqua"/>
          <w:color w:val="000000"/>
        </w:rPr>
        <w:t>-</w:t>
      </w:r>
      <w:r>
        <w:rPr>
          <w:rFonts w:ascii="Book Antiqua" w:eastAsia="Book Antiqua" w:hAnsi="Book Antiqua" w:cs="Book Antiqua"/>
          <w:color w:val="000000"/>
        </w:rPr>
        <w:t xml:space="preserve">line platinum–based chemotherapy. Seven hundred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were randomized 1:1 to receive avelumab (10 mg/kg intravenously every two weeks) and best supportive care (BSC) or BSC alone. Crossover was not allowed within the study. Patients had to achieve an objective response or stable disease after at least four cycles of gemcitabine and cisplatin or carboplatin. A maximum of 6 cycles were allowed. Patients were stratified by best response to first</w:t>
      </w:r>
      <w:r w:rsidR="00957742">
        <w:rPr>
          <w:rFonts w:ascii="Book Antiqua" w:eastAsia="Book Antiqua" w:hAnsi="Book Antiqua" w:cs="Book Antiqua"/>
          <w:color w:val="000000"/>
        </w:rPr>
        <w:t>-</w:t>
      </w:r>
      <w:r>
        <w:rPr>
          <w:rFonts w:ascii="Book Antiqua" w:eastAsia="Book Antiqua" w:hAnsi="Book Antiqua" w:cs="Book Antiqua"/>
          <w:color w:val="000000"/>
        </w:rPr>
        <w:t xml:space="preserve">line chemotherapy (complete/partial response </w:t>
      </w:r>
      <w:r w:rsidRPr="00F04B91">
        <w:rPr>
          <w:rFonts w:ascii="Book Antiqua" w:eastAsia="Book Antiqua" w:hAnsi="Book Antiqua" w:cs="Book Antiqua"/>
          <w:i/>
          <w:iCs/>
          <w:color w:val="000000"/>
        </w:rPr>
        <w:t>vs</w:t>
      </w:r>
      <w:r>
        <w:rPr>
          <w:rFonts w:ascii="Book Antiqua" w:eastAsia="Book Antiqua" w:hAnsi="Book Antiqua" w:cs="Book Antiqua"/>
          <w:color w:val="000000"/>
        </w:rPr>
        <w:t xml:space="preserve"> stable disease) and localization of metastatic disease (visceral </w:t>
      </w:r>
      <w:r w:rsidRPr="00F04B91">
        <w:rPr>
          <w:rFonts w:ascii="Book Antiqua" w:eastAsia="Book Antiqua" w:hAnsi="Book Antiqua" w:cs="Book Antiqua"/>
          <w:i/>
          <w:iCs/>
          <w:color w:val="000000"/>
        </w:rPr>
        <w:t>vs</w:t>
      </w:r>
      <w:r>
        <w:rPr>
          <w:rFonts w:ascii="Book Antiqua" w:eastAsia="Book Antiqua" w:hAnsi="Book Antiqua" w:cs="Book Antiqua"/>
          <w:color w:val="000000"/>
        </w:rPr>
        <w:t xml:space="preserve"> non-visceral). The co-primary endpoint was overall survival (OS) assessed from randomization in all patients and in </w:t>
      </w:r>
      <w:r w:rsidR="00957742">
        <w:rPr>
          <w:rFonts w:ascii="Book Antiqua" w:eastAsia="Book Antiqua" w:hAnsi="Book Antiqua" w:cs="Book Antiqua"/>
          <w:color w:val="000000"/>
        </w:rPr>
        <w:t xml:space="preserve">the </w:t>
      </w:r>
      <w:r>
        <w:rPr>
          <w:rFonts w:ascii="Book Antiqua" w:eastAsia="Book Antiqua" w:hAnsi="Book Antiqua" w:cs="Book Antiqua"/>
          <w:color w:val="000000"/>
        </w:rPr>
        <w:t>PD-L1 positive population. Progression</w:t>
      </w:r>
      <w:r w:rsidR="00957742">
        <w:rPr>
          <w:rFonts w:ascii="Book Antiqua" w:eastAsia="Book Antiqua" w:hAnsi="Book Antiqua" w:cs="Book Antiqua"/>
          <w:color w:val="000000"/>
        </w:rPr>
        <w:t>-</w:t>
      </w:r>
      <w:r>
        <w:rPr>
          <w:rFonts w:ascii="Book Antiqua" w:eastAsia="Book Antiqua" w:hAnsi="Book Antiqua" w:cs="Book Antiqua"/>
          <w:color w:val="000000"/>
        </w:rPr>
        <w:t xml:space="preserve">free survival (PFS), objective response rate (ORR) and safety were secondary endpoints. After a median follow-up of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avelumab</w:t>
      </w:r>
      <w:proofErr w:type="spellEnd"/>
      <w:r>
        <w:rPr>
          <w:rFonts w:ascii="Book Antiqua" w:eastAsia="Book Antiqua" w:hAnsi="Book Antiqua" w:cs="Book Antiqua"/>
          <w:color w:val="000000"/>
        </w:rPr>
        <w:t xml:space="preserve"> plus BSC significantly prolonged OS </w:t>
      </w:r>
      <w:r>
        <w:rPr>
          <w:rFonts w:ascii="Book Antiqua" w:eastAsia="Book Antiqua" w:hAnsi="Book Antiqua" w:cs="Book Antiqua"/>
          <w:i/>
          <w:iCs/>
          <w:color w:val="000000"/>
        </w:rPr>
        <w:t>vs</w:t>
      </w:r>
      <w:r>
        <w:rPr>
          <w:rFonts w:ascii="Book Antiqua" w:eastAsia="Book Antiqua" w:hAnsi="Book Antiqua" w:cs="Book Antiqua"/>
          <w:color w:val="000000"/>
        </w:rPr>
        <w:t xml:space="preserve"> BSC alone in the overall population </w:t>
      </w:r>
      <w:r w:rsidR="006508DE">
        <w:rPr>
          <w:rFonts w:ascii="Book Antiqua" w:eastAsia="Book Antiqua" w:hAnsi="Book Antiqua" w:cs="Book Antiqua"/>
          <w:color w:val="000000"/>
        </w:rPr>
        <w:t>[</w:t>
      </w:r>
      <w:r>
        <w:rPr>
          <w:rFonts w:ascii="Book Antiqua" w:eastAsia="Book Antiqua" w:hAnsi="Book Antiqua" w:cs="Book Antiqua"/>
          <w:color w:val="000000"/>
        </w:rPr>
        <w:t>21</w:t>
      </w:r>
      <w:r w:rsidR="006508DE">
        <w:rPr>
          <w:rFonts w:ascii="Book Antiqua" w:eastAsia="Book Antiqua" w:hAnsi="Book Antiqua" w:cs="Book Antiqua"/>
          <w:color w:val="000000"/>
        </w:rPr>
        <w:t>.</w:t>
      </w:r>
      <w:r>
        <w:rPr>
          <w:rFonts w:ascii="Book Antiqua" w:eastAsia="Book Antiqua" w:hAnsi="Book Antiqua" w:cs="Book Antiqua"/>
          <w:color w:val="000000"/>
        </w:rPr>
        <w:t xml:space="preserve">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14</w:t>
      </w:r>
      <w:r w:rsidR="006508DE">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w:t>
      </w:r>
      <w:r w:rsidR="006508DE">
        <w:rPr>
          <w:rFonts w:ascii="Book Antiqua" w:eastAsia="Book Antiqua" w:hAnsi="Book Antiqua" w:cs="Book Antiqua"/>
          <w:color w:val="000000"/>
        </w:rPr>
        <w:t>(</w:t>
      </w:r>
      <w:r>
        <w:rPr>
          <w:rFonts w:ascii="Book Antiqua" w:eastAsia="Book Antiqua" w:hAnsi="Book Antiqua" w:cs="Book Antiqua"/>
          <w:color w:val="000000"/>
        </w:rPr>
        <w:t>HR</w:t>
      </w:r>
      <w:r w:rsidR="006508DE">
        <w:rPr>
          <w:rFonts w:ascii="Book Antiqua" w:eastAsia="Book Antiqua" w:hAnsi="Book Antiqua" w:cs="Book Antiqua"/>
          <w:color w:val="000000"/>
        </w:rPr>
        <w:t>)</w:t>
      </w:r>
      <w:r>
        <w:rPr>
          <w:rFonts w:ascii="Book Antiqua" w:eastAsia="Book Antiqua" w:hAnsi="Book Antiqua" w:cs="Book Antiqua"/>
          <w:color w:val="000000"/>
        </w:rPr>
        <w:t xml:space="preserve"> 0.69, 95%CI</w:t>
      </w:r>
      <w:r w:rsidR="006508DE">
        <w:rPr>
          <w:rFonts w:ascii="Book Antiqua" w:eastAsia="Book Antiqua" w:hAnsi="Book Antiqua" w:cs="Book Antiqua"/>
          <w:color w:val="000000"/>
        </w:rPr>
        <w:t>:</w:t>
      </w:r>
      <w:r>
        <w:rPr>
          <w:rFonts w:ascii="Book Antiqua" w:eastAsia="Book Antiqua" w:hAnsi="Book Antiqua" w:cs="Book Antiqua"/>
          <w:color w:val="000000"/>
        </w:rPr>
        <w:t xml:space="preserve"> 0.56-0.86; one-sided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w:t>
      </w:r>
      <w:r w:rsidR="006508DE">
        <w:rPr>
          <w:rFonts w:ascii="Book Antiqua" w:eastAsia="Book Antiqua" w:hAnsi="Book Antiqua" w:cs="Book Antiqua"/>
          <w:color w:val="000000"/>
        </w:rPr>
        <w:t>]</w:t>
      </w:r>
      <w:r>
        <w:rPr>
          <w:rFonts w:ascii="Book Antiqua" w:eastAsia="Book Antiqua" w:hAnsi="Book Antiqua" w:cs="Book Antiqua"/>
          <w:color w:val="000000"/>
        </w:rPr>
        <w:t>. Fifty-one percent of tumors were PD-L1 positive, 189 in the experimental arm and 169 in BSC arm. In this PD-L1 positive population</w:t>
      </w:r>
      <w:r w:rsidR="00957742">
        <w:rPr>
          <w:rFonts w:ascii="Book Antiqua" w:eastAsia="Book Antiqua" w:hAnsi="Book Antiqua" w:cs="Book Antiqua"/>
          <w:color w:val="000000"/>
        </w:rPr>
        <w:t>,</w:t>
      </w:r>
      <w:r>
        <w:rPr>
          <w:rFonts w:ascii="Book Antiqua" w:eastAsia="Book Antiqua" w:hAnsi="Book Antiqua" w:cs="Book Antiqua"/>
          <w:color w:val="000000"/>
        </w:rPr>
        <w:t xml:space="preserve"> avelumab treatment also significantly increased OS (not reached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0.56, 95%CI 0.40-0.79; one-sided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In addition, in the subgroup analysis</w:t>
      </w:r>
      <w:r w:rsidR="00957742">
        <w:rPr>
          <w:rFonts w:ascii="Book Antiqua" w:eastAsia="Book Antiqua" w:hAnsi="Book Antiqua" w:cs="Book Antiqua"/>
          <w:color w:val="000000"/>
        </w:rPr>
        <w:t>,</w:t>
      </w:r>
      <w:r>
        <w:rPr>
          <w:rFonts w:ascii="Book Antiqua" w:eastAsia="Book Antiqua" w:hAnsi="Book Antiqua" w:cs="Book Antiqua"/>
          <w:color w:val="000000"/>
        </w:rPr>
        <w:t xml:space="preserve"> OS was longer with avelumab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957742">
        <w:rPr>
          <w:rFonts w:ascii="Book Antiqua" w:eastAsia="Book Antiqua" w:hAnsi="Book Antiqua" w:cs="Book Antiqua"/>
          <w:color w:val="000000"/>
        </w:rPr>
        <w:t xml:space="preserve">the </w:t>
      </w:r>
      <w:r>
        <w:rPr>
          <w:rFonts w:ascii="Book Antiqua" w:eastAsia="Book Antiqua" w:hAnsi="Book Antiqua" w:cs="Book Antiqua"/>
          <w:color w:val="000000"/>
        </w:rPr>
        <w:t>control arm across all prespecified subgroups.</w:t>
      </w:r>
    </w:p>
    <w:p w14:paraId="2B503E20" w14:textId="020CA9C3" w:rsidR="00A77B3E" w:rsidRDefault="00EA33F8" w:rsidP="006508DE">
      <w:pPr>
        <w:spacing w:line="360" w:lineRule="auto"/>
        <w:ind w:firstLineChars="100" w:firstLine="240"/>
        <w:jc w:val="both"/>
      </w:pPr>
      <w:r>
        <w:rPr>
          <w:rFonts w:ascii="Book Antiqua" w:eastAsia="Book Antiqua" w:hAnsi="Book Antiqua" w:cs="Book Antiqua"/>
          <w:color w:val="000000"/>
        </w:rPr>
        <w:t>Erdafitinib is a novel pan-</w:t>
      </w:r>
      <w:r w:rsidR="0028072A">
        <w:rPr>
          <w:rFonts w:ascii="Book Antiqua" w:eastAsia="Book Antiqua" w:hAnsi="Book Antiqua" w:cs="Book Antiqua"/>
          <w:color w:val="000000"/>
        </w:rPr>
        <w:t>f</w:t>
      </w:r>
      <w:proofErr w:type="spellStart"/>
      <w:r w:rsidR="0028072A" w:rsidRPr="0055295D">
        <w:rPr>
          <w:rFonts w:ascii="Book Antiqua" w:hAnsi="Book Antiqua"/>
          <w:lang w:val="en-GB"/>
        </w:rPr>
        <w:t>ibroblast</w:t>
      </w:r>
      <w:proofErr w:type="spellEnd"/>
      <w:r w:rsidR="0028072A" w:rsidRPr="0055295D">
        <w:rPr>
          <w:rFonts w:ascii="Book Antiqua" w:hAnsi="Book Antiqua"/>
          <w:lang w:val="en-GB"/>
        </w:rPr>
        <w:t xml:space="preserve"> growth factor receptor</w:t>
      </w:r>
      <w:r w:rsidR="0028072A">
        <w:rPr>
          <w:rFonts w:ascii="Book Antiqua" w:eastAsia="Book Antiqua" w:hAnsi="Book Antiqua" w:cs="Book Antiqua"/>
          <w:color w:val="000000"/>
        </w:rPr>
        <w:t xml:space="preserve"> (</w:t>
      </w:r>
      <w:r>
        <w:rPr>
          <w:rFonts w:ascii="Book Antiqua" w:eastAsia="Book Antiqua" w:hAnsi="Book Antiqua" w:cs="Book Antiqua"/>
          <w:color w:val="000000"/>
        </w:rPr>
        <w:t>FGFR</w:t>
      </w:r>
      <w:r w:rsidR="0028072A">
        <w:rPr>
          <w:rFonts w:ascii="Book Antiqua" w:eastAsia="Book Antiqua" w:hAnsi="Book Antiqua" w:cs="Book Antiqua"/>
          <w:color w:val="000000"/>
        </w:rPr>
        <w:t>)</w:t>
      </w:r>
      <w:r>
        <w:rPr>
          <w:rFonts w:ascii="Book Antiqua" w:eastAsia="Book Antiqua" w:hAnsi="Book Antiqua" w:cs="Book Antiqua"/>
          <w:color w:val="000000"/>
        </w:rPr>
        <w:t xml:space="preserve"> kinase inhibitor recently approved by </w:t>
      </w:r>
      <w:r w:rsidR="00957742">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for patients with locally advanced 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with susceptible FGFR3 or FGFR2 genetic alterations who have progressed during or following platinum-based chemotherapy. Approval was based on data from the primary analysis of </w:t>
      </w:r>
      <w:r w:rsidR="00795D0E">
        <w:rPr>
          <w:rFonts w:ascii="Book Antiqua" w:eastAsia="Book Antiqua" w:hAnsi="Book Antiqua" w:cs="Book Antiqua"/>
          <w:color w:val="000000"/>
        </w:rPr>
        <w:t xml:space="preserve">the </w:t>
      </w:r>
      <w:r>
        <w:rPr>
          <w:rFonts w:ascii="Book Antiqua" w:eastAsia="Book Antiqua" w:hAnsi="Book Antiqua" w:cs="Book Antiqua"/>
          <w:color w:val="000000"/>
        </w:rPr>
        <w:t xml:space="preserve">BLC2001 study, a phase II trial that assessed erdafitinib in this group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final results of this trial were presented at ASCO 2020, including long-term outcomes and safety data. With a median follow-up of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investigators confirmed </w:t>
      </w:r>
      <w:r w:rsidR="00795D0E">
        <w:rPr>
          <w:rFonts w:ascii="Book Antiqua" w:eastAsia="Book Antiqua" w:hAnsi="Book Antiqua" w:cs="Book Antiqua"/>
          <w:color w:val="000000"/>
        </w:rPr>
        <w:t>an</w:t>
      </w:r>
      <w:r>
        <w:rPr>
          <w:rFonts w:ascii="Book Antiqua" w:eastAsia="Book Antiqua" w:hAnsi="Book Antiqua" w:cs="Book Antiqua"/>
          <w:color w:val="000000"/>
        </w:rPr>
        <w:t xml:space="preserve"> ORR of 40%, with a median duration of response of 6 mo. Furthermore, 31% of responders had </w:t>
      </w:r>
      <w:r w:rsidR="00795D0E">
        <w:rPr>
          <w:rFonts w:ascii="Book Antiqua" w:eastAsia="Book Antiqua" w:hAnsi="Book Antiqua" w:cs="Book Antiqua"/>
          <w:color w:val="000000"/>
        </w:rPr>
        <w:t xml:space="preserve">a response </w:t>
      </w:r>
      <w:r>
        <w:rPr>
          <w:rFonts w:ascii="Book Antiqua" w:eastAsia="Book Antiqua" w:hAnsi="Book Antiqua" w:cs="Book Antiqua"/>
          <w:color w:val="000000"/>
        </w:rPr>
        <w:t xml:space="preserve">duration of over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Median PFS was 5.52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OS was 11.3 mo. Central serous retinopathy (CSR) is a known class effect of FGFR inhibitors. CSR occurred in 27% (27/101) of patients, but 85% of </w:t>
      </w:r>
      <w:r>
        <w:rPr>
          <w:rFonts w:ascii="Book Antiqua" w:eastAsia="Book Antiqua" w:hAnsi="Book Antiqua" w:cs="Book Antiqua"/>
          <w:color w:val="000000"/>
        </w:rPr>
        <w:lastRenderedPageBreak/>
        <w:t xml:space="preserve">those (23/27) were grade 1 or 2. In addition, a phase III trial is evaluating erdafitinib compared to pembrolizumab or chemotherapy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and FGFR alterations who have progressed after 1 or 2 prior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C7C7791" w14:textId="5D3791AF" w:rsidR="00A77B3E" w:rsidRDefault="00EA33F8" w:rsidP="006508DE">
      <w:pPr>
        <w:spacing w:line="360" w:lineRule="auto"/>
        <w:ind w:firstLineChars="100" w:firstLine="240"/>
        <w:jc w:val="both"/>
      </w:pPr>
      <w:r>
        <w:rPr>
          <w:rFonts w:ascii="Book Antiqua" w:eastAsia="Book Antiqua" w:hAnsi="Book Antiqua" w:cs="Book Antiqua"/>
          <w:color w:val="000000"/>
        </w:rPr>
        <w:t xml:space="preserve">FORT-2 is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/II study that evaluates the safety and efficacy of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in combination with atezolizumab as first-line treatment in </w:t>
      </w:r>
      <w:proofErr w:type="spellStart"/>
      <w:r>
        <w:rPr>
          <w:rFonts w:ascii="Book Antiqua" w:eastAsia="Book Antiqua" w:hAnsi="Book Antiqua" w:cs="Book Antiqua"/>
          <w:color w:val="000000"/>
        </w:rPr>
        <w:t>cisplatin</w:t>
      </w:r>
      <w:proofErr w:type="spellEnd"/>
      <w:r>
        <w:rPr>
          <w:rFonts w:ascii="Book Antiqua" w:eastAsia="Book Antiqua" w:hAnsi="Book Antiqua" w:cs="Book Antiqua"/>
          <w:color w:val="000000"/>
        </w:rPr>
        <w:t xml:space="preserve">–ineligible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and FGFR mRNA </w:t>
      </w:r>
      <w:proofErr w:type="gramStart"/>
      <w:r>
        <w:rPr>
          <w:rFonts w:ascii="Book Antiqua" w:eastAsia="Book Antiqua" w:hAnsi="Book Antiqua" w:cs="Book Antiqua"/>
          <w:color w:val="000000"/>
        </w:rPr>
        <w:t>overexpression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is a highly selective FGFR1</w:t>
      </w:r>
      <w:r w:rsidR="00E6655E">
        <w:rPr>
          <w:rFonts w:ascii="Book Antiqua" w:eastAsia="Book Antiqua" w:hAnsi="Book Antiqua" w:cs="Book Antiqua"/>
          <w:color w:val="000000"/>
        </w:rPr>
        <w:t>-</w:t>
      </w:r>
      <w:r>
        <w:rPr>
          <w:rFonts w:ascii="Book Antiqua" w:eastAsia="Book Antiqua" w:hAnsi="Book Antiqua" w:cs="Book Antiqua"/>
          <w:color w:val="000000"/>
        </w:rPr>
        <w:t xml:space="preserve">4 inhibitor that has shown good tolerability and clinical activity as monotherapy in a previous phase 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Eleven patients were treated with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800 mg twice daily and atezolizumab 1200 mg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16 patients were treated with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600 mg twice daily and atezolizumab 1200 mg every 3 wk. The ORR was 44%, with a disease control rate of 68%. The duration of response was not reached. The safety profile was manageable with diarrhea (58%), hyperphosphatemia (45%) and urinary tract infection (36%) being the most common treatment-emergent adverse events.</w:t>
      </w:r>
    </w:p>
    <w:p w14:paraId="0EDBBF11" w14:textId="53D80034" w:rsidR="00A77B3E" w:rsidRDefault="00795D0E" w:rsidP="00E6655E">
      <w:pPr>
        <w:spacing w:line="360" w:lineRule="auto"/>
        <w:ind w:firstLineChars="100" w:firstLine="240"/>
        <w:jc w:val="both"/>
      </w:pPr>
      <w:r>
        <w:rPr>
          <w:rFonts w:ascii="Book Antiqua" w:eastAsia="Book Antiqua" w:hAnsi="Book Antiqua" w:cs="Book Antiqua"/>
          <w:color w:val="000000"/>
        </w:rPr>
        <w:t xml:space="preserve">The </w:t>
      </w:r>
      <w:r w:rsidR="00EA33F8">
        <w:rPr>
          <w:rFonts w:ascii="Book Antiqua" w:eastAsia="Book Antiqua" w:hAnsi="Book Antiqua" w:cs="Book Antiqua"/>
          <w:color w:val="000000"/>
        </w:rPr>
        <w:t xml:space="preserve">COSMIC-021 and PEANUT trials assessed </w:t>
      </w:r>
      <w:r>
        <w:rPr>
          <w:rFonts w:ascii="Book Antiqua" w:eastAsia="Book Antiqua" w:hAnsi="Book Antiqua" w:cs="Book Antiqua"/>
          <w:color w:val="000000"/>
        </w:rPr>
        <w:t>the</w:t>
      </w:r>
      <w:r w:rsidR="00EA33F8">
        <w:rPr>
          <w:rFonts w:ascii="Book Antiqua" w:eastAsia="Book Antiqua" w:hAnsi="Book Antiqua" w:cs="Book Antiqua"/>
          <w:color w:val="000000"/>
        </w:rPr>
        <w:t xml:space="preserve"> combination of an ICI with a targeted-agent or chemotherapy</w:t>
      </w:r>
      <w:r>
        <w:rPr>
          <w:rFonts w:ascii="Book Antiqua" w:eastAsia="Book Antiqua" w:hAnsi="Book Antiqua" w:cs="Book Antiqua"/>
          <w:color w:val="000000"/>
        </w:rPr>
        <w:t>,</w:t>
      </w:r>
      <w:r w:rsidR="00EA33F8">
        <w:rPr>
          <w:rFonts w:ascii="Book Antiqua" w:eastAsia="Book Antiqua" w:hAnsi="Book Antiqua" w:cs="Book Antiqua"/>
          <w:color w:val="000000"/>
        </w:rPr>
        <w:t xml:space="preserve"> respectively, in patients with </w:t>
      </w:r>
      <w:proofErr w:type="spellStart"/>
      <w:r w:rsidR="00EA33F8">
        <w:rPr>
          <w:rFonts w:ascii="Book Antiqua" w:eastAsia="Book Antiqua" w:hAnsi="Book Antiqua" w:cs="Book Antiqua"/>
          <w:color w:val="000000"/>
        </w:rPr>
        <w:t>mUC</w:t>
      </w:r>
      <w:proofErr w:type="spellEnd"/>
      <w:r w:rsidR="00EA33F8">
        <w:rPr>
          <w:rFonts w:ascii="Book Antiqua" w:eastAsia="Book Antiqua" w:hAnsi="Book Antiqua" w:cs="Book Antiqua"/>
          <w:color w:val="000000"/>
        </w:rPr>
        <w:t xml:space="preserve"> previously treated. COSMIC-021 is a multi-cohort phase 1b study that evaluates the </w:t>
      </w:r>
      <w:proofErr w:type="spellStart"/>
      <w:r w:rsidR="00EA33F8">
        <w:rPr>
          <w:rFonts w:ascii="Book Antiqua" w:eastAsia="Book Antiqua" w:hAnsi="Book Antiqua" w:cs="Book Antiqua"/>
          <w:color w:val="000000"/>
        </w:rPr>
        <w:t>immunomodulatory</w:t>
      </w:r>
      <w:proofErr w:type="spellEnd"/>
      <w:r w:rsidR="00EA33F8">
        <w:rPr>
          <w:rFonts w:ascii="Book Antiqua" w:eastAsia="Book Antiqua" w:hAnsi="Book Antiqua" w:cs="Book Antiqua"/>
          <w:color w:val="000000"/>
        </w:rPr>
        <w:t xml:space="preserve"> effect of </w:t>
      </w:r>
      <w:proofErr w:type="spellStart"/>
      <w:r w:rsidR="00EA33F8">
        <w:rPr>
          <w:rFonts w:ascii="Book Antiqua" w:eastAsia="Book Antiqua" w:hAnsi="Book Antiqua" w:cs="Book Antiqua"/>
          <w:color w:val="000000"/>
        </w:rPr>
        <w:t>cabozantinib</w:t>
      </w:r>
      <w:proofErr w:type="spellEnd"/>
      <w:r w:rsidR="00EA33F8">
        <w:rPr>
          <w:rFonts w:ascii="Book Antiqua" w:eastAsia="Book Antiqua" w:hAnsi="Book Antiqua" w:cs="Book Antiqua"/>
          <w:color w:val="000000"/>
        </w:rPr>
        <w:t xml:space="preserve"> (40 mg daily) in combination with atezolizumab (1200 mg every 3 </w:t>
      </w:r>
      <w:proofErr w:type="spellStart"/>
      <w:r w:rsidR="00EA33F8">
        <w:rPr>
          <w:rFonts w:ascii="Book Antiqua" w:eastAsia="Book Antiqua" w:hAnsi="Book Antiqua" w:cs="Book Antiqua"/>
          <w:color w:val="000000"/>
        </w:rPr>
        <w:t>wk</w:t>
      </w:r>
      <w:proofErr w:type="spellEnd"/>
      <w:r w:rsidR="00EA33F8">
        <w:rPr>
          <w:rFonts w:ascii="Book Antiqua" w:eastAsia="Book Antiqua" w:hAnsi="Book Antiqua" w:cs="Book Antiqua"/>
          <w:color w:val="000000"/>
        </w:rPr>
        <w:t>)</w:t>
      </w:r>
      <w:r w:rsidR="00EA33F8">
        <w:rPr>
          <w:rFonts w:ascii="Book Antiqua" w:eastAsia="Book Antiqua" w:hAnsi="Book Antiqua" w:cs="Book Antiqua"/>
          <w:color w:val="000000"/>
          <w:szCs w:val="30"/>
          <w:vertAlign w:val="superscript"/>
        </w:rPr>
        <w:t>[18]</w:t>
      </w:r>
      <w:r w:rsidR="00EA33F8">
        <w:rPr>
          <w:rFonts w:ascii="Book Antiqua" w:eastAsia="Book Antiqua" w:hAnsi="Book Antiqua" w:cs="Book Antiqua"/>
          <w:color w:val="000000"/>
        </w:rPr>
        <w:t xml:space="preserve">. Thirty patients with </w:t>
      </w:r>
      <w:proofErr w:type="spellStart"/>
      <w:r w:rsidR="00EA33F8">
        <w:rPr>
          <w:rFonts w:ascii="Book Antiqua" w:eastAsia="Book Antiqua" w:hAnsi="Book Antiqua" w:cs="Book Antiqua"/>
          <w:color w:val="000000"/>
        </w:rPr>
        <w:t>mUC</w:t>
      </w:r>
      <w:proofErr w:type="spellEnd"/>
      <w:r w:rsidR="00EA33F8">
        <w:rPr>
          <w:rFonts w:ascii="Book Antiqua" w:eastAsia="Book Antiqua" w:hAnsi="Book Antiqua" w:cs="Book Antiqua"/>
          <w:color w:val="000000"/>
        </w:rPr>
        <w:t xml:space="preserve"> were included. The ORR was 27% including 2 patients with a complete response. The median duration of response was not reached. The median PFS was 5.4 mo. Asthenia (37%), diarrhea (27%), lower appetite (23%), increased transaminases (23%) and mucosal inflammation (20%) were the most frequent treatment-related adverse events (TRAEs). PEANUT is a phase 2 study evaluat</w:t>
      </w:r>
      <w:r>
        <w:rPr>
          <w:rFonts w:ascii="Book Antiqua" w:eastAsia="Book Antiqua" w:hAnsi="Book Antiqua" w:cs="Book Antiqua"/>
          <w:color w:val="000000"/>
        </w:rPr>
        <w:t>ing</w:t>
      </w:r>
      <w:r w:rsidR="00EA33F8">
        <w:rPr>
          <w:rFonts w:ascii="Book Antiqua" w:eastAsia="Book Antiqua" w:hAnsi="Book Antiqua" w:cs="Book Antiqua"/>
          <w:color w:val="000000"/>
        </w:rPr>
        <w:t xml:space="preserve"> the combination of pembrolizumab and nab-paclitaxel in patients previously treated with </w:t>
      </w:r>
      <w:proofErr w:type="gramStart"/>
      <w:r w:rsidR="00EA33F8">
        <w:rPr>
          <w:rFonts w:ascii="Book Antiqua" w:eastAsia="Book Antiqua" w:hAnsi="Book Antiqua" w:cs="Book Antiqua"/>
          <w:color w:val="000000"/>
        </w:rPr>
        <w:t>chemotherapy</w:t>
      </w:r>
      <w:r w:rsidR="00EA33F8">
        <w:rPr>
          <w:rFonts w:ascii="Book Antiqua" w:eastAsia="Book Antiqua" w:hAnsi="Book Antiqua" w:cs="Book Antiqua"/>
          <w:color w:val="000000"/>
          <w:szCs w:val="30"/>
          <w:vertAlign w:val="superscript"/>
        </w:rPr>
        <w:t>[</w:t>
      </w:r>
      <w:proofErr w:type="gramEnd"/>
      <w:r w:rsidR="00EA33F8">
        <w:rPr>
          <w:rFonts w:ascii="Book Antiqua" w:eastAsia="Book Antiqua" w:hAnsi="Book Antiqua" w:cs="Book Antiqua"/>
          <w:color w:val="000000"/>
          <w:szCs w:val="30"/>
          <w:vertAlign w:val="superscript"/>
        </w:rPr>
        <w:t>19]</w:t>
      </w:r>
      <w:r w:rsidR="00EA33F8">
        <w:rPr>
          <w:rFonts w:ascii="Book Antiqua" w:eastAsia="Book Antiqua" w:hAnsi="Book Antiqua" w:cs="Book Antiqua"/>
          <w:color w:val="000000"/>
        </w:rPr>
        <w:t xml:space="preserve">. Sixty-five patients were included. The median PFS was 5 </w:t>
      </w:r>
      <w:proofErr w:type="spellStart"/>
      <w:r w:rsidR="00EA33F8">
        <w:rPr>
          <w:rFonts w:ascii="Book Antiqua" w:eastAsia="Book Antiqua" w:hAnsi="Book Antiqua" w:cs="Book Antiqua"/>
          <w:color w:val="000000"/>
        </w:rPr>
        <w:t>mo</w:t>
      </w:r>
      <w:proofErr w:type="spellEnd"/>
      <w:r w:rsidR="00EA33F8">
        <w:rPr>
          <w:rFonts w:ascii="Book Antiqua" w:eastAsia="Book Antiqua" w:hAnsi="Book Antiqua" w:cs="Book Antiqua"/>
          <w:color w:val="000000"/>
        </w:rPr>
        <w:t xml:space="preserve">, with an </w:t>
      </w:r>
      <w:r w:rsidR="006508DE">
        <w:rPr>
          <w:rFonts w:ascii="Book Antiqua" w:eastAsia="Book Antiqua" w:hAnsi="Book Antiqua" w:cs="Book Antiqua"/>
          <w:color w:val="000000"/>
        </w:rPr>
        <w:t>ORR</w:t>
      </w:r>
      <w:r w:rsidR="00EA33F8">
        <w:rPr>
          <w:rFonts w:ascii="Book Antiqua" w:eastAsia="Book Antiqua" w:hAnsi="Book Antiqua" w:cs="Book Antiqua"/>
          <w:color w:val="000000"/>
        </w:rPr>
        <w:t xml:space="preserve"> of 38.6%. The median duration of response was not reached. This combination showed an expected safety profile with alopecia (71%), neutropenia (32%) and peripheral neuropathy (34%) as the most common TRAEs.</w:t>
      </w:r>
    </w:p>
    <w:p w14:paraId="19E93A1A" w14:textId="208CA375" w:rsidR="00A77B3E" w:rsidRDefault="00EA33F8" w:rsidP="004467BA">
      <w:pPr>
        <w:spacing w:line="360" w:lineRule="auto"/>
        <w:ind w:firstLineChars="100" w:firstLine="240"/>
        <w:jc w:val="both"/>
      </w:pPr>
      <w:r>
        <w:rPr>
          <w:rFonts w:ascii="Book Antiqua" w:eastAsia="Book Antiqua" w:hAnsi="Book Antiqua" w:cs="Book Antiqua"/>
          <w:color w:val="000000"/>
        </w:rPr>
        <w:lastRenderedPageBreak/>
        <w:t xml:space="preserve">Finally, at ASCO 2020 the analysis of tumor microenvironment biomarkers from </w:t>
      </w:r>
      <w:r w:rsidR="00795D0E">
        <w:rPr>
          <w:rFonts w:ascii="Book Antiqua" w:eastAsia="Book Antiqua" w:hAnsi="Book Antiqua" w:cs="Book Antiqua"/>
          <w:color w:val="000000"/>
        </w:rPr>
        <w:t xml:space="preserve">the </w:t>
      </w:r>
      <w:r>
        <w:rPr>
          <w:rFonts w:ascii="Book Antiqua" w:eastAsia="Book Antiqua" w:hAnsi="Book Antiqua" w:cs="Book Antiqua"/>
          <w:color w:val="000000"/>
        </w:rPr>
        <w:t xml:space="preserve">IMvigor130 study was </w:t>
      </w:r>
      <w:proofErr w:type="gramStart"/>
      <w:r>
        <w:rPr>
          <w:rFonts w:ascii="Book Antiqua" w:eastAsia="Book Antiqua" w:hAnsi="Book Antiqua" w:cs="Book Antiqua"/>
          <w:color w:val="000000"/>
        </w:rPr>
        <w:t>presented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phase 3 trial compared atezolizumab with or without platinum-based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platinum-based chemotherapy in </w:t>
      </w:r>
      <w:r w:rsidR="00795D0E">
        <w:rPr>
          <w:rFonts w:ascii="Book Antiqua" w:eastAsia="Book Antiqua" w:hAnsi="Book Antiqua" w:cs="Book Antiqua"/>
          <w:color w:val="000000"/>
        </w:rPr>
        <w:t xml:space="preserve">the </w:t>
      </w:r>
      <w:r>
        <w:rPr>
          <w:rFonts w:ascii="Book Antiqua" w:eastAsia="Book Antiqua" w:hAnsi="Book Antiqua" w:cs="Book Antiqua"/>
          <w:color w:val="000000"/>
        </w:rPr>
        <w:t>first</w:t>
      </w:r>
      <w:r w:rsidR="00795D0E">
        <w:rPr>
          <w:rFonts w:ascii="Book Antiqua" w:eastAsia="Book Antiqua" w:hAnsi="Book Antiqua" w:cs="Book Antiqua"/>
          <w:color w:val="000000"/>
        </w:rPr>
        <w:t>-</w:t>
      </w:r>
      <w:r>
        <w:rPr>
          <w:rFonts w:ascii="Book Antiqua" w:eastAsia="Book Antiqua" w:hAnsi="Book Antiqua" w:cs="Book Antiqua"/>
          <w:color w:val="000000"/>
        </w:rPr>
        <w:t xml:space="preserve">line </w:t>
      </w:r>
      <w:r w:rsidR="00795D0E">
        <w:rPr>
          <w:rFonts w:ascii="Book Antiqua" w:eastAsia="Book Antiqua" w:hAnsi="Book Antiqua" w:cs="Book Antiqua"/>
          <w:color w:val="000000"/>
        </w:rPr>
        <w:t xml:space="preserve">treatment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The addition of atezolizumab to platinum-based chemotherapy prolonged PFS, which was one of the co-primary endpoints of the trial. In the biomarker analysis</w:t>
      </w:r>
      <w:r w:rsidR="00795D0E">
        <w:rPr>
          <w:rFonts w:ascii="Book Antiqua" w:eastAsia="Book Antiqua" w:hAnsi="Book Antiqua" w:cs="Book Antiqua"/>
          <w:color w:val="000000"/>
        </w:rPr>
        <w:t>,</w:t>
      </w:r>
      <w:r>
        <w:rPr>
          <w:rFonts w:ascii="Book Antiqua" w:eastAsia="Book Antiqua" w:hAnsi="Book Antiqua" w:cs="Book Antiqua"/>
          <w:color w:val="000000"/>
        </w:rPr>
        <w:t xml:space="preserve"> clinical outcomes were evaluated by PD-L1 status, T-effector and TGF-β-response gene expression signature, tumor mutational burden and APOBEC mutation analysis. This exploratory analysis provided additional evidence for biomarkers previously associated with response and resistance to ICI.</w:t>
      </w:r>
    </w:p>
    <w:p w14:paraId="2366BB8F" w14:textId="77777777" w:rsidR="00A77B3E" w:rsidRDefault="00A77B3E">
      <w:pPr>
        <w:spacing w:line="360" w:lineRule="auto"/>
        <w:jc w:val="both"/>
      </w:pPr>
    </w:p>
    <w:p w14:paraId="373614B2" w14:textId="77777777" w:rsidR="00A77B3E" w:rsidRDefault="00EA33F8">
      <w:pPr>
        <w:spacing w:line="360" w:lineRule="auto"/>
        <w:jc w:val="both"/>
      </w:pPr>
      <w:r>
        <w:rPr>
          <w:rFonts w:ascii="Book Antiqua" w:eastAsia="Book Antiqua" w:hAnsi="Book Antiqua" w:cs="Book Antiqua"/>
          <w:b/>
          <w:bCs/>
          <w:caps/>
          <w:color w:val="000000"/>
          <w:u w:val="single"/>
        </w:rPr>
        <w:t>HOW WILL ASCO 2020 CHANGE CLINICAL PRACTICE IN mUC?</w:t>
      </w:r>
    </w:p>
    <w:p w14:paraId="30C4CFE6" w14:textId="448A9A49" w:rsidR="00A77B3E" w:rsidRDefault="00EA33F8">
      <w:pPr>
        <w:spacing w:line="360" w:lineRule="auto"/>
        <w:jc w:val="both"/>
      </w:pPr>
      <w:r>
        <w:rPr>
          <w:rFonts w:ascii="Book Antiqua" w:eastAsia="Book Antiqua" w:hAnsi="Book Antiqua" w:cs="Book Antiqua"/>
          <w:color w:val="000000"/>
        </w:rPr>
        <w:t>Cisplatin-based chemotherapy is the standard first</w:t>
      </w:r>
      <w:r w:rsidR="00033475">
        <w:rPr>
          <w:rFonts w:ascii="Book Antiqua" w:eastAsia="Book Antiqua" w:hAnsi="Book Antiqua" w:cs="Book Antiqua"/>
          <w:color w:val="000000"/>
        </w:rPr>
        <w:t>-</w:t>
      </w:r>
      <w:r>
        <w:rPr>
          <w:rFonts w:ascii="Book Antiqua" w:eastAsia="Book Antiqua" w:hAnsi="Book Antiqua" w:cs="Book Antiqua"/>
          <w:color w:val="000000"/>
        </w:rPr>
        <w:t xml:space="preserve">line treatment for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JAVELIN Bladder 100 met its primary endpoint, demonstrating significantly longer OS with first</w:t>
      </w:r>
      <w:r w:rsidR="00033475">
        <w:rPr>
          <w:rFonts w:ascii="Book Antiqua" w:eastAsia="Book Antiqua" w:hAnsi="Book Antiqua" w:cs="Book Antiqua"/>
          <w:color w:val="000000"/>
        </w:rPr>
        <w:t>-</w:t>
      </w:r>
      <w:r>
        <w:rPr>
          <w:rFonts w:ascii="Book Antiqua" w:eastAsia="Book Antiqua" w:hAnsi="Book Antiqua" w:cs="Book Antiqua"/>
          <w:color w:val="000000"/>
        </w:rPr>
        <w:t>line maintenance avelumab plus BSC compared to BSC alone, in both the overall and PD-L1 positive populations. In addition, all prespecified subgroups benefited from this treatment. According to th</w:t>
      </w:r>
      <w:r w:rsidR="0028072A">
        <w:rPr>
          <w:rFonts w:ascii="Book Antiqua" w:eastAsia="Book Antiqua" w:hAnsi="Book Antiqua" w:cs="Book Antiqua"/>
          <w:color w:val="000000"/>
        </w:rPr>
        <w:t>ese</w:t>
      </w:r>
      <w:r>
        <w:rPr>
          <w:rFonts w:ascii="Book Antiqua" w:eastAsia="Book Antiqua" w:hAnsi="Book Antiqua" w:cs="Book Antiqua"/>
          <w:color w:val="000000"/>
        </w:rPr>
        <w:t xml:space="preserve"> data, first</w:t>
      </w:r>
      <w:r w:rsidR="00033475">
        <w:rPr>
          <w:rFonts w:ascii="Book Antiqua" w:eastAsia="Book Antiqua" w:hAnsi="Book Antiqua" w:cs="Book Antiqua"/>
          <w:color w:val="000000"/>
        </w:rPr>
        <w:t>-</w:t>
      </w:r>
      <w:r>
        <w:rPr>
          <w:rFonts w:ascii="Book Antiqua" w:eastAsia="Book Antiqua" w:hAnsi="Book Antiqua" w:cs="Book Antiqua"/>
          <w:color w:val="000000"/>
        </w:rPr>
        <w:t xml:space="preserve">line maintenance </w:t>
      </w:r>
      <w:r w:rsidR="00033475">
        <w:rPr>
          <w:rFonts w:ascii="Book Antiqua" w:eastAsia="Book Antiqua" w:hAnsi="Book Antiqua" w:cs="Book Antiqua"/>
          <w:color w:val="000000"/>
        </w:rPr>
        <w:t xml:space="preserve">avelumab </w:t>
      </w:r>
      <w:r>
        <w:rPr>
          <w:rFonts w:ascii="Book Antiqua" w:eastAsia="Book Antiqua" w:hAnsi="Book Antiqua" w:cs="Book Antiqua"/>
          <w:color w:val="000000"/>
        </w:rPr>
        <w:t xml:space="preserve">should be offered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 achieved an objective response or stable disease with platinum-based chemotherapy. This includes approximately 85% of patients that start first</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platinum-based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Those with primary refractory disease (15%) should receive second</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w:t>
      </w:r>
      <w:r w:rsidR="009230E3">
        <w:rPr>
          <w:rFonts w:ascii="Book Antiqua" w:eastAsia="Book Antiqua" w:hAnsi="Book Antiqua" w:cs="Book Antiqua"/>
          <w:color w:val="000000"/>
        </w:rPr>
        <w:t xml:space="preserve">treatment </w:t>
      </w:r>
      <w:r>
        <w:rPr>
          <w:rFonts w:ascii="Book Antiqua" w:eastAsia="Book Antiqua" w:hAnsi="Book Antiqua" w:cs="Book Antiqua"/>
          <w:color w:val="000000"/>
        </w:rPr>
        <w:t>with ICI</w:t>
      </w:r>
      <w:r w:rsidR="002E2FB4">
        <w:rPr>
          <w:rFonts w:ascii="Book Antiqua" w:eastAsia="Book Antiqua" w:hAnsi="Book Antiqua" w:cs="Book Antiqua"/>
          <w:color w:val="000000"/>
        </w:rPr>
        <w:t>s</w:t>
      </w:r>
      <w:r>
        <w:rPr>
          <w:rFonts w:ascii="Book Antiqua" w:eastAsia="Book Antiqua" w:hAnsi="Book Antiqua" w:cs="Book Antiqua"/>
          <w:color w:val="000000"/>
        </w:rPr>
        <w:t>. Nevertheless, only 25</w:t>
      </w:r>
      <w:r w:rsidR="00B31E7F">
        <w:rPr>
          <w:rFonts w:ascii="Book Antiqua" w:eastAsia="Book Antiqua" w:hAnsi="Book Antiqua" w:cs="Book Antiqua"/>
          <w:color w:val="000000"/>
        </w:rPr>
        <w:t>%</w:t>
      </w:r>
      <w:r>
        <w:rPr>
          <w:rFonts w:ascii="Book Antiqua" w:eastAsia="Book Antiqua" w:hAnsi="Book Antiqua" w:cs="Book Antiqua"/>
          <w:color w:val="000000"/>
        </w:rPr>
        <w:t>-55% of patients that progress after first</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treatment receive new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A maintenance strategy is a chance to increase the number of patients that will receive ICI therapy. In this context, there are other trials assessing the combination of ICI and chemotherapy in first-line treatment. The IMvigor130 study has recently </w:t>
      </w:r>
      <w:r w:rsidR="009230E3">
        <w:rPr>
          <w:rFonts w:ascii="Book Antiqua" w:eastAsia="Book Antiqua" w:hAnsi="Book Antiqua" w:cs="Book Antiqua"/>
          <w:color w:val="000000"/>
        </w:rPr>
        <w:t xml:space="preserve">been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Its co-primary endpoints were PFS and OS. The combination of atezolizumab with platinum-based chemotherapy as first-line treatment prolonged PFS 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A statistically significant </w:t>
      </w:r>
      <w:r w:rsidR="006508DE">
        <w:rPr>
          <w:rFonts w:ascii="Book Antiqua" w:eastAsia="Book Antiqua" w:hAnsi="Book Antiqua" w:cs="Book Antiqua"/>
          <w:color w:val="000000"/>
        </w:rPr>
        <w:t>OS</w:t>
      </w:r>
      <w:r>
        <w:rPr>
          <w:rFonts w:ascii="Book Antiqua" w:eastAsia="Book Antiqua" w:hAnsi="Book Antiqua" w:cs="Book Antiqua"/>
          <w:color w:val="000000"/>
        </w:rPr>
        <w:t xml:space="preserve"> advantage was not observed in the interim analysis, however, these data are immature and a longer follow-up is needed. </w:t>
      </w:r>
      <w:r w:rsidR="009230E3">
        <w:rPr>
          <w:rFonts w:ascii="Book Antiqua" w:eastAsia="Book Antiqua" w:hAnsi="Book Antiqua" w:cs="Book Antiqua"/>
          <w:color w:val="000000"/>
        </w:rPr>
        <w:t>F</w:t>
      </w:r>
      <w:r>
        <w:rPr>
          <w:rFonts w:ascii="Book Antiqua" w:eastAsia="Book Antiqua" w:hAnsi="Book Antiqua" w:cs="Book Antiqua"/>
          <w:color w:val="000000"/>
        </w:rPr>
        <w:t>irst</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maintenance </w:t>
      </w:r>
      <w:r w:rsidR="009230E3">
        <w:rPr>
          <w:rFonts w:ascii="Book Antiqua" w:eastAsia="Book Antiqua" w:hAnsi="Book Antiqua" w:cs="Book Antiqua"/>
          <w:color w:val="000000"/>
        </w:rPr>
        <w:lastRenderedPageBreak/>
        <w:t xml:space="preserve">avelumab </w:t>
      </w:r>
      <w:r>
        <w:rPr>
          <w:rFonts w:ascii="Book Antiqua" w:eastAsia="Book Antiqua" w:hAnsi="Book Antiqua" w:cs="Book Antiqua"/>
          <w:color w:val="000000"/>
        </w:rPr>
        <w:t xml:space="preserve">in patients with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whose disease has not progressed with platinum</w:t>
      </w:r>
      <w:r w:rsidR="00985EE8">
        <w:rPr>
          <w:rFonts w:ascii="Book Antiqua" w:eastAsia="Book Antiqua" w:hAnsi="Book Antiqua" w:cs="Book Antiqua"/>
          <w:color w:val="000000"/>
        </w:rPr>
        <w:t>-</w:t>
      </w:r>
      <w:r>
        <w:rPr>
          <w:rFonts w:ascii="Book Antiqua" w:eastAsia="Book Antiqua" w:hAnsi="Book Antiqua" w:cs="Book Antiqua"/>
          <w:color w:val="000000"/>
        </w:rPr>
        <w:t>based chemotherapy should be considered a new standard of care.</w:t>
      </w:r>
    </w:p>
    <w:p w14:paraId="08E5914A" w14:textId="029C657D" w:rsidR="00A77B3E" w:rsidRDefault="00EA33F8" w:rsidP="00B31E7F">
      <w:pPr>
        <w:spacing w:line="360" w:lineRule="auto"/>
        <w:ind w:firstLineChars="100" w:firstLine="240"/>
        <w:jc w:val="both"/>
      </w:pPr>
      <w:r>
        <w:rPr>
          <w:rFonts w:ascii="Book Antiqua" w:eastAsia="Book Antiqua" w:hAnsi="Book Antiqua" w:cs="Book Antiqua"/>
          <w:color w:val="000000"/>
        </w:rPr>
        <w:t xml:space="preserve">Despite the approval of erdafitinib by </w:t>
      </w:r>
      <w:r w:rsidR="009230E3">
        <w:rPr>
          <w:rFonts w:ascii="Book Antiqua" w:eastAsia="Book Antiqua" w:hAnsi="Book Antiqua" w:cs="Book Antiqua"/>
          <w:color w:val="000000"/>
        </w:rPr>
        <w:t xml:space="preserve">the </w:t>
      </w:r>
      <w:r>
        <w:rPr>
          <w:rFonts w:ascii="Book Antiqua" w:eastAsia="Book Antiqua" w:hAnsi="Book Antiqua" w:cs="Book Antiqua"/>
          <w:color w:val="000000"/>
        </w:rPr>
        <w:t xml:space="preserve">FDA, the European Medicines Agency (EMA) has not authorized it yet. The benefit from FGFR inhibitors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patients with FGFR alterations has been demonstrated in different clinical trials. The long-term outcomes from </w:t>
      </w:r>
      <w:r w:rsidR="009230E3">
        <w:rPr>
          <w:rFonts w:ascii="Book Antiqua" w:eastAsia="Book Antiqua" w:hAnsi="Book Antiqua" w:cs="Book Antiqua"/>
          <w:color w:val="000000"/>
        </w:rPr>
        <w:t xml:space="preserve">the </w:t>
      </w:r>
      <w:r>
        <w:rPr>
          <w:rFonts w:ascii="Book Antiqua" w:eastAsia="Book Antiqua" w:hAnsi="Book Antiqua" w:cs="Book Antiqua"/>
          <w:color w:val="000000"/>
        </w:rPr>
        <w:t>phase II erdafitinib study confirm the efficacy results observed in the interim analysis. In addition, new strategies are being evaluated such as combination</w:t>
      </w:r>
      <w:r w:rsidR="009230E3">
        <w:rPr>
          <w:rFonts w:ascii="Book Antiqua" w:eastAsia="Book Antiqua" w:hAnsi="Book Antiqua" w:cs="Book Antiqua"/>
          <w:color w:val="000000"/>
        </w:rPr>
        <w:t>s</w:t>
      </w:r>
      <w:r>
        <w:rPr>
          <w:rFonts w:ascii="Book Antiqua" w:eastAsia="Book Antiqua" w:hAnsi="Book Antiqua" w:cs="Book Antiqua"/>
          <w:color w:val="000000"/>
        </w:rPr>
        <w:t xml:space="preserve"> with other drugs and their role in prior lines or earlier stages. Although data from phase 3 trials are pending and some strategies are still under development, FGFR inhibitors will probably be included in the treatment algorithm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in </w:t>
      </w:r>
      <w:r w:rsidR="009230E3">
        <w:rPr>
          <w:rFonts w:ascii="Book Antiqua" w:eastAsia="Book Antiqua" w:hAnsi="Book Antiqua" w:cs="Book Antiqua"/>
          <w:color w:val="000000"/>
        </w:rPr>
        <w:t>the</w:t>
      </w:r>
      <w:r>
        <w:rPr>
          <w:rFonts w:ascii="Book Antiqua" w:eastAsia="Book Antiqua" w:hAnsi="Book Antiqua" w:cs="Book Antiqua"/>
          <w:color w:val="000000"/>
        </w:rPr>
        <w:t xml:space="preserve"> near future.</w:t>
      </w:r>
    </w:p>
    <w:p w14:paraId="24541B95" w14:textId="3E6E7D19" w:rsidR="00A77B3E" w:rsidRDefault="00EA33F8" w:rsidP="00B31E7F">
      <w:pPr>
        <w:spacing w:line="360" w:lineRule="auto"/>
        <w:ind w:firstLineChars="100" w:firstLine="240"/>
        <w:jc w:val="both"/>
      </w:pPr>
      <w:r>
        <w:rPr>
          <w:rFonts w:ascii="Book Antiqua" w:eastAsia="Book Antiqua" w:hAnsi="Book Antiqua" w:cs="Book Antiqua"/>
          <w:color w:val="000000"/>
        </w:rPr>
        <w:t>ICI is the standard of care for the second</w:t>
      </w:r>
      <w:r w:rsidR="009230E3">
        <w:rPr>
          <w:rFonts w:ascii="Book Antiqua" w:eastAsia="Book Antiqua" w:hAnsi="Book Antiqua" w:cs="Book Antiqua"/>
          <w:color w:val="000000"/>
        </w:rPr>
        <w:t>-</w:t>
      </w:r>
      <w:r>
        <w:rPr>
          <w:rFonts w:ascii="Book Antiqua" w:eastAsia="Book Antiqua" w:hAnsi="Book Antiqua" w:cs="Book Antiqua"/>
          <w:color w:val="000000"/>
        </w:rPr>
        <w:t xml:space="preserve">line treatment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Despite this, only a subset of patients responds to these therapies. The research </w:t>
      </w:r>
      <w:r w:rsidR="009230E3">
        <w:rPr>
          <w:rFonts w:ascii="Book Antiqua" w:eastAsia="Book Antiqua" w:hAnsi="Book Antiqua" w:cs="Book Antiqua"/>
          <w:color w:val="000000"/>
        </w:rPr>
        <w:t>for</w:t>
      </w:r>
      <w:r>
        <w:rPr>
          <w:rFonts w:ascii="Book Antiqua" w:eastAsia="Book Antiqua" w:hAnsi="Book Antiqua" w:cs="Book Antiqua"/>
          <w:color w:val="000000"/>
        </w:rPr>
        <w:t xml:space="preserve"> new strategies to increase the number of patients that benefit from ICI is one of the most important points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management. In this direction, several clinical trials are assessing different combinations with promising results in phase II studies. Nevertheless, no randomized trials have shown superiority over ICI monotherapy. However, the probable position of immunotherapy in the first</w:t>
      </w:r>
      <w:r w:rsidR="009230E3">
        <w:rPr>
          <w:rFonts w:ascii="Book Antiqua" w:eastAsia="Book Antiqua" w:hAnsi="Book Antiqua" w:cs="Book Antiqua"/>
          <w:color w:val="000000"/>
        </w:rPr>
        <w:t>-</w:t>
      </w:r>
      <w:r>
        <w:rPr>
          <w:rFonts w:ascii="Book Antiqua" w:eastAsia="Book Antiqua" w:hAnsi="Book Antiqua" w:cs="Book Antiqua"/>
          <w:color w:val="000000"/>
        </w:rPr>
        <w:t>line setting could modify these strategies.</w:t>
      </w:r>
    </w:p>
    <w:p w14:paraId="726EA9F6" w14:textId="3EA8A53D" w:rsidR="00A77B3E" w:rsidRDefault="00EA33F8" w:rsidP="00B31E7F">
      <w:pPr>
        <w:spacing w:line="360" w:lineRule="auto"/>
        <w:ind w:firstLineChars="100" w:firstLine="240"/>
        <w:jc w:val="both"/>
      </w:pPr>
      <w:r>
        <w:rPr>
          <w:rFonts w:ascii="Book Antiqua" w:eastAsia="Book Antiqua" w:hAnsi="Book Antiqua" w:cs="Book Antiqua"/>
          <w:color w:val="000000"/>
        </w:rPr>
        <w:t xml:space="preserve">PD-L1 expression </w:t>
      </w:r>
      <w:r w:rsidR="009230E3">
        <w:rPr>
          <w:rFonts w:ascii="Book Antiqua" w:eastAsia="Book Antiqua" w:hAnsi="Book Antiqua" w:cs="Book Antiqua"/>
          <w:color w:val="000000"/>
        </w:rPr>
        <w:t>in</w:t>
      </w:r>
      <w:r>
        <w:rPr>
          <w:rFonts w:ascii="Book Antiqua" w:eastAsia="Book Antiqua" w:hAnsi="Book Antiqua" w:cs="Book Antiqua"/>
          <w:color w:val="000000"/>
        </w:rPr>
        <w:t xml:space="preserve"> ineligible cisplatin patients is the only biomarker that has been integrated in clinical practice regarding ICI use in </w:t>
      </w:r>
      <w:proofErr w:type="spellStart"/>
      <w:proofErr w:type="gramStart"/>
      <w:r>
        <w:rPr>
          <w:rFonts w:ascii="Book Antiqua" w:eastAsia="Book Antiqua" w:hAnsi="Book Antiqua" w:cs="Book Antiqua"/>
          <w:color w:val="000000"/>
        </w:rPr>
        <w:t>mUC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development of biomarkers could be useful to identify patients who will benefit from the different treatment strategies, focusing on their potential predictive role rather than their solely prognostic nature. Biomarkers associated with response and intrinsic resistance to ICI</w:t>
      </w:r>
      <w:r w:rsidR="002E2FB4">
        <w:rPr>
          <w:rFonts w:ascii="Book Antiqua" w:eastAsia="Book Antiqua" w:hAnsi="Book Antiqua" w:cs="Book Antiqua"/>
          <w:color w:val="000000"/>
        </w:rPr>
        <w:t>s</w:t>
      </w:r>
      <w:r>
        <w:rPr>
          <w:rFonts w:ascii="Book Antiqua" w:eastAsia="Book Antiqua" w:hAnsi="Book Antiqua" w:cs="Book Antiqua"/>
          <w:color w:val="000000"/>
        </w:rPr>
        <w:t xml:space="preserve"> have previously been identified in urothelial cancer. However, predictive biomarkers for combination regimens or maintenance therapy remain uncertain. It is necessary to integrate biomarker analysis in every clinical trial to identify patients who will benefit from each treatment strategy.</w:t>
      </w:r>
    </w:p>
    <w:p w14:paraId="1A7B3B74" w14:textId="77777777" w:rsidR="00A77B3E" w:rsidRDefault="00A77B3E">
      <w:pPr>
        <w:spacing w:line="360" w:lineRule="auto"/>
        <w:jc w:val="both"/>
      </w:pPr>
    </w:p>
    <w:p w14:paraId="04A49900" w14:textId="77777777" w:rsidR="00A77B3E" w:rsidRDefault="00EA33F8">
      <w:pPr>
        <w:spacing w:line="360" w:lineRule="auto"/>
        <w:jc w:val="both"/>
      </w:pPr>
      <w:r>
        <w:rPr>
          <w:rFonts w:ascii="Book Antiqua" w:eastAsia="Book Antiqua" w:hAnsi="Book Antiqua" w:cs="Book Antiqua"/>
          <w:b/>
          <w:caps/>
          <w:color w:val="000000"/>
          <w:u w:val="single"/>
        </w:rPr>
        <w:t>CONCLUSION</w:t>
      </w:r>
    </w:p>
    <w:p w14:paraId="398E4FE5" w14:textId="7B16DE74" w:rsidR="00A77B3E" w:rsidRDefault="00EA33F8">
      <w:pPr>
        <w:spacing w:line="360" w:lineRule="auto"/>
        <w:jc w:val="both"/>
      </w:pPr>
      <w:r>
        <w:rPr>
          <w:rFonts w:ascii="Book Antiqua" w:eastAsia="Book Antiqua" w:hAnsi="Book Antiqua" w:cs="Book Antiqua"/>
          <w:color w:val="000000"/>
        </w:rPr>
        <w:lastRenderedPageBreak/>
        <w:t xml:space="preserve">JAVELIN Bladder 100 was one of the most important studies presented at ASCO 2020. Avelumab maintenance </w:t>
      </w:r>
      <w:r w:rsidR="009230E3">
        <w:rPr>
          <w:rFonts w:ascii="Book Antiqua" w:eastAsia="Book Antiqua" w:hAnsi="Book Antiqua" w:cs="Book Antiqua"/>
          <w:color w:val="000000"/>
        </w:rPr>
        <w:t xml:space="preserve">treatment </w:t>
      </w:r>
      <w:r>
        <w:rPr>
          <w:rFonts w:ascii="Book Antiqua" w:eastAsia="Book Antiqua" w:hAnsi="Book Antiqua" w:cs="Book Antiqua"/>
          <w:color w:val="000000"/>
        </w:rPr>
        <w:t>after first</w:t>
      </w:r>
      <w:r w:rsidR="009230E3">
        <w:rPr>
          <w:rFonts w:ascii="Book Antiqua" w:eastAsia="Book Antiqua" w:hAnsi="Book Antiqua" w:cs="Book Antiqua"/>
          <w:color w:val="000000"/>
        </w:rPr>
        <w:t>-</w:t>
      </w:r>
      <w:r>
        <w:rPr>
          <w:rFonts w:ascii="Book Antiqua" w:eastAsia="Book Antiqua" w:hAnsi="Book Antiqua" w:cs="Book Antiqua"/>
          <w:color w:val="000000"/>
        </w:rPr>
        <w:t>line chemotherapy will change our standard of practice. Other clinical trials in this setting could offer new treatment strategies. Biomarker analysis should help us to identify the best treatment option in every single patient. Moreover, new drugs are being incorporated in the t</w:t>
      </w:r>
      <w:r w:rsidR="009230E3">
        <w:rPr>
          <w:rFonts w:ascii="Book Antiqua" w:eastAsia="Book Antiqua" w:hAnsi="Book Antiqua" w:cs="Book Antiqua"/>
          <w:color w:val="000000"/>
        </w:rPr>
        <w:t>herapeutic</w:t>
      </w:r>
      <w:r>
        <w:rPr>
          <w:rFonts w:ascii="Book Antiqua" w:eastAsia="Book Antiqua" w:hAnsi="Book Antiqua" w:cs="Book Antiqua"/>
          <w:color w:val="000000"/>
        </w:rPr>
        <w:t xml:space="preserve"> landscape of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The integration of all these treatment opportunities for our patients will be one of the most important challenges in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management.</w:t>
      </w:r>
    </w:p>
    <w:p w14:paraId="2919D9D5" w14:textId="77777777" w:rsidR="00A77B3E" w:rsidRDefault="00A77B3E">
      <w:pPr>
        <w:spacing w:line="360" w:lineRule="auto"/>
        <w:jc w:val="both"/>
      </w:pPr>
    </w:p>
    <w:p w14:paraId="5FC685B0" w14:textId="77777777" w:rsidR="00A77B3E" w:rsidRDefault="00EA33F8">
      <w:pPr>
        <w:spacing w:line="360" w:lineRule="auto"/>
        <w:jc w:val="both"/>
      </w:pPr>
      <w:r>
        <w:rPr>
          <w:rFonts w:ascii="Book Antiqua" w:eastAsia="Book Antiqua" w:hAnsi="Book Antiqua" w:cs="Book Antiqua"/>
          <w:b/>
          <w:color w:val="000000"/>
        </w:rPr>
        <w:t>REFERENCES</w:t>
      </w:r>
    </w:p>
    <w:p w14:paraId="5E038B73" w14:textId="77777777" w:rsidR="00A77B3E" w:rsidRDefault="00EA33F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909A4CD" w14:textId="77777777" w:rsidR="00A77B3E" w:rsidRDefault="00EA33F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McKenney</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Paner</w:t>
      </w:r>
      <w:proofErr w:type="spellEnd"/>
      <w:r>
        <w:rPr>
          <w:rFonts w:ascii="Book Antiqua" w:eastAsia="Book Antiqua" w:hAnsi="Book Antiqua" w:cs="Book Antiqua"/>
          <w:color w:val="000000"/>
        </w:rPr>
        <w:t xml:space="preserve"> GP, Hansel DE, </w:t>
      </w:r>
      <w:proofErr w:type="spellStart"/>
      <w:r>
        <w:rPr>
          <w:rFonts w:ascii="Book Antiqua" w:eastAsia="Book Antiqua" w:hAnsi="Book Antiqua" w:cs="Book Antiqua"/>
          <w:color w:val="000000"/>
        </w:rPr>
        <w:t>Grignon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Montironi</w:t>
      </w:r>
      <w:proofErr w:type="spellEnd"/>
      <w:r>
        <w:rPr>
          <w:rFonts w:ascii="Book Antiqua" w:eastAsia="Book Antiqua" w:hAnsi="Book Antiqua" w:cs="Book Antiqua"/>
          <w:color w:val="000000"/>
        </w:rPr>
        <w:t xml:space="preserve"> R, Lin O, </w:t>
      </w:r>
      <w:proofErr w:type="spellStart"/>
      <w:r>
        <w:rPr>
          <w:rFonts w:ascii="Book Antiqua" w:eastAsia="Book Antiqua" w:hAnsi="Book Antiqua" w:cs="Book Antiqua"/>
          <w:color w:val="000000"/>
        </w:rPr>
        <w:t>Jorda</w:t>
      </w:r>
      <w:proofErr w:type="spellEnd"/>
      <w:r>
        <w:rPr>
          <w:rFonts w:ascii="Book Antiqua" w:eastAsia="Book Antiqua" w:hAnsi="Book Antiqua" w:cs="Book Antiqua"/>
          <w:color w:val="000000"/>
        </w:rPr>
        <w:t xml:space="preserve"> M, Jenkins LC, Soloway M, Epstein JI, Reuter VE; International Consultation on Urologic Disease-European Association of Urology Consultation on Bladder Cancer 2012. ICUD-EAU International Consultation on Bladder Cancer 2012: Pathology.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63</w:t>
      </w:r>
      <w:r>
        <w:rPr>
          <w:rFonts w:ascii="Book Antiqua" w:eastAsia="Book Antiqua" w:hAnsi="Book Antiqua" w:cs="Book Antiqua"/>
          <w:color w:val="000000"/>
        </w:rPr>
        <w:t>: 16-35 [PMID: 23083804 DOI: 10.1016/j.eururo.2012.09.063]</w:t>
      </w:r>
    </w:p>
    <w:p w14:paraId="12042724" w14:textId="77777777" w:rsidR="00A77B3E" w:rsidRDefault="00EA33F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Bellmunt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Orsola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Wiegel</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Santis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Horwich</w:t>
      </w:r>
      <w:proofErr w:type="spellEnd"/>
      <w:r>
        <w:rPr>
          <w:rFonts w:ascii="Book Antiqua" w:eastAsia="Book Antiqua" w:hAnsi="Book Antiqua" w:cs="Book Antiqua"/>
          <w:color w:val="000000"/>
        </w:rPr>
        <w:t xml:space="preserve"> A; ESMO Guidelines Working Group. Bladder cancer: ESMO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 xml:space="preserve">25 </w:t>
      </w:r>
      <w:r w:rsidRPr="003A1DEC">
        <w:rPr>
          <w:rFonts w:ascii="Book Antiqua" w:eastAsia="Book Antiqua" w:hAnsi="Book Antiqua" w:cs="Book Antiqua"/>
          <w:color w:val="000000"/>
        </w:rPr>
        <w:t>Suppl 3</w:t>
      </w:r>
      <w:r>
        <w:rPr>
          <w:rFonts w:ascii="Book Antiqua" w:eastAsia="Book Antiqua" w:hAnsi="Book Antiqua" w:cs="Book Antiqua"/>
          <w:color w:val="000000"/>
        </w:rPr>
        <w:t>: iii40-iii48 [PMID: 25096609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/mdu223]</w:t>
      </w:r>
    </w:p>
    <w:p w14:paraId="445E3B50" w14:textId="2A9ADEFE" w:rsidR="00A77B3E" w:rsidRDefault="00EA33F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von der </w:t>
      </w:r>
      <w:proofErr w:type="spellStart"/>
      <w:r>
        <w:rPr>
          <w:rFonts w:ascii="Book Antiqua" w:eastAsia="Book Antiqua" w:hAnsi="Book Antiqua" w:cs="Book Antiqua"/>
          <w:b/>
          <w:bCs/>
          <w:color w:val="000000"/>
        </w:rPr>
        <w:t>Maase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Hansen SW, Roberts JT, </w:t>
      </w:r>
      <w:proofErr w:type="spellStart"/>
      <w:r>
        <w:rPr>
          <w:rFonts w:ascii="Book Antiqua" w:eastAsia="Book Antiqua" w:hAnsi="Book Antiqua" w:cs="Book Antiqua"/>
          <w:color w:val="000000"/>
        </w:rPr>
        <w:t>Dogliotti</w:t>
      </w:r>
      <w:proofErr w:type="spellEnd"/>
      <w:r>
        <w:rPr>
          <w:rFonts w:ascii="Book Antiqua" w:eastAsia="Book Antiqua" w:hAnsi="Book Antiqua" w:cs="Book Antiqua"/>
          <w:color w:val="000000"/>
        </w:rPr>
        <w:t xml:space="preserve"> L, Oliver T, Moore MJ, </w:t>
      </w:r>
      <w:proofErr w:type="spellStart"/>
      <w:r>
        <w:rPr>
          <w:rFonts w:ascii="Book Antiqua" w:eastAsia="Book Antiqua" w:hAnsi="Book Antiqua" w:cs="Book Antiqua"/>
          <w:color w:val="000000"/>
        </w:rPr>
        <w:t>Bodrogi</w:t>
      </w:r>
      <w:proofErr w:type="spellEnd"/>
      <w:r>
        <w:rPr>
          <w:rFonts w:ascii="Book Antiqua" w:eastAsia="Book Antiqua" w:hAnsi="Book Antiqua" w:cs="Book Antiqua"/>
          <w:color w:val="000000"/>
        </w:rPr>
        <w:t xml:space="preserve"> I, Albers P, Knuth A, </w:t>
      </w:r>
      <w:proofErr w:type="spellStart"/>
      <w:r>
        <w:rPr>
          <w:rFonts w:ascii="Book Antiqua" w:eastAsia="Book Antiqua" w:hAnsi="Book Antiqua" w:cs="Book Antiqua"/>
          <w:color w:val="000000"/>
        </w:rPr>
        <w:t>Lippert</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Kerbrat</w:t>
      </w:r>
      <w:proofErr w:type="spellEnd"/>
      <w:r>
        <w:rPr>
          <w:rFonts w:ascii="Book Antiqua" w:eastAsia="Book Antiqua" w:hAnsi="Book Antiqua" w:cs="Book Antiqua"/>
          <w:color w:val="000000"/>
        </w:rPr>
        <w:t xml:space="preserve"> P, Sanchez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Wersall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Cleall</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Roychowdhury</w:t>
      </w:r>
      <w:proofErr w:type="spellEnd"/>
      <w:r>
        <w:rPr>
          <w:rFonts w:ascii="Book Antiqua" w:eastAsia="Book Antiqua" w:hAnsi="Book Antiqua" w:cs="Book Antiqua"/>
          <w:color w:val="000000"/>
        </w:rPr>
        <w:t xml:space="preserve"> DF, Tomlin I, </w:t>
      </w:r>
      <w:proofErr w:type="spellStart"/>
      <w:r>
        <w:rPr>
          <w:rFonts w:ascii="Book Antiqua" w:eastAsia="Book Antiqua" w:hAnsi="Book Antiqua" w:cs="Book Antiqua"/>
          <w:color w:val="000000"/>
        </w:rPr>
        <w:t>Visseren-Grul</w:t>
      </w:r>
      <w:proofErr w:type="spellEnd"/>
      <w:r>
        <w:rPr>
          <w:rFonts w:ascii="Book Antiqua" w:eastAsia="Book Antiqua" w:hAnsi="Book Antiqua" w:cs="Book Antiqua"/>
          <w:color w:val="000000"/>
        </w:rPr>
        <w:t xml:space="preserve"> CM, Conte PF. Gemcitabine and cisplatin </w:t>
      </w:r>
      <w:r>
        <w:rPr>
          <w:rFonts w:ascii="Book Antiqua" w:eastAsia="Book Antiqua" w:hAnsi="Book Antiqua" w:cs="Book Antiqua"/>
          <w:i/>
          <w:iCs/>
          <w:color w:val="000000"/>
        </w:rPr>
        <w:t>v</w:t>
      </w:r>
      <w:r w:rsidR="00947795">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methotrexate, vinblastine, doxorubicin, and cisplatin in advanced or metastatic bladder cancer: results of a large, randomized, multinational, multicenter, phase III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3068-3077 [PMID: 11001674 DOI: 10.1200/JCO.2000.18.17.3068]</w:t>
      </w:r>
    </w:p>
    <w:p w14:paraId="6E163E7B" w14:textId="77777777" w:rsidR="00A77B3E" w:rsidRDefault="00EA33F8">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Santis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Mead G, </w:t>
      </w:r>
      <w:proofErr w:type="spellStart"/>
      <w:r>
        <w:rPr>
          <w:rFonts w:ascii="Book Antiqua" w:eastAsia="Book Antiqua" w:hAnsi="Book Antiqua" w:cs="Book Antiqua"/>
          <w:color w:val="000000"/>
        </w:rPr>
        <w:t>Kerst</w:t>
      </w:r>
      <w:proofErr w:type="spellEnd"/>
      <w:r>
        <w:rPr>
          <w:rFonts w:ascii="Book Antiqua" w:eastAsia="Book Antiqua" w:hAnsi="Book Antiqua" w:cs="Book Antiqua"/>
          <w:color w:val="000000"/>
        </w:rPr>
        <w:t xml:space="preserve"> JM, Leahy M, </w:t>
      </w:r>
      <w:proofErr w:type="spellStart"/>
      <w:r>
        <w:rPr>
          <w:rFonts w:ascii="Book Antiqua" w:eastAsia="Book Antiqua" w:hAnsi="Book Antiqua" w:cs="Book Antiqua"/>
          <w:color w:val="000000"/>
        </w:rPr>
        <w:t>Maroto</w:t>
      </w:r>
      <w:proofErr w:type="spellEnd"/>
      <w:r>
        <w:rPr>
          <w:rFonts w:ascii="Book Antiqua" w:eastAsia="Book Antiqua" w:hAnsi="Book Antiqua" w:cs="Book Antiqua"/>
          <w:color w:val="000000"/>
        </w:rPr>
        <w:t xml:space="preserve"> P, Gil T, </w:t>
      </w:r>
      <w:proofErr w:type="spellStart"/>
      <w:r>
        <w:rPr>
          <w:rFonts w:ascii="Book Antiqua" w:eastAsia="Book Antiqua" w:hAnsi="Book Antiqua" w:cs="Book Antiqua"/>
          <w:color w:val="000000"/>
        </w:rPr>
        <w:t>Marreaud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Daugaard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Skoneczna</w:t>
      </w:r>
      <w:proofErr w:type="spellEnd"/>
      <w:r>
        <w:rPr>
          <w:rFonts w:ascii="Book Antiqua" w:eastAsia="Book Antiqua" w:hAnsi="Book Antiqua" w:cs="Book Antiqua"/>
          <w:color w:val="000000"/>
        </w:rPr>
        <w:t xml:space="preserve"> I, Collette S, </w:t>
      </w:r>
      <w:proofErr w:type="spellStart"/>
      <w:r>
        <w:rPr>
          <w:rFonts w:ascii="Book Antiqua" w:eastAsia="Book Antiqua" w:hAnsi="Book Antiqua" w:cs="Book Antiqua"/>
          <w:color w:val="000000"/>
        </w:rPr>
        <w:t>Lorent</w:t>
      </w:r>
      <w:proofErr w:type="spellEnd"/>
      <w:r>
        <w:rPr>
          <w:rFonts w:ascii="Book Antiqua" w:eastAsia="Book Antiqua" w:hAnsi="Book Antiqua" w:cs="Book Antiqua"/>
          <w:color w:val="000000"/>
        </w:rPr>
        <w:t xml:space="preserve"> J, de Wit R, Sylvester R. Randomized phase II/III trial assessing gemcitabine/carboplatin and methotrexate/carboplatin/vinblastine in patients with advanced urothelial cancer who are unfit for cisplatin-based chemotherapy: EORTC study 30986.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191-199 [PMID: 22162575 DOI: 10.1200/JCO.2011.37.3571]</w:t>
      </w:r>
    </w:p>
    <w:p w14:paraId="6667ED64" w14:textId="77777777" w:rsidR="00A77B3E" w:rsidRDefault="00EA33F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Suzman</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S, Ning YM, Maher VE,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Karuri</w:t>
      </w:r>
      <w:proofErr w:type="spellEnd"/>
      <w:r>
        <w:rPr>
          <w:rFonts w:ascii="Book Antiqua" w:eastAsia="Book Antiqua" w:hAnsi="Book Antiqua" w:cs="Book Antiqua"/>
          <w:color w:val="000000"/>
        </w:rPr>
        <w:t xml:space="preserve"> S, Tang S, </w:t>
      </w:r>
      <w:proofErr w:type="spellStart"/>
      <w:r>
        <w:rPr>
          <w:rFonts w:ascii="Book Antiqua" w:eastAsia="Book Antiqua" w:hAnsi="Book Antiqua" w:cs="Book Antiqua"/>
          <w:color w:val="000000"/>
        </w:rPr>
        <w:t>Sridhara</w:t>
      </w:r>
      <w:proofErr w:type="spellEnd"/>
      <w:r>
        <w:rPr>
          <w:rFonts w:ascii="Book Antiqua" w:eastAsia="Book Antiqua" w:hAnsi="Book Antiqua" w:cs="Book Antiqua"/>
          <w:color w:val="000000"/>
        </w:rPr>
        <w:t xml:space="preserve"> R, Schroeder J, Goldberg KB, Ibrahim A, McKee AE, </w:t>
      </w:r>
      <w:proofErr w:type="spellStart"/>
      <w:r>
        <w:rPr>
          <w:rFonts w:ascii="Book Antiqua" w:eastAsia="Book Antiqua" w:hAnsi="Book Antiqua" w:cs="Book Antiqua"/>
          <w:color w:val="000000"/>
        </w:rPr>
        <w:t>Pazdur</w:t>
      </w:r>
      <w:proofErr w:type="spellEnd"/>
      <w:r>
        <w:rPr>
          <w:rFonts w:ascii="Book Antiqua" w:eastAsia="Book Antiqua" w:hAnsi="Book Antiqua" w:cs="Book Antiqua"/>
          <w:color w:val="000000"/>
        </w:rPr>
        <w:t xml:space="preserve"> R, Beaver JA. FDA Approval Summary: Atezolizumab or Pembrolizumab for the Treatment of Patients with Advanced Urothelial Carcinoma Ineligible for Cisplatin-Containing Chemotherapy.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563-569 [PMID: 30541754 DOI: 10.1634/theoncologist.2018-0084]</w:t>
      </w:r>
    </w:p>
    <w:p w14:paraId="3C0B0725" w14:textId="77777777" w:rsidR="00A77B3E" w:rsidRDefault="00EA33F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Balar</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Rosenberg JE, </w:t>
      </w:r>
      <w:proofErr w:type="spellStart"/>
      <w:r>
        <w:rPr>
          <w:rFonts w:ascii="Book Antiqua" w:eastAsia="Book Antiqua" w:hAnsi="Book Antiqua" w:cs="Book Antiqua"/>
          <w:color w:val="000000"/>
        </w:rPr>
        <w:t>Powles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Hoffman-</w:t>
      </w:r>
      <w:proofErr w:type="spellStart"/>
      <w:r>
        <w:rPr>
          <w:rFonts w:ascii="Book Antiqua" w:eastAsia="Book Antiqua" w:hAnsi="Book Antiqua" w:cs="Book Antiqua"/>
          <w:color w:val="000000"/>
        </w:rPr>
        <w:t>Censits</w:t>
      </w:r>
      <w:proofErr w:type="spellEnd"/>
      <w:r>
        <w:rPr>
          <w:rFonts w:ascii="Book Antiqua" w:eastAsia="Book Antiqua" w:hAnsi="Book Antiqua" w:cs="Book Antiqua"/>
          <w:color w:val="000000"/>
        </w:rPr>
        <w:t xml:space="preserve"> J, Perez-</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JL, Dawson NA, van der </w:t>
      </w:r>
      <w:proofErr w:type="spellStart"/>
      <w:r>
        <w:rPr>
          <w:rFonts w:ascii="Book Antiqua" w:eastAsia="Book Antiqua" w:hAnsi="Book Antiqua" w:cs="Book Antiqua"/>
          <w:color w:val="000000"/>
        </w:rPr>
        <w:t>Heijden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Dreicer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Srinivas</w:t>
      </w:r>
      <w:proofErr w:type="spellEnd"/>
      <w:r>
        <w:rPr>
          <w:rFonts w:ascii="Book Antiqua" w:eastAsia="Book Antiqua" w:hAnsi="Book Antiqua" w:cs="Book Antiqua"/>
          <w:color w:val="000000"/>
        </w:rPr>
        <w:t xml:space="preserve"> S, Retz MM, Joseph RW, </w:t>
      </w:r>
      <w:proofErr w:type="spellStart"/>
      <w:r>
        <w:rPr>
          <w:rFonts w:ascii="Book Antiqua" w:eastAsia="Book Antiqua" w:hAnsi="Book Antiqua" w:cs="Book Antiqua"/>
          <w:color w:val="000000"/>
        </w:rPr>
        <w:t>Drakaki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Vaishampayan</w:t>
      </w:r>
      <w:proofErr w:type="spellEnd"/>
      <w:r>
        <w:rPr>
          <w:rFonts w:ascii="Book Antiqua" w:eastAsia="Book Antiqua" w:hAnsi="Book Antiqua" w:cs="Book Antiqua"/>
          <w:color w:val="000000"/>
        </w:rPr>
        <w:t xml:space="preserve"> UN, Sridhar SS, Quinn DI, Durán I, Shaffer DR, </w:t>
      </w:r>
      <w:proofErr w:type="spellStart"/>
      <w:r>
        <w:rPr>
          <w:rFonts w:ascii="Book Antiqua" w:eastAsia="Book Antiqua" w:hAnsi="Book Antiqua" w:cs="Book Antiqua"/>
          <w:color w:val="000000"/>
        </w:rPr>
        <w:t>Eigl</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Grivas</w:t>
      </w:r>
      <w:proofErr w:type="spellEnd"/>
      <w:r>
        <w:rPr>
          <w:rFonts w:ascii="Book Antiqua" w:eastAsia="Book Antiqua" w:hAnsi="Book Antiqua" w:cs="Book Antiqua"/>
          <w:color w:val="000000"/>
        </w:rPr>
        <w:t xml:space="preserve"> PD, Yu EY, Li S, </w:t>
      </w:r>
      <w:proofErr w:type="spellStart"/>
      <w:r>
        <w:rPr>
          <w:rFonts w:ascii="Book Antiqua" w:eastAsia="Book Antiqua" w:hAnsi="Book Antiqua" w:cs="Book Antiqua"/>
          <w:color w:val="000000"/>
        </w:rPr>
        <w:t>Kadel</w:t>
      </w:r>
      <w:proofErr w:type="spellEnd"/>
      <w:r>
        <w:rPr>
          <w:rFonts w:ascii="Book Antiqua" w:eastAsia="Book Antiqua" w:hAnsi="Book Antiqua" w:cs="Book Antiqua"/>
          <w:color w:val="000000"/>
        </w:rPr>
        <w:t xml:space="preserve"> EE 3rd, Boyd Z, </w:t>
      </w:r>
      <w:proofErr w:type="spellStart"/>
      <w:r>
        <w:rPr>
          <w:rFonts w:ascii="Book Antiqua" w:eastAsia="Book Antiqua" w:hAnsi="Book Antiqua" w:cs="Book Antiqua"/>
          <w:color w:val="000000"/>
        </w:rPr>
        <w:t>Bourgon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Hegde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Mariathasan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Thåström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Abidoye</w:t>
      </w:r>
      <w:proofErr w:type="spellEnd"/>
      <w:r>
        <w:rPr>
          <w:rFonts w:ascii="Book Antiqua" w:eastAsia="Book Antiqua" w:hAnsi="Book Antiqua" w:cs="Book Antiqua"/>
          <w:color w:val="000000"/>
        </w:rPr>
        <w:t xml:space="preserve"> OO, Fine GD,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DF; IMvigor210 Study Group. Atezolizumab as first-line treatment in cisplatin-ineligible patients with locally advanced and metastatic urothelial carcinoma: a single-arm,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67-76 [PMID: 27939400 DOI: 10.1016/S0140-6736(16)32455-2]</w:t>
      </w:r>
    </w:p>
    <w:p w14:paraId="0E1DECE9" w14:textId="77777777" w:rsidR="00A77B3E" w:rsidRDefault="00EA33F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Balar</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Castellano</w:t>
      </w:r>
      <w:proofErr w:type="spellEnd"/>
      <w:r>
        <w:rPr>
          <w:rFonts w:ascii="Book Antiqua" w:eastAsia="Book Antiqua" w:hAnsi="Book Antiqua" w:cs="Book Antiqua"/>
          <w:color w:val="000000"/>
        </w:rPr>
        <w:t xml:space="preserve"> D, O'Donnell PH, </w:t>
      </w:r>
      <w:proofErr w:type="spellStart"/>
      <w:r>
        <w:rPr>
          <w:rFonts w:ascii="Book Antiqua" w:eastAsia="Book Antiqua" w:hAnsi="Book Antiqua" w:cs="Book Antiqua"/>
          <w:color w:val="000000"/>
        </w:rPr>
        <w:t>Grivas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Vuky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Powles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Plimack</w:t>
      </w:r>
      <w:proofErr w:type="spellEnd"/>
      <w:r>
        <w:rPr>
          <w:rFonts w:ascii="Book Antiqua" w:eastAsia="Book Antiqua" w:hAnsi="Book Antiqua" w:cs="Book Antiqua"/>
          <w:color w:val="000000"/>
        </w:rPr>
        <w:t xml:space="preserve"> ER, Hahn NM, de Wit R, Pang L, Savage MJ, Perini RF, Keefe SM,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Bellmunt</w:t>
      </w:r>
      <w:proofErr w:type="spellEnd"/>
      <w:r>
        <w:rPr>
          <w:rFonts w:ascii="Book Antiqua" w:eastAsia="Book Antiqua" w:hAnsi="Book Antiqua" w:cs="Book Antiqua"/>
          <w:color w:val="000000"/>
        </w:rPr>
        <w:t xml:space="preserve"> J. First-line pembrolizumab in cisplatin-ineligible patients with locally advanced and unresectable or metastatic urothelial cancer (KEYNOTE-052):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single-arm, phase 2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1483-1492 [PMID: 28967485 DOI: 10.1016/S1470-2045(17)30616-2]</w:t>
      </w:r>
    </w:p>
    <w:p w14:paraId="2D1671A6" w14:textId="3FCC0F3B" w:rsidR="00A77B3E" w:rsidRDefault="00EA33F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Powles T</w:t>
      </w:r>
      <w:r>
        <w:rPr>
          <w:rFonts w:ascii="Book Antiqua" w:eastAsia="Book Antiqua" w:hAnsi="Book Antiqua" w:cs="Book Antiqua"/>
          <w:color w:val="000000"/>
        </w:rPr>
        <w:t xml:space="preserve">, Durán I, van der </w:t>
      </w:r>
      <w:proofErr w:type="spellStart"/>
      <w:r>
        <w:rPr>
          <w:rFonts w:ascii="Book Antiqua" w:eastAsia="Book Antiqua" w:hAnsi="Book Antiqua" w:cs="Book Antiqua"/>
          <w:color w:val="000000"/>
        </w:rPr>
        <w:t>Heijden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Loriot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De </w:t>
      </w:r>
      <w:proofErr w:type="spellStart"/>
      <w:r>
        <w:rPr>
          <w:rFonts w:ascii="Book Antiqua" w:eastAsia="Book Antiqua" w:hAnsi="Book Antiqua" w:cs="Book Antiqua"/>
          <w:color w:val="000000"/>
        </w:rPr>
        <w:t>Giorgi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Oudard</w:t>
      </w:r>
      <w:proofErr w:type="spellEnd"/>
      <w:r>
        <w:rPr>
          <w:rFonts w:ascii="Book Antiqua" w:eastAsia="Book Antiqua" w:hAnsi="Book Antiqua" w:cs="Book Antiqua"/>
          <w:color w:val="000000"/>
        </w:rPr>
        <w:t xml:space="preserve"> S, Retz MM, </w:t>
      </w:r>
      <w:proofErr w:type="spellStart"/>
      <w:r>
        <w:rPr>
          <w:rFonts w:ascii="Book Antiqua" w:eastAsia="Book Antiqua" w:hAnsi="Book Antiqua" w:cs="Book Antiqua"/>
          <w:color w:val="000000"/>
        </w:rPr>
        <w:t>Castellano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Bamias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Fléchon</w:t>
      </w:r>
      <w:proofErr w:type="spellEnd"/>
      <w:r>
        <w:rPr>
          <w:rFonts w:ascii="Book Antiqua" w:eastAsia="Book Antiqua" w:hAnsi="Book Antiqua" w:cs="Book Antiqua"/>
          <w:color w:val="000000"/>
        </w:rPr>
        <w:t xml:space="preserve"> A, Gravis G, Hussain S, Takano T,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lastRenderedPageBreak/>
        <w:t>Kadel</w:t>
      </w:r>
      <w:proofErr w:type="spellEnd"/>
      <w:r>
        <w:rPr>
          <w:rFonts w:ascii="Book Antiqua" w:eastAsia="Book Antiqua" w:hAnsi="Book Antiqua" w:cs="Book Antiqua"/>
          <w:color w:val="000000"/>
        </w:rPr>
        <w:t xml:space="preserve"> EE 3rd, </w:t>
      </w:r>
      <w:proofErr w:type="spellStart"/>
      <w:r>
        <w:rPr>
          <w:rFonts w:ascii="Book Antiqua" w:eastAsia="Book Antiqua" w:hAnsi="Book Antiqua" w:cs="Book Antiqua"/>
          <w:color w:val="000000"/>
        </w:rPr>
        <w:t>Banchereau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Hegde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Mariathasan</w:t>
      </w:r>
      <w:proofErr w:type="spellEnd"/>
      <w:r>
        <w:rPr>
          <w:rFonts w:ascii="Book Antiqua" w:eastAsia="Book Antiqua" w:hAnsi="Book Antiqua" w:cs="Book Antiqua"/>
          <w:color w:val="000000"/>
        </w:rPr>
        <w:t xml:space="preserve"> S, Cui N, Shen X, Derleth CL, Green MC,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A. Atezolizumab </w:t>
      </w:r>
      <w:r>
        <w:rPr>
          <w:rFonts w:ascii="Book Antiqua" w:eastAsia="Book Antiqua" w:hAnsi="Book Antiqua" w:cs="Book Antiqua"/>
          <w:i/>
          <w:iCs/>
          <w:color w:val="000000"/>
        </w:rPr>
        <w:t>v</w:t>
      </w:r>
      <w:r w:rsidR="00C404AC">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chemotherapy in patients with platinum-treated locally advanced or metastatic urothelial carcinoma (IMvigor211):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748-757 [PMID: 29268948 DOI: 10.1016/S0140-6736(17)33297-X]</w:t>
      </w:r>
    </w:p>
    <w:p w14:paraId="5112C053" w14:textId="77777777" w:rsidR="00A77B3E" w:rsidRDefault="00EA33F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Bellmunt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 Wit R, Vaughn DJ, </w:t>
      </w:r>
      <w:proofErr w:type="spellStart"/>
      <w:r>
        <w:rPr>
          <w:rFonts w:ascii="Book Antiqua" w:eastAsia="Book Antiqua" w:hAnsi="Book Antiqua" w:cs="Book Antiqua"/>
          <w:color w:val="000000"/>
        </w:rPr>
        <w:t>Fradet</w:t>
      </w:r>
      <w:proofErr w:type="spellEnd"/>
      <w:r>
        <w:rPr>
          <w:rFonts w:ascii="Book Antiqua" w:eastAsia="Book Antiqua" w:hAnsi="Book Antiqua" w:cs="Book Antiqua"/>
          <w:color w:val="000000"/>
        </w:rPr>
        <w:t xml:space="preserve"> Y, Lee JL, Fong L, </w:t>
      </w:r>
      <w:proofErr w:type="spellStart"/>
      <w:r>
        <w:rPr>
          <w:rFonts w:ascii="Book Antiqua" w:eastAsia="Book Antiqua" w:hAnsi="Book Antiqua" w:cs="Book Antiqua"/>
          <w:color w:val="000000"/>
        </w:rPr>
        <w:t>Vogelzang</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Climent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Choueiri</w:t>
      </w:r>
      <w:proofErr w:type="spellEnd"/>
      <w:r>
        <w:rPr>
          <w:rFonts w:ascii="Book Antiqua" w:eastAsia="Book Antiqua" w:hAnsi="Book Antiqua" w:cs="Book Antiqua"/>
          <w:color w:val="000000"/>
        </w:rPr>
        <w:t xml:space="preserve"> TK,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Gerritsen</w:t>
      </w:r>
      <w:proofErr w:type="spellEnd"/>
      <w:r>
        <w:rPr>
          <w:rFonts w:ascii="Book Antiqua" w:eastAsia="Book Antiqua" w:hAnsi="Book Antiqua" w:cs="Book Antiqua"/>
          <w:color w:val="000000"/>
        </w:rPr>
        <w:t xml:space="preserve"> W, Gurney H, Quinn DI, </w:t>
      </w:r>
      <w:proofErr w:type="spellStart"/>
      <w:r>
        <w:rPr>
          <w:rFonts w:ascii="Book Antiqua" w:eastAsia="Book Antiqua" w:hAnsi="Book Antiqua" w:cs="Book Antiqua"/>
          <w:color w:val="000000"/>
        </w:rPr>
        <w:t>Culine</w:t>
      </w:r>
      <w:proofErr w:type="spellEnd"/>
      <w:r>
        <w:rPr>
          <w:rFonts w:ascii="Book Antiqua" w:eastAsia="Book Antiqua" w:hAnsi="Book Antiqua" w:cs="Book Antiqua"/>
          <w:color w:val="000000"/>
        </w:rPr>
        <w:t xml:space="preserve"> S, Sternberg CN, Mai Y, </w:t>
      </w:r>
      <w:proofErr w:type="spellStart"/>
      <w:r>
        <w:rPr>
          <w:rFonts w:ascii="Book Antiqua" w:eastAsia="Book Antiqua" w:hAnsi="Book Antiqua" w:cs="Book Antiqua"/>
          <w:color w:val="000000"/>
        </w:rPr>
        <w:t>Poehlein</w:t>
      </w:r>
      <w:proofErr w:type="spellEnd"/>
      <w:r>
        <w:rPr>
          <w:rFonts w:ascii="Book Antiqua" w:eastAsia="Book Antiqua" w:hAnsi="Book Antiqua" w:cs="Book Antiqua"/>
          <w:color w:val="000000"/>
        </w:rPr>
        <w:t xml:space="preserve"> CH, Perini RF,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DF; KEYNOTE-045 Investigators. Pembrolizumab as Second-Line Therapy for Advanced Urothelial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1015-1026 [PMID: 28212060 DOI: 10.1056/NEJMoa1613683]</w:t>
      </w:r>
    </w:p>
    <w:p w14:paraId="576913E1" w14:textId="77777777" w:rsidR="00A77B3E" w:rsidRDefault="00EA33F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Loriot</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Park SH, Garcia-</w:t>
      </w:r>
      <w:proofErr w:type="spellStart"/>
      <w:r>
        <w:rPr>
          <w:rFonts w:ascii="Book Antiqua" w:eastAsia="Book Antiqua" w:hAnsi="Book Antiqua" w:cs="Book Antiqua"/>
          <w:color w:val="000000"/>
        </w:rPr>
        <w:t>Donas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Huddart</w:t>
      </w:r>
      <w:proofErr w:type="spellEnd"/>
      <w:r>
        <w:rPr>
          <w:rFonts w:ascii="Book Antiqua" w:eastAsia="Book Antiqua" w:hAnsi="Book Antiqua" w:cs="Book Antiqua"/>
          <w:color w:val="000000"/>
        </w:rPr>
        <w:t xml:space="preserve"> R, Burgess E, Fleming M, </w:t>
      </w:r>
      <w:proofErr w:type="spellStart"/>
      <w:r>
        <w:rPr>
          <w:rFonts w:ascii="Book Antiqua" w:eastAsia="Book Antiqua" w:hAnsi="Book Antiqua" w:cs="Book Antiqua"/>
          <w:color w:val="000000"/>
        </w:rPr>
        <w:t>Rezazadeh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Mellado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Varlamov</w:t>
      </w:r>
      <w:proofErr w:type="spellEnd"/>
      <w:r>
        <w:rPr>
          <w:rFonts w:ascii="Book Antiqua" w:eastAsia="Book Antiqua" w:hAnsi="Book Antiqua" w:cs="Book Antiqua"/>
          <w:color w:val="000000"/>
        </w:rPr>
        <w:t xml:space="preserve"> S, Joshi M, Duran I, </w:t>
      </w:r>
      <w:proofErr w:type="spellStart"/>
      <w:r>
        <w:rPr>
          <w:rFonts w:ascii="Book Antiqua" w:eastAsia="Book Antiqua" w:hAnsi="Book Antiqua" w:cs="Book Antiqua"/>
          <w:color w:val="000000"/>
        </w:rPr>
        <w:t>Tagawa</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Zakharia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Stuyckens</w:t>
      </w:r>
      <w:proofErr w:type="spellEnd"/>
      <w:r>
        <w:rPr>
          <w:rFonts w:ascii="Book Antiqua" w:eastAsia="Book Antiqua" w:hAnsi="Book Antiqua" w:cs="Book Antiqua"/>
          <w:color w:val="000000"/>
        </w:rPr>
        <w:t xml:space="preserve"> K, Santiago-Walker A, De </w:t>
      </w:r>
      <w:proofErr w:type="spellStart"/>
      <w:r>
        <w:rPr>
          <w:rFonts w:ascii="Book Antiqua" w:eastAsia="Book Antiqua" w:hAnsi="Book Antiqua" w:cs="Book Antiqua"/>
          <w:color w:val="000000"/>
        </w:rPr>
        <w:t>Porre</w:t>
      </w:r>
      <w:proofErr w:type="spellEnd"/>
      <w:r>
        <w:rPr>
          <w:rFonts w:ascii="Book Antiqua" w:eastAsia="Book Antiqua" w:hAnsi="Book Antiqua" w:cs="Book Antiqua"/>
          <w:color w:val="000000"/>
        </w:rPr>
        <w:t xml:space="preserve"> P, O'Hagan A, </w:t>
      </w:r>
      <w:proofErr w:type="spellStart"/>
      <w:r>
        <w:rPr>
          <w:rFonts w:ascii="Book Antiqua" w:eastAsia="Book Antiqua" w:hAnsi="Book Antiqua" w:cs="Book Antiqua"/>
          <w:color w:val="000000"/>
        </w:rPr>
        <w:t>Avadhani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Siefker-Radtke</w:t>
      </w:r>
      <w:proofErr w:type="spellEnd"/>
      <w:r>
        <w:rPr>
          <w:rFonts w:ascii="Book Antiqua" w:eastAsia="Book Antiqua" w:hAnsi="Book Antiqua" w:cs="Book Antiqua"/>
          <w:color w:val="000000"/>
        </w:rPr>
        <w:t xml:space="preserve"> AO; BLC2001 Study Group. Erdafitinib in Locally Advanced or Metastatic Urothelial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338-348 [PMID: 31340094 DOI: 10.1056/NEJMoa1817323]</w:t>
      </w:r>
    </w:p>
    <w:p w14:paraId="752C95DF" w14:textId="27657537" w:rsidR="00A77B3E" w:rsidRDefault="00EA33F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Rosenberg JE</w:t>
      </w:r>
      <w:r>
        <w:rPr>
          <w:rFonts w:ascii="Book Antiqua" w:eastAsia="Book Antiqua" w:hAnsi="Book Antiqua" w:cs="Book Antiqua"/>
          <w:color w:val="000000"/>
        </w:rPr>
        <w:t xml:space="preserve">, O'Donnell PH, </w:t>
      </w:r>
      <w:proofErr w:type="spellStart"/>
      <w:r>
        <w:rPr>
          <w:rFonts w:ascii="Book Antiqua" w:eastAsia="Book Antiqua" w:hAnsi="Book Antiqua" w:cs="Book Antiqua"/>
          <w:color w:val="000000"/>
        </w:rPr>
        <w:t>Balar</w:t>
      </w:r>
      <w:proofErr w:type="spellEnd"/>
      <w:r>
        <w:rPr>
          <w:rFonts w:ascii="Book Antiqua" w:eastAsia="Book Antiqua" w:hAnsi="Book Antiqua" w:cs="Book Antiqua"/>
          <w:color w:val="000000"/>
        </w:rPr>
        <w:t xml:space="preserve"> AV, McGregor BA, Heath EI, Yu EY,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Hahn NM, Gartner EM, </w:t>
      </w:r>
      <w:proofErr w:type="spellStart"/>
      <w:r>
        <w:rPr>
          <w:rFonts w:ascii="Book Antiqua" w:eastAsia="Book Antiqua" w:hAnsi="Book Antiqua" w:cs="Book Antiqua"/>
          <w:color w:val="000000"/>
        </w:rPr>
        <w:t>Pinelli</w:t>
      </w:r>
      <w:proofErr w:type="spellEnd"/>
      <w:r>
        <w:rPr>
          <w:rFonts w:ascii="Book Antiqua" w:eastAsia="Book Antiqua" w:hAnsi="Book Antiqua" w:cs="Book Antiqua"/>
          <w:color w:val="000000"/>
        </w:rPr>
        <w:t xml:space="preserve"> JM, Liang SY, </w:t>
      </w:r>
      <w:proofErr w:type="spellStart"/>
      <w:r>
        <w:rPr>
          <w:rFonts w:ascii="Book Antiqua" w:eastAsia="Book Antiqua" w:hAnsi="Book Antiqua" w:cs="Book Antiqua"/>
          <w:color w:val="000000"/>
        </w:rPr>
        <w:t>Melhem-Bertrandt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Petrylak</w:t>
      </w:r>
      <w:proofErr w:type="spellEnd"/>
      <w:r>
        <w:rPr>
          <w:rFonts w:ascii="Book Antiqua" w:eastAsia="Book Antiqua" w:hAnsi="Book Antiqua" w:cs="Book Antiqua"/>
          <w:color w:val="000000"/>
        </w:rPr>
        <w:t xml:space="preserve"> DP. Pivotal Trial of </w:t>
      </w:r>
      <w:proofErr w:type="spellStart"/>
      <w:r>
        <w:rPr>
          <w:rFonts w:ascii="Book Antiqua" w:eastAsia="Book Antiqua" w:hAnsi="Book Antiqua" w:cs="Book Antiqua"/>
          <w:color w:val="000000"/>
        </w:rPr>
        <w:t>Enfortumab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Vedotin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Urothelial</w:t>
      </w:r>
      <w:proofErr w:type="spellEnd"/>
      <w:r>
        <w:rPr>
          <w:rFonts w:ascii="Book Antiqua" w:eastAsia="Book Antiqua" w:hAnsi="Book Antiqua" w:cs="Book Antiqua"/>
          <w:color w:val="000000"/>
        </w:rPr>
        <w:t xml:space="preserve"> Carcinoma After Platinum and Anti-Programmed Death 1/Programmed Death Ligand 1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xml:space="preserve">: 2592-2600 [PMID: 31356140 </w:t>
      </w:r>
      <w:r w:rsidR="00A412CE" w:rsidRPr="00A412CE">
        <w:rPr>
          <w:rFonts w:ascii="Book Antiqua" w:eastAsia="Book Antiqua" w:hAnsi="Book Antiqua" w:cs="Book Antiqua"/>
          <w:color w:val="000000"/>
        </w:rPr>
        <w:t>DOI: 10.1200/JCO.19.01140</w:t>
      </w:r>
      <w:r>
        <w:rPr>
          <w:rFonts w:ascii="Book Antiqua" w:eastAsia="Book Antiqua" w:hAnsi="Book Antiqua" w:cs="Book Antiqua"/>
          <w:color w:val="000000"/>
        </w:rPr>
        <w:t>]</w:t>
      </w:r>
    </w:p>
    <w:p w14:paraId="4A7E84DF" w14:textId="0E9436CA" w:rsidR="00A77B3E" w:rsidRDefault="00EA33F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Powles T,</w:t>
      </w:r>
      <w:r>
        <w:rPr>
          <w:rFonts w:ascii="Book Antiqua" w:eastAsia="Book Antiqua" w:hAnsi="Book Antiqua" w:cs="Book Antiqua"/>
          <w:color w:val="000000"/>
        </w:rPr>
        <w:t xml:space="preserve"> </w:t>
      </w:r>
      <w:r w:rsidR="009E4F8F" w:rsidRPr="009E4F8F">
        <w:rPr>
          <w:rFonts w:ascii="Book Antiqua" w:eastAsia="Book Antiqua" w:hAnsi="Book Antiqua" w:cs="Book Antiqua"/>
          <w:color w:val="000000"/>
        </w:rPr>
        <w:t xml:space="preserve">Park SH, </w:t>
      </w:r>
      <w:proofErr w:type="spellStart"/>
      <w:r w:rsidR="009E4F8F" w:rsidRPr="009E4F8F">
        <w:rPr>
          <w:rFonts w:ascii="Book Antiqua" w:eastAsia="Book Antiqua" w:hAnsi="Book Antiqua" w:cs="Book Antiqua"/>
          <w:color w:val="000000"/>
        </w:rPr>
        <w:t>Voog</w:t>
      </w:r>
      <w:proofErr w:type="spellEnd"/>
      <w:r w:rsidR="009E4F8F" w:rsidRPr="009E4F8F">
        <w:rPr>
          <w:rFonts w:ascii="Book Antiqua" w:eastAsia="Book Antiqua" w:hAnsi="Book Antiqua" w:cs="Book Antiqua"/>
          <w:color w:val="000000"/>
        </w:rPr>
        <w:t xml:space="preserve"> E, Caserta C, Valderrama BP, Gurney H, </w:t>
      </w:r>
      <w:proofErr w:type="spellStart"/>
      <w:r w:rsidR="009E4F8F" w:rsidRPr="009E4F8F">
        <w:rPr>
          <w:rFonts w:ascii="Book Antiqua" w:eastAsia="Book Antiqua" w:hAnsi="Book Antiqua" w:cs="Book Antiqua"/>
          <w:color w:val="000000"/>
        </w:rPr>
        <w:t>Kalofonos</w:t>
      </w:r>
      <w:proofErr w:type="spellEnd"/>
      <w:r w:rsidR="009E4F8F" w:rsidRPr="009E4F8F">
        <w:rPr>
          <w:rFonts w:ascii="Book Antiqua" w:eastAsia="Book Antiqua" w:hAnsi="Book Antiqua" w:cs="Book Antiqua"/>
          <w:color w:val="000000"/>
        </w:rPr>
        <w:t xml:space="preserve"> H, </w:t>
      </w:r>
      <w:proofErr w:type="spellStart"/>
      <w:r w:rsidR="009E4F8F" w:rsidRPr="009E4F8F">
        <w:rPr>
          <w:rFonts w:ascii="Book Antiqua" w:eastAsia="Book Antiqua" w:hAnsi="Book Antiqua" w:cs="Book Antiqua"/>
          <w:color w:val="000000"/>
        </w:rPr>
        <w:t>Radulovic</w:t>
      </w:r>
      <w:proofErr w:type="spellEnd"/>
      <w:r w:rsidR="009E4F8F" w:rsidRPr="009E4F8F">
        <w:rPr>
          <w:rFonts w:ascii="Book Antiqua" w:eastAsia="Book Antiqua" w:hAnsi="Book Antiqua" w:cs="Book Antiqua"/>
          <w:color w:val="000000"/>
        </w:rPr>
        <w:t xml:space="preserve"> S, </w:t>
      </w:r>
      <w:proofErr w:type="spellStart"/>
      <w:r w:rsidR="009E4F8F" w:rsidRPr="009E4F8F">
        <w:rPr>
          <w:rFonts w:ascii="Book Antiqua" w:eastAsia="Book Antiqua" w:hAnsi="Book Antiqua" w:cs="Book Antiqua"/>
          <w:color w:val="000000"/>
        </w:rPr>
        <w:t>Demey</w:t>
      </w:r>
      <w:proofErr w:type="spellEnd"/>
      <w:r w:rsidR="009E4F8F" w:rsidRPr="009E4F8F">
        <w:rPr>
          <w:rFonts w:ascii="Book Antiqua" w:eastAsia="Book Antiqua" w:hAnsi="Book Antiqua" w:cs="Book Antiqua"/>
          <w:color w:val="000000"/>
        </w:rPr>
        <w:t xml:space="preserve"> W, </w:t>
      </w:r>
      <w:proofErr w:type="spellStart"/>
      <w:r w:rsidR="009E4F8F" w:rsidRPr="009E4F8F">
        <w:rPr>
          <w:rFonts w:ascii="Book Antiqua" w:eastAsia="Book Antiqua" w:hAnsi="Book Antiqua" w:cs="Book Antiqua"/>
          <w:color w:val="000000"/>
        </w:rPr>
        <w:t>Ullén</w:t>
      </w:r>
      <w:proofErr w:type="spellEnd"/>
      <w:r w:rsidR="009E4F8F" w:rsidRPr="009E4F8F">
        <w:rPr>
          <w:rFonts w:ascii="Book Antiqua" w:eastAsia="Book Antiqua" w:hAnsi="Book Antiqua" w:cs="Book Antiqua"/>
          <w:color w:val="000000"/>
        </w:rPr>
        <w:t xml:space="preserve"> A, </w:t>
      </w:r>
      <w:proofErr w:type="spellStart"/>
      <w:r w:rsidR="009E4F8F" w:rsidRPr="009E4F8F">
        <w:rPr>
          <w:rFonts w:ascii="Book Antiqua" w:eastAsia="Book Antiqua" w:hAnsi="Book Antiqua" w:cs="Book Antiqua"/>
          <w:color w:val="000000"/>
        </w:rPr>
        <w:t>Loriot</w:t>
      </w:r>
      <w:proofErr w:type="spellEnd"/>
      <w:r w:rsidR="009E4F8F" w:rsidRPr="009E4F8F">
        <w:rPr>
          <w:rFonts w:ascii="Book Antiqua" w:eastAsia="Book Antiqua" w:hAnsi="Book Antiqua" w:cs="Book Antiqua"/>
          <w:color w:val="000000"/>
        </w:rPr>
        <w:t xml:space="preserve"> Y, Sridhar SS, Tsuchiya N, </w:t>
      </w:r>
      <w:proofErr w:type="spellStart"/>
      <w:r w:rsidR="009E4F8F" w:rsidRPr="009E4F8F">
        <w:rPr>
          <w:rFonts w:ascii="Book Antiqua" w:eastAsia="Book Antiqua" w:hAnsi="Book Antiqua" w:cs="Book Antiqua"/>
          <w:color w:val="000000"/>
        </w:rPr>
        <w:t>Kopyltsov</w:t>
      </w:r>
      <w:proofErr w:type="spellEnd"/>
      <w:r w:rsidR="009E4F8F" w:rsidRPr="009E4F8F">
        <w:rPr>
          <w:rFonts w:ascii="Book Antiqua" w:eastAsia="Book Antiqua" w:hAnsi="Book Antiqua" w:cs="Book Antiqua"/>
          <w:color w:val="000000"/>
        </w:rPr>
        <w:t xml:space="preserve"> E, Sternberg CN, </w:t>
      </w:r>
      <w:proofErr w:type="spellStart"/>
      <w:r w:rsidR="009E4F8F" w:rsidRPr="009E4F8F">
        <w:rPr>
          <w:rFonts w:ascii="Book Antiqua" w:eastAsia="Book Antiqua" w:hAnsi="Book Antiqua" w:cs="Book Antiqua"/>
          <w:color w:val="000000"/>
        </w:rPr>
        <w:t>Bellmunt</w:t>
      </w:r>
      <w:proofErr w:type="spellEnd"/>
      <w:r w:rsidR="009E4F8F" w:rsidRPr="009E4F8F">
        <w:rPr>
          <w:rFonts w:ascii="Book Antiqua" w:eastAsia="Book Antiqua" w:hAnsi="Book Antiqua" w:cs="Book Antiqua"/>
          <w:color w:val="000000"/>
        </w:rPr>
        <w:t xml:space="preserve"> J, Aragon-</w:t>
      </w:r>
      <w:proofErr w:type="spellStart"/>
      <w:r w:rsidR="009E4F8F" w:rsidRPr="009E4F8F">
        <w:rPr>
          <w:rFonts w:ascii="Book Antiqua" w:eastAsia="Book Antiqua" w:hAnsi="Book Antiqua" w:cs="Book Antiqua"/>
          <w:color w:val="000000"/>
        </w:rPr>
        <w:t>Ching</w:t>
      </w:r>
      <w:proofErr w:type="spellEnd"/>
      <w:r w:rsidR="009E4F8F" w:rsidRPr="009E4F8F">
        <w:rPr>
          <w:rFonts w:ascii="Book Antiqua" w:eastAsia="Book Antiqua" w:hAnsi="Book Antiqua" w:cs="Book Antiqua"/>
          <w:color w:val="000000"/>
        </w:rPr>
        <w:t xml:space="preserve"> JB, </w:t>
      </w:r>
      <w:proofErr w:type="spellStart"/>
      <w:r w:rsidR="009E4F8F" w:rsidRPr="009E4F8F">
        <w:rPr>
          <w:rFonts w:ascii="Book Antiqua" w:eastAsia="Book Antiqua" w:hAnsi="Book Antiqua" w:cs="Book Antiqua"/>
          <w:color w:val="000000"/>
        </w:rPr>
        <w:t>Petrylak</w:t>
      </w:r>
      <w:proofErr w:type="spellEnd"/>
      <w:r w:rsidR="009E4F8F" w:rsidRPr="009E4F8F">
        <w:rPr>
          <w:rFonts w:ascii="Book Antiqua" w:eastAsia="Book Antiqua" w:hAnsi="Book Antiqua" w:cs="Book Antiqua"/>
          <w:color w:val="000000"/>
        </w:rPr>
        <w:t xml:space="preserve"> DP, di </w:t>
      </w:r>
      <w:proofErr w:type="spellStart"/>
      <w:r w:rsidR="009E4F8F" w:rsidRPr="009E4F8F">
        <w:rPr>
          <w:rFonts w:ascii="Book Antiqua" w:eastAsia="Book Antiqua" w:hAnsi="Book Antiqua" w:cs="Book Antiqua"/>
          <w:color w:val="000000"/>
        </w:rPr>
        <w:t>Pietro</w:t>
      </w:r>
      <w:proofErr w:type="spellEnd"/>
      <w:r w:rsidR="009E4F8F" w:rsidRPr="009E4F8F">
        <w:rPr>
          <w:rFonts w:ascii="Book Antiqua" w:eastAsia="Book Antiqua" w:hAnsi="Book Antiqua" w:cs="Book Antiqua"/>
          <w:color w:val="000000"/>
        </w:rPr>
        <w:t xml:space="preserve"> A, </w:t>
      </w:r>
      <w:proofErr w:type="spellStart"/>
      <w:r w:rsidR="009E4F8F" w:rsidRPr="009E4F8F">
        <w:rPr>
          <w:rFonts w:ascii="Book Antiqua" w:eastAsia="Book Antiqua" w:hAnsi="Book Antiqua" w:cs="Book Antiqua"/>
          <w:color w:val="000000"/>
        </w:rPr>
        <w:t>Grivas</w:t>
      </w:r>
      <w:proofErr w:type="spellEnd"/>
      <w:r w:rsidR="009E4F8F" w:rsidRPr="009E4F8F">
        <w:rPr>
          <w:rFonts w:ascii="Book Antiqua" w:eastAsia="Book Antiqua" w:hAnsi="Book Antiqua" w:cs="Book Antiqua"/>
          <w:color w:val="000000"/>
        </w:rPr>
        <w:t xml:space="preserve"> P</w:t>
      </w:r>
      <w:r w:rsidR="009E4F8F">
        <w:rPr>
          <w:rFonts w:ascii="Book Antiqua" w:eastAsia="Book Antiqua" w:hAnsi="Book Antiqua" w:cs="Book Antiqua"/>
          <w:color w:val="000000"/>
        </w:rPr>
        <w:t>.</w:t>
      </w:r>
      <w:r>
        <w:rPr>
          <w:rFonts w:ascii="Book Antiqua" w:eastAsia="Book Antiqua" w:hAnsi="Book Antiqua" w:cs="Book Antiqua"/>
          <w:color w:val="000000"/>
        </w:rPr>
        <w:t xml:space="preserve"> Maintenance avelumab + best supportive care (BSC) </w:t>
      </w:r>
      <w:r>
        <w:rPr>
          <w:rFonts w:ascii="Book Antiqua" w:eastAsia="Book Antiqua" w:hAnsi="Book Antiqua" w:cs="Book Antiqua"/>
          <w:i/>
          <w:iCs/>
          <w:color w:val="000000"/>
        </w:rPr>
        <w:t>vs</w:t>
      </w:r>
      <w:r>
        <w:rPr>
          <w:rFonts w:ascii="Book Antiqua" w:eastAsia="Book Antiqua" w:hAnsi="Book Antiqua" w:cs="Book Antiqua"/>
          <w:color w:val="000000"/>
        </w:rPr>
        <w:t xml:space="preserve"> BSC alone after platinum-based first-line (1L) chemotherapy in advanced urothelial carcinoma (UC): JAVELIN Bladder 100 phase III interim analysis. </w:t>
      </w:r>
      <w:r w:rsidRPr="00C9548A">
        <w:rPr>
          <w:rFonts w:ascii="Book Antiqua" w:eastAsia="Book Antiqua" w:hAnsi="Book Antiqua" w:cs="Book Antiqua"/>
          <w:i/>
          <w:iCs/>
          <w:color w:val="000000"/>
        </w:rPr>
        <w:t xml:space="preserve">J Clin Oncol </w:t>
      </w:r>
      <w:r>
        <w:rPr>
          <w:rFonts w:ascii="Book Antiqua" w:eastAsia="Book Antiqua" w:hAnsi="Book Antiqua" w:cs="Book Antiqua"/>
          <w:color w:val="000000"/>
        </w:rPr>
        <w:t>2020</w:t>
      </w:r>
      <w:r w:rsidR="00A7344A">
        <w:rPr>
          <w:rFonts w:ascii="Book Antiqua" w:eastAsia="Book Antiqua" w:hAnsi="Book Antiqua" w:cs="Book Antiqua"/>
          <w:color w:val="000000"/>
        </w:rPr>
        <w:t xml:space="preserve">; </w:t>
      </w:r>
      <w:r w:rsidR="00A7344A" w:rsidRPr="00C9548A">
        <w:rPr>
          <w:rFonts w:ascii="Book Antiqua" w:eastAsia="Book Antiqua" w:hAnsi="Book Antiqua" w:cs="Book Antiqua"/>
          <w:b/>
          <w:bCs/>
          <w:color w:val="000000"/>
        </w:rPr>
        <w:t>38</w:t>
      </w:r>
      <w:r w:rsidR="00A7344A" w:rsidRPr="008D29B3">
        <w:rPr>
          <w:rFonts w:ascii="Book Antiqua" w:eastAsia="Book Antiqua" w:hAnsi="Book Antiqua" w:cs="Book Antiqua"/>
          <w:color w:val="000000"/>
        </w:rPr>
        <w:t>:</w:t>
      </w:r>
      <w:r w:rsidR="00A7344A">
        <w:rPr>
          <w:rFonts w:ascii="Book Antiqua" w:eastAsia="Book Antiqua" w:hAnsi="Book Antiqua" w:cs="Book Antiqua"/>
          <w:b/>
          <w:bCs/>
          <w:color w:val="000000"/>
        </w:rPr>
        <w:t xml:space="preserve"> </w:t>
      </w:r>
      <w:r w:rsidR="00A7344A" w:rsidRPr="00A7344A">
        <w:rPr>
          <w:rFonts w:ascii="Book Antiqua" w:eastAsia="Book Antiqua" w:hAnsi="Book Antiqua" w:cs="Book Antiqua"/>
          <w:color w:val="000000"/>
        </w:rPr>
        <w:t>LBA1</w:t>
      </w:r>
      <w:r>
        <w:rPr>
          <w:rFonts w:ascii="Book Antiqua" w:eastAsia="Book Antiqua" w:hAnsi="Book Antiqua" w:cs="Book Antiqua"/>
          <w:color w:val="000000"/>
        </w:rPr>
        <w:t xml:space="preserve"> [DOI: 10.1200/JCO.2020.38.18_suppl.LBA1]</w:t>
      </w:r>
    </w:p>
    <w:p w14:paraId="72BC3866" w14:textId="07615F51" w:rsidR="00A77B3E" w:rsidRDefault="00EA33F8">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Siefker-Radtke</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sidR="00610334" w:rsidRPr="00610334">
        <w:rPr>
          <w:rFonts w:ascii="Book Antiqua" w:eastAsia="Book Antiqua" w:hAnsi="Book Antiqua" w:cs="Book Antiqua"/>
          <w:color w:val="000000"/>
        </w:rPr>
        <w:t>Necchi</w:t>
      </w:r>
      <w:proofErr w:type="spellEnd"/>
      <w:r w:rsidR="00610334" w:rsidRPr="00610334">
        <w:rPr>
          <w:rFonts w:ascii="Book Antiqua" w:eastAsia="Book Antiqua" w:hAnsi="Book Antiqua" w:cs="Book Antiqua"/>
          <w:color w:val="000000"/>
        </w:rPr>
        <w:t xml:space="preserve"> A, Park SH, </w:t>
      </w:r>
      <w:proofErr w:type="spellStart"/>
      <w:r w:rsidR="00610334" w:rsidRPr="00610334">
        <w:rPr>
          <w:rFonts w:ascii="Book Antiqua" w:eastAsia="Book Antiqua" w:hAnsi="Book Antiqua" w:cs="Book Antiqua"/>
          <w:color w:val="000000"/>
        </w:rPr>
        <w:t>García-Donas</w:t>
      </w:r>
      <w:proofErr w:type="spellEnd"/>
      <w:r w:rsidR="00610334" w:rsidRPr="00610334">
        <w:rPr>
          <w:rFonts w:ascii="Book Antiqua" w:eastAsia="Book Antiqua" w:hAnsi="Book Antiqua" w:cs="Book Antiqua"/>
          <w:color w:val="000000"/>
        </w:rPr>
        <w:t xml:space="preserve"> J, </w:t>
      </w:r>
      <w:proofErr w:type="spellStart"/>
      <w:r w:rsidR="00610334" w:rsidRPr="00610334">
        <w:rPr>
          <w:rFonts w:ascii="Book Antiqua" w:eastAsia="Book Antiqua" w:hAnsi="Book Antiqua" w:cs="Book Antiqua"/>
          <w:color w:val="000000"/>
        </w:rPr>
        <w:t>Huddart</w:t>
      </w:r>
      <w:proofErr w:type="spellEnd"/>
      <w:r w:rsidR="00610334" w:rsidRPr="00610334">
        <w:rPr>
          <w:rFonts w:ascii="Book Antiqua" w:eastAsia="Book Antiqua" w:hAnsi="Book Antiqua" w:cs="Book Antiqua"/>
          <w:color w:val="000000"/>
        </w:rPr>
        <w:t xml:space="preserve"> RA, Burgess EF, Fleming MT, </w:t>
      </w:r>
      <w:proofErr w:type="spellStart"/>
      <w:r w:rsidR="00610334" w:rsidRPr="00610334">
        <w:rPr>
          <w:rFonts w:ascii="Book Antiqua" w:eastAsia="Book Antiqua" w:hAnsi="Book Antiqua" w:cs="Book Antiqua"/>
          <w:color w:val="000000"/>
        </w:rPr>
        <w:t>Rezazadeh</w:t>
      </w:r>
      <w:proofErr w:type="spellEnd"/>
      <w:r w:rsidR="00610334" w:rsidRPr="00610334">
        <w:rPr>
          <w:rFonts w:ascii="Book Antiqua" w:eastAsia="Book Antiqua" w:hAnsi="Book Antiqua" w:cs="Book Antiqua"/>
          <w:color w:val="000000"/>
        </w:rPr>
        <w:t xml:space="preserve"> A, </w:t>
      </w:r>
      <w:proofErr w:type="spellStart"/>
      <w:r w:rsidR="00610334" w:rsidRPr="00610334">
        <w:rPr>
          <w:rFonts w:ascii="Book Antiqua" w:eastAsia="Book Antiqua" w:hAnsi="Book Antiqua" w:cs="Book Antiqua"/>
          <w:color w:val="000000"/>
        </w:rPr>
        <w:t>Mellado</w:t>
      </w:r>
      <w:proofErr w:type="spellEnd"/>
      <w:r w:rsidR="00610334" w:rsidRPr="00610334">
        <w:rPr>
          <w:rFonts w:ascii="Book Antiqua" w:eastAsia="Book Antiqua" w:hAnsi="Book Antiqua" w:cs="Book Antiqua"/>
          <w:color w:val="000000"/>
        </w:rPr>
        <w:t xml:space="preserve"> B, </w:t>
      </w:r>
      <w:proofErr w:type="spellStart"/>
      <w:r w:rsidR="00610334" w:rsidRPr="00610334">
        <w:rPr>
          <w:rFonts w:ascii="Book Antiqua" w:eastAsia="Book Antiqua" w:hAnsi="Book Antiqua" w:cs="Book Antiqua"/>
          <w:color w:val="000000"/>
        </w:rPr>
        <w:t>Varlamov</w:t>
      </w:r>
      <w:proofErr w:type="spellEnd"/>
      <w:r w:rsidR="00610334" w:rsidRPr="00610334">
        <w:rPr>
          <w:rFonts w:ascii="Book Antiqua" w:eastAsia="Book Antiqua" w:hAnsi="Book Antiqua" w:cs="Book Antiqua"/>
          <w:color w:val="000000"/>
        </w:rPr>
        <w:t xml:space="preserve"> S, Joshi M, Duran I, </w:t>
      </w:r>
      <w:proofErr w:type="spellStart"/>
      <w:r w:rsidR="00610334" w:rsidRPr="00610334">
        <w:rPr>
          <w:rFonts w:ascii="Book Antiqua" w:eastAsia="Book Antiqua" w:hAnsi="Book Antiqua" w:cs="Book Antiqua"/>
          <w:color w:val="000000"/>
        </w:rPr>
        <w:t>Tagawa</w:t>
      </w:r>
      <w:proofErr w:type="spellEnd"/>
      <w:r w:rsidR="00610334" w:rsidRPr="00610334">
        <w:rPr>
          <w:rFonts w:ascii="Book Antiqua" w:eastAsia="Book Antiqua" w:hAnsi="Book Antiqua" w:cs="Book Antiqua"/>
          <w:color w:val="000000"/>
        </w:rPr>
        <w:t xml:space="preserve"> ST, </w:t>
      </w:r>
      <w:proofErr w:type="spellStart"/>
      <w:r w:rsidR="00610334" w:rsidRPr="00610334">
        <w:rPr>
          <w:rFonts w:ascii="Book Antiqua" w:eastAsia="Book Antiqua" w:hAnsi="Book Antiqua" w:cs="Book Antiqua"/>
          <w:color w:val="000000"/>
        </w:rPr>
        <w:t>Zakharia</w:t>
      </w:r>
      <w:proofErr w:type="spellEnd"/>
      <w:r w:rsidR="00610334" w:rsidRPr="00610334">
        <w:rPr>
          <w:rFonts w:ascii="Book Antiqua" w:eastAsia="Book Antiqua" w:hAnsi="Book Antiqua" w:cs="Book Antiqua"/>
          <w:color w:val="000000"/>
        </w:rPr>
        <w:t xml:space="preserve"> Y, Fu M, Santiago-Walker AE, </w:t>
      </w:r>
      <w:proofErr w:type="spellStart"/>
      <w:r w:rsidR="00610334" w:rsidRPr="00610334">
        <w:rPr>
          <w:rFonts w:ascii="Book Antiqua" w:eastAsia="Book Antiqua" w:hAnsi="Book Antiqua" w:cs="Book Antiqua"/>
          <w:color w:val="000000"/>
        </w:rPr>
        <w:t>Monga</w:t>
      </w:r>
      <w:proofErr w:type="spellEnd"/>
      <w:r w:rsidR="00610334" w:rsidRPr="00610334">
        <w:rPr>
          <w:rFonts w:ascii="Book Antiqua" w:eastAsia="Book Antiqua" w:hAnsi="Book Antiqua" w:cs="Book Antiqua"/>
          <w:color w:val="000000"/>
        </w:rPr>
        <w:t xml:space="preserve"> M, </w:t>
      </w:r>
      <w:proofErr w:type="spellStart"/>
      <w:r w:rsidR="00610334" w:rsidRPr="00610334">
        <w:rPr>
          <w:rFonts w:ascii="Book Antiqua" w:eastAsia="Book Antiqua" w:hAnsi="Book Antiqua" w:cs="Book Antiqua"/>
          <w:color w:val="000000"/>
        </w:rPr>
        <w:t>OHagan</w:t>
      </w:r>
      <w:proofErr w:type="spellEnd"/>
      <w:r w:rsidR="00610334" w:rsidRPr="00610334">
        <w:rPr>
          <w:rFonts w:ascii="Book Antiqua" w:eastAsia="Book Antiqua" w:hAnsi="Book Antiqua" w:cs="Book Antiqua"/>
          <w:color w:val="000000"/>
        </w:rPr>
        <w:t xml:space="preserve"> A, Mosher S, </w:t>
      </w:r>
      <w:proofErr w:type="spellStart"/>
      <w:r w:rsidR="00610334" w:rsidRPr="00610334">
        <w:rPr>
          <w:rFonts w:ascii="Book Antiqua" w:eastAsia="Book Antiqua" w:hAnsi="Book Antiqua" w:cs="Book Antiqua"/>
          <w:color w:val="000000"/>
        </w:rPr>
        <w:t>Loriot</w:t>
      </w:r>
      <w:proofErr w:type="spellEnd"/>
      <w:r w:rsidR="00610334" w:rsidRPr="00610334">
        <w:rPr>
          <w:rFonts w:ascii="Book Antiqua" w:eastAsia="Book Antiqua" w:hAnsi="Book Antiqua" w:cs="Book Antiqua"/>
          <w:color w:val="000000"/>
        </w:rPr>
        <w:t xml:space="preserve"> Y, BLC2001 Study Group</w:t>
      </w:r>
      <w:r w:rsidR="00610334">
        <w:rPr>
          <w:rFonts w:ascii="Book Antiqua" w:eastAsia="Book Antiqua" w:hAnsi="Book Antiqua" w:cs="Book Antiqua"/>
          <w:color w:val="000000"/>
        </w:rPr>
        <w:t>.</w:t>
      </w:r>
      <w:r>
        <w:rPr>
          <w:rFonts w:ascii="Book Antiqua" w:eastAsia="Book Antiqua" w:hAnsi="Book Antiqua" w:cs="Book Antiqua"/>
          <w:color w:val="000000"/>
        </w:rPr>
        <w:t xml:space="preserve"> Erdafitinib in locally advanced or metastatic </w:t>
      </w:r>
      <w:proofErr w:type="spellStart"/>
      <w:r>
        <w:rPr>
          <w:rFonts w:ascii="Book Antiqua" w:eastAsia="Book Antiqua" w:hAnsi="Book Antiqua" w:cs="Book Antiqua"/>
          <w:color w:val="000000"/>
        </w:rPr>
        <w:t>urothelial</w:t>
      </w:r>
      <w:proofErr w:type="spellEnd"/>
      <w:r>
        <w:rPr>
          <w:rFonts w:ascii="Book Antiqua" w:eastAsia="Book Antiqua" w:hAnsi="Book Antiqua" w:cs="Book Antiqua"/>
          <w:color w:val="000000"/>
        </w:rPr>
        <w:t xml:space="preserve"> carcinoma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Long-term outcomes in BLC2001. </w:t>
      </w:r>
      <w:r w:rsidRPr="00610334">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w:t>
      </w:r>
      <w:r w:rsidR="00A7344A">
        <w:rPr>
          <w:rFonts w:ascii="Book Antiqua" w:eastAsia="Book Antiqua" w:hAnsi="Book Antiqua" w:cs="Book Antiqua"/>
          <w:color w:val="000000"/>
        </w:rPr>
        <w:t xml:space="preserve">; </w:t>
      </w:r>
      <w:r w:rsidR="00A7344A" w:rsidRPr="00610334">
        <w:rPr>
          <w:rFonts w:ascii="Book Antiqua" w:eastAsia="Book Antiqua" w:hAnsi="Book Antiqua" w:cs="Book Antiqua"/>
          <w:b/>
          <w:bCs/>
          <w:color w:val="000000"/>
        </w:rPr>
        <w:t>38</w:t>
      </w:r>
      <w:r w:rsidR="008D29B3" w:rsidRPr="008D29B3">
        <w:rPr>
          <w:rFonts w:ascii="Book Antiqua" w:eastAsia="Book Antiqua" w:hAnsi="Book Antiqua" w:cs="Book Antiqua"/>
          <w:color w:val="000000"/>
        </w:rPr>
        <w:t>: 5015</w:t>
      </w:r>
      <w:r>
        <w:rPr>
          <w:rFonts w:ascii="Book Antiqua" w:eastAsia="Book Antiqua" w:hAnsi="Book Antiqua" w:cs="Book Antiqua"/>
          <w:color w:val="000000"/>
        </w:rPr>
        <w:t xml:space="preserve"> [DOI: 10.1200/JCO.2020.38.15_suppl.5015]</w:t>
      </w:r>
    </w:p>
    <w:p w14:paraId="39CC95A5" w14:textId="196D0ACB" w:rsidR="00A77B3E" w:rsidRDefault="00EA33F8">
      <w:pPr>
        <w:spacing w:line="360" w:lineRule="auto"/>
        <w:jc w:val="both"/>
      </w:pPr>
      <w:r w:rsidRPr="00A91D18">
        <w:rPr>
          <w:rFonts w:ascii="Book Antiqua" w:eastAsia="Book Antiqua" w:hAnsi="Book Antiqua" w:cs="Book Antiqua"/>
          <w:color w:val="000000"/>
        </w:rPr>
        <w:t xml:space="preserve">15 </w:t>
      </w:r>
      <w:r w:rsidR="00DC64F2" w:rsidRPr="00A91D18">
        <w:rPr>
          <w:rFonts w:ascii="Book Antiqua" w:eastAsia="Book Antiqua" w:hAnsi="Book Antiqua" w:cs="Book Antiqua"/>
          <w:b/>
          <w:bCs/>
          <w:color w:val="000000"/>
        </w:rPr>
        <w:t>Janssen Research &amp; Development</w:t>
      </w:r>
      <w:r w:rsidR="00DC64F2" w:rsidRPr="00A91D18">
        <w:rPr>
          <w:rFonts w:ascii="Book Antiqua" w:eastAsia="Book Antiqua" w:hAnsi="Book Antiqua" w:cs="Book Antiqua"/>
          <w:color w:val="000000"/>
        </w:rPr>
        <w:t>; LLC Clinical Trials.</w:t>
      </w:r>
      <w:r w:rsidRPr="00A91D18">
        <w:rPr>
          <w:rFonts w:ascii="Book Antiqua" w:eastAsia="Book Antiqua" w:hAnsi="Book Antiqua" w:cs="Book Antiqua"/>
          <w:color w:val="000000"/>
        </w:rPr>
        <w:t xml:space="preserve"> A Study of Erdafitinib Compared With Vinflunine or Docetaxel or Pembrolizumab in Participants With Advanced Urothelial Cancer and Selected Fibroblast Growth Factor Receptor (FGFR) Gene Aberrations. In: ClinicalTrials.gov [Internet]. Bethesda (MD): U.S. National Library of Medicine. Available from: </w:t>
      </w:r>
      <w:r w:rsidR="00DC64F2" w:rsidRPr="00A91D18">
        <w:rPr>
          <w:rFonts w:ascii="Book Antiqua" w:eastAsia="Book Antiqua" w:hAnsi="Book Antiqua" w:cs="Book Antiqua"/>
          <w:color w:val="000000"/>
        </w:rPr>
        <w:t>https://clinicaltrials.gov/ct2/show/NCT03390504</w:t>
      </w:r>
      <w:r w:rsidRPr="00A91D18">
        <w:rPr>
          <w:rFonts w:ascii="Book Antiqua" w:eastAsia="Book Antiqua" w:hAnsi="Book Antiqua" w:cs="Book Antiqua"/>
          <w:color w:val="000000"/>
        </w:rPr>
        <w:t xml:space="preserve"> ClinicalTrials.gov Identifier: NCT03390504</w:t>
      </w:r>
    </w:p>
    <w:p w14:paraId="7895A6B1" w14:textId="03A672E5" w:rsidR="00A77B3E" w:rsidRDefault="00EA33F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Rosenberg JE,</w:t>
      </w:r>
      <w:r>
        <w:rPr>
          <w:rFonts w:ascii="Book Antiqua" w:eastAsia="Book Antiqua" w:hAnsi="Book Antiqua" w:cs="Book Antiqua"/>
          <w:color w:val="000000"/>
        </w:rPr>
        <w:t xml:space="preserve"> </w:t>
      </w:r>
      <w:proofErr w:type="spellStart"/>
      <w:r w:rsidR="00C13F2A" w:rsidRPr="00C13F2A">
        <w:rPr>
          <w:rFonts w:ascii="Book Antiqua" w:eastAsia="Book Antiqua" w:hAnsi="Book Antiqua" w:cs="Book Antiqua"/>
          <w:color w:val="000000"/>
        </w:rPr>
        <w:t>Gajate</w:t>
      </w:r>
      <w:proofErr w:type="spellEnd"/>
      <w:r w:rsidR="00C13F2A" w:rsidRPr="00C13F2A">
        <w:rPr>
          <w:rFonts w:ascii="Book Antiqua" w:eastAsia="Book Antiqua" w:hAnsi="Book Antiqua" w:cs="Book Antiqua"/>
          <w:color w:val="000000"/>
        </w:rPr>
        <w:t xml:space="preserve"> P, Morales-Barrera R, Lee JL, </w:t>
      </w:r>
      <w:proofErr w:type="spellStart"/>
      <w:r w:rsidR="00C13F2A" w:rsidRPr="00C13F2A">
        <w:rPr>
          <w:rFonts w:ascii="Book Antiqua" w:eastAsia="Book Antiqua" w:hAnsi="Book Antiqua" w:cs="Book Antiqua"/>
          <w:color w:val="000000"/>
        </w:rPr>
        <w:t>Necchi</w:t>
      </w:r>
      <w:proofErr w:type="spellEnd"/>
      <w:r w:rsidR="00C13F2A" w:rsidRPr="00C13F2A">
        <w:rPr>
          <w:rFonts w:ascii="Book Antiqua" w:eastAsia="Book Antiqua" w:hAnsi="Book Antiqua" w:cs="Book Antiqua"/>
          <w:color w:val="000000"/>
        </w:rPr>
        <w:t xml:space="preserve"> A, </w:t>
      </w:r>
      <w:proofErr w:type="spellStart"/>
      <w:r w:rsidR="00C13F2A" w:rsidRPr="00C13F2A">
        <w:rPr>
          <w:rFonts w:ascii="Book Antiqua" w:eastAsia="Book Antiqua" w:hAnsi="Book Antiqua" w:cs="Book Antiqua"/>
          <w:color w:val="000000"/>
        </w:rPr>
        <w:t>Penel</w:t>
      </w:r>
      <w:proofErr w:type="spellEnd"/>
      <w:r w:rsidR="00C13F2A" w:rsidRPr="00C13F2A">
        <w:rPr>
          <w:rFonts w:ascii="Book Antiqua" w:eastAsia="Book Antiqua" w:hAnsi="Book Antiqua" w:cs="Book Antiqua"/>
          <w:color w:val="000000"/>
        </w:rPr>
        <w:t xml:space="preserve"> N, </w:t>
      </w:r>
      <w:proofErr w:type="spellStart"/>
      <w:r w:rsidR="00C13F2A" w:rsidRPr="00C13F2A">
        <w:rPr>
          <w:rFonts w:ascii="Book Antiqua" w:eastAsia="Book Antiqua" w:hAnsi="Book Antiqua" w:cs="Book Antiqua"/>
          <w:color w:val="000000"/>
        </w:rPr>
        <w:t>Zagonel</w:t>
      </w:r>
      <w:proofErr w:type="spellEnd"/>
      <w:r w:rsidR="00C13F2A" w:rsidRPr="00C13F2A">
        <w:rPr>
          <w:rFonts w:ascii="Book Antiqua" w:eastAsia="Book Antiqua" w:hAnsi="Book Antiqua" w:cs="Book Antiqua"/>
          <w:color w:val="000000"/>
        </w:rPr>
        <w:t xml:space="preserve"> V, </w:t>
      </w:r>
      <w:proofErr w:type="spellStart"/>
      <w:r w:rsidR="00C13F2A" w:rsidRPr="00C13F2A">
        <w:rPr>
          <w:rFonts w:ascii="Book Antiqua" w:eastAsia="Book Antiqua" w:hAnsi="Book Antiqua" w:cs="Book Antiqua"/>
          <w:color w:val="000000"/>
        </w:rPr>
        <w:t>Sierecki</w:t>
      </w:r>
      <w:proofErr w:type="spellEnd"/>
      <w:r w:rsidR="00C13F2A" w:rsidRPr="00C13F2A">
        <w:rPr>
          <w:rFonts w:ascii="Book Antiqua" w:eastAsia="Book Antiqua" w:hAnsi="Book Antiqua" w:cs="Book Antiqua"/>
          <w:color w:val="000000"/>
        </w:rPr>
        <w:t xml:space="preserve"> MR, </w:t>
      </w:r>
      <w:proofErr w:type="spellStart"/>
      <w:r w:rsidR="00C13F2A" w:rsidRPr="00C13F2A">
        <w:rPr>
          <w:rFonts w:ascii="Book Antiqua" w:eastAsia="Book Antiqua" w:hAnsi="Book Antiqua" w:cs="Book Antiqua"/>
          <w:color w:val="000000"/>
        </w:rPr>
        <w:t>Piciu</w:t>
      </w:r>
      <w:proofErr w:type="spellEnd"/>
      <w:r w:rsidR="00C13F2A" w:rsidRPr="00C13F2A">
        <w:rPr>
          <w:rFonts w:ascii="Book Antiqua" w:eastAsia="Book Antiqua" w:hAnsi="Book Antiqua" w:cs="Book Antiqua"/>
          <w:color w:val="000000"/>
        </w:rPr>
        <w:t xml:space="preserve"> AM, </w:t>
      </w:r>
      <w:proofErr w:type="spellStart"/>
      <w:r w:rsidR="00C13F2A" w:rsidRPr="00C13F2A">
        <w:rPr>
          <w:rFonts w:ascii="Book Antiqua" w:eastAsia="Book Antiqua" w:hAnsi="Book Antiqua" w:cs="Book Antiqua"/>
          <w:color w:val="000000"/>
        </w:rPr>
        <w:t>Ellinghaus</w:t>
      </w:r>
      <w:proofErr w:type="spellEnd"/>
      <w:r w:rsidR="00C13F2A" w:rsidRPr="00C13F2A">
        <w:rPr>
          <w:rFonts w:ascii="Book Antiqua" w:eastAsia="Book Antiqua" w:hAnsi="Book Antiqua" w:cs="Book Antiqua"/>
          <w:color w:val="000000"/>
        </w:rPr>
        <w:t xml:space="preserve"> P, </w:t>
      </w:r>
      <w:proofErr w:type="spellStart"/>
      <w:r w:rsidR="00C13F2A" w:rsidRPr="00C13F2A">
        <w:rPr>
          <w:rFonts w:ascii="Book Antiqua" w:eastAsia="Book Antiqua" w:hAnsi="Book Antiqua" w:cs="Book Antiqua"/>
          <w:color w:val="000000"/>
        </w:rPr>
        <w:t>Sweis</w:t>
      </w:r>
      <w:proofErr w:type="spellEnd"/>
      <w:r w:rsidR="00C13F2A" w:rsidRPr="00C13F2A">
        <w:rPr>
          <w:rFonts w:ascii="Book Antiqua" w:eastAsia="Book Antiqua" w:hAnsi="Book Antiqua" w:cs="Book Antiqua"/>
          <w:color w:val="000000"/>
        </w:rPr>
        <w:t xml:space="preserve"> RF.</w:t>
      </w:r>
      <w:r>
        <w:rPr>
          <w:rFonts w:ascii="Book Antiqua" w:eastAsia="Book Antiqua" w:hAnsi="Book Antiqua" w:cs="Book Antiqua"/>
          <w:color w:val="000000"/>
        </w:rPr>
        <w:t xml:space="preserve"> Safety and preliminary efficacy of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in combination with atezolizumab in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/II study (FORT-2) of first-line treatment in cisplatin-ineligible patients (pts) with locally advanced or metastatic urothelial cancer (UC) and FGFR mRNA overexpression.</w:t>
      </w:r>
      <w:r w:rsidRPr="00C13F2A">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2020</w:t>
      </w:r>
      <w:r w:rsidR="00FD6E92">
        <w:rPr>
          <w:rFonts w:ascii="Book Antiqua" w:eastAsia="Book Antiqua" w:hAnsi="Book Antiqua" w:cs="Book Antiqua"/>
          <w:color w:val="000000"/>
        </w:rPr>
        <w:t>;</w:t>
      </w:r>
      <w:r>
        <w:rPr>
          <w:rFonts w:ascii="Book Antiqua" w:eastAsia="Book Antiqua" w:hAnsi="Book Antiqua" w:cs="Book Antiqua"/>
          <w:color w:val="000000"/>
        </w:rPr>
        <w:t xml:space="preserve"> </w:t>
      </w:r>
      <w:r w:rsidR="00FD6E92" w:rsidRPr="00C13F2A">
        <w:rPr>
          <w:rFonts w:ascii="Book Antiqua" w:eastAsia="Book Antiqua" w:hAnsi="Book Antiqua" w:cs="Book Antiqua"/>
          <w:b/>
          <w:bCs/>
          <w:color w:val="000000"/>
        </w:rPr>
        <w:t>38</w:t>
      </w:r>
      <w:r w:rsidR="00FD6E92">
        <w:rPr>
          <w:rFonts w:ascii="Book Antiqua" w:eastAsia="Book Antiqua" w:hAnsi="Book Antiqua" w:cs="Book Antiqua"/>
          <w:color w:val="000000"/>
        </w:rPr>
        <w:t xml:space="preserve">: 5014 </w:t>
      </w:r>
      <w:r w:rsidR="00C13F2A">
        <w:rPr>
          <w:rFonts w:ascii="Book Antiqua" w:eastAsia="Book Antiqua" w:hAnsi="Book Antiqua" w:cs="Book Antiqua"/>
          <w:color w:val="000000"/>
        </w:rPr>
        <w:t>[</w:t>
      </w:r>
      <w:r>
        <w:rPr>
          <w:rFonts w:ascii="Book Antiqua" w:eastAsia="Book Antiqua" w:hAnsi="Book Antiqua" w:cs="Book Antiqua"/>
          <w:color w:val="000000"/>
        </w:rPr>
        <w:t>DOI: 10.1200/JCO.2020.38.15_suppl.5014</w:t>
      </w:r>
      <w:r w:rsidR="00C13F2A">
        <w:rPr>
          <w:rFonts w:ascii="Book Antiqua" w:eastAsia="Book Antiqua" w:hAnsi="Book Antiqua" w:cs="Book Antiqua"/>
          <w:color w:val="000000"/>
        </w:rPr>
        <w:t>]</w:t>
      </w:r>
    </w:p>
    <w:p w14:paraId="2028C6A5" w14:textId="77777777" w:rsidR="00A77B3E" w:rsidRDefault="00EA33F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Schuler M</w:t>
      </w:r>
      <w:r>
        <w:rPr>
          <w:rFonts w:ascii="Book Antiqua" w:eastAsia="Book Antiqua" w:hAnsi="Book Antiqua" w:cs="Book Antiqua"/>
          <w:color w:val="000000"/>
        </w:rPr>
        <w:t xml:space="preserve">, Cho BC, </w:t>
      </w:r>
      <w:proofErr w:type="spellStart"/>
      <w:r>
        <w:rPr>
          <w:rFonts w:ascii="Book Antiqua" w:eastAsia="Book Antiqua" w:hAnsi="Book Antiqua" w:cs="Book Antiqua"/>
          <w:color w:val="000000"/>
        </w:rPr>
        <w:t>Sayehli</w:t>
      </w:r>
      <w:proofErr w:type="spellEnd"/>
      <w:r>
        <w:rPr>
          <w:rFonts w:ascii="Book Antiqua" w:eastAsia="Book Antiqua" w:hAnsi="Book Antiqua" w:cs="Book Antiqua"/>
          <w:color w:val="000000"/>
        </w:rPr>
        <w:t xml:space="preserve"> CM, Navarro A, Soo RA, Richly H, </w:t>
      </w:r>
      <w:proofErr w:type="spellStart"/>
      <w:r>
        <w:rPr>
          <w:rFonts w:ascii="Book Antiqua" w:eastAsia="Book Antiqua" w:hAnsi="Book Antiqua" w:cs="Book Antiqua"/>
          <w:color w:val="000000"/>
        </w:rPr>
        <w:t>Cassier</w:t>
      </w:r>
      <w:proofErr w:type="spellEnd"/>
      <w:r>
        <w:rPr>
          <w:rFonts w:ascii="Book Antiqua" w:eastAsia="Book Antiqua" w:hAnsi="Book Antiqua" w:cs="Book Antiqua"/>
          <w:color w:val="000000"/>
        </w:rPr>
        <w:t xml:space="preserve"> PA, Tai D, </w:t>
      </w:r>
      <w:proofErr w:type="spellStart"/>
      <w:r>
        <w:rPr>
          <w:rFonts w:ascii="Book Antiqua" w:eastAsia="Book Antiqua" w:hAnsi="Book Antiqua" w:cs="Book Antiqua"/>
          <w:color w:val="000000"/>
        </w:rPr>
        <w:t>Penel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Nogova</w:t>
      </w:r>
      <w:proofErr w:type="spellEnd"/>
      <w:r>
        <w:rPr>
          <w:rFonts w:ascii="Book Antiqua" w:eastAsia="Book Antiqua" w:hAnsi="Book Antiqua" w:cs="Book Antiqua"/>
          <w:color w:val="000000"/>
        </w:rPr>
        <w:t xml:space="preserve"> L, Park SH, </w:t>
      </w:r>
      <w:proofErr w:type="spellStart"/>
      <w:r>
        <w:rPr>
          <w:rFonts w:ascii="Book Antiqua" w:eastAsia="Book Antiqua" w:hAnsi="Book Antiqua" w:cs="Book Antiqua"/>
          <w:color w:val="000000"/>
        </w:rPr>
        <w:t>Schostak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Gajate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Cathomas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Rajagopalan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Grevel</w:t>
      </w:r>
      <w:proofErr w:type="spellEnd"/>
      <w:r>
        <w:rPr>
          <w:rFonts w:ascii="Book Antiqua" w:eastAsia="Book Antiqua" w:hAnsi="Book Antiqua" w:cs="Book Antiqua"/>
          <w:color w:val="000000"/>
        </w:rPr>
        <w:t xml:space="preserve"> J, Bender S,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Nogai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Ocker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Joerger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Rogaratinib</w:t>
      </w:r>
      <w:proofErr w:type="spellEnd"/>
      <w:r>
        <w:rPr>
          <w:rFonts w:ascii="Book Antiqua" w:eastAsia="Book Antiqua" w:hAnsi="Book Antiqua" w:cs="Book Antiqua"/>
          <w:color w:val="000000"/>
        </w:rPr>
        <w:t xml:space="preserve"> in patients with advanced cancers selected by FGFR mRNA expression: a phase 1 dose-escalation and dose-expansion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1454-1466 [PMID: 31405822 DOI: 10.1016/S1470-2045(19)30412-7]</w:t>
      </w:r>
    </w:p>
    <w:p w14:paraId="5759629C" w14:textId="0650FE93" w:rsidR="00A77B3E" w:rsidRDefault="00EA33F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Pal SK,</w:t>
      </w:r>
      <w:r>
        <w:rPr>
          <w:rFonts w:ascii="Book Antiqua" w:eastAsia="Book Antiqua" w:hAnsi="Book Antiqua" w:cs="Book Antiqua"/>
          <w:color w:val="000000"/>
        </w:rPr>
        <w:t xml:space="preserve"> </w:t>
      </w:r>
      <w:proofErr w:type="spellStart"/>
      <w:r w:rsidR="00C012CC" w:rsidRPr="00C012CC">
        <w:rPr>
          <w:rFonts w:ascii="Book Antiqua" w:eastAsia="Book Antiqua" w:hAnsi="Book Antiqua" w:cs="Book Antiqua"/>
          <w:color w:val="000000"/>
        </w:rPr>
        <w:t>Agarwal</w:t>
      </w:r>
      <w:proofErr w:type="spellEnd"/>
      <w:r w:rsidR="00C012CC" w:rsidRPr="00C012CC">
        <w:rPr>
          <w:rFonts w:ascii="Book Antiqua" w:eastAsia="Book Antiqua" w:hAnsi="Book Antiqua" w:cs="Book Antiqua"/>
          <w:color w:val="000000"/>
        </w:rPr>
        <w:t xml:space="preserve"> N, </w:t>
      </w:r>
      <w:proofErr w:type="spellStart"/>
      <w:r w:rsidR="00C012CC" w:rsidRPr="00C012CC">
        <w:rPr>
          <w:rFonts w:ascii="Book Antiqua" w:eastAsia="Book Antiqua" w:hAnsi="Book Antiqua" w:cs="Book Antiqua"/>
          <w:color w:val="000000"/>
        </w:rPr>
        <w:t>Loriot</w:t>
      </w:r>
      <w:proofErr w:type="spellEnd"/>
      <w:r w:rsidR="00C012CC" w:rsidRPr="00C012CC">
        <w:rPr>
          <w:rFonts w:ascii="Book Antiqua" w:eastAsia="Book Antiqua" w:hAnsi="Book Antiqua" w:cs="Book Antiqua"/>
          <w:color w:val="000000"/>
        </w:rPr>
        <w:t xml:space="preserve"> Y, Rodriguez CS, Singh P, </w:t>
      </w:r>
      <w:proofErr w:type="spellStart"/>
      <w:r w:rsidR="00C012CC" w:rsidRPr="00C012CC">
        <w:rPr>
          <w:rFonts w:ascii="Book Antiqua" w:eastAsia="Book Antiqua" w:hAnsi="Book Antiqua" w:cs="Book Antiqua"/>
          <w:color w:val="000000"/>
        </w:rPr>
        <w:t>Vaishampayan</w:t>
      </w:r>
      <w:proofErr w:type="spellEnd"/>
      <w:r w:rsidR="00C012CC" w:rsidRPr="00C012CC">
        <w:rPr>
          <w:rFonts w:ascii="Book Antiqua" w:eastAsia="Book Antiqua" w:hAnsi="Book Antiqua" w:cs="Book Antiqua"/>
          <w:color w:val="000000"/>
        </w:rPr>
        <w:t xml:space="preserve"> UN, </w:t>
      </w:r>
      <w:proofErr w:type="spellStart"/>
      <w:r w:rsidR="00C012CC" w:rsidRPr="00C012CC">
        <w:rPr>
          <w:rFonts w:ascii="Book Antiqua" w:eastAsia="Book Antiqua" w:hAnsi="Book Antiqua" w:cs="Book Antiqua"/>
          <w:color w:val="000000"/>
        </w:rPr>
        <w:t>Mcilvaine</w:t>
      </w:r>
      <w:proofErr w:type="spellEnd"/>
      <w:r w:rsidR="00C012CC" w:rsidRPr="00C012CC">
        <w:rPr>
          <w:rFonts w:ascii="Book Antiqua" w:eastAsia="Book Antiqua" w:hAnsi="Book Antiqua" w:cs="Book Antiqua"/>
          <w:color w:val="000000"/>
        </w:rPr>
        <w:t xml:space="preserve"> E, Curran D, </w:t>
      </w:r>
      <w:proofErr w:type="spellStart"/>
      <w:r w:rsidR="00C012CC" w:rsidRPr="00C012CC">
        <w:rPr>
          <w:rFonts w:ascii="Book Antiqua" w:eastAsia="Book Antiqua" w:hAnsi="Book Antiqua" w:cs="Book Antiqua"/>
          <w:color w:val="000000"/>
        </w:rPr>
        <w:t>Castellano</w:t>
      </w:r>
      <w:proofErr w:type="spellEnd"/>
      <w:r w:rsidR="00C012CC" w:rsidRPr="00C012CC">
        <w:rPr>
          <w:rFonts w:ascii="Book Antiqua" w:eastAsia="Book Antiqua" w:hAnsi="Book Antiqua" w:cs="Book Antiqua"/>
          <w:color w:val="000000"/>
        </w:rPr>
        <w:t xml:space="preserve"> D, </w:t>
      </w:r>
      <w:proofErr w:type="spellStart"/>
      <w:r w:rsidR="00C012CC" w:rsidRPr="00C012CC">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w:t>
      </w:r>
      <w:r w:rsidR="00C012CC" w:rsidRPr="00C012CC">
        <w:rPr>
          <w:rFonts w:ascii="Book Antiqua" w:eastAsia="Book Antiqua" w:hAnsi="Book Antiqua" w:cs="Book Antiqua"/>
          <w:color w:val="000000"/>
        </w:rPr>
        <w:t>A</w:t>
      </w:r>
      <w:r w:rsidR="00C012CC">
        <w:rPr>
          <w:rFonts w:ascii="Book Antiqua" w:eastAsia="Book Antiqua" w:hAnsi="Book Antiqua" w:cs="Book Antiqua"/>
          <w:color w:val="000000"/>
        </w:rPr>
        <w:t>.</w:t>
      </w:r>
      <w:r w:rsidR="00C012CC" w:rsidRPr="00C012C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in combination with atezolizumab in urothelial carcinoma previously treated with platinum-containing chemotherapy: </w:t>
      </w:r>
      <w:r>
        <w:rPr>
          <w:rFonts w:ascii="Book Antiqua" w:eastAsia="Book Antiqua" w:hAnsi="Book Antiqua" w:cs="Book Antiqua"/>
          <w:color w:val="000000"/>
        </w:rPr>
        <w:lastRenderedPageBreak/>
        <w:t>Results from cohort 2 of the COSMIC-021 study.</w:t>
      </w:r>
      <w:r w:rsidRPr="00C012CC">
        <w:rPr>
          <w:rFonts w:ascii="Book Antiqua" w:eastAsia="Book Antiqua" w:hAnsi="Book Antiqua" w:cs="Book Antiqua"/>
          <w:i/>
          <w:iCs/>
          <w:color w:val="000000"/>
        </w:rPr>
        <w:t xml:space="preserve"> J Clin Oncol</w:t>
      </w:r>
      <w:r w:rsidR="00C012CC" w:rsidRPr="00C012CC">
        <w:rPr>
          <w:rFonts w:ascii="Book Antiqua" w:eastAsia="Book Antiqua" w:hAnsi="Book Antiqua" w:cs="Book Antiqua"/>
          <w:color w:val="000000"/>
        </w:rPr>
        <w:t xml:space="preserve"> </w:t>
      </w:r>
      <w:r w:rsidR="00C012CC">
        <w:rPr>
          <w:rFonts w:ascii="Book Antiqua" w:eastAsia="Book Antiqua" w:hAnsi="Book Antiqua" w:cs="Book Antiqua"/>
          <w:color w:val="000000"/>
        </w:rPr>
        <w:t>2020;</w:t>
      </w:r>
      <w:r w:rsidRPr="00C012CC">
        <w:rPr>
          <w:rFonts w:ascii="Book Antiqua" w:eastAsia="Book Antiqua" w:hAnsi="Book Antiqua" w:cs="Book Antiqua"/>
          <w:i/>
          <w:iCs/>
          <w:color w:val="000000"/>
        </w:rPr>
        <w:t xml:space="preserve"> </w:t>
      </w:r>
      <w:r w:rsidRPr="00C012CC">
        <w:rPr>
          <w:rFonts w:ascii="Book Antiqua" w:eastAsia="Book Antiqua" w:hAnsi="Book Antiqua" w:cs="Book Antiqua"/>
          <w:b/>
          <w:bCs/>
          <w:color w:val="000000"/>
        </w:rPr>
        <w:t>38</w:t>
      </w:r>
      <w:r>
        <w:rPr>
          <w:rFonts w:ascii="Book Antiqua" w:eastAsia="Book Antiqua" w:hAnsi="Book Antiqua" w:cs="Book Antiqua"/>
          <w:color w:val="000000"/>
        </w:rPr>
        <w:t>: 5013 [DOI: 10.1200/JCO.2020.38.15_suppl.5013]</w:t>
      </w:r>
    </w:p>
    <w:p w14:paraId="1B28DD21" w14:textId="3BF1E3EB" w:rsidR="00A77B3E" w:rsidRDefault="00EA33F8">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Giannatempo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sidR="00BB6C54" w:rsidRPr="00BB6C54">
        <w:rPr>
          <w:rFonts w:ascii="Book Antiqua" w:eastAsia="Book Antiqua" w:hAnsi="Book Antiqua" w:cs="Book Antiqua"/>
          <w:color w:val="000000"/>
        </w:rPr>
        <w:t>Calareso</w:t>
      </w:r>
      <w:proofErr w:type="spellEnd"/>
      <w:r w:rsidR="00BB6C54" w:rsidRPr="00BB6C54">
        <w:rPr>
          <w:rFonts w:ascii="Book Antiqua" w:eastAsia="Book Antiqua" w:hAnsi="Book Antiqua" w:cs="Book Antiqua"/>
          <w:color w:val="000000"/>
        </w:rPr>
        <w:t xml:space="preserve"> G, </w:t>
      </w:r>
      <w:proofErr w:type="spellStart"/>
      <w:r w:rsidR="00BB6C54" w:rsidRPr="00BB6C54">
        <w:rPr>
          <w:rFonts w:ascii="Book Antiqua" w:eastAsia="Book Antiqua" w:hAnsi="Book Antiqua" w:cs="Book Antiqua"/>
          <w:color w:val="000000"/>
        </w:rPr>
        <w:t>Bandini</w:t>
      </w:r>
      <w:proofErr w:type="spellEnd"/>
      <w:r w:rsidR="00BB6C54" w:rsidRPr="00BB6C54">
        <w:rPr>
          <w:rFonts w:ascii="Book Antiqua" w:eastAsia="Book Antiqua" w:hAnsi="Book Antiqua" w:cs="Book Antiqua"/>
          <w:color w:val="000000"/>
        </w:rPr>
        <w:t xml:space="preserve"> M, </w:t>
      </w:r>
      <w:proofErr w:type="spellStart"/>
      <w:r w:rsidR="00BB6C54" w:rsidRPr="00BB6C54">
        <w:rPr>
          <w:rFonts w:ascii="Book Antiqua" w:eastAsia="Book Antiqua" w:hAnsi="Book Antiqua" w:cs="Book Antiqua"/>
          <w:color w:val="000000"/>
        </w:rPr>
        <w:t>Marandino</w:t>
      </w:r>
      <w:proofErr w:type="spellEnd"/>
      <w:r w:rsidR="00BB6C54" w:rsidRPr="00BB6C54">
        <w:rPr>
          <w:rFonts w:ascii="Book Antiqua" w:eastAsia="Book Antiqua" w:hAnsi="Book Antiqua" w:cs="Book Antiqua"/>
          <w:color w:val="000000"/>
        </w:rPr>
        <w:t xml:space="preserve"> L, </w:t>
      </w:r>
      <w:proofErr w:type="spellStart"/>
      <w:r w:rsidR="00BB6C54" w:rsidRPr="00BB6C54">
        <w:rPr>
          <w:rFonts w:ascii="Book Antiqua" w:eastAsia="Book Antiqua" w:hAnsi="Book Antiqua" w:cs="Book Antiqua"/>
          <w:color w:val="000000"/>
        </w:rPr>
        <w:t>Raggi</w:t>
      </w:r>
      <w:proofErr w:type="spellEnd"/>
      <w:r w:rsidR="00BB6C54" w:rsidRPr="00BB6C54">
        <w:rPr>
          <w:rFonts w:ascii="Book Antiqua" w:eastAsia="Book Antiqua" w:hAnsi="Book Antiqua" w:cs="Book Antiqua"/>
          <w:color w:val="000000"/>
        </w:rPr>
        <w:t xml:space="preserve"> D, </w:t>
      </w:r>
      <w:proofErr w:type="spellStart"/>
      <w:r w:rsidR="00BB6C54" w:rsidRPr="00BB6C54">
        <w:rPr>
          <w:rFonts w:ascii="Book Antiqua" w:eastAsia="Book Antiqua" w:hAnsi="Book Antiqua" w:cs="Book Antiqua"/>
          <w:color w:val="000000"/>
        </w:rPr>
        <w:t>Farè</w:t>
      </w:r>
      <w:proofErr w:type="spellEnd"/>
      <w:r w:rsidR="00BB6C54">
        <w:rPr>
          <w:rFonts w:ascii="Book Antiqua" w:eastAsia="Book Antiqua" w:hAnsi="Book Antiqua" w:cs="Book Antiqua"/>
          <w:color w:val="000000"/>
        </w:rPr>
        <w:t xml:space="preserve"> </w:t>
      </w:r>
      <w:r w:rsidR="00BB6C54" w:rsidRPr="00BB6C54">
        <w:rPr>
          <w:rFonts w:ascii="Book Antiqua" w:eastAsia="Book Antiqua" w:hAnsi="Book Antiqua" w:cs="Book Antiqua"/>
          <w:color w:val="000000"/>
        </w:rPr>
        <w:t xml:space="preserve">E, </w:t>
      </w:r>
      <w:proofErr w:type="spellStart"/>
      <w:r w:rsidR="00BB6C54" w:rsidRPr="00BB6C54">
        <w:rPr>
          <w:rFonts w:ascii="Book Antiqua" w:eastAsia="Book Antiqua" w:hAnsi="Book Antiqua" w:cs="Book Antiqua"/>
          <w:color w:val="000000"/>
        </w:rPr>
        <w:t>Colecchia</w:t>
      </w:r>
      <w:proofErr w:type="spellEnd"/>
      <w:r w:rsidR="00BB6C54" w:rsidRPr="00BB6C54">
        <w:rPr>
          <w:rFonts w:ascii="Book Antiqua" w:eastAsia="Book Antiqua" w:hAnsi="Book Antiqua" w:cs="Book Antiqua"/>
          <w:color w:val="000000"/>
        </w:rPr>
        <w:t xml:space="preserve"> M, </w:t>
      </w:r>
      <w:proofErr w:type="spellStart"/>
      <w:r w:rsidR="00BB6C54" w:rsidRPr="00BB6C54">
        <w:rPr>
          <w:rFonts w:ascii="Book Antiqua" w:eastAsia="Book Antiqua" w:hAnsi="Book Antiqua" w:cs="Book Antiqua"/>
          <w:color w:val="000000"/>
        </w:rPr>
        <w:t>Pederzoli</w:t>
      </w:r>
      <w:proofErr w:type="spellEnd"/>
      <w:r w:rsidR="00BB6C54" w:rsidRPr="00BB6C54">
        <w:rPr>
          <w:rFonts w:ascii="Book Antiqua" w:eastAsia="Book Antiqua" w:hAnsi="Book Antiqua" w:cs="Book Antiqua"/>
          <w:color w:val="000000"/>
        </w:rPr>
        <w:t xml:space="preserve"> F, </w:t>
      </w:r>
      <w:proofErr w:type="spellStart"/>
      <w:r w:rsidR="00BB6C54" w:rsidRPr="00BB6C54">
        <w:rPr>
          <w:rFonts w:ascii="Book Antiqua" w:eastAsia="Book Antiqua" w:hAnsi="Book Antiqua" w:cs="Book Antiqua"/>
          <w:color w:val="000000"/>
        </w:rPr>
        <w:t>Gallina</w:t>
      </w:r>
      <w:proofErr w:type="spellEnd"/>
      <w:r w:rsidR="00BB6C54" w:rsidRPr="00BB6C54">
        <w:rPr>
          <w:rFonts w:ascii="Book Antiqua" w:eastAsia="Book Antiqua" w:hAnsi="Book Antiqua" w:cs="Book Antiqua"/>
          <w:color w:val="000000"/>
        </w:rPr>
        <w:t xml:space="preserve"> A, Madison R, Briganti A, Ross JS, </w:t>
      </w:r>
      <w:proofErr w:type="spellStart"/>
      <w:r w:rsidR="00BB6C54" w:rsidRPr="00BB6C54">
        <w:rPr>
          <w:rFonts w:ascii="Book Antiqua" w:eastAsia="Book Antiqua" w:hAnsi="Book Antiqua" w:cs="Book Antiqua"/>
          <w:color w:val="000000"/>
        </w:rPr>
        <w:t>Montorsi</w:t>
      </w:r>
      <w:proofErr w:type="spellEnd"/>
      <w:r w:rsidR="00BB6C54" w:rsidRPr="00BB6C54">
        <w:rPr>
          <w:rFonts w:ascii="Book Antiqua" w:eastAsia="Book Antiqua" w:hAnsi="Book Antiqua" w:cs="Book Antiqua"/>
          <w:color w:val="000000"/>
        </w:rPr>
        <w:t xml:space="preserve"> F, </w:t>
      </w:r>
      <w:proofErr w:type="spellStart"/>
      <w:r w:rsidR="00BB6C54" w:rsidRPr="00BB6C54">
        <w:rPr>
          <w:rFonts w:ascii="Book Antiqua" w:eastAsia="Book Antiqua" w:hAnsi="Book Antiqua" w:cs="Book Antiqua"/>
          <w:color w:val="000000"/>
        </w:rPr>
        <w:t>Necchi</w:t>
      </w:r>
      <w:proofErr w:type="spellEnd"/>
      <w:r w:rsidR="00BB6C54" w:rsidRPr="00BB6C54">
        <w:rPr>
          <w:rFonts w:ascii="Book Antiqua" w:eastAsia="Book Antiqua" w:hAnsi="Book Antiqua" w:cs="Book Antiqua"/>
          <w:color w:val="000000"/>
        </w:rPr>
        <w:t xml:space="preserve"> A</w:t>
      </w:r>
      <w:r w:rsidR="00BB6C54">
        <w:rPr>
          <w:rFonts w:ascii="Book Antiqua" w:eastAsia="Book Antiqua" w:hAnsi="Book Antiqua" w:cs="Book Antiqua"/>
          <w:color w:val="000000"/>
        </w:rPr>
        <w:t xml:space="preserve">. </w:t>
      </w:r>
      <w:r>
        <w:rPr>
          <w:rFonts w:ascii="Book Antiqua" w:eastAsia="Book Antiqua" w:hAnsi="Book Antiqua" w:cs="Book Antiqua"/>
          <w:color w:val="000000"/>
        </w:rPr>
        <w:t>Final results of PEANUT: Pembrolizumab and nanoparticle albumin-bound paclitaxel (nab-paclitaxel) as salvage therapy for metastatic urothelial carcinoma (UC).</w:t>
      </w:r>
      <w:r w:rsidRPr="00BB6C54">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w:t>
      </w:r>
      <w:r w:rsidR="00BB6C54">
        <w:rPr>
          <w:rFonts w:ascii="Book Antiqua" w:eastAsia="Book Antiqua" w:hAnsi="Book Antiqua" w:cs="Book Antiqua"/>
          <w:color w:val="000000"/>
        </w:rPr>
        <w:t xml:space="preserve">2020; </w:t>
      </w:r>
      <w:r w:rsidRPr="00BB6C54">
        <w:rPr>
          <w:rFonts w:ascii="Book Antiqua" w:eastAsia="Book Antiqua" w:hAnsi="Book Antiqua" w:cs="Book Antiqua"/>
          <w:b/>
          <w:bCs/>
          <w:color w:val="000000"/>
        </w:rPr>
        <w:t>38</w:t>
      </w:r>
      <w:r>
        <w:rPr>
          <w:rFonts w:ascii="Book Antiqua" w:eastAsia="Book Antiqua" w:hAnsi="Book Antiqua" w:cs="Book Antiqua"/>
          <w:color w:val="000000"/>
        </w:rPr>
        <w:t>:</w:t>
      </w:r>
      <w:r w:rsidR="00BB6C54">
        <w:rPr>
          <w:rFonts w:ascii="Book Antiqua" w:eastAsia="Book Antiqua" w:hAnsi="Book Antiqua" w:cs="Book Antiqua"/>
          <w:color w:val="000000"/>
        </w:rPr>
        <w:t xml:space="preserve"> </w:t>
      </w:r>
      <w:r>
        <w:rPr>
          <w:rFonts w:ascii="Book Antiqua" w:eastAsia="Book Antiqua" w:hAnsi="Book Antiqua" w:cs="Book Antiqua"/>
          <w:color w:val="000000"/>
        </w:rPr>
        <w:t>5017</w:t>
      </w:r>
      <w:r w:rsidR="00BB6C54">
        <w:rPr>
          <w:rFonts w:ascii="Book Antiqua" w:eastAsia="Book Antiqua" w:hAnsi="Book Antiqua" w:cs="Book Antiqua"/>
          <w:color w:val="000000"/>
        </w:rPr>
        <w:t xml:space="preserve"> </w:t>
      </w:r>
      <w:r>
        <w:rPr>
          <w:rFonts w:ascii="Book Antiqua" w:eastAsia="Book Antiqua" w:hAnsi="Book Antiqua" w:cs="Book Antiqua"/>
          <w:color w:val="000000"/>
        </w:rPr>
        <w:t>[DOI: 10.1200/JCO.2020.38.15_suppl.5017]</w:t>
      </w:r>
    </w:p>
    <w:p w14:paraId="09B80865" w14:textId="51899631" w:rsidR="00A77B3E" w:rsidRDefault="00EA33F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Galsky</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sidR="001835CE" w:rsidRPr="001835CE">
        <w:rPr>
          <w:rFonts w:ascii="Book Antiqua" w:eastAsia="Book Antiqua" w:hAnsi="Book Antiqua" w:cs="Book Antiqua"/>
          <w:color w:val="000000"/>
        </w:rPr>
        <w:t>Banchereau</w:t>
      </w:r>
      <w:proofErr w:type="spellEnd"/>
      <w:r w:rsidR="001835CE" w:rsidRPr="001835CE">
        <w:rPr>
          <w:rFonts w:ascii="Book Antiqua" w:eastAsia="Book Antiqua" w:hAnsi="Book Antiqua" w:cs="Book Antiqua"/>
          <w:color w:val="000000"/>
        </w:rPr>
        <w:t xml:space="preserve"> R, </w:t>
      </w:r>
      <w:proofErr w:type="spellStart"/>
      <w:r w:rsidR="001835CE" w:rsidRPr="001835CE">
        <w:rPr>
          <w:rFonts w:ascii="Book Antiqua" w:eastAsia="Book Antiqua" w:hAnsi="Book Antiqua" w:cs="Book Antiqua"/>
          <w:color w:val="000000"/>
        </w:rPr>
        <w:t>Hamidi</w:t>
      </w:r>
      <w:proofErr w:type="spellEnd"/>
      <w:r w:rsidR="001835CE" w:rsidRPr="001835CE">
        <w:rPr>
          <w:rFonts w:ascii="Book Antiqua" w:eastAsia="Book Antiqua" w:hAnsi="Book Antiqua" w:cs="Book Antiqua"/>
          <w:color w:val="000000"/>
        </w:rPr>
        <w:t xml:space="preserve"> HR, </w:t>
      </w:r>
      <w:proofErr w:type="spellStart"/>
      <w:r w:rsidR="001835CE" w:rsidRPr="001835CE">
        <w:rPr>
          <w:rFonts w:ascii="Book Antiqua" w:eastAsia="Book Antiqua" w:hAnsi="Book Antiqua" w:cs="Book Antiqua"/>
          <w:color w:val="000000"/>
        </w:rPr>
        <w:t>Leng</w:t>
      </w:r>
      <w:proofErr w:type="spellEnd"/>
      <w:r w:rsidR="001835CE" w:rsidRPr="001835CE">
        <w:rPr>
          <w:rFonts w:ascii="Book Antiqua" w:eastAsia="Book Antiqua" w:hAnsi="Book Antiqua" w:cs="Book Antiqua"/>
          <w:color w:val="000000"/>
        </w:rPr>
        <w:t xml:space="preserve"> N, Harris W, O'Donnell PH, </w:t>
      </w:r>
      <w:proofErr w:type="spellStart"/>
      <w:r w:rsidR="001835CE" w:rsidRPr="001835CE">
        <w:rPr>
          <w:rFonts w:ascii="Book Antiqua" w:eastAsia="Book Antiqua" w:hAnsi="Book Antiqua" w:cs="Book Antiqua"/>
          <w:color w:val="000000"/>
        </w:rPr>
        <w:t>Kadel</w:t>
      </w:r>
      <w:proofErr w:type="spellEnd"/>
      <w:r w:rsidR="001835CE" w:rsidRPr="001835CE">
        <w:rPr>
          <w:rFonts w:ascii="Book Antiqua" w:eastAsia="Book Antiqua" w:hAnsi="Book Antiqua" w:cs="Book Antiqua"/>
          <w:color w:val="000000"/>
        </w:rPr>
        <w:t xml:space="preserve"> EE, Yuen KCY, Jin D, </w:t>
      </w:r>
      <w:proofErr w:type="spellStart"/>
      <w:r w:rsidR="001835CE" w:rsidRPr="001835CE">
        <w:rPr>
          <w:rFonts w:ascii="Book Antiqua" w:eastAsia="Book Antiqua" w:hAnsi="Book Antiqua" w:cs="Book Antiqua"/>
          <w:color w:val="000000"/>
        </w:rPr>
        <w:t>Koeppen</w:t>
      </w:r>
      <w:proofErr w:type="spellEnd"/>
      <w:r w:rsidR="001835CE" w:rsidRPr="001835CE">
        <w:rPr>
          <w:rFonts w:ascii="Book Antiqua" w:eastAsia="Book Antiqua" w:hAnsi="Book Antiqua" w:cs="Book Antiqua"/>
          <w:color w:val="000000"/>
        </w:rPr>
        <w:t xml:space="preserve"> H, </w:t>
      </w:r>
      <w:proofErr w:type="spellStart"/>
      <w:r w:rsidR="001835CE" w:rsidRPr="001835CE">
        <w:rPr>
          <w:rFonts w:ascii="Book Antiqua" w:eastAsia="Book Antiqua" w:hAnsi="Book Antiqua" w:cs="Book Antiqua"/>
          <w:color w:val="000000"/>
        </w:rPr>
        <w:t>Tayama</w:t>
      </w:r>
      <w:proofErr w:type="spellEnd"/>
      <w:r w:rsidR="001835CE" w:rsidRPr="001835CE">
        <w:rPr>
          <w:rFonts w:ascii="Book Antiqua" w:eastAsia="Book Antiqua" w:hAnsi="Book Antiqua" w:cs="Book Antiqua"/>
          <w:color w:val="000000"/>
        </w:rPr>
        <w:t xml:space="preserve"> D, Grande E, </w:t>
      </w:r>
      <w:proofErr w:type="spellStart"/>
      <w:r w:rsidR="001835CE" w:rsidRPr="001835CE">
        <w:rPr>
          <w:rFonts w:ascii="Book Antiqua" w:eastAsia="Book Antiqua" w:hAnsi="Book Antiqua" w:cs="Book Antiqua"/>
          <w:color w:val="000000"/>
        </w:rPr>
        <w:t>Arranz</w:t>
      </w:r>
      <w:proofErr w:type="spellEnd"/>
      <w:r w:rsidR="001835CE" w:rsidRPr="001835CE">
        <w:rPr>
          <w:rFonts w:ascii="Book Antiqua" w:eastAsia="Book Antiqua" w:hAnsi="Book Antiqua" w:cs="Book Antiqua"/>
          <w:color w:val="000000"/>
        </w:rPr>
        <w:t xml:space="preserve"> J, De </w:t>
      </w:r>
      <w:proofErr w:type="spellStart"/>
      <w:r w:rsidR="001835CE" w:rsidRPr="001835CE">
        <w:rPr>
          <w:rFonts w:ascii="Book Antiqua" w:eastAsia="Book Antiqua" w:hAnsi="Book Antiqua" w:cs="Book Antiqua"/>
          <w:color w:val="000000"/>
        </w:rPr>
        <w:t>Santis</w:t>
      </w:r>
      <w:proofErr w:type="spellEnd"/>
      <w:r w:rsidR="001835CE" w:rsidRPr="001835CE">
        <w:rPr>
          <w:rFonts w:ascii="Book Antiqua" w:eastAsia="Book Antiqua" w:hAnsi="Book Antiqua" w:cs="Book Antiqua"/>
          <w:color w:val="000000"/>
        </w:rPr>
        <w:t xml:space="preserve"> M, Davis ID, Kikuchi E, </w:t>
      </w:r>
      <w:proofErr w:type="spellStart"/>
      <w:r w:rsidR="001835CE" w:rsidRPr="001835CE">
        <w:rPr>
          <w:rFonts w:ascii="Book Antiqua" w:eastAsia="Book Antiqua" w:hAnsi="Book Antiqua" w:cs="Book Antiqua"/>
          <w:color w:val="000000"/>
        </w:rPr>
        <w:t>Shen</w:t>
      </w:r>
      <w:proofErr w:type="spellEnd"/>
      <w:r w:rsidR="001835CE" w:rsidRPr="001835CE">
        <w:rPr>
          <w:rFonts w:ascii="Book Antiqua" w:eastAsia="Book Antiqua" w:hAnsi="Book Antiqua" w:cs="Book Antiqua"/>
          <w:color w:val="000000"/>
        </w:rPr>
        <w:t xml:space="preserve"> X, </w:t>
      </w:r>
      <w:proofErr w:type="spellStart"/>
      <w:r w:rsidR="001835CE" w:rsidRPr="001835CE">
        <w:rPr>
          <w:rFonts w:ascii="Book Antiqua" w:eastAsia="Book Antiqua" w:hAnsi="Book Antiqua" w:cs="Book Antiqua"/>
          <w:color w:val="000000"/>
        </w:rPr>
        <w:t>Bamias</w:t>
      </w:r>
      <w:proofErr w:type="spellEnd"/>
      <w:r w:rsidR="001835CE" w:rsidRPr="001835CE">
        <w:rPr>
          <w:rFonts w:ascii="Book Antiqua" w:eastAsia="Book Antiqua" w:hAnsi="Book Antiqua" w:cs="Book Antiqua"/>
          <w:color w:val="000000"/>
        </w:rPr>
        <w:t xml:space="preserve"> A, </w:t>
      </w:r>
      <w:proofErr w:type="spellStart"/>
      <w:r w:rsidR="001835CE" w:rsidRPr="001835CE">
        <w:rPr>
          <w:rFonts w:ascii="Book Antiqua" w:eastAsia="Book Antiqua" w:hAnsi="Book Antiqua" w:cs="Book Antiqua"/>
          <w:color w:val="000000"/>
        </w:rPr>
        <w:t>Mariathasan</w:t>
      </w:r>
      <w:proofErr w:type="spellEnd"/>
      <w:r w:rsidR="001835CE" w:rsidRPr="001835CE">
        <w:rPr>
          <w:rFonts w:ascii="Book Antiqua" w:eastAsia="Book Antiqua" w:hAnsi="Book Antiqua" w:cs="Book Antiqua"/>
          <w:color w:val="000000"/>
        </w:rPr>
        <w:t xml:space="preserve"> S</w:t>
      </w:r>
      <w:r w:rsidR="001835CE">
        <w:rPr>
          <w:rFonts w:ascii="Book Antiqua" w:eastAsia="Book Antiqua" w:hAnsi="Book Antiqua" w:cs="Book Antiqua"/>
          <w:color w:val="000000"/>
        </w:rPr>
        <w:t xml:space="preserve">. </w:t>
      </w:r>
      <w:r>
        <w:rPr>
          <w:rFonts w:ascii="Book Antiqua" w:eastAsia="Book Antiqua" w:hAnsi="Book Antiqua" w:cs="Book Antiqua"/>
          <w:color w:val="000000"/>
        </w:rPr>
        <w:t xml:space="preserve">Tumor, immune, and stromal characteristics associated with clinical outcomes with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 platinum-based chemotherapy (PBC) or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(mono)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PBC in metastatic </w:t>
      </w:r>
      <w:proofErr w:type="spellStart"/>
      <w:r>
        <w:rPr>
          <w:rFonts w:ascii="Book Antiqua" w:eastAsia="Book Antiqua" w:hAnsi="Book Antiqua" w:cs="Book Antiqua"/>
          <w:color w:val="000000"/>
        </w:rPr>
        <w:t>urothelial</w:t>
      </w:r>
      <w:proofErr w:type="spellEnd"/>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mUC</w:t>
      </w:r>
      <w:proofErr w:type="spellEnd"/>
      <w:r>
        <w:rPr>
          <w:rFonts w:ascii="Book Antiqua" w:eastAsia="Book Antiqua" w:hAnsi="Book Antiqua" w:cs="Book Antiqua"/>
          <w:color w:val="000000"/>
        </w:rPr>
        <w:t xml:space="preserve">) from the phase III IMvigor130 study. </w:t>
      </w:r>
      <w:r w:rsidRPr="001835CE">
        <w:rPr>
          <w:rFonts w:ascii="Book Antiqua" w:eastAsia="Book Antiqua" w:hAnsi="Book Antiqua" w:cs="Book Antiqua"/>
          <w:i/>
          <w:iCs/>
          <w:color w:val="000000"/>
        </w:rPr>
        <w:t>J Clin Oncol</w:t>
      </w:r>
      <w:r>
        <w:rPr>
          <w:rFonts w:ascii="Book Antiqua" w:eastAsia="Book Antiqua" w:hAnsi="Book Antiqua" w:cs="Book Antiqua"/>
          <w:color w:val="000000"/>
        </w:rPr>
        <w:t xml:space="preserve"> </w:t>
      </w:r>
      <w:r w:rsidR="001835CE">
        <w:rPr>
          <w:rFonts w:ascii="Book Antiqua" w:eastAsia="Book Antiqua" w:hAnsi="Book Antiqua" w:cs="Book Antiqua"/>
          <w:color w:val="000000"/>
        </w:rPr>
        <w:t xml:space="preserve">2020; </w:t>
      </w:r>
      <w:r w:rsidRPr="001835CE">
        <w:rPr>
          <w:rFonts w:ascii="Book Antiqua" w:eastAsia="Book Antiqua" w:hAnsi="Book Antiqua" w:cs="Book Antiqua"/>
          <w:b/>
          <w:bCs/>
          <w:color w:val="000000"/>
        </w:rPr>
        <w:t>38</w:t>
      </w:r>
      <w:r>
        <w:rPr>
          <w:rFonts w:ascii="Book Antiqua" w:eastAsia="Book Antiqua" w:hAnsi="Book Antiqua" w:cs="Book Antiqua"/>
          <w:color w:val="000000"/>
        </w:rPr>
        <w:t>: 5011 [DOI: 10.1200/JCO.2020.38.15_suppl.5011]</w:t>
      </w:r>
    </w:p>
    <w:p w14:paraId="7426B027" w14:textId="77777777" w:rsidR="00A77B3E" w:rsidRDefault="00EA33F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Galsky</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Pal SK, Lin SW, </w:t>
      </w:r>
      <w:proofErr w:type="spellStart"/>
      <w:r>
        <w:rPr>
          <w:rFonts w:ascii="Book Antiqua" w:eastAsia="Book Antiqua" w:hAnsi="Book Antiqua" w:cs="Book Antiqua"/>
          <w:color w:val="000000"/>
        </w:rPr>
        <w:t>Ogale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M, Simpson J, Derleth C, Schiff C, </w:t>
      </w:r>
      <w:proofErr w:type="spellStart"/>
      <w:r>
        <w:rPr>
          <w:rFonts w:ascii="Book Antiqua" w:eastAsia="Book Antiqua" w:hAnsi="Book Antiqua" w:cs="Book Antiqua"/>
          <w:color w:val="000000"/>
        </w:rPr>
        <w:t>Sonpavde</w:t>
      </w:r>
      <w:proofErr w:type="spellEnd"/>
      <w:r>
        <w:rPr>
          <w:rFonts w:ascii="Book Antiqua" w:eastAsia="Book Antiqua" w:hAnsi="Book Antiqua" w:cs="Book Antiqua"/>
          <w:color w:val="000000"/>
        </w:rPr>
        <w:t xml:space="preserve"> G. Real-World Effectiveness of Chemotherapy in Elderly Patients With Metastatic Bladder Cancer in the United States. </w:t>
      </w:r>
      <w:r>
        <w:rPr>
          <w:rFonts w:ascii="Book Antiqua" w:eastAsia="Book Antiqua" w:hAnsi="Book Antiqua" w:cs="Book Antiqua"/>
          <w:i/>
          <w:iCs/>
          <w:color w:val="000000"/>
        </w:rPr>
        <w:t>Bladder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227-238 [PMID: 29732393 DOI: 10.3233/BLC-170149]</w:t>
      </w:r>
    </w:p>
    <w:p w14:paraId="0B40C17B" w14:textId="77777777" w:rsidR="00A77B3E" w:rsidRDefault="00EA33F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Cheeseman S</w:t>
      </w:r>
      <w:r>
        <w:rPr>
          <w:rFonts w:ascii="Book Antiqua" w:eastAsia="Book Antiqua" w:hAnsi="Book Antiqua" w:cs="Book Antiqua"/>
          <w:color w:val="000000"/>
        </w:rPr>
        <w:t xml:space="preserve">, Thompson M, </w:t>
      </w:r>
      <w:proofErr w:type="spellStart"/>
      <w:r>
        <w:rPr>
          <w:rFonts w:ascii="Book Antiqua" w:eastAsia="Book Antiqua" w:hAnsi="Book Antiqua" w:cs="Book Antiqua"/>
          <w:color w:val="000000"/>
        </w:rPr>
        <w:t>Sopwith</w:t>
      </w:r>
      <w:proofErr w:type="spellEnd"/>
      <w:r>
        <w:rPr>
          <w:rFonts w:ascii="Book Antiqua" w:eastAsia="Book Antiqua" w:hAnsi="Book Antiqua" w:cs="Book Antiqua"/>
          <w:color w:val="000000"/>
        </w:rPr>
        <w:t xml:space="preserve"> W, Godden P, </w:t>
      </w:r>
      <w:proofErr w:type="spellStart"/>
      <w:r>
        <w:rPr>
          <w:rFonts w:ascii="Book Antiqua" w:eastAsia="Book Antiqua" w:hAnsi="Book Antiqua" w:cs="Book Antiqua"/>
          <w:color w:val="000000"/>
        </w:rPr>
        <w:t>Seshagiri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Adedokun</w:t>
      </w:r>
      <w:proofErr w:type="spellEnd"/>
      <w:r>
        <w:rPr>
          <w:rFonts w:ascii="Book Antiqua" w:eastAsia="Book Antiqua" w:hAnsi="Book Antiqua" w:cs="Book Antiqua"/>
          <w:color w:val="000000"/>
        </w:rPr>
        <w:t xml:space="preserve"> L, Zucker K, Jain S, Kotwal S, Prescott S, Henry A, Joseph J, </w:t>
      </w:r>
      <w:proofErr w:type="spellStart"/>
      <w:r>
        <w:rPr>
          <w:rFonts w:ascii="Book Antiqua" w:eastAsia="Book Antiqua" w:hAnsi="Book Antiqua" w:cs="Book Antiqua"/>
          <w:color w:val="000000"/>
        </w:rPr>
        <w:t>Chilka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Roulson</w:t>
      </w:r>
      <w:proofErr w:type="spellEnd"/>
      <w:r>
        <w:rPr>
          <w:rFonts w:ascii="Book Antiqua" w:eastAsia="Book Antiqua" w:hAnsi="Book Antiqua" w:cs="Book Antiqua"/>
          <w:color w:val="000000"/>
        </w:rPr>
        <w:t xml:space="preserve"> JA, Weston M, Burbidge S, Brown S, </w:t>
      </w:r>
      <w:proofErr w:type="spellStart"/>
      <w:r>
        <w:rPr>
          <w:rFonts w:ascii="Book Antiqua" w:eastAsia="Book Antiqua" w:hAnsi="Book Antiqua" w:cs="Book Antiqua"/>
          <w:color w:val="000000"/>
        </w:rPr>
        <w:t>Jagdev</w:t>
      </w:r>
      <w:proofErr w:type="spellEnd"/>
      <w:r>
        <w:rPr>
          <w:rFonts w:ascii="Book Antiqua" w:eastAsia="Book Antiqua" w:hAnsi="Book Antiqua" w:cs="Book Antiqua"/>
          <w:color w:val="000000"/>
        </w:rPr>
        <w:t xml:space="preserve"> S, Ralph C, Hall G, Vasudev NS. Current Treatment and Outcomes Benchmark for Locally Advanced or Metastatic Urothelial Cancer From a Large UK-Based Single Centre.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167 [PMID: 32154169 DOI: 10.3389/fonc.2020.00167]</w:t>
      </w:r>
    </w:p>
    <w:p w14:paraId="4E4B4228" w14:textId="77777777" w:rsidR="00A77B3E" w:rsidRDefault="00EA33F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Fisher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Shenolikar</w:t>
      </w:r>
      <w:proofErr w:type="spellEnd"/>
      <w:r>
        <w:rPr>
          <w:rFonts w:ascii="Book Antiqua" w:eastAsia="Book Antiqua" w:hAnsi="Book Antiqua" w:cs="Book Antiqua"/>
          <w:color w:val="000000"/>
        </w:rPr>
        <w:t xml:space="preserve"> R, Miller PJ, Fenton M, Walker MS. Treatment Patterns and Outcomes in Stage IV Bladder Cancer in a Community Oncology Setting: 2008-2015.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Genitourin</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e1171-e1179 [PMID: 30206026 DOI: 10.1016/j.clgc.2018.07.025]</w:t>
      </w:r>
    </w:p>
    <w:p w14:paraId="3835D465" w14:textId="3BF273F7" w:rsidR="00A77B3E" w:rsidRDefault="00EA33F8">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Galsky</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sidR="00FC04CD" w:rsidRPr="00FC04CD">
        <w:rPr>
          <w:rFonts w:ascii="Book Antiqua" w:eastAsia="Book Antiqua" w:hAnsi="Book Antiqua" w:cs="Book Antiqua"/>
          <w:color w:val="000000"/>
        </w:rPr>
        <w:t>Arija</w:t>
      </w:r>
      <w:proofErr w:type="spellEnd"/>
      <w:r w:rsidR="00FC04CD" w:rsidRPr="00FC04CD">
        <w:rPr>
          <w:rFonts w:ascii="Book Antiqua" w:eastAsia="Book Antiqua" w:hAnsi="Book Antiqua" w:cs="Book Antiqua"/>
          <w:color w:val="000000"/>
        </w:rPr>
        <w:t xml:space="preserve"> JÁA, </w:t>
      </w:r>
      <w:proofErr w:type="spellStart"/>
      <w:r w:rsidR="00FC04CD" w:rsidRPr="00FC04CD">
        <w:rPr>
          <w:rFonts w:ascii="Book Antiqua" w:eastAsia="Book Antiqua" w:hAnsi="Book Antiqua" w:cs="Book Antiqua"/>
          <w:color w:val="000000"/>
        </w:rPr>
        <w:t>Bamias</w:t>
      </w:r>
      <w:proofErr w:type="spellEnd"/>
      <w:r w:rsidR="00FC04CD" w:rsidRPr="00FC04CD">
        <w:rPr>
          <w:rFonts w:ascii="Book Antiqua" w:eastAsia="Book Antiqua" w:hAnsi="Book Antiqua" w:cs="Book Antiqua"/>
          <w:color w:val="000000"/>
        </w:rPr>
        <w:t xml:space="preserve"> A, Davis ID, De </w:t>
      </w:r>
      <w:proofErr w:type="spellStart"/>
      <w:r w:rsidR="00FC04CD" w:rsidRPr="00FC04CD">
        <w:rPr>
          <w:rFonts w:ascii="Book Antiqua" w:eastAsia="Book Antiqua" w:hAnsi="Book Antiqua" w:cs="Book Antiqua"/>
          <w:color w:val="000000"/>
        </w:rPr>
        <w:t>Santis</w:t>
      </w:r>
      <w:proofErr w:type="spellEnd"/>
      <w:r w:rsidR="00FC04CD" w:rsidRPr="00FC04CD">
        <w:rPr>
          <w:rFonts w:ascii="Book Antiqua" w:eastAsia="Book Antiqua" w:hAnsi="Book Antiqua" w:cs="Book Antiqua"/>
          <w:color w:val="000000"/>
        </w:rPr>
        <w:t xml:space="preserve"> M, Kikuchi E, Garcia-Del-</w:t>
      </w:r>
      <w:proofErr w:type="spellStart"/>
      <w:r w:rsidR="00FC04CD" w:rsidRPr="00FC04CD">
        <w:rPr>
          <w:rFonts w:ascii="Book Antiqua" w:eastAsia="Book Antiqua" w:hAnsi="Book Antiqua" w:cs="Book Antiqua"/>
          <w:color w:val="000000"/>
        </w:rPr>
        <w:t>Muro</w:t>
      </w:r>
      <w:proofErr w:type="spellEnd"/>
      <w:r w:rsidR="00FC04CD" w:rsidRPr="00FC04CD">
        <w:rPr>
          <w:rFonts w:ascii="Book Antiqua" w:eastAsia="Book Antiqua" w:hAnsi="Book Antiqua" w:cs="Book Antiqua"/>
          <w:color w:val="000000"/>
        </w:rPr>
        <w:t xml:space="preserve"> X, De </w:t>
      </w:r>
      <w:proofErr w:type="spellStart"/>
      <w:r w:rsidR="00FC04CD" w:rsidRPr="00FC04CD">
        <w:rPr>
          <w:rFonts w:ascii="Book Antiqua" w:eastAsia="Book Antiqua" w:hAnsi="Book Antiqua" w:cs="Book Antiqua"/>
          <w:color w:val="000000"/>
        </w:rPr>
        <w:t>Giorgi</w:t>
      </w:r>
      <w:proofErr w:type="spellEnd"/>
      <w:r w:rsidR="00FC04CD" w:rsidRPr="00FC04CD">
        <w:rPr>
          <w:rFonts w:ascii="Book Antiqua" w:eastAsia="Book Antiqua" w:hAnsi="Book Antiqua" w:cs="Book Antiqua"/>
          <w:color w:val="000000"/>
        </w:rPr>
        <w:t xml:space="preserve"> U, </w:t>
      </w:r>
      <w:proofErr w:type="spellStart"/>
      <w:r w:rsidR="00FC04CD" w:rsidRPr="00FC04CD">
        <w:rPr>
          <w:rFonts w:ascii="Book Antiqua" w:eastAsia="Book Antiqua" w:hAnsi="Book Antiqua" w:cs="Book Antiqua"/>
          <w:color w:val="000000"/>
        </w:rPr>
        <w:t>Mencinger</w:t>
      </w:r>
      <w:proofErr w:type="spellEnd"/>
      <w:r w:rsidR="00FC04CD" w:rsidRPr="00FC04CD">
        <w:rPr>
          <w:rFonts w:ascii="Book Antiqua" w:eastAsia="Book Antiqua" w:hAnsi="Book Antiqua" w:cs="Book Antiqua"/>
          <w:color w:val="000000"/>
        </w:rPr>
        <w:t xml:space="preserve"> M, Izumi K, </w:t>
      </w:r>
      <w:proofErr w:type="spellStart"/>
      <w:r w:rsidR="00FC04CD" w:rsidRPr="00FC04CD">
        <w:rPr>
          <w:rFonts w:ascii="Book Antiqua" w:eastAsia="Book Antiqua" w:hAnsi="Book Antiqua" w:cs="Book Antiqua"/>
          <w:color w:val="000000"/>
        </w:rPr>
        <w:t>Panni</w:t>
      </w:r>
      <w:proofErr w:type="spellEnd"/>
      <w:r w:rsidR="00FC04CD" w:rsidRPr="00FC04CD">
        <w:rPr>
          <w:rFonts w:ascii="Book Antiqua" w:eastAsia="Book Antiqua" w:hAnsi="Book Antiqua" w:cs="Book Antiqua"/>
          <w:color w:val="000000"/>
        </w:rPr>
        <w:t xml:space="preserve"> S, </w:t>
      </w:r>
      <w:proofErr w:type="spellStart"/>
      <w:r w:rsidR="00FC04CD" w:rsidRPr="00FC04CD">
        <w:rPr>
          <w:rFonts w:ascii="Book Antiqua" w:eastAsia="Book Antiqua" w:hAnsi="Book Antiqua" w:cs="Book Antiqua"/>
          <w:color w:val="000000"/>
        </w:rPr>
        <w:t>Gumus</w:t>
      </w:r>
      <w:proofErr w:type="spellEnd"/>
      <w:r w:rsidR="00FC04CD" w:rsidRPr="00FC04CD">
        <w:rPr>
          <w:rFonts w:ascii="Book Antiqua" w:eastAsia="Book Antiqua" w:hAnsi="Book Antiqua" w:cs="Book Antiqua"/>
          <w:color w:val="000000"/>
        </w:rPr>
        <w:t xml:space="preserve"> M, </w:t>
      </w:r>
      <w:proofErr w:type="spellStart"/>
      <w:r w:rsidR="00FC04CD" w:rsidRPr="00FC04CD">
        <w:rPr>
          <w:rFonts w:ascii="Book Antiqua" w:eastAsia="Book Antiqua" w:hAnsi="Book Antiqua" w:cs="Book Antiqua"/>
          <w:color w:val="000000"/>
        </w:rPr>
        <w:t>Özgüroğlu</w:t>
      </w:r>
      <w:proofErr w:type="spellEnd"/>
      <w:r w:rsidR="00FC04CD" w:rsidRPr="00FC04CD">
        <w:rPr>
          <w:rFonts w:ascii="Book Antiqua" w:eastAsia="Book Antiqua" w:hAnsi="Book Antiqua" w:cs="Book Antiqua"/>
          <w:color w:val="000000"/>
        </w:rPr>
        <w:t xml:space="preserve"> M, </w:t>
      </w:r>
      <w:proofErr w:type="spellStart"/>
      <w:r w:rsidR="00FC04CD" w:rsidRPr="00FC04CD">
        <w:rPr>
          <w:rFonts w:ascii="Book Antiqua" w:eastAsia="Book Antiqua" w:hAnsi="Book Antiqua" w:cs="Book Antiqua"/>
          <w:color w:val="000000"/>
        </w:rPr>
        <w:t>Kalebasty</w:t>
      </w:r>
      <w:proofErr w:type="spellEnd"/>
      <w:r w:rsidR="00FC04CD" w:rsidRPr="00FC04CD">
        <w:rPr>
          <w:rFonts w:ascii="Book Antiqua" w:eastAsia="Book Antiqua" w:hAnsi="Book Antiqua" w:cs="Book Antiqua"/>
          <w:color w:val="000000"/>
        </w:rPr>
        <w:t xml:space="preserve"> AR, Park SH, Alekseev B, Schutz FA, Li JR, Ye D, </w:t>
      </w:r>
      <w:proofErr w:type="spellStart"/>
      <w:r w:rsidR="00FC04CD" w:rsidRPr="00FC04CD">
        <w:rPr>
          <w:rFonts w:ascii="Book Antiqua" w:eastAsia="Book Antiqua" w:hAnsi="Book Antiqua" w:cs="Book Antiqua"/>
          <w:color w:val="000000"/>
        </w:rPr>
        <w:t>Vogelzang</w:t>
      </w:r>
      <w:proofErr w:type="spellEnd"/>
      <w:r w:rsidR="00FC04CD" w:rsidRPr="00FC04CD">
        <w:rPr>
          <w:rFonts w:ascii="Book Antiqua" w:eastAsia="Book Antiqua" w:hAnsi="Book Antiqua" w:cs="Book Antiqua"/>
          <w:color w:val="000000"/>
        </w:rPr>
        <w:t xml:space="preserve"> NJ, Bernhard S, </w:t>
      </w:r>
      <w:proofErr w:type="spellStart"/>
      <w:r w:rsidR="00FC04CD" w:rsidRPr="00FC04CD">
        <w:rPr>
          <w:rFonts w:ascii="Book Antiqua" w:eastAsia="Book Antiqua" w:hAnsi="Book Antiqua" w:cs="Book Antiqua"/>
          <w:color w:val="000000"/>
        </w:rPr>
        <w:t>Tayama</w:t>
      </w:r>
      <w:proofErr w:type="spellEnd"/>
      <w:r w:rsidR="00FC04CD" w:rsidRPr="00FC04CD">
        <w:rPr>
          <w:rFonts w:ascii="Book Antiqua" w:eastAsia="Book Antiqua" w:hAnsi="Book Antiqua" w:cs="Book Antiqua"/>
          <w:color w:val="000000"/>
        </w:rPr>
        <w:t xml:space="preserve"> D, </w:t>
      </w:r>
      <w:proofErr w:type="spellStart"/>
      <w:r w:rsidR="00FC04CD" w:rsidRPr="00FC04CD">
        <w:rPr>
          <w:rFonts w:ascii="Book Antiqua" w:eastAsia="Book Antiqua" w:hAnsi="Book Antiqua" w:cs="Book Antiqua"/>
          <w:color w:val="000000"/>
        </w:rPr>
        <w:t>Mariathasan</w:t>
      </w:r>
      <w:proofErr w:type="spellEnd"/>
      <w:r w:rsidR="00FC04CD" w:rsidRPr="00FC04CD">
        <w:rPr>
          <w:rFonts w:ascii="Book Antiqua" w:eastAsia="Book Antiqua" w:hAnsi="Book Antiqua" w:cs="Book Antiqua"/>
          <w:color w:val="000000"/>
        </w:rPr>
        <w:t xml:space="preserve"> S, </w:t>
      </w:r>
      <w:proofErr w:type="spellStart"/>
      <w:r w:rsidR="00FC04CD" w:rsidRPr="00FC04CD">
        <w:rPr>
          <w:rFonts w:ascii="Book Antiqua" w:eastAsia="Book Antiqua" w:hAnsi="Book Antiqua" w:cs="Book Antiqua"/>
          <w:color w:val="000000"/>
        </w:rPr>
        <w:t>Mecke</w:t>
      </w:r>
      <w:proofErr w:type="spellEnd"/>
      <w:r w:rsidR="00FC04CD" w:rsidRPr="00FC04CD">
        <w:rPr>
          <w:rFonts w:ascii="Book Antiqua" w:eastAsia="Book Antiqua" w:hAnsi="Book Antiqua" w:cs="Book Antiqua"/>
          <w:color w:val="000000"/>
        </w:rPr>
        <w:t xml:space="preserve"> A, </w:t>
      </w:r>
      <w:proofErr w:type="spellStart"/>
      <w:r w:rsidR="00FC04CD" w:rsidRPr="00FC04CD">
        <w:rPr>
          <w:rFonts w:ascii="Book Antiqua" w:eastAsia="Book Antiqua" w:hAnsi="Book Antiqua" w:cs="Book Antiqua"/>
          <w:color w:val="000000"/>
        </w:rPr>
        <w:t>Thåström</w:t>
      </w:r>
      <w:proofErr w:type="spellEnd"/>
      <w:r w:rsidR="00FC04CD" w:rsidRPr="00FC04CD">
        <w:rPr>
          <w:rFonts w:ascii="Book Antiqua" w:eastAsia="Book Antiqua" w:hAnsi="Book Antiqua" w:cs="Book Antiqua"/>
          <w:color w:val="000000"/>
        </w:rPr>
        <w:t xml:space="preserve"> A, Grande E; IMvigor130 Study Group. Atezolizumab with or without chemotherapy in metastatic urothelial cancer (IMvigor130): a </w:t>
      </w:r>
      <w:proofErr w:type="spellStart"/>
      <w:r w:rsidR="00FC04CD" w:rsidRPr="00FC04CD">
        <w:rPr>
          <w:rFonts w:ascii="Book Antiqua" w:eastAsia="Book Antiqua" w:hAnsi="Book Antiqua" w:cs="Book Antiqua"/>
          <w:color w:val="000000"/>
        </w:rPr>
        <w:t>multicentre</w:t>
      </w:r>
      <w:proofErr w:type="spellEnd"/>
      <w:r w:rsidR="00FC04CD" w:rsidRPr="00FC04CD">
        <w:rPr>
          <w:rFonts w:ascii="Book Antiqua" w:eastAsia="Book Antiqua" w:hAnsi="Book Antiqua" w:cs="Book Antiqua"/>
          <w:color w:val="000000"/>
        </w:rPr>
        <w:t xml:space="preserve">, </w:t>
      </w:r>
      <w:proofErr w:type="spellStart"/>
      <w:r w:rsidR="00FC04CD" w:rsidRPr="00FC04CD">
        <w:rPr>
          <w:rFonts w:ascii="Book Antiqua" w:eastAsia="Book Antiqua" w:hAnsi="Book Antiqua" w:cs="Book Antiqua"/>
          <w:color w:val="000000"/>
        </w:rPr>
        <w:t>randomised</w:t>
      </w:r>
      <w:proofErr w:type="spellEnd"/>
      <w:r w:rsidR="00FC04CD" w:rsidRPr="00FC04CD">
        <w:rPr>
          <w:rFonts w:ascii="Book Antiqua" w:eastAsia="Book Antiqua" w:hAnsi="Book Antiqua" w:cs="Book Antiqua"/>
          <w:color w:val="000000"/>
        </w:rPr>
        <w:t>, placebo-controlled phase 3 trial</w:t>
      </w:r>
      <w:r>
        <w:rPr>
          <w:rFonts w:ascii="Book Antiqua" w:eastAsia="Book Antiqua" w:hAnsi="Book Antiqua" w:cs="Book Antiqua"/>
          <w:color w:val="000000"/>
        </w:rPr>
        <w:t xml:space="preserve">. </w:t>
      </w:r>
      <w:r w:rsidRPr="00FC04CD">
        <w:rPr>
          <w:rFonts w:ascii="Book Antiqua" w:eastAsia="Book Antiqua" w:hAnsi="Book Antiqua" w:cs="Book Antiqua"/>
          <w:i/>
          <w:iCs/>
          <w:color w:val="000000"/>
        </w:rPr>
        <w:t>Lancet</w:t>
      </w:r>
      <w:r>
        <w:rPr>
          <w:rFonts w:ascii="Book Antiqua" w:eastAsia="Book Antiqua" w:hAnsi="Book Antiqua" w:cs="Book Antiqua"/>
          <w:color w:val="000000"/>
        </w:rPr>
        <w:t xml:space="preserve"> 2020</w:t>
      </w:r>
      <w:r w:rsidR="00FC04CD">
        <w:rPr>
          <w:rFonts w:ascii="Book Antiqua" w:eastAsia="Book Antiqua" w:hAnsi="Book Antiqua" w:cs="Book Antiqua"/>
          <w:color w:val="000000"/>
        </w:rPr>
        <w:t>;</w:t>
      </w:r>
      <w:r>
        <w:rPr>
          <w:rFonts w:ascii="Book Antiqua" w:eastAsia="Book Antiqua" w:hAnsi="Book Antiqua" w:cs="Book Antiqua"/>
          <w:color w:val="000000"/>
        </w:rPr>
        <w:t xml:space="preserve"> </w:t>
      </w:r>
      <w:r w:rsidRPr="00FC04CD">
        <w:rPr>
          <w:rFonts w:ascii="Book Antiqua" w:eastAsia="Book Antiqua" w:hAnsi="Book Antiqua" w:cs="Book Antiqua"/>
          <w:b/>
          <w:bCs/>
          <w:color w:val="000000"/>
        </w:rPr>
        <w:t>395</w:t>
      </w:r>
      <w:r>
        <w:rPr>
          <w:rFonts w:ascii="Book Antiqua" w:eastAsia="Book Antiqua" w:hAnsi="Book Antiqua" w:cs="Book Antiqua"/>
          <w:color w:val="000000"/>
        </w:rPr>
        <w:t>:1547</w:t>
      </w:r>
      <w:r w:rsidR="00FC04CD">
        <w:rPr>
          <w:rFonts w:ascii="Book Antiqua" w:eastAsia="Book Antiqua" w:hAnsi="Book Antiqua" w:cs="Book Antiqua"/>
          <w:color w:val="000000"/>
        </w:rPr>
        <w:t>-15</w:t>
      </w:r>
      <w:r>
        <w:rPr>
          <w:rFonts w:ascii="Book Antiqua" w:eastAsia="Book Antiqua" w:hAnsi="Book Antiqua" w:cs="Book Antiqua"/>
          <w:color w:val="000000"/>
        </w:rPr>
        <w:t>57</w:t>
      </w:r>
      <w:r w:rsidR="00FC04CD">
        <w:rPr>
          <w:rFonts w:ascii="Book Antiqua" w:eastAsia="Book Antiqua" w:hAnsi="Book Antiqua" w:cs="Book Antiqua"/>
          <w:color w:val="000000"/>
        </w:rPr>
        <w:t xml:space="preserve"> [</w:t>
      </w:r>
      <w:r w:rsidR="00FC04CD" w:rsidRPr="00FC04CD">
        <w:rPr>
          <w:rFonts w:ascii="Book Antiqua" w:eastAsia="Book Antiqua" w:hAnsi="Book Antiqua" w:cs="Book Antiqua"/>
          <w:color w:val="000000"/>
        </w:rPr>
        <w:t>PMID: 32416780 DOI: 10.1016/S0140-6736(20)30230-0</w:t>
      </w:r>
      <w:r w:rsidR="00FC04CD">
        <w:rPr>
          <w:rFonts w:ascii="Book Antiqua" w:eastAsia="Book Antiqua" w:hAnsi="Book Antiqua" w:cs="Book Antiqua"/>
          <w:color w:val="000000"/>
        </w:rPr>
        <w:t>]</w:t>
      </w:r>
    </w:p>
    <w:p w14:paraId="0421F4B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B50783" w14:textId="77777777" w:rsidR="00A77B3E" w:rsidRDefault="00EA33F8">
      <w:pPr>
        <w:spacing w:line="360" w:lineRule="auto"/>
        <w:jc w:val="both"/>
      </w:pPr>
      <w:r>
        <w:rPr>
          <w:rFonts w:ascii="Book Antiqua" w:eastAsia="Book Antiqua" w:hAnsi="Book Antiqua" w:cs="Book Antiqua"/>
          <w:b/>
          <w:color w:val="000000"/>
        </w:rPr>
        <w:lastRenderedPageBreak/>
        <w:t>Footnotes</w:t>
      </w:r>
    </w:p>
    <w:p w14:paraId="2CEE04EF" w14:textId="12E0BCBE" w:rsidR="00A77B3E" w:rsidRDefault="00EA33F8">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Gajate</w:t>
      </w:r>
      <w:proofErr w:type="spellEnd"/>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P</w:t>
      </w:r>
      <w:r>
        <w:rPr>
          <w:rFonts w:ascii="Book Antiqua" w:eastAsia="Book Antiqua" w:hAnsi="Book Antiqua" w:cs="Book Antiqua"/>
          <w:color w:val="000000"/>
        </w:rPr>
        <w:t xml:space="preserve"> has served as </w:t>
      </w:r>
      <w:r w:rsidR="0028072A">
        <w:rPr>
          <w:rFonts w:ascii="Book Antiqua" w:eastAsia="Book Antiqua" w:hAnsi="Book Antiqua" w:cs="Book Antiqua"/>
          <w:color w:val="000000"/>
        </w:rPr>
        <w:t xml:space="preserve">an </w:t>
      </w:r>
      <w:r>
        <w:rPr>
          <w:rFonts w:ascii="Book Antiqua" w:eastAsia="Book Antiqua" w:hAnsi="Book Antiqua" w:cs="Book Antiqua"/>
          <w:color w:val="000000"/>
        </w:rPr>
        <w:t>advisor for Roche</w:t>
      </w:r>
      <w:r w:rsidR="000E4ED2">
        <w:rPr>
          <w:rFonts w:ascii="Book Antiqua" w:eastAsia="Book Antiqua" w:hAnsi="Book Antiqua" w:cs="Book Antiqua"/>
          <w:color w:val="000000"/>
        </w:rPr>
        <w:t xml:space="preserve"> </w:t>
      </w:r>
      <w:r>
        <w:rPr>
          <w:rFonts w:ascii="Book Antiqua" w:eastAsia="Book Antiqua" w:hAnsi="Book Antiqua" w:cs="Book Antiqua"/>
          <w:color w:val="000000"/>
        </w:rPr>
        <w:t>and Janssen, has served as a speaker for Pfizer, Roche and Janssen. Torres-Jimenez</w:t>
      </w:r>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Bueno</w:t>
      </w:r>
      <w:proofErr w:type="spellEnd"/>
      <w:r>
        <w:rPr>
          <w:rFonts w:ascii="Book Antiqua" w:eastAsia="Book Antiqua" w:hAnsi="Book Antiqua" w:cs="Book Antiqua"/>
          <w:color w:val="000000"/>
        </w:rPr>
        <w:t>-Bravo</w:t>
      </w:r>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C</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Couñago</w:t>
      </w:r>
      <w:proofErr w:type="spellEnd"/>
      <w:r w:rsidR="000E4ED2" w:rsidRPr="000E4ED2">
        <w:rPr>
          <w:rFonts w:ascii="Book Antiqua" w:eastAsia="Book Antiqua" w:hAnsi="Book Antiqua" w:cs="Book Antiqua"/>
          <w:color w:val="000000"/>
        </w:rPr>
        <w:t xml:space="preserve"> </w:t>
      </w:r>
      <w:r w:rsidR="000E4ED2">
        <w:rPr>
          <w:rFonts w:ascii="Book Antiqua" w:eastAsia="Book Antiqua" w:hAnsi="Book Antiqua" w:cs="Book Antiqua"/>
          <w:color w:val="000000"/>
        </w:rPr>
        <w:t>F</w:t>
      </w:r>
      <w:r>
        <w:rPr>
          <w:rFonts w:ascii="Book Antiqua" w:eastAsia="Book Antiqua" w:hAnsi="Book Antiqua" w:cs="Book Antiqua"/>
          <w:color w:val="000000"/>
        </w:rPr>
        <w:t xml:space="preserve"> have nothing to disclose.</w:t>
      </w:r>
    </w:p>
    <w:p w14:paraId="423FFE38" w14:textId="77777777" w:rsidR="00A77B3E" w:rsidRDefault="00A77B3E">
      <w:pPr>
        <w:spacing w:line="360" w:lineRule="auto"/>
        <w:jc w:val="both"/>
      </w:pPr>
    </w:p>
    <w:p w14:paraId="2C08896E" w14:textId="77777777" w:rsidR="00A77B3E" w:rsidRDefault="00EA33F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8D07B1" w14:textId="77777777" w:rsidR="00A77B3E" w:rsidRDefault="00A77B3E">
      <w:pPr>
        <w:spacing w:line="360" w:lineRule="auto"/>
        <w:jc w:val="both"/>
      </w:pPr>
    </w:p>
    <w:p w14:paraId="636CFD1F" w14:textId="3295457E" w:rsidR="00A77B3E" w:rsidRDefault="00EA33F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E4ED2">
        <w:rPr>
          <w:rFonts w:ascii="Book Antiqua" w:eastAsia="Book Antiqua" w:hAnsi="Book Antiqua" w:cs="Book Antiqua"/>
          <w:color w:val="000000"/>
        </w:rPr>
        <w:t>m</w:t>
      </w:r>
      <w:r>
        <w:rPr>
          <w:rFonts w:ascii="Book Antiqua" w:eastAsia="Book Antiqua" w:hAnsi="Book Antiqua" w:cs="Book Antiqua"/>
          <w:color w:val="000000"/>
        </w:rPr>
        <w:t>anuscript</w:t>
      </w:r>
    </w:p>
    <w:p w14:paraId="673776B6" w14:textId="77777777" w:rsidR="00A77B3E" w:rsidRDefault="00A77B3E">
      <w:pPr>
        <w:spacing w:line="360" w:lineRule="auto"/>
        <w:jc w:val="both"/>
      </w:pPr>
    </w:p>
    <w:p w14:paraId="55D205E6" w14:textId="77777777" w:rsidR="00A77B3E" w:rsidRDefault="00EA33F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 2020</w:t>
      </w:r>
    </w:p>
    <w:p w14:paraId="753923F7" w14:textId="77777777" w:rsidR="00A77B3E" w:rsidRDefault="00EA33F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2C25ABA6" w14:textId="2AB07258" w:rsidR="00A77B3E" w:rsidRDefault="00EA33F8">
      <w:pPr>
        <w:spacing w:line="360" w:lineRule="auto"/>
        <w:jc w:val="both"/>
      </w:pPr>
      <w:r>
        <w:rPr>
          <w:rFonts w:ascii="Book Antiqua" w:eastAsia="Book Antiqua" w:hAnsi="Book Antiqua" w:cs="Book Antiqua"/>
          <w:b/>
          <w:color w:val="000000"/>
        </w:rPr>
        <w:t xml:space="preserve">Article in press: </w:t>
      </w:r>
      <w:r w:rsidR="00275078">
        <w:rPr>
          <w:rFonts w:ascii="Book Antiqua" w:eastAsia="Book Antiqua" w:hAnsi="Book Antiqua" w:cs="Book Antiqua"/>
          <w:color w:val="000000"/>
        </w:rPr>
        <w:t>November 11, 2020</w:t>
      </w:r>
    </w:p>
    <w:p w14:paraId="3C36CEF4" w14:textId="77777777" w:rsidR="00A77B3E" w:rsidRDefault="00A77B3E">
      <w:pPr>
        <w:spacing w:line="360" w:lineRule="auto"/>
        <w:jc w:val="both"/>
      </w:pPr>
    </w:p>
    <w:p w14:paraId="1DAE43B4" w14:textId="77777777" w:rsidR="00A77B3E" w:rsidRDefault="00EA33F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41681ACB" w14:textId="77777777" w:rsidR="00A77B3E" w:rsidRDefault="00EA33F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51D8C5BF" w14:textId="77777777" w:rsidR="00A77B3E" w:rsidRDefault="00EA33F8">
      <w:pPr>
        <w:spacing w:line="360" w:lineRule="auto"/>
        <w:jc w:val="both"/>
      </w:pPr>
      <w:r>
        <w:rPr>
          <w:rFonts w:ascii="Book Antiqua" w:eastAsia="Book Antiqua" w:hAnsi="Book Antiqua" w:cs="Book Antiqua"/>
          <w:b/>
          <w:color w:val="000000"/>
        </w:rPr>
        <w:t>Peer-review report’s scientific quality classification</w:t>
      </w:r>
    </w:p>
    <w:p w14:paraId="04270EBA" w14:textId="77777777" w:rsidR="00A77B3E" w:rsidRDefault="00EA33F8">
      <w:pPr>
        <w:spacing w:line="360" w:lineRule="auto"/>
        <w:jc w:val="both"/>
      </w:pPr>
      <w:r>
        <w:rPr>
          <w:rFonts w:ascii="Book Antiqua" w:eastAsia="Book Antiqua" w:hAnsi="Book Antiqua" w:cs="Book Antiqua"/>
          <w:color w:val="000000"/>
        </w:rPr>
        <w:t>Grade A (Excellent): 0</w:t>
      </w:r>
    </w:p>
    <w:p w14:paraId="696C9CFB" w14:textId="77777777" w:rsidR="00A77B3E" w:rsidRDefault="00EA33F8">
      <w:pPr>
        <w:spacing w:line="360" w:lineRule="auto"/>
        <w:jc w:val="both"/>
      </w:pPr>
      <w:r>
        <w:rPr>
          <w:rFonts w:ascii="Book Antiqua" w:eastAsia="Book Antiqua" w:hAnsi="Book Antiqua" w:cs="Book Antiqua"/>
          <w:color w:val="000000"/>
        </w:rPr>
        <w:t>Grade B (Very good): 0</w:t>
      </w:r>
    </w:p>
    <w:p w14:paraId="06CF37DB" w14:textId="77777777" w:rsidR="00A77B3E" w:rsidRDefault="00EA33F8">
      <w:pPr>
        <w:spacing w:line="360" w:lineRule="auto"/>
        <w:jc w:val="both"/>
      </w:pPr>
      <w:r>
        <w:rPr>
          <w:rFonts w:ascii="Book Antiqua" w:eastAsia="Book Antiqua" w:hAnsi="Book Antiqua" w:cs="Book Antiqua"/>
          <w:color w:val="000000"/>
        </w:rPr>
        <w:t>Grade C (Good): C</w:t>
      </w:r>
    </w:p>
    <w:p w14:paraId="569E8AE6" w14:textId="77777777" w:rsidR="00A77B3E" w:rsidRDefault="00EA33F8">
      <w:pPr>
        <w:spacing w:line="360" w:lineRule="auto"/>
        <w:jc w:val="both"/>
      </w:pPr>
      <w:r>
        <w:rPr>
          <w:rFonts w:ascii="Book Antiqua" w:eastAsia="Book Antiqua" w:hAnsi="Book Antiqua" w:cs="Book Antiqua"/>
          <w:color w:val="000000"/>
        </w:rPr>
        <w:t>Grade D (Fair): D</w:t>
      </w:r>
    </w:p>
    <w:p w14:paraId="1B437831" w14:textId="77777777" w:rsidR="00A77B3E" w:rsidRDefault="00EA33F8">
      <w:pPr>
        <w:spacing w:line="360" w:lineRule="auto"/>
        <w:jc w:val="both"/>
      </w:pPr>
      <w:r>
        <w:rPr>
          <w:rFonts w:ascii="Book Antiqua" w:eastAsia="Book Antiqua" w:hAnsi="Book Antiqua" w:cs="Book Antiqua"/>
          <w:color w:val="000000"/>
        </w:rPr>
        <w:t>Grade E (Poor): 0</w:t>
      </w:r>
    </w:p>
    <w:p w14:paraId="0666B317" w14:textId="77777777" w:rsidR="00A77B3E" w:rsidRDefault="00A77B3E">
      <w:pPr>
        <w:spacing w:line="360" w:lineRule="auto"/>
        <w:jc w:val="both"/>
      </w:pPr>
    </w:p>
    <w:p w14:paraId="2CF1312E" w14:textId="2D3E898A" w:rsidR="00A77B3E" w:rsidRPr="00A91D18" w:rsidRDefault="00EA33F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Shomura</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28072A">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A91D18" w:rsidRPr="00A91D18">
        <w:rPr>
          <w:rFonts w:ascii="Book Antiqua" w:hAnsi="Book Antiqua" w:cs="Book Antiqua" w:hint="eastAsia"/>
          <w:color w:val="000000"/>
          <w:lang w:eastAsia="zh-CN"/>
        </w:rPr>
        <w:t>Wang LL</w:t>
      </w:r>
    </w:p>
    <w:p w14:paraId="6FF2921E" w14:textId="77777777" w:rsidR="001962D1" w:rsidRDefault="001962D1">
      <w:pPr>
        <w:spacing w:line="360" w:lineRule="auto"/>
        <w:jc w:val="both"/>
        <w:sectPr w:rsidR="001962D1">
          <w:pgSz w:w="12240" w:h="15840"/>
          <w:pgMar w:top="1440" w:right="1440" w:bottom="1440" w:left="1440" w:header="720" w:footer="720" w:gutter="0"/>
          <w:cols w:space="720"/>
          <w:docGrid w:linePitch="360"/>
        </w:sectPr>
      </w:pPr>
    </w:p>
    <w:p w14:paraId="4528FEC5" w14:textId="2FA1B4FE" w:rsidR="00A77B3E" w:rsidRDefault="00C74BD9">
      <w:pPr>
        <w:spacing w:line="360" w:lineRule="auto"/>
        <w:jc w:val="both"/>
        <w:rPr>
          <w:rFonts w:ascii="Book Antiqua" w:eastAsia="Book Antiqua" w:hAnsi="Book Antiqua" w:cs="Book Antiqua"/>
          <w:b/>
          <w:color w:val="000000"/>
        </w:rPr>
      </w:pPr>
      <w:r w:rsidRPr="00C74BD9">
        <w:rPr>
          <w:rFonts w:ascii="Book Antiqua" w:eastAsia="Book Antiqua" w:hAnsi="Book Antiqua" w:cs="Book Antiqua"/>
          <w:b/>
          <w:color w:val="000000"/>
        </w:rPr>
        <w:lastRenderedPageBreak/>
        <w:t>Table 1 Results of the most relevant studies at ASCO 2020</w:t>
      </w:r>
    </w:p>
    <w:tbl>
      <w:tblPr>
        <w:tblW w:w="13487" w:type="dxa"/>
        <w:tblLook w:val="04A0" w:firstRow="1" w:lastRow="0" w:firstColumn="1" w:lastColumn="0" w:noHBand="0" w:noVBand="1"/>
      </w:tblPr>
      <w:tblGrid>
        <w:gridCol w:w="1526"/>
        <w:gridCol w:w="2489"/>
        <w:gridCol w:w="2470"/>
        <w:gridCol w:w="2470"/>
        <w:gridCol w:w="2266"/>
        <w:gridCol w:w="2266"/>
      </w:tblGrid>
      <w:tr w:rsidR="00C74BD9" w:rsidRPr="00C74BD9" w14:paraId="13B546B6" w14:textId="77777777" w:rsidTr="00C74BD9">
        <w:tc>
          <w:tcPr>
            <w:tcW w:w="1526" w:type="dxa"/>
            <w:tcBorders>
              <w:top w:val="single" w:sz="4" w:space="0" w:color="auto"/>
              <w:bottom w:val="single" w:sz="4" w:space="0" w:color="auto"/>
            </w:tcBorders>
            <w:shd w:val="clear" w:color="auto" w:fill="auto"/>
          </w:tcPr>
          <w:p w14:paraId="70BD1D6E" w14:textId="77777777" w:rsidR="00C74BD9" w:rsidRPr="00C74BD9" w:rsidRDefault="00C74BD9" w:rsidP="00C74BD9">
            <w:pPr>
              <w:spacing w:line="360" w:lineRule="auto"/>
              <w:rPr>
                <w:rFonts w:ascii="Book Antiqua" w:hAnsi="Book Antiqua"/>
                <w:b/>
                <w:bCs/>
              </w:rPr>
            </w:pPr>
          </w:p>
        </w:tc>
        <w:tc>
          <w:tcPr>
            <w:tcW w:w="2489" w:type="dxa"/>
            <w:tcBorders>
              <w:top w:val="single" w:sz="4" w:space="0" w:color="auto"/>
              <w:bottom w:val="single" w:sz="4" w:space="0" w:color="auto"/>
            </w:tcBorders>
            <w:shd w:val="clear" w:color="auto" w:fill="auto"/>
          </w:tcPr>
          <w:p w14:paraId="221F004C"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rPr>
              <w:t>JAVELIN Bladder 100</w:t>
            </w:r>
            <w:r w:rsidRPr="00F00A76">
              <w:rPr>
                <w:rFonts w:ascii="Book Antiqua" w:hAnsi="Book Antiqua"/>
                <w:bCs/>
                <w:vertAlign w:val="superscript"/>
              </w:rPr>
              <w:t>[13]</w:t>
            </w:r>
          </w:p>
        </w:tc>
        <w:tc>
          <w:tcPr>
            <w:tcW w:w="2470" w:type="dxa"/>
            <w:tcBorders>
              <w:top w:val="single" w:sz="4" w:space="0" w:color="auto"/>
              <w:bottom w:val="single" w:sz="4" w:space="0" w:color="auto"/>
            </w:tcBorders>
            <w:shd w:val="clear" w:color="auto" w:fill="auto"/>
          </w:tcPr>
          <w:p w14:paraId="1A5B167D" w14:textId="77777777" w:rsidR="00C74BD9" w:rsidRPr="00C74BD9" w:rsidRDefault="00C74BD9" w:rsidP="00C74BD9">
            <w:pPr>
              <w:spacing w:line="360" w:lineRule="auto"/>
              <w:rPr>
                <w:rFonts w:ascii="Book Antiqua" w:hAnsi="Book Antiqua"/>
                <w:b/>
                <w:bCs/>
                <w:vertAlign w:val="superscript"/>
                <w:lang w:val="en-GB"/>
              </w:rPr>
            </w:pPr>
            <w:r w:rsidRPr="00C74BD9">
              <w:rPr>
                <w:rFonts w:ascii="Book Antiqua" w:hAnsi="Book Antiqua"/>
                <w:b/>
                <w:bCs/>
                <w:lang w:val="en-GB"/>
              </w:rPr>
              <w:t>FORT-2</w:t>
            </w:r>
            <w:r w:rsidRPr="00F00A76">
              <w:rPr>
                <w:rFonts w:ascii="Book Antiqua" w:hAnsi="Book Antiqua"/>
                <w:bCs/>
                <w:vertAlign w:val="superscript"/>
                <w:lang w:val="en-GB"/>
              </w:rPr>
              <w:t>[16]</w:t>
            </w:r>
          </w:p>
        </w:tc>
        <w:tc>
          <w:tcPr>
            <w:tcW w:w="2470" w:type="dxa"/>
            <w:tcBorders>
              <w:top w:val="single" w:sz="4" w:space="0" w:color="auto"/>
              <w:bottom w:val="single" w:sz="4" w:space="0" w:color="auto"/>
            </w:tcBorders>
            <w:shd w:val="clear" w:color="auto" w:fill="auto"/>
          </w:tcPr>
          <w:p w14:paraId="337A79B3"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lang w:val="en-GB"/>
              </w:rPr>
              <w:t>BLC2001</w:t>
            </w:r>
            <w:r w:rsidRPr="00F00A76">
              <w:rPr>
                <w:rFonts w:ascii="Book Antiqua" w:hAnsi="Book Antiqua"/>
                <w:bCs/>
                <w:vertAlign w:val="superscript"/>
                <w:lang w:val="en-GB"/>
              </w:rPr>
              <w:t>[14]</w:t>
            </w:r>
          </w:p>
        </w:tc>
        <w:tc>
          <w:tcPr>
            <w:tcW w:w="2266" w:type="dxa"/>
            <w:tcBorders>
              <w:top w:val="single" w:sz="4" w:space="0" w:color="auto"/>
              <w:bottom w:val="single" w:sz="4" w:space="0" w:color="auto"/>
            </w:tcBorders>
            <w:shd w:val="clear" w:color="auto" w:fill="auto"/>
          </w:tcPr>
          <w:p w14:paraId="7C9B9C05"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rPr>
              <w:t>COSMIC-021</w:t>
            </w:r>
            <w:r w:rsidRPr="00F00A76">
              <w:rPr>
                <w:rFonts w:ascii="Book Antiqua" w:hAnsi="Book Antiqua"/>
                <w:bCs/>
                <w:vertAlign w:val="superscript"/>
              </w:rPr>
              <w:t>[18]</w:t>
            </w:r>
          </w:p>
        </w:tc>
        <w:tc>
          <w:tcPr>
            <w:tcW w:w="2266" w:type="dxa"/>
            <w:tcBorders>
              <w:top w:val="single" w:sz="4" w:space="0" w:color="auto"/>
              <w:bottom w:val="single" w:sz="4" w:space="0" w:color="auto"/>
            </w:tcBorders>
            <w:shd w:val="clear" w:color="auto" w:fill="auto"/>
          </w:tcPr>
          <w:p w14:paraId="78BD5D68" w14:textId="77777777" w:rsidR="00C74BD9" w:rsidRPr="00C74BD9" w:rsidRDefault="00C74BD9" w:rsidP="00C74BD9">
            <w:pPr>
              <w:spacing w:line="360" w:lineRule="auto"/>
              <w:rPr>
                <w:rFonts w:ascii="Book Antiqua" w:hAnsi="Book Antiqua"/>
                <w:b/>
                <w:bCs/>
                <w:vertAlign w:val="superscript"/>
              </w:rPr>
            </w:pPr>
            <w:r w:rsidRPr="00C74BD9">
              <w:rPr>
                <w:rFonts w:ascii="Book Antiqua" w:hAnsi="Book Antiqua"/>
                <w:b/>
                <w:bCs/>
              </w:rPr>
              <w:t>PEANUT</w:t>
            </w:r>
            <w:r w:rsidRPr="00F00A76">
              <w:rPr>
                <w:rFonts w:ascii="Book Antiqua" w:hAnsi="Book Antiqua"/>
                <w:bCs/>
                <w:vertAlign w:val="superscript"/>
              </w:rPr>
              <w:t>[19]</w:t>
            </w:r>
          </w:p>
        </w:tc>
      </w:tr>
      <w:tr w:rsidR="00C74BD9" w:rsidRPr="00C74BD9" w14:paraId="48AAF159" w14:textId="77777777" w:rsidTr="00C74BD9">
        <w:tc>
          <w:tcPr>
            <w:tcW w:w="1526" w:type="dxa"/>
            <w:tcBorders>
              <w:top w:val="single" w:sz="4" w:space="0" w:color="auto"/>
            </w:tcBorders>
            <w:shd w:val="clear" w:color="auto" w:fill="auto"/>
          </w:tcPr>
          <w:p w14:paraId="2C666532" w14:textId="77777777" w:rsidR="00C74BD9" w:rsidRPr="00C74BD9" w:rsidRDefault="00C74BD9" w:rsidP="00C74BD9">
            <w:pPr>
              <w:spacing w:line="360" w:lineRule="auto"/>
              <w:rPr>
                <w:rFonts w:ascii="Book Antiqua" w:hAnsi="Book Antiqua"/>
              </w:rPr>
            </w:pPr>
            <w:r w:rsidRPr="00C74BD9">
              <w:rPr>
                <w:rFonts w:ascii="Book Antiqua" w:hAnsi="Book Antiqua"/>
              </w:rPr>
              <w:t>Phase</w:t>
            </w:r>
          </w:p>
        </w:tc>
        <w:tc>
          <w:tcPr>
            <w:tcW w:w="2489" w:type="dxa"/>
            <w:tcBorders>
              <w:top w:val="single" w:sz="4" w:space="0" w:color="auto"/>
            </w:tcBorders>
            <w:shd w:val="clear" w:color="auto" w:fill="auto"/>
          </w:tcPr>
          <w:p w14:paraId="6F450807" w14:textId="77777777" w:rsidR="00C74BD9" w:rsidRPr="00C74BD9" w:rsidRDefault="00C74BD9" w:rsidP="00C74BD9">
            <w:pPr>
              <w:spacing w:line="360" w:lineRule="auto"/>
              <w:rPr>
                <w:rFonts w:ascii="Book Antiqua" w:hAnsi="Book Antiqua"/>
              </w:rPr>
            </w:pPr>
            <w:r w:rsidRPr="00C74BD9">
              <w:rPr>
                <w:rFonts w:ascii="Book Antiqua" w:hAnsi="Book Antiqua"/>
              </w:rPr>
              <w:t>3</w:t>
            </w:r>
          </w:p>
        </w:tc>
        <w:tc>
          <w:tcPr>
            <w:tcW w:w="2470" w:type="dxa"/>
            <w:tcBorders>
              <w:top w:val="single" w:sz="4" w:space="0" w:color="auto"/>
            </w:tcBorders>
            <w:shd w:val="clear" w:color="auto" w:fill="auto"/>
          </w:tcPr>
          <w:p w14:paraId="4651DEB7" w14:textId="77777777" w:rsidR="00C74BD9" w:rsidRPr="00C74BD9" w:rsidRDefault="00C74BD9" w:rsidP="00C74BD9">
            <w:pPr>
              <w:spacing w:line="360" w:lineRule="auto"/>
              <w:rPr>
                <w:rFonts w:ascii="Book Antiqua" w:hAnsi="Book Antiqua"/>
              </w:rPr>
            </w:pPr>
            <w:r w:rsidRPr="00C74BD9">
              <w:rPr>
                <w:rFonts w:ascii="Book Antiqua" w:hAnsi="Book Antiqua"/>
              </w:rPr>
              <w:t>1b/2</w:t>
            </w:r>
          </w:p>
        </w:tc>
        <w:tc>
          <w:tcPr>
            <w:tcW w:w="2470" w:type="dxa"/>
            <w:tcBorders>
              <w:top w:val="single" w:sz="4" w:space="0" w:color="auto"/>
            </w:tcBorders>
            <w:shd w:val="clear" w:color="auto" w:fill="auto"/>
          </w:tcPr>
          <w:p w14:paraId="4DD9FB28" w14:textId="77777777" w:rsidR="00C74BD9" w:rsidRPr="00C74BD9" w:rsidRDefault="00C74BD9" w:rsidP="00C74BD9">
            <w:pPr>
              <w:spacing w:line="360" w:lineRule="auto"/>
              <w:rPr>
                <w:rFonts w:ascii="Book Antiqua" w:hAnsi="Book Antiqua"/>
              </w:rPr>
            </w:pPr>
            <w:r w:rsidRPr="00C74BD9">
              <w:rPr>
                <w:rFonts w:ascii="Book Antiqua" w:hAnsi="Book Antiqua"/>
              </w:rPr>
              <w:t>2</w:t>
            </w:r>
          </w:p>
        </w:tc>
        <w:tc>
          <w:tcPr>
            <w:tcW w:w="2266" w:type="dxa"/>
            <w:tcBorders>
              <w:top w:val="single" w:sz="4" w:space="0" w:color="auto"/>
            </w:tcBorders>
            <w:shd w:val="clear" w:color="auto" w:fill="auto"/>
          </w:tcPr>
          <w:p w14:paraId="3E84FDDB" w14:textId="77777777" w:rsidR="00C74BD9" w:rsidRPr="00C74BD9" w:rsidRDefault="00C74BD9" w:rsidP="00C74BD9">
            <w:pPr>
              <w:spacing w:line="360" w:lineRule="auto"/>
              <w:rPr>
                <w:rFonts w:ascii="Book Antiqua" w:hAnsi="Book Antiqua"/>
              </w:rPr>
            </w:pPr>
            <w:r w:rsidRPr="00C74BD9">
              <w:rPr>
                <w:rFonts w:ascii="Book Antiqua" w:hAnsi="Book Antiqua"/>
              </w:rPr>
              <w:t>1b</w:t>
            </w:r>
          </w:p>
        </w:tc>
        <w:tc>
          <w:tcPr>
            <w:tcW w:w="2266" w:type="dxa"/>
            <w:tcBorders>
              <w:top w:val="single" w:sz="4" w:space="0" w:color="auto"/>
            </w:tcBorders>
            <w:shd w:val="clear" w:color="auto" w:fill="auto"/>
          </w:tcPr>
          <w:p w14:paraId="0F0B899C" w14:textId="77777777" w:rsidR="00C74BD9" w:rsidRPr="00C74BD9" w:rsidRDefault="00C74BD9" w:rsidP="00C74BD9">
            <w:pPr>
              <w:spacing w:line="360" w:lineRule="auto"/>
              <w:rPr>
                <w:rFonts w:ascii="Book Antiqua" w:hAnsi="Book Antiqua"/>
              </w:rPr>
            </w:pPr>
            <w:r w:rsidRPr="00C74BD9">
              <w:rPr>
                <w:rFonts w:ascii="Book Antiqua" w:hAnsi="Book Antiqua"/>
              </w:rPr>
              <w:t>2</w:t>
            </w:r>
          </w:p>
        </w:tc>
      </w:tr>
      <w:tr w:rsidR="00C74BD9" w:rsidRPr="00C74BD9" w14:paraId="66BDE5AF" w14:textId="77777777" w:rsidTr="00C74BD9">
        <w:tc>
          <w:tcPr>
            <w:tcW w:w="1526" w:type="dxa"/>
            <w:shd w:val="clear" w:color="auto" w:fill="auto"/>
          </w:tcPr>
          <w:p w14:paraId="60F9CEB4" w14:textId="77777777" w:rsidR="00C74BD9" w:rsidRPr="00C74BD9" w:rsidRDefault="00C74BD9" w:rsidP="00C74BD9">
            <w:pPr>
              <w:spacing w:line="360" w:lineRule="auto"/>
              <w:rPr>
                <w:rFonts w:ascii="Book Antiqua" w:hAnsi="Book Antiqua"/>
              </w:rPr>
            </w:pPr>
            <w:r w:rsidRPr="00C74BD9">
              <w:rPr>
                <w:rFonts w:ascii="Book Antiqua" w:hAnsi="Book Antiqua"/>
              </w:rPr>
              <w:t>Treatment</w:t>
            </w:r>
          </w:p>
        </w:tc>
        <w:tc>
          <w:tcPr>
            <w:tcW w:w="2489" w:type="dxa"/>
            <w:shd w:val="clear" w:color="auto" w:fill="auto"/>
          </w:tcPr>
          <w:p w14:paraId="6A7BB464" w14:textId="3610EE05" w:rsidR="00C74BD9" w:rsidRPr="00C74BD9" w:rsidRDefault="00C74BD9" w:rsidP="00C74BD9">
            <w:pPr>
              <w:spacing w:line="360" w:lineRule="auto"/>
              <w:rPr>
                <w:rFonts w:ascii="Book Antiqua" w:hAnsi="Book Antiqua"/>
              </w:rPr>
            </w:pPr>
            <w:r w:rsidRPr="00C74BD9">
              <w:rPr>
                <w:rFonts w:ascii="Book Antiqua" w:hAnsi="Book Antiqua"/>
              </w:rPr>
              <w:t xml:space="preserve">Avelumab + BSC </w:t>
            </w:r>
            <w:r w:rsidRPr="00C74BD9">
              <w:rPr>
                <w:rFonts w:ascii="Book Antiqua" w:hAnsi="Book Antiqua"/>
                <w:i/>
                <w:iCs/>
              </w:rPr>
              <w:t>vs</w:t>
            </w:r>
            <w:r w:rsidRPr="00C74BD9">
              <w:rPr>
                <w:rFonts w:ascii="Book Antiqua" w:hAnsi="Book Antiqua"/>
              </w:rPr>
              <w:t xml:space="preserve"> BSC</w:t>
            </w:r>
          </w:p>
        </w:tc>
        <w:tc>
          <w:tcPr>
            <w:tcW w:w="2470" w:type="dxa"/>
            <w:shd w:val="clear" w:color="auto" w:fill="auto"/>
          </w:tcPr>
          <w:p w14:paraId="26C45AD6" w14:textId="77777777" w:rsidR="00C74BD9" w:rsidRPr="00C74BD9" w:rsidRDefault="00C74BD9" w:rsidP="00C74BD9">
            <w:pPr>
              <w:spacing w:line="360" w:lineRule="auto"/>
              <w:rPr>
                <w:rFonts w:ascii="Book Antiqua" w:hAnsi="Book Antiqua"/>
              </w:rPr>
            </w:pPr>
            <w:proofErr w:type="spellStart"/>
            <w:r w:rsidRPr="00C74BD9">
              <w:rPr>
                <w:rFonts w:ascii="Book Antiqua" w:hAnsi="Book Antiqua"/>
              </w:rPr>
              <w:t>Rogaratinib</w:t>
            </w:r>
            <w:proofErr w:type="spellEnd"/>
            <w:r w:rsidRPr="00C74BD9">
              <w:rPr>
                <w:rFonts w:ascii="Book Antiqua" w:hAnsi="Book Antiqua"/>
              </w:rPr>
              <w:t xml:space="preserve"> + </w:t>
            </w:r>
            <w:proofErr w:type="spellStart"/>
            <w:r w:rsidRPr="00C74BD9">
              <w:rPr>
                <w:rFonts w:ascii="Book Antiqua" w:hAnsi="Book Antiqua"/>
              </w:rPr>
              <w:t>atezolizumab</w:t>
            </w:r>
            <w:proofErr w:type="spellEnd"/>
          </w:p>
        </w:tc>
        <w:tc>
          <w:tcPr>
            <w:tcW w:w="2470" w:type="dxa"/>
            <w:shd w:val="clear" w:color="auto" w:fill="auto"/>
          </w:tcPr>
          <w:p w14:paraId="55DD9CE8" w14:textId="002D8C2B" w:rsidR="00C74BD9" w:rsidRPr="00C74BD9" w:rsidRDefault="00C74BD9" w:rsidP="00C74BD9">
            <w:pPr>
              <w:spacing w:line="360" w:lineRule="auto"/>
              <w:rPr>
                <w:rFonts w:ascii="Book Antiqua" w:hAnsi="Book Antiqua"/>
              </w:rPr>
            </w:pPr>
            <w:r w:rsidRPr="00C74BD9">
              <w:rPr>
                <w:rFonts w:ascii="Book Antiqua" w:hAnsi="Book Antiqua"/>
              </w:rPr>
              <w:t>Erdafitinib</w:t>
            </w:r>
          </w:p>
        </w:tc>
        <w:tc>
          <w:tcPr>
            <w:tcW w:w="2266" w:type="dxa"/>
            <w:shd w:val="clear" w:color="auto" w:fill="auto"/>
          </w:tcPr>
          <w:p w14:paraId="31D94FF7" w14:textId="6E6707C3" w:rsidR="00C74BD9" w:rsidRPr="00C74BD9" w:rsidRDefault="00C74BD9" w:rsidP="00C74BD9">
            <w:pPr>
              <w:spacing w:line="360" w:lineRule="auto"/>
              <w:rPr>
                <w:rFonts w:ascii="Book Antiqua" w:hAnsi="Book Antiqua"/>
              </w:rPr>
            </w:pPr>
            <w:proofErr w:type="spellStart"/>
            <w:r w:rsidRPr="00C74BD9">
              <w:rPr>
                <w:rFonts w:ascii="Book Antiqua" w:hAnsi="Book Antiqua"/>
              </w:rPr>
              <w:t>Cabozantinib</w:t>
            </w:r>
            <w:proofErr w:type="spellEnd"/>
            <w:r w:rsidRPr="00C74BD9">
              <w:rPr>
                <w:rFonts w:ascii="Book Antiqua" w:hAnsi="Book Antiqua"/>
              </w:rPr>
              <w:t xml:space="preserve"> + </w:t>
            </w:r>
            <w:proofErr w:type="spellStart"/>
            <w:r w:rsidRPr="00C74BD9">
              <w:rPr>
                <w:rFonts w:ascii="Book Antiqua" w:hAnsi="Book Antiqua"/>
              </w:rPr>
              <w:t>atezolizumab</w:t>
            </w:r>
            <w:proofErr w:type="spellEnd"/>
          </w:p>
        </w:tc>
        <w:tc>
          <w:tcPr>
            <w:tcW w:w="2266" w:type="dxa"/>
            <w:shd w:val="clear" w:color="auto" w:fill="auto"/>
          </w:tcPr>
          <w:p w14:paraId="78DD8ED8" w14:textId="77777777" w:rsidR="00C74BD9" w:rsidRPr="00C74BD9" w:rsidRDefault="00C74BD9" w:rsidP="00C74BD9">
            <w:pPr>
              <w:spacing w:line="360" w:lineRule="auto"/>
              <w:rPr>
                <w:rFonts w:ascii="Book Antiqua" w:hAnsi="Book Antiqua"/>
              </w:rPr>
            </w:pPr>
            <w:r w:rsidRPr="00C74BD9">
              <w:rPr>
                <w:rFonts w:ascii="Book Antiqua" w:hAnsi="Book Antiqua"/>
              </w:rPr>
              <w:t>Pembrolizumab + nab-paclitaxel</w:t>
            </w:r>
          </w:p>
        </w:tc>
      </w:tr>
      <w:tr w:rsidR="007A1396" w:rsidRPr="00C74BD9" w14:paraId="3690FAC8" w14:textId="77777777" w:rsidTr="00C74BD9">
        <w:tc>
          <w:tcPr>
            <w:tcW w:w="1526" w:type="dxa"/>
            <w:vMerge w:val="restart"/>
            <w:shd w:val="clear" w:color="auto" w:fill="auto"/>
          </w:tcPr>
          <w:p w14:paraId="1E215619" w14:textId="77777777" w:rsidR="007A1396" w:rsidRPr="00C74BD9" w:rsidRDefault="007A1396" w:rsidP="00C74BD9">
            <w:pPr>
              <w:spacing w:line="360" w:lineRule="auto"/>
              <w:rPr>
                <w:rFonts w:ascii="Book Antiqua" w:hAnsi="Book Antiqua"/>
              </w:rPr>
            </w:pPr>
            <w:r w:rsidRPr="00C74BD9">
              <w:rPr>
                <w:rFonts w:ascii="Book Antiqua" w:hAnsi="Book Antiqua"/>
              </w:rPr>
              <w:t>Inclusion criteria</w:t>
            </w:r>
          </w:p>
        </w:tc>
        <w:tc>
          <w:tcPr>
            <w:tcW w:w="2489" w:type="dxa"/>
            <w:shd w:val="clear" w:color="auto" w:fill="auto"/>
          </w:tcPr>
          <w:p w14:paraId="7FF0C9A8" w14:textId="7A67FA99" w:rsidR="007A1396" w:rsidRPr="00C74BD9" w:rsidRDefault="007A1396" w:rsidP="00C74BD9">
            <w:pPr>
              <w:spacing w:line="360" w:lineRule="auto"/>
              <w:rPr>
                <w:rFonts w:ascii="Book Antiqua" w:hAnsi="Book Antiqua"/>
              </w:rPr>
            </w:pPr>
            <w:r w:rsidRPr="00C74BD9">
              <w:rPr>
                <w:rFonts w:ascii="Book Antiqua" w:hAnsi="Book Antiqua"/>
              </w:rPr>
              <w:t>Response or stable disease after 1st line platinum-base</w:t>
            </w:r>
            <w:r w:rsidR="0028072A">
              <w:rPr>
                <w:rFonts w:ascii="Book Antiqua" w:hAnsi="Book Antiqua"/>
              </w:rPr>
              <w:t>d</w:t>
            </w:r>
            <w:r w:rsidRPr="00C74BD9">
              <w:rPr>
                <w:rFonts w:ascii="Book Antiqua" w:hAnsi="Book Antiqua"/>
              </w:rPr>
              <w:t xml:space="preserve"> chemotherapy</w:t>
            </w:r>
          </w:p>
        </w:tc>
        <w:tc>
          <w:tcPr>
            <w:tcW w:w="2470" w:type="dxa"/>
            <w:shd w:val="clear" w:color="auto" w:fill="auto"/>
          </w:tcPr>
          <w:p w14:paraId="6A8D3A30" w14:textId="17D047D2" w:rsidR="007A1396" w:rsidRPr="00C74BD9" w:rsidRDefault="007A1396" w:rsidP="00C74BD9">
            <w:pPr>
              <w:spacing w:line="360" w:lineRule="auto"/>
              <w:rPr>
                <w:rFonts w:ascii="Book Antiqua" w:hAnsi="Book Antiqua"/>
              </w:rPr>
            </w:pPr>
            <w:r w:rsidRPr="00C74BD9">
              <w:rPr>
                <w:rFonts w:ascii="Book Antiqua" w:hAnsi="Book Antiqua"/>
              </w:rPr>
              <w:t xml:space="preserve">Treatment </w:t>
            </w:r>
            <w:r>
              <w:rPr>
                <w:rFonts w:ascii="Book Antiqua" w:hAnsi="Book Antiqua"/>
              </w:rPr>
              <w:t>naive</w:t>
            </w:r>
          </w:p>
        </w:tc>
        <w:tc>
          <w:tcPr>
            <w:tcW w:w="2470" w:type="dxa"/>
            <w:shd w:val="clear" w:color="auto" w:fill="auto"/>
          </w:tcPr>
          <w:p w14:paraId="7EDBC152" w14:textId="507162B3" w:rsidR="007A1396" w:rsidRPr="00C74BD9" w:rsidRDefault="007A1396" w:rsidP="00C74BD9">
            <w:pPr>
              <w:spacing w:line="360" w:lineRule="auto"/>
              <w:rPr>
                <w:rFonts w:ascii="Book Antiqua" w:hAnsi="Book Antiqua"/>
              </w:rPr>
            </w:pPr>
            <w:r w:rsidRPr="00C74BD9">
              <w:rPr>
                <w:rFonts w:ascii="Book Antiqua" w:hAnsi="Book Antiqua"/>
              </w:rPr>
              <w:t>≥ 1 line or cisplatin unfit</w:t>
            </w:r>
          </w:p>
        </w:tc>
        <w:tc>
          <w:tcPr>
            <w:tcW w:w="2266" w:type="dxa"/>
            <w:shd w:val="clear" w:color="auto" w:fill="auto"/>
          </w:tcPr>
          <w:p w14:paraId="08BEECCA" w14:textId="6D689599" w:rsidR="007A1396" w:rsidRPr="00C74BD9" w:rsidRDefault="007A1396" w:rsidP="00C74BD9">
            <w:pPr>
              <w:spacing w:line="360" w:lineRule="auto"/>
              <w:rPr>
                <w:rFonts w:ascii="Book Antiqua" w:hAnsi="Book Antiqua"/>
              </w:rPr>
            </w:pPr>
            <w:r w:rsidRPr="00C74BD9">
              <w:rPr>
                <w:rFonts w:ascii="Book Antiqua" w:hAnsi="Book Antiqua"/>
              </w:rPr>
              <w:t>≥ 1 line</w:t>
            </w:r>
          </w:p>
        </w:tc>
        <w:tc>
          <w:tcPr>
            <w:tcW w:w="2266" w:type="dxa"/>
            <w:shd w:val="clear" w:color="auto" w:fill="auto"/>
          </w:tcPr>
          <w:p w14:paraId="4069D158" w14:textId="2D522D18" w:rsidR="007A1396" w:rsidRPr="00C74BD9" w:rsidRDefault="007A1396" w:rsidP="00C74BD9">
            <w:pPr>
              <w:spacing w:line="360" w:lineRule="auto"/>
              <w:rPr>
                <w:rFonts w:ascii="Book Antiqua" w:hAnsi="Book Antiqua"/>
              </w:rPr>
            </w:pPr>
            <w:r w:rsidRPr="00C74BD9">
              <w:rPr>
                <w:rFonts w:ascii="Book Antiqua" w:hAnsi="Book Antiqua"/>
              </w:rPr>
              <w:t>1-2 lines</w:t>
            </w:r>
          </w:p>
        </w:tc>
      </w:tr>
      <w:tr w:rsidR="007A1396" w:rsidRPr="00C74BD9" w14:paraId="0E27AB62" w14:textId="77777777" w:rsidTr="00C74BD9">
        <w:tc>
          <w:tcPr>
            <w:tcW w:w="1526" w:type="dxa"/>
            <w:vMerge/>
            <w:shd w:val="clear" w:color="auto" w:fill="auto"/>
          </w:tcPr>
          <w:p w14:paraId="64322F47" w14:textId="77777777" w:rsidR="007A1396" w:rsidRPr="00C74BD9" w:rsidRDefault="007A1396" w:rsidP="00C74BD9">
            <w:pPr>
              <w:spacing w:line="360" w:lineRule="auto"/>
              <w:rPr>
                <w:rFonts w:ascii="Book Antiqua" w:hAnsi="Book Antiqua"/>
              </w:rPr>
            </w:pPr>
          </w:p>
        </w:tc>
        <w:tc>
          <w:tcPr>
            <w:tcW w:w="2489" w:type="dxa"/>
            <w:shd w:val="clear" w:color="auto" w:fill="auto"/>
          </w:tcPr>
          <w:p w14:paraId="744C9FB1" w14:textId="77777777" w:rsidR="007A1396" w:rsidRPr="00C74BD9" w:rsidRDefault="007A1396" w:rsidP="00C74BD9">
            <w:pPr>
              <w:spacing w:line="360" w:lineRule="auto"/>
              <w:rPr>
                <w:rFonts w:ascii="Book Antiqua" w:hAnsi="Book Antiqua"/>
              </w:rPr>
            </w:pPr>
          </w:p>
        </w:tc>
        <w:tc>
          <w:tcPr>
            <w:tcW w:w="2470" w:type="dxa"/>
            <w:shd w:val="clear" w:color="auto" w:fill="auto"/>
          </w:tcPr>
          <w:p w14:paraId="3A972E88" w14:textId="3F596BA3" w:rsidR="007A1396" w:rsidRPr="00C74BD9" w:rsidRDefault="007A1396" w:rsidP="00C74BD9">
            <w:pPr>
              <w:spacing w:line="360" w:lineRule="auto"/>
              <w:rPr>
                <w:rFonts w:ascii="Book Antiqua" w:hAnsi="Book Antiqua"/>
              </w:rPr>
            </w:pPr>
            <w:r w:rsidRPr="00C74BD9">
              <w:rPr>
                <w:rFonts w:ascii="Book Antiqua" w:hAnsi="Book Antiqua"/>
              </w:rPr>
              <w:t>Cisplatin ineligible</w:t>
            </w:r>
          </w:p>
        </w:tc>
        <w:tc>
          <w:tcPr>
            <w:tcW w:w="2470" w:type="dxa"/>
            <w:shd w:val="clear" w:color="auto" w:fill="auto"/>
          </w:tcPr>
          <w:p w14:paraId="54E0DA2B" w14:textId="311DED59" w:rsidR="007A1396" w:rsidRPr="00C74BD9" w:rsidRDefault="007A1396" w:rsidP="00C74BD9">
            <w:pPr>
              <w:spacing w:line="360" w:lineRule="auto"/>
              <w:rPr>
                <w:rFonts w:ascii="Book Antiqua" w:hAnsi="Book Antiqua"/>
              </w:rPr>
            </w:pPr>
            <w:r w:rsidRPr="00C74BD9">
              <w:rPr>
                <w:rFonts w:ascii="Book Antiqua" w:hAnsi="Book Antiqua"/>
              </w:rPr>
              <w:t>FGFR genetic alteration</w:t>
            </w:r>
          </w:p>
        </w:tc>
        <w:tc>
          <w:tcPr>
            <w:tcW w:w="2266" w:type="dxa"/>
            <w:shd w:val="clear" w:color="auto" w:fill="auto"/>
          </w:tcPr>
          <w:p w14:paraId="511E7764" w14:textId="0174803F" w:rsidR="007A1396" w:rsidRPr="00C74BD9" w:rsidRDefault="007A1396" w:rsidP="00C74BD9">
            <w:pPr>
              <w:spacing w:line="360" w:lineRule="auto"/>
              <w:rPr>
                <w:rFonts w:ascii="Book Antiqua" w:hAnsi="Book Antiqua"/>
              </w:rPr>
            </w:pPr>
            <w:r w:rsidRPr="00C74BD9">
              <w:rPr>
                <w:rFonts w:ascii="Book Antiqua" w:hAnsi="Book Antiqua"/>
              </w:rPr>
              <w:t>Prior ICI not allowed</w:t>
            </w:r>
          </w:p>
        </w:tc>
        <w:tc>
          <w:tcPr>
            <w:tcW w:w="2266" w:type="dxa"/>
            <w:shd w:val="clear" w:color="auto" w:fill="auto"/>
          </w:tcPr>
          <w:p w14:paraId="18D71404" w14:textId="29E04AFC" w:rsidR="007A1396" w:rsidRPr="00C74BD9" w:rsidRDefault="007A1396" w:rsidP="00C74BD9">
            <w:pPr>
              <w:spacing w:line="360" w:lineRule="auto"/>
              <w:rPr>
                <w:rFonts w:ascii="Book Antiqua" w:hAnsi="Book Antiqua"/>
              </w:rPr>
            </w:pPr>
            <w:r w:rsidRPr="00C74BD9">
              <w:rPr>
                <w:rFonts w:ascii="Book Antiqua" w:hAnsi="Book Antiqua"/>
              </w:rPr>
              <w:t>Prior ICI not allowed</w:t>
            </w:r>
          </w:p>
        </w:tc>
      </w:tr>
      <w:tr w:rsidR="007A1396" w:rsidRPr="00C74BD9" w14:paraId="6FABE91D" w14:textId="77777777" w:rsidTr="00C74BD9">
        <w:tc>
          <w:tcPr>
            <w:tcW w:w="1526" w:type="dxa"/>
            <w:vMerge/>
            <w:shd w:val="clear" w:color="auto" w:fill="auto"/>
          </w:tcPr>
          <w:p w14:paraId="51D244FD" w14:textId="77777777" w:rsidR="007A1396" w:rsidRPr="00C74BD9" w:rsidRDefault="007A1396" w:rsidP="00C74BD9">
            <w:pPr>
              <w:spacing w:line="360" w:lineRule="auto"/>
              <w:rPr>
                <w:rFonts w:ascii="Book Antiqua" w:hAnsi="Book Antiqua"/>
              </w:rPr>
            </w:pPr>
          </w:p>
        </w:tc>
        <w:tc>
          <w:tcPr>
            <w:tcW w:w="2489" w:type="dxa"/>
            <w:shd w:val="clear" w:color="auto" w:fill="auto"/>
          </w:tcPr>
          <w:p w14:paraId="0AAD701C" w14:textId="77777777" w:rsidR="007A1396" w:rsidRPr="00C74BD9" w:rsidRDefault="007A1396" w:rsidP="00C74BD9">
            <w:pPr>
              <w:spacing w:line="360" w:lineRule="auto"/>
              <w:rPr>
                <w:rFonts w:ascii="Book Antiqua" w:hAnsi="Book Antiqua"/>
              </w:rPr>
            </w:pPr>
          </w:p>
        </w:tc>
        <w:tc>
          <w:tcPr>
            <w:tcW w:w="2470" w:type="dxa"/>
            <w:shd w:val="clear" w:color="auto" w:fill="auto"/>
          </w:tcPr>
          <w:p w14:paraId="3AB29F9D" w14:textId="3F7D437A" w:rsidR="007A1396" w:rsidRPr="00C74BD9" w:rsidRDefault="007A1396" w:rsidP="00C74BD9">
            <w:pPr>
              <w:spacing w:line="360" w:lineRule="auto"/>
              <w:rPr>
                <w:rFonts w:ascii="Book Antiqua" w:hAnsi="Book Antiqua"/>
              </w:rPr>
            </w:pPr>
            <w:r w:rsidRPr="00C74BD9">
              <w:rPr>
                <w:rFonts w:ascii="Book Antiqua" w:hAnsi="Book Antiqua"/>
              </w:rPr>
              <w:t>FGFR mRNA overexpression</w:t>
            </w:r>
          </w:p>
        </w:tc>
        <w:tc>
          <w:tcPr>
            <w:tcW w:w="2470" w:type="dxa"/>
            <w:shd w:val="clear" w:color="auto" w:fill="auto"/>
          </w:tcPr>
          <w:p w14:paraId="71A221C6" w14:textId="3290B4DC" w:rsidR="007A1396" w:rsidRPr="00C74BD9" w:rsidRDefault="007A1396" w:rsidP="00C74BD9">
            <w:pPr>
              <w:spacing w:line="360" w:lineRule="auto"/>
              <w:rPr>
                <w:rFonts w:ascii="Book Antiqua" w:hAnsi="Book Antiqua"/>
              </w:rPr>
            </w:pPr>
            <w:r w:rsidRPr="00C74BD9">
              <w:rPr>
                <w:rFonts w:ascii="Book Antiqua" w:hAnsi="Book Antiqua"/>
              </w:rPr>
              <w:t>Prior ICI allowed</w:t>
            </w:r>
          </w:p>
        </w:tc>
        <w:tc>
          <w:tcPr>
            <w:tcW w:w="2266" w:type="dxa"/>
            <w:shd w:val="clear" w:color="auto" w:fill="auto"/>
          </w:tcPr>
          <w:p w14:paraId="73F69DAA" w14:textId="77777777" w:rsidR="007A1396" w:rsidRPr="00C74BD9" w:rsidRDefault="007A1396" w:rsidP="00C74BD9">
            <w:pPr>
              <w:spacing w:line="360" w:lineRule="auto"/>
              <w:rPr>
                <w:rFonts w:ascii="Book Antiqua" w:hAnsi="Book Antiqua"/>
              </w:rPr>
            </w:pPr>
          </w:p>
        </w:tc>
        <w:tc>
          <w:tcPr>
            <w:tcW w:w="2266" w:type="dxa"/>
            <w:shd w:val="clear" w:color="auto" w:fill="auto"/>
          </w:tcPr>
          <w:p w14:paraId="570B82F6" w14:textId="77777777" w:rsidR="007A1396" w:rsidRPr="00C74BD9" w:rsidRDefault="007A1396" w:rsidP="00C74BD9">
            <w:pPr>
              <w:spacing w:line="360" w:lineRule="auto"/>
              <w:rPr>
                <w:rFonts w:ascii="Book Antiqua" w:hAnsi="Book Antiqua"/>
              </w:rPr>
            </w:pPr>
          </w:p>
        </w:tc>
      </w:tr>
      <w:tr w:rsidR="00C74BD9" w:rsidRPr="00C74BD9" w14:paraId="128B9CD6" w14:textId="77777777" w:rsidTr="00C74BD9">
        <w:tc>
          <w:tcPr>
            <w:tcW w:w="1526" w:type="dxa"/>
            <w:shd w:val="clear" w:color="auto" w:fill="auto"/>
          </w:tcPr>
          <w:p w14:paraId="72F18E04" w14:textId="77777777" w:rsidR="00C74BD9" w:rsidRPr="00C74BD9" w:rsidRDefault="00C74BD9" w:rsidP="00C74BD9">
            <w:pPr>
              <w:spacing w:line="360" w:lineRule="auto"/>
              <w:rPr>
                <w:rFonts w:ascii="Book Antiqua" w:hAnsi="Book Antiqua"/>
              </w:rPr>
            </w:pPr>
            <w:r w:rsidRPr="00C74BD9">
              <w:rPr>
                <w:rFonts w:ascii="Book Antiqua" w:hAnsi="Book Antiqua"/>
              </w:rPr>
              <w:t>Study population (</w:t>
            </w:r>
            <w:r w:rsidRPr="00E6499B">
              <w:rPr>
                <w:rFonts w:ascii="Book Antiqua" w:hAnsi="Book Antiqua"/>
                <w:i/>
                <w:iCs/>
              </w:rPr>
              <w:t>n</w:t>
            </w:r>
            <w:r w:rsidRPr="00C74BD9">
              <w:rPr>
                <w:rFonts w:ascii="Book Antiqua" w:hAnsi="Book Antiqua"/>
              </w:rPr>
              <w:t>)</w:t>
            </w:r>
          </w:p>
        </w:tc>
        <w:tc>
          <w:tcPr>
            <w:tcW w:w="2489" w:type="dxa"/>
            <w:shd w:val="clear" w:color="auto" w:fill="auto"/>
          </w:tcPr>
          <w:p w14:paraId="37E2149B" w14:textId="77777777" w:rsidR="00C74BD9" w:rsidRPr="00C74BD9" w:rsidRDefault="00C74BD9" w:rsidP="00C74BD9">
            <w:pPr>
              <w:spacing w:line="360" w:lineRule="auto"/>
              <w:rPr>
                <w:rFonts w:ascii="Book Antiqua" w:hAnsi="Book Antiqua"/>
              </w:rPr>
            </w:pPr>
            <w:r w:rsidRPr="00C74BD9">
              <w:rPr>
                <w:rFonts w:ascii="Book Antiqua" w:hAnsi="Book Antiqua"/>
              </w:rPr>
              <w:t>700</w:t>
            </w:r>
          </w:p>
        </w:tc>
        <w:tc>
          <w:tcPr>
            <w:tcW w:w="2470" w:type="dxa"/>
            <w:shd w:val="clear" w:color="auto" w:fill="auto"/>
          </w:tcPr>
          <w:p w14:paraId="773D6089" w14:textId="77777777" w:rsidR="00C74BD9" w:rsidRPr="00C74BD9" w:rsidRDefault="00C74BD9" w:rsidP="00C74BD9">
            <w:pPr>
              <w:spacing w:line="360" w:lineRule="auto"/>
              <w:rPr>
                <w:rFonts w:ascii="Book Antiqua" w:hAnsi="Book Antiqua"/>
              </w:rPr>
            </w:pPr>
            <w:r w:rsidRPr="00C74BD9">
              <w:rPr>
                <w:rFonts w:ascii="Book Antiqua" w:hAnsi="Book Antiqua"/>
              </w:rPr>
              <w:t>31</w:t>
            </w:r>
          </w:p>
        </w:tc>
        <w:tc>
          <w:tcPr>
            <w:tcW w:w="2470" w:type="dxa"/>
            <w:shd w:val="clear" w:color="auto" w:fill="auto"/>
          </w:tcPr>
          <w:p w14:paraId="08AD6CFF" w14:textId="77777777" w:rsidR="00C74BD9" w:rsidRPr="00C74BD9" w:rsidRDefault="00C74BD9" w:rsidP="00C74BD9">
            <w:pPr>
              <w:spacing w:line="360" w:lineRule="auto"/>
              <w:rPr>
                <w:rFonts w:ascii="Book Antiqua" w:hAnsi="Book Antiqua"/>
              </w:rPr>
            </w:pPr>
            <w:r w:rsidRPr="00C74BD9">
              <w:rPr>
                <w:rFonts w:ascii="Book Antiqua" w:hAnsi="Book Antiqua"/>
              </w:rPr>
              <w:t>101</w:t>
            </w:r>
          </w:p>
        </w:tc>
        <w:tc>
          <w:tcPr>
            <w:tcW w:w="2266" w:type="dxa"/>
            <w:shd w:val="clear" w:color="auto" w:fill="auto"/>
          </w:tcPr>
          <w:p w14:paraId="003B249E" w14:textId="77777777" w:rsidR="00C74BD9" w:rsidRPr="00C74BD9" w:rsidRDefault="00C74BD9" w:rsidP="00C74BD9">
            <w:pPr>
              <w:spacing w:line="360" w:lineRule="auto"/>
              <w:rPr>
                <w:rFonts w:ascii="Book Antiqua" w:hAnsi="Book Antiqua"/>
              </w:rPr>
            </w:pPr>
            <w:r w:rsidRPr="00C74BD9">
              <w:rPr>
                <w:rFonts w:ascii="Book Antiqua" w:hAnsi="Book Antiqua"/>
              </w:rPr>
              <w:t>30</w:t>
            </w:r>
          </w:p>
        </w:tc>
        <w:tc>
          <w:tcPr>
            <w:tcW w:w="2266" w:type="dxa"/>
            <w:shd w:val="clear" w:color="auto" w:fill="auto"/>
          </w:tcPr>
          <w:p w14:paraId="77F87ACA" w14:textId="77777777" w:rsidR="00C74BD9" w:rsidRPr="00C74BD9" w:rsidRDefault="00C74BD9" w:rsidP="00C74BD9">
            <w:pPr>
              <w:spacing w:line="360" w:lineRule="auto"/>
              <w:rPr>
                <w:rFonts w:ascii="Book Antiqua" w:hAnsi="Book Antiqua"/>
              </w:rPr>
            </w:pPr>
            <w:r w:rsidRPr="00C74BD9">
              <w:rPr>
                <w:rFonts w:ascii="Book Antiqua" w:hAnsi="Book Antiqua"/>
              </w:rPr>
              <w:t>70</w:t>
            </w:r>
          </w:p>
        </w:tc>
      </w:tr>
      <w:tr w:rsidR="00C74BD9" w:rsidRPr="00C74BD9" w14:paraId="15190D24" w14:textId="77777777" w:rsidTr="00C74BD9">
        <w:tc>
          <w:tcPr>
            <w:tcW w:w="1526" w:type="dxa"/>
            <w:shd w:val="clear" w:color="auto" w:fill="auto"/>
          </w:tcPr>
          <w:p w14:paraId="110C6C93" w14:textId="36C78507" w:rsidR="00C74BD9" w:rsidRPr="00C74BD9" w:rsidRDefault="00C74BD9" w:rsidP="00C74BD9">
            <w:pPr>
              <w:spacing w:line="360" w:lineRule="auto"/>
              <w:rPr>
                <w:rFonts w:ascii="Book Antiqua" w:hAnsi="Book Antiqua"/>
              </w:rPr>
            </w:pPr>
            <w:r w:rsidRPr="00C74BD9">
              <w:rPr>
                <w:rFonts w:ascii="Book Antiqua" w:hAnsi="Book Antiqua"/>
              </w:rPr>
              <w:t>PFS (</w:t>
            </w:r>
            <w:proofErr w:type="spellStart"/>
            <w:r w:rsidRPr="00C74BD9">
              <w:rPr>
                <w:rFonts w:ascii="Book Antiqua" w:hAnsi="Book Antiqua"/>
              </w:rPr>
              <w:t>mo</w:t>
            </w:r>
            <w:proofErr w:type="spellEnd"/>
            <w:r w:rsidRPr="00C74BD9">
              <w:rPr>
                <w:rFonts w:ascii="Book Antiqua" w:hAnsi="Book Antiqua"/>
              </w:rPr>
              <w:t>)</w:t>
            </w:r>
          </w:p>
        </w:tc>
        <w:tc>
          <w:tcPr>
            <w:tcW w:w="2489" w:type="dxa"/>
            <w:shd w:val="clear" w:color="auto" w:fill="auto"/>
          </w:tcPr>
          <w:p w14:paraId="24AE0B09" w14:textId="4E91FD9C" w:rsidR="00C74BD9" w:rsidRPr="00C74BD9" w:rsidRDefault="00C74BD9" w:rsidP="00C74BD9">
            <w:pPr>
              <w:spacing w:line="360" w:lineRule="auto"/>
              <w:rPr>
                <w:rFonts w:ascii="Book Antiqua" w:hAnsi="Book Antiqua"/>
              </w:rPr>
            </w:pPr>
            <w:r w:rsidRPr="00C74BD9">
              <w:rPr>
                <w:rFonts w:ascii="Book Antiqua" w:hAnsi="Book Antiqua"/>
              </w:rPr>
              <w:t>3</w:t>
            </w:r>
            <w:r w:rsidR="00E6499B">
              <w:rPr>
                <w:rFonts w:ascii="Book Antiqua" w:hAnsi="Book Antiqua"/>
              </w:rPr>
              <w:t>.</w:t>
            </w:r>
            <w:r w:rsidRPr="00C74BD9">
              <w:rPr>
                <w:rFonts w:ascii="Book Antiqua" w:hAnsi="Book Antiqua"/>
              </w:rPr>
              <w:t xml:space="preserve">7 </w:t>
            </w:r>
            <w:r w:rsidRPr="00E6499B">
              <w:rPr>
                <w:rFonts w:ascii="Book Antiqua" w:hAnsi="Book Antiqua"/>
                <w:i/>
                <w:iCs/>
              </w:rPr>
              <w:t>vs</w:t>
            </w:r>
            <w:r w:rsidRPr="00C74BD9">
              <w:rPr>
                <w:rFonts w:ascii="Book Antiqua" w:hAnsi="Book Antiqua"/>
              </w:rPr>
              <w:t xml:space="preserve"> 2.0</w:t>
            </w:r>
          </w:p>
        </w:tc>
        <w:tc>
          <w:tcPr>
            <w:tcW w:w="2470" w:type="dxa"/>
            <w:shd w:val="clear" w:color="auto" w:fill="auto"/>
          </w:tcPr>
          <w:p w14:paraId="43EA249F" w14:textId="51BB38CA" w:rsidR="00C74BD9" w:rsidRPr="00C74BD9" w:rsidRDefault="00C74BD9" w:rsidP="00C74BD9">
            <w:pPr>
              <w:spacing w:line="360" w:lineRule="auto"/>
              <w:rPr>
                <w:rFonts w:ascii="Book Antiqua" w:hAnsi="Book Antiqua"/>
              </w:rPr>
            </w:pPr>
          </w:p>
        </w:tc>
        <w:tc>
          <w:tcPr>
            <w:tcW w:w="2470" w:type="dxa"/>
            <w:shd w:val="clear" w:color="auto" w:fill="auto"/>
          </w:tcPr>
          <w:p w14:paraId="088BC520" w14:textId="0ED59EAE"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52</w:t>
            </w:r>
          </w:p>
        </w:tc>
        <w:tc>
          <w:tcPr>
            <w:tcW w:w="2266" w:type="dxa"/>
            <w:shd w:val="clear" w:color="auto" w:fill="auto"/>
          </w:tcPr>
          <w:p w14:paraId="75161C89" w14:textId="79B4EE70"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4</w:t>
            </w:r>
          </w:p>
        </w:tc>
        <w:tc>
          <w:tcPr>
            <w:tcW w:w="2266" w:type="dxa"/>
            <w:shd w:val="clear" w:color="auto" w:fill="auto"/>
          </w:tcPr>
          <w:p w14:paraId="6C51B1A6" w14:textId="16081C0F"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0</w:t>
            </w:r>
          </w:p>
        </w:tc>
      </w:tr>
      <w:tr w:rsidR="00C74BD9" w:rsidRPr="00C74BD9" w14:paraId="4AF1870D" w14:textId="77777777" w:rsidTr="00C74BD9">
        <w:tc>
          <w:tcPr>
            <w:tcW w:w="1526" w:type="dxa"/>
            <w:shd w:val="clear" w:color="auto" w:fill="auto"/>
          </w:tcPr>
          <w:p w14:paraId="7D19DDD7" w14:textId="50291A0E" w:rsidR="00C74BD9" w:rsidRPr="00C74BD9" w:rsidRDefault="00C74BD9" w:rsidP="00C74BD9">
            <w:pPr>
              <w:spacing w:line="360" w:lineRule="auto"/>
              <w:rPr>
                <w:rFonts w:ascii="Book Antiqua" w:hAnsi="Book Antiqua"/>
              </w:rPr>
            </w:pPr>
            <w:r w:rsidRPr="00C74BD9">
              <w:rPr>
                <w:rFonts w:ascii="Book Antiqua" w:hAnsi="Book Antiqua"/>
              </w:rPr>
              <w:t>OS (</w:t>
            </w:r>
            <w:proofErr w:type="spellStart"/>
            <w:r w:rsidRPr="00C74BD9">
              <w:rPr>
                <w:rFonts w:ascii="Book Antiqua" w:hAnsi="Book Antiqua"/>
              </w:rPr>
              <w:t>mo</w:t>
            </w:r>
            <w:proofErr w:type="spellEnd"/>
            <w:r w:rsidRPr="00C74BD9">
              <w:rPr>
                <w:rFonts w:ascii="Book Antiqua" w:hAnsi="Book Antiqua"/>
              </w:rPr>
              <w:t>)</w:t>
            </w:r>
          </w:p>
        </w:tc>
        <w:tc>
          <w:tcPr>
            <w:tcW w:w="2489" w:type="dxa"/>
            <w:shd w:val="clear" w:color="auto" w:fill="auto"/>
          </w:tcPr>
          <w:p w14:paraId="6460710C" w14:textId="7AA13A33" w:rsidR="00C74BD9" w:rsidRPr="00C74BD9" w:rsidRDefault="00C74BD9" w:rsidP="00C74BD9">
            <w:pPr>
              <w:spacing w:line="360" w:lineRule="auto"/>
              <w:rPr>
                <w:rFonts w:ascii="Book Antiqua" w:hAnsi="Book Antiqua"/>
              </w:rPr>
            </w:pPr>
            <w:r w:rsidRPr="00C74BD9">
              <w:rPr>
                <w:rFonts w:ascii="Book Antiqua" w:hAnsi="Book Antiqua"/>
              </w:rPr>
              <w:t>21</w:t>
            </w:r>
            <w:r w:rsidR="00E6499B">
              <w:rPr>
                <w:rFonts w:ascii="Book Antiqua" w:hAnsi="Book Antiqua"/>
              </w:rPr>
              <w:t>.</w:t>
            </w:r>
            <w:r w:rsidRPr="00C74BD9">
              <w:rPr>
                <w:rFonts w:ascii="Book Antiqua" w:hAnsi="Book Antiqua"/>
              </w:rPr>
              <w:t xml:space="preserve">4 </w:t>
            </w:r>
            <w:r w:rsidRPr="00E6499B">
              <w:rPr>
                <w:rFonts w:ascii="Book Antiqua" w:hAnsi="Book Antiqua"/>
                <w:i/>
                <w:iCs/>
              </w:rPr>
              <w:t>vs</w:t>
            </w:r>
            <w:r w:rsidRPr="00C74BD9">
              <w:rPr>
                <w:rFonts w:ascii="Book Antiqua" w:hAnsi="Book Antiqua"/>
              </w:rPr>
              <w:t xml:space="preserve"> 14</w:t>
            </w:r>
            <w:r w:rsidR="00E6499B">
              <w:rPr>
                <w:rFonts w:ascii="Book Antiqua" w:hAnsi="Book Antiqua"/>
              </w:rPr>
              <w:t>.</w:t>
            </w:r>
            <w:r w:rsidRPr="00C74BD9">
              <w:rPr>
                <w:rFonts w:ascii="Book Antiqua" w:hAnsi="Book Antiqua"/>
              </w:rPr>
              <w:t xml:space="preserve">3 </w:t>
            </w:r>
          </w:p>
        </w:tc>
        <w:tc>
          <w:tcPr>
            <w:tcW w:w="2470" w:type="dxa"/>
            <w:shd w:val="clear" w:color="auto" w:fill="auto"/>
          </w:tcPr>
          <w:p w14:paraId="62DDC195" w14:textId="1642A580" w:rsidR="00C74BD9" w:rsidRPr="00C74BD9" w:rsidRDefault="00C74BD9" w:rsidP="00C74BD9">
            <w:pPr>
              <w:spacing w:line="360" w:lineRule="auto"/>
              <w:rPr>
                <w:rFonts w:ascii="Book Antiqua" w:hAnsi="Book Antiqua"/>
              </w:rPr>
            </w:pPr>
          </w:p>
        </w:tc>
        <w:tc>
          <w:tcPr>
            <w:tcW w:w="2470" w:type="dxa"/>
            <w:shd w:val="clear" w:color="auto" w:fill="auto"/>
          </w:tcPr>
          <w:p w14:paraId="7058645E" w14:textId="6FFB8BC6" w:rsidR="00C74BD9" w:rsidRPr="00C74BD9" w:rsidRDefault="00C74BD9" w:rsidP="00C74BD9">
            <w:pPr>
              <w:spacing w:line="360" w:lineRule="auto"/>
              <w:rPr>
                <w:rFonts w:ascii="Book Antiqua" w:hAnsi="Book Antiqua"/>
              </w:rPr>
            </w:pPr>
            <w:r w:rsidRPr="00C74BD9">
              <w:rPr>
                <w:rFonts w:ascii="Book Antiqua" w:hAnsi="Book Antiqua"/>
              </w:rPr>
              <w:t>11</w:t>
            </w:r>
            <w:r w:rsidR="00E6499B">
              <w:rPr>
                <w:rFonts w:ascii="Book Antiqua" w:hAnsi="Book Antiqua"/>
              </w:rPr>
              <w:t>.</w:t>
            </w:r>
            <w:r w:rsidRPr="00C74BD9">
              <w:rPr>
                <w:rFonts w:ascii="Book Antiqua" w:hAnsi="Book Antiqua"/>
              </w:rPr>
              <w:t>3</w:t>
            </w:r>
          </w:p>
        </w:tc>
        <w:tc>
          <w:tcPr>
            <w:tcW w:w="2266" w:type="dxa"/>
            <w:shd w:val="clear" w:color="auto" w:fill="auto"/>
          </w:tcPr>
          <w:p w14:paraId="0A0F51EE" w14:textId="15D3D36E" w:rsidR="00C74BD9" w:rsidRPr="00C74BD9" w:rsidRDefault="00C74BD9" w:rsidP="00C74BD9">
            <w:pPr>
              <w:spacing w:line="360" w:lineRule="auto"/>
              <w:rPr>
                <w:rFonts w:ascii="Book Antiqua" w:hAnsi="Book Antiqua"/>
              </w:rPr>
            </w:pPr>
          </w:p>
        </w:tc>
        <w:tc>
          <w:tcPr>
            <w:tcW w:w="2266" w:type="dxa"/>
            <w:shd w:val="clear" w:color="auto" w:fill="auto"/>
          </w:tcPr>
          <w:p w14:paraId="08C6BA9B" w14:textId="7A62D1B7" w:rsidR="00C74BD9" w:rsidRPr="00C74BD9" w:rsidRDefault="00C74BD9" w:rsidP="00C74BD9">
            <w:pPr>
              <w:spacing w:line="360" w:lineRule="auto"/>
              <w:rPr>
                <w:rFonts w:ascii="Book Antiqua" w:hAnsi="Book Antiqua"/>
              </w:rPr>
            </w:pPr>
          </w:p>
        </w:tc>
      </w:tr>
      <w:tr w:rsidR="00C74BD9" w:rsidRPr="00C74BD9" w14:paraId="0C9F3597" w14:textId="77777777" w:rsidTr="00E6499B">
        <w:tc>
          <w:tcPr>
            <w:tcW w:w="1526" w:type="dxa"/>
            <w:shd w:val="clear" w:color="auto" w:fill="auto"/>
          </w:tcPr>
          <w:p w14:paraId="2ED6E726" w14:textId="77777777" w:rsidR="00C74BD9" w:rsidRPr="00C74BD9" w:rsidRDefault="00C74BD9" w:rsidP="00C74BD9">
            <w:pPr>
              <w:spacing w:line="360" w:lineRule="auto"/>
              <w:rPr>
                <w:rFonts w:ascii="Book Antiqua" w:hAnsi="Book Antiqua"/>
              </w:rPr>
            </w:pPr>
            <w:r w:rsidRPr="00C74BD9">
              <w:rPr>
                <w:rFonts w:ascii="Book Antiqua" w:hAnsi="Book Antiqua"/>
              </w:rPr>
              <w:t>ORR (%)</w:t>
            </w:r>
          </w:p>
        </w:tc>
        <w:tc>
          <w:tcPr>
            <w:tcW w:w="2489" w:type="dxa"/>
            <w:shd w:val="clear" w:color="auto" w:fill="auto"/>
          </w:tcPr>
          <w:p w14:paraId="056E6617" w14:textId="2EF75A9B" w:rsidR="00C74BD9" w:rsidRPr="00C74BD9" w:rsidRDefault="00C74BD9" w:rsidP="00C74BD9">
            <w:pPr>
              <w:spacing w:line="360" w:lineRule="auto"/>
              <w:rPr>
                <w:rFonts w:ascii="Book Antiqua" w:hAnsi="Book Antiqua"/>
              </w:rPr>
            </w:pPr>
            <w:r w:rsidRPr="00C74BD9">
              <w:rPr>
                <w:rFonts w:ascii="Book Antiqua" w:hAnsi="Book Antiqua"/>
              </w:rPr>
              <w:t>9</w:t>
            </w:r>
            <w:r w:rsidR="00E6499B">
              <w:rPr>
                <w:rFonts w:ascii="Book Antiqua" w:hAnsi="Book Antiqua"/>
              </w:rPr>
              <w:t>.</w:t>
            </w:r>
            <w:r w:rsidRPr="00C74BD9">
              <w:rPr>
                <w:rFonts w:ascii="Book Antiqua" w:hAnsi="Book Antiqua"/>
              </w:rPr>
              <w:t xml:space="preserve">7 </w:t>
            </w:r>
            <w:r w:rsidRPr="00E6499B">
              <w:rPr>
                <w:rFonts w:ascii="Book Antiqua" w:hAnsi="Book Antiqua"/>
                <w:i/>
                <w:iCs/>
              </w:rPr>
              <w:t>vs</w:t>
            </w:r>
            <w:r w:rsidRPr="00C74BD9">
              <w:rPr>
                <w:rFonts w:ascii="Book Antiqua" w:hAnsi="Book Antiqua"/>
              </w:rPr>
              <w:t xml:space="preserve"> 1</w:t>
            </w:r>
            <w:r w:rsidR="00E6499B">
              <w:rPr>
                <w:rFonts w:ascii="Book Antiqua" w:hAnsi="Book Antiqua"/>
              </w:rPr>
              <w:t>.</w:t>
            </w:r>
            <w:r w:rsidRPr="00C74BD9">
              <w:rPr>
                <w:rFonts w:ascii="Book Antiqua" w:hAnsi="Book Antiqua"/>
              </w:rPr>
              <w:t>4</w:t>
            </w:r>
          </w:p>
        </w:tc>
        <w:tc>
          <w:tcPr>
            <w:tcW w:w="2470" w:type="dxa"/>
            <w:shd w:val="clear" w:color="auto" w:fill="auto"/>
          </w:tcPr>
          <w:p w14:paraId="774F2631" w14:textId="23486A27" w:rsidR="00C74BD9" w:rsidRPr="00C74BD9" w:rsidRDefault="00C74BD9" w:rsidP="00C74BD9">
            <w:pPr>
              <w:spacing w:line="360" w:lineRule="auto"/>
              <w:rPr>
                <w:rFonts w:ascii="Book Antiqua" w:hAnsi="Book Antiqua"/>
              </w:rPr>
            </w:pPr>
            <w:r w:rsidRPr="00C74BD9">
              <w:rPr>
                <w:rFonts w:ascii="Book Antiqua" w:hAnsi="Book Antiqua"/>
              </w:rPr>
              <w:t>44</w:t>
            </w:r>
          </w:p>
        </w:tc>
        <w:tc>
          <w:tcPr>
            <w:tcW w:w="2470" w:type="dxa"/>
            <w:shd w:val="clear" w:color="auto" w:fill="auto"/>
          </w:tcPr>
          <w:p w14:paraId="32791B97" w14:textId="77777777" w:rsidR="00C74BD9" w:rsidRPr="00C74BD9" w:rsidRDefault="00C74BD9" w:rsidP="00C74BD9">
            <w:pPr>
              <w:spacing w:line="360" w:lineRule="auto"/>
              <w:rPr>
                <w:rFonts w:ascii="Book Antiqua" w:hAnsi="Book Antiqua"/>
              </w:rPr>
            </w:pPr>
            <w:r w:rsidRPr="00C74BD9">
              <w:rPr>
                <w:rFonts w:ascii="Book Antiqua" w:hAnsi="Book Antiqua"/>
              </w:rPr>
              <w:t>40</w:t>
            </w:r>
          </w:p>
        </w:tc>
        <w:tc>
          <w:tcPr>
            <w:tcW w:w="2266" w:type="dxa"/>
            <w:shd w:val="clear" w:color="auto" w:fill="auto"/>
          </w:tcPr>
          <w:p w14:paraId="6B243802" w14:textId="77777777" w:rsidR="00C74BD9" w:rsidRPr="00C74BD9" w:rsidRDefault="00C74BD9" w:rsidP="00C74BD9">
            <w:pPr>
              <w:spacing w:line="360" w:lineRule="auto"/>
              <w:rPr>
                <w:rFonts w:ascii="Book Antiqua" w:hAnsi="Book Antiqua"/>
              </w:rPr>
            </w:pPr>
            <w:r w:rsidRPr="00C74BD9">
              <w:rPr>
                <w:rFonts w:ascii="Book Antiqua" w:hAnsi="Book Antiqua"/>
              </w:rPr>
              <w:t>27</w:t>
            </w:r>
          </w:p>
        </w:tc>
        <w:tc>
          <w:tcPr>
            <w:tcW w:w="2266" w:type="dxa"/>
            <w:shd w:val="clear" w:color="auto" w:fill="auto"/>
          </w:tcPr>
          <w:p w14:paraId="6785A1DB" w14:textId="71A1449C" w:rsidR="00C74BD9" w:rsidRPr="00C74BD9" w:rsidRDefault="00C74BD9" w:rsidP="00C74BD9">
            <w:pPr>
              <w:spacing w:line="360" w:lineRule="auto"/>
              <w:rPr>
                <w:rFonts w:ascii="Book Antiqua" w:hAnsi="Book Antiqua"/>
              </w:rPr>
            </w:pPr>
            <w:r w:rsidRPr="00C74BD9">
              <w:rPr>
                <w:rFonts w:ascii="Book Antiqua" w:hAnsi="Book Antiqua"/>
              </w:rPr>
              <w:t>38</w:t>
            </w:r>
            <w:r w:rsidR="00E6499B">
              <w:rPr>
                <w:rFonts w:ascii="Book Antiqua" w:hAnsi="Book Antiqua"/>
              </w:rPr>
              <w:t>.</w:t>
            </w:r>
            <w:r w:rsidRPr="00C74BD9">
              <w:rPr>
                <w:rFonts w:ascii="Book Antiqua" w:hAnsi="Book Antiqua"/>
              </w:rPr>
              <w:t>6</w:t>
            </w:r>
          </w:p>
        </w:tc>
      </w:tr>
      <w:tr w:rsidR="00C74BD9" w:rsidRPr="00C74BD9" w14:paraId="243CDA3E" w14:textId="77777777" w:rsidTr="00E6499B">
        <w:tc>
          <w:tcPr>
            <w:tcW w:w="1526" w:type="dxa"/>
            <w:tcBorders>
              <w:bottom w:val="single" w:sz="4" w:space="0" w:color="auto"/>
            </w:tcBorders>
            <w:shd w:val="clear" w:color="auto" w:fill="auto"/>
          </w:tcPr>
          <w:p w14:paraId="52D78BF7" w14:textId="77777777" w:rsidR="00C74BD9" w:rsidRPr="00C74BD9" w:rsidRDefault="00C74BD9" w:rsidP="00C74BD9">
            <w:pPr>
              <w:spacing w:line="360" w:lineRule="auto"/>
              <w:rPr>
                <w:rFonts w:ascii="Book Antiqua" w:hAnsi="Book Antiqua"/>
              </w:rPr>
            </w:pPr>
            <w:r w:rsidRPr="00C74BD9">
              <w:rPr>
                <w:rFonts w:ascii="Book Antiqua" w:hAnsi="Book Antiqua"/>
              </w:rPr>
              <w:lastRenderedPageBreak/>
              <w:t>Duration of response</w:t>
            </w:r>
          </w:p>
        </w:tc>
        <w:tc>
          <w:tcPr>
            <w:tcW w:w="2489" w:type="dxa"/>
            <w:tcBorders>
              <w:bottom w:val="single" w:sz="4" w:space="0" w:color="auto"/>
            </w:tcBorders>
            <w:shd w:val="clear" w:color="auto" w:fill="auto"/>
          </w:tcPr>
          <w:p w14:paraId="32215FB8" w14:textId="52D2146C" w:rsidR="00C74BD9" w:rsidRPr="00C74BD9" w:rsidRDefault="00C74BD9" w:rsidP="00C74BD9">
            <w:pPr>
              <w:spacing w:line="360" w:lineRule="auto"/>
              <w:rPr>
                <w:rFonts w:ascii="Book Antiqua" w:hAnsi="Book Antiqua"/>
              </w:rPr>
            </w:pPr>
          </w:p>
        </w:tc>
        <w:tc>
          <w:tcPr>
            <w:tcW w:w="2470" w:type="dxa"/>
            <w:tcBorders>
              <w:bottom w:val="single" w:sz="4" w:space="0" w:color="auto"/>
            </w:tcBorders>
            <w:shd w:val="clear" w:color="auto" w:fill="auto"/>
          </w:tcPr>
          <w:p w14:paraId="4561D947" w14:textId="77777777" w:rsidR="00C74BD9" w:rsidRPr="00C74BD9" w:rsidRDefault="00C74BD9" w:rsidP="00C74BD9">
            <w:pPr>
              <w:spacing w:line="360" w:lineRule="auto"/>
              <w:rPr>
                <w:rFonts w:ascii="Book Antiqua" w:hAnsi="Book Antiqua"/>
              </w:rPr>
            </w:pPr>
            <w:r w:rsidRPr="00C74BD9">
              <w:rPr>
                <w:rFonts w:ascii="Book Antiqua" w:hAnsi="Book Antiqua"/>
              </w:rPr>
              <w:t>NR</w:t>
            </w:r>
          </w:p>
        </w:tc>
        <w:tc>
          <w:tcPr>
            <w:tcW w:w="2470" w:type="dxa"/>
            <w:tcBorders>
              <w:bottom w:val="single" w:sz="4" w:space="0" w:color="auto"/>
            </w:tcBorders>
            <w:shd w:val="clear" w:color="auto" w:fill="auto"/>
          </w:tcPr>
          <w:p w14:paraId="55D964EA" w14:textId="53ACB546" w:rsidR="00C74BD9" w:rsidRPr="00C74BD9" w:rsidRDefault="00C74BD9" w:rsidP="00C74BD9">
            <w:pPr>
              <w:spacing w:line="360" w:lineRule="auto"/>
              <w:rPr>
                <w:rFonts w:ascii="Book Antiqua" w:hAnsi="Book Antiqua"/>
              </w:rPr>
            </w:pPr>
            <w:r w:rsidRPr="00C74BD9">
              <w:rPr>
                <w:rFonts w:ascii="Book Antiqua" w:hAnsi="Book Antiqua"/>
              </w:rPr>
              <w:t>5</w:t>
            </w:r>
            <w:r w:rsidR="00E6499B">
              <w:rPr>
                <w:rFonts w:ascii="Book Antiqua" w:hAnsi="Book Antiqua"/>
              </w:rPr>
              <w:t>.</w:t>
            </w:r>
            <w:r w:rsidRPr="00C74BD9">
              <w:rPr>
                <w:rFonts w:ascii="Book Antiqua" w:hAnsi="Book Antiqua"/>
              </w:rPr>
              <w:t>98</w:t>
            </w:r>
          </w:p>
        </w:tc>
        <w:tc>
          <w:tcPr>
            <w:tcW w:w="2266" w:type="dxa"/>
            <w:tcBorders>
              <w:bottom w:val="single" w:sz="4" w:space="0" w:color="auto"/>
            </w:tcBorders>
            <w:shd w:val="clear" w:color="auto" w:fill="auto"/>
          </w:tcPr>
          <w:p w14:paraId="100142F9" w14:textId="23B32CA7" w:rsidR="00C74BD9" w:rsidRPr="00C74BD9" w:rsidRDefault="00C74BD9" w:rsidP="00C74BD9">
            <w:pPr>
              <w:spacing w:line="360" w:lineRule="auto"/>
              <w:rPr>
                <w:rFonts w:ascii="Book Antiqua" w:hAnsi="Book Antiqua"/>
              </w:rPr>
            </w:pPr>
            <w:r w:rsidRPr="00C74BD9">
              <w:rPr>
                <w:rFonts w:ascii="Book Antiqua" w:hAnsi="Book Antiqua"/>
              </w:rPr>
              <w:t>NR</w:t>
            </w:r>
          </w:p>
        </w:tc>
        <w:tc>
          <w:tcPr>
            <w:tcW w:w="2266" w:type="dxa"/>
            <w:tcBorders>
              <w:bottom w:val="single" w:sz="4" w:space="0" w:color="auto"/>
            </w:tcBorders>
            <w:shd w:val="clear" w:color="auto" w:fill="auto"/>
          </w:tcPr>
          <w:p w14:paraId="1B72F565" w14:textId="77777777" w:rsidR="00C74BD9" w:rsidRPr="00C74BD9" w:rsidRDefault="00C74BD9" w:rsidP="00C74BD9">
            <w:pPr>
              <w:spacing w:line="360" w:lineRule="auto"/>
              <w:rPr>
                <w:rFonts w:ascii="Book Antiqua" w:hAnsi="Book Antiqua"/>
              </w:rPr>
            </w:pPr>
            <w:r w:rsidRPr="00C74BD9">
              <w:rPr>
                <w:rFonts w:ascii="Book Antiqua" w:hAnsi="Book Antiqua"/>
              </w:rPr>
              <w:t>NR</w:t>
            </w:r>
          </w:p>
        </w:tc>
      </w:tr>
    </w:tbl>
    <w:p w14:paraId="47AFA4CA" w14:textId="34108525" w:rsidR="00E6499B" w:rsidRPr="007A1396" w:rsidRDefault="00B13DB3">
      <w:pPr>
        <w:spacing w:line="360" w:lineRule="auto"/>
        <w:jc w:val="both"/>
        <w:rPr>
          <w:rFonts w:ascii="Book Antiqua" w:hAnsi="Book Antiqua"/>
          <w:lang w:val="en-GB"/>
        </w:rPr>
      </w:pPr>
      <w:r w:rsidRPr="0055295D">
        <w:rPr>
          <w:rFonts w:ascii="Book Antiqua" w:hAnsi="Book Antiqua"/>
          <w:lang w:val="en-GB"/>
        </w:rPr>
        <w:t xml:space="preserve">BSC: </w:t>
      </w:r>
      <w:r>
        <w:rPr>
          <w:rFonts w:ascii="Book Antiqua" w:hAnsi="Book Antiqua"/>
          <w:lang w:val="en-GB"/>
        </w:rPr>
        <w:t>B</w:t>
      </w:r>
      <w:r w:rsidRPr="0055295D">
        <w:rPr>
          <w:rFonts w:ascii="Book Antiqua" w:hAnsi="Book Antiqua"/>
          <w:lang w:val="en-GB"/>
        </w:rPr>
        <w:t>est supportive care</w:t>
      </w:r>
      <w:r>
        <w:rPr>
          <w:rFonts w:ascii="Book Antiqua" w:hAnsi="Book Antiqua"/>
          <w:lang w:val="en-GB"/>
        </w:rPr>
        <w:t xml:space="preserve">; ICI: Immune checkpoint inhibitor; </w:t>
      </w:r>
      <w:r w:rsidRPr="0055295D">
        <w:rPr>
          <w:rFonts w:ascii="Book Antiqua" w:hAnsi="Book Antiqua"/>
          <w:lang w:val="en-GB"/>
        </w:rPr>
        <w:t xml:space="preserve">FGFR: </w:t>
      </w:r>
      <w:r>
        <w:rPr>
          <w:rFonts w:ascii="Book Antiqua" w:hAnsi="Book Antiqua"/>
          <w:lang w:val="en-GB"/>
        </w:rPr>
        <w:t>F</w:t>
      </w:r>
      <w:r w:rsidRPr="0055295D">
        <w:rPr>
          <w:rFonts w:ascii="Book Antiqua" w:hAnsi="Book Antiqua"/>
          <w:lang w:val="en-GB"/>
        </w:rPr>
        <w:t>ibroblast growth factor receptor</w:t>
      </w:r>
      <w:r>
        <w:rPr>
          <w:rFonts w:ascii="Book Antiqua" w:hAnsi="Book Antiqua"/>
          <w:lang w:val="en-GB"/>
        </w:rPr>
        <w:t xml:space="preserve">; </w:t>
      </w:r>
      <w:r w:rsidRPr="0055295D">
        <w:rPr>
          <w:rFonts w:ascii="Book Antiqua" w:hAnsi="Book Antiqua"/>
          <w:lang w:val="en-GB"/>
        </w:rPr>
        <w:t xml:space="preserve">PFS: </w:t>
      </w:r>
      <w:r>
        <w:rPr>
          <w:rFonts w:ascii="Book Antiqua" w:hAnsi="Book Antiqua"/>
          <w:lang w:val="en-GB"/>
        </w:rPr>
        <w:t>P</w:t>
      </w:r>
      <w:r w:rsidRPr="0055295D">
        <w:rPr>
          <w:rFonts w:ascii="Book Antiqua" w:hAnsi="Book Antiqua"/>
          <w:lang w:val="en-GB"/>
        </w:rPr>
        <w:t>rogression</w:t>
      </w:r>
      <w:r w:rsidR="0028072A">
        <w:rPr>
          <w:rFonts w:ascii="Book Antiqua" w:hAnsi="Book Antiqua"/>
          <w:lang w:val="en-GB"/>
        </w:rPr>
        <w:t>-</w:t>
      </w:r>
      <w:r w:rsidRPr="0055295D">
        <w:rPr>
          <w:rFonts w:ascii="Book Antiqua" w:hAnsi="Book Antiqua"/>
          <w:lang w:val="en-GB"/>
        </w:rPr>
        <w:t>free surviv</w:t>
      </w:r>
      <w:r w:rsidR="0028072A">
        <w:rPr>
          <w:rFonts w:ascii="Book Antiqua" w:hAnsi="Book Antiqua"/>
          <w:lang w:val="en-GB"/>
        </w:rPr>
        <w:t>al</w:t>
      </w:r>
      <w:r>
        <w:rPr>
          <w:rFonts w:ascii="Book Antiqua" w:hAnsi="Book Antiqua"/>
          <w:lang w:val="en-GB"/>
        </w:rPr>
        <w:t xml:space="preserve">; </w:t>
      </w:r>
      <w:r w:rsidRPr="0055295D">
        <w:rPr>
          <w:rFonts w:ascii="Book Antiqua" w:hAnsi="Book Antiqua"/>
          <w:lang w:val="en-GB"/>
        </w:rPr>
        <w:t xml:space="preserve">OS: </w:t>
      </w:r>
      <w:r>
        <w:rPr>
          <w:rFonts w:ascii="Book Antiqua" w:hAnsi="Book Antiqua"/>
          <w:lang w:val="en-GB"/>
        </w:rPr>
        <w:t>O</w:t>
      </w:r>
      <w:r w:rsidRPr="0055295D">
        <w:rPr>
          <w:rFonts w:ascii="Book Antiqua" w:hAnsi="Book Antiqua"/>
          <w:lang w:val="en-GB"/>
        </w:rPr>
        <w:t>verall surviv</w:t>
      </w:r>
      <w:r w:rsidR="0028072A">
        <w:rPr>
          <w:rFonts w:ascii="Book Antiqua" w:hAnsi="Book Antiqua"/>
          <w:lang w:val="en-GB"/>
        </w:rPr>
        <w:t>al</w:t>
      </w:r>
      <w:r>
        <w:rPr>
          <w:rFonts w:ascii="Book Antiqua" w:hAnsi="Book Antiqua"/>
          <w:lang w:val="en-GB"/>
        </w:rPr>
        <w:t xml:space="preserve">; </w:t>
      </w:r>
      <w:r w:rsidRPr="0055295D">
        <w:rPr>
          <w:rFonts w:ascii="Book Antiqua" w:hAnsi="Book Antiqua"/>
          <w:lang w:val="en-GB"/>
        </w:rPr>
        <w:t xml:space="preserve">ORR: </w:t>
      </w:r>
      <w:r>
        <w:rPr>
          <w:rFonts w:ascii="Book Antiqua" w:hAnsi="Book Antiqua"/>
          <w:lang w:val="en-GB"/>
        </w:rPr>
        <w:t>O</w:t>
      </w:r>
      <w:r w:rsidRPr="0055295D">
        <w:rPr>
          <w:rFonts w:ascii="Book Antiqua" w:hAnsi="Book Antiqua"/>
          <w:lang w:val="en-GB"/>
        </w:rPr>
        <w:t>bjective response rat</w:t>
      </w:r>
      <w:r w:rsidR="0028072A">
        <w:rPr>
          <w:rFonts w:ascii="Book Antiqua" w:hAnsi="Book Antiqua"/>
          <w:lang w:val="en-GB"/>
        </w:rPr>
        <w:t>e</w:t>
      </w:r>
      <w:r>
        <w:rPr>
          <w:rFonts w:ascii="Book Antiqua" w:hAnsi="Book Antiqua"/>
          <w:lang w:val="en-GB"/>
        </w:rPr>
        <w:t>.</w:t>
      </w:r>
    </w:p>
    <w:sectPr w:rsidR="00E6499B" w:rsidRPr="007A1396" w:rsidSect="00C74B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454F4" w14:textId="77777777" w:rsidR="00837CE0" w:rsidRDefault="00837CE0" w:rsidP="00F379C3">
      <w:r>
        <w:separator/>
      </w:r>
    </w:p>
  </w:endnote>
  <w:endnote w:type="continuationSeparator" w:id="0">
    <w:p w14:paraId="6F98252B" w14:textId="77777777" w:rsidR="00837CE0" w:rsidRDefault="00837CE0" w:rsidP="00F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366938"/>
      <w:docPartObj>
        <w:docPartGallery w:val="Page Numbers (Bottom of Page)"/>
        <w:docPartUnique/>
      </w:docPartObj>
    </w:sdtPr>
    <w:sdtEndPr/>
    <w:sdtContent>
      <w:sdt>
        <w:sdtPr>
          <w:id w:val="-1705238520"/>
          <w:docPartObj>
            <w:docPartGallery w:val="Page Numbers (Top of Page)"/>
            <w:docPartUnique/>
          </w:docPartObj>
        </w:sdtPr>
        <w:sdtEndPr/>
        <w:sdtContent>
          <w:p w14:paraId="0EE12AE8" w14:textId="482BB5A8" w:rsidR="00F379C3" w:rsidRDefault="00F379C3" w:rsidP="00F379C3">
            <w:pPr>
              <w:pStyle w:val="a4"/>
              <w:jc w:val="right"/>
            </w:pPr>
            <w:r>
              <w:rPr>
                <w:lang w:val="zh-CN" w:eastAsia="zh-CN"/>
              </w:rPr>
              <w:t xml:space="preserve"> </w:t>
            </w:r>
            <w:r w:rsidRPr="00F379C3">
              <w:rPr>
                <w:rFonts w:ascii="Book Antiqua" w:hAnsi="Book Antiqua"/>
                <w:sz w:val="21"/>
                <w:szCs w:val="21"/>
              </w:rPr>
              <w:fldChar w:fldCharType="begin"/>
            </w:r>
            <w:r w:rsidRPr="00F379C3">
              <w:rPr>
                <w:rFonts w:ascii="Book Antiqua" w:hAnsi="Book Antiqua"/>
                <w:sz w:val="21"/>
                <w:szCs w:val="21"/>
              </w:rPr>
              <w:instrText>PAGE</w:instrText>
            </w:r>
            <w:r w:rsidRPr="00F379C3">
              <w:rPr>
                <w:rFonts w:ascii="Book Antiqua" w:hAnsi="Book Antiqua"/>
                <w:sz w:val="21"/>
                <w:szCs w:val="21"/>
              </w:rPr>
              <w:fldChar w:fldCharType="separate"/>
            </w:r>
            <w:r w:rsidR="00C53364">
              <w:rPr>
                <w:rFonts w:ascii="Book Antiqua" w:hAnsi="Book Antiqua"/>
                <w:noProof/>
                <w:sz w:val="21"/>
                <w:szCs w:val="21"/>
              </w:rPr>
              <w:t>16</w:t>
            </w:r>
            <w:r w:rsidRPr="00F379C3">
              <w:rPr>
                <w:rFonts w:ascii="Book Antiqua" w:hAnsi="Book Antiqua"/>
                <w:sz w:val="21"/>
                <w:szCs w:val="21"/>
              </w:rPr>
              <w:fldChar w:fldCharType="end"/>
            </w:r>
            <w:r w:rsidRPr="00F379C3">
              <w:rPr>
                <w:rFonts w:ascii="Book Antiqua" w:hAnsi="Book Antiqua"/>
                <w:sz w:val="21"/>
                <w:szCs w:val="21"/>
                <w:lang w:val="zh-CN" w:eastAsia="zh-CN"/>
              </w:rPr>
              <w:t xml:space="preserve"> / </w:t>
            </w:r>
            <w:r w:rsidRPr="00F379C3">
              <w:rPr>
                <w:rFonts w:ascii="Book Antiqua" w:hAnsi="Book Antiqua"/>
                <w:sz w:val="21"/>
                <w:szCs w:val="21"/>
              </w:rPr>
              <w:fldChar w:fldCharType="begin"/>
            </w:r>
            <w:r w:rsidRPr="00F379C3">
              <w:rPr>
                <w:rFonts w:ascii="Book Antiqua" w:hAnsi="Book Antiqua"/>
                <w:sz w:val="21"/>
                <w:szCs w:val="21"/>
              </w:rPr>
              <w:instrText>NUMPAGES</w:instrText>
            </w:r>
            <w:r w:rsidRPr="00F379C3">
              <w:rPr>
                <w:rFonts w:ascii="Book Antiqua" w:hAnsi="Book Antiqua"/>
                <w:sz w:val="21"/>
                <w:szCs w:val="21"/>
              </w:rPr>
              <w:fldChar w:fldCharType="separate"/>
            </w:r>
            <w:r w:rsidR="00C53364">
              <w:rPr>
                <w:rFonts w:ascii="Book Antiqua" w:hAnsi="Book Antiqua"/>
                <w:noProof/>
                <w:sz w:val="21"/>
                <w:szCs w:val="21"/>
              </w:rPr>
              <w:t>19</w:t>
            </w:r>
            <w:r w:rsidRPr="00F379C3">
              <w:rPr>
                <w:rFonts w:ascii="Book Antiqua" w:hAnsi="Book Antiqua"/>
                <w:sz w:val="21"/>
                <w:szCs w:val="21"/>
              </w:rPr>
              <w:fldChar w:fldCharType="end"/>
            </w:r>
          </w:p>
        </w:sdtContent>
      </w:sdt>
    </w:sdtContent>
  </w:sdt>
  <w:p w14:paraId="5BDB4B77" w14:textId="77777777" w:rsidR="00F379C3" w:rsidRDefault="00F379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51DDF" w14:textId="77777777" w:rsidR="00837CE0" w:rsidRDefault="00837CE0" w:rsidP="00F379C3">
      <w:r>
        <w:separator/>
      </w:r>
    </w:p>
  </w:footnote>
  <w:footnote w:type="continuationSeparator" w:id="0">
    <w:p w14:paraId="68009ED8" w14:textId="77777777" w:rsidR="00837CE0" w:rsidRDefault="00837CE0" w:rsidP="00F379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
    <w15:presenceInfo w15:providerId="None" w15:userId="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88E"/>
    <w:rsid w:val="00033475"/>
    <w:rsid w:val="0004571A"/>
    <w:rsid w:val="000767D4"/>
    <w:rsid w:val="00084EE7"/>
    <w:rsid w:val="000E4ED2"/>
    <w:rsid w:val="00132481"/>
    <w:rsid w:val="001835CE"/>
    <w:rsid w:val="001962D1"/>
    <w:rsid w:val="001E6CB4"/>
    <w:rsid w:val="00225AB3"/>
    <w:rsid w:val="00275078"/>
    <w:rsid w:val="0028072A"/>
    <w:rsid w:val="002C0EC2"/>
    <w:rsid w:val="002E2FB4"/>
    <w:rsid w:val="00303991"/>
    <w:rsid w:val="00315FE6"/>
    <w:rsid w:val="003226A7"/>
    <w:rsid w:val="003439E8"/>
    <w:rsid w:val="003A03C5"/>
    <w:rsid w:val="003A1DEC"/>
    <w:rsid w:val="003A6A63"/>
    <w:rsid w:val="003B757D"/>
    <w:rsid w:val="003E7861"/>
    <w:rsid w:val="0044322A"/>
    <w:rsid w:val="00444775"/>
    <w:rsid w:val="004467BA"/>
    <w:rsid w:val="00451567"/>
    <w:rsid w:val="0047316D"/>
    <w:rsid w:val="00484CB3"/>
    <w:rsid w:val="004E02BA"/>
    <w:rsid w:val="004E3355"/>
    <w:rsid w:val="005302D4"/>
    <w:rsid w:val="00550558"/>
    <w:rsid w:val="00567A14"/>
    <w:rsid w:val="00610334"/>
    <w:rsid w:val="00636199"/>
    <w:rsid w:val="0064256C"/>
    <w:rsid w:val="006508DE"/>
    <w:rsid w:val="006D2AEE"/>
    <w:rsid w:val="006F5845"/>
    <w:rsid w:val="00726EBF"/>
    <w:rsid w:val="0076442F"/>
    <w:rsid w:val="00795D0E"/>
    <w:rsid w:val="007A1396"/>
    <w:rsid w:val="00837CE0"/>
    <w:rsid w:val="00881DC2"/>
    <w:rsid w:val="008D29B3"/>
    <w:rsid w:val="008F4389"/>
    <w:rsid w:val="00917E2E"/>
    <w:rsid w:val="009230E3"/>
    <w:rsid w:val="00947795"/>
    <w:rsid w:val="00953AD2"/>
    <w:rsid w:val="00957742"/>
    <w:rsid w:val="009739D2"/>
    <w:rsid w:val="00985EE8"/>
    <w:rsid w:val="009E4F8F"/>
    <w:rsid w:val="00A412CE"/>
    <w:rsid w:val="00A7344A"/>
    <w:rsid w:val="00A77B3E"/>
    <w:rsid w:val="00A91D18"/>
    <w:rsid w:val="00AF39E3"/>
    <w:rsid w:val="00B13DB3"/>
    <w:rsid w:val="00B31E7F"/>
    <w:rsid w:val="00B44FD6"/>
    <w:rsid w:val="00B65E88"/>
    <w:rsid w:val="00BB0D74"/>
    <w:rsid w:val="00BB6C54"/>
    <w:rsid w:val="00BC2E51"/>
    <w:rsid w:val="00C012CC"/>
    <w:rsid w:val="00C13F2A"/>
    <w:rsid w:val="00C404AC"/>
    <w:rsid w:val="00C53364"/>
    <w:rsid w:val="00C74BD9"/>
    <w:rsid w:val="00C9548A"/>
    <w:rsid w:val="00CA2A55"/>
    <w:rsid w:val="00CA40C6"/>
    <w:rsid w:val="00CD4FBC"/>
    <w:rsid w:val="00CD714B"/>
    <w:rsid w:val="00D16C8C"/>
    <w:rsid w:val="00D64CBC"/>
    <w:rsid w:val="00D876E8"/>
    <w:rsid w:val="00DC64F2"/>
    <w:rsid w:val="00E02E80"/>
    <w:rsid w:val="00E354E7"/>
    <w:rsid w:val="00E6499B"/>
    <w:rsid w:val="00E6655E"/>
    <w:rsid w:val="00EA33F8"/>
    <w:rsid w:val="00EC5A94"/>
    <w:rsid w:val="00ED2AD3"/>
    <w:rsid w:val="00EE4E3D"/>
    <w:rsid w:val="00EF2140"/>
    <w:rsid w:val="00F00A76"/>
    <w:rsid w:val="00F04B91"/>
    <w:rsid w:val="00F35C08"/>
    <w:rsid w:val="00F379C3"/>
    <w:rsid w:val="00F60B42"/>
    <w:rsid w:val="00FB18B6"/>
    <w:rsid w:val="00FC04CD"/>
    <w:rsid w:val="00FC1F84"/>
    <w:rsid w:val="00FD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4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7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79C3"/>
    <w:rPr>
      <w:sz w:val="18"/>
      <w:szCs w:val="18"/>
    </w:rPr>
  </w:style>
  <w:style w:type="paragraph" w:styleId="a4">
    <w:name w:val="footer"/>
    <w:basedOn w:val="a"/>
    <w:link w:val="Char0"/>
    <w:uiPriority w:val="99"/>
    <w:unhideWhenUsed/>
    <w:rsid w:val="00F379C3"/>
    <w:pPr>
      <w:tabs>
        <w:tab w:val="center" w:pos="4153"/>
        <w:tab w:val="right" w:pos="8306"/>
      </w:tabs>
      <w:snapToGrid w:val="0"/>
    </w:pPr>
    <w:rPr>
      <w:sz w:val="18"/>
      <w:szCs w:val="18"/>
    </w:rPr>
  </w:style>
  <w:style w:type="character" w:customStyle="1" w:styleId="Char0">
    <w:name w:val="页脚 Char"/>
    <w:basedOn w:val="a0"/>
    <w:link w:val="a4"/>
    <w:uiPriority w:val="99"/>
    <w:rsid w:val="00F379C3"/>
    <w:rPr>
      <w:sz w:val="18"/>
      <w:szCs w:val="18"/>
    </w:rPr>
  </w:style>
  <w:style w:type="paragraph" w:styleId="a5">
    <w:name w:val="Balloon Text"/>
    <w:basedOn w:val="a"/>
    <w:link w:val="Char1"/>
    <w:rsid w:val="0000688E"/>
    <w:rPr>
      <w:rFonts w:ascii="Tahoma" w:hAnsi="Tahoma" w:cs="Tahoma"/>
      <w:sz w:val="16"/>
      <w:szCs w:val="16"/>
    </w:rPr>
  </w:style>
  <w:style w:type="character" w:customStyle="1" w:styleId="Char1">
    <w:name w:val="批注框文本 Char"/>
    <w:basedOn w:val="a0"/>
    <w:link w:val="a5"/>
    <w:rsid w:val="0000688E"/>
    <w:rPr>
      <w:rFonts w:ascii="Tahoma" w:hAnsi="Tahoma" w:cs="Tahoma"/>
      <w:sz w:val="16"/>
      <w:szCs w:val="16"/>
    </w:rPr>
  </w:style>
  <w:style w:type="character" w:styleId="a6">
    <w:name w:val="Hyperlink"/>
    <w:basedOn w:val="a0"/>
    <w:unhideWhenUsed/>
    <w:rsid w:val="00C53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7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79C3"/>
    <w:rPr>
      <w:sz w:val="18"/>
      <w:szCs w:val="18"/>
    </w:rPr>
  </w:style>
  <w:style w:type="paragraph" w:styleId="a4">
    <w:name w:val="footer"/>
    <w:basedOn w:val="a"/>
    <w:link w:val="Char0"/>
    <w:uiPriority w:val="99"/>
    <w:unhideWhenUsed/>
    <w:rsid w:val="00F379C3"/>
    <w:pPr>
      <w:tabs>
        <w:tab w:val="center" w:pos="4153"/>
        <w:tab w:val="right" w:pos="8306"/>
      </w:tabs>
      <w:snapToGrid w:val="0"/>
    </w:pPr>
    <w:rPr>
      <w:sz w:val="18"/>
      <w:szCs w:val="18"/>
    </w:rPr>
  </w:style>
  <w:style w:type="character" w:customStyle="1" w:styleId="Char0">
    <w:name w:val="页脚 Char"/>
    <w:basedOn w:val="a0"/>
    <w:link w:val="a4"/>
    <w:uiPriority w:val="99"/>
    <w:rsid w:val="00F379C3"/>
    <w:rPr>
      <w:sz w:val="18"/>
      <w:szCs w:val="18"/>
    </w:rPr>
  </w:style>
  <w:style w:type="paragraph" w:styleId="a5">
    <w:name w:val="Balloon Text"/>
    <w:basedOn w:val="a"/>
    <w:link w:val="Char1"/>
    <w:rsid w:val="0000688E"/>
    <w:rPr>
      <w:rFonts w:ascii="Tahoma" w:hAnsi="Tahoma" w:cs="Tahoma"/>
      <w:sz w:val="16"/>
      <w:szCs w:val="16"/>
    </w:rPr>
  </w:style>
  <w:style w:type="character" w:customStyle="1" w:styleId="Char1">
    <w:name w:val="批注框文本 Char"/>
    <w:basedOn w:val="a0"/>
    <w:link w:val="a5"/>
    <w:rsid w:val="0000688E"/>
    <w:rPr>
      <w:rFonts w:ascii="Tahoma" w:hAnsi="Tahoma" w:cs="Tahoma"/>
      <w:sz w:val="16"/>
      <w:szCs w:val="16"/>
    </w:rPr>
  </w:style>
  <w:style w:type="character" w:styleId="a6">
    <w:name w:val="Hyperlink"/>
    <w:basedOn w:val="a0"/>
    <w:unhideWhenUsed/>
    <w:rsid w:val="00C53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30BF-F747-4E67-BB8F-9109527F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10</cp:revision>
  <dcterms:created xsi:type="dcterms:W3CDTF">2020-11-19T12:22:00Z</dcterms:created>
  <dcterms:modified xsi:type="dcterms:W3CDTF">2020-12-17T08:11:00Z</dcterms:modified>
</cp:coreProperties>
</file>