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F652E" w14:textId="6939B721" w:rsidR="009A311F" w:rsidRDefault="009A311F" w:rsidP="009A311F">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457982A8" w14:textId="77777777" w:rsidR="009A311F" w:rsidRDefault="009A311F" w:rsidP="009A311F">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58049</w:t>
      </w:r>
    </w:p>
    <w:p w14:paraId="61964511" w14:textId="77777777" w:rsidR="009A311F" w:rsidRDefault="009A311F" w:rsidP="009A311F">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5CE47571" w14:textId="77777777" w:rsidR="009A311F" w:rsidRDefault="009A311F" w:rsidP="009A311F">
      <w:pPr>
        <w:spacing w:line="360" w:lineRule="auto"/>
        <w:jc w:val="both"/>
      </w:pPr>
    </w:p>
    <w:p w14:paraId="437A48D7" w14:textId="77777777" w:rsidR="009A311F" w:rsidRDefault="009A311F" w:rsidP="009A311F">
      <w:pPr>
        <w:spacing w:line="360" w:lineRule="auto"/>
        <w:jc w:val="both"/>
      </w:pPr>
      <w:r>
        <w:rPr>
          <w:rFonts w:ascii="Book Antiqua" w:eastAsia="Book Antiqua" w:hAnsi="Book Antiqua" w:cs="Book Antiqua"/>
          <w:b/>
          <w:i/>
          <w:color w:val="000000"/>
        </w:rPr>
        <w:t>Retrospective Study</w:t>
      </w:r>
    </w:p>
    <w:p w14:paraId="4549434F" w14:textId="77777777" w:rsidR="009A311F" w:rsidRDefault="009A311F" w:rsidP="009A311F">
      <w:pPr>
        <w:spacing w:line="360" w:lineRule="auto"/>
        <w:jc w:val="both"/>
      </w:pPr>
      <w:bookmarkStart w:id="0" w:name="OLE_LINK5"/>
      <w:bookmarkStart w:id="1" w:name="OLE_LINK6"/>
      <w:r>
        <w:rPr>
          <w:rFonts w:ascii="Book Antiqua" w:eastAsia="Book Antiqua" w:hAnsi="Book Antiqua" w:cs="Book Antiqua"/>
          <w:b/>
          <w:bCs/>
          <w:color w:val="000000"/>
        </w:rPr>
        <w:t>Predictors of pain response after endoscopic ultrasound-guided celiac plexus neurolysis for abdominal pain caused by pancreatic malignancy</w:t>
      </w:r>
    </w:p>
    <w:bookmarkEnd w:id="0"/>
    <w:bookmarkEnd w:id="1"/>
    <w:p w14:paraId="26A81A6C" w14:textId="77777777" w:rsidR="009A311F" w:rsidRDefault="009A311F" w:rsidP="009A311F">
      <w:pPr>
        <w:spacing w:line="360" w:lineRule="auto"/>
        <w:jc w:val="both"/>
      </w:pPr>
    </w:p>
    <w:p w14:paraId="1A0A6A38" w14:textId="1ED6E150" w:rsidR="009A311F" w:rsidRDefault="009A311F" w:rsidP="009A311F">
      <w:pPr>
        <w:spacing w:line="360" w:lineRule="auto"/>
        <w:jc w:val="both"/>
      </w:pPr>
      <w:bookmarkStart w:id="2" w:name="OLE_LINK1"/>
      <w:bookmarkStart w:id="3" w:name="OLE_LINK2"/>
      <w:r>
        <w:rPr>
          <w:rFonts w:ascii="Book Antiqua" w:eastAsia="Book Antiqua" w:hAnsi="Book Antiqua" w:cs="Book Antiqua"/>
          <w:color w:val="000000"/>
        </w:rPr>
        <w:t>Han C</w:t>
      </w:r>
      <w:r w:rsidR="002921E6">
        <w:rPr>
          <w:rFonts w:ascii="Book Antiqua" w:hAnsi="Book Antiqua" w:cs="Book Antiqua" w:hint="eastAsia"/>
          <w:color w:val="000000"/>
          <w:lang w:eastAsia="zh-CN"/>
        </w:rPr>
        <w:t>Q</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Predictors of pain response by EUS-CPN</w:t>
      </w:r>
    </w:p>
    <w:bookmarkEnd w:id="2"/>
    <w:bookmarkEnd w:id="3"/>
    <w:p w14:paraId="1C9996AD" w14:textId="77777777" w:rsidR="009A311F" w:rsidRDefault="009A311F" w:rsidP="009A311F">
      <w:pPr>
        <w:spacing w:line="360" w:lineRule="auto"/>
        <w:jc w:val="both"/>
      </w:pPr>
    </w:p>
    <w:p w14:paraId="4B362464" w14:textId="77777777" w:rsidR="009A311F" w:rsidRDefault="009A311F" w:rsidP="009A311F">
      <w:pPr>
        <w:spacing w:line="360" w:lineRule="auto"/>
        <w:jc w:val="both"/>
      </w:pPr>
      <w:r>
        <w:rPr>
          <w:rFonts w:ascii="Book Antiqua" w:eastAsia="Book Antiqua" w:hAnsi="Book Antiqua" w:cs="Book Antiqua"/>
          <w:color w:val="000000"/>
        </w:rPr>
        <w:t>Chao-Qun Han, Xue-Lian Tang, Qin Zhang, Chi Nie, Jun Liu, Zhen Ding</w:t>
      </w:r>
    </w:p>
    <w:p w14:paraId="771EFD59" w14:textId="77777777" w:rsidR="009A311F" w:rsidRDefault="009A311F" w:rsidP="009A311F">
      <w:pPr>
        <w:spacing w:line="360" w:lineRule="auto"/>
        <w:jc w:val="both"/>
      </w:pPr>
    </w:p>
    <w:p w14:paraId="7AEA242F" w14:textId="77777777" w:rsidR="009A311F" w:rsidRDefault="009A311F" w:rsidP="009A311F">
      <w:pPr>
        <w:spacing w:line="360" w:lineRule="auto"/>
        <w:jc w:val="both"/>
      </w:pPr>
      <w:r>
        <w:rPr>
          <w:rFonts w:ascii="Book Antiqua" w:eastAsia="Book Antiqua" w:hAnsi="Book Antiqua" w:cs="Book Antiqua"/>
          <w:b/>
          <w:bCs/>
          <w:color w:val="000000"/>
        </w:rPr>
        <w:t xml:space="preserve">Chao-Qun Han, Xue-Lian Tang, Qin Zhang, Chi Nie, Jun Liu, Zhen Ding, </w:t>
      </w:r>
      <w:r>
        <w:rPr>
          <w:rFonts w:ascii="Book Antiqua" w:eastAsia="Book Antiqua" w:hAnsi="Book Antiqua" w:cs="Book Antiqua"/>
          <w:color w:val="000000"/>
        </w:rPr>
        <w:t>Division of Gastroenterology, Union Hospital, Tongji Medical College, Huazhong University of Science and Technology, Wuhan 430022, Hubei Province, China</w:t>
      </w:r>
    </w:p>
    <w:p w14:paraId="037B0BCD" w14:textId="77777777" w:rsidR="009A311F" w:rsidRDefault="009A311F" w:rsidP="009A311F">
      <w:pPr>
        <w:spacing w:line="360" w:lineRule="auto"/>
        <w:jc w:val="both"/>
      </w:pPr>
    </w:p>
    <w:p w14:paraId="22805A2B" w14:textId="0BA03A85" w:rsidR="009A311F" w:rsidRDefault="009A311F" w:rsidP="009A311F">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Han CQ performed the literature search</w:t>
      </w:r>
      <w:r w:rsidR="009E1AE6">
        <w:rPr>
          <w:rFonts w:ascii="Book Antiqua" w:eastAsia="Book Antiqua" w:hAnsi="Book Antiqua" w:cs="Book Antiqua"/>
          <w:color w:val="000000"/>
        </w:rPr>
        <w:t xml:space="preserve"> and</w:t>
      </w:r>
      <w:r>
        <w:rPr>
          <w:rFonts w:ascii="Book Antiqua" w:eastAsia="Book Antiqua" w:hAnsi="Book Antiqua" w:cs="Book Antiqua"/>
          <w:color w:val="000000"/>
        </w:rPr>
        <w:t xml:space="preserve"> data extraction and drafted of the manuscript; Tang XL and Zhang Q collected the data; Nie C and Liu J </w:t>
      </w:r>
      <w:r w:rsidR="009E1AE6">
        <w:rPr>
          <w:rFonts w:ascii="Book Antiqua" w:eastAsia="Book Antiqua" w:hAnsi="Book Antiqua" w:cs="Book Antiqua"/>
          <w:color w:val="000000"/>
        </w:rPr>
        <w:t>contributed important intellectual content</w:t>
      </w:r>
      <w:r>
        <w:rPr>
          <w:rFonts w:ascii="Book Antiqua" w:eastAsia="Book Antiqua" w:hAnsi="Book Antiqua" w:cs="Book Antiqua"/>
          <w:color w:val="000000"/>
        </w:rPr>
        <w:t>; Ding Z designed the study and edited the manuscript as corresponding author.</w:t>
      </w:r>
    </w:p>
    <w:p w14:paraId="310FDAEB" w14:textId="77777777" w:rsidR="009A311F" w:rsidRDefault="009A311F" w:rsidP="009A311F">
      <w:pPr>
        <w:spacing w:line="360" w:lineRule="auto"/>
        <w:jc w:val="both"/>
      </w:pPr>
    </w:p>
    <w:p w14:paraId="484E4528" w14:textId="167616FC" w:rsidR="009A311F" w:rsidRDefault="009A311F" w:rsidP="009A311F">
      <w:pPr>
        <w:spacing w:line="360" w:lineRule="auto"/>
        <w:jc w:val="both"/>
      </w:pPr>
      <w:r>
        <w:rPr>
          <w:rFonts w:ascii="Book Antiqua" w:eastAsia="Book Antiqua" w:hAnsi="Book Antiqua" w:cs="Book Antiqua"/>
          <w:b/>
          <w:bCs/>
          <w:color w:val="000000"/>
          <w:szCs w:val="21"/>
        </w:rPr>
        <w:t xml:space="preserve">Supported by </w:t>
      </w:r>
      <w:r>
        <w:rPr>
          <w:rFonts w:ascii="Book Antiqua" w:eastAsia="Book Antiqua" w:hAnsi="Book Antiqua" w:cs="Book Antiqua"/>
          <w:color w:val="000000"/>
        </w:rPr>
        <w:t>National Natural Science Foundation of China, No. 81800467</w:t>
      </w:r>
      <w:r w:rsidR="00FE1402">
        <w:rPr>
          <w:rFonts w:ascii="Book Antiqua" w:hAnsi="Book Antiqua" w:cs="Book Antiqua" w:hint="eastAsia"/>
          <w:color w:val="000000"/>
          <w:lang w:eastAsia="zh-CN"/>
        </w:rPr>
        <w:t xml:space="preserve"> and No. </w:t>
      </w:r>
      <w:bookmarkStart w:id="4" w:name="OLE_LINK3"/>
      <w:bookmarkStart w:id="5" w:name="OLE_LINK4"/>
      <w:r>
        <w:rPr>
          <w:rFonts w:ascii="Book Antiqua" w:eastAsia="Book Antiqua" w:hAnsi="Book Antiqua" w:cs="Book Antiqua"/>
          <w:color w:val="000000"/>
        </w:rPr>
        <w:t>81770637</w:t>
      </w:r>
      <w:bookmarkEnd w:id="4"/>
      <w:bookmarkEnd w:id="5"/>
      <w:r>
        <w:rPr>
          <w:rFonts w:ascii="Book Antiqua" w:eastAsia="Book Antiqua" w:hAnsi="Book Antiqua" w:cs="Book Antiqua"/>
          <w:color w:val="000000"/>
        </w:rPr>
        <w:t>.</w:t>
      </w:r>
    </w:p>
    <w:p w14:paraId="7DBFFCEC" w14:textId="77777777" w:rsidR="009A311F" w:rsidRDefault="009A311F" w:rsidP="009A311F">
      <w:pPr>
        <w:spacing w:line="360" w:lineRule="auto"/>
        <w:jc w:val="both"/>
      </w:pPr>
    </w:p>
    <w:p w14:paraId="4956F16E" w14:textId="190A1C08" w:rsidR="009A311F" w:rsidRDefault="009A311F" w:rsidP="009A311F">
      <w:pPr>
        <w:spacing w:line="360" w:lineRule="auto"/>
        <w:jc w:val="both"/>
      </w:pPr>
      <w:r>
        <w:rPr>
          <w:rFonts w:ascii="Book Antiqua" w:eastAsia="Book Antiqua" w:hAnsi="Book Antiqua" w:cs="Book Antiqua"/>
          <w:b/>
          <w:bCs/>
          <w:color w:val="000000"/>
        </w:rPr>
        <w:t xml:space="preserve">Corresponding author: Zhen Ding, MD, PhD, Doctor, Professor, Teacher, </w:t>
      </w:r>
      <w:r>
        <w:rPr>
          <w:rFonts w:ascii="Book Antiqua" w:eastAsia="Book Antiqua" w:hAnsi="Book Antiqua" w:cs="Book Antiqua"/>
          <w:color w:val="000000"/>
        </w:rPr>
        <w:t>Division of Gastroenterology, Union Hospital, Tongji Medical College, Huazhong University of Science and Technology, N</w:t>
      </w:r>
      <w:r w:rsidR="00AC30B8">
        <w:rPr>
          <w:rFonts w:ascii="Book Antiqua" w:eastAsia="Book Antiqua" w:hAnsi="Book Antiqua" w:cs="Book Antiqua"/>
          <w:color w:val="000000"/>
        </w:rPr>
        <w:t>o. 1277</w:t>
      </w:r>
      <w:r>
        <w:rPr>
          <w:rFonts w:ascii="Book Antiqua" w:eastAsia="Book Antiqua" w:hAnsi="Book Antiqua" w:cs="Book Antiqua"/>
          <w:color w:val="000000"/>
        </w:rPr>
        <w:t xml:space="preserve"> Jiefang Avenue, Wuhan 430022, Hubei Province, China. 2017xh0122@hust.edu.cn</w:t>
      </w:r>
    </w:p>
    <w:p w14:paraId="2778E101" w14:textId="77777777" w:rsidR="009A311F" w:rsidRDefault="009A311F" w:rsidP="009A311F">
      <w:pPr>
        <w:spacing w:line="360" w:lineRule="auto"/>
        <w:jc w:val="both"/>
      </w:pPr>
    </w:p>
    <w:p w14:paraId="635CA73F" w14:textId="77777777" w:rsidR="009A311F" w:rsidRDefault="009A311F" w:rsidP="009A311F">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4, 2020</w:t>
      </w:r>
    </w:p>
    <w:p w14:paraId="74890B74" w14:textId="77777777" w:rsidR="009A311F" w:rsidRDefault="009A311F" w:rsidP="009A311F">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August 15, 2020</w:t>
      </w:r>
    </w:p>
    <w:p w14:paraId="48894CBD" w14:textId="6FDA8AF8" w:rsidR="009A311F" w:rsidRDefault="009A311F" w:rsidP="009A311F">
      <w:pPr>
        <w:spacing w:line="360" w:lineRule="auto"/>
        <w:jc w:val="both"/>
      </w:pPr>
      <w:r>
        <w:rPr>
          <w:rFonts w:ascii="Book Antiqua" w:eastAsia="Book Antiqua" w:hAnsi="Book Antiqua" w:cs="Book Antiqua"/>
          <w:b/>
          <w:bCs/>
          <w:color w:val="000000"/>
        </w:rPr>
        <w:t xml:space="preserve">Accepted: </w:t>
      </w:r>
      <w:r w:rsidR="00986B25" w:rsidRPr="00986B25">
        <w:rPr>
          <w:rFonts w:ascii="Book Antiqua" w:eastAsia="Book Antiqua" w:hAnsi="Book Antiqua" w:cs="Book Antiqua"/>
          <w:color w:val="000000"/>
        </w:rPr>
        <w:t>November 12, 2020</w:t>
      </w:r>
    </w:p>
    <w:p w14:paraId="5651C234" w14:textId="7ACC61ED" w:rsidR="009A311F" w:rsidRDefault="009A311F" w:rsidP="009A311F">
      <w:pPr>
        <w:spacing w:line="360" w:lineRule="auto"/>
        <w:jc w:val="both"/>
      </w:pPr>
      <w:r>
        <w:rPr>
          <w:rFonts w:ascii="Book Antiqua" w:eastAsia="Book Antiqua" w:hAnsi="Book Antiqua" w:cs="Book Antiqua"/>
          <w:b/>
          <w:bCs/>
          <w:color w:val="000000"/>
        </w:rPr>
        <w:t>Published online:</w:t>
      </w:r>
      <w:r w:rsidR="00877A25">
        <w:rPr>
          <w:rFonts w:ascii="Book Antiqua" w:hAnsi="Book Antiqua" w:cs="Book Antiqua" w:hint="eastAsia"/>
          <w:b/>
          <w:bCs/>
          <w:color w:val="000000"/>
          <w:lang w:eastAsia="zh-CN"/>
        </w:rPr>
        <w:t xml:space="preserve"> </w:t>
      </w:r>
      <w:r w:rsidR="000927EF">
        <w:rPr>
          <w:rFonts w:ascii="Book Antiqua" w:hAnsi="Book Antiqua" w:cs="Book Antiqua" w:hint="eastAsia"/>
          <w:bCs/>
          <w:color w:val="000000"/>
          <w:lang w:eastAsia="zh-CN"/>
        </w:rPr>
        <w:t>January</w:t>
      </w:r>
      <w:r w:rsidR="00877A25" w:rsidRPr="00877A25">
        <w:rPr>
          <w:rFonts w:ascii="Book Antiqua" w:hAnsi="Book Antiqua" w:cs="Book Antiqua" w:hint="eastAsia"/>
          <w:bCs/>
          <w:color w:val="000000"/>
          <w:lang w:eastAsia="zh-CN"/>
        </w:rPr>
        <w:t xml:space="preserve"> </w:t>
      </w:r>
      <w:r w:rsidR="000927EF">
        <w:rPr>
          <w:rFonts w:ascii="Book Antiqua" w:hAnsi="Book Antiqua" w:cs="Book Antiqua" w:hint="eastAsia"/>
          <w:bCs/>
          <w:color w:val="000000"/>
          <w:lang w:eastAsia="zh-CN"/>
        </w:rPr>
        <w:t>7</w:t>
      </w:r>
      <w:r w:rsidR="00877A25" w:rsidRPr="00877A25">
        <w:rPr>
          <w:rFonts w:ascii="Book Antiqua" w:hAnsi="Book Antiqua" w:cs="Book Antiqua" w:hint="eastAsia"/>
          <w:bCs/>
          <w:color w:val="000000"/>
          <w:lang w:eastAsia="zh-CN"/>
        </w:rPr>
        <w:t>, 202</w:t>
      </w:r>
      <w:r w:rsidR="000927EF">
        <w:rPr>
          <w:rFonts w:ascii="Book Antiqua" w:hAnsi="Book Antiqua" w:cs="Book Antiqua" w:hint="eastAsia"/>
          <w:bCs/>
          <w:color w:val="000000"/>
          <w:lang w:eastAsia="zh-CN"/>
        </w:rPr>
        <w:t>1</w:t>
      </w:r>
      <w:r>
        <w:rPr>
          <w:rFonts w:ascii="Book Antiqua" w:eastAsia="Book Antiqua" w:hAnsi="Book Antiqua" w:cs="Book Antiqua"/>
          <w:b/>
          <w:bCs/>
          <w:color w:val="000000"/>
        </w:rPr>
        <w:t xml:space="preserve"> </w:t>
      </w:r>
    </w:p>
    <w:p w14:paraId="1BC86FDA" w14:textId="77777777" w:rsidR="00A77B3E" w:rsidRDefault="00A77B3E" w:rsidP="00CD114C">
      <w:pPr>
        <w:adjustRightInd w:val="0"/>
        <w:snapToGrid w:val="0"/>
        <w:spacing w:line="360" w:lineRule="auto"/>
        <w:jc w:val="both"/>
        <w:sectPr w:rsidR="00A77B3E">
          <w:footerReference w:type="default" r:id="rId7"/>
          <w:pgSz w:w="12240" w:h="15840"/>
          <w:pgMar w:top="1440" w:right="1440" w:bottom="1440" w:left="1440" w:header="720" w:footer="720" w:gutter="0"/>
          <w:cols w:space="720"/>
          <w:docGrid w:linePitch="360"/>
        </w:sectPr>
      </w:pPr>
    </w:p>
    <w:p w14:paraId="7377CFCA" w14:textId="77777777" w:rsidR="00A77B3E" w:rsidRDefault="009B365A" w:rsidP="00CD114C">
      <w:pPr>
        <w:adjustRightInd w:val="0"/>
        <w:snapToGrid w:val="0"/>
        <w:spacing w:line="360" w:lineRule="auto"/>
        <w:jc w:val="both"/>
      </w:pPr>
      <w:r>
        <w:rPr>
          <w:rFonts w:ascii="Book Antiqua" w:eastAsia="Book Antiqua" w:hAnsi="Book Antiqua" w:cs="Book Antiqua"/>
          <w:b/>
          <w:color w:val="000000"/>
        </w:rPr>
        <w:lastRenderedPageBreak/>
        <w:t>Abstract</w:t>
      </w:r>
    </w:p>
    <w:p w14:paraId="566B712B"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BACKGROUND</w:t>
      </w:r>
    </w:p>
    <w:p w14:paraId="72E150F7"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Endoscopic ultrasound-guided celiac plexus neurolysis (EUS-CPN) has gained popularity as a minimally invasive approach and is currently widely used to treat pancreatic cancer-associated pain. However, response to treatment is variable.</w:t>
      </w:r>
    </w:p>
    <w:p w14:paraId="48EC0579" w14:textId="77777777" w:rsidR="00A77B3E" w:rsidRDefault="00A77B3E" w:rsidP="00CD114C">
      <w:pPr>
        <w:adjustRightInd w:val="0"/>
        <w:snapToGrid w:val="0"/>
        <w:spacing w:line="360" w:lineRule="auto"/>
        <w:jc w:val="both"/>
      </w:pPr>
    </w:p>
    <w:p w14:paraId="219AC29C"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AIM</w:t>
      </w:r>
    </w:p>
    <w:p w14:paraId="4928915F"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To identify the efficacy of EUS-CPN and explore determinants of pain response in EUS-CPN for pancreatic cancer-associated pain.</w:t>
      </w:r>
    </w:p>
    <w:p w14:paraId="345DB3EB" w14:textId="77777777" w:rsidR="00A77B3E" w:rsidRDefault="00A77B3E" w:rsidP="00CD114C">
      <w:pPr>
        <w:adjustRightInd w:val="0"/>
        <w:snapToGrid w:val="0"/>
        <w:spacing w:line="360" w:lineRule="auto"/>
        <w:jc w:val="both"/>
      </w:pPr>
    </w:p>
    <w:p w14:paraId="09CC0003"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METHODS</w:t>
      </w:r>
    </w:p>
    <w:p w14:paraId="72292B0F" w14:textId="47976BDC" w:rsidR="00A77B3E" w:rsidRDefault="009B365A" w:rsidP="00CD114C">
      <w:pPr>
        <w:adjustRightInd w:val="0"/>
        <w:snapToGrid w:val="0"/>
        <w:spacing w:line="360" w:lineRule="auto"/>
        <w:jc w:val="both"/>
      </w:pPr>
      <w:r>
        <w:rPr>
          <w:rFonts w:ascii="Book Antiqua" w:eastAsia="Book Antiqua" w:hAnsi="Book Antiqua" w:cs="Book Antiqua"/>
          <w:color w:val="000000"/>
        </w:rPr>
        <w:t>A retrospective study of 58 patients with abdominal pain due to inoperable pancreatic cancer who underwent EUS-CPN were included. The efficacy for palliation of pain was evaluated based on the visual analog scale pain score at 1</w:t>
      </w:r>
      <w:r w:rsidR="009E1AE6">
        <w:rPr>
          <w:rFonts w:ascii="Book Antiqua" w:eastAsia="Book Antiqua" w:hAnsi="Book Antiqua" w:cs="Book Antiqua"/>
          <w:color w:val="000000"/>
        </w:rPr>
        <w:t xml:space="preserve"> </w:t>
      </w:r>
      <w:r>
        <w:rPr>
          <w:rFonts w:ascii="Book Antiqua" w:eastAsia="Book Antiqua" w:hAnsi="Book Antiqua" w:cs="Book Antiqua"/>
          <w:color w:val="000000"/>
        </w:rPr>
        <w:t>wk and 4 wk after EUS-CPN. Univariable and multivariable logistic regression analyses were performed to explore predictors of pain response.</w:t>
      </w:r>
    </w:p>
    <w:p w14:paraId="3065D297" w14:textId="77777777" w:rsidR="00A77B3E" w:rsidRDefault="00A77B3E" w:rsidP="00CD114C">
      <w:pPr>
        <w:adjustRightInd w:val="0"/>
        <w:snapToGrid w:val="0"/>
        <w:spacing w:line="360" w:lineRule="auto"/>
        <w:jc w:val="both"/>
      </w:pPr>
    </w:p>
    <w:p w14:paraId="4D4CB350"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RESULTS</w:t>
      </w:r>
    </w:p>
    <w:p w14:paraId="1287D058" w14:textId="73D0F0D4" w:rsidR="00A77B3E" w:rsidRDefault="009B365A" w:rsidP="00CD114C">
      <w:pPr>
        <w:adjustRightInd w:val="0"/>
        <w:snapToGrid w:val="0"/>
        <w:spacing w:line="360" w:lineRule="auto"/>
        <w:jc w:val="both"/>
      </w:pPr>
      <w:r>
        <w:rPr>
          <w:rFonts w:ascii="Book Antiqua" w:eastAsia="Book Antiqua" w:hAnsi="Book Antiqua" w:cs="Book Antiqua"/>
          <w:color w:val="000000"/>
        </w:rPr>
        <w:t>A good pain response was obtained in 74.1% and 67.2% of patients at 1</w:t>
      </w:r>
      <w:r w:rsidR="009E1AE6">
        <w:rPr>
          <w:rFonts w:ascii="Book Antiqua" w:eastAsia="Book Antiqua" w:hAnsi="Book Antiqua" w:cs="Book Antiqua"/>
          <w:color w:val="000000"/>
        </w:rPr>
        <w:t xml:space="preserve"> wk</w:t>
      </w:r>
      <w:r>
        <w:rPr>
          <w:rFonts w:ascii="Book Antiqua" w:eastAsia="Book Antiqua" w:hAnsi="Book Antiqua" w:cs="Book Antiqua"/>
          <w:color w:val="000000"/>
        </w:rPr>
        <w:t xml:space="preserve"> and 4 wk, respectively. Tumors located in the body/tail of the pancreas and patients receiving bilateral treatment were weakly associated with a good outcome. Multivariate analysis revealed patients with invisible</w:t>
      </w:r>
      <w:r w:rsidR="009E1AE6">
        <w:rPr>
          <w:rFonts w:ascii="Book Antiqua" w:eastAsia="Book Antiqua" w:hAnsi="Book Antiqua" w:cs="Book Antiqua"/>
          <w:color w:val="000000"/>
        </w:rPr>
        <w:t xml:space="preserve"> ganglia</w:t>
      </w:r>
      <w:r>
        <w:rPr>
          <w:rFonts w:ascii="Book Antiqua" w:eastAsia="Book Antiqua" w:hAnsi="Book Antiqua" w:cs="Book Antiqua"/>
          <w:color w:val="000000"/>
        </w:rPr>
        <w:t xml:space="preserve"> and metastatic disease were significant factors for a negative response to EUS-CPN at 1 wk and 4 wk</w:t>
      </w:r>
      <w:r w:rsidR="009E1AE6">
        <w:rPr>
          <w:rFonts w:ascii="Book Antiqua" w:eastAsia="Book Antiqua" w:hAnsi="Book Antiqua" w:cs="Book Antiqua"/>
          <w:color w:val="000000"/>
        </w:rPr>
        <w:t>,</w:t>
      </w:r>
      <w:r>
        <w:rPr>
          <w:rFonts w:ascii="Book Antiqua" w:eastAsia="Book Antiqua" w:hAnsi="Book Antiqua" w:cs="Book Antiqua"/>
          <w:color w:val="000000"/>
        </w:rPr>
        <w:t xml:space="preserve"> respectively, particularly for invasion of the celiac plexus </w:t>
      </w:r>
      <w:r w:rsidR="009E1AE6">
        <w:rPr>
          <w:rFonts w:ascii="Book Antiqua" w:eastAsia="Book Antiqua" w:hAnsi="Book Antiqua" w:cs="Book Antiqua"/>
          <w:color w:val="000000"/>
        </w:rPr>
        <w:t>(</w:t>
      </w:r>
      <w:r>
        <w:rPr>
          <w:rFonts w:ascii="Book Antiqua" w:eastAsia="Book Antiqua" w:hAnsi="Book Antiqua" w:cs="Book Antiqua"/>
          <w:color w:val="000000"/>
        </w:rPr>
        <w:t xml:space="preserve">odds ratio (OR) = 13.20,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for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OR = 15.11,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for 4 wk</w:t>
      </w:r>
      <w:r w:rsidR="009E1AE6">
        <w:rPr>
          <w:rFonts w:ascii="Book Antiqua" w:eastAsia="Book Antiqua" w:hAnsi="Book Antiqua" w:cs="Book Antiqua"/>
          <w:color w:val="000000"/>
        </w:rPr>
        <w:t>)</w:t>
      </w:r>
      <w:r>
        <w:rPr>
          <w:rFonts w:ascii="Book Antiqua" w:eastAsia="Book Antiqua" w:hAnsi="Book Antiqua" w:cs="Book Antiqua"/>
          <w:color w:val="000000"/>
        </w:rPr>
        <w:t xml:space="preserve">. No severe adverse events were reported. </w:t>
      </w:r>
    </w:p>
    <w:p w14:paraId="7F506FFF" w14:textId="77777777" w:rsidR="00A77B3E" w:rsidRDefault="00A77B3E" w:rsidP="00CD114C">
      <w:pPr>
        <w:adjustRightInd w:val="0"/>
        <w:snapToGrid w:val="0"/>
        <w:spacing w:line="360" w:lineRule="auto"/>
        <w:jc w:val="both"/>
      </w:pPr>
    </w:p>
    <w:p w14:paraId="4BE57409"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CONCLUSION</w:t>
      </w:r>
    </w:p>
    <w:p w14:paraId="3CA15469" w14:textId="7E905561" w:rsidR="00A77B3E" w:rsidRDefault="009B365A" w:rsidP="00CD114C">
      <w:pPr>
        <w:adjustRightInd w:val="0"/>
        <w:snapToGrid w:val="0"/>
        <w:spacing w:line="360" w:lineRule="auto"/>
        <w:jc w:val="both"/>
      </w:pPr>
      <w:r>
        <w:rPr>
          <w:rFonts w:ascii="Book Antiqua" w:eastAsia="Book Antiqua" w:hAnsi="Book Antiqua" w:cs="Book Antiqua"/>
          <w:color w:val="000000"/>
        </w:rPr>
        <w:t>EUS-CPN is a safe and effective form of treatment for intractab</w:t>
      </w:r>
      <w:r w:rsidR="009E1AE6">
        <w:rPr>
          <w:rFonts w:ascii="Book Antiqua" w:eastAsia="Book Antiqua" w:hAnsi="Book Antiqua" w:cs="Book Antiqua"/>
          <w:color w:val="000000"/>
        </w:rPr>
        <w:t>le</w:t>
      </w:r>
      <w:r>
        <w:rPr>
          <w:rFonts w:ascii="Book Antiqua" w:eastAsia="Book Antiqua" w:hAnsi="Book Antiqua" w:cs="Book Antiqua"/>
          <w:color w:val="000000"/>
        </w:rPr>
        <w:t xml:space="preserve"> pancreatic cancer-associated pain. </w:t>
      </w:r>
      <w:r w:rsidR="009E1AE6">
        <w:rPr>
          <w:rFonts w:ascii="Book Antiqua" w:eastAsia="Book Antiqua" w:hAnsi="Book Antiqua" w:cs="Book Antiqua"/>
          <w:color w:val="000000"/>
        </w:rPr>
        <w:t>Invisible</w:t>
      </w:r>
      <w:r>
        <w:rPr>
          <w:rFonts w:ascii="Book Antiqua" w:eastAsia="Book Antiqua" w:hAnsi="Book Antiqua" w:cs="Book Antiqua"/>
          <w:color w:val="000000"/>
        </w:rPr>
        <w:t xml:space="preserve"> ganglia, distant metastasis</w:t>
      </w:r>
      <w:r w:rsidR="009E1AE6">
        <w:rPr>
          <w:rFonts w:ascii="Book Antiqua" w:eastAsia="Book Antiqua" w:hAnsi="Book Antiqua" w:cs="Book Antiqua"/>
          <w:color w:val="000000"/>
        </w:rPr>
        <w:t>,</w:t>
      </w:r>
      <w:r>
        <w:rPr>
          <w:rFonts w:ascii="Book Antiqua" w:eastAsia="Book Antiqua" w:hAnsi="Book Antiqua" w:cs="Book Antiqua"/>
          <w:color w:val="000000"/>
        </w:rPr>
        <w:t xml:space="preserve"> and invasion of the celiac plexus </w:t>
      </w:r>
      <w:r>
        <w:rPr>
          <w:rFonts w:ascii="Book Antiqua" w:eastAsia="Book Antiqua" w:hAnsi="Book Antiqua" w:cs="Book Antiqua"/>
          <w:color w:val="000000"/>
        </w:rPr>
        <w:lastRenderedPageBreak/>
        <w:t>were predictors of less effective response in EUS-CPN for pancreatic cancer-related pain. For these patients, efficacy warrant</w:t>
      </w:r>
      <w:r w:rsidR="00110CAC">
        <w:rPr>
          <w:rFonts w:ascii="Book Antiqua" w:eastAsia="Book Antiqua" w:hAnsi="Book Antiqua" w:cs="Book Antiqua"/>
          <w:color w:val="000000"/>
        </w:rPr>
        <w:t>s</w:t>
      </w:r>
      <w:r>
        <w:rPr>
          <w:rFonts w:ascii="Book Antiqua" w:eastAsia="Book Antiqua" w:hAnsi="Book Antiqua" w:cs="Book Antiqua"/>
          <w:color w:val="000000"/>
        </w:rPr>
        <w:t xml:space="preserve"> attention.</w:t>
      </w:r>
    </w:p>
    <w:p w14:paraId="14302381" w14:textId="77777777" w:rsidR="00A77B3E" w:rsidRDefault="00A77B3E" w:rsidP="00CD114C">
      <w:pPr>
        <w:adjustRightInd w:val="0"/>
        <w:snapToGrid w:val="0"/>
        <w:spacing w:line="360" w:lineRule="auto"/>
        <w:jc w:val="both"/>
      </w:pPr>
    </w:p>
    <w:p w14:paraId="15CEB9CC" w14:textId="77777777" w:rsidR="00A77B3E" w:rsidRDefault="009B365A" w:rsidP="00CD114C">
      <w:pPr>
        <w:adjustRightInd w:val="0"/>
        <w:snapToGrid w:val="0"/>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Endoscopic ultrasound; Celiac plexus neurolysis; Pancreatic cancer; Pain; Predictor</w:t>
      </w:r>
    </w:p>
    <w:p w14:paraId="36BA87D9" w14:textId="77777777" w:rsidR="00A77B3E" w:rsidRDefault="00A77B3E" w:rsidP="00CD114C">
      <w:pPr>
        <w:adjustRightInd w:val="0"/>
        <w:snapToGrid w:val="0"/>
        <w:spacing w:line="360" w:lineRule="auto"/>
        <w:jc w:val="both"/>
      </w:pPr>
    </w:p>
    <w:p w14:paraId="3D2044AC" w14:textId="77777777" w:rsidR="008D2DA8" w:rsidRDefault="008D2DA8" w:rsidP="00CD114C">
      <w:pPr>
        <w:adjustRightInd w:val="0"/>
        <w:snapToGrid w:val="0"/>
        <w:spacing w:line="360" w:lineRule="auto"/>
        <w:jc w:val="both"/>
        <w:rPr>
          <w:rFonts w:ascii="Book Antiqua" w:hAnsi="Book Antiqua" w:cs="Book Antiqua" w:hint="eastAsia"/>
          <w:color w:val="000000"/>
          <w:lang w:eastAsia="zh-CN"/>
        </w:rPr>
      </w:pPr>
      <w:r w:rsidRPr="008D2DA8">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9B365A">
        <w:rPr>
          <w:rFonts w:ascii="Book Antiqua" w:eastAsia="Book Antiqua" w:hAnsi="Book Antiqua" w:cs="Book Antiqua"/>
          <w:color w:val="000000"/>
        </w:rPr>
        <w:t xml:space="preserve">Han CQ, Tang XL, Zhang Q, Nie C, Liu J, Ding Z. Predictors of pain response after endoscopic ultrasound-guided celiac plexus neurolysis for abdominal pain caused by pancreatic malignancy. </w:t>
      </w:r>
      <w:r w:rsidR="009B365A">
        <w:rPr>
          <w:rFonts w:ascii="Book Antiqua" w:eastAsia="Book Antiqua" w:hAnsi="Book Antiqua" w:cs="Book Antiqua"/>
          <w:i/>
          <w:iCs/>
          <w:color w:val="000000"/>
        </w:rPr>
        <w:t xml:space="preserve">World J </w:t>
      </w:r>
      <w:proofErr w:type="spellStart"/>
      <w:r w:rsidR="009B365A">
        <w:rPr>
          <w:rFonts w:ascii="Book Antiqua" w:eastAsia="Book Antiqua" w:hAnsi="Book Antiqua" w:cs="Book Antiqua"/>
          <w:i/>
          <w:iCs/>
          <w:color w:val="000000"/>
        </w:rPr>
        <w:t>Gastroenterol</w:t>
      </w:r>
      <w:proofErr w:type="spellEnd"/>
      <w:r w:rsidR="009B365A">
        <w:rPr>
          <w:rFonts w:ascii="Book Antiqua" w:eastAsia="Book Antiqua" w:hAnsi="Book Antiqua" w:cs="Book Antiqua"/>
          <w:color w:val="000000"/>
        </w:rPr>
        <w:t xml:space="preserve"> </w:t>
      </w:r>
      <w:r w:rsidR="00F05667" w:rsidRPr="00F05667">
        <w:rPr>
          <w:rFonts w:ascii="Book Antiqua" w:eastAsia="Book Antiqua" w:hAnsi="Book Antiqua" w:cs="Book Antiqua"/>
          <w:color w:val="000000"/>
        </w:rPr>
        <w:t xml:space="preserve">2021; 27(1): </w:t>
      </w:r>
      <w:r w:rsidR="005D750B">
        <w:rPr>
          <w:rFonts w:ascii="Book Antiqua" w:hAnsi="Book Antiqua" w:cs="Book Antiqua" w:hint="eastAsia"/>
          <w:color w:val="000000"/>
          <w:lang w:eastAsia="zh-CN"/>
        </w:rPr>
        <w:t>69</w:t>
      </w:r>
      <w:r w:rsidR="00F05667" w:rsidRPr="00F05667">
        <w:rPr>
          <w:rFonts w:ascii="Book Antiqua" w:eastAsia="Book Antiqua" w:hAnsi="Book Antiqua" w:cs="Book Antiqua"/>
          <w:color w:val="000000"/>
        </w:rPr>
        <w:t>-</w:t>
      </w:r>
      <w:r w:rsidR="005D750B">
        <w:rPr>
          <w:rFonts w:ascii="Book Antiqua" w:hAnsi="Book Antiqua" w:cs="Book Antiqua" w:hint="eastAsia"/>
          <w:color w:val="000000"/>
          <w:lang w:eastAsia="zh-CN"/>
        </w:rPr>
        <w:t>79</w:t>
      </w:r>
      <w:r w:rsidR="00F05667" w:rsidRPr="00F05667">
        <w:rPr>
          <w:rFonts w:ascii="Book Antiqua" w:eastAsia="Book Antiqua" w:hAnsi="Book Antiqua" w:cs="Book Antiqua"/>
          <w:color w:val="000000"/>
        </w:rPr>
        <w:t xml:space="preserve">  </w:t>
      </w:r>
    </w:p>
    <w:p w14:paraId="3E87DB8D" w14:textId="77777777" w:rsidR="008D2DA8" w:rsidRDefault="00F05667" w:rsidP="00CD114C">
      <w:pPr>
        <w:adjustRightInd w:val="0"/>
        <w:snapToGrid w:val="0"/>
        <w:spacing w:line="360" w:lineRule="auto"/>
        <w:jc w:val="both"/>
        <w:rPr>
          <w:rFonts w:ascii="Book Antiqua" w:hAnsi="Book Antiqua" w:cs="Book Antiqua" w:hint="eastAsia"/>
          <w:color w:val="000000"/>
          <w:lang w:eastAsia="zh-CN"/>
        </w:rPr>
      </w:pPr>
      <w:r w:rsidRPr="008D2DA8">
        <w:rPr>
          <w:rFonts w:ascii="Book Antiqua" w:eastAsia="Book Antiqua" w:hAnsi="Book Antiqua" w:cs="Book Antiqua"/>
          <w:b/>
          <w:color w:val="000000"/>
        </w:rPr>
        <w:t xml:space="preserve">URL: </w:t>
      </w:r>
      <w:r w:rsidRPr="00F05667">
        <w:rPr>
          <w:rFonts w:ascii="Book Antiqua" w:eastAsia="Book Antiqua" w:hAnsi="Book Antiqua" w:cs="Book Antiqua"/>
          <w:color w:val="000000"/>
        </w:rPr>
        <w:t>https://www.wjgnet.com/1007-9327/full/v27/i1/</w:t>
      </w:r>
      <w:r w:rsidR="005D750B">
        <w:rPr>
          <w:rFonts w:ascii="Book Antiqua" w:hAnsi="Book Antiqua" w:cs="Book Antiqua" w:hint="eastAsia"/>
          <w:color w:val="000000"/>
          <w:lang w:eastAsia="zh-CN"/>
        </w:rPr>
        <w:t>69</w:t>
      </w:r>
      <w:r w:rsidRPr="00F05667">
        <w:rPr>
          <w:rFonts w:ascii="Book Antiqua" w:eastAsia="Book Antiqua" w:hAnsi="Book Antiqua" w:cs="Book Antiqua"/>
          <w:color w:val="000000"/>
        </w:rPr>
        <w:t xml:space="preserve">.htm  </w:t>
      </w:r>
    </w:p>
    <w:p w14:paraId="2CFA6746" w14:textId="7CFE8B68" w:rsidR="00A77B3E" w:rsidRPr="005D750B" w:rsidRDefault="00F05667" w:rsidP="00CD114C">
      <w:pPr>
        <w:adjustRightInd w:val="0"/>
        <w:snapToGrid w:val="0"/>
        <w:spacing w:line="360" w:lineRule="auto"/>
        <w:jc w:val="both"/>
        <w:rPr>
          <w:rFonts w:hint="eastAsia"/>
          <w:lang w:eastAsia="zh-CN"/>
        </w:rPr>
      </w:pPr>
      <w:bookmarkStart w:id="6" w:name="_GoBack"/>
      <w:r w:rsidRPr="008D2DA8">
        <w:rPr>
          <w:rFonts w:ascii="Book Antiqua" w:eastAsia="Book Antiqua" w:hAnsi="Book Antiqua" w:cs="Book Antiqua"/>
          <w:b/>
          <w:color w:val="000000"/>
        </w:rPr>
        <w:t xml:space="preserve">DOI: </w:t>
      </w:r>
      <w:bookmarkEnd w:id="6"/>
      <w:r w:rsidRPr="00F05667">
        <w:rPr>
          <w:rFonts w:ascii="Book Antiqua" w:eastAsia="Book Antiqua" w:hAnsi="Book Antiqua" w:cs="Book Antiqua"/>
          <w:color w:val="000000"/>
        </w:rPr>
        <w:t>https://dx.doi.org/10.3748/wjg.v27.i1.</w:t>
      </w:r>
      <w:r w:rsidR="005D750B">
        <w:rPr>
          <w:rFonts w:ascii="Book Antiqua" w:hAnsi="Book Antiqua" w:cs="Book Antiqua" w:hint="eastAsia"/>
          <w:color w:val="000000"/>
          <w:lang w:eastAsia="zh-CN"/>
        </w:rPr>
        <w:t>69</w:t>
      </w:r>
    </w:p>
    <w:p w14:paraId="1D58C14C" w14:textId="77777777" w:rsidR="00A77B3E" w:rsidRDefault="00A77B3E" w:rsidP="00CD114C">
      <w:pPr>
        <w:adjustRightInd w:val="0"/>
        <w:snapToGrid w:val="0"/>
        <w:spacing w:line="360" w:lineRule="auto"/>
        <w:jc w:val="both"/>
      </w:pPr>
    </w:p>
    <w:p w14:paraId="70FC446B" w14:textId="2080267F" w:rsidR="00A77B3E" w:rsidRDefault="009B365A" w:rsidP="00CD114C">
      <w:pPr>
        <w:adjustRightInd w:val="0"/>
        <w:snapToGrid w:val="0"/>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Endoscopic ultrasound-guided celiac plexus neurolysis (EUS-CPN) is widely used to treat pancreatic cancer-associated pain. However, response to treatment is variable. The procedure is not always effective, </w:t>
      </w:r>
      <w:r w:rsidR="009E1AE6">
        <w:rPr>
          <w:rFonts w:ascii="Book Antiqua" w:eastAsia="Book Antiqua" w:hAnsi="Book Antiqua" w:cs="Book Antiqua"/>
          <w:color w:val="000000"/>
        </w:rPr>
        <w:t xml:space="preserve">is </w:t>
      </w:r>
      <w:r>
        <w:rPr>
          <w:rFonts w:ascii="Book Antiqua" w:eastAsia="Book Antiqua" w:hAnsi="Book Antiqua" w:cs="Book Antiqua"/>
          <w:color w:val="000000"/>
        </w:rPr>
        <w:t>often variable</w:t>
      </w:r>
      <w:r w:rsidR="009E1AE6">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9E1AE6">
        <w:rPr>
          <w:rFonts w:ascii="Book Antiqua" w:eastAsia="Book Antiqua" w:hAnsi="Book Antiqua" w:cs="Book Antiqua"/>
          <w:color w:val="000000"/>
        </w:rPr>
        <w:t xml:space="preserve">yields </w:t>
      </w:r>
      <w:r>
        <w:rPr>
          <w:rFonts w:ascii="Book Antiqua" w:eastAsia="Book Antiqua" w:hAnsi="Book Antiqua" w:cs="Book Antiqua"/>
          <w:color w:val="000000"/>
        </w:rPr>
        <w:t xml:space="preserve">transient results. The data on determinants of pain relief response following EUS-CPN </w:t>
      </w:r>
      <w:r w:rsidR="00110CAC">
        <w:rPr>
          <w:rFonts w:ascii="Book Antiqua" w:eastAsia="Book Antiqua" w:hAnsi="Book Antiqua" w:cs="Book Antiqua"/>
          <w:color w:val="000000"/>
        </w:rPr>
        <w:t>are</w:t>
      </w:r>
      <w:r>
        <w:rPr>
          <w:rFonts w:ascii="Book Antiqua" w:eastAsia="Book Antiqua" w:hAnsi="Book Antiqua" w:cs="Book Antiqua"/>
          <w:color w:val="000000"/>
        </w:rPr>
        <w:t xml:space="preserve"> limited and still need to undergo further exploration. Our study found that </w:t>
      </w:r>
      <w:r w:rsidR="009E1AE6">
        <w:rPr>
          <w:rFonts w:ascii="Book Antiqua" w:eastAsia="Book Antiqua" w:hAnsi="Book Antiqua" w:cs="Book Antiqua"/>
          <w:color w:val="000000"/>
        </w:rPr>
        <w:t xml:space="preserve">invisible </w:t>
      </w:r>
      <w:r>
        <w:rPr>
          <w:rFonts w:ascii="Book Antiqua" w:eastAsia="Book Antiqua" w:hAnsi="Book Antiqua" w:cs="Book Antiqua"/>
          <w:color w:val="000000"/>
        </w:rPr>
        <w:t>ganglia, presence of distant metastases</w:t>
      </w:r>
      <w:r w:rsidR="009E1AE6">
        <w:rPr>
          <w:rFonts w:ascii="Book Antiqua" w:eastAsia="Book Antiqua" w:hAnsi="Book Antiqua" w:cs="Book Antiqua"/>
          <w:color w:val="000000"/>
        </w:rPr>
        <w:t>,</w:t>
      </w:r>
      <w:r>
        <w:rPr>
          <w:rFonts w:ascii="Book Antiqua" w:eastAsia="Book Antiqua" w:hAnsi="Book Antiqua" w:cs="Book Antiqua"/>
          <w:color w:val="000000"/>
        </w:rPr>
        <w:t xml:space="preserve"> and celiac plexus invasion were considered to be significantly negative variables. The strongest predictor of response was celiac plexus invasion. Moreover, tumors located at the body/tail predicted a better response than those with tumors at the pancreatic head/neck.</w:t>
      </w:r>
    </w:p>
    <w:p w14:paraId="18D9A579" w14:textId="1E90B229" w:rsidR="00A77B3E" w:rsidRDefault="00A77B3E" w:rsidP="00CD114C">
      <w:pPr>
        <w:adjustRightInd w:val="0"/>
        <w:snapToGrid w:val="0"/>
        <w:spacing w:line="360" w:lineRule="auto"/>
        <w:jc w:val="both"/>
      </w:pPr>
    </w:p>
    <w:p w14:paraId="300F9E9F" w14:textId="6244F76D" w:rsidR="009E1AE6" w:rsidRDefault="009E1AE6" w:rsidP="00CD114C">
      <w:pPr>
        <w:adjustRightInd w:val="0"/>
        <w:snapToGrid w:val="0"/>
        <w:spacing w:line="360" w:lineRule="auto"/>
        <w:jc w:val="both"/>
      </w:pPr>
    </w:p>
    <w:p w14:paraId="0AD4FD3F" w14:textId="28041BE6" w:rsidR="009E1AE6" w:rsidRDefault="009E1AE6" w:rsidP="00CD114C">
      <w:pPr>
        <w:adjustRightInd w:val="0"/>
        <w:snapToGrid w:val="0"/>
        <w:spacing w:line="360" w:lineRule="auto"/>
        <w:jc w:val="both"/>
      </w:pPr>
    </w:p>
    <w:p w14:paraId="40AF215E" w14:textId="199FF2AF" w:rsidR="009E1AE6" w:rsidRDefault="009E1AE6" w:rsidP="00CD114C">
      <w:pPr>
        <w:adjustRightInd w:val="0"/>
        <w:snapToGrid w:val="0"/>
        <w:spacing w:line="360" w:lineRule="auto"/>
        <w:jc w:val="both"/>
      </w:pPr>
    </w:p>
    <w:p w14:paraId="282DEDC1" w14:textId="0506D836" w:rsidR="009E1AE6" w:rsidRDefault="009E1AE6" w:rsidP="00CD114C">
      <w:pPr>
        <w:adjustRightInd w:val="0"/>
        <w:snapToGrid w:val="0"/>
        <w:spacing w:line="360" w:lineRule="auto"/>
        <w:jc w:val="both"/>
      </w:pPr>
    </w:p>
    <w:p w14:paraId="72A153F3" w14:textId="321E844B" w:rsidR="009E1AE6" w:rsidRDefault="009E1AE6" w:rsidP="00CD114C">
      <w:pPr>
        <w:adjustRightInd w:val="0"/>
        <w:snapToGrid w:val="0"/>
        <w:spacing w:line="360" w:lineRule="auto"/>
        <w:jc w:val="both"/>
      </w:pPr>
    </w:p>
    <w:p w14:paraId="57C60431" w14:textId="629BA88F" w:rsidR="009E1AE6" w:rsidRDefault="009E1AE6" w:rsidP="00CD114C">
      <w:pPr>
        <w:adjustRightInd w:val="0"/>
        <w:snapToGrid w:val="0"/>
        <w:spacing w:line="360" w:lineRule="auto"/>
        <w:jc w:val="both"/>
      </w:pPr>
    </w:p>
    <w:p w14:paraId="089E7136" w14:textId="4169D060" w:rsidR="009E1AE6" w:rsidRDefault="009E1AE6" w:rsidP="00CD114C">
      <w:pPr>
        <w:adjustRightInd w:val="0"/>
        <w:snapToGrid w:val="0"/>
        <w:spacing w:line="360" w:lineRule="auto"/>
        <w:jc w:val="both"/>
      </w:pPr>
    </w:p>
    <w:p w14:paraId="136BCFB7" w14:textId="2A0C54FB" w:rsidR="009E1AE6" w:rsidRDefault="009E1AE6" w:rsidP="00CD114C">
      <w:pPr>
        <w:adjustRightInd w:val="0"/>
        <w:snapToGrid w:val="0"/>
        <w:spacing w:line="360" w:lineRule="auto"/>
        <w:jc w:val="both"/>
      </w:pPr>
    </w:p>
    <w:p w14:paraId="3624EF2F" w14:textId="41F8BB49" w:rsidR="009E1AE6" w:rsidRDefault="009E1AE6" w:rsidP="00CD114C">
      <w:pPr>
        <w:adjustRightInd w:val="0"/>
        <w:snapToGrid w:val="0"/>
        <w:spacing w:line="360" w:lineRule="auto"/>
        <w:jc w:val="both"/>
      </w:pPr>
    </w:p>
    <w:p w14:paraId="7E35B7DB" w14:textId="77777777" w:rsidR="009E1AE6" w:rsidRDefault="009E1AE6" w:rsidP="00CD114C">
      <w:pPr>
        <w:adjustRightInd w:val="0"/>
        <w:snapToGrid w:val="0"/>
        <w:spacing w:line="360" w:lineRule="auto"/>
        <w:jc w:val="both"/>
      </w:pPr>
    </w:p>
    <w:p w14:paraId="70ADDC4F" w14:textId="77777777" w:rsidR="00A77B3E" w:rsidRDefault="009B365A" w:rsidP="00CD114C">
      <w:pPr>
        <w:adjustRightInd w:val="0"/>
        <w:snapToGrid w:val="0"/>
        <w:spacing w:line="360" w:lineRule="auto"/>
        <w:jc w:val="both"/>
      </w:pPr>
      <w:r>
        <w:rPr>
          <w:rFonts w:ascii="Book Antiqua" w:eastAsia="Book Antiqua" w:hAnsi="Book Antiqua" w:cs="Book Antiqua"/>
          <w:b/>
          <w:caps/>
          <w:color w:val="000000"/>
          <w:u w:val="single"/>
        </w:rPr>
        <w:t>INTRODUCTION</w:t>
      </w:r>
    </w:p>
    <w:p w14:paraId="58E9BC3B" w14:textId="293B19A0" w:rsidR="00A77B3E" w:rsidRDefault="009B365A" w:rsidP="00CD114C">
      <w:pPr>
        <w:adjustRightInd w:val="0"/>
        <w:snapToGrid w:val="0"/>
        <w:spacing w:line="360" w:lineRule="auto"/>
        <w:jc w:val="both"/>
      </w:pPr>
      <w:r>
        <w:rPr>
          <w:rFonts w:ascii="Book Antiqua" w:eastAsia="Book Antiqua" w:hAnsi="Book Antiqua" w:cs="Book Antiqua"/>
          <w:color w:val="000000"/>
        </w:rPr>
        <w:t>Up to 90% advanced pancreatic cancer patients experience difficult-to-control pain syndromes</w:t>
      </w:r>
      <w:r>
        <w:rPr>
          <w:rFonts w:ascii="Book Antiqua" w:eastAsia="Book Antiqua" w:hAnsi="Book Antiqua" w:cs="Book Antiqua"/>
          <w:color w:val="000000"/>
          <w:vertAlign w:val="superscript"/>
        </w:rPr>
        <w:t>[</w:t>
      </w:r>
      <w:hyperlink w:anchor="_ENREF_1" w:tooltip="Ascunce, 2011 #12" w:history="1">
        <w:r>
          <w:rPr>
            <w:rFonts w:ascii="Book Antiqua" w:eastAsia="Book Antiqua" w:hAnsi="Book Antiqua" w:cs="Book Antiqua"/>
            <w:color w:val="000000"/>
            <w:u w:val="single" w:color="0000EE"/>
            <w:vertAlign w:val="superscript"/>
          </w:rPr>
          <w:t>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Conventionally, pain is alleviated using a three-step analgesic ladder approach beginning with nonsteroidal anti-inflammatory agents followed by escalating doses of opiates</w:t>
      </w:r>
      <w:r>
        <w:rPr>
          <w:rFonts w:ascii="Book Antiqua" w:eastAsia="Book Antiqua" w:hAnsi="Book Antiqua" w:cs="Book Antiqua"/>
          <w:color w:val="000000"/>
          <w:vertAlign w:val="superscript"/>
        </w:rPr>
        <w:t>[</w:t>
      </w:r>
      <w:hyperlink w:anchor="_ENREF_2" w:tooltip="Minaga, 2018 #133" w:history="1">
        <w:r>
          <w:rPr>
            <w:rFonts w:ascii="Book Antiqua" w:eastAsia="Book Antiqua" w:hAnsi="Book Antiqua" w:cs="Book Antiqua"/>
            <w:color w:val="000000"/>
            <w:u w:val="single" w:color="0000EE"/>
            <w:vertAlign w:val="superscript"/>
          </w:rPr>
          <w:t>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However, pain is always refractory in some cases</w:t>
      </w:r>
      <w:r w:rsidR="009E1AE6">
        <w:rPr>
          <w:rFonts w:ascii="Book Antiqua" w:eastAsia="Book Antiqua" w:hAnsi="Book Antiqua" w:cs="Book Antiqua"/>
          <w:color w:val="000000"/>
        </w:rPr>
        <w:t>,</w:t>
      </w:r>
      <w:r>
        <w:rPr>
          <w:rFonts w:ascii="Book Antiqua" w:eastAsia="Book Antiqua" w:hAnsi="Book Antiqua" w:cs="Book Antiqua"/>
          <w:color w:val="000000"/>
        </w:rPr>
        <w:t xml:space="preserve"> posing a challenge to the physician. A high dose of such drugs still cannot provide adequate analgesia, especially </w:t>
      </w:r>
      <w:r w:rsidR="00110CAC">
        <w:rPr>
          <w:rFonts w:ascii="Book Antiqua" w:eastAsia="Book Antiqua" w:hAnsi="Book Antiqua" w:cs="Book Antiqua"/>
          <w:color w:val="000000"/>
        </w:rPr>
        <w:t>for those</w:t>
      </w:r>
      <w:r>
        <w:rPr>
          <w:rFonts w:ascii="Book Antiqua" w:eastAsia="Book Antiqua" w:hAnsi="Book Antiqua" w:cs="Book Antiqua"/>
          <w:color w:val="000000"/>
        </w:rPr>
        <w:t xml:space="preserve"> patients experienc</w:t>
      </w:r>
      <w:r w:rsidR="00110CAC">
        <w:rPr>
          <w:rFonts w:ascii="Book Antiqua" w:eastAsia="Book Antiqua" w:hAnsi="Book Antiqua" w:cs="Book Antiqua"/>
          <w:color w:val="000000"/>
        </w:rPr>
        <w:t>ing</w:t>
      </w:r>
      <w:r>
        <w:rPr>
          <w:rFonts w:ascii="Book Antiqua" w:eastAsia="Book Antiqua" w:hAnsi="Book Antiqua" w:cs="Book Antiqua"/>
          <w:color w:val="000000"/>
        </w:rPr>
        <w:t xml:space="preserve"> intolerable drug-related side effects that can markedly reduce survival. In these patients, interventional pain techniques may be indicated.</w:t>
      </w:r>
    </w:p>
    <w:p w14:paraId="19E71541" w14:textId="16DCDC1D" w:rsidR="00A77B3E" w:rsidRDefault="00183011" w:rsidP="00CD114C">
      <w:pPr>
        <w:adjustRightInd w:val="0"/>
        <w:snapToGrid w:val="0"/>
        <w:spacing w:line="360" w:lineRule="auto"/>
        <w:ind w:firstLine="480"/>
        <w:jc w:val="both"/>
      </w:pPr>
      <w:r>
        <w:rPr>
          <w:rFonts w:ascii="Book Antiqua" w:eastAsia="Book Antiqua" w:hAnsi="Book Antiqua" w:cs="Book Antiqua"/>
          <w:color w:val="000000"/>
        </w:rPr>
        <w:t>In e</w:t>
      </w:r>
      <w:r w:rsidR="009B365A">
        <w:rPr>
          <w:rFonts w:ascii="Book Antiqua" w:eastAsia="Book Antiqua" w:hAnsi="Book Antiqua" w:cs="Book Antiqua"/>
          <w:color w:val="000000"/>
        </w:rPr>
        <w:t>ndoscopic ultrasound-guided celiac plexus neurolysis (EUS-CPN), a neurolytic agent disrupts the pain signal transductions from the afferent nerves to the spinal cord</w:t>
      </w:r>
      <w:r>
        <w:rPr>
          <w:rFonts w:ascii="Book Antiqua" w:eastAsia="Book Antiqua" w:hAnsi="Book Antiqua" w:cs="Book Antiqua"/>
          <w:color w:val="000000"/>
        </w:rPr>
        <w:t>,</w:t>
      </w:r>
      <w:r w:rsidR="009B365A">
        <w:rPr>
          <w:rFonts w:ascii="Book Antiqua" w:eastAsia="Book Antiqua" w:hAnsi="Book Antiqua" w:cs="Book Antiqua"/>
          <w:color w:val="000000"/>
        </w:rPr>
        <w:t xml:space="preserve"> and </w:t>
      </w:r>
      <w:r>
        <w:rPr>
          <w:rFonts w:ascii="Book Antiqua" w:eastAsia="Book Antiqua" w:hAnsi="Book Antiqua" w:cs="Book Antiqua"/>
          <w:color w:val="000000"/>
        </w:rPr>
        <w:t xml:space="preserve">it </w:t>
      </w:r>
      <w:r w:rsidR="009B365A">
        <w:rPr>
          <w:rFonts w:ascii="Book Antiqua" w:eastAsia="Book Antiqua" w:hAnsi="Book Antiqua" w:cs="Book Antiqua"/>
          <w:color w:val="000000"/>
        </w:rPr>
        <w:t xml:space="preserve">has been widely applied as a minimally invasive approach. This procedure is able to </w:t>
      </w:r>
      <w:r>
        <w:rPr>
          <w:rFonts w:ascii="Book Antiqua" w:eastAsia="Book Antiqua" w:hAnsi="Book Antiqua" w:cs="Book Antiqua"/>
          <w:color w:val="000000"/>
        </w:rPr>
        <w:t xml:space="preserve">decrease </w:t>
      </w:r>
      <w:r w:rsidR="009B365A">
        <w:rPr>
          <w:rFonts w:ascii="Book Antiqua" w:eastAsia="Book Antiqua" w:hAnsi="Book Antiqua" w:cs="Book Antiqua"/>
          <w:color w:val="000000"/>
        </w:rPr>
        <w:t>significantly the daily usage of morphine medications and relieve pain. The current National Comprehensive Cancer Network guidelines recommend</w:t>
      </w:r>
      <w:r w:rsidR="00110CAC">
        <w:rPr>
          <w:rFonts w:ascii="Book Antiqua" w:eastAsia="Book Antiqua" w:hAnsi="Book Antiqua" w:cs="Book Antiqua"/>
          <w:color w:val="000000"/>
        </w:rPr>
        <w:t>s</w:t>
      </w:r>
      <w:r w:rsidR="009B365A">
        <w:rPr>
          <w:rFonts w:ascii="Book Antiqua" w:eastAsia="Book Antiqua" w:hAnsi="Book Antiqua" w:cs="Book Antiqua"/>
          <w:color w:val="000000"/>
        </w:rPr>
        <w:t xml:space="preserve"> EUS-CPN for treatment of severe cancer-associated pain</w:t>
      </w:r>
      <w:r w:rsidR="009B365A">
        <w:rPr>
          <w:rFonts w:ascii="Book Antiqua" w:eastAsia="Book Antiqua" w:hAnsi="Book Antiqua" w:cs="Book Antiqua"/>
          <w:color w:val="000000"/>
          <w:vertAlign w:val="superscript"/>
        </w:rPr>
        <w:t>[</w:t>
      </w:r>
      <w:hyperlink w:anchor="_ENREF_3" w:tooltip="Tempero, 2017 #146" w:history="1">
        <w:r w:rsidR="009B365A">
          <w:rPr>
            <w:rFonts w:ascii="Book Antiqua" w:eastAsia="Book Antiqua" w:hAnsi="Book Antiqua" w:cs="Book Antiqua"/>
            <w:color w:val="000000"/>
            <w:u w:val="single" w:color="0000EE"/>
            <w:vertAlign w:val="superscript"/>
          </w:rPr>
          <w:t>3</w:t>
        </w:r>
      </w:hyperlink>
      <w:r w:rsidR="009B365A">
        <w:rPr>
          <w:rFonts w:ascii="Book Antiqua" w:eastAsia="Book Antiqua" w:hAnsi="Book Antiqua" w:cs="Book Antiqua"/>
          <w:color w:val="000000"/>
          <w:vertAlign w:val="superscript"/>
        </w:rPr>
        <w:t>]</w:t>
      </w:r>
      <w:r w:rsidR="009B365A">
        <w:rPr>
          <w:rFonts w:ascii="Book Antiqua" w:eastAsia="Book Antiqua" w:hAnsi="Book Antiqua" w:cs="Book Antiqua"/>
          <w:color w:val="000000"/>
        </w:rPr>
        <w:t>. Varied studies have reported that over 80% of patients achieved sustainable pain relief after treatment, and many even to the time of death</w:t>
      </w:r>
      <w:r w:rsidR="009B365A">
        <w:rPr>
          <w:rFonts w:ascii="Book Antiqua" w:eastAsia="Book Antiqua" w:hAnsi="Book Antiqua" w:cs="Book Antiqua"/>
          <w:color w:val="000000"/>
          <w:vertAlign w:val="superscript"/>
        </w:rPr>
        <w:t>[</w:t>
      </w:r>
      <w:hyperlink w:anchor="_ENREF_4" w:tooltip="Eisenberg, 1995 #139" w:history="1">
        <w:r w:rsidR="009B365A">
          <w:rPr>
            <w:rFonts w:ascii="Book Antiqua" w:eastAsia="Book Antiqua" w:hAnsi="Book Antiqua" w:cs="Book Antiqua"/>
            <w:color w:val="000000"/>
            <w:u w:val="single" w:color="0000EE"/>
            <w:vertAlign w:val="superscript"/>
          </w:rPr>
          <w:t>4</w:t>
        </w:r>
      </w:hyperlink>
      <w:r w:rsidR="009B365A">
        <w:rPr>
          <w:rFonts w:ascii="Book Antiqua" w:eastAsia="Book Antiqua" w:hAnsi="Book Antiqua" w:cs="Book Antiqua"/>
          <w:color w:val="000000"/>
          <w:vertAlign w:val="superscript"/>
        </w:rPr>
        <w:t>,</w:t>
      </w:r>
      <w:hyperlink w:anchor="_ENREF_5" w:tooltip="Nagels, 2013 #141" w:history="1">
        <w:r w:rsidR="009B365A">
          <w:rPr>
            <w:rFonts w:ascii="Book Antiqua" w:eastAsia="Book Antiqua" w:hAnsi="Book Antiqua" w:cs="Book Antiqua"/>
            <w:color w:val="000000"/>
            <w:u w:val="single" w:color="0000EE"/>
            <w:vertAlign w:val="superscript"/>
          </w:rPr>
          <w:t>5</w:t>
        </w:r>
      </w:hyperlink>
      <w:r w:rsidR="009B365A">
        <w:rPr>
          <w:rFonts w:ascii="Book Antiqua" w:eastAsia="Book Antiqua" w:hAnsi="Book Antiqua" w:cs="Book Antiqua"/>
          <w:color w:val="000000"/>
          <w:vertAlign w:val="superscript"/>
        </w:rPr>
        <w:t>]</w:t>
      </w:r>
      <w:r w:rsidR="009B365A">
        <w:rPr>
          <w:rFonts w:ascii="Book Antiqua" w:eastAsia="Book Antiqua" w:hAnsi="Book Antiqua" w:cs="Book Antiqua"/>
          <w:color w:val="000000"/>
        </w:rPr>
        <w:t>.</w:t>
      </w:r>
    </w:p>
    <w:p w14:paraId="51270EB7" w14:textId="4D52F1B6" w:rsidR="00A77B3E" w:rsidRDefault="009B365A" w:rsidP="00CD114C">
      <w:pPr>
        <w:adjustRightInd w:val="0"/>
        <w:snapToGrid w:val="0"/>
        <w:spacing w:line="360" w:lineRule="auto"/>
        <w:ind w:firstLine="480"/>
        <w:jc w:val="both"/>
      </w:pPr>
      <w:r>
        <w:rPr>
          <w:rFonts w:ascii="Book Antiqua" w:eastAsia="Book Antiqua" w:hAnsi="Book Antiqua" w:cs="Book Antiqua"/>
          <w:color w:val="000000"/>
        </w:rPr>
        <w:t xml:space="preserve">However, the procedure is not always effective, </w:t>
      </w:r>
      <w:r w:rsidR="00183011">
        <w:rPr>
          <w:rFonts w:ascii="Book Antiqua" w:eastAsia="Book Antiqua" w:hAnsi="Book Antiqua" w:cs="Book Antiqua"/>
          <w:color w:val="000000"/>
        </w:rPr>
        <w:t xml:space="preserve">is </w:t>
      </w:r>
      <w:r>
        <w:rPr>
          <w:rFonts w:ascii="Book Antiqua" w:eastAsia="Book Antiqua" w:hAnsi="Book Antiqua" w:cs="Book Antiqua"/>
          <w:color w:val="000000"/>
        </w:rPr>
        <w:t>often variable</w:t>
      </w:r>
      <w:r w:rsidR="00183011">
        <w:rPr>
          <w:rFonts w:ascii="Book Antiqua" w:eastAsia="Book Antiqua" w:hAnsi="Book Antiqua" w:cs="Book Antiqua"/>
          <w:color w:val="000000"/>
        </w:rPr>
        <w:t>,</w:t>
      </w:r>
      <w:r>
        <w:rPr>
          <w:rFonts w:ascii="Book Antiqua" w:eastAsia="Book Antiqua" w:hAnsi="Book Antiqua" w:cs="Book Antiqua"/>
          <w:color w:val="000000"/>
        </w:rPr>
        <w:t xml:space="preserve"> and </w:t>
      </w:r>
      <w:r w:rsidR="00183011">
        <w:rPr>
          <w:rFonts w:ascii="Book Antiqua" w:eastAsia="Book Antiqua" w:hAnsi="Book Antiqua" w:cs="Book Antiqua"/>
          <w:color w:val="000000"/>
        </w:rPr>
        <w:t xml:space="preserve">has </w:t>
      </w:r>
      <w:r>
        <w:rPr>
          <w:rFonts w:ascii="Book Antiqua" w:eastAsia="Book Antiqua" w:hAnsi="Book Antiqua" w:cs="Book Antiqua"/>
          <w:color w:val="000000"/>
        </w:rPr>
        <w:t>transient results. Subsequent studies showed the proportion of patients benefiting from pain amelioration is quite variable at 50% to 80%</w:t>
      </w:r>
      <w:r>
        <w:rPr>
          <w:rFonts w:ascii="Book Antiqua" w:eastAsia="Book Antiqua" w:hAnsi="Book Antiqua" w:cs="Book Antiqua"/>
          <w:color w:val="000000"/>
          <w:vertAlign w:val="superscript"/>
        </w:rPr>
        <w:t>[</w:t>
      </w:r>
      <w:hyperlink w:anchor="_ENREF_6" w:tooltip="Levy, 2019 #148" w:history="1">
        <w:r>
          <w:rPr>
            <w:rFonts w:ascii="Book Antiqua" w:eastAsia="Book Antiqua" w:hAnsi="Book Antiqua" w:cs="Book Antiqua"/>
            <w:color w:val="000000"/>
            <w:u w:val="single" w:color="0000EE"/>
            <w:vertAlign w:val="superscript"/>
          </w:rPr>
          <w:t>6-8</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183011">
        <w:rPr>
          <w:rFonts w:ascii="Book Antiqua" w:eastAsia="Book Antiqua" w:hAnsi="Book Antiqua" w:cs="Book Antiqua"/>
          <w:color w:val="000000"/>
        </w:rPr>
        <w:t>O</w:t>
      </w:r>
      <w:r>
        <w:rPr>
          <w:rFonts w:ascii="Book Antiqua" w:eastAsia="Book Antiqua" w:hAnsi="Book Antiqua" w:cs="Book Antiqua"/>
          <w:color w:val="000000"/>
        </w:rPr>
        <w:t>ptimization of treatment outcomes</w:t>
      </w:r>
      <w:r w:rsidR="00183011">
        <w:rPr>
          <w:rFonts w:ascii="Book Antiqua" w:eastAsia="Book Antiqua" w:hAnsi="Book Antiqua" w:cs="Book Antiqua"/>
          <w:color w:val="000000"/>
        </w:rPr>
        <w:t xml:space="preserve"> for</w:t>
      </w:r>
      <w:r>
        <w:rPr>
          <w:rFonts w:ascii="Book Antiqua" w:eastAsia="Book Antiqua" w:hAnsi="Book Antiqua" w:cs="Book Antiqua"/>
          <w:color w:val="000000"/>
        </w:rPr>
        <w:t xml:space="preserve"> the technique of neurolysis </w:t>
      </w:r>
      <w:r w:rsidR="00183011">
        <w:rPr>
          <w:rFonts w:ascii="Book Antiqua" w:eastAsia="Book Antiqua" w:hAnsi="Book Antiqua" w:cs="Book Antiqua"/>
          <w:color w:val="000000"/>
        </w:rPr>
        <w:t xml:space="preserve">involves </w:t>
      </w:r>
      <w:r>
        <w:rPr>
          <w:rFonts w:ascii="Book Antiqua" w:eastAsia="Book Antiqua" w:hAnsi="Book Antiqua" w:cs="Book Antiqua"/>
          <w:color w:val="000000"/>
        </w:rPr>
        <w:t xml:space="preserve">direct injection into the celiac ganglia, broad injection to involve the area around the superior </w:t>
      </w:r>
      <w:r w:rsidR="009C0016">
        <w:rPr>
          <w:rFonts w:ascii="Book Antiqua" w:eastAsia="Book Antiqua" w:hAnsi="Book Antiqua" w:cs="Book Antiqua"/>
          <w:color w:val="000000"/>
        </w:rPr>
        <w:t xml:space="preserve">mesenteric artery, </w:t>
      </w:r>
      <w:r w:rsidR="00183011">
        <w:rPr>
          <w:rFonts w:ascii="Book Antiqua" w:eastAsia="Book Antiqua" w:hAnsi="Book Antiqua" w:cs="Book Antiqua"/>
          <w:color w:val="000000"/>
        </w:rPr>
        <w:t xml:space="preserve">and </w:t>
      </w:r>
      <w:r w:rsidR="009C0016">
        <w:rPr>
          <w:rFonts w:ascii="Book Antiqua" w:eastAsia="Book Antiqua" w:hAnsi="Book Antiqua" w:cs="Book Antiqua"/>
          <w:color w:val="000000"/>
        </w:rPr>
        <w:t xml:space="preserve">bilateral </w:t>
      </w:r>
      <w:r w:rsidR="009C0016" w:rsidRPr="009C0016">
        <w:rPr>
          <w:rFonts w:ascii="Book Antiqua" w:eastAsia="Book Antiqua" w:hAnsi="Book Antiqua" w:cs="Book Antiqua"/>
          <w:i/>
          <w:color w:val="000000"/>
        </w:rPr>
        <w:t>vs</w:t>
      </w:r>
      <w:r>
        <w:rPr>
          <w:rFonts w:ascii="Book Antiqua" w:eastAsia="Book Antiqua" w:hAnsi="Book Antiqua" w:cs="Book Antiqua"/>
          <w:color w:val="000000"/>
        </w:rPr>
        <w:t xml:space="preserve"> unilateral</w:t>
      </w:r>
      <w:r w:rsidR="00183011">
        <w:rPr>
          <w:rFonts w:ascii="Book Antiqua" w:eastAsia="Book Antiqua" w:hAnsi="Book Antiqua" w:cs="Book Antiqua"/>
          <w:color w:val="000000"/>
        </w:rPr>
        <w:t xml:space="preserve"> injection;</w:t>
      </w:r>
      <w:r>
        <w:rPr>
          <w:rFonts w:ascii="Book Antiqua" w:eastAsia="Book Antiqua" w:hAnsi="Book Antiqua" w:cs="Book Antiqua"/>
          <w:color w:val="000000"/>
        </w:rPr>
        <w:t xml:space="preserve"> lesion characteristics</w:t>
      </w:r>
      <w:r w:rsidR="00183011">
        <w:rPr>
          <w:rFonts w:ascii="Book Antiqua" w:eastAsia="Book Antiqua" w:hAnsi="Book Antiqua" w:cs="Book Antiqua"/>
          <w:color w:val="000000"/>
        </w:rPr>
        <w:t xml:space="preserve"> for optimization</w:t>
      </w:r>
      <w:r>
        <w:rPr>
          <w:rFonts w:ascii="Book Antiqua" w:eastAsia="Book Antiqua" w:hAnsi="Book Antiqua" w:cs="Book Antiqua"/>
          <w:color w:val="000000"/>
        </w:rPr>
        <w:t xml:space="preserve"> have been reported</w:t>
      </w:r>
      <w:r w:rsidR="00183011">
        <w:rPr>
          <w:rFonts w:ascii="Book Antiqua" w:eastAsia="Book Antiqua" w:hAnsi="Book Antiqua" w:cs="Book Antiqua"/>
          <w:color w:val="000000"/>
        </w:rPr>
        <w:t xml:space="preserve"> as well, but findings are controversial</w:t>
      </w:r>
      <w:r>
        <w:rPr>
          <w:rFonts w:ascii="Book Antiqua" w:eastAsia="Book Antiqua" w:hAnsi="Book Antiqua" w:cs="Book Antiqua"/>
          <w:color w:val="000000"/>
          <w:vertAlign w:val="superscript"/>
        </w:rPr>
        <w:t>[</w:t>
      </w:r>
      <w:hyperlink w:anchor="_ENREF_7" w:tooltip="Koulouris, 2017 #145" w:history="1">
        <w:r>
          <w:rPr>
            <w:rFonts w:ascii="Book Antiqua" w:eastAsia="Book Antiqua" w:hAnsi="Book Antiqua" w:cs="Book Antiqua"/>
            <w:color w:val="000000"/>
            <w:u w:val="single" w:color="0000EE"/>
            <w:vertAlign w:val="superscript"/>
          </w:rPr>
          <w:t>7</w:t>
        </w:r>
      </w:hyperlink>
      <w:r>
        <w:rPr>
          <w:rFonts w:ascii="Book Antiqua" w:eastAsia="Book Antiqua" w:hAnsi="Book Antiqua" w:cs="Book Antiqua"/>
          <w:color w:val="000000"/>
          <w:vertAlign w:val="superscript"/>
        </w:rPr>
        <w:t>,</w:t>
      </w:r>
      <w:hyperlink w:anchor="_ENREF_9" w:tooltip="Lu, 2018 #17" w:history="1">
        <w:r>
          <w:rPr>
            <w:rFonts w:ascii="Book Antiqua" w:eastAsia="Book Antiqua" w:hAnsi="Book Antiqua" w:cs="Book Antiqua"/>
            <w:color w:val="000000"/>
            <w:u w:val="single" w:color="0000EE"/>
            <w:vertAlign w:val="superscript"/>
          </w:rPr>
          <w:t>9-12</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sidR="00183011">
        <w:rPr>
          <w:rFonts w:ascii="Book Antiqua" w:eastAsia="Book Antiqua" w:hAnsi="Book Antiqua" w:cs="Book Antiqua"/>
          <w:color w:val="000000"/>
        </w:rPr>
        <w:t xml:space="preserve">EUS-CPN is </w:t>
      </w:r>
      <w:r>
        <w:rPr>
          <w:rFonts w:ascii="Book Antiqua" w:eastAsia="Book Antiqua" w:hAnsi="Book Antiqua" w:cs="Book Antiqua"/>
          <w:color w:val="000000"/>
        </w:rPr>
        <w:t xml:space="preserve">not recommended for patients suspected of having unfavorable outcomes. Moreover, the data on determinants of pain relief response following EUS-CPN </w:t>
      </w:r>
      <w:r w:rsidR="00183011">
        <w:rPr>
          <w:rFonts w:ascii="Book Antiqua" w:eastAsia="Book Antiqua" w:hAnsi="Book Antiqua" w:cs="Book Antiqua"/>
          <w:color w:val="000000"/>
        </w:rPr>
        <w:t xml:space="preserve">are </w:t>
      </w:r>
      <w:r>
        <w:rPr>
          <w:rFonts w:ascii="Book Antiqua" w:eastAsia="Book Antiqua" w:hAnsi="Book Antiqua" w:cs="Book Antiqua"/>
          <w:color w:val="000000"/>
        </w:rPr>
        <w:t xml:space="preserve">limited and still need to undergo further exploration. In this study, we attempt to summarize the predictive factors for response </w:t>
      </w:r>
      <w:r>
        <w:rPr>
          <w:rFonts w:ascii="Book Antiqua" w:eastAsia="Book Antiqua" w:hAnsi="Book Antiqua" w:cs="Book Antiqua"/>
          <w:color w:val="000000"/>
        </w:rPr>
        <w:lastRenderedPageBreak/>
        <w:t xml:space="preserve">to EUS-CPN in pancreatic cancer with </w:t>
      </w:r>
      <w:r w:rsidR="00183011">
        <w:rPr>
          <w:rFonts w:ascii="Book Antiqua" w:eastAsia="Book Antiqua" w:hAnsi="Book Antiqua" w:cs="Book Antiqua"/>
          <w:color w:val="000000"/>
        </w:rPr>
        <w:t>the</w:t>
      </w:r>
      <w:r>
        <w:rPr>
          <w:rFonts w:ascii="Book Antiqua" w:eastAsia="Book Antiqua" w:hAnsi="Book Antiqua" w:cs="Book Antiqua"/>
          <w:color w:val="000000"/>
        </w:rPr>
        <w:t xml:space="preserve"> goal of providing rational selection of the therapeutic strategies to alleviate pancreatic cancer-associated pain.</w:t>
      </w:r>
    </w:p>
    <w:p w14:paraId="626C73D8" w14:textId="77777777" w:rsidR="00A77B3E" w:rsidRDefault="00A77B3E" w:rsidP="00CD114C">
      <w:pPr>
        <w:adjustRightInd w:val="0"/>
        <w:snapToGrid w:val="0"/>
        <w:spacing w:line="360" w:lineRule="auto"/>
        <w:ind w:firstLine="480"/>
        <w:jc w:val="both"/>
      </w:pPr>
    </w:p>
    <w:p w14:paraId="75A51EDA" w14:textId="77777777" w:rsidR="00A77B3E" w:rsidRDefault="009B365A" w:rsidP="00CD114C">
      <w:pPr>
        <w:adjustRightInd w:val="0"/>
        <w:snapToGrid w:val="0"/>
        <w:spacing w:line="360" w:lineRule="auto"/>
        <w:jc w:val="both"/>
      </w:pPr>
      <w:r>
        <w:rPr>
          <w:rFonts w:ascii="Book Antiqua" w:eastAsia="Book Antiqua" w:hAnsi="Book Antiqua" w:cs="Book Antiqua"/>
          <w:b/>
          <w:caps/>
          <w:color w:val="000000"/>
          <w:u w:val="single"/>
        </w:rPr>
        <w:t>MATERIALS AND METHODS</w:t>
      </w:r>
    </w:p>
    <w:p w14:paraId="5A9D74EC" w14:textId="77777777" w:rsidR="00A77B3E" w:rsidRDefault="009B365A" w:rsidP="00CD114C">
      <w:pPr>
        <w:adjustRightInd w:val="0"/>
        <w:snapToGrid w:val="0"/>
        <w:spacing w:line="360" w:lineRule="auto"/>
        <w:jc w:val="both"/>
      </w:pPr>
      <w:r>
        <w:rPr>
          <w:rFonts w:ascii="Book Antiqua" w:eastAsia="Book Antiqua" w:hAnsi="Book Antiqua" w:cs="Book Antiqua"/>
          <w:b/>
          <w:bCs/>
          <w:i/>
          <w:iCs/>
          <w:color w:val="000000"/>
        </w:rPr>
        <w:t>Study population</w:t>
      </w:r>
    </w:p>
    <w:p w14:paraId="659B78F1" w14:textId="5654FDAF" w:rsidR="00A77B3E" w:rsidRDefault="009B365A" w:rsidP="00CD114C">
      <w:pPr>
        <w:adjustRightInd w:val="0"/>
        <w:snapToGrid w:val="0"/>
        <w:spacing w:line="360" w:lineRule="auto"/>
        <w:jc w:val="both"/>
      </w:pPr>
      <w:r>
        <w:rPr>
          <w:rFonts w:ascii="Book Antiqua" w:eastAsia="Book Antiqua" w:hAnsi="Book Antiqua" w:cs="Book Antiqua"/>
          <w:color w:val="000000"/>
        </w:rPr>
        <w:t>A total of 58 patients who were diagnosed with pancreatic cancer and underwent EUS-CPN over a 4-year period</w:t>
      </w:r>
      <w:r w:rsidR="00654B26">
        <w:rPr>
          <w:rFonts w:ascii="Book Antiqua" w:hAnsi="Book Antiqua" w:cs="Book Antiqua" w:hint="eastAsia"/>
          <w:color w:val="000000"/>
          <w:lang w:eastAsia="zh-CN"/>
        </w:rPr>
        <w:t xml:space="preserve"> (</w:t>
      </w:r>
      <w:r>
        <w:rPr>
          <w:rFonts w:ascii="Book Antiqua" w:eastAsia="Book Antiqua" w:hAnsi="Book Antiqua" w:cs="Book Antiqua"/>
          <w:color w:val="000000"/>
        </w:rPr>
        <w:t>from January 2015 to December 2018</w:t>
      </w:r>
      <w:r w:rsidR="00654B26">
        <w:rPr>
          <w:rFonts w:ascii="Book Antiqua" w:hAnsi="Book Antiqua" w:cs="Book Antiqua" w:hint="eastAsia"/>
          <w:color w:val="000000"/>
          <w:lang w:eastAsia="zh-CN"/>
        </w:rPr>
        <w:t>)</w:t>
      </w:r>
      <w:r w:rsidR="009B1B96">
        <w:rPr>
          <w:rFonts w:ascii="Book Antiqua" w:hAnsi="Book Antiqua" w:cs="Book Antiqua"/>
          <w:color w:val="000000"/>
          <w:lang w:eastAsia="zh-CN"/>
        </w:rPr>
        <w:t xml:space="preserve"> were included</w:t>
      </w:r>
      <w:r w:rsidR="00654B26">
        <w:rPr>
          <w:rFonts w:ascii="Book Antiqua" w:hAnsi="Book Antiqua" w:cs="Book Antiqua" w:hint="eastAsia"/>
          <w:color w:val="000000"/>
          <w:lang w:eastAsia="zh-CN"/>
        </w:rPr>
        <w:t xml:space="preserve"> </w:t>
      </w:r>
      <w:r>
        <w:rPr>
          <w:rFonts w:ascii="Book Antiqua" w:eastAsia="Book Antiqua" w:hAnsi="Book Antiqua" w:cs="Book Antiqua"/>
          <w:color w:val="000000"/>
        </w:rPr>
        <w:t>in this study. The inclusion criteria were as follows: (1) Patients over the age of 18 years; (2) Complete information; (3) Presence of unresectable or metastatic pancreatic cancer; (4) No receiving any palliative chemo</w:t>
      </w:r>
      <w:r w:rsidR="009B1B96">
        <w:rPr>
          <w:rFonts w:ascii="Book Antiqua" w:eastAsia="Book Antiqua" w:hAnsi="Book Antiqua" w:cs="Book Antiqua"/>
          <w:color w:val="000000"/>
        </w:rPr>
        <w:t>therapy</w:t>
      </w:r>
      <w:r>
        <w:rPr>
          <w:rFonts w:ascii="Book Antiqua" w:eastAsia="Book Antiqua" w:hAnsi="Book Antiqua" w:cs="Book Antiqua"/>
          <w:color w:val="000000"/>
        </w:rPr>
        <w:t xml:space="preserve"> or radiation</w:t>
      </w:r>
      <w:r w:rsidR="009B1B96">
        <w:rPr>
          <w:rFonts w:ascii="Book Antiqua" w:eastAsia="Book Antiqua" w:hAnsi="Book Antiqua" w:cs="Book Antiqua"/>
          <w:color w:val="000000"/>
        </w:rPr>
        <w:t xml:space="preserve"> therapy</w:t>
      </w:r>
      <w:r>
        <w:rPr>
          <w:rFonts w:ascii="Book Antiqua" w:eastAsia="Book Antiqua" w:hAnsi="Book Antiqua" w:cs="Book Antiqua"/>
          <w:color w:val="000000"/>
        </w:rPr>
        <w:t>; (5) No bleeding tendency (international normalized ratio ≤ 1.5 or platelet count ≥ 50,000 × 10</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/L); (6) No esophageal or gastric varices; and (7) Enduring abdominal or back pain due to confirmed pancreatic malignancy diagnosed by EUS guided fine-needle aspiration/biopsy or percutaneous biopsy. The study was approved by the Ethics Committee of Tongji Medical College, Huazhong University of Science and Technology (IORG No: IORG0003571). All patients signed informed consent for EUS operation</w:t>
      </w:r>
      <w:r w:rsidR="009B1B96">
        <w:rPr>
          <w:rFonts w:ascii="Book Antiqua" w:eastAsia="Book Antiqua" w:hAnsi="Book Antiqua" w:cs="Book Antiqua"/>
          <w:color w:val="000000"/>
        </w:rPr>
        <w:t>,</w:t>
      </w:r>
      <w:r>
        <w:rPr>
          <w:rFonts w:ascii="Book Antiqua" w:eastAsia="Book Antiqua" w:hAnsi="Book Antiqua" w:cs="Book Antiqua"/>
          <w:color w:val="000000"/>
        </w:rPr>
        <w:t xml:space="preserve"> and data </w:t>
      </w:r>
      <w:r w:rsidR="009B1B96">
        <w:rPr>
          <w:rFonts w:ascii="Book Antiqua" w:eastAsia="Book Antiqua" w:hAnsi="Book Antiqua" w:cs="Book Antiqua"/>
          <w:color w:val="000000"/>
        </w:rPr>
        <w:t>were</w:t>
      </w:r>
      <w:r>
        <w:rPr>
          <w:rFonts w:ascii="Book Antiqua" w:eastAsia="Book Antiqua" w:hAnsi="Book Antiqua" w:cs="Book Antiqua"/>
          <w:color w:val="000000"/>
        </w:rPr>
        <w:t xml:space="preserve"> anonymized and de-identified. </w:t>
      </w:r>
    </w:p>
    <w:p w14:paraId="187BB562" w14:textId="77777777" w:rsidR="00A77B3E" w:rsidRDefault="00A77B3E" w:rsidP="00CD114C">
      <w:pPr>
        <w:adjustRightInd w:val="0"/>
        <w:snapToGrid w:val="0"/>
        <w:spacing w:line="360" w:lineRule="auto"/>
        <w:jc w:val="both"/>
      </w:pPr>
    </w:p>
    <w:p w14:paraId="5CEA1F6E" w14:textId="26694EDA" w:rsidR="00A77B3E" w:rsidRDefault="009B365A" w:rsidP="00CD114C">
      <w:pPr>
        <w:adjustRightInd w:val="0"/>
        <w:snapToGrid w:val="0"/>
        <w:spacing w:line="360" w:lineRule="auto"/>
        <w:jc w:val="both"/>
      </w:pPr>
      <w:r>
        <w:rPr>
          <w:rFonts w:ascii="Book Antiqua" w:eastAsia="Book Antiqua" w:hAnsi="Book Antiqua" w:cs="Book Antiqua"/>
          <w:b/>
          <w:bCs/>
          <w:i/>
          <w:iCs/>
          <w:color w:val="000000"/>
        </w:rPr>
        <w:t xml:space="preserve">Endoscopic </w:t>
      </w:r>
      <w:r w:rsidR="002B09B1">
        <w:rPr>
          <w:rFonts w:ascii="Book Antiqua" w:eastAsia="Book Antiqua" w:hAnsi="Book Antiqua" w:cs="Book Antiqua"/>
          <w:b/>
          <w:bCs/>
          <w:i/>
          <w:iCs/>
          <w:color w:val="000000"/>
        </w:rPr>
        <w:t>p</w:t>
      </w:r>
      <w:r>
        <w:rPr>
          <w:rFonts w:ascii="Book Antiqua" w:eastAsia="Book Antiqua" w:hAnsi="Book Antiqua" w:cs="Book Antiqua"/>
          <w:b/>
          <w:bCs/>
          <w:i/>
          <w:iCs/>
          <w:color w:val="000000"/>
        </w:rPr>
        <w:t>rocedure in EUS-CPN</w:t>
      </w:r>
    </w:p>
    <w:p w14:paraId="1CC4ACF5" w14:textId="5197F486" w:rsidR="00A77B3E" w:rsidRDefault="009B365A" w:rsidP="00CD114C">
      <w:pPr>
        <w:adjustRightInd w:val="0"/>
        <w:snapToGrid w:val="0"/>
        <w:spacing w:line="360" w:lineRule="auto"/>
        <w:jc w:val="both"/>
      </w:pPr>
      <w:r>
        <w:rPr>
          <w:rFonts w:ascii="Book Antiqua" w:eastAsia="Book Antiqua" w:hAnsi="Book Antiqua" w:cs="Book Antiqua"/>
          <w:color w:val="000000"/>
        </w:rPr>
        <w:t>Patients were hydrated with 500-1000 mL saline solution during the procedure to minimize the risk of hypotension. They were placed in the left lateral decubitus position</w:t>
      </w:r>
      <w:r w:rsidR="009B1B96">
        <w:rPr>
          <w:rFonts w:ascii="Book Antiqua" w:eastAsia="Book Antiqua" w:hAnsi="Book Antiqua" w:cs="Book Antiqua"/>
          <w:color w:val="000000"/>
        </w:rPr>
        <w:t>,</w:t>
      </w:r>
      <w:r>
        <w:rPr>
          <w:rFonts w:ascii="Book Antiqua" w:eastAsia="Book Antiqua" w:hAnsi="Book Antiqua" w:cs="Book Antiqua"/>
          <w:color w:val="000000"/>
        </w:rPr>
        <w:t xml:space="preserve"> and propofol was administered for deep sedation. Vital signs were continuously monitored with an automated non-invasive blood pressure measurement, electrocardiogram</w:t>
      </w:r>
      <w:r w:rsidR="00E06D21">
        <w:rPr>
          <w:rFonts w:ascii="Book Antiqua" w:eastAsia="Book Antiqua" w:hAnsi="Book Antiqua" w:cs="Book Antiqua"/>
          <w:color w:val="000000"/>
        </w:rPr>
        <w:t>,</w:t>
      </w:r>
      <w:r>
        <w:rPr>
          <w:rFonts w:ascii="Book Antiqua" w:eastAsia="Book Antiqua" w:hAnsi="Book Antiqua" w:cs="Book Antiqua"/>
          <w:color w:val="000000"/>
        </w:rPr>
        <w:t xml:space="preserve"> and pulse oximetry. </w:t>
      </w:r>
    </w:p>
    <w:p w14:paraId="402BFF5B" w14:textId="210AD91A" w:rsidR="00A77B3E" w:rsidRDefault="009B365A" w:rsidP="00CD114C">
      <w:pPr>
        <w:adjustRightInd w:val="0"/>
        <w:snapToGrid w:val="0"/>
        <w:spacing w:line="360" w:lineRule="auto"/>
        <w:ind w:firstLine="360"/>
        <w:jc w:val="both"/>
      </w:pPr>
      <w:r>
        <w:rPr>
          <w:rFonts w:ascii="Book Antiqua" w:eastAsia="Book Antiqua" w:hAnsi="Book Antiqua" w:cs="Book Antiqua"/>
          <w:color w:val="000000"/>
        </w:rPr>
        <w:t xml:space="preserve">EUS-CPN was performed by using the Olympus processor EU-ME2 with a linear array endoscopic ultrasonography (GF-UCT 260; Olympus, Tokyo, Japan). By tracing the aorta under real-time EUS guidance, the base of the celiac artery was identified. </w:t>
      </w:r>
      <w:r w:rsidR="00E06D21">
        <w:rPr>
          <w:rFonts w:ascii="Book Antiqua" w:eastAsia="Book Antiqua" w:hAnsi="Book Antiqua" w:cs="Book Antiqua"/>
          <w:color w:val="000000"/>
        </w:rPr>
        <w:t>C</w:t>
      </w:r>
      <w:r>
        <w:rPr>
          <w:rFonts w:ascii="Book Antiqua" w:eastAsia="Book Antiqua" w:hAnsi="Book Antiqua" w:cs="Book Antiqua"/>
          <w:color w:val="000000"/>
        </w:rPr>
        <w:t>eliac ganglia could be visualized between the celiac artery and the left adrenal gland. Typically for CPN unilateral injection, an Echo Tip 22-gauge needle (Cook Medical, Inc.</w:t>
      </w:r>
      <w:r w:rsidR="003D62B7">
        <w:rPr>
          <w:rFonts w:ascii="Book Antiqua" w:eastAsia="Book Antiqua" w:hAnsi="Book Antiqua" w:cs="Book Antiqua"/>
          <w:color w:val="000000"/>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Winston-Salem, NC</w:t>
      </w:r>
      <w:r w:rsidR="002B09B1">
        <w:rPr>
          <w:rFonts w:ascii="Book Antiqua" w:hAnsi="Book Antiqua" w:cs="Book Antiqua" w:hint="eastAsia"/>
          <w:color w:val="000000"/>
          <w:lang w:eastAsia="zh-CN"/>
        </w:rPr>
        <w:t>, United States</w:t>
      </w:r>
      <w:r>
        <w:rPr>
          <w:rFonts w:ascii="Book Antiqua" w:eastAsia="Book Antiqua" w:hAnsi="Book Antiqua" w:cs="Book Antiqua"/>
          <w:color w:val="000000"/>
        </w:rPr>
        <w:t xml:space="preserve">) primed with normal saline solution was inserted into the operating channel, affixed to the hub, </w:t>
      </w:r>
      <w:r w:rsidR="00E06D21">
        <w:rPr>
          <w:rFonts w:ascii="Book Antiqua" w:eastAsia="Book Antiqua" w:hAnsi="Book Antiqua" w:cs="Book Antiqua"/>
          <w:color w:val="000000"/>
        </w:rPr>
        <w:t xml:space="preserve">and </w:t>
      </w:r>
      <w:r>
        <w:rPr>
          <w:rFonts w:ascii="Book Antiqua" w:eastAsia="Book Antiqua" w:hAnsi="Book Antiqua" w:cs="Book Antiqua"/>
          <w:color w:val="000000"/>
        </w:rPr>
        <w:t>placed adjacent</w:t>
      </w:r>
      <w:r w:rsidR="00E06D21">
        <w:rPr>
          <w:rFonts w:ascii="Book Antiqua" w:eastAsia="Book Antiqua" w:hAnsi="Book Antiqua" w:cs="Book Antiqua"/>
          <w:color w:val="000000"/>
        </w:rPr>
        <w:t xml:space="preserve"> to</w:t>
      </w:r>
      <w:r>
        <w:rPr>
          <w:rFonts w:ascii="Book Antiqua" w:eastAsia="Book Antiqua" w:hAnsi="Book Antiqua" w:cs="Book Antiqua"/>
          <w:color w:val="000000"/>
        </w:rPr>
        <w:t xml:space="preserve"> the base of the celiac trunk at its origin from the aorta. In cases with bilateral injection, the same procedure was done, but injections were done at both sides of the celiac trunk with clockwise and counter-clockwise rotation (half of the dehydrated 98% absolute alcohol was injected</w:t>
      </w:r>
      <w:r w:rsidR="00E06D21">
        <w:rPr>
          <w:rFonts w:ascii="Book Antiqua" w:eastAsia="Book Antiqua" w:hAnsi="Book Antiqua" w:cs="Book Antiqua"/>
          <w:color w:val="000000"/>
        </w:rPr>
        <w:t xml:space="preserve"> in</w:t>
      </w:r>
      <w:r>
        <w:rPr>
          <w:rFonts w:ascii="Book Antiqua" w:eastAsia="Book Antiqua" w:hAnsi="Book Antiqua" w:cs="Book Antiqua"/>
          <w:color w:val="000000"/>
        </w:rPr>
        <w:t xml:space="preserve"> each side)</w:t>
      </w:r>
      <w:r>
        <w:rPr>
          <w:rFonts w:ascii="Book Antiqua" w:eastAsia="Book Antiqua" w:hAnsi="Book Antiqua" w:cs="Book Antiqua"/>
          <w:color w:val="000000"/>
          <w:vertAlign w:val="superscript"/>
        </w:rPr>
        <w:t>[</w:t>
      </w:r>
      <w:hyperlink w:anchor="_ENREF_13" w:tooltip="Tellez-Avila, 2013 #20" w:history="1">
        <w:r>
          <w:rPr>
            <w:rFonts w:ascii="Book Antiqua" w:eastAsia="Book Antiqua" w:hAnsi="Book Antiqua" w:cs="Book Antiqua"/>
            <w:color w:val="000000"/>
            <w:u w:val="single" w:color="0000EE"/>
            <w:vertAlign w:val="superscript"/>
          </w:rPr>
          <w:t>13</w:t>
        </w:r>
      </w:hyperlink>
      <w:r>
        <w:rPr>
          <w:rFonts w:ascii="Book Antiqua" w:eastAsia="Book Antiqua" w:hAnsi="Book Antiqua" w:cs="Book Antiqua"/>
          <w:color w:val="000000"/>
          <w:vertAlign w:val="superscript"/>
        </w:rPr>
        <w:t>,</w:t>
      </w:r>
      <w:hyperlink w:anchor="_ENREF_14" w:tooltip="LeBlanc, 2011 #14" w:history="1">
        <w:r>
          <w:rPr>
            <w:rFonts w:ascii="Book Antiqua" w:eastAsia="Book Antiqua" w:hAnsi="Book Antiqua" w:cs="Book Antiqua"/>
            <w:color w:val="000000"/>
            <w:u w:val="single" w:color="0000EE"/>
            <w:vertAlign w:val="superscript"/>
          </w:rPr>
          <w:t>14</w:t>
        </w:r>
      </w:hyperlink>
      <w:r>
        <w:rPr>
          <w:rFonts w:ascii="Book Antiqua" w:eastAsia="Book Antiqua" w:hAnsi="Book Antiqua" w:cs="Book Antiqua"/>
          <w:color w:val="000000"/>
          <w:vertAlign w:val="superscript"/>
        </w:rPr>
        <w:t>]</w:t>
      </w:r>
      <w:r w:rsidRPr="00E235A9">
        <w:rPr>
          <w:rFonts w:ascii="Book Antiqua" w:eastAsia="Book Antiqua" w:hAnsi="Book Antiqua" w:cs="Book Antiqua"/>
          <w:color w:val="000000"/>
        </w:rPr>
        <w:t>.</w:t>
      </w:r>
      <w:r>
        <w:rPr>
          <w:rFonts w:ascii="Book Antiqua" w:eastAsia="Book Antiqua" w:hAnsi="Book Antiqua" w:cs="Book Antiqua"/>
          <w:color w:val="000000"/>
        </w:rPr>
        <w:t xml:space="preserve"> After confirming no backflow of blood occurred, the celiac plexus injection by dehydrated 98% absolute alcohol was </w:t>
      </w:r>
      <w:r w:rsidR="00E06D21">
        <w:rPr>
          <w:rFonts w:ascii="Book Antiqua" w:eastAsia="Book Antiqua" w:hAnsi="Book Antiqua" w:cs="Book Antiqua"/>
          <w:color w:val="000000"/>
        </w:rPr>
        <w:t xml:space="preserve">directly </w:t>
      </w:r>
      <w:r>
        <w:rPr>
          <w:rFonts w:ascii="Book Antiqua" w:eastAsia="Book Antiqua" w:hAnsi="Book Antiqua" w:cs="Book Antiqua"/>
          <w:color w:val="000000"/>
        </w:rPr>
        <w:t xml:space="preserve">applied. A dense hyperechoic cloud was usually seen in the area of injection, and the injection was continued until spilling to the </w:t>
      </w:r>
      <w:proofErr w:type="spellStart"/>
      <w:r>
        <w:rPr>
          <w:rFonts w:ascii="Book Antiqua" w:eastAsia="Book Antiqua" w:hAnsi="Book Antiqua" w:cs="Book Antiqua"/>
          <w:color w:val="000000"/>
        </w:rPr>
        <w:t>periganglionic</w:t>
      </w:r>
      <w:proofErr w:type="spellEnd"/>
      <w:r>
        <w:rPr>
          <w:rFonts w:ascii="Book Antiqua" w:eastAsia="Book Antiqua" w:hAnsi="Book Antiqua" w:cs="Book Antiqua"/>
          <w:color w:val="000000"/>
        </w:rPr>
        <w:t xml:space="preserve"> space (Supplemental </w:t>
      </w:r>
      <w:r w:rsidR="0069306A">
        <w:rPr>
          <w:rFonts w:ascii="Book Antiqua" w:eastAsia="Book Antiqua" w:hAnsi="Book Antiqua" w:cs="Book Antiqua"/>
          <w:color w:val="000000"/>
        </w:rPr>
        <w:t>m</w:t>
      </w:r>
      <w:r>
        <w:rPr>
          <w:rFonts w:ascii="Book Antiqua" w:eastAsia="Book Antiqua" w:hAnsi="Book Antiqua" w:cs="Book Antiqua"/>
          <w:color w:val="000000"/>
        </w:rPr>
        <w:t xml:space="preserve">aterial). Whether </w:t>
      </w:r>
      <w:r w:rsidR="00E06D21">
        <w:rPr>
          <w:rFonts w:ascii="Book Antiqua" w:eastAsia="Book Antiqua" w:hAnsi="Book Antiqua" w:cs="Book Antiqua"/>
          <w:color w:val="000000"/>
        </w:rPr>
        <w:t>a</w:t>
      </w:r>
      <w:r>
        <w:rPr>
          <w:rFonts w:ascii="Book Antiqua" w:eastAsia="Book Antiqua" w:hAnsi="Book Antiqua" w:cs="Book Antiqua"/>
          <w:color w:val="000000"/>
        </w:rPr>
        <w:t xml:space="preserve"> bilateral injection</w:t>
      </w:r>
      <w:r w:rsidR="00E06D21">
        <w:rPr>
          <w:rFonts w:ascii="Book Antiqua" w:eastAsia="Book Antiqua" w:hAnsi="Book Antiqua" w:cs="Book Antiqua"/>
          <w:color w:val="000000"/>
        </w:rPr>
        <w:t xml:space="preserve"> was carried out</w:t>
      </w:r>
      <w:r>
        <w:rPr>
          <w:rFonts w:ascii="Book Antiqua" w:eastAsia="Book Antiqua" w:hAnsi="Book Antiqua" w:cs="Book Antiqua"/>
          <w:color w:val="000000"/>
        </w:rPr>
        <w:t xml:space="preserve"> depended on the locations of intervening vessels, the tumor status</w:t>
      </w:r>
      <w:r w:rsidR="00E06D21">
        <w:rPr>
          <w:rFonts w:ascii="Book Antiqua" w:eastAsia="Book Antiqua" w:hAnsi="Book Antiqua" w:cs="Book Antiqua"/>
          <w:color w:val="000000"/>
        </w:rPr>
        <w:t>,</w:t>
      </w:r>
      <w:r>
        <w:rPr>
          <w:rFonts w:ascii="Book Antiqua" w:eastAsia="Book Antiqua" w:hAnsi="Book Antiqua" w:cs="Book Antiqua"/>
          <w:color w:val="000000"/>
        </w:rPr>
        <w:t xml:space="preserve"> and invasi</w:t>
      </w:r>
      <w:r w:rsidR="00E06D21">
        <w:rPr>
          <w:rFonts w:ascii="Book Antiqua" w:eastAsia="Book Antiqua" w:hAnsi="Book Antiqua" w:cs="Book Antiqua"/>
          <w:color w:val="000000"/>
        </w:rPr>
        <w:t>on</w:t>
      </w:r>
      <w:r>
        <w:rPr>
          <w:rFonts w:ascii="Book Antiqua" w:eastAsia="Book Antiqua" w:hAnsi="Book Antiqua" w:cs="Book Antiqua"/>
          <w:color w:val="000000"/>
        </w:rPr>
        <w:t xml:space="preserve"> of the celiac plexus or not. Tumors extending to the para-aortic region from the level of the celiac axis to the origin of SMA were considered invasive of the celiac plexus. No antibiotics were administered before or post-CPN. All procedures were performed by a single endosonographer.</w:t>
      </w:r>
    </w:p>
    <w:p w14:paraId="72F0236B" w14:textId="77777777" w:rsidR="00A77B3E" w:rsidRDefault="00A77B3E" w:rsidP="00CD114C">
      <w:pPr>
        <w:adjustRightInd w:val="0"/>
        <w:snapToGrid w:val="0"/>
        <w:spacing w:line="360" w:lineRule="auto"/>
        <w:ind w:firstLine="360"/>
        <w:jc w:val="both"/>
      </w:pPr>
    </w:p>
    <w:p w14:paraId="018BA627" w14:textId="77777777" w:rsidR="00A77B3E" w:rsidRDefault="009B365A" w:rsidP="00CD114C">
      <w:pPr>
        <w:adjustRightInd w:val="0"/>
        <w:snapToGrid w:val="0"/>
        <w:spacing w:line="360" w:lineRule="auto"/>
        <w:jc w:val="both"/>
      </w:pPr>
      <w:r>
        <w:rPr>
          <w:rFonts w:ascii="Book Antiqua" w:eastAsia="Book Antiqua" w:hAnsi="Book Antiqua" w:cs="Book Antiqua"/>
          <w:b/>
          <w:bCs/>
          <w:i/>
          <w:iCs/>
          <w:color w:val="000000"/>
        </w:rPr>
        <w:t>Pain scores</w:t>
      </w:r>
    </w:p>
    <w:p w14:paraId="6571D765" w14:textId="4C27FD9D" w:rsidR="00A77B3E" w:rsidRDefault="009B365A" w:rsidP="00CD114C">
      <w:pPr>
        <w:adjustRightInd w:val="0"/>
        <w:snapToGrid w:val="0"/>
        <w:spacing w:line="360" w:lineRule="auto"/>
        <w:jc w:val="both"/>
      </w:pPr>
      <w:r>
        <w:rPr>
          <w:rFonts w:ascii="Book Antiqua" w:eastAsia="Book Antiqua" w:hAnsi="Book Antiqua" w:cs="Book Antiqua"/>
          <w:color w:val="000000"/>
        </w:rPr>
        <w:t>Pain intensity w</w:t>
      </w:r>
      <w:r w:rsidR="00E06D21">
        <w:rPr>
          <w:rFonts w:ascii="Book Antiqua" w:eastAsia="Book Antiqua" w:hAnsi="Book Antiqua" w:cs="Book Antiqua"/>
          <w:color w:val="000000"/>
        </w:rPr>
        <w:t>as</w:t>
      </w:r>
      <w:r>
        <w:rPr>
          <w:rFonts w:ascii="Book Antiqua" w:eastAsia="Book Antiqua" w:hAnsi="Book Antiqua" w:cs="Book Antiqua"/>
          <w:color w:val="000000"/>
        </w:rPr>
        <w:t xml:space="preserve"> evaluated by telephone interview and </w:t>
      </w:r>
      <w:r w:rsidR="00E06D21">
        <w:rPr>
          <w:rFonts w:ascii="Book Antiqua" w:eastAsia="Book Antiqua" w:hAnsi="Book Antiqua" w:cs="Book Antiqua"/>
          <w:color w:val="000000"/>
        </w:rPr>
        <w:t xml:space="preserve">done </w:t>
      </w:r>
      <w:r>
        <w:rPr>
          <w:rFonts w:ascii="Book Antiqua" w:eastAsia="Book Antiqua" w:hAnsi="Book Antiqua" w:cs="Book Antiqua"/>
          <w:color w:val="000000"/>
        </w:rPr>
        <w:t xml:space="preserve">objectively using a continuous visual analog scale (VAS), with 0 as no pain and 10 as worst possible pain. Detailed instructions explaining how to assess the VAS were read and the patients then informed the best VAS score that reflected their pain status. </w:t>
      </w:r>
      <w:r w:rsidR="00E06D21">
        <w:rPr>
          <w:rFonts w:ascii="Book Antiqua" w:eastAsia="Book Antiqua" w:hAnsi="Book Antiqua" w:cs="Book Antiqua"/>
          <w:color w:val="000000"/>
        </w:rPr>
        <w:t>G</w:t>
      </w:r>
      <w:r>
        <w:rPr>
          <w:rFonts w:ascii="Book Antiqua" w:eastAsia="Book Antiqua" w:hAnsi="Book Antiqua" w:cs="Book Antiqua"/>
          <w:color w:val="000000"/>
        </w:rPr>
        <w:t>ood pain relief was defined as a decrease in the pain score by ≥ 3 or a ≥ 30% reduction in baseline pain without any increase in the narcotic daily dosing</w:t>
      </w:r>
      <w:r>
        <w:rPr>
          <w:rFonts w:ascii="Book Antiqua" w:eastAsia="Book Antiqua" w:hAnsi="Book Antiqua" w:cs="Book Antiqua"/>
          <w:color w:val="000000"/>
          <w:vertAlign w:val="superscript"/>
        </w:rPr>
        <w:t>[</w:t>
      </w:r>
      <w:hyperlink w:anchor="_ENREF_15" w:tooltip="Si-Jie, 2014 #160" w:history="1">
        <w:r>
          <w:rPr>
            <w:rFonts w:ascii="Book Antiqua" w:eastAsia="Book Antiqua" w:hAnsi="Book Antiqua" w:cs="Book Antiqua"/>
            <w:color w:val="000000"/>
            <w:u w:val="single" w:color="0000EE"/>
            <w:vertAlign w:val="superscript"/>
          </w:rPr>
          <w:t>15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If the patients had no pain improvement</w:t>
      </w:r>
      <w:r w:rsidR="00E06D21">
        <w:rPr>
          <w:rFonts w:ascii="Book Antiqua" w:eastAsia="Book Antiqua" w:hAnsi="Book Antiqua" w:cs="Book Antiqua"/>
          <w:color w:val="000000"/>
        </w:rPr>
        <w:t xml:space="preserve"> or</w:t>
      </w:r>
      <w:r>
        <w:rPr>
          <w:rFonts w:ascii="Book Antiqua" w:eastAsia="Book Antiqua" w:hAnsi="Book Antiqua" w:cs="Book Antiqua"/>
          <w:color w:val="000000"/>
        </w:rPr>
        <w:t xml:space="preserve"> </w:t>
      </w:r>
      <w:r w:rsidR="00E06D21">
        <w:rPr>
          <w:rFonts w:ascii="Book Antiqua" w:eastAsia="Book Antiqua" w:hAnsi="Book Antiqua" w:cs="Book Antiqua"/>
          <w:color w:val="000000"/>
        </w:rPr>
        <w:t xml:space="preserve">markedly </w:t>
      </w:r>
      <w:r>
        <w:rPr>
          <w:rFonts w:ascii="Book Antiqua" w:eastAsia="Book Antiqua" w:hAnsi="Book Antiqua" w:cs="Book Antiqua"/>
          <w:color w:val="000000"/>
        </w:rPr>
        <w:t xml:space="preserve">increased </w:t>
      </w:r>
      <w:r w:rsidR="00E06D21">
        <w:rPr>
          <w:rFonts w:ascii="Book Antiqua" w:eastAsia="Book Antiqua" w:hAnsi="Book Antiqua" w:cs="Book Antiqua"/>
          <w:color w:val="000000"/>
        </w:rPr>
        <w:t>pain</w:t>
      </w:r>
      <w:r>
        <w:rPr>
          <w:rFonts w:ascii="Book Antiqua" w:eastAsia="Book Antiqua" w:hAnsi="Book Antiqua" w:cs="Book Antiqua"/>
          <w:color w:val="000000"/>
        </w:rPr>
        <w:t xml:space="preserve"> or required additional doses of narcotic agents 1 wk after</w:t>
      </w:r>
      <w:r w:rsidR="00E06D21">
        <w:rPr>
          <w:rFonts w:ascii="Book Antiqua" w:eastAsia="Book Antiqua" w:hAnsi="Book Antiqua" w:cs="Book Antiqua"/>
          <w:color w:val="000000"/>
        </w:rPr>
        <w:t xml:space="preserve"> the procedure,</w:t>
      </w:r>
      <w:r>
        <w:rPr>
          <w:rFonts w:ascii="Book Antiqua" w:eastAsia="Book Antiqua" w:hAnsi="Book Antiqua" w:cs="Book Antiqua"/>
          <w:color w:val="000000"/>
        </w:rPr>
        <w:t xml:space="preserve"> the procedure </w:t>
      </w:r>
      <w:r w:rsidR="00E06D21">
        <w:rPr>
          <w:rFonts w:ascii="Book Antiqua" w:eastAsia="Book Antiqua" w:hAnsi="Book Antiqua" w:cs="Book Antiqua"/>
          <w:color w:val="000000"/>
        </w:rPr>
        <w:t xml:space="preserve">was </w:t>
      </w:r>
      <w:r>
        <w:rPr>
          <w:rFonts w:ascii="Book Antiqua" w:eastAsia="Book Antiqua" w:hAnsi="Book Antiqua" w:cs="Book Antiqua"/>
          <w:color w:val="000000"/>
        </w:rPr>
        <w:t xml:space="preserve">considered to be a failure. </w:t>
      </w:r>
    </w:p>
    <w:p w14:paraId="5B61247E" w14:textId="77777777" w:rsidR="00A77B3E" w:rsidRDefault="00A77B3E" w:rsidP="00CD114C">
      <w:pPr>
        <w:adjustRightInd w:val="0"/>
        <w:snapToGrid w:val="0"/>
        <w:spacing w:line="360" w:lineRule="auto"/>
        <w:jc w:val="both"/>
      </w:pPr>
    </w:p>
    <w:p w14:paraId="38C1E32B" w14:textId="77777777" w:rsidR="00A77B3E" w:rsidRDefault="009B365A" w:rsidP="00CD114C">
      <w:pPr>
        <w:adjustRightInd w:val="0"/>
        <w:snapToGrid w:val="0"/>
        <w:spacing w:line="360" w:lineRule="auto"/>
        <w:jc w:val="both"/>
      </w:pPr>
      <w:r>
        <w:rPr>
          <w:rFonts w:ascii="Book Antiqua" w:eastAsia="Book Antiqua" w:hAnsi="Book Antiqua" w:cs="Book Antiqua"/>
          <w:b/>
          <w:bCs/>
          <w:i/>
          <w:iCs/>
          <w:color w:val="000000"/>
        </w:rPr>
        <w:t>Outcomes measures</w:t>
      </w:r>
    </w:p>
    <w:p w14:paraId="0134C9F5" w14:textId="21E5D679" w:rsidR="00A77B3E" w:rsidRDefault="009B365A" w:rsidP="00CD114C">
      <w:pPr>
        <w:adjustRightInd w:val="0"/>
        <w:snapToGrid w:val="0"/>
        <w:spacing w:line="360" w:lineRule="auto"/>
        <w:jc w:val="both"/>
      </w:pPr>
      <w:r>
        <w:rPr>
          <w:rFonts w:ascii="Book Antiqua" w:eastAsia="Book Antiqua" w:hAnsi="Book Antiqua" w:cs="Book Antiqua"/>
          <w:color w:val="000000"/>
        </w:rPr>
        <w:t>Primary outcomes included the efficacy of EUS-CPN and the difference in pain control by VAS</w:t>
      </w:r>
      <w:r w:rsidR="001C7ED0">
        <w:rPr>
          <w:rFonts w:ascii="Book Antiqua" w:eastAsia="Book Antiqua" w:hAnsi="Book Antiqua" w:cs="Book Antiqua"/>
          <w:color w:val="000000"/>
        </w:rPr>
        <w:t xml:space="preserve"> was compared</w:t>
      </w:r>
      <w:r>
        <w:rPr>
          <w:rFonts w:ascii="Book Antiqua" w:eastAsia="Book Antiqua" w:hAnsi="Book Antiqua" w:cs="Book Antiqua"/>
          <w:color w:val="000000"/>
        </w:rPr>
        <w:t xml:space="preserve">. Pain management was evaluated at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and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CPN procedure. Secondary outcomes included analgesia requirement and adverse </w:t>
      </w:r>
      <w:r>
        <w:rPr>
          <w:rFonts w:ascii="Book Antiqua" w:eastAsia="Book Antiqua" w:hAnsi="Book Antiqua" w:cs="Book Antiqua"/>
          <w:color w:val="000000"/>
        </w:rPr>
        <w:lastRenderedPageBreak/>
        <w:t xml:space="preserve">events. To minimize subjective variations in the evaluation of outcomes, the same authorized staff who was unaware of the detailed endoscopic procedures collected the outcomes </w:t>
      </w:r>
      <w:r w:rsidR="00375D9F">
        <w:rPr>
          <w:rFonts w:ascii="Book Antiqua" w:eastAsia="Book Antiqua" w:hAnsi="Book Antiqua" w:cs="Book Antiqua"/>
          <w:color w:val="000000"/>
        </w:rPr>
        <w:t xml:space="preserve">of </w:t>
      </w:r>
      <w:r>
        <w:rPr>
          <w:rFonts w:ascii="Book Antiqua" w:eastAsia="Book Antiqua" w:hAnsi="Book Antiqua" w:cs="Book Antiqua"/>
          <w:color w:val="000000"/>
        </w:rPr>
        <w:t xml:space="preserve">all patients. </w:t>
      </w:r>
    </w:p>
    <w:p w14:paraId="61346D9B" w14:textId="77777777" w:rsidR="00A77B3E" w:rsidRDefault="00A77B3E" w:rsidP="00CD114C">
      <w:pPr>
        <w:adjustRightInd w:val="0"/>
        <w:snapToGrid w:val="0"/>
        <w:spacing w:line="360" w:lineRule="auto"/>
        <w:jc w:val="both"/>
      </w:pPr>
    </w:p>
    <w:p w14:paraId="335DB697" w14:textId="77777777" w:rsidR="00A77B3E" w:rsidRDefault="009B365A" w:rsidP="00CD114C">
      <w:pPr>
        <w:adjustRightInd w:val="0"/>
        <w:snapToGrid w:val="0"/>
        <w:spacing w:line="360" w:lineRule="auto"/>
        <w:jc w:val="both"/>
      </w:pPr>
      <w:r>
        <w:rPr>
          <w:rFonts w:ascii="Book Antiqua" w:eastAsia="Book Antiqua" w:hAnsi="Book Antiqua" w:cs="Book Antiqua"/>
          <w:b/>
          <w:bCs/>
          <w:i/>
          <w:iCs/>
          <w:color w:val="000000"/>
        </w:rPr>
        <w:t>Data collection</w:t>
      </w:r>
    </w:p>
    <w:p w14:paraId="2D3297A6" w14:textId="02700BD9" w:rsidR="00A77B3E" w:rsidRDefault="009B365A" w:rsidP="00CD114C">
      <w:pPr>
        <w:adjustRightInd w:val="0"/>
        <w:snapToGrid w:val="0"/>
        <w:spacing w:line="360" w:lineRule="auto"/>
        <w:jc w:val="both"/>
      </w:pPr>
      <w:r>
        <w:rPr>
          <w:rFonts w:ascii="Book Antiqua" w:eastAsia="Book Antiqua" w:hAnsi="Book Antiqua" w:cs="Book Antiqua"/>
          <w:color w:val="000000"/>
        </w:rPr>
        <w:t>To analyze all possible factors that could affect the determinants of pain response in patients undergoing EUS-CPN for abdominal pain caused by pancreatic cancer</w:t>
      </w:r>
      <w:r w:rsidR="00C26154">
        <w:rPr>
          <w:rFonts w:ascii="Book Antiqua" w:hAnsi="Book Antiqua" w:cs="Book Antiqua" w:hint="eastAsia"/>
          <w:color w:val="000000"/>
          <w:lang w:eastAsia="zh-CN"/>
        </w:rPr>
        <w:t xml:space="preserve">, </w:t>
      </w:r>
      <w:r>
        <w:rPr>
          <w:rFonts w:ascii="Book Antiqua" w:eastAsia="Book Antiqua" w:hAnsi="Book Antiqua" w:cs="Book Antiqua"/>
          <w:color w:val="000000"/>
        </w:rPr>
        <w:t>the following data were collected for each patient: Information regarding tumor characteristics (</w:t>
      </w:r>
      <w:r w:rsidRPr="00C26154">
        <w:rPr>
          <w:rFonts w:ascii="Book Antiqua" w:eastAsia="Book Antiqua" w:hAnsi="Book Antiqua" w:cs="Book Antiqua"/>
          <w:i/>
          <w:color w:val="000000"/>
        </w:rPr>
        <w:t>i.e.</w:t>
      </w:r>
      <w:r>
        <w:rPr>
          <w:rFonts w:ascii="Book Antiqua" w:eastAsia="Book Antiqua" w:hAnsi="Book Antiqua" w:cs="Book Antiqua"/>
          <w:color w:val="000000"/>
        </w:rPr>
        <w:t xml:space="preserve"> size, location, vascular invasion</w:t>
      </w:r>
      <w:r w:rsidR="00375D9F">
        <w:rPr>
          <w:rFonts w:ascii="Book Antiqua" w:eastAsia="Book Antiqua" w:hAnsi="Book Antiqua" w:cs="Book Antiqua"/>
          <w:color w:val="000000"/>
        </w:rPr>
        <w:t>,</w:t>
      </w:r>
      <w:r>
        <w:rPr>
          <w:rFonts w:ascii="Book Antiqua" w:eastAsia="Book Antiqua" w:hAnsi="Book Antiqua" w:cs="Book Antiqua"/>
          <w:color w:val="000000"/>
        </w:rPr>
        <w:t xml:space="preserve"> and distant metastasis), procedure details (including procedure method, dehydrated alcohol dose, </w:t>
      </w:r>
      <w:r w:rsidR="00375D9F">
        <w:rPr>
          <w:rFonts w:ascii="Book Antiqua" w:eastAsia="Book Antiqua" w:hAnsi="Book Antiqua" w:cs="Book Antiqua"/>
          <w:color w:val="000000"/>
        </w:rPr>
        <w:t xml:space="preserve">visible or invisible </w:t>
      </w:r>
      <w:r>
        <w:rPr>
          <w:rFonts w:ascii="Book Antiqua" w:eastAsia="Book Antiqua" w:hAnsi="Book Antiqua" w:cs="Book Antiqua"/>
          <w:color w:val="000000"/>
        </w:rPr>
        <w:t>ganglia</w:t>
      </w:r>
      <w:r w:rsidR="00375D9F">
        <w:rPr>
          <w:rFonts w:ascii="Book Antiqua" w:eastAsia="Book Antiqua" w:hAnsi="Book Antiqua" w:cs="Book Antiqua"/>
          <w:color w:val="000000"/>
        </w:rPr>
        <w:t>,</w:t>
      </w:r>
      <w:r>
        <w:rPr>
          <w:rFonts w:ascii="Book Antiqua" w:eastAsia="Book Antiqua" w:hAnsi="Book Antiqua" w:cs="Book Antiqua"/>
          <w:color w:val="000000"/>
        </w:rPr>
        <w:t xml:space="preserve"> and intra-procedural heart rate change), the incidence of adverse events</w:t>
      </w:r>
      <w:r w:rsidR="00375D9F">
        <w:rPr>
          <w:rFonts w:ascii="Book Antiqua" w:eastAsia="Book Antiqua" w:hAnsi="Book Antiqua" w:cs="Book Antiqua"/>
          <w:color w:val="000000"/>
        </w:rPr>
        <w:t>,</w:t>
      </w:r>
      <w:r>
        <w:rPr>
          <w:rFonts w:ascii="Book Antiqua" w:eastAsia="Book Antiqua" w:hAnsi="Book Antiqua" w:cs="Book Antiqua"/>
          <w:color w:val="000000"/>
        </w:rPr>
        <w:t xml:space="preserve"> and the dose of morphine medications administered before and after the assignment intervention. Heart rate change was defined as a decrease of ≥ 5 beats for ≥ 10 s during alcohol injection. Other covariates</w:t>
      </w:r>
      <w:r w:rsidR="00375D9F">
        <w:rPr>
          <w:rFonts w:ascii="Book Antiqua" w:eastAsia="Book Antiqua" w:hAnsi="Book Antiqua" w:cs="Book Antiqua"/>
          <w:color w:val="000000"/>
        </w:rPr>
        <w:t>,</w:t>
      </w:r>
      <w:r>
        <w:rPr>
          <w:rFonts w:ascii="Book Antiqua" w:eastAsia="Book Antiqua" w:hAnsi="Book Antiqua" w:cs="Book Antiqua"/>
          <w:color w:val="000000"/>
        </w:rPr>
        <w:t xml:space="preserve"> includ</w:t>
      </w:r>
      <w:r w:rsidR="00375D9F">
        <w:rPr>
          <w:rFonts w:ascii="Book Antiqua" w:eastAsia="Book Antiqua" w:hAnsi="Book Antiqua" w:cs="Book Antiqua"/>
          <w:color w:val="000000"/>
        </w:rPr>
        <w:t>ing</w:t>
      </w:r>
      <w:r>
        <w:rPr>
          <w:rFonts w:ascii="Book Antiqua" w:eastAsia="Book Antiqua" w:hAnsi="Book Antiqua" w:cs="Book Antiqua"/>
          <w:color w:val="000000"/>
        </w:rPr>
        <w:t xml:space="preserve"> demographics (</w:t>
      </w:r>
      <w:r w:rsidRPr="00C26154">
        <w:rPr>
          <w:rFonts w:ascii="Book Antiqua" w:eastAsia="Book Antiqua" w:hAnsi="Book Antiqua" w:cs="Book Antiqua"/>
          <w:i/>
          <w:color w:val="000000"/>
        </w:rPr>
        <w:t>i.e.</w:t>
      </w:r>
      <w:r>
        <w:rPr>
          <w:rFonts w:ascii="Book Antiqua" w:eastAsia="Book Antiqua" w:hAnsi="Book Antiqua" w:cs="Book Antiqua"/>
          <w:color w:val="000000"/>
        </w:rPr>
        <w:t xml:space="preserve"> age, gender, initial VAS score), symptom </w:t>
      </w:r>
      <w:r w:rsidRPr="00C26154">
        <w:rPr>
          <w:rFonts w:ascii="Book Antiqua" w:eastAsia="Book Antiqua" w:hAnsi="Book Antiqua" w:cs="Book Antiqua"/>
          <w:i/>
          <w:color w:val="000000"/>
        </w:rPr>
        <w:t>(i.e.</w:t>
      </w:r>
      <w:r>
        <w:rPr>
          <w:rFonts w:ascii="Book Antiqua" w:eastAsia="Book Antiqua" w:hAnsi="Book Antiqua" w:cs="Book Antiqua"/>
          <w:color w:val="000000"/>
        </w:rPr>
        <w:t xml:space="preserve"> abdominal pain concomitant with jaundice and presence of ascites)</w:t>
      </w:r>
      <w:r w:rsidR="00375D9F">
        <w:rPr>
          <w:rFonts w:ascii="Book Antiqua" w:eastAsia="Book Antiqua" w:hAnsi="Book Antiqua" w:cs="Book Antiqua"/>
          <w:color w:val="000000"/>
        </w:rPr>
        <w:t>,</w:t>
      </w:r>
      <w:r>
        <w:rPr>
          <w:rFonts w:ascii="Book Antiqua" w:eastAsia="Book Antiqua" w:hAnsi="Book Antiqua" w:cs="Book Antiqua"/>
          <w:color w:val="000000"/>
        </w:rPr>
        <w:t xml:space="preserve"> were also collected.</w:t>
      </w:r>
    </w:p>
    <w:p w14:paraId="08F07826" w14:textId="77777777" w:rsidR="00A77B3E" w:rsidRDefault="00A77B3E" w:rsidP="00CD114C">
      <w:pPr>
        <w:adjustRightInd w:val="0"/>
        <w:snapToGrid w:val="0"/>
        <w:spacing w:line="360" w:lineRule="auto"/>
        <w:jc w:val="both"/>
      </w:pPr>
    </w:p>
    <w:p w14:paraId="0C3E102A" w14:textId="77777777" w:rsidR="00A77B3E" w:rsidRDefault="009B365A" w:rsidP="00CD114C">
      <w:pPr>
        <w:adjustRightInd w:val="0"/>
        <w:snapToGrid w:val="0"/>
        <w:spacing w:line="360" w:lineRule="auto"/>
        <w:jc w:val="both"/>
      </w:pPr>
      <w:r>
        <w:rPr>
          <w:rFonts w:ascii="Book Antiqua" w:eastAsia="Book Antiqua" w:hAnsi="Book Antiqua" w:cs="Book Antiqua"/>
          <w:b/>
          <w:bCs/>
          <w:i/>
          <w:iCs/>
          <w:color w:val="000000"/>
        </w:rPr>
        <w:t>Statistical analysis</w:t>
      </w:r>
    </w:p>
    <w:p w14:paraId="43FEE43D" w14:textId="1F833716"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Categorical data are presented as counts and percentages. Continuous variable results were presented as mean ± </w:t>
      </w:r>
      <w:r w:rsidR="00375D9F">
        <w:rPr>
          <w:rFonts w:ascii="Book Antiqua" w:eastAsia="Book Antiqua" w:hAnsi="Book Antiqua" w:cs="Book Antiqua"/>
          <w:color w:val="000000"/>
        </w:rPr>
        <w:t>standard deviation</w:t>
      </w:r>
      <w:r>
        <w:rPr>
          <w:rFonts w:ascii="Book Antiqua" w:eastAsia="Book Antiqua" w:hAnsi="Book Antiqua" w:cs="Book Antiqua"/>
          <w:color w:val="000000"/>
        </w:rPr>
        <w:t>. Associations among various categorical variables were constructed by Pearson’s chi-squared test</w:t>
      </w:r>
      <w:r w:rsidR="00375D9F">
        <w:rPr>
          <w:rFonts w:ascii="Book Antiqua" w:eastAsia="Book Antiqua" w:hAnsi="Book Antiqua" w:cs="Book Antiqua"/>
          <w:color w:val="000000"/>
        </w:rPr>
        <w:t>,</w:t>
      </w:r>
      <w:r>
        <w:rPr>
          <w:rFonts w:ascii="Book Antiqua" w:eastAsia="Book Antiqua" w:hAnsi="Book Antiqua" w:cs="Book Antiqua"/>
          <w:color w:val="000000"/>
        </w:rPr>
        <w:t xml:space="preserve"> and non-categorical variables were analyzed by </w:t>
      </w:r>
      <w:r>
        <w:rPr>
          <w:rFonts w:ascii="Book Antiqua" w:eastAsia="Book Antiqua" w:hAnsi="Book Antiqua" w:cs="Book Antiqua"/>
          <w:i/>
          <w:iCs/>
          <w:color w:val="000000"/>
        </w:rPr>
        <w:t>t</w:t>
      </w:r>
      <w:r>
        <w:rPr>
          <w:rFonts w:ascii="Book Antiqua" w:eastAsia="Book Antiqua" w:hAnsi="Book Antiqua" w:cs="Book Antiqua"/>
          <w:color w:val="000000"/>
        </w:rPr>
        <w:t xml:space="preserve"> tests. Subsequently, univariable and multivariable logistic regression analyses were carried out to examine potential predictors of pain response to the CPN procedure. All statistical analyses were performed using IBM SPSS software20.0 (SPSS, Armonk, NY, United States). Values were considered to be statistically significant if the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was less than 0.05 (two-sided).</w:t>
      </w:r>
    </w:p>
    <w:p w14:paraId="2486CEDB" w14:textId="77777777" w:rsidR="00A77B3E" w:rsidRDefault="00A77B3E" w:rsidP="00CD114C">
      <w:pPr>
        <w:adjustRightInd w:val="0"/>
        <w:snapToGrid w:val="0"/>
        <w:spacing w:line="360" w:lineRule="auto"/>
        <w:jc w:val="both"/>
      </w:pPr>
    </w:p>
    <w:p w14:paraId="62BA611A" w14:textId="77777777" w:rsidR="00A77B3E" w:rsidRDefault="009B365A" w:rsidP="00CD114C">
      <w:pPr>
        <w:adjustRightInd w:val="0"/>
        <w:snapToGrid w:val="0"/>
        <w:spacing w:line="360" w:lineRule="auto"/>
        <w:jc w:val="both"/>
      </w:pPr>
      <w:r>
        <w:rPr>
          <w:rFonts w:ascii="Book Antiqua" w:eastAsia="Book Antiqua" w:hAnsi="Book Antiqua" w:cs="Book Antiqua"/>
          <w:b/>
          <w:caps/>
          <w:color w:val="000000"/>
          <w:u w:val="single"/>
        </w:rPr>
        <w:t>RESULTS</w:t>
      </w:r>
    </w:p>
    <w:p w14:paraId="232C0F78" w14:textId="77777777" w:rsidR="00A77B3E" w:rsidRDefault="009B365A" w:rsidP="00CD114C">
      <w:pPr>
        <w:adjustRightInd w:val="0"/>
        <w:snapToGrid w:val="0"/>
        <w:spacing w:line="360" w:lineRule="auto"/>
        <w:jc w:val="both"/>
      </w:pPr>
      <w:r>
        <w:rPr>
          <w:rFonts w:ascii="Book Antiqua" w:eastAsia="Book Antiqua" w:hAnsi="Book Antiqua" w:cs="Book Antiqua"/>
          <w:b/>
          <w:bCs/>
          <w:i/>
          <w:iCs/>
          <w:color w:val="000000"/>
        </w:rPr>
        <w:t>Patient demographic and clinical characteristics</w:t>
      </w:r>
    </w:p>
    <w:p w14:paraId="6C5A2D15" w14:textId="0E42A4C8" w:rsidR="00A77B3E" w:rsidRDefault="009B365A" w:rsidP="00CD114C">
      <w:pPr>
        <w:adjustRightInd w:val="0"/>
        <w:snapToGrid w:val="0"/>
        <w:spacing w:line="360" w:lineRule="auto"/>
        <w:jc w:val="both"/>
      </w:pPr>
      <w:r>
        <w:rPr>
          <w:rFonts w:ascii="Book Antiqua" w:eastAsia="Book Antiqua" w:hAnsi="Book Antiqua" w:cs="Book Antiqua"/>
          <w:color w:val="000000"/>
        </w:rPr>
        <w:lastRenderedPageBreak/>
        <w:t>A total of 58 patients with abdominal pain due to inoperable pancreatic cancer who underwent EUS-CPN were included. These cases consisted of 33 men and 25 women with a mean age of 67 years (range</w:t>
      </w:r>
      <w:r w:rsidR="003D62B7">
        <w:rPr>
          <w:rFonts w:ascii="Book Antiqua" w:eastAsia="Book Antiqua" w:hAnsi="Book Antiqua" w:cs="Book Antiqua"/>
          <w:color w:val="000000"/>
        </w:rPr>
        <w:t>:</w:t>
      </w:r>
      <w:r>
        <w:rPr>
          <w:rFonts w:ascii="Book Antiqua" w:eastAsia="Book Antiqua" w:hAnsi="Book Antiqua" w:cs="Book Antiqua"/>
          <w:color w:val="000000"/>
        </w:rPr>
        <w:t xml:space="preserve"> 54-73 years). Predominant distribution of tumor location in pancreas was located in the body/tail (69.0%), and mean tumor diameter was 44.3 mm (range</w:t>
      </w:r>
      <w:r w:rsidR="003D62B7">
        <w:rPr>
          <w:rFonts w:ascii="Book Antiqua" w:eastAsia="Book Antiqua" w:hAnsi="Book Antiqua" w:cs="Book Antiqua"/>
          <w:color w:val="000000"/>
        </w:rPr>
        <w:t>:</w:t>
      </w:r>
      <w:r>
        <w:rPr>
          <w:rFonts w:ascii="Book Antiqua" w:eastAsia="Book Antiqua" w:hAnsi="Book Antiqua" w:cs="Book Antiqua"/>
          <w:color w:val="000000"/>
        </w:rPr>
        <w:t xml:space="preserve"> 24-100</w:t>
      </w:r>
      <w:r w:rsidR="00020023">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mm). Fifty-one patients were referred for initial evaluation of suspected pancreatic cancer and </w:t>
      </w:r>
      <w:r w:rsidR="00375D9F">
        <w:rPr>
          <w:rFonts w:ascii="Book Antiqua" w:eastAsia="Book Antiqua" w:hAnsi="Book Antiqua" w:cs="Book Antiqua"/>
          <w:color w:val="000000"/>
        </w:rPr>
        <w:t xml:space="preserve">were </w:t>
      </w:r>
      <w:r>
        <w:rPr>
          <w:rFonts w:ascii="Book Antiqua" w:eastAsia="Book Antiqua" w:hAnsi="Book Antiqua" w:cs="Book Antiqua"/>
          <w:color w:val="000000"/>
        </w:rPr>
        <w:t xml:space="preserve">first confirmed </w:t>
      </w:r>
      <w:r>
        <w:rPr>
          <w:rFonts w:ascii="Book Antiqua" w:eastAsia="Book Antiqua" w:hAnsi="Book Antiqua" w:cs="Book Antiqua"/>
          <w:i/>
          <w:iCs/>
          <w:color w:val="000000"/>
        </w:rPr>
        <w:t>via</w:t>
      </w:r>
      <w:r>
        <w:rPr>
          <w:rFonts w:ascii="Book Antiqua" w:eastAsia="Book Antiqua" w:hAnsi="Book Antiqua" w:cs="Book Antiqua"/>
          <w:color w:val="000000"/>
        </w:rPr>
        <w:t xml:space="preserve"> EUS-</w:t>
      </w:r>
      <w:r w:rsidR="00A821C4">
        <w:rPr>
          <w:rFonts w:ascii="Book Antiqua" w:eastAsia="Book Antiqua" w:hAnsi="Book Antiqua" w:cs="Book Antiqua"/>
          <w:color w:val="000000"/>
        </w:rPr>
        <w:t>fine needle aspiration (</w:t>
      </w:r>
      <w:r>
        <w:rPr>
          <w:rFonts w:ascii="Book Antiqua" w:eastAsia="Book Antiqua" w:hAnsi="Book Antiqua" w:cs="Book Antiqua"/>
          <w:color w:val="000000"/>
        </w:rPr>
        <w:t>FNA</w:t>
      </w:r>
      <w:r w:rsidR="00A821C4">
        <w:rPr>
          <w:rFonts w:ascii="Book Antiqua" w:eastAsia="Book Antiqua" w:hAnsi="Book Antiqua" w:cs="Book Antiqua"/>
          <w:color w:val="000000"/>
        </w:rPr>
        <w:t>)</w:t>
      </w:r>
      <w:r>
        <w:rPr>
          <w:rFonts w:ascii="Book Antiqua" w:eastAsia="Book Antiqua" w:hAnsi="Book Antiqua" w:cs="Book Antiqua"/>
          <w:color w:val="000000"/>
        </w:rPr>
        <w:t xml:space="preserve"> before undergoing EUS-CPN in the same session. The </w:t>
      </w:r>
      <w:r w:rsidR="00375D9F">
        <w:rPr>
          <w:rFonts w:ascii="Book Antiqua" w:eastAsia="Book Antiqua" w:hAnsi="Book Antiqua" w:cs="Book Antiqua"/>
          <w:color w:val="000000"/>
        </w:rPr>
        <w:t>seven</w:t>
      </w:r>
      <w:r>
        <w:rPr>
          <w:rFonts w:ascii="Book Antiqua" w:eastAsia="Book Antiqua" w:hAnsi="Book Antiqua" w:cs="Book Antiqua"/>
          <w:color w:val="000000"/>
        </w:rPr>
        <w:t xml:space="preserve"> remaining patients had been previously diagnosed with pancreatic malignancy and were referred to our center for palliation with EUS-CPN only. The 51 patients had malignant tumors histologically confirmed by EUS-FNA of pancreas (</w:t>
      </w:r>
      <w:r>
        <w:rPr>
          <w:rFonts w:ascii="Book Antiqua" w:eastAsia="Book Antiqua" w:hAnsi="Book Antiqua" w:cs="Book Antiqua"/>
          <w:i/>
          <w:iCs/>
          <w:color w:val="000000"/>
        </w:rPr>
        <w:t>n</w:t>
      </w:r>
      <w:r>
        <w:rPr>
          <w:rFonts w:ascii="Book Antiqua" w:eastAsia="Book Antiqua" w:hAnsi="Book Antiqua" w:cs="Book Antiqua"/>
          <w:color w:val="000000"/>
        </w:rPr>
        <w:t xml:space="preserve"> = 36), enlarged lymph nodes (</w:t>
      </w:r>
      <w:r>
        <w:rPr>
          <w:rFonts w:ascii="Book Antiqua" w:eastAsia="Book Antiqua" w:hAnsi="Book Antiqua" w:cs="Book Antiqua"/>
          <w:i/>
          <w:iCs/>
          <w:color w:val="000000"/>
        </w:rPr>
        <w:t>n</w:t>
      </w:r>
      <w:r>
        <w:rPr>
          <w:rFonts w:ascii="Book Antiqua" w:eastAsia="Book Antiqua" w:hAnsi="Book Antiqua" w:cs="Book Antiqua"/>
          <w:color w:val="000000"/>
        </w:rPr>
        <w:t xml:space="preserve"> = 8)</w:t>
      </w:r>
      <w:r w:rsidR="00375D9F">
        <w:rPr>
          <w:rFonts w:ascii="Book Antiqua" w:eastAsia="Book Antiqua" w:hAnsi="Book Antiqua" w:cs="Book Antiqua"/>
          <w:color w:val="000000"/>
        </w:rPr>
        <w:t>,</w:t>
      </w:r>
      <w:r>
        <w:rPr>
          <w:rFonts w:ascii="Book Antiqua" w:eastAsia="Book Antiqua" w:hAnsi="Book Antiqua" w:cs="Book Antiqua"/>
          <w:color w:val="000000"/>
        </w:rPr>
        <w:t xml:space="preserve"> and liver metastases (</w:t>
      </w:r>
      <w:r>
        <w:rPr>
          <w:rFonts w:ascii="Book Antiqua" w:eastAsia="Book Antiqua" w:hAnsi="Book Antiqua" w:cs="Book Antiqua"/>
          <w:i/>
          <w:iCs/>
          <w:color w:val="000000"/>
        </w:rPr>
        <w:t>n</w:t>
      </w:r>
      <w:r>
        <w:rPr>
          <w:rFonts w:ascii="Book Antiqua" w:eastAsia="Book Antiqua" w:hAnsi="Book Antiqua" w:cs="Book Antiqua"/>
          <w:color w:val="000000"/>
        </w:rPr>
        <w:t xml:space="preserve"> = 3) or ascites cytology (</w:t>
      </w:r>
      <w:r>
        <w:rPr>
          <w:rFonts w:ascii="Book Antiqua" w:eastAsia="Book Antiqua" w:hAnsi="Book Antiqua" w:cs="Book Antiqua"/>
          <w:i/>
          <w:iCs/>
          <w:color w:val="000000"/>
        </w:rPr>
        <w:t>n</w:t>
      </w:r>
      <w:r>
        <w:rPr>
          <w:rFonts w:ascii="Book Antiqua" w:eastAsia="Book Antiqua" w:hAnsi="Book Antiqua" w:cs="Book Antiqua"/>
          <w:color w:val="000000"/>
        </w:rPr>
        <w:t xml:space="preserve"> = 4). Of the entire group of patients, </w:t>
      </w:r>
      <w:r w:rsidR="00375D9F">
        <w:rPr>
          <w:rFonts w:ascii="Book Antiqua" w:eastAsia="Book Antiqua" w:hAnsi="Book Antiqua" w:cs="Book Antiqua"/>
          <w:color w:val="000000"/>
        </w:rPr>
        <w:t>visible p</w:t>
      </w:r>
      <w:r>
        <w:rPr>
          <w:rFonts w:ascii="Book Antiqua" w:eastAsia="Book Antiqua" w:hAnsi="Book Antiqua" w:cs="Book Antiqua"/>
          <w:color w:val="000000"/>
        </w:rPr>
        <w:t xml:space="preserve">re-procedural celiac ganglia were </w:t>
      </w:r>
      <w:r w:rsidR="00375D9F">
        <w:rPr>
          <w:rFonts w:ascii="Book Antiqua" w:eastAsia="Book Antiqua" w:hAnsi="Book Antiqua" w:cs="Book Antiqua"/>
          <w:color w:val="000000"/>
        </w:rPr>
        <w:t xml:space="preserve">present in </w:t>
      </w:r>
      <w:r>
        <w:rPr>
          <w:rFonts w:ascii="Book Antiqua" w:eastAsia="Book Antiqua" w:hAnsi="Book Antiqua" w:cs="Book Antiqua"/>
          <w:color w:val="000000"/>
        </w:rPr>
        <w:t xml:space="preserve">42 patients (72.4%) during the EUS session. Direct invasion of </w:t>
      </w:r>
      <w:r w:rsidR="00375D9F">
        <w:rPr>
          <w:rFonts w:ascii="Book Antiqua" w:eastAsia="Book Antiqua" w:hAnsi="Book Antiqua" w:cs="Book Antiqua"/>
          <w:color w:val="000000"/>
        </w:rPr>
        <w:t xml:space="preserve">the </w:t>
      </w:r>
      <w:r>
        <w:rPr>
          <w:rFonts w:ascii="Book Antiqua" w:eastAsia="Book Antiqua" w:hAnsi="Book Antiqua" w:cs="Book Antiqua"/>
          <w:color w:val="000000"/>
        </w:rPr>
        <w:t>celiac plexus was detected in 16 (27.6%) patients</w:t>
      </w:r>
      <w:r w:rsidR="00375D9F">
        <w:rPr>
          <w:rFonts w:ascii="Book Antiqua" w:eastAsia="Book Antiqua" w:hAnsi="Book Antiqua" w:cs="Book Antiqua"/>
          <w:color w:val="000000"/>
        </w:rPr>
        <w:t>,</w:t>
      </w:r>
      <w:r>
        <w:rPr>
          <w:rFonts w:ascii="Book Antiqua" w:eastAsia="Book Antiqua" w:hAnsi="Book Antiqua" w:cs="Book Antiqua"/>
          <w:color w:val="000000"/>
        </w:rPr>
        <w:t xml:space="preserve"> whereas 26 (44.8%) patients had distant metastasis. The patient clinical demographics, disease, and treatment characteristics are summarized in Table 1 and Figure 1. </w:t>
      </w:r>
    </w:p>
    <w:p w14:paraId="5A806B33" w14:textId="77777777" w:rsidR="00A77B3E" w:rsidRDefault="00A77B3E" w:rsidP="00CD114C">
      <w:pPr>
        <w:adjustRightInd w:val="0"/>
        <w:snapToGrid w:val="0"/>
        <w:spacing w:line="360" w:lineRule="auto"/>
        <w:jc w:val="both"/>
      </w:pPr>
    </w:p>
    <w:p w14:paraId="0B9D6503" w14:textId="77777777" w:rsidR="00A77B3E" w:rsidRDefault="009B365A" w:rsidP="00CD114C">
      <w:pPr>
        <w:adjustRightInd w:val="0"/>
        <w:snapToGrid w:val="0"/>
        <w:spacing w:line="360" w:lineRule="auto"/>
        <w:jc w:val="both"/>
      </w:pPr>
      <w:r>
        <w:rPr>
          <w:rFonts w:ascii="Book Antiqua" w:eastAsia="Book Antiqua" w:hAnsi="Book Antiqua" w:cs="Book Antiqua"/>
          <w:b/>
          <w:bCs/>
          <w:i/>
          <w:iCs/>
          <w:color w:val="000000"/>
        </w:rPr>
        <w:t>Efficacy for palliation of pain after EUS-CPN</w:t>
      </w:r>
    </w:p>
    <w:p w14:paraId="3038E3A1" w14:textId="700340C4" w:rsidR="00A77B3E" w:rsidRDefault="009B365A" w:rsidP="00CD114C">
      <w:pPr>
        <w:adjustRightInd w:val="0"/>
        <w:snapToGrid w:val="0"/>
        <w:spacing w:line="360" w:lineRule="auto"/>
        <w:jc w:val="both"/>
      </w:pPr>
      <w:r>
        <w:rPr>
          <w:rFonts w:ascii="Book Antiqua" w:eastAsia="Book Antiqua" w:hAnsi="Book Antiqua" w:cs="Book Antiqua"/>
          <w:color w:val="000000"/>
        </w:rPr>
        <w:t>With regard to therapeutic effect, the mean dose of alcohol injection was 10</w:t>
      </w:r>
      <w:r w:rsidR="00B94D08">
        <w:rPr>
          <w:rFonts w:ascii="Book Antiqua" w:eastAsia="Book Antiqua" w:hAnsi="Book Antiqua" w:cs="Book Antiqua"/>
          <w:color w:val="000000"/>
        </w:rPr>
        <w:t xml:space="preserve"> mL</w:t>
      </w:r>
      <w:r>
        <w:rPr>
          <w:rFonts w:ascii="Book Antiqua" w:eastAsia="Book Antiqua" w:hAnsi="Book Antiqua" w:cs="Book Antiqua"/>
          <w:color w:val="000000"/>
        </w:rPr>
        <w:t xml:space="preserve"> (range: 5-20</w:t>
      </w:r>
      <w:r w:rsidR="00B94D08">
        <w:rPr>
          <w:rFonts w:ascii="Book Antiqua" w:eastAsia="Book Antiqua" w:hAnsi="Book Antiqua" w:cs="Book Antiqua"/>
          <w:color w:val="000000"/>
        </w:rPr>
        <w:t xml:space="preserve"> mL</w:t>
      </w:r>
      <w:r>
        <w:rPr>
          <w:rFonts w:ascii="Book Antiqua" w:eastAsia="Book Antiqua" w:hAnsi="Book Antiqua" w:cs="Book Antiqua"/>
          <w:color w:val="000000"/>
        </w:rPr>
        <w:t>). The mean initial VAS score was 8</w:t>
      </w:r>
      <w:r w:rsidR="00B94D08">
        <w:rPr>
          <w:rFonts w:ascii="Book Antiqua" w:eastAsia="Book Antiqua" w:hAnsi="Book Antiqua" w:cs="Book Antiqua"/>
          <w:color w:val="000000"/>
        </w:rPr>
        <w:t>,</w:t>
      </w:r>
      <w:r>
        <w:rPr>
          <w:rFonts w:ascii="Book Antiqua" w:eastAsia="Book Antiqua" w:hAnsi="Book Antiqua" w:cs="Book Antiqua"/>
          <w:color w:val="000000"/>
        </w:rPr>
        <w:t xml:space="preserve"> and 51</w:t>
      </w:r>
      <w:r w:rsidR="00B94D08">
        <w:rPr>
          <w:rFonts w:ascii="Book Antiqua" w:eastAsia="Book Antiqua" w:hAnsi="Book Antiqua" w:cs="Book Antiqua"/>
          <w:color w:val="000000"/>
        </w:rPr>
        <w:t xml:space="preserve"> patients</w:t>
      </w:r>
      <w:r>
        <w:rPr>
          <w:rFonts w:ascii="Book Antiqua" w:eastAsia="Book Antiqua" w:hAnsi="Book Antiqua" w:cs="Book Antiqua"/>
          <w:color w:val="000000"/>
        </w:rPr>
        <w:t xml:space="preserve"> (87.9%) were already taking narcotic analgesics </w:t>
      </w:r>
      <w:r w:rsidR="00B94D08">
        <w:rPr>
          <w:rFonts w:ascii="Book Antiqua" w:eastAsia="Book Antiqua" w:hAnsi="Book Antiqua" w:cs="Book Antiqua"/>
          <w:color w:val="000000"/>
        </w:rPr>
        <w:t>prior to</w:t>
      </w:r>
      <w:r>
        <w:rPr>
          <w:rFonts w:ascii="Book Antiqua" w:eastAsia="Book Antiqua" w:hAnsi="Book Antiqua" w:cs="Book Antiqua"/>
          <w:color w:val="000000"/>
        </w:rPr>
        <w:t xml:space="preserve"> EUS-CPN. The tramadol dose use</w:t>
      </w:r>
      <w:r w:rsidR="00B94D08">
        <w:rPr>
          <w:rFonts w:ascii="Book Antiqua" w:eastAsia="Book Antiqua" w:hAnsi="Book Antiqua" w:cs="Book Antiqua"/>
          <w:color w:val="000000"/>
        </w:rPr>
        <w:t>d</w:t>
      </w:r>
      <w:r>
        <w:rPr>
          <w:rFonts w:ascii="Book Antiqua" w:eastAsia="Book Antiqua" w:hAnsi="Book Antiqua" w:cs="Book Antiqua"/>
          <w:color w:val="000000"/>
        </w:rPr>
        <w:t xml:space="preserve"> was 50</w:t>
      </w:r>
      <w:r w:rsidR="00B94D08">
        <w:rPr>
          <w:rFonts w:ascii="Book Antiqua" w:eastAsia="Book Antiqua" w:hAnsi="Book Antiqua" w:cs="Book Antiqua"/>
          <w:color w:val="000000"/>
        </w:rPr>
        <w:t xml:space="preserve"> </w:t>
      </w:r>
      <w:r>
        <w:rPr>
          <w:rFonts w:ascii="Book Antiqua" w:eastAsia="Book Antiqua" w:hAnsi="Book Antiqua" w:cs="Book Antiqua"/>
          <w:color w:val="000000"/>
        </w:rPr>
        <w:t xml:space="preserve">mg per </w:t>
      </w:r>
      <w:commentRangeStart w:id="7"/>
      <w:r>
        <w:rPr>
          <w:rFonts w:ascii="Book Antiqua" w:eastAsia="Book Antiqua" w:hAnsi="Book Antiqua" w:cs="Book Antiqua"/>
          <w:color w:val="000000"/>
        </w:rPr>
        <w:t>time</w:t>
      </w:r>
      <w:commentRangeEnd w:id="7"/>
      <w:r w:rsidR="00B94D08">
        <w:rPr>
          <w:rStyle w:val="a8"/>
        </w:rPr>
        <w:commentReference w:id="7"/>
      </w:r>
      <w:r>
        <w:rPr>
          <w:rFonts w:ascii="Book Antiqua" w:eastAsia="Book Antiqua" w:hAnsi="Book Antiqua" w:cs="Book Antiqua"/>
          <w:color w:val="000000"/>
        </w:rPr>
        <w:t xml:space="preserve"> (range: 0–300). The rates of good pain response, defined as a drop of VAS score by ≥ 3 points in pain scale with subjective pain improvements without additional narcotics, were 74.1% and 67.2% of patients at 1</w:t>
      </w:r>
      <w:r w:rsidR="000330AB">
        <w:rPr>
          <w:rFonts w:ascii="Book Antiqua" w:eastAsia="Book Antiqua" w:hAnsi="Book Antiqua" w:cs="Book Antiqua"/>
          <w:color w:val="000000"/>
        </w:rPr>
        <w:t xml:space="preserve"> wk</w:t>
      </w:r>
      <w:r>
        <w:rPr>
          <w:rFonts w:ascii="Book Antiqua" w:eastAsia="Book Antiqua" w:hAnsi="Book Antiqua" w:cs="Book Antiqua"/>
          <w:color w:val="000000"/>
        </w:rPr>
        <w:t xml:space="preserve"> and 4 wk after EUS-guided neurolysis, respectively. The other patients were regarded as treatment failures, because either the pain was not better by ≥ 3 points from the baseline VAS score or they were feeling not better and increased their dose of tramadol medication after EUS-CPN. In the successful-treatment group, there was clearly a persistent treatment effect </w:t>
      </w:r>
      <w:r w:rsidR="000330AB">
        <w:rPr>
          <w:rFonts w:ascii="Book Antiqua" w:eastAsia="Book Antiqua" w:hAnsi="Book Antiqua" w:cs="Book Antiqua"/>
          <w:color w:val="000000"/>
        </w:rPr>
        <w:t xml:space="preserve">where </w:t>
      </w:r>
      <w:r>
        <w:rPr>
          <w:rFonts w:ascii="Book Antiqua" w:eastAsia="Book Antiqua" w:hAnsi="Book Antiqua" w:cs="Book Antiqua"/>
          <w:color w:val="000000"/>
        </w:rPr>
        <w:t xml:space="preserve">pain relief lasted for 1–16 wk (until death in </w:t>
      </w:r>
      <w:r w:rsidR="000330AB">
        <w:rPr>
          <w:rFonts w:ascii="Book Antiqua" w:eastAsia="Book Antiqua" w:hAnsi="Book Antiqua" w:cs="Book Antiqua"/>
          <w:color w:val="000000"/>
        </w:rPr>
        <w:t>eight</w:t>
      </w:r>
      <w:r>
        <w:rPr>
          <w:rFonts w:ascii="Book Antiqua" w:eastAsia="Book Antiqua" w:hAnsi="Book Antiqua" w:cs="Book Antiqua"/>
          <w:color w:val="000000"/>
        </w:rPr>
        <w:t xml:space="preserve"> patients). Overall, there was a significant </w:t>
      </w:r>
      <w:r>
        <w:rPr>
          <w:rFonts w:ascii="Book Antiqua" w:eastAsia="Book Antiqua" w:hAnsi="Book Antiqua" w:cs="Book Antiqua"/>
          <w:color w:val="000000"/>
        </w:rPr>
        <w:lastRenderedPageBreak/>
        <w:t>reduction in pain score from a mean of 8.2 at baseline to 4.4 at 1 wk (</w:t>
      </w:r>
      <w:r>
        <w:rPr>
          <w:rFonts w:ascii="Book Antiqua" w:eastAsia="Book Antiqua" w:hAnsi="Book Antiqua" w:cs="Book Antiqua"/>
          <w:i/>
          <w:iCs/>
          <w:color w:val="000000"/>
        </w:rPr>
        <w:t>P</w:t>
      </w:r>
      <w:r>
        <w:rPr>
          <w:rFonts w:ascii="Book Antiqua" w:eastAsia="Book Antiqua" w:hAnsi="Book Antiqua" w:cs="Book Antiqua"/>
          <w:color w:val="000000"/>
        </w:rPr>
        <w:t> = 0.004) and to 4.9 at 4 wk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in all patients. </w:t>
      </w:r>
    </w:p>
    <w:p w14:paraId="11817288" w14:textId="77777777" w:rsidR="00A77B3E" w:rsidRDefault="00A77B3E" w:rsidP="00CD114C">
      <w:pPr>
        <w:adjustRightInd w:val="0"/>
        <w:snapToGrid w:val="0"/>
        <w:spacing w:line="360" w:lineRule="auto"/>
        <w:jc w:val="both"/>
      </w:pPr>
    </w:p>
    <w:p w14:paraId="2E13731F" w14:textId="77777777" w:rsidR="00A77B3E" w:rsidRDefault="009B365A" w:rsidP="00CD114C">
      <w:pPr>
        <w:adjustRightInd w:val="0"/>
        <w:snapToGrid w:val="0"/>
        <w:spacing w:line="360" w:lineRule="auto"/>
        <w:jc w:val="both"/>
      </w:pPr>
      <w:r>
        <w:rPr>
          <w:rFonts w:ascii="Book Antiqua" w:eastAsia="Book Antiqua" w:hAnsi="Book Antiqua" w:cs="Book Antiqua"/>
          <w:b/>
          <w:bCs/>
          <w:i/>
          <w:iCs/>
          <w:color w:val="000000"/>
        </w:rPr>
        <w:t>Predictors associated with pain response after EUS-CPN</w:t>
      </w:r>
    </w:p>
    <w:p w14:paraId="3B342A14" w14:textId="555B15EA"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To assess the predictive factors for pain response at 1 </w:t>
      </w:r>
      <w:r w:rsidR="00020023">
        <w:rPr>
          <w:rFonts w:ascii="Book Antiqua" w:hAnsi="Book Antiqua" w:cs="Book Antiqua" w:hint="eastAsia"/>
          <w:color w:val="000000"/>
          <w:lang w:eastAsia="zh-CN"/>
        </w:rPr>
        <w:t xml:space="preserve">wk </w:t>
      </w:r>
      <w:r>
        <w:rPr>
          <w:rFonts w:ascii="Book Antiqua" w:eastAsia="Book Antiqua" w:hAnsi="Book Antiqua" w:cs="Book Antiqua"/>
          <w:color w:val="000000"/>
        </w:rPr>
        <w:t>and 4 wk in patients who underwent EUS-CPN, variable data between the successful-treatment and the insufficient groups were compared. At 1 wk, tumors located in the body/tail of the pancreas and patients receiving bilateral procedure were weakly associated with a good response</w:t>
      </w:r>
      <w:r w:rsidR="000330AB">
        <w:rPr>
          <w:rFonts w:ascii="Book Antiqua" w:eastAsia="Book Antiqua" w:hAnsi="Book Antiqua" w:cs="Book Antiqua"/>
          <w:color w:val="000000"/>
        </w:rPr>
        <w:t>,</w:t>
      </w:r>
      <w:r>
        <w:rPr>
          <w:rFonts w:ascii="Book Antiqua" w:eastAsia="Book Antiqua" w:hAnsi="Book Antiqua" w:cs="Book Antiqua"/>
          <w:color w:val="000000"/>
        </w:rPr>
        <w:t xml:space="preserve"> but</w:t>
      </w:r>
      <w:r w:rsidR="000330AB">
        <w:rPr>
          <w:rFonts w:ascii="Book Antiqua" w:eastAsia="Book Antiqua" w:hAnsi="Book Antiqua" w:cs="Book Antiqua"/>
          <w:color w:val="000000"/>
        </w:rPr>
        <w:t xml:space="preserve"> this was </w:t>
      </w:r>
      <w:r>
        <w:rPr>
          <w:rFonts w:ascii="Book Antiqua" w:eastAsia="Book Antiqua" w:hAnsi="Book Antiqua" w:cs="Book Antiqua"/>
          <w:color w:val="000000"/>
        </w:rPr>
        <w:t>no</w:t>
      </w:r>
      <w:r w:rsidR="000330AB">
        <w:rPr>
          <w:rFonts w:ascii="Book Antiqua" w:eastAsia="Book Antiqua" w:hAnsi="Book Antiqua" w:cs="Book Antiqua"/>
          <w:color w:val="000000"/>
        </w:rPr>
        <w:t>t</w:t>
      </w:r>
      <w:r>
        <w:rPr>
          <w:rFonts w:ascii="Book Antiqua" w:eastAsia="Book Antiqua" w:hAnsi="Book Antiqua" w:cs="Book Antiqua"/>
          <w:color w:val="000000"/>
        </w:rPr>
        <w:t xml:space="preserve"> statistically significant (</w:t>
      </w:r>
      <w:r>
        <w:rPr>
          <w:rFonts w:ascii="Book Antiqua" w:eastAsia="Book Antiqua" w:hAnsi="Book Antiqua" w:cs="Book Antiqua"/>
          <w:i/>
          <w:iCs/>
          <w:color w:val="000000"/>
        </w:rPr>
        <w:t>P</w:t>
      </w:r>
      <w:r>
        <w:rPr>
          <w:rFonts w:ascii="Book Antiqua" w:eastAsia="Book Antiqua" w:hAnsi="Book Antiqua" w:cs="Book Antiqua"/>
          <w:color w:val="000000"/>
        </w:rPr>
        <w:t xml:space="preserve"> = 0.094; </w:t>
      </w:r>
      <w:r>
        <w:rPr>
          <w:rFonts w:ascii="Book Antiqua" w:eastAsia="Book Antiqua" w:hAnsi="Book Antiqua" w:cs="Book Antiqua"/>
          <w:i/>
          <w:iCs/>
          <w:color w:val="000000"/>
        </w:rPr>
        <w:t>P</w:t>
      </w:r>
      <w:r>
        <w:rPr>
          <w:rFonts w:ascii="Book Antiqua" w:eastAsia="Book Antiqua" w:hAnsi="Book Antiqua" w:cs="Book Antiqua"/>
          <w:color w:val="000000"/>
        </w:rPr>
        <w:t xml:space="preserve"> = 0.087, respectively) (Table 2). However, </w:t>
      </w:r>
      <w:r w:rsidR="000330AB">
        <w:rPr>
          <w:rFonts w:ascii="Book Antiqua" w:eastAsia="Book Antiqua" w:hAnsi="Book Antiqua" w:cs="Book Antiqua"/>
          <w:color w:val="000000"/>
        </w:rPr>
        <w:t xml:space="preserve">invisible </w:t>
      </w:r>
      <w:r>
        <w:rPr>
          <w:rFonts w:ascii="Book Antiqua" w:eastAsia="Book Antiqua" w:hAnsi="Book Antiqua" w:cs="Book Antiqua"/>
          <w:color w:val="000000"/>
        </w:rPr>
        <w:t>ganglia and presence of distant metastasis were significant negative predictive factors in the univariable analysis [odds ratio (OR) = 3.574, 95% confidence interval (CI)</w:t>
      </w:r>
      <w:r w:rsidR="00020023">
        <w:rPr>
          <w:rFonts w:ascii="Book Antiqua" w:hAnsi="Book Antiqua" w:cs="Book Antiqua" w:hint="eastAsia"/>
          <w:color w:val="000000"/>
          <w:lang w:eastAsia="zh-CN"/>
        </w:rPr>
        <w:t>:</w:t>
      </w:r>
      <w:r>
        <w:rPr>
          <w:rFonts w:ascii="Book Antiqua" w:eastAsia="Book Antiqua" w:hAnsi="Book Antiqua" w:cs="Book Antiqua"/>
          <w:color w:val="000000"/>
        </w:rPr>
        <w:t xml:space="preserve"> 1.80-14.24, </w:t>
      </w:r>
      <w:r>
        <w:rPr>
          <w:rFonts w:ascii="Book Antiqua" w:eastAsia="Book Antiqua" w:hAnsi="Book Antiqua" w:cs="Book Antiqua"/>
          <w:i/>
          <w:iCs/>
          <w:color w:val="000000"/>
        </w:rPr>
        <w:t xml:space="preserve">P </w:t>
      </w:r>
      <w:r>
        <w:rPr>
          <w:rFonts w:ascii="Book Antiqua" w:eastAsia="Book Antiqua" w:hAnsi="Book Antiqua" w:cs="Book Antiqua"/>
          <w:color w:val="000000"/>
        </w:rPr>
        <w:t>= 0.003; OR = 5.940, 95%CI</w:t>
      </w:r>
      <w:r w:rsidR="00020023">
        <w:rPr>
          <w:rFonts w:ascii="Book Antiqua" w:hAnsi="Book Antiqua" w:cs="Book Antiqua" w:hint="eastAsia"/>
          <w:color w:val="000000"/>
          <w:lang w:eastAsia="zh-CN"/>
        </w:rPr>
        <w:t>:</w:t>
      </w:r>
      <w:r>
        <w:rPr>
          <w:rFonts w:ascii="Book Antiqua" w:eastAsia="Book Antiqua" w:hAnsi="Book Antiqua" w:cs="Book Antiqua"/>
          <w:color w:val="000000"/>
        </w:rPr>
        <w:t xml:space="preserve"> 1.31-11.82,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0.015]. Moreover, invasion of the celiac plexus was significantly associated with a poor pain response (OR = 7.922,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When these factors were subjected to multivariable logistic regression analysis, </w:t>
      </w:r>
      <w:r w:rsidR="000330AB">
        <w:rPr>
          <w:rFonts w:ascii="Book Antiqua" w:eastAsia="Book Antiqua" w:hAnsi="Book Antiqua" w:cs="Book Antiqua"/>
          <w:color w:val="000000"/>
        </w:rPr>
        <w:t xml:space="preserve">invisible </w:t>
      </w:r>
      <w:r>
        <w:rPr>
          <w:rFonts w:ascii="Book Antiqua" w:eastAsia="Book Antiqua" w:hAnsi="Book Antiqua" w:cs="Book Antiqua"/>
          <w:color w:val="000000"/>
        </w:rPr>
        <w:t>ganglia, presence of distant metastases</w:t>
      </w:r>
      <w:r w:rsidR="000330AB">
        <w:rPr>
          <w:rFonts w:ascii="Book Antiqua" w:eastAsia="Book Antiqua" w:hAnsi="Book Antiqua" w:cs="Book Antiqua"/>
          <w:color w:val="000000"/>
        </w:rPr>
        <w:t>,</w:t>
      </w:r>
      <w:r>
        <w:rPr>
          <w:rFonts w:ascii="Book Antiqua" w:eastAsia="Book Antiqua" w:hAnsi="Book Antiqua" w:cs="Book Antiqua"/>
          <w:color w:val="000000"/>
        </w:rPr>
        <w:t xml:space="preserve"> and celiac plexus invasion were identified as significant negative independent pain response factors to EUS-CPN (Table 3). The other factors age, gender, symptom, tumor size, presence of ascites</w:t>
      </w:r>
      <w:r w:rsidR="000330AB">
        <w:rPr>
          <w:rFonts w:ascii="Book Antiqua" w:eastAsia="Book Antiqua" w:hAnsi="Book Antiqua" w:cs="Book Antiqua"/>
          <w:color w:val="000000"/>
        </w:rPr>
        <w:t>,</w:t>
      </w:r>
      <w:r>
        <w:rPr>
          <w:rFonts w:ascii="Book Antiqua" w:eastAsia="Book Antiqua" w:hAnsi="Book Antiqua" w:cs="Book Antiqua"/>
          <w:color w:val="000000"/>
        </w:rPr>
        <w:t xml:space="preserve"> and initial pain scores did not differ significantly between the two groups (Table 2). Furthermore, neither the pre-intervention tramadol dose use nor injected alcohol dose correlate</w:t>
      </w:r>
      <w:r w:rsidR="000330AB">
        <w:rPr>
          <w:rFonts w:ascii="Book Antiqua" w:eastAsia="Book Antiqua" w:hAnsi="Book Antiqua" w:cs="Book Antiqua"/>
          <w:color w:val="000000"/>
        </w:rPr>
        <w:t>d</w:t>
      </w:r>
      <w:r>
        <w:rPr>
          <w:rFonts w:ascii="Book Antiqua" w:eastAsia="Book Antiqua" w:hAnsi="Book Antiqua" w:cs="Book Antiqua"/>
          <w:color w:val="000000"/>
        </w:rPr>
        <w:t xml:space="preserve"> with the outcome of EUS-CPN. Finally, there was no statistical difference in response to diagnosis between patients who were presenting for initial evaluation by EUS-FNA and those who already had a biopsy-proven pancreatic cancer.</w:t>
      </w:r>
    </w:p>
    <w:p w14:paraId="5B3F157C" w14:textId="0567403E" w:rsidR="00A77B3E" w:rsidRDefault="009B365A" w:rsidP="00CD114C">
      <w:pPr>
        <w:adjustRightInd w:val="0"/>
        <w:snapToGrid w:val="0"/>
        <w:spacing w:line="360" w:lineRule="auto"/>
        <w:ind w:firstLine="480"/>
        <w:jc w:val="both"/>
      </w:pPr>
      <w:r>
        <w:rPr>
          <w:rFonts w:ascii="Book Antiqua" w:eastAsia="Book Antiqua" w:hAnsi="Book Antiqua" w:cs="Book Antiqua"/>
          <w:color w:val="000000"/>
        </w:rPr>
        <w:t xml:space="preserve">Similarly, at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sidR="000330AB">
        <w:rPr>
          <w:rFonts w:ascii="Book Antiqua" w:eastAsia="Book Antiqua" w:hAnsi="Book Antiqua" w:cs="Book Antiqua"/>
          <w:color w:val="000000"/>
        </w:rPr>
        <w:t xml:space="preserve">invisible </w:t>
      </w:r>
      <w:r>
        <w:rPr>
          <w:rFonts w:ascii="Book Antiqua" w:eastAsia="Book Antiqua" w:hAnsi="Book Antiqua" w:cs="Book Antiqua"/>
          <w:color w:val="000000"/>
        </w:rPr>
        <w:t>ganglia, presence of distant metastases</w:t>
      </w:r>
      <w:r w:rsidR="000330AB">
        <w:rPr>
          <w:rFonts w:ascii="Book Antiqua" w:eastAsia="Book Antiqua" w:hAnsi="Book Antiqua" w:cs="Book Antiqua"/>
          <w:color w:val="000000"/>
        </w:rPr>
        <w:t>,</w:t>
      </w:r>
      <w:r>
        <w:rPr>
          <w:rFonts w:ascii="Book Antiqua" w:eastAsia="Book Antiqua" w:hAnsi="Book Antiqua" w:cs="Book Antiqua"/>
          <w:color w:val="000000"/>
        </w:rPr>
        <w:t xml:space="preserve"> and celiac plexus invasion were significant negative predictive factors in univariable analysis (</w:t>
      </w:r>
      <w:r>
        <w:rPr>
          <w:rFonts w:ascii="Book Antiqua" w:eastAsia="Book Antiqua" w:hAnsi="Book Antiqua" w:cs="Book Antiqua"/>
          <w:i/>
          <w:iCs/>
          <w:color w:val="000000"/>
        </w:rPr>
        <w:t>P</w:t>
      </w:r>
      <w:r>
        <w:rPr>
          <w:rFonts w:ascii="Book Antiqua" w:eastAsia="Book Antiqua" w:hAnsi="Book Antiqua" w:cs="Book Antiqua"/>
          <w:color w:val="000000"/>
        </w:rPr>
        <w:t xml:space="preserve"> = 0.003, </w:t>
      </w:r>
      <w:r>
        <w:rPr>
          <w:rFonts w:ascii="Book Antiqua" w:eastAsia="Book Antiqua" w:hAnsi="Book Antiqua" w:cs="Book Antiqua"/>
          <w:i/>
          <w:iCs/>
          <w:color w:val="000000"/>
        </w:rPr>
        <w:t>P</w:t>
      </w:r>
      <w:r>
        <w:rPr>
          <w:rFonts w:ascii="Book Antiqua" w:eastAsia="Book Antiqua" w:hAnsi="Book Antiqua" w:cs="Book Antiqua"/>
          <w:color w:val="000000"/>
        </w:rPr>
        <w:t xml:space="preserve"> = 0.009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respectively) (Table 4). At multivariate regression analysis of potential predictors, </w:t>
      </w:r>
      <w:r w:rsidR="000330AB">
        <w:rPr>
          <w:rFonts w:ascii="Book Antiqua" w:eastAsia="Book Antiqua" w:hAnsi="Book Antiqua" w:cs="Book Antiqua"/>
          <w:color w:val="000000"/>
        </w:rPr>
        <w:t xml:space="preserve">invisible </w:t>
      </w:r>
      <w:r>
        <w:rPr>
          <w:rFonts w:ascii="Book Antiqua" w:eastAsia="Book Antiqua" w:hAnsi="Book Antiqua" w:cs="Book Antiqua"/>
          <w:color w:val="000000"/>
        </w:rPr>
        <w:t>ganglia, presence of distant metastases</w:t>
      </w:r>
      <w:r w:rsidR="000330AB">
        <w:rPr>
          <w:rFonts w:ascii="Book Antiqua" w:eastAsia="Book Antiqua" w:hAnsi="Book Antiqua" w:cs="Book Antiqua"/>
          <w:color w:val="000000"/>
        </w:rPr>
        <w:t>,</w:t>
      </w:r>
      <w:r>
        <w:rPr>
          <w:rFonts w:ascii="Book Antiqua" w:eastAsia="Book Antiqua" w:hAnsi="Book Antiqua" w:cs="Book Antiqua"/>
          <w:color w:val="000000"/>
        </w:rPr>
        <w:t xml:space="preserve"> and celiac plexus invasion were associated with a bad pain response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0.019 and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respectively). The strongest predictor of response was celiac plexus </w:t>
      </w:r>
      <w:r>
        <w:rPr>
          <w:rFonts w:ascii="Book Antiqua" w:eastAsia="Book Antiqua" w:hAnsi="Book Antiqua" w:cs="Book Antiqua"/>
          <w:color w:val="000000"/>
        </w:rPr>
        <w:lastRenderedPageBreak/>
        <w:t>invasion</w:t>
      </w:r>
      <w:r w:rsidR="000330AB">
        <w:rPr>
          <w:rFonts w:ascii="Book Antiqua" w:eastAsia="Book Antiqua" w:hAnsi="Book Antiqua" w:cs="Book Antiqua"/>
          <w:color w:val="000000"/>
        </w:rPr>
        <w:t>,</w:t>
      </w:r>
      <w:r>
        <w:rPr>
          <w:rFonts w:ascii="Book Antiqua" w:eastAsia="Book Antiqua" w:hAnsi="Book Antiqua" w:cs="Book Antiqua"/>
          <w:color w:val="000000"/>
        </w:rPr>
        <w:t xml:space="preserve"> which yielded a 15-fold higher chance of response for those patients compared with those without celiac plexus invasion (Table 5).</w:t>
      </w:r>
    </w:p>
    <w:p w14:paraId="1E28162F" w14:textId="77777777" w:rsidR="00A77B3E" w:rsidRDefault="00A77B3E" w:rsidP="00CD114C">
      <w:pPr>
        <w:adjustRightInd w:val="0"/>
        <w:snapToGrid w:val="0"/>
        <w:spacing w:line="360" w:lineRule="auto"/>
        <w:ind w:firstLine="480"/>
        <w:jc w:val="both"/>
      </w:pPr>
    </w:p>
    <w:p w14:paraId="02E7BE47" w14:textId="77777777" w:rsidR="00A77B3E" w:rsidRDefault="009B365A" w:rsidP="00CD114C">
      <w:pPr>
        <w:adjustRightInd w:val="0"/>
        <w:snapToGrid w:val="0"/>
        <w:spacing w:line="360" w:lineRule="auto"/>
        <w:jc w:val="both"/>
      </w:pPr>
      <w:r>
        <w:rPr>
          <w:rFonts w:ascii="Book Antiqua" w:eastAsia="Book Antiqua" w:hAnsi="Book Antiqua" w:cs="Book Antiqua"/>
          <w:b/>
          <w:bCs/>
          <w:i/>
          <w:iCs/>
          <w:color w:val="000000"/>
        </w:rPr>
        <w:t>Complication after EUS-CPN</w:t>
      </w:r>
    </w:p>
    <w:p w14:paraId="0F7B5BEC" w14:textId="6D827E02" w:rsidR="00A77B3E" w:rsidRDefault="009B365A" w:rsidP="00CD114C">
      <w:pPr>
        <w:adjustRightInd w:val="0"/>
        <w:snapToGrid w:val="0"/>
        <w:spacing w:line="360" w:lineRule="auto"/>
        <w:jc w:val="both"/>
      </w:pPr>
      <w:r>
        <w:rPr>
          <w:rFonts w:ascii="Book Antiqua" w:eastAsia="Book Antiqua" w:hAnsi="Book Antiqua" w:cs="Book Antiqua"/>
          <w:color w:val="000000"/>
        </w:rPr>
        <w:t>Complications occurred in 10.3% of enrolled patients. No serious adverse events including ischemic, inebriation</w:t>
      </w:r>
      <w:r w:rsidR="000330AB">
        <w:rPr>
          <w:rFonts w:ascii="Book Antiqua" w:eastAsia="Book Antiqua" w:hAnsi="Book Antiqua" w:cs="Book Antiqua"/>
          <w:color w:val="000000"/>
        </w:rPr>
        <w:t>,</w:t>
      </w:r>
      <w:r>
        <w:rPr>
          <w:rFonts w:ascii="Book Antiqua" w:eastAsia="Book Antiqua" w:hAnsi="Book Antiqua" w:cs="Book Antiqua"/>
          <w:color w:val="000000"/>
        </w:rPr>
        <w:t xml:space="preserve"> and acute paraplegia related to EUS-CPN occurred. Most of the complications were minor and transitory self-limited</w:t>
      </w:r>
      <w:r w:rsidR="000330AB">
        <w:rPr>
          <w:rFonts w:ascii="Book Antiqua" w:eastAsia="Book Antiqua" w:hAnsi="Book Antiqua" w:cs="Book Antiqua"/>
          <w:color w:val="000000"/>
        </w:rPr>
        <w:t xml:space="preserve"> and included</w:t>
      </w:r>
      <w:r>
        <w:rPr>
          <w:rFonts w:ascii="Book Antiqua" w:eastAsia="Book Antiqua" w:hAnsi="Book Antiqua" w:cs="Book Antiqua"/>
          <w:color w:val="000000"/>
        </w:rPr>
        <w:t xml:space="preserve"> hypotension (1.7%), increase of pain (5.2%), and transient loose stools (3.4%). </w:t>
      </w:r>
    </w:p>
    <w:p w14:paraId="0A823412" w14:textId="77777777" w:rsidR="00A77B3E" w:rsidRDefault="00A77B3E" w:rsidP="00CD114C">
      <w:pPr>
        <w:adjustRightInd w:val="0"/>
        <w:snapToGrid w:val="0"/>
        <w:spacing w:line="360" w:lineRule="auto"/>
        <w:jc w:val="both"/>
      </w:pPr>
    </w:p>
    <w:p w14:paraId="40145E05" w14:textId="77777777" w:rsidR="00A77B3E" w:rsidRDefault="009B365A" w:rsidP="00CD114C">
      <w:pPr>
        <w:adjustRightInd w:val="0"/>
        <w:snapToGrid w:val="0"/>
        <w:spacing w:line="360" w:lineRule="auto"/>
        <w:jc w:val="both"/>
      </w:pPr>
      <w:r>
        <w:rPr>
          <w:rFonts w:ascii="Book Antiqua" w:eastAsia="Book Antiqua" w:hAnsi="Book Antiqua" w:cs="Book Antiqua"/>
          <w:b/>
          <w:caps/>
          <w:color w:val="000000"/>
          <w:u w:val="single"/>
        </w:rPr>
        <w:t>DISCUSSION</w:t>
      </w:r>
    </w:p>
    <w:p w14:paraId="6867CA98" w14:textId="64984EAD" w:rsidR="00A77B3E" w:rsidRDefault="009B365A" w:rsidP="00CD114C">
      <w:pPr>
        <w:adjustRightInd w:val="0"/>
        <w:snapToGrid w:val="0"/>
        <w:spacing w:line="360" w:lineRule="auto"/>
        <w:jc w:val="both"/>
      </w:pPr>
      <w:r>
        <w:rPr>
          <w:rFonts w:ascii="Book Antiqua" w:eastAsia="Book Antiqua" w:hAnsi="Book Antiqua" w:cs="Book Antiqua"/>
          <w:color w:val="000000"/>
        </w:rPr>
        <w:t>Pancreatic cancer is often associated with intense and refractory pain. EUS-CPN was demonstrated to be safe</w:t>
      </w:r>
      <w:r w:rsidR="00A821C4">
        <w:rPr>
          <w:rFonts w:ascii="Book Antiqua" w:eastAsia="Book Antiqua" w:hAnsi="Book Antiqua" w:cs="Book Antiqua"/>
          <w:color w:val="000000"/>
        </w:rPr>
        <w:t xml:space="preserve"> and </w:t>
      </w:r>
      <w:r>
        <w:rPr>
          <w:rFonts w:ascii="Book Antiqua" w:eastAsia="Book Antiqua" w:hAnsi="Book Antiqua" w:cs="Book Antiqua"/>
          <w:color w:val="000000"/>
        </w:rPr>
        <w:t xml:space="preserve">significantly </w:t>
      </w:r>
      <w:r w:rsidR="00A821C4">
        <w:rPr>
          <w:rFonts w:ascii="Book Antiqua" w:eastAsia="Book Antiqua" w:hAnsi="Book Antiqua" w:cs="Book Antiqua"/>
          <w:color w:val="000000"/>
        </w:rPr>
        <w:t>improved</w:t>
      </w:r>
      <w:r>
        <w:rPr>
          <w:rFonts w:ascii="Book Antiqua" w:eastAsia="Book Antiqua" w:hAnsi="Book Antiqua" w:cs="Book Antiqua"/>
          <w:color w:val="000000"/>
        </w:rPr>
        <w:t xml:space="preserve"> pain control in 88% of patients with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sidR="001E6640">
        <w:fldChar w:fldCharType="begin"/>
      </w:r>
      <w:r w:rsidR="001E6640">
        <w:instrText xml:space="preserve"> HYPERLINK \l "_ENREF_16" \o "Wiersema, 1996 #21" </w:instrText>
      </w:r>
      <w:r w:rsidR="001E6640">
        <w:fldChar w:fldCharType="separate"/>
      </w:r>
      <w:r>
        <w:rPr>
          <w:rFonts w:ascii="Book Antiqua" w:eastAsia="Book Antiqua" w:hAnsi="Book Antiqua" w:cs="Book Antiqua"/>
          <w:color w:val="000000"/>
          <w:u w:val="single" w:color="0000EE"/>
          <w:vertAlign w:val="superscript"/>
        </w:rPr>
        <w:t>16</w:t>
      </w:r>
      <w:r w:rsidR="001E6640">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However, subsequent studies showed substantial variation in the proportion of patients experiencing pain relief</w:t>
      </w:r>
      <w:r>
        <w:rPr>
          <w:rFonts w:ascii="Book Antiqua" w:eastAsia="Book Antiqua" w:hAnsi="Book Antiqua" w:cs="Book Antiqua"/>
          <w:color w:val="000000"/>
          <w:vertAlign w:val="superscript"/>
        </w:rPr>
        <w:t>[</w:t>
      </w:r>
      <w:hyperlink w:anchor="_ENREF_17" w:tooltip="Puli, 2009 #18" w:history="1">
        <w:r>
          <w:rPr>
            <w:rFonts w:ascii="Book Antiqua" w:eastAsia="Book Antiqua" w:hAnsi="Book Antiqua" w:cs="Book Antiqua"/>
            <w:color w:val="000000"/>
            <w:u w:val="single" w:color="0000EE"/>
            <w:vertAlign w:val="superscript"/>
          </w:rPr>
          <w:t>17</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This wide range is mainly attributable to differences in </w:t>
      </w:r>
      <w:r w:rsidR="00A821C4">
        <w:rPr>
          <w:rFonts w:ascii="Book Antiqua" w:eastAsia="Book Antiqua" w:hAnsi="Book Antiqua" w:cs="Book Antiqua"/>
          <w:color w:val="000000"/>
        </w:rPr>
        <w:t xml:space="preserve">the characteristics of patients </w:t>
      </w:r>
      <w:r>
        <w:rPr>
          <w:rFonts w:ascii="Book Antiqua" w:eastAsia="Book Antiqua" w:hAnsi="Book Antiqua" w:cs="Book Antiqua"/>
          <w:color w:val="000000"/>
        </w:rPr>
        <w:t>and</w:t>
      </w:r>
      <w:r w:rsidR="00A821C4">
        <w:rPr>
          <w:rFonts w:ascii="Book Antiqua" w:eastAsia="Book Antiqua" w:hAnsi="Book Antiqua" w:cs="Book Antiqua"/>
          <w:color w:val="000000"/>
        </w:rPr>
        <w:t xml:space="preserve"> the</w:t>
      </w:r>
      <w:r>
        <w:rPr>
          <w:rFonts w:ascii="Book Antiqua" w:eastAsia="Book Antiqua" w:hAnsi="Book Antiqua" w:cs="Book Antiqua"/>
          <w:color w:val="000000"/>
        </w:rPr>
        <w:t xml:space="preserve"> lack of standardized operation. For these reasons, it is difficult to compare the efficacy rate of EUS-CPN. Therefore, the current study was designed to analyze potential factors influencing EUS-CPN efficacy in patients with pancreatic cancer. Our data revealed that patients with </w:t>
      </w:r>
      <w:r w:rsidR="00A821C4">
        <w:rPr>
          <w:rFonts w:ascii="Book Antiqua" w:eastAsia="Book Antiqua" w:hAnsi="Book Antiqua" w:cs="Book Antiqua"/>
          <w:color w:val="000000"/>
        </w:rPr>
        <w:t xml:space="preserve">invisible </w:t>
      </w:r>
      <w:r>
        <w:rPr>
          <w:rFonts w:ascii="Book Antiqua" w:eastAsia="Book Antiqua" w:hAnsi="Book Antiqua" w:cs="Book Antiqua"/>
          <w:color w:val="000000"/>
        </w:rPr>
        <w:t>ganglia, distant metastasis</w:t>
      </w:r>
      <w:r w:rsidR="00A821C4">
        <w:rPr>
          <w:rFonts w:ascii="Book Antiqua" w:eastAsia="Book Antiqua" w:hAnsi="Book Antiqua" w:cs="Book Antiqua"/>
          <w:color w:val="000000"/>
        </w:rPr>
        <w:t>,</w:t>
      </w:r>
      <w:r>
        <w:rPr>
          <w:rFonts w:ascii="Book Antiqua" w:eastAsia="Book Antiqua" w:hAnsi="Book Antiqua" w:cs="Book Antiqua"/>
          <w:color w:val="000000"/>
        </w:rPr>
        <w:t xml:space="preserve"> and invasion of the celiac plexus were predictors of less effective response in EUS-guided neurolysis for pancreatic cancer-related pain.</w:t>
      </w:r>
    </w:p>
    <w:p w14:paraId="70D40ED2" w14:textId="2441E2B9" w:rsidR="00A77B3E" w:rsidRDefault="009B365A" w:rsidP="00CD114C">
      <w:pPr>
        <w:adjustRightInd w:val="0"/>
        <w:snapToGrid w:val="0"/>
        <w:spacing w:line="360" w:lineRule="auto"/>
        <w:ind w:firstLine="480"/>
        <w:jc w:val="both"/>
      </w:pPr>
      <w:r>
        <w:rPr>
          <w:rFonts w:ascii="Book Antiqua" w:eastAsia="Book Antiqua" w:hAnsi="Book Antiqua" w:cs="Book Antiqua"/>
          <w:color w:val="000000"/>
        </w:rPr>
        <w:t xml:space="preserve">Our results demonstrated that </w:t>
      </w:r>
      <w:r w:rsidR="00317B4B">
        <w:rPr>
          <w:rFonts w:ascii="Book Antiqua" w:eastAsia="Book Antiqua" w:hAnsi="Book Antiqua" w:cs="Book Antiqua"/>
          <w:color w:val="000000"/>
        </w:rPr>
        <w:t>invisible</w:t>
      </w:r>
      <w:r w:rsidR="00A821C4">
        <w:rPr>
          <w:rFonts w:ascii="Book Antiqua" w:eastAsia="Book Antiqua" w:hAnsi="Book Antiqua" w:cs="Book Antiqua"/>
          <w:color w:val="000000"/>
        </w:rPr>
        <w:t xml:space="preserve"> </w:t>
      </w:r>
      <w:r>
        <w:rPr>
          <w:rFonts w:ascii="Book Antiqua" w:eastAsia="Book Antiqua" w:hAnsi="Book Antiqua" w:cs="Book Antiqua"/>
          <w:color w:val="000000"/>
        </w:rPr>
        <w:t>ganglia, presence of distant metastases</w:t>
      </w:r>
      <w:r w:rsidR="00A821C4">
        <w:rPr>
          <w:rFonts w:ascii="Book Antiqua" w:eastAsia="Book Antiqua" w:hAnsi="Book Antiqua" w:cs="Book Antiqua"/>
          <w:color w:val="000000"/>
        </w:rPr>
        <w:t>,</w:t>
      </w:r>
      <w:r>
        <w:rPr>
          <w:rFonts w:ascii="Book Antiqua" w:eastAsia="Book Antiqua" w:hAnsi="Book Antiqua" w:cs="Book Antiqua"/>
          <w:color w:val="000000"/>
        </w:rPr>
        <w:t xml:space="preserve"> and celiac plexus invasion were significant negative variables at 1 wk and 4 wk after EUS-CPN by univariable analysis and multivariate regression analysis. The strongest predictor of response was celiac plexus invasion</w:t>
      </w:r>
      <w:r w:rsidR="00A821C4">
        <w:rPr>
          <w:rFonts w:ascii="Book Antiqua" w:eastAsia="Book Antiqua" w:hAnsi="Book Antiqua" w:cs="Book Antiqua"/>
          <w:color w:val="000000"/>
        </w:rPr>
        <w:t xml:space="preserve">, which may be </w:t>
      </w:r>
      <w:r>
        <w:rPr>
          <w:rFonts w:ascii="Book Antiqua" w:eastAsia="Book Antiqua" w:hAnsi="Book Antiqua" w:cs="Book Antiqua"/>
          <w:color w:val="000000"/>
        </w:rPr>
        <w:t xml:space="preserve">related to perineural invasion of pancreatic nerves by tumor cells. </w:t>
      </w:r>
      <w:r w:rsidR="00A821C4">
        <w:rPr>
          <w:rFonts w:ascii="Book Antiqua" w:eastAsia="Book Antiqua" w:hAnsi="Book Antiqua" w:cs="Book Antiqua"/>
          <w:color w:val="000000"/>
        </w:rPr>
        <w:t>D</w:t>
      </w:r>
      <w:r>
        <w:rPr>
          <w:rFonts w:ascii="Book Antiqua" w:eastAsia="Book Antiqua" w:hAnsi="Book Antiqua" w:cs="Book Antiqua"/>
          <w:color w:val="000000"/>
        </w:rPr>
        <w:t>irect invasion of the ganglia or plexus</w:t>
      </w:r>
      <w:r w:rsidR="00A821C4">
        <w:rPr>
          <w:rFonts w:ascii="Book Antiqua" w:eastAsia="Book Antiqua" w:hAnsi="Book Antiqua" w:cs="Book Antiqua"/>
          <w:color w:val="000000"/>
        </w:rPr>
        <w:t xml:space="preserve"> may result in</w:t>
      </w:r>
      <w:r>
        <w:rPr>
          <w:rFonts w:ascii="Book Antiqua" w:eastAsia="Book Antiqua" w:hAnsi="Book Antiqua" w:cs="Book Antiqua"/>
          <w:color w:val="000000"/>
        </w:rPr>
        <w:t xml:space="preserve"> patients with pain not mediated by the celiac </w:t>
      </w:r>
      <w:proofErr w:type="gramStart"/>
      <w:r>
        <w:rPr>
          <w:rFonts w:ascii="Book Antiqua" w:eastAsia="Book Antiqua" w:hAnsi="Book Antiqua" w:cs="Book Antiqua"/>
          <w:color w:val="000000"/>
        </w:rPr>
        <w:t>plexus</w:t>
      </w:r>
      <w:r>
        <w:rPr>
          <w:rFonts w:ascii="Book Antiqua" w:eastAsia="Book Antiqua" w:hAnsi="Book Antiqua" w:cs="Book Antiqua"/>
          <w:color w:val="000000"/>
          <w:vertAlign w:val="superscript"/>
        </w:rPr>
        <w:t>[</w:t>
      </w:r>
      <w:proofErr w:type="gramEnd"/>
      <w:r w:rsidR="001E6640">
        <w:fldChar w:fldCharType="begin"/>
      </w:r>
      <w:r w:rsidR="001E6640">
        <w:instrText xml:space="preserve"> HYPERLINK \l "_ENREF_1" \o "Ascunce, 2011 #12" </w:instrText>
      </w:r>
      <w:r w:rsidR="001E6640">
        <w:fldChar w:fldCharType="separate"/>
      </w:r>
      <w:r>
        <w:rPr>
          <w:rFonts w:ascii="Book Antiqua" w:eastAsia="Book Antiqua" w:hAnsi="Book Antiqua" w:cs="Book Antiqua"/>
          <w:color w:val="000000"/>
          <w:u w:val="single" w:color="0000EE"/>
          <w:vertAlign w:val="superscript"/>
        </w:rPr>
        <w:t>1</w:t>
      </w:r>
      <w:r w:rsidR="001E6640">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fact, FNA of the celiac ganglia has confirmed invasion by malignant cells in some patients with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sidR="001E6640">
        <w:fldChar w:fldCharType="begin"/>
      </w:r>
      <w:r w:rsidR="001E6640">
        <w:instrText xml:space="preserve"> HYPERLINK \l "_ENREF_18" \o "Levy, 2006 #16" </w:instrText>
      </w:r>
      <w:r w:rsidR="001E6640">
        <w:fldChar w:fldCharType="separate"/>
      </w:r>
      <w:r>
        <w:rPr>
          <w:rFonts w:ascii="Book Antiqua" w:eastAsia="Book Antiqua" w:hAnsi="Book Antiqua" w:cs="Book Antiqua"/>
          <w:color w:val="000000"/>
          <w:u w:val="single" w:color="0000EE"/>
          <w:vertAlign w:val="superscript"/>
        </w:rPr>
        <w:t>18</w:t>
      </w:r>
      <w:r w:rsidR="001E6640">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The reason also may be that cancer invasion restricts the spread of neurolytic solution and limits the subsequent pain relief</w:t>
      </w:r>
      <w:r>
        <w:rPr>
          <w:rFonts w:ascii="Book Antiqua" w:eastAsia="Book Antiqua" w:hAnsi="Book Antiqua" w:cs="Book Antiqua"/>
          <w:color w:val="000000"/>
          <w:vertAlign w:val="superscript"/>
        </w:rPr>
        <w:t>[</w:t>
      </w:r>
      <w:hyperlink w:anchor="_ENREF_19" w:tooltip="De Cicco, 2001 #31" w:history="1">
        <w:r>
          <w:rPr>
            <w:rFonts w:ascii="Book Antiqua" w:eastAsia="Book Antiqua" w:hAnsi="Book Antiqua" w:cs="Book Antiqua"/>
            <w:color w:val="000000"/>
            <w:u w:val="single" w:color="0000EE"/>
            <w:vertAlign w:val="superscript"/>
          </w:rPr>
          <w:t>19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Iwata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20" w:tooltip="Iwata, 2011 #13" w:history="1">
        <w:r>
          <w:rPr>
            <w:rFonts w:ascii="Book Antiqua" w:eastAsia="Book Antiqua" w:hAnsi="Book Antiqua" w:cs="Book Antiqua"/>
            <w:color w:val="000000"/>
            <w:u w:val="single" w:color="0000EE"/>
            <w:vertAlign w:val="superscript"/>
          </w:rPr>
          <w:t>20</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also suggested </w:t>
      </w:r>
      <w:r>
        <w:rPr>
          <w:rFonts w:ascii="Book Antiqua" w:eastAsia="Book Antiqua" w:hAnsi="Book Antiqua" w:cs="Book Antiqua"/>
          <w:color w:val="000000"/>
        </w:rPr>
        <w:lastRenderedPageBreak/>
        <w:t xml:space="preserve">that EUS-CPN seems to be less effective in patients with direct invasion of the celiac plexus. </w:t>
      </w:r>
    </w:p>
    <w:p w14:paraId="124973D2" w14:textId="62B71F78" w:rsidR="00A77B3E" w:rsidRDefault="009B365A" w:rsidP="00CD114C">
      <w:pPr>
        <w:adjustRightInd w:val="0"/>
        <w:snapToGrid w:val="0"/>
        <w:spacing w:line="360" w:lineRule="auto"/>
        <w:ind w:firstLine="480"/>
        <w:jc w:val="both"/>
      </w:pPr>
      <w:r>
        <w:rPr>
          <w:rFonts w:ascii="Book Antiqua" w:eastAsia="Book Antiqua" w:hAnsi="Book Antiqua" w:cs="Book Antiqua"/>
          <w:color w:val="000000"/>
        </w:rPr>
        <w:t xml:space="preserve">There are mixed findings regarding bilateral or unilateral approach, </w:t>
      </w:r>
      <w:r w:rsidR="00A821C4">
        <w:rPr>
          <w:rFonts w:ascii="Book Antiqua" w:eastAsia="Book Antiqua" w:hAnsi="Book Antiqua" w:cs="Book Antiqua"/>
          <w:color w:val="000000"/>
        </w:rPr>
        <w:t xml:space="preserve">and </w:t>
      </w:r>
      <w:r>
        <w:rPr>
          <w:rFonts w:ascii="Book Antiqua" w:eastAsia="Book Antiqua" w:hAnsi="Book Antiqua" w:cs="Book Antiqua"/>
          <w:color w:val="000000"/>
        </w:rPr>
        <w:t>a recent meta-analysis showed that the short-term analgesic effect and general risk of bilateral EUS-CPN are comparable with those of unilateral EUS-CPN</w:t>
      </w:r>
      <w:r>
        <w:rPr>
          <w:rFonts w:ascii="Book Antiqua" w:eastAsia="Book Antiqua" w:hAnsi="Book Antiqua" w:cs="Book Antiqua"/>
          <w:color w:val="000000"/>
          <w:vertAlign w:val="superscript"/>
        </w:rPr>
        <w:t>[</w:t>
      </w:r>
      <w:hyperlink w:anchor="_ENREF_9" w:tooltip="Lu, 2018 #17" w:history="1">
        <w:r>
          <w:rPr>
            <w:rFonts w:ascii="Book Antiqua" w:eastAsia="Book Antiqua" w:hAnsi="Book Antiqua" w:cs="Book Antiqua"/>
            <w:color w:val="000000"/>
            <w:u w:val="single" w:color="0000EE"/>
            <w:vertAlign w:val="superscript"/>
          </w:rPr>
          <w:t>9</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 were no differences in onset or duration of pain relief when either </w:t>
      </w:r>
      <w:r w:rsidR="00A821C4">
        <w:rPr>
          <w:rFonts w:ascii="Book Antiqua" w:eastAsia="Book Antiqua" w:hAnsi="Book Antiqua" w:cs="Book Antiqua"/>
          <w:color w:val="000000"/>
        </w:rPr>
        <w:t>one</w:t>
      </w:r>
      <w:r>
        <w:rPr>
          <w:rFonts w:ascii="Book Antiqua" w:eastAsia="Book Antiqua" w:hAnsi="Book Antiqua" w:cs="Book Antiqua"/>
          <w:color w:val="000000"/>
        </w:rPr>
        <w:t xml:space="preserve"> or </w:t>
      </w:r>
      <w:r w:rsidR="00A821C4">
        <w:rPr>
          <w:rFonts w:ascii="Book Antiqua" w:eastAsia="Book Antiqua" w:hAnsi="Book Antiqua" w:cs="Book Antiqua"/>
          <w:color w:val="000000"/>
        </w:rPr>
        <w:t>two</w:t>
      </w:r>
      <w:r>
        <w:rPr>
          <w:rFonts w:ascii="Book Antiqua" w:eastAsia="Book Antiqua" w:hAnsi="Book Antiqua" w:cs="Book Antiqua"/>
          <w:color w:val="000000"/>
        </w:rPr>
        <w:t xml:space="preserve"> injections were used</w:t>
      </w:r>
      <w:r>
        <w:rPr>
          <w:rFonts w:ascii="Book Antiqua" w:eastAsia="Book Antiqua" w:hAnsi="Book Antiqua" w:cs="Book Antiqua"/>
          <w:color w:val="000000"/>
          <w:vertAlign w:val="superscript"/>
        </w:rPr>
        <w:t>[</w:t>
      </w:r>
      <w:hyperlink w:anchor="_ENREF_13" w:tooltip="Tellez-Avila, 2013 #20" w:history="1">
        <w:r>
          <w:rPr>
            <w:rFonts w:ascii="Book Antiqua" w:eastAsia="Book Antiqua" w:hAnsi="Book Antiqua" w:cs="Book Antiqua"/>
            <w:color w:val="000000"/>
            <w:u w:val="single" w:color="0000EE"/>
            <w:vertAlign w:val="superscript"/>
          </w:rPr>
          <w:t>13</w:t>
        </w:r>
      </w:hyperlink>
      <w:r>
        <w:rPr>
          <w:rFonts w:ascii="Book Antiqua" w:eastAsia="Book Antiqua" w:hAnsi="Book Antiqua" w:cs="Book Antiqua"/>
          <w:color w:val="000000"/>
          <w:vertAlign w:val="superscript"/>
        </w:rPr>
        <w:t>,</w:t>
      </w:r>
      <w:hyperlink w:anchor="_ENREF_14" w:tooltip="LeBlanc, 2011 #14" w:history="1">
        <w:r>
          <w:rPr>
            <w:rFonts w:ascii="Book Antiqua" w:eastAsia="Book Antiqua" w:hAnsi="Book Antiqua" w:cs="Book Antiqua"/>
            <w:color w:val="000000"/>
            <w:u w:val="single" w:color="0000EE"/>
            <w:vertAlign w:val="superscript"/>
          </w:rPr>
          <w:t>14</w:t>
        </w:r>
      </w:hyperlink>
      <w:r>
        <w:rPr>
          <w:rFonts w:ascii="Book Antiqua" w:eastAsia="Book Antiqua" w:hAnsi="Book Antiqua" w:cs="Book Antiqua"/>
          <w:color w:val="000000"/>
          <w:vertAlign w:val="superscript"/>
        </w:rPr>
        <w:t>,</w:t>
      </w:r>
      <w:hyperlink w:anchor="_ENREF_21" w:tooltip="Sahai, 2009 #19" w:history="1">
        <w:r>
          <w:rPr>
            <w:rFonts w:ascii="Book Antiqua" w:eastAsia="Book Antiqua" w:hAnsi="Book Antiqua" w:cs="Book Antiqua"/>
            <w:color w:val="000000"/>
            <w:u w:val="single" w:color="0000EE"/>
            <w:vertAlign w:val="superscript"/>
          </w:rPr>
          <w:t>21</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our cohort patients, </w:t>
      </w:r>
      <w:r w:rsidR="00A821C4">
        <w:rPr>
          <w:rFonts w:ascii="Book Antiqua" w:eastAsia="Book Antiqua" w:hAnsi="Book Antiqua" w:cs="Book Antiqua"/>
          <w:color w:val="000000"/>
        </w:rPr>
        <w:t xml:space="preserve">the </w:t>
      </w:r>
      <w:r>
        <w:rPr>
          <w:rFonts w:ascii="Book Antiqua" w:eastAsia="Book Antiqua" w:hAnsi="Book Antiqua" w:cs="Book Antiqua"/>
          <w:color w:val="000000"/>
        </w:rPr>
        <w:t>bilateral method was associated with a good pain response but no statistical significance (</w:t>
      </w:r>
      <w:r>
        <w:rPr>
          <w:rFonts w:ascii="Book Antiqua" w:eastAsia="Book Antiqua" w:hAnsi="Book Antiqua" w:cs="Book Antiqua"/>
          <w:i/>
          <w:iCs/>
          <w:color w:val="000000"/>
        </w:rPr>
        <w:t>P</w:t>
      </w:r>
      <w:r>
        <w:rPr>
          <w:rFonts w:ascii="Book Antiqua" w:eastAsia="Book Antiqua" w:hAnsi="Book Antiqua" w:cs="Book Antiqua"/>
          <w:color w:val="000000"/>
        </w:rPr>
        <w:t xml:space="preserve"> = 0.087). With regard to the dose of alcohol used in EUS-CPN, the amount of alcohol used in EUS-CPN range</w:t>
      </w:r>
      <w:r w:rsidR="00A821C4">
        <w:rPr>
          <w:rFonts w:ascii="Book Antiqua" w:eastAsia="Book Antiqua" w:hAnsi="Book Antiqua" w:cs="Book Antiqua"/>
          <w:color w:val="000000"/>
        </w:rPr>
        <w:t>d</w:t>
      </w:r>
      <w:r>
        <w:rPr>
          <w:rFonts w:ascii="Book Antiqua" w:eastAsia="Book Antiqua" w:hAnsi="Book Antiqua" w:cs="Book Antiqua"/>
          <w:color w:val="000000"/>
        </w:rPr>
        <w:t xml:space="preserve"> from 2 mL to 20 </w:t>
      </w:r>
      <w:proofErr w:type="gramStart"/>
      <w:r>
        <w:rPr>
          <w:rFonts w:ascii="Book Antiqua" w:eastAsia="Book Antiqua" w:hAnsi="Book Antiqua" w:cs="Book Antiqua"/>
          <w:color w:val="000000"/>
        </w:rPr>
        <w:t>mL</w:t>
      </w:r>
      <w:r>
        <w:rPr>
          <w:rFonts w:ascii="Book Antiqua" w:eastAsia="Book Antiqua" w:hAnsi="Book Antiqua" w:cs="Book Antiqua"/>
          <w:color w:val="000000"/>
          <w:vertAlign w:val="superscript"/>
        </w:rPr>
        <w:t>[</w:t>
      </w:r>
      <w:proofErr w:type="gramEnd"/>
      <w:r w:rsidR="001E6640">
        <w:fldChar w:fldCharType="begin"/>
      </w:r>
      <w:r w:rsidR="001E6640">
        <w:instrText xml:space="preserve"> HYPERLINK \l "_ENREF_22" \o "Levy, 2008 #33" </w:instrText>
      </w:r>
      <w:r w:rsidR="001E6640">
        <w:fldChar w:fldCharType="separate"/>
      </w:r>
      <w:r>
        <w:rPr>
          <w:rFonts w:ascii="Book Antiqua" w:eastAsia="Book Antiqua" w:hAnsi="Book Antiqua" w:cs="Book Antiqua"/>
          <w:color w:val="000000"/>
          <w:u w:val="single" w:color="0000EE"/>
          <w:vertAlign w:val="superscript"/>
        </w:rPr>
        <w:t>22-24</w:t>
      </w:r>
      <w:r w:rsidR="001E6640">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Our results found that there was no differen</w:t>
      </w:r>
      <w:r w:rsidR="00A821C4">
        <w:rPr>
          <w:rFonts w:ascii="Book Antiqua" w:eastAsia="Book Antiqua" w:hAnsi="Book Antiqua" w:cs="Book Antiqua"/>
          <w:color w:val="000000"/>
        </w:rPr>
        <w:t>ce</w:t>
      </w:r>
      <w:r>
        <w:rPr>
          <w:rFonts w:ascii="Book Antiqua" w:eastAsia="Book Antiqua" w:hAnsi="Book Antiqua" w:cs="Book Antiqua"/>
          <w:color w:val="000000"/>
        </w:rPr>
        <w:t xml:space="preserve"> in the dose of alcohol used in EUS-CPN, which is consistent with the results described by Leblanc </w:t>
      </w:r>
      <w:r w:rsidR="00020023" w:rsidRPr="00020023">
        <w:rPr>
          <w:rFonts w:ascii="Book Antiqua" w:hAnsi="Book Antiqua" w:cs="Book Antiqua" w:hint="eastAsia"/>
          <w:i/>
          <w:color w:val="000000"/>
          <w:lang w:eastAsia="zh-CN"/>
        </w:rPr>
        <w:t>et al</w:t>
      </w:r>
      <w:r w:rsidR="00020023">
        <w:rPr>
          <w:rFonts w:ascii="Book Antiqua" w:eastAsia="Book Antiqua" w:hAnsi="Book Antiqua" w:cs="Book Antiqua"/>
          <w:color w:val="000000"/>
          <w:vertAlign w:val="superscript"/>
        </w:rPr>
        <w:t>[</w:t>
      </w:r>
      <w:hyperlink w:anchor="_ENREF_25" w:tooltip="Leblanc, 2013 #15" w:history="1">
        <w:r w:rsidR="00020023">
          <w:rPr>
            <w:rFonts w:ascii="Book Antiqua" w:eastAsia="Book Antiqua" w:hAnsi="Book Antiqua" w:cs="Book Antiqua"/>
            <w:color w:val="000000"/>
            <w:u w:val="single" w:color="0000EE"/>
            <w:vertAlign w:val="superscript"/>
          </w:rPr>
          <w:t>25</w:t>
        </w:r>
      </w:hyperlink>
      <w:r w:rsidR="00020023">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Leblanc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25" w:tooltip="Leblanc, 2013 #15" w:history="1">
        <w:r>
          <w:rPr>
            <w:rFonts w:ascii="Book Antiqua" w:eastAsia="Book Antiqua" w:hAnsi="Book Antiqua" w:cs="Book Antiqua"/>
            <w:color w:val="000000"/>
            <w:u w:val="single" w:color="0000EE"/>
            <w:vertAlign w:val="superscript"/>
          </w:rPr>
          <w:t>25</w:t>
        </w:r>
      </w:hyperlink>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indicated that similar clinical outcomes were seen in</w:t>
      </w:r>
      <w:r w:rsidR="00A821C4">
        <w:rPr>
          <w:rFonts w:ascii="Book Antiqua" w:eastAsia="Book Antiqua" w:hAnsi="Book Antiqua" w:cs="Book Antiqua"/>
          <w:color w:val="000000"/>
        </w:rPr>
        <w:t xml:space="preserve"> the</w:t>
      </w:r>
      <w:r>
        <w:rPr>
          <w:rFonts w:ascii="Book Antiqua" w:eastAsia="Book Antiqua" w:hAnsi="Book Antiqua" w:cs="Book Antiqua"/>
          <w:color w:val="000000"/>
        </w:rPr>
        <w:t xml:space="preserve"> 10 mL and 20 mL </w:t>
      </w:r>
      <w:r w:rsidR="00A821C4">
        <w:rPr>
          <w:rFonts w:ascii="Book Antiqua" w:eastAsia="Book Antiqua" w:hAnsi="Book Antiqua" w:cs="Book Antiqua"/>
          <w:color w:val="000000"/>
        </w:rPr>
        <w:t xml:space="preserve">alcohol </w:t>
      </w:r>
      <w:r>
        <w:rPr>
          <w:rFonts w:ascii="Book Antiqua" w:eastAsia="Book Antiqua" w:hAnsi="Book Antiqua" w:cs="Book Antiqua"/>
          <w:color w:val="000000"/>
        </w:rPr>
        <w:t>group</w:t>
      </w:r>
      <w:r w:rsidR="00A821C4">
        <w:rPr>
          <w:rFonts w:ascii="Book Antiqua" w:eastAsia="Book Antiqua" w:hAnsi="Book Antiqua" w:cs="Book Antiqua"/>
          <w:color w:val="000000"/>
        </w:rPr>
        <w:t>s</w:t>
      </w:r>
      <w:r>
        <w:rPr>
          <w:rFonts w:ascii="Book Antiqua" w:eastAsia="Book Antiqua" w:hAnsi="Book Antiqua" w:cs="Book Antiqua"/>
          <w:color w:val="000000"/>
        </w:rPr>
        <w:t xml:space="preserve"> with respect to overall pain relief, weekly pain scores, onset of pain relief, and proportion of complete responders. </w:t>
      </w:r>
    </w:p>
    <w:p w14:paraId="26ECF790" w14:textId="5C28DBE1" w:rsidR="00A77B3E" w:rsidRDefault="009B365A" w:rsidP="00CD114C">
      <w:pPr>
        <w:adjustRightInd w:val="0"/>
        <w:snapToGrid w:val="0"/>
        <w:spacing w:line="360" w:lineRule="auto"/>
        <w:ind w:firstLine="480"/>
        <w:jc w:val="both"/>
      </w:pPr>
      <w:r>
        <w:rPr>
          <w:rFonts w:ascii="Book Antiqua" w:eastAsia="Book Antiqua" w:hAnsi="Book Antiqua" w:cs="Book Antiqua"/>
          <w:color w:val="000000"/>
        </w:rPr>
        <w:t>However, according to our data, tumors located at the body/tail predicted a better response than those with tumors at the pancreatic head/neck after 1 wk or 4 wk, although there were no significant differences (</w:t>
      </w:r>
      <w:r>
        <w:rPr>
          <w:rFonts w:ascii="Book Antiqua" w:eastAsia="Book Antiqua" w:hAnsi="Book Antiqua" w:cs="Book Antiqua"/>
          <w:i/>
          <w:iCs/>
          <w:color w:val="000000"/>
        </w:rPr>
        <w:t>P</w:t>
      </w:r>
      <w:r>
        <w:rPr>
          <w:rFonts w:ascii="Book Antiqua" w:eastAsia="Book Antiqua" w:hAnsi="Book Antiqua" w:cs="Book Antiqua"/>
          <w:color w:val="000000"/>
        </w:rPr>
        <w:t xml:space="preserve"> = 0.094</w:t>
      </w:r>
      <w:r w:rsidR="00E46CD9">
        <w:rPr>
          <w:rFonts w:ascii="Book Antiqua" w:eastAsia="Book Antiqua" w:hAnsi="Book Antiqua" w:cs="Book Antiqua"/>
          <w:color w:val="000000"/>
        </w:rPr>
        <w:t xml:space="preserve"> and</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0.082 L</w:t>
      </w:r>
      <w:r w:rsidR="00E46CD9">
        <w:rPr>
          <w:rFonts w:ascii="Book Antiqua" w:eastAsia="Book Antiqua" w:hAnsi="Book Antiqua" w:cs="Book Antiqua"/>
          <w:color w:val="000000"/>
        </w:rPr>
        <w:t>,</w:t>
      </w:r>
      <w:r>
        <w:rPr>
          <w:rFonts w:ascii="Book Antiqua" w:eastAsia="Book Antiqua" w:hAnsi="Book Antiqua" w:cs="Book Antiqua"/>
          <w:color w:val="000000"/>
        </w:rPr>
        <w:t xml:space="preserve"> respectively). This is </w:t>
      </w:r>
      <w:r w:rsidR="001C2FCD">
        <w:rPr>
          <w:rFonts w:ascii="Book Antiqua" w:eastAsia="Book Antiqua" w:hAnsi="Book Antiqua" w:cs="Book Antiqua"/>
          <w:color w:val="000000"/>
        </w:rPr>
        <w:t>in contrast</w:t>
      </w:r>
      <w:r>
        <w:rPr>
          <w:rFonts w:ascii="Book Antiqua" w:eastAsia="Book Antiqua" w:hAnsi="Book Antiqua" w:cs="Book Antiqua"/>
          <w:color w:val="000000"/>
        </w:rPr>
        <w:t xml:space="preserve"> to previous literature </w:t>
      </w:r>
      <w:proofErr w:type="gramStart"/>
      <w:r>
        <w:rPr>
          <w:rFonts w:ascii="Book Antiqua" w:eastAsia="Book Antiqua" w:hAnsi="Book Antiqua" w:cs="Book Antiqua"/>
          <w:color w:val="000000"/>
        </w:rPr>
        <w:t>reports</w:t>
      </w:r>
      <w:r>
        <w:rPr>
          <w:rFonts w:ascii="Book Antiqua" w:eastAsia="Book Antiqua" w:hAnsi="Book Antiqua" w:cs="Book Antiqua"/>
          <w:color w:val="000000"/>
          <w:vertAlign w:val="superscript"/>
        </w:rPr>
        <w:t>[</w:t>
      </w:r>
      <w:proofErr w:type="gramEnd"/>
      <w:r w:rsidR="001E6640">
        <w:fldChar w:fldCharType="begin"/>
      </w:r>
      <w:r w:rsidR="001E6640">
        <w:instrText xml:space="preserve"> HYPERLINK \l "_ENREF_26" \o "Minaga, 2016 #35" </w:instrText>
      </w:r>
      <w:r w:rsidR="001E6640">
        <w:fldChar w:fldCharType="separate"/>
      </w:r>
      <w:r>
        <w:rPr>
          <w:rFonts w:ascii="Book Antiqua" w:eastAsia="Book Antiqua" w:hAnsi="Book Antiqua" w:cs="Book Antiqua"/>
          <w:color w:val="000000"/>
          <w:u w:val="single" w:color="0000EE"/>
          <w:vertAlign w:val="superscript"/>
        </w:rPr>
        <w:t>26</w:t>
      </w:r>
      <w:r w:rsidR="001E6640">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Ascunce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sidR="001E6640">
        <w:fldChar w:fldCharType="begin"/>
      </w:r>
      <w:r w:rsidR="001E6640">
        <w:instrText xml:space="preserve"> HYPERLINK \l "_ENREF_1" \o "Ascunce, 2011 #12" </w:instrText>
      </w:r>
      <w:r w:rsidR="001E6640">
        <w:fldChar w:fldCharType="separate"/>
      </w:r>
      <w:r>
        <w:rPr>
          <w:rFonts w:ascii="Book Antiqua" w:eastAsia="Book Antiqua" w:hAnsi="Book Antiqua" w:cs="Book Antiqua"/>
          <w:color w:val="000000"/>
          <w:u w:val="single" w:color="0000EE"/>
          <w:vertAlign w:val="superscript"/>
        </w:rPr>
        <w:t>1</w:t>
      </w:r>
      <w:r w:rsidR="001E6640">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that tumors located outside the head of the pancreas </w:t>
      </w:r>
      <w:r w:rsidR="00A821C4">
        <w:rPr>
          <w:rFonts w:ascii="Book Antiqua" w:eastAsia="Book Antiqua" w:hAnsi="Book Antiqua" w:cs="Book Antiqua"/>
          <w:color w:val="000000"/>
        </w:rPr>
        <w:t xml:space="preserve">were </w:t>
      </w:r>
      <w:r>
        <w:rPr>
          <w:rFonts w:ascii="Book Antiqua" w:eastAsia="Book Antiqua" w:hAnsi="Book Antiqua" w:cs="Book Antiqua"/>
          <w:color w:val="000000"/>
        </w:rPr>
        <w:t xml:space="preserve">weakly associated with a good response. Rykowski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hyperlink w:anchor="_ENREF_27" w:tooltip="Rykowski, 2000 #36" w:history="1">
        <w:r>
          <w:rPr>
            <w:rFonts w:ascii="Book Antiqua" w:eastAsia="Book Antiqua" w:hAnsi="Book Antiqua" w:cs="Book Antiqua"/>
            <w:color w:val="000000"/>
            <w:u w:val="single" w:color="0000EE"/>
            <w:vertAlign w:val="superscript"/>
          </w:rPr>
          <w:t>27</w:t>
        </w:r>
      </w:hyperlink>
      <w:r>
        <w:rPr>
          <w:rFonts w:ascii="Book Antiqua" w:eastAsia="Book Antiqua" w:hAnsi="Book Antiqua" w:cs="Book Antiqua"/>
          <w:color w:val="000000"/>
          <w:vertAlign w:val="superscript"/>
        </w:rPr>
        <w:t xml:space="preserve">] </w:t>
      </w:r>
      <w:r>
        <w:rPr>
          <w:rFonts w:ascii="Book Antiqua" w:eastAsia="Book Antiqua" w:hAnsi="Book Antiqua" w:cs="Book Antiqua"/>
          <w:color w:val="000000"/>
        </w:rPr>
        <w:t xml:space="preserve">also reported that the posterior transcutaneous CPN technique </w:t>
      </w:r>
      <w:r w:rsidR="00A821C4">
        <w:rPr>
          <w:rFonts w:ascii="Book Antiqua" w:eastAsia="Book Antiqua" w:hAnsi="Book Antiqua" w:cs="Book Antiqua"/>
          <w:color w:val="000000"/>
        </w:rPr>
        <w:t xml:space="preserve">was </w:t>
      </w:r>
      <w:r>
        <w:rPr>
          <w:rFonts w:ascii="Book Antiqua" w:eastAsia="Book Antiqua" w:hAnsi="Book Antiqua" w:cs="Book Antiqua"/>
          <w:color w:val="000000"/>
        </w:rPr>
        <w:t xml:space="preserve">more effective in tumors involving the pancreatic head than in those affecting the body and tail of the pancreas. On the other hand, our finding was inconsistent with </w:t>
      </w:r>
      <w:r w:rsidR="00A821C4">
        <w:rPr>
          <w:rFonts w:ascii="Book Antiqua" w:eastAsia="Book Antiqua" w:hAnsi="Book Antiqua" w:cs="Book Antiqua"/>
          <w:color w:val="000000"/>
        </w:rPr>
        <w:t xml:space="preserve">a </w:t>
      </w:r>
      <w:r>
        <w:rPr>
          <w:rFonts w:ascii="Book Antiqua" w:eastAsia="Book Antiqua" w:hAnsi="Book Antiqua" w:cs="Book Antiqua"/>
          <w:color w:val="000000"/>
        </w:rPr>
        <w:t xml:space="preserve">previous study on heart rate change. Recently, Bang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sidR="00AC56D8">
        <w:fldChar w:fldCharType="begin"/>
      </w:r>
      <w:r w:rsidR="00AC56D8">
        <w:instrText xml:space="preserve"> HYPERLINK \l "_ENREF_28" \o "Bang, 2016 #30" </w:instrText>
      </w:r>
      <w:r w:rsidR="00AC56D8">
        <w:fldChar w:fldCharType="separate"/>
      </w:r>
      <w:r>
        <w:rPr>
          <w:rFonts w:ascii="Book Antiqua" w:eastAsia="Book Antiqua" w:hAnsi="Book Antiqua" w:cs="Book Antiqua"/>
          <w:color w:val="000000"/>
          <w:u w:val="single" w:color="0000EE"/>
          <w:vertAlign w:val="superscript"/>
        </w:rPr>
        <w:t>28</w:t>
      </w:r>
      <w:r w:rsidR="00AC56D8">
        <w:rPr>
          <w:rFonts w:ascii="Book Antiqua" w:eastAsia="Book Antiqua" w:hAnsi="Book Antiqua" w:cs="Book Antiqua"/>
          <w:color w:val="000000"/>
          <w:u w:val="single" w:color="0000EE"/>
          <w:vertAlign w:val="superscript"/>
        </w:rPr>
        <w:fldChar w:fldCharType="end"/>
      </w:r>
      <w:r>
        <w:rPr>
          <w:rFonts w:ascii="Book Antiqua" w:eastAsia="Book Antiqua" w:hAnsi="Book Antiqua" w:cs="Book Antiqua"/>
          <w:color w:val="000000"/>
          <w:vertAlign w:val="superscript"/>
        </w:rPr>
        <w:t>]</w:t>
      </w:r>
      <w:r w:rsidR="00A821C4">
        <w:rPr>
          <w:rFonts w:ascii="Book Antiqua" w:eastAsia="Book Antiqua" w:hAnsi="Book Antiqua" w:cs="Book Antiqua"/>
          <w:color w:val="000000"/>
        </w:rPr>
        <w:t xml:space="preserve"> </w:t>
      </w:r>
      <w:r>
        <w:rPr>
          <w:rFonts w:ascii="Book Antiqua" w:eastAsia="Book Antiqua" w:hAnsi="Book Antiqua" w:cs="Book Antiqua"/>
          <w:color w:val="000000"/>
        </w:rPr>
        <w:t>discussed a direct correlation between the increase in heart rate during alcohol injection and treatment outcomes. They found that during EUS-CPN, the heart rate change cohort had significantly better adjusted scores for pain, financial difficulties, weight loss, and satisfaction with body image. Especially, a rise in heart rate during alcohol injection appear</w:t>
      </w:r>
      <w:r w:rsidR="00A821C4">
        <w:rPr>
          <w:rFonts w:ascii="Book Antiqua" w:eastAsia="Book Antiqua" w:hAnsi="Book Antiqua" w:cs="Book Antiqua"/>
          <w:color w:val="000000"/>
        </w:rPr>
        <w:t>ed</w:t>
      </w:r>
      <w:r>
        <w:rPr>
          <w:rFonts w:ascii="Book Antiqua" w:eastAsia="Book Antiqua" w:hAnsi="Book Antiqua" w:cs="Book Antiqua"/>
          <w:color w:val="000000"/>
        </w:rPr>
        <w:t xml:space="preserve"> to signal successful targeting of the celiac plexus and may be a simple predictor of treatment outcome. However,</w:t>
      </w:r>
      <w:r w:rsidR="005A209C">
        <w:rPr>
          <w:rFonts w:ascii="Book Antiqua" w:eastAsia="Book Antiqua" w:hAnsi="Book Antiqua" w:cs="Book Antiqua"/>
          <w:color w:val="000000"/>
        </w:rPr>
        <w:t xml:space="preserve"> during alcohol injection in our cohort, the </w:t>
      </w:r>
      <w:r w:rsidR="005A209C">
        <w:rPr>
          <w:rFonts w:ascii="Book Antiqua" w:eastAsia="Book Antiqua" w:hAnsi="Book Antiqua" w:cs="Book Antiqua"/>
          <w:color w:val="000000"/>
        </w:rPr>
        <w:lastRenderedPageBreak/>
        <w:t>intra-procedural heart rate was decreased in</w:t>
      </w:r>
      <w:r>
        <w:rPr>
          <w:rFonts w:ascii="Book Antiqua" w:eastAsia="Book Antiqua" w:hAnsi="Book Antiqua" w:cs="Book Antiqua"/>
          <w:color w:val="000000"/>
        </w:rPr>
        <w:t xml:space="preserve"> ≥ 80% </w:t>
      </w:r>
      <w:r w:rsidR="005A209C">
        <w:rPr>
          <w:rFonts w:ascii="Book Antiqua" w:eastAsia="Book Antiqua" w:hAnsi="Book Antiqua" w:cs="Book Antiqua"/>
          <w:color w:val="000000"/>
        </w:rPr>
        <w:t xml:space="preserve">of </w:t>
      </w:r>
      <w:r>
        <w:rPr>
          <w:rFonts w:ascii="Book Antiqua" w:eastAsia="Book Antiqua" w:hAnsi="Book Antiqua" w:cs="Book Antiqua"/>
          <w:color w:val="000000"/>
        </w:rPr>
        <w:t>patients. The heart rate always decreased when the alcohol</w:t>
      </w:r>
      <w:r w:rsidR="005A209C">
        <w:rPr>
          <w:rFonts w:ascii="Book Antiqua" w:eastAsia="Book Antiqua" w:hAnsi="Book Antiqua" w:cs="Book Antiqua"/>
          <w:color w:val="000000"/>
        </w:rPr>
        <w:t xml:space="preserve"> was</w:t>
      </w:r>
      <w:r>
        <w:rPr>
          <w:rFonts w:ascii="Book Antiqua" w:eastAsia="Book Antiqua" w:hAnsi="Book Antiqua" w:cs="Book Antiqua"/>
          <w:color w:val="000000"/>
        </w:rPr>
        <w:t xml:space="preserve"> injected into the celiac plexus</w:t>
      </w:r>
      <w:r w:rsidR="005A209C">
        <w:rPr>
          <w:rFonts w:ascii="Book Antiqua" w:eastAsia="Book Antiqua" w:hAnsi="Book Antiqua" w:cs="Book Antiqua"/>
          <w:color w:val="000000"/>
        </w:rPr>
        <w:t>,</w:t>
      </w:r>
      <w:r>
        <w:rPr>
          <w:rFonts w:ascii="Book Antiqua" w:eastAsia="Book Antiqua" w:hAnsi="Book Antiqua" w:cs="Book Antiqua"/>
          <w:color w:val="000000"/>
        </w:rPr>
        <w:t xml:space="preserve"> and </w:t>
      </w:r>
      <w:r w:rsidR="005A209C">
        <w:rPr>
          <w:rFonts w:ascii="Book Antiqua" w:eastAsia="Book Antiqua" w:hAnsi="Book Antiqua" w:cs="Book Antiqua"/>
          <w:color w:val="000000"/>
        </w:rPr>
        <w:t xml:space="preserve">it </w:t>
      </w:r>
      <w:r>
        <w:rPr>
          <w:rFonts w:ascii="Book Antiqua" w:eastAsia="Book Antiqua" w:hAnsi="Book Antiqua" w:cs="Book Antiqua"/>
          <w:color w:val="000000"/>
        </w:rPr>
        <w:t>returned to baseline level after several seconds.</w:t>
      </w:r>
    </w:p>
    <w:p w14:paraId="6BE21299" w14:textId="1A264B58" w:rsidR="00A77B3E" w:rsidRDefault="009B365A" w:rsidP="00CD114C">
      <w:pPr>
        <w:adjustRightInd w:val="0"/>
        <w:snapToGrid w:val="0"/>
        <w:spacing w:line="360" w:lineRule="auto"/>
        <w:ind w:firstLine="480"/>
        <w:jc w:val="both"/>
      </w:pPr>
      <w:r>
        <w:rPr>
          <w:rFonts w:ascii="Book Antiqua" w:eastAsia="Book Antiqua" w:hAnsi="Book Antiqua" w:cs="Book Antiqua"/>
          <w:color w:val="000000"/>
        </w:rPr>
        <w:t>Certainly,</w:t>
      </w:r>
      <w:r>
        <w:rPr>
          <w:rFonts w:ascii="Book Antiqua" w:eastAsia="Book Antiqua" w:hAnsi="Book Antiqua" w:cs="Book Antiqua"/>
          <w:b/>
          <w:bCs/>
          <w:color w:val="000000"/>
        </w:rPr>
        <w:t xml:space="preserve"> </w:t>
      </w:r>
      <w:r>
        <w:rPr>
          <w:rFonts w:ascii="Book Antiqua" w:eastAsia="Book Antiqua" w:hAnsi="Book Antiqua" w:cs="Book Antiqua"/>
          <w:color w:val="000000"/>
        </w:rPr>
        <w:t>the present study has its inherent limitations that should be considered.</w:t>
      </w:r>
      <w:r>
        <w:rPr>
          <w:rFonts w:ascii="Book Antiqua" w:eastAsia="Book Antiqua" w:hAnsi="Book Antiqua" w:cs="Book Antiqua"/>
          <w:b/>
          <w:bCs/>
          <w:color w:val="000000"/>
        </w:rPr>
        <w:t xml:space="preserve"> </w:t>
      </w:r>
      <w:r>
        <w:rPr>
          <w:rFonts w:ascii="Book Antiqua" w:eastAsia="Book Antiqua" w:hAnsi="Book Antiqua" w:cs="Book Antiqua"/>
          <w:color w:val="000000"/>
        </w:rPr>
        <w:t>First, the study is retrospective and the samples of patients are relatively small</w:t>
      </w:r>
      <w:r w:rsidR="005A209C">
        <w:rPr>
          <w:rFonts w:ascii="Book Antiqua" w:eastAsia="Book Antiqua" w:hAnsi="Book Antiqua" w:cs="Book Antiqua"/>
          <w:color w:val="000000"/>
        </w:rPr>
        <w:t>,</w:t>
      </w:r>
      <w:r>
        <w:rPr>
          <w:rFonts w:ascii="Book Antiqua" w:eastAsia="Book Antiqua" w:hAnsi="Book Antiqua" w:cs="Book Antiqua"/>
          <w:color w:val="000000"/>
        </w:rPr>
        <w:t xml:space="preserve"> suggesting restricted application of the results</w:t>
      </w:r>
      <w:r w:rsidR="005A209C">
        <w:rPr>
          <w:rFonts w:ascii="Book Antiqua" w:eastAsia="Book Antiqua" w:hAnsi="Book Antiqua" w:cs="Book Antiqua"/>
          <w:color w:val="000000"/>
        </w:rPr>
        <w:t>.</w:t>
      </w:r>
      <w:r>
        <w:rPr>
          <w:rFonts w:ascii="Book Antiqua" w:eastAsia="Book Antiqua" w:hAnsi="Book Antiqua" w:cs="Book Antiqua"/>
          <w:color w:val="000000"/>
        </w:rPr>
        <w:t xml:space="preserve"> </w:t>
      </w:r>
      <w:r w:rsidR="005A209C">
        <w:rPr>
          <w:rFonts w:ascii="Book Antiqua" w:eastAsia="Book Antiqua" w:hAnsi="Book Antiqua" w:cs="Book Antiqua"/>
          <w:color w:val="000000"/>
        </w:rPr>
        <w:t>A s</w:t>
      </w:r>
      <w:r>
        <w:rPr>
          <w:rFonts w:ascii="Book Antiqua" w:eastAsia="Book Antiqua" w:hAnsi="Book Antiqua" w:cs="Book Antiqua"/>
          <w:color w:val="000000"/>
        </w:rPr>
        <w:t xml:space="preserve">econd limitation is </w:t>
      </w:r>
      <w:r w:rsidR="005A209C">
        <w:rPr>
          <w:rFonts w:ascii="Book Antiqua" w:eastAsia="Book Antiqua" w:hAnsi="Book Antiqua" w:cs="Book Antiqua"/>
          <w:color w:val="000000"/>
        </w:rPr>
        <w:t>the difficulty</w:t>
      </w:r>
      <w:r>
        <w:rPr>
          <w:rFonts w:ascii="Book Antiqua" w:eastAsia="Book Antiqua" w:hAnsi="Book Antiqua" w:cs="Book Antiqua"/>
          <w:color w:val="000000"/>
        </w:rPr>
        <w:t xml:space="preserve"> in measuring pain score, which </w:t>
      </w:r>
      <w:r w:rsidR="005A209C">
        <w:rPr>
          <w:rFonts w:ascii="Book Antiqua" w:eastAsia="Book Antiqua" w:hAnsi="Book Antiqua" w:cs="Book Antiqua"/>
          <w:color w:val="000000"/>
        </w:rPr>
        <w:t>was</w:t>
      </w:r>
      <w:r>
        <w:rPr>
          <w:rFonts w:ascii="Book Antiqua" w:eastAsia="Book Antiqua" w:hAnsi="Book Antiqua" w:cs="Book Antiqua"/>
          <w:color w:val="000000"/>
        </w:rPr>
        <w:t xml:space="preserve"> variable and</w:t>
      </w:r>
      <w:r w:rsidR="005A209C">
        <w:rPr>
          <w:rFonts w:ascii="Book Antiqua" w:eastAsia="Book Antiqua" w:hAnsi="Book Antiqua" w:cs="Book Antiqua"/>
          <w:color w:val="000000"/>
        </w:rPr>
        <w:t xml:space="preserve"> a</w:t>
      </w:r>
      <w:r>
        <w:rPr>
          <w:rFonts w:ascii="Book Antiqua" w:eastAsia="Book Antiqua" w:hAnsi="Book Antiqua" w:cs="Book Antiqua"/>
          <w:color w:val="000000"/>
        </w:rPr>
        <w:t xml:space="preserve"> subjective </w:t>
      </w:r>
      <w:r w:rsidR="005A209C">
        <w:rPr>
          <w:rFonts w:ascii="Book Antiqua" w:eastAsia="Book Antiqua" w:hAnsi="Book Antiqua" w:cs="Book Antiqua"/>
          <w:color w:val="000000"/>
        </w:rPr>
        <w:t>measure</w:t>
      </w:r>
      <w:r>
        <w:rPr>
          <w:rFonts w:ascii="Book Antiqua" w:eastAsia="Book Antiqua" w:hAnsi="Book Antiqua" w:cs="Book Antiqua"/>
          <w:color w:val="000000"/>
        </w:rPr>
        <w:t>. Finally, we fail</w:t>
      </w:r>
      <w:r w:rsidR="005A209C">
        <w:rPr>
          <w:rFonts w:ascii="Book Antiqua" w:eastAsia="Book Antiqua" w:hAnsi="Book Antiqua" w:cs="Book Antiqua"/>
          <w:color w:val="000000"/>
        </w:rPr>
        <w:t>ed</w:t>
      </w:r>
      <w:r>
        <w:rPr>
          <w:rFonts w:ascii="Book Antiqua" w:eastAsia="Book Antiqua" w:hAnsi="Book Antiqua" w:cs="Book Antiqua"/>
          <w:color w:val="000000"/>
        </w:rPr>
        <w:t xml:space="preserve"> to supply any results beyond 4 </w:t>
      </w:r>
      <w:proofErr w:type="spellStart"/>
      <w:r>
        <w:rPr>
          <w:rFonts w:ascii="Book Antiqua" w:eastAsia="Book Antiqua" w:hAnsi="Book Antiqua" w:cs="Book Antiqua"/>
          <w:color w:val="000000"/>
        </w:rPr>
        <w:t>wk</w:t>
      </w:r>
      <w:proofErr w:type="spellEnd"/>
      <w:r w:rsidR="001C2FCD">
        <w:rPr>
          <w:rFonts w:ascii="Book Antiqua" w:eastAsia="Book Antiqua" w:hAnsi="Book Antiqua" w:cs="Book Antiqua"/>
          <w:color w:val="000000"/>
        </w:rPr>
        <w:t>,</w:t>
      </w:r>
      <w:r>
        <w:rPr>
          <w:rFonts w:ascii="Book Antiqua" w:eastAsia="Book Antiqua" w:hAnsi="Book Antiqua" w:cs="Book Antiqua"/>
          <w:color w:val="000000"/>
        </w:rPr>
        <w:t xml:space="preserve"> because over time the efficacy of CPN </w:t>
      </w:r>
      <w:r w:rsidR="005A209C">
        <w:rPr>
          <w:rFonts w:ascii="Book Antiqua" w:eastAsia="Book Antiqua" w:hAnsi="Book Antiqua" w:cs="Book Antiqua"/>
          <w:color w:val="000000"/>
        </w:rPr>
        <w:t>decreased</w:t>
      </w:r>
      <w:r>
        <w:rPr>
          <w:rFonts w:ascii="Book Antiqua" w:eastAsia="Book Antiqua" w:hAnsi="Book Antiqua" w:cs="Book Antiqua"/>
          <w:color w:val="000000"/>
        </w:rPr>
        <w:t xml:space="preserve">. </w:t>
      </w:r>
      <w:r w:rsidR="005A209C">
        <w:rPr>
          <w:rFonts w:ascii="Book Antiqua" w:eastAsia="Book Antiqua" w:hAnsi="Book Antiqua" w:cs="Book Antiqua"/>
          <w:color w:val="000000"/>
        </w:rPr>
        <w:t>Also, b</w:t>
      </w:r>
      <w:r>
        <w:rPr>
          <w:rFonts w:ascii="Book Antiqua" w:eastAsia="Book Antiqua" w:hAnsi="Book Antiqua" w:cs="Book Antiqua"/>
          <w:color w:val="000000"/>
        </w:rPr>
        <w:t xml:space="preserve">eyond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to 16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there were fewer patients for analyzing these data. Therefore, we did not include these patients who</w:t>
      </w:r>
      <w:r w:rsidR="005A209C">
        <w:rPr>
          <w:rFonts w:ascii="Book Antiqua" w:eastAsia="Book Antiqua" w:hAnsi="Book Antiqua" w:cs="Book Antiqua"/>
          <w:color w:val="000000"/>
        </w:rPr>
        <w:t xml:space="preserve"> received treatment more than</w:t>
      </w:r>
      <w:r>
        <w:rPr>
          <w:rFonts w:ascii="Book Antiqua" w:eastAsia="Book Antiqua" w:hAnsi="Book Antiqua" w:cs="Book Antiqua"/>
          <w:color w:val="000000"/>
        </w:rPr>
        <w:t xml:space="preserve"> 4 </w:t>
      </w:r>
      <w:proofErr w:type="spellStart"/>
      <w:r>
        <w:rPr>
          <w:rFonts w:ascii="Book Antiqua" w:eastAsia="Book Antiqua" w:hAnsi="Book Antiqua" w:cs="Book Antiqua"/>
          <w:color w:val="000000"/>
        </w:rPr>
        <w:t>wk</w:t>
      </w:r>
      <w:proofErr w:type="spellEnd"/>
      <w:r w:rsidR="001C2FCD">
        <w:rPr>
          <w:rFonts w:ascii="Book Antiqua" w:eastAsia="Book Antiqua" w:hAnsi="Book Antiqua" w:cs="Book Antiqua"/>
          <w:color w:val="000000"/>
        </w:rPr>
        <w:t xml:space="preserve"> in the study</w:t>
      </w:r>
      <w:r>
        <w:rPr>
          <w:rFonts w:ascii="Book Antiqua" w:eastAsia="Book Antiqua" w:hAnsi="Book Antiqua" w:cs="Book Antiqua"/>
          <w:color w:val="000000"/>
        </w:rPr>
        <w:t xml:space="preserve"> (</w:t>
      </w:r>
      <w:r w:rsidR="005A209C">
        <w:rPr>
          <w:rFonts w:ascii="Book Antiqua" w:eastAsia="Book Antiqua" w:hAnsi="Book Antiqua" w:cs="Book Antiqua"/>
          <w:color w:val="000000"/>
        </w:rPr>
        <w:t>d</w:t>
      </w:r>
      <w:r>
        <w:rPr>
          <w:rFonts w:ascii="Book Antiqua" w:eastAsia="Book Antiqua" w:hAnsi="Book Antiqua" w:cs="Book Antiqua"/>
          <w:color w:val="000000"/>
        </w:rPr>
        <w:t xml:space="preserve">ata not shown). </w:t>
      </w:r>
      <w:r w:rsidR="005A209C">
        <w:rPr>
          <w:rFonts w:ascii="Book Antiqua" w:eastAsia="Book Antiqua" w:hAnsi="Book Antiqua" w:cs="Book Antiqua"/>
          <w:color w:val="000000"/>
        </w:rPr>
        <w:t>W</w:t>
      </w:r>
      <w:r>
        <w:rPr>
          <w:rFonts w:ascii="Book Antiqua" w:eastAsia="Book Antiqua" w:hAnsi="Book Antiqua" w:cs="Book Antiqua"/>
          <w:color w:val="000000"/>
        </w:rPr>
        <w:t xml:space="preserve">e also could not compare the survival of patients who did CPN </w:t>
      </w:r>
      <w:r w:rsidR="005A209C">
        <w:rPr>
          <w:rFonts w:ascii="Book Antiqua" w:eastAsia="Book Antiqua" w:hAnsi="Book Antiqua" w:cs="Book Antiqua"/>
          <w:color w:val="000000"/>
        </w:rPr>
        <w:t>and those who did</w:t>
      </w:r>
      <w:r>
        <w:rPr>
          <w:rFonts w:ascii="Book Antiqua" w:eastAsia="Book Antiqua" w:hAnsi="Book Antiqua" w:cs="Book Antiqua"/>
          <w:color w:val="000000"/>
        </w:rPr>
        <w:t xml:space="preserve"> not. In order to </w:t>
      </w:r>
      <w:r w:rsidR="005A209C">
        <w:rPr>
          <w:rFonts w:ascii="Book Antiqua" w:eastAsia="Book Antiqua" w:hAnsi="Book Antiqua" w:cs="Book Antiqua"/>
          <w:color w:val="000000"/>
        </w:rPr>
        <w:t xml:space="preserve">evaluate </w:t>
      </w:r>
      <w:r>
        <w:rPr>
          <w:rFonts w:ascii="Book Antiqua" w:eastAsia="Book Antiqua" w:hAnsi="Book Antiqua" w:cs="Book Antiqua"/>
          <w:color w:val="000000"/>
        </w:rPr>
        <w:t>objectively the significance of these parameters, a large group of multicenter, prospective, randomized trials are required.</w:t>
      </w:r>
    </w:p>
    <w:p w14:paraId="5AF055C4" w14:textId="77777777" w:rsidR="00A77B3E" w:rsidRDefault="00A77B3E" w:rsidP="00CD114C">
      <w:pPr>
        <w:adjustRightInd w:val="0"/>
        <w:snapToGrid w:val="0"/>
        <w:spacing w:line="360" w:lineRule="auto"/>
        <w:ind w:firstLine="480"/>
        <w:jc w:val="both"/>
      </w:pPr>
    </w:p>
    <w:p w14:paraId="5117267B" w14:textId="77777777" w:rsidR="00A77B3E" w:rsidRDefault="009B365A" w:rsidP="00CD114C">
      <w:pPr>
        <w:adjustRightInd w:val="0"/>
        <w:snapToGrid w:val="0"/>
        <w:spacing w:line="360" w:lineRule="auto"/>
        <w:jc w:val="both"/>
      </w:pPr>
      <w:r>
        <w:rPr>
          <w:rFonts w:ascii="Book Antiqua" w:eastAsia="Book Antiqua" w:hAnsi="Book Antiqua" w:cs="Book Antiqua"/>
          <w:b/>
          <w:caps/>
          <w:color w:val="000000"/>
          <w:u w:val="single"/>
        </w:rPr>
        <w:t>CONCLUSION</w:t>
      </w:r>
    </w:p>
    <w:p w14:paraId="002C1434" w14:textId="3A712772"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Our study found that EUS-CPN is a safe and effective form of treatment for </w:t>
      </w:r>
      <w:r w:rsidR="00317B4B">
        <w:rPr>
          <w:rFonts w:ascii="Book Antiqua" w:eastAsia="Book Antiqua" w:hAnsi="Book Antiqua" w:cs="Book Antiqua"/>
          <w:color w:val="000000"/>
        </w:rPr>
        <w:t>intractable</w:t>
      </w:r>
      <w:r>
        <w:rPr>
          <w:rFonts w:ascii="Book Antiqua" w:eastAsia="Book Antiqua" w:hAnsi="Book Antiqua" w:cs="Book Antiqua"/>
          <w:color w:val="000000"/>
        </w:rPr>
        <w:t xml:space="preserve"> pancreatic cancer-associated pain. EUS-CPN seems to be less effective in patients with </w:t>
      </w:r>
      <w:r w:rsidR="005A209C">
        <w:rPr>
          <w:rFonts w:ascii="Book Antiqua" w:eastAsia="Book Antiqua" w:hAnsi="Book Antiqua" w:cs="Book Antiqua"/>
          <w:color w:val="000000"/>
        </w:rPr>
        <w:t xml:space="preserve">invisible </w:t>
      </w:r>
      <w:r>
        <w:rPr>
          <w:rFonts w:ascii="Book Antiqua" w:eastAsia="Book Antiqua" w:hAnsi="Book Antiqua" w:cs="Book Antiqua"/>
          <w:color w:val="000000"/>
        </w:rPr>
        <w:t>ganglia, distant metastasis</w:t>
      </w:r>
      <w:r w:rsidR="005A209C">
        <w:rPr>
          <w:rFonts w:ascii="Book Antiqua" w:eastAsia="Book Antiqua" w:hAnsi="Book Antiqua" w:cs="Book Antiqua"/>
          <w:color w:val="000000"/>
        </w:rPr>
        <w:t>,</w:t>
      </w:r>
      <w:r>
        <w:rPr>
          <w:rFonts w:ascii="Book Antiqua" w:eastAsia="Book Antiqua" w:hAnsi="Book Antiqua" w:cs="Book Antiqua"/>
          <w:color w:val="000000"/>
        </w:rPr>
        <w:t xml:space="preserve"> and direct invasion of the celiac plexus. For these patients, </w:t>
      </w:r>
      <w:r w:rsidR="001C2FCD">
        <w:rPr>
          <w:rFonts w:ascii="Book Antiqua" w:eastAsia="Book Antiqua" w:hAnsi="Book Antiqua" w:cs="Book Antiqua"/>
          <w:color w:val="000000"/>
        </w:rPr>
        <w:t>additional attention should be paid to</w:t>
      </w:r>
      <w:r>
        <w:rPr>
          <w:rFonts w:ascii="Book Antiqua" w:eastAsia="Book Antiqua" w:hAnsi="Book Antiqua" w:cs="Book Antiqua"/>
          <w:color w:val="000000"/>
        </w:rPr>
        <w:t xml:space="preserve"> efficacy.</w:t>
      </w:r>
    </w:p>
    <w:p w14:paraId="360FC85D" w14:textId="77777777" w:rsidR="00A77B3E" w:rsidRDefault="00A77B3E" w:rsidP="00CD114C">
      <w:pPr>
        <w:adjustRightInd w:val="0"/>
        <w:snapToGrid w:val="0"/>
        <w:spacing w:line="360" w:lineRule="auto"/>
        <w:jc w:val="both"/>
      </w:pPr>
    </w:p>
    <w:p w14:paraId="1686577B" w14:textId="77777777" w:rsidR="00A77B3E" w:rsidRDefault="009B365A" w:rsidP="00CD114C">
      <w:pPr>
        <w:adjustRightInd w:val="0"/>
        <w:snapToGrid w:val="0"/>
        <w:spacing w:line="360" w:lineRule="auto"/>
        <w:jc w:val="both"/>
      </w:pPr>
      <w:r>
        <w:rPr>
          <w:rFonts w:ascii="Book Antiqua" w:eastAsia="Book Antiqua" w:hAnsi="Book Antiqua" w:cs="Book Antiqua"/>
          <w:b/>
          <w:caps/>
          <w:color w:val="000000"/>
          <w:u w:val="single"/>
        </w:rPr>
        <w:t>ARTICLE HIGHLIGHTS</w:t>
      </w:r>
    </w:p>
    <w:p w14:paraId="3AD6B452" w14:textId="77777777" w:rsidR="00A77B3E" w:rsidRDefault="009B365A" w:rsidP="00CD114C">
      <w:pPr>
        <w:adjustRightInd w:val="0"/>
        <w:snapToGrid w:val="0"/>
        <w:spacing w:line="360" w:lineRule="auto"/>
        <w:jc w:val="both"/>
      </w:pPr>
      <w:r>
        <w:rPr>
          <w:rFonts w:ascii="Book Antiqua" w:eastAsia="Book Antiqua" w:hAnsi="Book Antiqua" w:cs="Book Antiqua"/>
          <w:b/>
          <w:i/>
          <w:color w:val="000000"/>
        </w:rPr>
        <w:t>Research background</w:t>
      </w:r>
    </w:p>
    <w:p w14:paraId="59D06ED3" w14:textId="23885697" w:rsidR="00A77B3E" w:rsidRDefault="009B365A" w:rsidP="00CD114C">
      <w:pPr>
        <w:adjustRightInd w:val="0"/>
        <w:snapToGrid w:val="0"/>
        <w:spacing w:line="360" w:lineRule="auto"/>
        <w:jc w:val="both"/>
      </w:pPr>
      <w:r>
        <w:rPr>
          <w:rFonts w:ascii="Book Antiqua" w:eastAsia="Book Antiqua" w:hAnsi="Book Antiqua" w:cs="Book Antiqua"/>
          <w:color w:val="000000"/>
        </w:rPr>
        <w:t>Endoscopic ultrasound-guided celiac plexus neurolysis (EUS-CPN)</w:t>
      </w:r>
      <w:r w:rsidR="00CD114C">
        <w:rPr>
          <w:rFonts w:ascii="Book Antiqua" w:eastAsia="Book Antiqua" w:hAnsi="Book Antiqua" w:cs="Book Antiqua"/>
          <w:color w:val="000000"/>
        </w:rPr>
        <w:t xml:space="preserve"> </w:t>
      </w:r>
      <w:r>
        <w:rPr>
          <w:rFonts w:ascii="Book Antiqua" w:eastAsia="Book Antiqua" w:hAnsi="Book Antiqua" w:cs="Book Antiqua"/>
          <w:color w:val="000000"/>
        </w:rPr>
        <w:t>is widely used to treat pancreatic cancer-associated pain. </w:t>
      </w:r>
    </w:p>
    <w:p w14:paraId="2C3887F8" w14:textId="77777777" w:rsidR="00A77B3E" w:rsidRDefault="00A77B3E" w:rsidP="00CD114C">
      <w:pPr>
        <w:adjustRightInd w:val="0"/>
        <w:snapToGrid w:val="0"/>
        <w:spacing w:line="360" w:lineRule="auto"/>
        <w:jc w:val="both"/>
      </w:pPr>
    </w:p>
    <w:p w14:paraId="0FC4FD7A" w14:textId="77777777" w:rsidR="00A77B3E" w:rsidRDefault="009B365A" w:rsidP="00CD114C">
      <w:pPr>
        <w:adjustRightInd w:val="0"/>
        <w:snapToGrid w:val="0"/>
        <w:spacing w:line="360" w:lineRule="auto"/>
        <w:jc w:val="both"/>
      </w:pPr>
      <w:r>
        <w:rPr>
          <w:rFonts w:ascii="Book Antiqua" w:eastAsia="Book Antiqua" w:hAnsi="Book Antiqua" w:cs="Book Antiqua"/>
          <w:b/>
          <w:i/>
          <w:color w:val="000000"/>
        </w:rPr>
        <w:t>Research motivation</w:t>
      </w:r>
    </w:p>
    <w:p w14:paraId="133CF6A2"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Response to the treatment of EUS-CPN is variable. </w:t>
      </w:r>
    </w:p>
    <w:p w14:paraId="24CE5901" w14:textId="77777777" w:rsidR="00A77B3E" w:rsidRDefault="00A77B3E" w:rsidP="00CD114C">
      <w:pPr>
        <w:adjustRightInd w:val="0"/>
        <w:snapToGrid w:val="0"/>
        <w:spacing w:line="360" w:lineRule="auto"/>
        <w:jc w:val="both"/>
      </w:pPr>
    </w:p>
    <w:p w14:paraId="1B393F07" w14:textId="77777777" w:rsidR="00A77B3E" w:rsidRDefault="009B365A" w:rsidP="00CD114C">
      <w:pPr>
        <w:adjustRightInd w:val="0"/>
        <w:snapToGrid w:val="0"/>
        <w:spacing w:line="360" w:lineRule="auto"/>
        <w:jc w:val="both"/>
      </w:pPr>
      <w:r>
        <w:rPr>
          <w:rFonts w:ascii="Book Antiqua" w:eastAsia="Book Antiqua" w:hAnsi="Book Antiqua" w:cs="Book Antiqua"/>
          <w:b/>
          <w:i/>
          <w:color w:val="000000"/>
        </w:rPr>
        <w:t>Research objectives</w:t>
      </w:r>
    </w:p>
    <w:p w14:paraId="7E33A3D7"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lastRenderedPageBreak/>
        <w:t>To explore determinants of pain response in EUS-CPN for pancreatic cancer-associated pain.</w:t>
      </w:r>
    </w:p>
    <w:p w14:paraId="1E216711" w14:textId="77777777" w:rsidR="00A77B3E" w:rsidRDefault="00A77B3E" w:rsidP="00CD114C">
      <w:pPr>
        <w:adjustRightInd w:val="0"/>
        <w:snapToGrid w:val="0"/>
        <w:spacing w:line="360" w:lineRule="auto"/>
        <w:jc w:val="both"/>
      </w:pPr>
    </w:p>
    <w:p w14:paraId="027BC9AD" w14:textId="77777777" w:rsidR="00A77B3E" w:rsidRDefault="009B365A" w:rsidP="00CD114C">
      <w:pPr>
        <w:adjustRightInd w:val="0"/>
        <w:snapToGrid w:val="0"/>
        <w:spacing w:line="360" w:lineRule="auto"/>
        <w:jc w:val="both"/>
      </w:pPr>
      <w:r>
        <w:rPr>
          <w:rFonts w:ascii="Book Antiqua" w:eastAsia="Book Antiqua" w:hAnsi="Book Antiqua" w:cs="Book Antiqua"/>
          <w:b/>
          <w:i/>
          <w:color w:val="000000"/>
        </w:rPr>
        <w:t>Research methods</w:t>
      </w:r>
    </w:p>
    <w:p w14:paraId="61F4A4CC"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Univariable and multivariable logistic regression analyses were performed to explore predictors of pain response.</w:t>
      </w:r>
    </w:p>
    <w:p w14:paraId="016313BC" w14:textId="77777777" w:rsidR="00A77B3E" w:rsidRDefault="00A77B3E" w:rsidP="00CD114C">
      <w:pPr>
        <w:adjustRightInd w:val="0"/>
        <w:snapToGrid w:val="0"/>
        <w:spacing w:line="360" w:lineRule="auto"/>
        <w:jc w:val="both"/>
      </w:pPr>
    </w:p>
    <w:p w14:paraId="50F8D3CF" w14:textId="77777777" w:rsidR="00A77B3E" w:rsidRDefault="009B365A" w:rsidP="00CD114C">
      <w:pPr>
        <w:adjustRightInd w:val="0"/>
        <w:snapToGrid w:val="0"/>
        <w:spacing w:line="360" w:lineRule="auto"/>
        <w:jc w:val="both"/>
      </w:pPr>
      <w:r>
        <w:rPr>
          <w:rFonts w:ascii="Book Antiqua" w:eastAsia="Book Antiqua" w:hAnsi="Book Antiqua" w:cs="Book Antiqua"/>
          <w:b/>
          <w:i/>
          <w:color w:val="000000"/>
        </w:rPr>
        <w:t>Research results</w:t>
      </w:r>
    </w:p>
    <w:p w14:paraId="74E29519" w14:textId="6C357FBB" w:rsidR="00A77B3E" w:rsidRDefault="00317B4B" w:rsidP="00CD114C">
      <w:pPr>
        <w:adjustRightInd w:val="0"/>
        <w:snapToGrid w:val="0"/>
        <w:spacing w:line="360" w:lineRule="auto"/>
        <w:jc w:val="both"/>
      </w:pPr>
      <w:r>
        <w:rPr>
          <w:rFonts w:ascii="Book Antiqua" w:eastAsia="Book Antiqua" w:hAnsi="Book Antiqua" w:cs="Book Antiqua"/>
          <w:color w:val="000000"/>
        </w:rPr>
        <w:t>Invisible</w:t>
      </w:r>
      <w:r w:rsidR="005A209C">
        <w:rPr>
          <w:rFonts w:ascii="Book Antiqua" w:eastAsia="Book Antiqua" w:hAnsi="Book Antiqua" w:cs="Book Antiqua"/>
          <w:color w:val="000000"/>
        </w:rPr>
        <w:t xml:space="preserve"> </w:t>
      </w:r>
      <w:r w:rsidR="009B365A">
        <w:rPr>
          <w:rFonts w:ascii="Book Antiqua" w:eastAsia="Book Antiqua" w:hAnsi="Book Antiqua" w:cs="Book Antiqua"/>
          <w:color w:val="000000"/>
        </w:rPr>
        <w:t>ganglia, metastatic disease</w:t>
      </w:r>
      <w:r w:rsidR="005A209C">
        <w:rPr>
          <w:rFonts w:ascii="Book Antiqua" w:eastAsia="Book Antiqua" w:hAnsi="Book Antiqua" w:cs="Book Antiqua"/>
          <w:color w:val="000000"/>
        </w:rPr>
        <w:t>,</w:t>
      </w:r>
      <w:r w:rsidR="009B365A">
        <w:rPr>
          <w:rFonts w:ascii="Book Antiqua" w:eastAsia="Book Antiqua" w:hAnsi="Book Antiqua" w:cs="Book Antiqua"/>
          <w:color w:val="000000"/>
        </w:rPr>
        <w:t xml:space="preserve"> and invasion of the celiac plexus were identified as significant factors for a negative response to EUS-CPN. No severe adverse events were reported. </w:t>
      </w:r>
    </w:p>
    <w:p w14:paraId="337ED0C6" w14:textId="77777777" w:rsidR="00A77B3E" w:rsidRDefault="00A77B3E" w:rsidP="00CD114C">
      <w:pPr>
        <w:adjustRightInd w:val="0"/>
        <w:snapToGrid w:val="0"/>
        <w:spacing w:line="360" w:lineRule="auto"/>
        <w:jc w:val="both"/>
      </w:pPr>
    </w:p>
    <w:p w14:paraId="231C1CF7" w14:textId="77777777" w:rsidR="00A77B3E" w:rsidRDefault="009B365A" w:rsidP="00CD114C">
      <w:pPr>
        <w:adjustRightInd w:val="0"/>
        <w:snapToGrid w:val="0"/>
        <w:spacing w:line="360" w:lineRule="auto"/>
        <w:jc w:val="both"/>
      </w:pPr>
      <w:r>
        <w:rPr>
          <w:rFonts w:ascii="Book Antiqua" w:eastAsia="Book Antiqua" w:hAnsi="Book Antiqua" w:cs="Book Antiqua"/>
          <w:b/>
          <w:i/>
          <w:color w:val="000000"/>
        </w:rPr>
        <w:t>Research conclusions</w:t>
      </w:r>
    </w:p>
    <w:p w14:paraId="088FEBD4" w14:textId="3B7FBABA" w:rsidR="00A77B3E" w:rsidRDefault="001C2FCD" w:rsidP="00CD114C">
      <w:pPr>
        <w:adjustRightInd w:val="0"/>
        <w:snapToGrid w:val="0"/>
        <w:spacing w:line="360" w:lineRule="auto"/>
        <w:jc w:val="both"/>
      </w:pPr>
      <w:r>
        <w:rPr>
          <w:rFonts w:ascii="Book Antiqua" w:eastAsia="Book Antiqua" w:hAnsi="Book Antiqua" w:cs="Book Antiqua"/>
          <w:color w:val="000000"/>
        </w:rPr>
        <w:t>I</w:t>
      </w:r>
      <w:r w:rsidR="005A209C">
        <w:rPr>
          <w:rFonts w:ascii="Book Antiqua" w:eastAsia="Book Antiqua" w:hAnsi="Book Antiqua" w:cs="Book Antiqua"/>
          <w:color w:val="000000"/>
        </w:rPr>
        <w:t xml:space="preserve">nvisible </w:t>
      </w:r>
      <w:r w:rsidR="009B365A">
        <w:rPr>
          <w:rFonts w:ascii="Book Antiqua" w:eastAsia="Book Antiqua" w:hAnsi="Book Antiqua" w:cs="Book Antiqua"/>
          <w:color w:val="000000"/>
        </w:rPr>
        <w:t>ganglia, distant metastasis</w:t>
      </w:r>
      <w:r w:rsidR="005A209C">
        <w:rPr>
          <w:rFonts w:ascii="Book Antiqua" w:eastAsia="Book Antiqua" w:hAnsi="Book Antiqua" w:cs="Book Antiqua"/>
          <w:color w:val="000000"/>
        </w:rPr>
        <w:t>,</w:t>
      </w:r>
      <w:r w:rsidR="009B365A">
        <w:rPr>
          <w:rFonts w:ascii="Book Antiqua" w:eastAsia="Book Antiqua" w:hAnsi="Book Antiqua" w:cs="Book Antiqua"/>
          <w:color w:val="000000"/>
        </w:rPr>
        <w:t xml:space="preserve"> and invasion of the celiac plexus were predictors of less effective response in EUS-CPN for pancreatic cancer-related pain. For these patients, </w:t>
      </w:r>
      <w:r>
        <w:rPr>
          <w:rFonts w:ascii="Book Antiqua" w:eastAsia="Book Antiqua" w:hAnsi="Book Antiqua" w:cs="Book Antiqua"/>
          <w:color w:val="000000"/>
        </w:rPr>
        <w:t xml:space="preserve">attention should be given regarding </w:t>
      </w:r>
      <w:r w:rsidR="009B365A">
        <w:rPr>
          <w:rFonts w:ascii="Book Antiqua" w:eastAsia="Book Antiqua" w:hAnsi="Book Antiqua" w:cs="Book Antiqua"/>
          <w:color w:val="000000"/>
        </w:rPr>
        <w:t>efficacy. </w:t>
      </w:r>
    </w:p>
    <w:p w14:paraId="1456CB0E" w14:textId="77777777" w:rsidR="00A77B3E" w:rsidRDefault="00A77B3E" w:rsidP="00CD114C">
      <w:pPr>
        <w:adjustRightInd w:val="0"/>
        <w:snapToGrid w:val="0"/>
        <w:spacing w:line="360" w:lineRule="auto"/>
        <w:jc w:val="both"/>
      </w:pPr>
    </w:p>
    <w:p w14:paraId="60B8A3E9" w14:textId="77777777" w:rsidR="00A77B3E" w:rsidRDefault="009B365A" w:rsidP="00CD114C">
      <w:pPr>
        <w:adjustRightInd w:val="0"/>
        <w:snapToGrid w:val="0"/>
        <w:spacing w:line="360" w:lineRule="auto"/>
        <w:jc w:val="both"/>
      </w:pPr>
      <w:r>
        <w:rPr>
          <w:rFonts w:ascii="Book Antiqua" w:eastAsia="Book Antiqua" w:hAnsi="Book Antiqua" w:cs="Book Antiqua"/>
          <w:b/>
          <w:i/>
          <w:color w:val="000000"/>
        </w:rPr>
        <w:t>Research perspectives</w:t>
      </w:r>
    </w:p>
    <w:p w14:paraId="26751AF5" w14:textId="4AC591AD" w:rsidR="00A77B3E" w:rsidRDefault="009B365A" w:rsidP="00CD114C">
      <w:pPr>
        <w:adjustRightInd w:val="0"/>
        <w:snapToGrid w:val="0"/>
        <w:spacing w:line="360" w:lineRule="auto"/>
        <w:jc w:val="both"/>
      </w:pPr>
      <w:r>
        <w:rPr>
          <w:rFonts w:ascii="Book Antiqua" w:eastAsia="Book Antiqua" w:hAnsi="Book Antiqua" w:cs="Book Antiqua"/>
          <w:color w:val="000000"/>
        </w:rPr>
        <w:t>These findings could be helpful to endoscopists or oncologist</w:t>
      </w:r>
      <w:r w:rsidR="005A209C">
        <w:rPr>
          <w:rFonts w:ascii="Book Antiqua" w:eastAsia="Book Antiqua" w:hAnsi="Book Antiqua" w:cs="Book Antiqua"/>
          <w:color w:val="000000"/>
        </w:rPr>
        <w:t>s</w:t>
      </w:r>
      <w:r>
        <w:rPr>
          <w:rFonts w:ascii="Book Antiqua" w:eastAsia="Book Antiqua" w:hAnsi="Book Antiqua" w:cs="Book Antiqua"/>
          <w:color w:val="000000"/>
        </w:rPr>
        <w:t xml:space="preserve"> to </w:t>
      </w:r>
      <w:r w:rsidR="005A209C">
        <w:rPr>
          <w:rFonts w:ascii="Book Antiqua" w:eastAsia="Book Antiqua" w:hAnsi="Book Antiqua" w:cs="Book Antiqua"/>
          <w:color w:val="000000"/>
        </w:rPr>
        <w:t>develop an appropriate treatment</w:t>
      </w:r>
      <w:r>
        <w:rPr>
          <w:rFonts w:ascii="Book Antiqua" w:eastAsia="Book Antiqua" w:hAnsi="Book Antiqua" w:cs="Book Antiqua"/>
          <w:color w:val="000000"/>
        </w:rPr>
        <w:t xml:space="preserve"> scheme for</w:t>
      </w:r>
      <w:r w:rsidR="005A209C">
        <w:rPr>
          <w:rFonts w:ascii="Book Antiqua" w:eastAsia="Book Antiqua" w:hAnsi="Book Antiqua" w:cs="Book Antiqua"/>
          <w:color w:val="000000"/>
        </w:rPr>
        <w:t xml:space="preserve"> pain management in</w:t>
      </w:r>
      <w:r>
        <w:rPr>
          <w:rFonts w:ascii="Book Antiqua" w:eastAsia="Book Antiqua" w:hAnsi="Book Antiqua" w:cs="Book Antiqua"/>
          <w:color w:val="000000"/>
        </w:rPr>
        <w:t xml:space="preserve"> pancreatic cancer patients. </w:t>
      </w:r>
    </w:p>
    <w:p w14:paraId="4468B9C8" w14:textId="77777777" w:rsidR="00A77B3E" w:rsidRDefault="00A77B3E" w:rsidP="00CD114C">
      <w:pPr>
        <w:adjustRightInd w:val="0"/>
        <w:snapToGrid w:val="0"/>
        <w:spacing w:line="360" w:lineRule="auto"/>
        <w:jc w:val="both"/>
      </w:pPr>
    </w:p>
    <w:p w14:paraId="00AC0567" w14:textId="77777777" w:rsidR="00A77B3E" w:rsidRDefault="009B365A" w:rsidP="00CD114C">
      <w:pPr>
        <w:adjustRightInd w:val="0"/>
        <w:snapToGrid w:val="0"/>
        <w:spacing w:line="360" w:lineRule="auto"/>
        <w:jc w:val="both"/>
      </w:pPr>
      <w:r>
        <w:rPr>
          <w:rFonts w:ascii="Book Antiqua" w:eastAsia="Book Antiqua" w:hAnsi="Book Antiqua" w:cs="Book Antiqua"/>
          <w:b/>
          <w:color w:val="000000"/>
        </w:rPr>
        <w:t>REFERENCES</w:t>
      </w:r>
    </w:p>
    <w:p w14:paraId="6257E86E"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Ascunce G</w:t>
      </w:r>
      <w:r>
        <w:rPr>
          <w:rFonts w:ascii="Book Antiqua" w:eastAsia="Book Antiqua" w:hAnsi="Book Antiqua" w:cs="Book Antiqua"/>
          <w:color w:val="000000"/>
        </w:rPr>
        <w:t xml:space="preserve">, Ribeiro A, Reis I, Rocha-Lima C, </w:t>
      </w:r>
      <w:proofErr w:type="spellStart"/>
      <w:r>
        <w:rPr>
          <w:rFonts w:ascii="Book Antiqua" w:eastAsia="Book Antiqua" w:hAnsi="Book Antiqua" w:cs="Book Antiqua"/>
          <w:color w:val="000000"/>
        </w:rPr>
        <w:t>Sleeman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Merchan</w:t>
      </w:r>
      <w:proofErr w:type="spellEnd"/>
      <w:r>
        <w:rPr>
          <w:rFonts w:ascii="Book Antiqua" w:eastAsia="Book Antiqua" w:hAnsi="Book Antiqua" w:cs="Book Antiqua"/>
          <w:color w:val="000000"/>
        </w:rPr>
        <w:t xml:space="preserve"> J, Levi J. EUS visualization and direct celiac ganglia neurolysis predicts better pain relief in patients with pancreatic malignancy (with video).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73</w:t>
      </w:r>
      <w:r>
        <w:rPr>
          <w:rFonts w:ascii="Book Antiqua" w:eastAsia="Book Antiqua" w:hAnsi="Book Antiqua" w:cs="Book Antiqua"/>
          <w:color w:val="000000"/>
        </w:rPr>
        <w:t>: 267-274 [PMID: 21295640 DOI: 10.1016/j.gie.2010.10.029]</w:t>
      </w:r>
    </w:p>
    <w:p w14:paraId="617C9DA6" w14:textId="293EDB3D"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Minaga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Takenaka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Kamata</w:t>
      </w:r>
      <w:proofErr w:type="spellEnd"/>
      <w:r>
        <w:rPr>
          <w:rFonts w:ascii="Book Antiqua" w:eastAsia="Book Antiqua" w:hAnsi="Book Antiqua" w:cs="Book Antiqua"/>
          <w:color w:val="000000"/>
        </w:rPr>
        <w:t xml:space="preserve"> K, Yoshikawa T, </w:t>
      </w:r>
      <w:proofErr w:type="spellStart"/>
      <w:r>
        <w:rPr>
          <w:rFonts w:ascii="Book Antiqua" w:eastAsia="Book Antiqua" w:hAnsi="Book Antiqua" w:cs="Book Antiqua"/>
          <w:color w:val="000000"/>
        </w:rPr>
        <w:t>Nakai</w:t>
      </w:r>
      <w:proofErr w:type="spellEnd"/>
      <w:r>
        <w:rPr>
          <w:rFonts w:ascii="Book Antiqua" w:eastAsia="Book Antiqua" w:hAnsi="Book Antiqua" w:cs="Book Antiqua"/>
          <w:color w:val="000000"/>
        </w:rPr>
        <w:t xml:space="preserve"> A, Omoto S, Miyata T,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K, Imai H, Sakamoto H, Kitano M, Kudo M. Alleviating Pancreatic Cancer-</w:t>
      </w:r>
      <w:r>
        <w:rPr>
          <w:rFonts w:ascii="Book Antiqua" w:eastAsia="Book Antiqua" w:hAnsi="Book Antiqua" w:cs="Book Antiqua"/>
          <w:color w:val="000000"/>
        </w:rPr>
        <w:lastRenderedPageBreak/>
        <w:t xml:space="preserve">Associated Pain Using Endoscopic Ultrasound-Guided Neurolysis.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xml:space="preserve">: </w:t>
      </w:r>
      <w:r w:rsidR="00CD114C">
        <w:rPr>
          <w:rFonts w:ascii="Book Antiqua" w:eastAsia="Book Antiqua" w:hAnsi="Book Antiqua" w:cs="Book Antiqua"/>
          <w:color w:val="000000"/>
        </w:rPr>
        <w:t xml:space="preserve">50 </w:t>
      </w:r>
      <w:r>
        <w:rPr>
          <w:rFonts w:ascii="Book Antiqua" w:eastAsia="Book Antiqua" w:hAnsi="Book Antiqua" w:cs="Book Antiqua"/>
          <w:color w:val="000000"/>
        </w:rPr>
        <w:t>[PMID: 29462851 DOI: 10.3390/cancers10020050]</w:t>
      </w:r>
    </w:p>
    <w:p w14:paraId="04B8DEDF" w14:textId="5C4AF142"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Tempero</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Malafa</w:t>
      </w:r>
      <w:proofErr w:type="spellEnd"/>
      <w:r>
        <w:rPr>
          <w:rFonts w:ascii="Book Antiqua" w:eastAsia="Book Antiqua" w:hAnsi="Book Antiqua" w:cs="Book Antiqua"/>
          <w:color w:val="000000"/>
        </w:rPr>
        <w:t xml:space="preserve"> MP, Al-</w:t>
      </w:r>
      <w:proofErr w:type="spellStart"/>
      <w:r>
        <w:rPr>
          <w:rFonts w:ascii="Book Antiqua" w:eastAsia="Book Antiqua" w:hAnsi="Book Antiqua" w:cs="Book Antiqua"/>
          <w:color w:val="000000"/>
        </w:rPr>
        <w:t>Hawary</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Asbun</w:t>
      </w:r>
      <w:proofErr w:type="spellEnd"/>
      <w:r>
        <w:rPr>
          <w:rFonts w:ascii="Book Antiqua" w:eastAsia="Book Antiqua" w:hAnsi="Book Antiqua" w:cs="Book Antiqua"/>
          <w:color w:val="000000"/>
        </w:rPr>
        <w:t xml:space="preserve"> H, Bain A, Behrman SW, Benson AB, Binder E, Cardin DB, Cha C, </w:t>
      </w:r>
      <w:proofErr w:type="spellStart"/>
      <w:r>
        <w:rPr>
          <w:rFonts w:ascii="Book Antiqua" w:eastAsia="Book Antiqua" w:hAnsi="Book Antiqua" w:cs="Book Antiqua"/>
          <w:color w:val="000000"/>
        </w:rPr>
        <w:t>Chiorean</w:t>
      </w:r>
      <w:proofErr w:type="spellEnd"/>
      <w:r>
        <w:rPr>
          <w:rFonts w:ascii="Book Antiqua" w:eastAsia="Book Antiqua" w:hAnsi="Book Antiqua" w:cs="Book Antiqua"/>
          <w:color w:val="000000"/>
        </w:rPr>
        <w:t xml:space="preserve"> EG, Chung V, </w:t>
      </w:r>
      <w:proofErr w:type="spellStart"/>
      <w:r>
        <w:rPr>
          <w:rFonts w:ascii="Book Antiqua" w:eastAsia="Book Antiqua" w:hAnsi="Book Antiqua" w:cs="Book Antiqua"/>
          <w:color w:val="000000"/>
        </w:rPr>
        <w:t>Czito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Dillhoff</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Dotan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Ferrone</w:t>
      </w:r>
      <w:proofErr w:type="spellEnd"/>
      <w:r>
        <w:rPr>
          <w:rFonts w:ascii="Book Antiqua" w:eastAsia="Book Antiqua" w:hAnsi="Book Antiqua" w:cs="Book Antiqua"/>
          <w:color w:val="000000"/>
        </w:rPr>
        <w:t xml:space="preserve"> CR, </w:t>
      </w:r>
      <w:proofErr w:type="spellStart"/>
      <w:r>
        <w:rPr>
          <w:rFonts w:ascii="Book Antiqua" w:eastAsia="Book Antiqua" w:hAnsi="Book Antiqua" w:cs="Book Antiqua"/>
          <w:color w:val="000000"/>
        </w:rPr>
        <w:t>Hardacre</w:t>
      </w:r>
      <w:proofErr w:type="spellEnd"/>
      <w:r>
        <w:rPr>
          <w:rFonts w:ascii="Book Antiqua" w:eastAsia="Book Antiqua" w:hAnsi="Book Antiqua" w:cs="Book Antiqua"/>
          <w:color w:val="000000"/>
        </w:rPr>
        <w:t xml:space="preserve"> J, Hawkins WG, Herman J, </w:t>
      </w:r>
      <w:proofErr w:type="spellStart"/>
      <w:r>
        <w:rPr>
          <w:rFonts w:ascii="Book Antiqua" w:eastAsia="Book Antiqua" w:hAnsi="Book Antiqua" w:cs="Book Antiqua"/>
          <w:color w:val="000000"/>
        </w:rPr>
        <w:t>Ko</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Komanduri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Koong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LoConte</w:t>
      </w:r>
      <w:proofErr w:type="spellEnd"/>
      <w:r>
        <w:rPr>
          <w:rFonts w:ascii="Book Antiqua" w:eastAsia="Book Antiqua" w:hAnsi="Book Antiqua" w:cs="Book Antiqua"/>
          <w:color w:val="000000"/>
        </w:rPr>
        <w:t xml:space="preserve"> N, Lowy AM, </w:t>
      </w:r>
      <w:proofErr w:type="spellStart"/>
      <w:r>
        <w:rPr>
          <w:rFonts w:ascii="Book Antiqua" w:eastAsia="Book Antiqua" w:hAnsi="Book Antiqua" w:cs="Book Antiqua"/>
          <w:color w:val="000000"/>
        </w:rPr>
        <w:t>Moravek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Nakakura</w:t>
      </w:r>
      <w:proofErr w:type="spellEnd"/>
      <w:r>
        <w:rPr>
          <w:rFonts w:ascii="Book Antiqua" w:eastAsia="Book Antiqua" w:hAnsi="Book Antiqua" w:cs="Book Antiqua"/>
          <w:color w:val="000000"/>
        </w:rPr>
        <w:t xml:space="preserve"> EK, O'Reilly EM, Obando J, Reddy S, Scaife C, Thayer S, Weekes CD, Wolff RA,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Burns J, </w:t>
      </w:r>
      <w:proofErr w:type="spellStart"/>
      <w:r>
        <w:rPr>
          <w:rFonts w:ascii="Book Antiqua" w:eastAsia="Book Antiqua" w:hAnsi="Book Antiqua" w:cs="Book Antiqua"/>
          <w:color w:val="000000"/>
        </w:rPr>
        <w:t>Darlow</w:t>
      </w:r>
      <w:proofErr w:type="spellEnd"/>
      <w:r>
        <w:rPr>
          <w:rFonts w:ascii="Book Antiqua" w:eastAsia="Book Antiqua" w:hAnsi="Book Antiqua" w:cs="Book Antiqua"/>
          <w:color w:val="000000"/>
        </w:rPr>
        <w:t xml:space="preserve"> S. Pancreatic Adenocarcinoma, Version 2.2017, NCCN Clinical Practice Guidelines in Oncology. </w:t>
      </w:r>
      <w:r>
        <w:rPr>
          <w:rFonts w:ascii="Book Antiqua" w:eastAsia="Book Antiqua" w:hAnsi="Book Antiqua" w:cs="Book Antiqua"/>
          <w:i/>
          <w:iCs/>
          <w:color w:val="000000"/>
        </w:rPr>
        <w:t xml:space="preserve">J Natl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Canc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15</w:t>
      </w:r>
      <w:r>
        <w:rPr>
          <w:rFonts w:ascii="Book Antiqua" w:eastAsia="Book Antiqua" w:hAnsi="Book Antiqua" w:cs="Book Antiqua"/>
          <w:color w:val="000000"/>
        </w:rPr>
        <w:t>: 1028-1061 [PMID: 28784865 DOI: 10.6004/jnccn.2017.0131]</w:t>
      </w:r>
    </w:p>
    <w:p w14:paraId="434AC443"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Eisenberg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Carr</w:t>
      </w:r>
      <w:proofErr w:type="spellEnd"/>
      <w:r>
        <w:rPr>
          <w:rFonts w:ascii="Book Antiqua" w:eastAsia="Book Antiqua" w:hAnsi="Book Antiqua" w:cs="Book Antiqua"/>
          <w:color w:val="000000"/>
        </w:rPr>
        <w:t xml:space="preserve"> DB, Chalmers TC. Neurolytic celiac plexus block for treatment of cancer pain: a meta-analysis.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Analg</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80</w:t>
      </w:r>
      <w:r>
        <w:rPr>
          <w:rFonts w:ascii="Book Antiqua" w:eastAsia="Book Antiqua" w:hAnsi="Book Antiqua" w:cs="Book Antiqua"/>
          <w:color w:val="000000"/>
        </w:rPr>
        <w:t>: 290-295 [PMID: 7818115 DOI: 10.1097/00000539-199502000-00015]</w:t>
      </w:r>
    </w:p>
    <w:p w14:paraId="26582179"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Nagels</w:t>
      </w:r>
      <w:proofErr w:type="spellEnd"/>
      <w:r>
        <w:rPr>
          <w:rFonts w:ascii="Book Antiqua" w:eastAsia="Book Antiqua" w:hAnsi="Book Antiqua" w:cs="Book Antiqua"/>
          <w:b/>
          <w:bCs/>
          <w:color w:val="000000"/>
        </w:rPr>
        <w:t xml:space="preserve"> W</w:t>
      </w:r>
      <w:r>
        <w:rPr>
          <w:rFonts w:ascii="Book Antiqua" w:eastAsia="Book Antiqua" w:hAnsi="Book Antiqua" w:cs="Book Antiqua"/>
          <w:color w:val="000000"/>
        </w:rPr>
        <w:t xml:space="preserve">, Pease N, </w:t>
      </w:r>
      <w:proofErr w:type="spellStart"/>
      <w:r>
        <w:rPr>
          <w:rFonts w:ascii="Book Antiqua" w:eastAsia="Book Antiqua" w:hAnsi="Book Antiqua" w:cs="Book Antiqua"/>
          <w:color w:val="000000"/>
        </w:rPr>
        <w:t>Bekkering</w:t>
      </w:r>
      <w:proofErr w:type="spellEnd"/>
      <w:r>
        <w:rPr>
          <w:rFonts w:ascii="Book Antiqua" w:eastAsia="Book Antiqua" w:hAnsi="Book Antiqua" w:cs="Book Antiqua"/>
          <w:color w:val="000000"/>
        </w:rPr>
        <w:t xml:space="preserve"> G, Cools F, </w:t>
      </w:r>
      <w:proofErr w:type="spellStart"/>
      <w:r>
        <w:rPr>
          <w:rFonts w:ascii="Book Antiqua" w:eastAsia="Book Antiqua" w:hAnsi="Book Antiqua" w:cs="Book Antiqua"/>
          <w:color w:val="000000"/>
        </w:rPr>
        <w:t>Dobbels</w:t>
      </w:r>
      <w:proofErr w:type="spellEnd"/>
      <w:r>
        <w:rPr>
          <w:rFonts w:ascii="Book Antiqua" w:eastAsia="Book Antiqua" w:hAnsi="Book Antiqua" w:cs="Book Antiqua"/>
          <w:color w:val="000000"/>
        </w:rPr>
        <w:t xml:space="preserve"> P. Celiac plexus neurolysis for abdominal cancer pain: a systematic review. </w:t>
      </w:r>
      <w:r>
        <w:rPr>
          <w:rFonts w:ascii="Book Antiqua" w:eastAsia="Book Antiqua" w:hAnsi="Book Antiqua" w:cs="Book Antiqua"/>
          <w:i/>
          <w:iCs/>
          <w:color w:val="000000"/>
        </w:rPr>
        <w:t>Pain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14</w:t>
      </w:r>
      <w:r>
        <w:rPr>
          <w:rFonts w:ascii="Book Antiqua" w:eastAsia="Book Antiqua" w:hAnsi="Book Antiqua" w:cs="Book Antiqua"/>
          <w:color w:val="000000"/>
        </w:rPr>
        <w:t>: 1140-1163 [PMID: 23802777 DOI: 10.1111/pme.12176]</w:t>
      </w:r>
    </w:p>
    <w:p w14:paraId="1E08DE59"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Levy MJ</w:t>
      </w:r>
      <w:r>
        <w:rPr>
          <w:rFonts w:ascii="Book Antiqua" w:eastAsia="Book Antiqua" w:hAnsi="Book Antiqua" w:cs="Book Antiqua"/>
          <w:color w:val="000000"/>
        </w:rPr>
        <w:t xml:space="preserve">, Gleeson FC, </w:t>
      </w:r>
      <w:proofErr w:type="spellStart"/>
      <w:r>
        <w:rPr>
          <w:rFonts w:ascii="Book Antiqua" w:eastAsia="Book Antiqua" w:hAnsi="Book Antiqua" w:cs="Book Antiqua"/>
          <w:color w:val="000000"/>
        </w:rPr>
        <w:t>Topazian</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-Lau LL, Enders FT, Larson JJ, Mara K, Abu </w:t>
      </w:r>
      <w:proofErr w:type="spellStart"/>
      <w:r>
        <w:rPr>
          <w:rFonts w:ascii="Book Antiqua" w:eastAsia="Book Antiqua" w:hAnsi="Book Antiqua" w:cs="Book Antiqua"/>
          <w:color w:val="000000"/>
        </w:rPr>
        <w:t>Dayyeh</w:t>
      </w:r>
      <w:proofErr w:type="spellEnd"/>
      <w:r>
        <w:rPr>
          <w:rFonts w:ascii="Book Antiqua" w:eastAsia="Book Antiqua" w:hAnsi="Book Antiqua" w:cs="Book Antiqua"/>
          <w:color w:val="000000"/>
        </w:rPr>
        <w:t xml:space="preserve"> BK, Alberts SR, </w:t>
      </w:r>
      <w:proofErr w:type="spellStart"/>
      <w:r>
        <w:rPr>
          <w:rFonts w:ascii="Book Antiqua" w:eastAsia="Book Antiqua" w:hAnsi="Book Antiqua" w:cs="Book Antiqua"/>
          <w:color w:val="000000"/>
        </w:rPr>
        <w:t>Hallemeier</w:t>
      </w:r>
      <w:proofErr w:type="spellEnd"/>
      <w:r>
        <w:rPr>
          <w:rFonts w:ascii="Book Antiqua" w:eastAsia="Book Antiqua" w:hAnsi="Book Antiqua" w:cs="Book Antiqua"/>
          <w:color w:val="000000"/>
        </w:rPr>
        <w:t xml:space="preserve"> CL, </w:t>
      </w:r>
      <w:proofErr w:type="spellStart"/>
      <w:r>
        <w:rPr>
          <w:rFonts w:ascii="Book Antiqua" w:eastAsia="Book Antiqua" w:hAnsi="Book Antiqua" w:cs="Book Antiqua"/>
          <w:color w:val="000000"/>
        </w:rPr>
        <w:t>Iyer</w:t>
      </w:r>
      <w:proofErr w:type="spellEnd"/>
      <w:r>
        <w:rPr>
          <w:rFonts w:ascii="Book Antiqua" w:eastAsia="Book Antiqua" w:hAnsi="Book Antiqua" w:cs="Book Antiqua"/>
          <w:color w:val="000000"/>
        </w:rPr>
        <w:t xml:space="preserve"> PG, Kendrick ML, </w:t>
      </w:r>
      <w:proofErr w:type="spellStart"/>
      <w:r>
        <w:rPr>
          <w:rFonts w:ascii="Book Antiqua" w:eastAsia="Book Antiqua" w:hAnsi="Book Antiqua" w:cs="Book Antiqua"/>
          <w:color w:val="000000"/>
        </w:rPr>
        <w:t>Mauck</w:t>
      </w:r>
      <w:proofErr w:type="spellEnd"/>
      <w:r>
        <w:rPr>
          <w:rFonts w:ascii="Book Antiqua" w:eastAsia="Book Antiqua" w:hAnsi="Book Antiqua" w:cs="Book Antiqua"/>
          <w:color w:val="000000"/>
        </w:rPr>
        <w:t xml:space="preserve"> WD, Pearson RK, Petersen BT,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E, Takahashi N, Vege SS, Wang KK, Chari ST. Combined Celiac Ganglia and Plexus Neurolysis Shortens Survival, Without Benefit, </w:t>
      </w:r>
      <w:r>
        <w:rPr>
          <w:rFonts w:ascii="Book Antiqua" w:eastAsia="Book Antiqua" w:hAnsi="Book Antiqua" w:cs="Book Antiqua"/>
          <w:i/>
          <w:iCs/>
          <w:color w:val="000000"/>
        </w:rPr>
        <w:t>vs</w:t>
      </w:r>
      <w:r>
        <w:rPr>
          <w:rFonts w:ascii="Book Antiqua" w:eastAsia="Book Antiqua" w:hAnsi="Book Antiqua" w:cs="Book Antiqua"/>
          <w:color w:val="000000"/>
        </w:rPr>
        <w:t xml:space="preserve"> Plexus Neurolysis Alone.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728-738.e9 [PMID: 30217513 DOI: 10.1016/j.cgh.2018.08.040]</w:t>
      </w:r>
    </w:p>
    <w:p w14:paraId="5546C96F"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Koulouris AI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Banim</w:t>
      </w:r>
      <w:proofErr w:type="spellEnd"/>
      <w:r>
        <w:rPr>
          <w:rFonts w:ascii="Book Antiqua" w:eastAsia="Book Antiqua" w:hAnsi="Book Antiqua" w:cs="Book Antiqua"/>
          <w:color w:val="000000"/>
        </w:rPr>
        <w:t xml:space="preserve"> P, Hart AR. Pain in Patients with Pancreatic Cancer: Prevalence, Mechanisms, Management and Future Developments.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2017; </w:t>
      </w:r>
      <w:r>
        <w:rPr>
          <w:rFonts w:ascii="Book Antiqua" w:eastAsia="Book Antiqua" w:hAnsi="Book Antiqua" w:cs="Book Antiqua"/>
          <w:b/>
          <w:bCs/>
          <w:color w:val="000000"/>
        </w:rPr>
        <w:t>62</w:t>
      </w:r>
      <w:r>
        <w:rPr>
          <w:rFonts w:ascii="Book Antiqua" w:eastAsia="Book Antiqua" w:hAnsi="Book Antiqua" w:cs="Book Antiqua"/>
          <w:color w:val="000000"/>
        </w:rPr>
        <w:t>: 861-870 [PMID: 28229252 DOI: 10.1007/s10620-017-4488-z]</w:t>
      </w:r>
    </w:p>
    <w:p w14:paraId="17AA7DA5"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Yasuda I</w:t>
      </w:r>
      <w:r>
        <w:rPr>
          <w:rFonts w:ascii="Book Antiqua" w:eastAsia="Book Antiqua" w:hAnsi="Book Antiqua" w:cs="Book Antiqua"/>
          <w:color w:val="000000"/>
        </w:rPr>
        <w:t xml:space="preserve">, Wang HP. Endoscopic ultrasound-guided celiac plexus block and neurolysis.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29</w:t>
      </w:r>
      <w:r>
        <w:rPr>
          <w:rFonts w:ascii="Book Antiqua" w:eastAsia="Book Antiqua" w:hAnsi="Book Antiqua" w:cs="Book Antiqua"/>
          <w:color w:val="000000"/>
        </w:rPr>
        <w:t>: 455-462 [PMID: 28160344 DOI: 10.1111/den.12824]</w:t>
      </w:r>
    </w:p>
    <w:p w14:paraId="02A2E003"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Lu F</w:t>
      </w:r>
      <w:r>
        <w:rPr>
          <w:rFonts w:ascii="Book Antiqua" w:eastAsia="Book Antiqua" w:hAnsi="Book Antiqua" w:cs="Book Antiqua"/>
          <w:color w:val="000000"/>
        </w:rPr>
        <w:t xml:space="preserve">, Dong J, Tang Y, Huang H, Liu H, Song L, Zhang K. Bilateral vs. unilateral endoscopic ultrasound-guided celiac plexus neurolysis for abdominal pain </w:t>
      </w:r>
      <w:r>
        <w:rPr>
          <w:rFonts w:ascii="Book Antiqua" w:eastAsia="Book Antiqua" w:hAnsi="Book Antiqua" w:cs="Book Antiqua"/>
          <w:color w:val="000000"/>
        </w:rPr>
        <w:lastRenderedPageBreak/>
        <w:t xml:space="preserve">management in patients with pancreatic malignancy: a systematic review and meta-analysis.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26</w:t>
      </w:r>
      <w:r>
        <w:rPr>
          <w:rFonts w:ascii="Book Antiqua" w:eastAsia="Book Antiqua" w:hAnsi="Book Antiqua" w:cs="Book Antiqua"/>
          <w:color w:val="000000"/>
        </w:rPr>
        <w:t>: 353-359 [PMID: 28956176 DOI: 10.1007/s00520-017-3888-0]</w:t>
      </w:r>
    </w:p>
    <w:p w14:paraId="3D7887FD"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Wyse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Battat</w:t>
      </w:r>
      <w:proofErr w:type="spellEnd"/>
      <w:r>
        <w:rPr>
          <w:rFonts w:ascii="Book Antiqua" w:eastAsia="Book Antiqua" w:hAnsi="Book Antiqua" w:cs="Book Antiqua"/>
          <w:color w:val="000000"/>
        </w:rPr>
        <w:t xml:space="preserve"> R, Sun S, </w:t>
      </w:r>
      <w:proofErr w:type="spellStart"/>
      <w:r>
        <w:rPr>
          <w:rFonts w:ascii="Book Antiqua" w:eastAsia="Book Antiqua" w:hAnsi="Book Antiqua" w:cs="Book Antiqua"/>
          <w:color w:val="000000"/>
        </w:rPr>
        <w:t>Saftoiu</w:t>
      </w:r>
      <w:proofErr w:type="spellEnd"/>
      <w:r>
        <w:rPr>
          <w:rFonts w:ascii="Book Antiqua" w:eastAsia="Book Antiqua" w:hAnsi="Book Antiqua" w:cs="Book Antiqua"/>
          <w:color w:val="000000"/>
        </w:rPr>
        <w:t xml:space="preserve"> A, Siddiqui AA, Leong AT, Arturo Arias BL, </w:t>
      </w:r>
      <w:proofErr w:type="spellStart"/>
      <w:r>
        <w:rPr>
          <w:rFonts w:ascii="Book Antiqua" w:eastAsia="Book Antiqua" w:hAnsi="Book Antiqua" w:cs="Book Antiqua"/>
          <w:color w:val="000000"/>
        </w:rPr>
        <w:t>Fabbri</w:t>
      </w:r>
      <w:proofErr w:type="spellEnd"/>
      <w:r>
        <w:rPr>
          <w:rFonts w:ascii="Book Antiqua" w:eastAsia="Book Antiqua" w:hAnsi="Book Antiqua" w:cs="Book Antiqua"/>
          <w:color w:val="000000"/>
        </w:rPr>
        <w:t xml:space="preserve"> C, Adler DG, Santo E, </w:t>
      </w:r>
      <w:proofErr w:type="spellStart"/>
      <w:r>
        <w:rPr>
          <w:rFonts w:ascii="Book Antiqua" w:eastAsia="Book Antiqua" w:hAnsi="Book Antiqua" w:cs="Book Antiqua"/>
          <w:color w:val="000000"/>
        </w:rPr>
        <w:t>Kalaitzakis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Artifon</w:t>
      </w:r>
      <w:proofErr w:type="spellEnd"/>
      <w:r>
        <w:rPr>
          <w:rFonts w:ascii="Book Antiqua" w:eastAsia="Book Antiqua" w:hAnsi="Book Antiqua" w:cs="Book Antiqua"/>
          <w:color w:val="000000"/>
        </w:rPr>
        <w:t xml:space="preserve"> E, Mishra G, </w:t>
      </w:r>
      <w:proofErr w:type="spellStart"/>
      <w:r>
        <w:rPr>
          <w:rFonts w:ascii="Book Antiqua" w:eastAsia="Book Antiqua" w:hAnsi="Book Antiqua" w:cs="Book Antiqua"/>
          <w:color w:val="000000"/>
        </w:rPr>
        <w:t>Okasha</w:t>
      </w:r>
      <w:proofErr w:type="spellEnd"/>
      <w:r>
        <w:rPr>
          <w:rFonts w:ascii="Book Antiqua" w:eastAsia="Book Antiqua" w:hAnsi="Book Antiqua" w:cs="Book Antiqua"/>
          <w:color w:val="000000"/>
        </w:rPr>
        <w:t xml:space="preserve"> HH, </w:t>
      </w:r>
      <w:proofErr w:type="spellStart"/>
      <w:r>
        <w:rPr>
          <w:rFonts w:ascii="Book Antiqua" w:eastAsia="Book Antiqua" w:hAnsi="Book Antiqua" w:cs="Book Antiqua"/>
          <w:color w:val="000000"/>
        </w:rPr>
        <w:t>Poley</w:t>
      </w:r>
      <w:proofErr w:type="spellEnd"/>
      <w:r>
        <w:rPr>
          <w:rFonts w:ascii="Book Antiqua" w:eastAsia="Book Antiqua" w:hAnsi="Book Antiqua" w:cs="Book Antiqua"/>
          <w:color w:val="000000"/>
        </w:rPr>
        <w:t xml:space="preserve"> JW, Guo J, Vila JJ, Lee LS, Sharma M, </w:t>
      </w:r>
      <w:proofErr w:type="spellStart"/>
      <w:r>
        <w:rPr>
          <w:rFonts w:ascii="Book Antiqua" w:eastAsia="Book Antiqua" w:hAnsi="Book Antiqua" w:cs="Book Antiqua"/>
          <w:color w:val="000000"/>
        </w:rPr>
        <w:t>Bhutani</w:t>
      </w:r>
      <w:proofErr w:type="spellEnd"/>
      <w:r>
        <w:rPr>
          <w:rFonts w:ascii="Book Antiqua" w:eastAsia="Book Antiqua" w:hAnsi="Book Antiqua" w:cs="Book Antiqua"/>
          <w:color w:val="000000"/>
        </w:rPr>
        <w:t xml:space="preserve"> MS, </w:t>
      </w:r>
      <w:proofErr w:type="spellStart"/>
      <w:r>
        <w:rPr>
          <w:rFonts w:ascii="Book Antiqua" w:eastAsia="Book Antiqua" w:hAnsi="Book Antiqua" w:cs="Book Antiqua"/>
          <w:color w:val="000000"/>
        </w:rPr>
        <w:t>Giovannini</w:t>
      </w:r>
      <w:proofErr w:type="spellEnd"/>
      <w:r>
        <w:rPr>
          <w:rFonts w:ascii="Book Antiqua" w:eastAsia="Book Antiqua" w:hAnsi="Book Antiqua" w:cs="Book Antiqua"/>
          <w:color w:val="000000"/>
        </w:rPr>
        <w:t xml:space="preserve"> M, Kitano M, </w:t>
      </w:r>
      <w:proofErr w:type="spellStart"/>
      <w:r>
        <w:rPr>
          <w:rFonts w:ascii="Book Antiqua" w:eastAsia="Book Antiqua" w:hAnsi="Book Antiqua" w:cs="Book Antiqua"/>
          <w:color w:val="000000"/>
        </w:rPr>
        <w:t>Eloubeidi</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Khashab</w:t>
      </w:r>
      <w:proofErr w:type="spellEnd"/>
      <w:r>
        <w:rPr>
          <w:rFonts w:ascii="Book Antiqua" w:eastAsia="Book Antiqua" w:hAnsi="Book Antiqua" w:cs="Book Antiqua"/>
          <w:color w:val="000000"/>
        </w:rPr>
        <w:t xml:space="preserve"> MA, Nguyen NQ, </w:t>
      </w:r>
      <w:proofErr w:type="spellStart"/>
      <w:r>
        <w:rPr>
          <w:rFonts w:ascii="Book Antiqua" w:eastAsia="Book Antiqua" w:hAnsi="Book Antiqua" w:cs="Book Antiqua"/>
          <w:color w:val="000000"/>
        </w:rPr>
        <w:t>Saxena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Vilmann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Fusaroli</w:t>
      </w:r>
      <w:proofErr w:type="spellEnd"/>
      <w:r>
        <w:rPr>
          <w:rFonts w:ascii="Book Antiqua" w:eastAsia="Book Antiqua" w:hAnsi="Book Antiqua" w:cs="Book Antiqua"/>
          <w:color w:val="000000"/>
        </w:rPr>
        <w:t xml:space="preserve"> P, Garg PK, Ho S, Mukai S, Carrara S, Sridhar S, </w:t>
      </w:r>
      <w:proofErr w:type="spellStart"/>
      <w:r>
        <w:rPr>
          <w:rFonts w:ascii="Book Antiqua" w:eastAsia="Book Antiqua" w:hAnsi="Book Antiqua" w:cs="Book Antiqua"/>
          <w:color w:val="000000"/>
        </w:rPr>
        <w:t>Lakhtakia</w:t>
      </w:r>
      <w:proofErr w:type="spellEnd"/>
      <w:r>
        <w:rPr>
          <w:rFonts w:ascii="Book Antiqua" w:eastAsia="Book Antiqua" w:hAnsi="Book Antiqua" w:cs="Book Antiqua"/>
          <w:color w:val="000000"/>
        </w:rPr>
        <w:t xml:space="preserve"> S, Rana SS, </w:t>
      </w:r>
      <w:proofErr w:type="spellStart"/>
      <w:r>
        <w:rPr>
          <w:rFonts w:ascii="Book Antiqua" w:eastAsia="Book Antiqua" w:hAnsi="Book Antiqua" w:cs="Book Antiqua"/>
          <w:color w:val="000000"/>
        </w:rPr>
        <w:t>Dhir</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Sahai</w:t>
      </w:r>
      <w:proofErr w:type="spellEnd"/>
      <w:r>
        <w:rPr>
          <w:rFonts w:ascii="Book Antiqua" w:eastAsia="Book Antiqua" w:hAnsi="Book Antiqua" w:cs="Book Antiqua"/>
          <w:color w:val="000000"/>
        </w:rPr>
        <w:t xml:space="preserve"> AV. Practice guidelines for endoscopic ultrasound-guided celiac plexus neurolysis.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2017; </w:t>
      </w:r>
      <w:r>
        <w:rPr>
          <w:rFonts w:ascii="Book Antiqua" w:eastAsia="Book Antiqua" w:hAnsi="Book Antiqua" w:cs="Book Antiqua"/>
          <w:b/>
          <w:bCs/>
          <w:color w:val="000000"/>
        </w:rPr>
        <w:t>6</w:t>
      </w:r>
      <w:r>
        <w:rPr>
          <w:rFonts w:ascii="Book Antiqua" w:eastAsia="Book Antiqua" w:hAnsi="Book Antiqua" w:cs="Book Antiqua"/>
          <w:color w:val="000000"/>
        </w:rPr>
        <w:t>: 369-375 [PMID: 29251270 DOI: 10.4103/eus.eus_97_17]</w:t>
      </w:r>
    </w:p>
    <w:p w14:paraId="5405D7E4"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Wyse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Carone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Paquin</w:t>
      </w:r>
      <w:proofErr w:type="spellEnd"/>
      <w:r>
        <w:rPr>
          <w:rFonts w:ascii="Book Antiqua" w:eastAsia="Book Antiqua" w:hAnsi="Book Antiqua" w:cs="Book Antiqua"/>
          <w:color w:val="000000"/>
        </w:rPr>
        <w:t xml:space="preserve"> SC, </w:t>
      </w:r>
      <w:proofErr w:type="spellStart"/>
      <w:r>
        <w:rPr>
          <w:rFonts w:ascii="Book Antiqua" w:eastAsia="Book Antiqua" w:hAnsi="Book Antiqua" w:cs="Book Antiqua"/>
          <w:color w:val="000000"/>
        </w:rPr>
        <w:t>Usatii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Sahai</w:t>
      </w:r>
      <w:proofErr w:type="spellEnd"/>
      <w:r>
        <w:rPr>
          <w:rFonts w:ascii="Book Antiqua" w:eastAsia="Book Antiqua" w:hAnsi="Book Antiqua" w:cs="Book Antiqua"/>
          <w:color w:val="000000"/>
        </w:rPr>
        <w:t xml:space="preserve"> AV. Randomized, double-blind, controlled trial of early endoscopic ultrasound-guided celiac plexus neurolysis to prevent pain progression in patients with newly diagnosed, painful, inoperable pancreatic cancer.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2011; </w:t>
      </w:r>
      <w:r>
        <w:rPr>
          <w:rFonts w:ascii="Book Antiqua" w:eastAsia="Book Antiqua" w:hAnsi="Book Antiqua" w:cs="Book Antiqua"/>
          <w:b/>
          <w:bCs/>
          <w:color w:val="000000"/>
        </w:rPr>
        <w:t>29</w:t>
      </w:r>
      <w:r>
        <w:rPr>
          <w:rFonts w:ascii="Book Antiqua" w:eastAsia="Book Antiqua" w:hAnsi="Book Antiqua" w:cs="Book Antiqua"/>
          <w:color w:val="000000"/>
        </w:rPr>
        <w:t>: 3541-3546 [PMID: 21844506 DOI: 10.1200/JCO.2010.32.2750]</w:t>
      </w:r>
    </w:p>
    <w:p w14:paraId="7F3834A5"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Doi S</w:t>
      </w:r>
      <w:r>
        <w:rPr>
          <w:rFonts w:ascii="Book Antiqua" w:eastAsia="Book Antiqua" w:hAnsi="Book Antiqua" w:cs="Book Antiqua"/>
          <w:color w:val="000000"/>
        </w:rPr>
        <w:t xml:space="preserve">, Yasuda I, Kawakami H, Hayashi T, </w:t>
      </w:r>
      <w:proofErr w:type="spellStart"/>
      <w:r>
        <w:rPr>
          <w:rFonts w:ascii="Book Antiqua" w:eastAsia="Book Antiqua" w:hAnsi="Book Antiqua" w:cs="Book Antiqua"/>
          <w:color w:val="000000"/>
        </w:rPr>
        <w:t>Hisai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Irisawa</w:t>
      </w:r>
      <w:proofErr w:type="spellEnd"/>
      <w:r>
        <w:rPr>
          <w:rFonts w:ascii="Book Antiqua" w:eastAsia="Book Antiqua" w:hAnsi="Book Antiqua" w:cs="Book Antiqua"/>
          <w:color w:val="000000"/>
        </w:rPr>
        <w:t xml:space="preserve"> A, Mukai T, </w:t>
      </w:r>
      <w:proofErr w:type="spellStart"/>
      <w:r>
        <w:rPr>
          <w:rFonts w:ascii="Book Antiqua" w:eastAsia="Book Antiqua" w:hAnsi="Book Antiqua" w:cs="Book Antiqua"/>
          <w:color w:val="000000"/>
        </w:rPr>
        <w:t>Katanuma</w:t>
      </w:r>
      <w:proofErr w:type="spellEnd"/>
      <w:r>
        <w:rPr>
          <w:rFonts w:ascii="Book Antiqua" w:eastAsia="Book Antiqua" w:hAnsi="Book Antiqua" w:cs="Book Antiqua"/>
          <w:color w:val="000000"/>
        </w:rPr>
        <w:t xml:space="preserve"> A, Kubota K, Ohnishi T, </w:t>
      </w:r>
      <w:proofErr w:type="spellStart"/>
      <w:r>
        <w:rPr>
          <w:rFonts w:ascii="Book Antiqua" w:eastAsia="Book Antiqua" w:hAnsi="Book Antiqua" w:cs="Book Antiqua"/>
          <w:color w:val="000000"/>
        </w:rPr>
        <w:t>Ryozawa</w:t>
      </w:r>
      <w:proofErr w:type="spellEnd"/>
      <w:r>
        <w:rPr>
          <w:rFonts w:ascii="Book Antiqua" w:eastAsia="Book Antiqua" w:hAnsi="Book Antiqua" w:cs="Book Antiqua"/>
          <w:color w:val="000000"/>
        </w:rPr>
        <w:t xml:space="preserve"> S, Hara K, </w:t>
      </w:r>
      <w:proofErr w:type="spellStart"/>
      <w:r>
        <w:rPr>
          <w:rFonts w:ascii="Book Antiqua" w:eastAsia="Book Antiqua" w:hAnsi="Book Antiqua" w:cs="Book Antiqua"/>
          <w:color w:val="000000"/>
        </w:rPr>
        <w:t>Itoi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Hanada</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K. Endoscopic ultrasound-guided celiac ganglia neurolysis vs. celiac plexus neurolysis: a randomized multicenter trial. </w:t>
      </w:r>
      <w:r>
        <w:rPr>
          <w:rFonts w:ascii="Book Antiqua" w:eastAsia="Book Antiqua" w:hAnsi="Book Antiqua" w:cs="Book Antiqua"/>
          <w:i/>
          <w:iCs/>
          <w:color w:val="000000"/>
        </w:rPr>
        <w:t>Endoscopy</w:t>
      </w:r>
      <w:r>
        <w:rPr>
          <w:rFonts w:ascii="Book Antiqua" w:eastAsia="Book Antiqua" w:hAnsi="Book Antiqua" w:cs="Book Antiqua"/>
          <w:color w:val="000000"/>
        </w:rPr>
        <w:t xml:space="preserve"> 2013; </w:t>
      </w:r>
      <w:r>
        <w:rPr>
          <w:rFonts w:ascii="Book Antiqua" w:eastAsia="Book Antiqua" w:hAnsi="Book Antiqua" w:cs="Book Antiqua"/>
          <w:b/>
          <w:bCs/>
          <w:color w:val="000000"/>
        </w:rPr>
        <w:t>45</w:t>
      </w:r>
      <w:r>
        <w:rPr>
          <w:rFonts w:ascii="Book Antiqua" w:eastAsia="Book Antiqua" w:hAnsi="Book Antiqua" w:cs="Book Antiqua"/>
          <w:color w:val="000000"/>
        </w:rPr>
        <w:t>: 362-369 [PMID: 23616126 DOI: 10.1055/s-0032-1326225]</w:t>
      </w:r>
    </w:p>
    <w:p w14:paraId="2A489095"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Téllez</w:t>
      </w:r>
      <w:proofErr w:type="spellEnd"/>
      <w:r>
        <w:rPr>
          <w:rFonts w:ascii="Book Antiqua" w:eastAsia="Book Antiqua" w:hAnsi="Book Antiqua" w:cs="Book Antiqua"/>
          <w:b/>
          <w:bCs/>
          <w:color w:val="000000"/>
        </w:rPr>
        <w:t>-Ávila FI</w:t>
      </w:r>
      <w:r>
        <w:rPr>
          <w:rFonts w:ascii="Book Antiqua" w:eastAsia="Book Antiqua" w:hAnsi="Book Antiqua" w:cs="Book Antiqua"/>
          <w:color w:val="000000"/>
        </w:rPr>
        <w:t>, Romano-</w:t>
      </w:r>
      <w:proofErr w:type="spellStart"/>
      <w:r>
        <w:rPr>
          <w:rFonts w:ascii="Book Antiqua" w:eastAsia="Book Antiqua" w:hAnsi="Book Antiqua" w:cs="Book Antiqua"/>
          <w:color w:val="000000"/>
        </w:rPr>
        <w:t>Munive</w:t>
      </w:r>
      <w:proofErr w:type="spellEnd"/>
      <w:r>
        <w:rPr>
          <w:rFonts w:ascii="Book Antiqua" w:eastAsia="Book Antiqua" w:hAnsi="Book Antiqua" w:cs="Book Antiqua"/>
          <w:color w:val="000000"/>
        </w:rPr>
        <w:t xml:space="preserve"> AF, Herrera-Esquivel </w:t>
      </w:r>
      <w:proofErr w:type="spellStart"/>
      <w:r>
        <w:rPr>
          <w:rFonts w:ascii="Book Antiqua" w:eastAsia="Book Antiqua" w:hAnsi="Book Antiqua" w:cs="Book Antiqua"/>
          <w:color w:val="000000"/>
        </w:rPr>
        <w:t>Jde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Ramírez</w:t>
      </w:r>
      <w:proofErr w:type="spellEnd"/>
      <w:r>
        <w:rPr>
          <w:rFonts w:ascii="Book Antiqua" w:eastAsia="Book Antiqua" w:hAnsi="Book Antiqua" w:cs="Book Antiqua"/>
          <w:color w:val="000000"/>
        </w:rPr>
        <w:t xml:space="preserve">-Luna MA. Central is as effective as bilateral endoscopic ultrasound-guided celiac plexus neurolysis in patients with unresectable pancreatic cancer.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Ultrasound</w:t>
      </w:r>
      <w:r>
        <w:rPr>
          <w:rFonts w:ascii="Book Antiqua" w:eastAsia="Book Antiqua" w:hAnsi="Book Antiqua" w:cs="Book Antiqua"/>
          <w:color w:val="000000"/>
        </w:rPr>
        <w:t xml:space="preserve"> 2013; </w:t>
      </w:r>
      <w:r>
        <w:rPr>
          <w:rFonts w:ascii="Book Antiqua" w:eastAsia="Book Antiqua" w:hAnsi="Book Antiqua" w:cs="Book Antiqua"/>
          <w:b/>
          <w:bCs/>
          <w:color w:val="000000"/>
        </w:rPr>
        <w:t>2</w:t>
      </w:r>
      <w:r>
        <w:rPr>
          <w:rFonts w:ascii="Book Antiqua" w:eastAsia="Book Antiqua" w:hAnsi="Book Antiqua" w:cs="Book Antiqua"/>
          <w:color w:val="000000"/>
        </w:rPr>
        <w:t>: 153-156 [PMID: 24949384 DOI: 10.7178/eus.06.007]</w:t>
      </w:r>
    </w:p>
    <w:p w14:paraId="3CDF7AAC"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LeBlanc JK</w:t>
      </w:r>
      <w:r>
        <w:rPr>
          <w:rFonts w:ascii="Book Antiqua" w:eastAsia="Book Antiqua" w:hAnsi="Book Antiqua" w:cs="Book Antiqua"/>
          <w:color w:val="000000"/>
        </w:rPr>
        <w:t xml:space="preserve">, Al-Haddad M, McHenry L, Sherman S, Juan M, McGreevy K, Johnson C, Howard TJ, </w:t>
      </w:r>
      <w:proofErr w:type="spellStart"/>
      <w:r>
        <w:rPr>
          <w:rFonts w:ascii="Book Antiqua" w:eastAsia="Book Antiqua" w:hAnsi="Book Antiqua" w:cs="Book Antiqua"/>
          <w:color w:val="000000"/>
        </w:rPr>
        <w:t>Lillemoe</w:t>
      </w:r>
      <w:proofErr w:type="spellEnd"/>
      <w:r>
        <w:rPr>
          <w:rFonts w:ascii="Book Antiqua" w:eastAsia="Book Antiqua" w:hAnsi="Book Antiqua" w:cs="Book Antiqua"/>
          <w:color w:val="000000"/>
        </w:rPr>
        <w:t xml:space="preserve"> KD, DeWitt J. A prospective, randomized study of EUS-guided celiac plexus neurolysis for pancreatic cancer: one injection or two?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74</w:t>
      </w:r>
      <w:r>
        <w:rPr>
          <w:rFonts w:ascii="Book Antiqua" w:eastAsia="Book Antiqua" w:hAnsi="Book Antiqua" w:cs="Book Antiqua"/>
          <w:color w:val="000000"/>
        </w:rPr>
        <w:t>: 1300-1307 [PMID: 22000795 DOI: 10.1016/j.gie.2011.07.073]</w:t>
      </w:r>
    </w:p>
    <w:p w14:paraId="6471EA74"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Si-</w:t>
      </w:r>
      <w:proofErr w:type="spellStart"/>
      <w:r>
        <w:rPr>
          <w:rFonts w:ascii="Book Antiqua" w:eastAsia="Book Antiqua" w:hAnsi="Book Antiqua" w:cs="Book Antiqua"/>
          <w:b/>
          <w:bCs/>
          <w:color w:val="000000"/>
        </w:rPr>
        <w:t>Jie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Wei-</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ml:space="preserve"> X, Yang D, Lie Y, Feng Y, Yong-Jian J, Ji L, Chen J, Liang Z, De-Liang F. How to improve the efficacy of endoscopic ultrasound-guided celiac plexus neurolysis in pain management in patients with pancreatic cancer: analysis in a single center.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Laparosc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Percutan</w:t>
      </w:r>
      <w:proofErr w:type="spellEnd"/>
      <w:r>
        <w:rPr>
          <w:rFonts w:ascii="Book Antiqua" w:eastAsia="Book Antiqua" w:hAnsi="Book Antiqua" w:cs="Book Antiqua"/>
          <w:i/>
          <w:iCs/>
          <w:color w:val="000000"/>
        </w:rPr>
        <w:t xml:space="preserve"> Tech</w:t>
      </w:r>
      <w:r>
        <w:rPr>
          <w:rFonts w:ascii="Book Antiqua" w:eastAsia="Book Antiqua" w:hAnsi="Book Antiqua" w:cs="Book Antiqua"/>
          <w:color w:val="000000"/>
        </w:rPr>
        <w:t xml:space="preserve"> 2014; </w:t>
      </w:r>
      <w:r>
        <w:rPr>
          <w:rFonts w:ascii="Book Antiqua" w:eastAsia="Book Antiqua" w:hAnsi="Book Antiqua" w:cs="Book Antiqua"/>
          <w:b/>
          <w:bCs/>
          <w:color w:val="000000"/>
        </w:rPr>
        <w:t>24</w:t>
      </w:r>
      <w:r>
        <w:rPr>
          <w:rFonts w:ascii="Book Antiqua" w:eastAsia="Book Antiqua" w:hAnsi="Book Antiqua" w:cs="Book Antiqua"/>
          <w:color w:val="000000"/>
        </w:rPr>
        <w:t>: 31-35 [PMID: 24487155 DOI: 10.1097/SLE.0000000000000032]</w:t>
      </w:r>
    </w:p>
    <w:p w14:paraId="013C5968"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Wiersema MJ</w:t>
      </w:r>
      <w:r>
        <w:rPr>
          <w:rFonts w:ascii="Book Antiqua" w:eastAsia="Book Antiqua" w:hAnsi="Book Antiqua" w:cs="Book Antiqua"/>
          <w:color w:val="000000"/>
        </w:rPr>
        <w:t xml:space="preserve">, Wiersema LM. </w:t>
      </w:r>
      <w:proofErr w:type="spellStart"/>
      <w:r>
        <w:rPr>
          <w:rFonts w:ascii="Book Antiqua" w:eastAsia="Book Antiqua" w:hAnsi="Book Antiqua" w:cs="Book Antiqua"/>
          <w:color w:val="000000"/>
        </w:rPr>
        <w:t>Endosonography</w:t>
      </w:r>
      <w:proofErr w:type="spellEnd"/>
      <w:r>
        <w:rPr>
          <w:rFonts w:ascii="Book Antiqua" w:eastAsia="Book Antiqua" w:hAnsi="Book Antiqua" w:cs="Book Antiqua"/>
          <w:color w:val="000000"/>
        </w:rPr>
        <w:t xml:space="preserve">-guided celiac plexus </w:t>
      </w:r>
      <w:proofErr w:type="spellStart"/>
      <w:r>
        <w:rPr>
          <w:rFonts w:ascii="Book Antiqua" w:eastAsia="Book Antiqua" w:hAnsi="Book Antiqua" w:cs="Book Antiqua"/>
          <w:color w:val="000000"/>
        </w:rPr>
        <w:t>neurolysis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1996; </w:t>
      </w:r>
      <w:r>
        <w:rPr>
          <w:rFonts w:ascii="Book Antiqua" w:eastAsia="Book Antiqua" w:hAnsi="Book Antiqua" w:cs="Book Antiqua"/>
          <w:b/>
          <w:bCs/>
          <w:color w:val="000000"/>
        </w:rPr>
        <w:t>44</w:t>
      </w:r>
      <w:r>
        <w:rPr>
          <w:rFonts w:ascii="Book Antiqua" w:eastAsia="Book Antiqua" w:hAnsi="Book Antiqua" w:cs="Book Antiqua"/>
          <w:color w:val="000000"/>
        </w:rPr>
        <w:t>: 656-662 [PMID: 8979053 DOI: 10.1016/s0016-5107(96)70047-0]</w:t>
      </w:r>
    </w:p>
    <w:p w14:paraId="033EA887"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Puli SR</w:t>
      </w:r>
      <w:r>
        <w:rPr>
          <w:rFonts w:ascii="Book Antiqua" w:eastAsia="Book Antiqua" w:hAnsi="Book Antiqua" w:cs="Book Antiqua"/>
          <w:color w:val="000000"/>
        </w:rPr>
        <w:t xml:space="preserve">, Reddy JB, </w:t>
      </w:r>
      <w:proofErr w:type="spellStart"/>
      <w:r>
        <w:rPr>
          <w:rFonts w:ascii="Book Antiqua" w:eastAsia="Book Antiqua" w:hAnsi="Book Antiqua" w:cs="Book Antiqua"/>
          <w:color w:val="000000"/>
        </w:rPr>
        <w:t>Bechtold</w:t>
      </w:r>
      <w:proofErr w:type="spellEnd"/>
      <w:r>
        <w:rPr>
          <w:rFonts w:ascii="Book Antiqua" w:eastAsia="Book Antiqua" w:hAnsi="Book Antiqua" w:cs="Book Antiqua"/>
          <w:color w:val="000000"/>
        </w:rPr>
        <w:t xml:space="preserve"> ML, </w:t>
      </w:r>
      <w:proofErr w:type="spellStart"/>
      <w:r>
        <w:rPr>
          <w:rFonts w:ascii="Book Antiqua" w:eastAsia="Book Antiqua" w:hAnsi="Book Antiqua" w:cs="Book Antiqua"/>
          <w:color w:val="000000"/>
        </w:rPr>
        <w:t>Antillon</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Brugge</w:t>
      </w:r>
      <w:proofErr w:type="spellEnd"/>
      <w:r>
        <w:rPr>
          <w:rFonts w:ascii="Book Antiqua" w:eastAsia="Book Antiqua" w:hAnsi="Book Antiqua" w:cs="Book Antiqua"/>
          <w:color w:val="000000"/>
        </w:rPr>
        <w:t xml:space="preserve"> WR. EUS-guided celiac plexus neurolysis for pain due to chronic pancreatitis or pancreatic cancer pain: a meta-analysis and systematic review. </w:t>
      </w:r>
      <w:r>
        <w:rPr>
          <w:rFonts w:ascii="Book Antiqua" w:eastAsia="Book Antiqua" w:hAnsi="Book Antiqua" w:cs="Book Antiqua"/>
          <w:i/>
          <w:iCs/>
          <w:color w:val="000000"/>
        </w:rPr>
        <w:t>Dig Dis Sci</w:t>
      </w:r>
      <w:r>
        <w:rPr>
          <w:rFonts w:ascii="Book Antiqua" w:eastAsia="Book Antiqua" w:hAnsi="Book Antiqua" w:cs="Book Antiqua"/>
          <w:color w:val="000000"/>
        </w:rPr>
        <w:t xml:space="preserve"> 2009; </w:t>
      </w:r>
      <w:r>
        <w:rPr>
          <w:rFonts w:ascii="Book Antiqua" w:eastAsia="Book Antiqua" w:hAnsi="Book Antiqua" w:cs="Book Antiqua"/>
          <w:b/>
          <w:bCs/>
          <w:color w:val="000000"/>
        </w:rPr>
        <w:t>54</w:t>
      </w:r>
      <w:r>
        <w:rPr>
          <w:rFonts w:ascii="Book Antiqua" w:eastAsia="Book Antiqua" w:hAnsi="Book Antiqua" w:cs="Book Antiqua"/>
          <w:color w:val="000000"/>
        </w:rPr>
        <w:t>: 2330-2337 [PMID: 19137428 DOI: 10.1007/s10620-008-0651-x]</w:t>
      </w:r>
    </w:p>
    <w:p w14:paraId="15D3E9EF"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Levy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Topazian</w:t>
      </w:r>
      <w:proofErr w:type="spellEnd"/>
      <w:r>
        <w:rPr>
          <w:rFonts w:ascii="Book Antiqua" w:eastAsia="Book Antiqua" w:hAnsi="Book Antiqua" w:cs="Book Antiqua"/>
          <w:color w:val="000000"/>
        </w:rPr>
        <w:t xml:space="preserve"> M, Keeney G, </w:t>
      </w:r>
      <w:proofErr w:type="spellStart"/>
      <w:r>
        <w:rPr>
          <w:rFonts w:ascii="Book Antiqua" w:eastAsia="Book Antiqua" w:hAnsi="Book Antiqua" w:cs="Book Antiqua"/>
          <w:color w:val="000000"/>
        </w:rPr>
        <w:t>Clain</w:t>
      </w:r>
      <w:proofErr w:type="spellEnd"/>
      <w:r>
        <w:rPr>
          <w:rFonts w:ascii="Book Antiqua" w:eastAsia="Book Antiqua" w:hAnsi="Book Antiqua" w:cs="Book Antiqua"/>
          <w:color w:val="000000"/>
        </w:rPr>
        <w:t xml:space="preserve"> JE, Gleeson F,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E, Wang KK, Wiersema MJ, Farnell M, Chari S. Preoperative diagnosis of </w:t>
      </w:r>
      <w:proofErr w:type="spellStart"/>
      <w:r>
        <w:rPr>
          <w:rFonts w:ascii="Book Antiqua" w:eastAsia="Book Antiqua" w:hAnsi="Book Antiqua" w:cs="Book Antiqua"/>
          <w:color w:val="000000"/>
        </w:rPr>
        <w:t>extrapancreatic</w:t>
      </w:r>
      <w:proofErr w:type="spellEnd"/>
      <w:r>
        <w:rPr>
          <w:rFonts w:ascii="Book Antiqua" w:eastAsia="Book Antiqua" w:hAnsi="Book Antiqua" w:cs="Book Antiqua"/>
          <w:color w:val="000000"/>
        </w:rPr>
        <w:t xml:space="preserve"> neural invasion in pancreatic cancer. </w:t>
      </w:r>
      <w:r>
        <w:rPr>
          <w:rFonts w:ascii="Book Antiqua" w:eastAsia="Book Antiqua" w:hAnsi="Book Antiqua" w:cs="Book Antiqua"/>
          <w:i/>
          <w:iCs/>
          <w:color w:val="000000"/>
        </w:rPr>
        <w:t>Clin Gastroenterol Hepatol</w:t>
      </w:r>
      <w:r>
        <w:rPr>
          <w:rFonts w:ascii="Book Antiqua" w:eastAsia="Book Antiqua" w:hAnsi="Book Antiqua" w:cs="Book Antiqua"/>
          <w:color w:val="000000"/>
        </w:rPr>
        <w:t xml:space="preserve"> 2006; </w:t>
      </w:r>
      <w:r>
        <w:rPr>
          <w:rFonts w:ascii="Book Antiqua" w:eastAsia="Book Antiqua" w:hAnsi="Book Antiqua" w:cs="Book Antiqua"/>
          <w:b/>
          <w:bCs/>
          <w:color w:val="000000"/>
        </w:rPr>
        <w:t>4</w:t>
      </w:r>
      <w:r>
        <w:rPr>
          <w:rFonts w:ascii="Book Antiqua" w:eastAsia="Book Antiqua" w:hAnsi="Book Antiqua" w:cs="Book Antiqua"/>
          <w:color w:val="000000"/>
        </w:rPr>
        <w:t>: 1479-1482 [PMID: 17101297 DOI: 10.1016/j.cgh.2006.08.012]</w:t>
      </w:r>
    </w:p>
    <w:p w14:paraId="7DC23F36"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Cicco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Matovic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Bortolussi</w:t>
      </w:r>
      <w:proofErr w:type="spellEnd"/>
      <w:r>
        <w:rPr>
          <w:rFonts w:ascii="Book Antiqua" w:eastAsia="Book Antiqua" w:hAnsi="Book Antiqua" w:cs="Book Antiqua"/>
          <w:color w:val="000000"/>
        </w:rPr>
        <w:t xml:space="preserve"> R, Coran F, </w:t>
      </w:r>
      <w:proofErr w:type="spellStart"/>
      <w:r>
        <w:rPr>
          <w:rFonts w:ascii="Book Antiqua" w:eastAsia="Book Antiqua" w:hAnsi="Book Antiqua" w:cs="Book Antiqua"/>
          <w:color w:val="000000"/>
        </w:rPr>
        <w:t>Fantin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Fabiani</w:t>
      </w:r>
      <w:proofErr w:type="spellEnd"/>
      <w:r>
        <w:rPr>
          <w:rFonts w:ascii="Book Antiqua" w:eastAsia="Book Antiqua" w:hAnsi="Book Antiqua" w:cs="Book Antiqua"/>
          <w:color w:val="000000"/>
        </w:rPr>
        <w:t xml:space="preserve"> F, Caserta M, </w:t>
      </w:r>
      <w:proofErr w:type="spellStart"/>
      <w:r>
        <w:rPr>
          <w:rFonts w:ascii="Book Antiqua" w:eastAsia="Book Antiqua" w:hAnsi="Book Antiqua" w:cs="Book Antiqua"/>
          <w:color w:val="000000"/>
        </w:rPr>
        <w:t>Santantonio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Fracasso</w:t>
      </w:r>
      <w:proofErr w:type="spellEnd"/>
      <w:r>
        <w:rPr>
          <w:rFonts w:ascii="Book Antiqua" w:eastAsia="Book Antiqua" w:hAnsi="Book Antiqua" w:cs="Book Antiqua"/>
          <w:color w:val="000000"/>
        </w:rPr>
        <w:t xml:space="preserve"> A. Celiac plexus block: injectate spread and pain relief in patients with regional anatomic distortions.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2001; </w:t>
      </w:r>
      <w:r>
        <w:rPr>
          <w:rFonts w:ascii="Book Antiqua" w:eastAsia="Book Antiqua" w:hAnsi="Book Antiqua" w:cs="Book Antiqua"/>
          <w:b/>
          <w:bCs/>
          <w:color w:val="000000"/>
        </w:rPr>
        <w:t>94</w:t>
      </w:r>
      <w:r>
        <w:rPr>
          <w:rFonts w:ascii="Book Antiqua" w:eastAsia="Book Antiqua" w:hAnsi="Book Antiqua" w:cs="Book Antiqua"/>
          <w:color w:val="000000"/>
        </w:rPr>
        <w:t>: 561-565 [PMID: 11379673 DOI: 10.1097/00000542-200104000-00006]</w:t>
      </w:r>
    </w:p>
    <w:p w14:paraId="1FFFF3D1"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Iwata K</w:t>
      </w:r>
      <w:r>
        <w:rPr>
          <w:rFonts w:ascii="Book Antiqua" w:eastAsia="Book Antiqua" w:hAnsi="Book Antiqua" w:cs="Book Antiqua"/>
          <w:color w:val="000000"/>
        </w:rPr>
        <w:t xml:space="preserve">, Yasuda I, Enya M, Mukai T, Nakashima M, Doi S, Iwashita T, Tomita E, </w:t>
      </w:r>
      <w:proofErr w:type="spellStart"/>
      <w:r>
        <w:rPr>
          <w:rFonts w:ascii="Book Antiqua" w:eastAsia="Book Antiqua" w:hAnsi="Book Antiqua" w:cs="Book Antiqua"/>
          <w:color w:val="000000"/>
        </w:rPr>
        <w:t>Moriwaki</w:t>
      </w:r>
      <w:proofErr w:type="spellEnd"/>
      <w:r>
        <w:rPr>
          <w:rFonts w:ascii="Book Antiqua" w:eastAsia="Book Antiqua" w:hAnsi="Book Antiqua" w:cs="Book Antiqua"/>
          <w:color w:val="000000"/>
        </w:rPr>
        <w:t xml:space="preserve"> H. Predictive factors for pain relief after endoscopic ultrasound-guided celiac plexus neurolysis. </w:t>
      </w:r>
      <w:r>
        <w:rPr>
          <w:rFonts w:ascii="Book Antiqua" w:eastAsia="Book Antiqua" w:hAnsi="Book Antiqua" w:cs="Book Antiqua"/>
          <w:i/>
          <w:iCs/>
          <w:color w:val="000000"/>
        </w:rPr>
        <w:t xml:space="preserve">Dig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23</w:t>
      </w:r>
      <w:r>
        <w:rPr>
          <w:rFonts w:ascii="Book Antiqua" w:eastAsia="Book Antiqua" w:hAnsi="Book Antiqua" w:cs="Book Antiqua"/>
          <w:color w:val="000000"/>
        </w:rPr>
        <w:t>: 140-145 [PMID: 21429019 DOI: 10.1111/j.1443-1661.2010.01046.x]</w:t>
      </w:r>
    </w:p>
    <w:p w14:paraId="39395817"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21 </w:t>
      </w:r>
      <w:proofErr w:type="spellStart"/>
      <w:r>
        <w:rPr>
          <w:rFonts w:ascii="Book Antiqua" w:eastAsia="Book Antiqua" w:hAnsi="Book Antiqua" w:cs="Book Antiqua"/>
          <w:b/>
          <w:bCs/>
          <w:color w:val="000000"/>
        </w:rPr>
        <w:t>Sahai</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Lemelin</w:t>
      </w:r>
      <w:proofErr w:type="spellEnd"/>
      <w:r>
        <w:rPr>
          <w:rFonts w:ascii="Book Antiqua" w:eastAsia="Book Antiqua" w:hAnsi="Book Antiqua" w:cs="Book Antiqua"/>
          <w:color w:val="000000"/>
        </w:rPr>
        <w:t xml:space="preserve"> V, Lam E, Paquin SC. Central vs. bilateral endoscopic ultrasound-guided celiac plexus block or neurolysis: a comparative study of short-term effectiveness.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2009; </w:t>
      </w:r>
      <w:r>
        <w:rPr>
          <w:rFonts w:ascii="Book Antiqua" w:eastAsia="Book Antiqua" w:hAnsi="Book Antiqua" w:cs="Book Antiqua"/>
          <w:b/>
          <w:bCs/>
          <w:color w:val="000000"/>
        </w:rPr>
        <w:t>104</w:t>
      </w:r>
      <w:r>
        <w:rPr>
          <w:rFonts w:ascii="Book Antiqua" w:eastAsia="Book Antiqua" w:hAnsi="Book Antiqua" w:cs="Book Antiqua"/>
          <w:color w:val="000000"/>
        </w:rPr>
        <w:t>: 326-329 [PMID: 19174816 DOI: 10.1038/ajg.2008.64]</w:t>
      </w:r>
    </w:p>
    <w:p w14:paraId="67F548EA"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lastRenderedPageBreak/>
        <w:t xml:space="preserve">22 </w:t>
      </w:r>
      <w:r>
        <w:rPr>
          <w:rFonts w:ascii="Book Antiqua" w:eastAsia="Book Antiqua" w:hAnsi="Book Antiqua" w:cs="Book Antiqua"/>
          <w:b/>
          <w:bCs/>
          <w:color w:val="000000"/>
        </w:rPr>
        <w:t>Levy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Topazian</w:t>
      </w:r>
      <w:proofErr w:type="spellEnd"/>
      <w:r>
        <w:rPr>
          <w:rFonts w:ascii="Book Antiqua" w:eastAsia="Book Antiqua" w:hAnsi="Book Antiqua" w:cs="Book Antiqua"/>
          <w:color w:val="000000"/>
        </w:rPr>
        <w:t xml:space="preserve"> MD, </w:t>
      </w:r>
      <w:proofErr w:type="spellStart"/>
      <w:r>
        <w:rPr>
          <w:rFonts w:ascii="Book Antiqua" w:eastAsia="Book Antiqua" w:hAnsi="Book Antiqua" w:cs="Book Antiqua"/>
          <w:color w:val="000000"/>
        </w:rPr>
        <w:t>Wiersema</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Clain</w:t>
      </w:r>
      <w:proofErr w:type="spellEnd"/>
      <w:r>
        <w:rPr>
          <w:rFonts w:ascii="Book Antiqua" w:eastAsia="Book Antiqua" w:hAnsi="Book Antiqua" w:cs="Book Antiqua"/>
          <w:color w:val="000000"/>
        </w:rPr>
        <w:t xml:space="preserve"> JE, </w:t>
      </w:r>
      <w:proofErr w:type="spellStart"/>
      <w:r>
        <w:rPr>
          <w:rFonts w:ascii="Book Antiqua" w:eastAsia="Book Antiqua" w:hAnsi="Book Antiqua" w:cs="Book Antiqua"/>
          <w:color w:val="000000"/>
        </w:rPr>
        <w:t>Rajan</w:t>
      </w:r>
      <w:proofErr w:type="spellEnd"/>
      <w:r>
        <w:rPr>
          <w:rFonts w:ascii="Book Antiqua" w:eastAsia="Book Antiqua" w:hAnsi="Book Antiqua" w:cs="Book Antiqua"/>
          <w:color w:val="000000"/>
        </w:rPr>
        <w:t xml:space="preserve"> E, Wang KK, de la Mora JG, Gleeson FC, Pearson RK, </w:t>
      </w:r>
      <w:proofErr w:type="spellStart"/>
      <w:r>
        <w:rPr>
          <w:rFonts w:ascii="Book Antiqua" w:eastAsia="Book Antiqua" w:hAnsi="Book Antiqua" w:cs="Book Antiqua"/>
          <w:color w:val="000000"/>
        </w:rPr>
        <w:t>Pelaez</w:t>
      </w:r>
      <w:proofErr w:type="spellEnd"/>
      <w:r>
        <w:rPr>
          <w:rFonts w:ascii="Book Antiqua" w:eastAsia="Book Antiqua" w:hAnsi="Book Antiqua" w:cs="Book Antiqua"/>
          <w:color w:val="000000"/>
        </w:rPr>
        <w:t xml:space="preserve"> MC, Petersen BT, Vege SS, Chari ST. Initial evaluation of the efficacy and safety of endoscopic ultrasound-guided direct Ganglia neurolysis and block.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2008; </w:t>
      </w:r>
      <w:r>
        <w:rPr>
          <w:rFonts w:ascii="Book Antiqua" w:eastAsia="Book Antiqua" w:hAnsi="Book Antiqua" w:cs="Book Antiqua"/>
          <w:b/>
          <w:bCs/>
          <w:color w:val="000000"/>
        </w:rPr>
        <w:t>103</w:t>
      </w:r>
      <w:r>
        <w:rPr>
          <w:rFonts w:ascii="Book Antiqua" w:eastAsia="Book Antiqua" w:hAnsi="Book Antiqua" w:cs="Book Antiqua"/>
          <w:color w:val="000000"/>
        </w:rPr>
        <w:t>: 98-103 [PMID: 17970834 DOI: 10.1111/j.1572-0241.2007.01607.x]</w:t>
      </w:r>
    </w:p>
    <w:p w14:paraId="47FB1BB0"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Sakamoto H</w:t>
      </w:r>
      <w:r>
        <w:rPr>
          <w:rFonts w:ascii="Book Antiqua" w:eastAsia="Book Antiqua" w:hAnsi="Book Antiqua" w:cs="Book Antiqua"/>
          <w:color w:val="000000"/>
        </w:rPr>
        <w:t xml:space="preserve">, Kitano M, </w:t>
      </w:r>
      <w:proofErr w:type="spellStart"/>
      <w:r>
        <w:rPr>
          <w:rFonts w:ascii="Book Antiqua" w:eastAsia="Book Antiqua" w:hAnsi="Book Antiqua" w:cs="Book Antiqua"/>
          <w:color w:val="000000"/>
        </w:rPr>
        <w:t>Kamata</w:t>
      </w:r>
      <w:proofErr w:type="spellEnd"/>
      <w:r>
        <w:rPr>
          <w:rFonts w:ascii="Book Antiqua" w:eastAsia="Book Antiqua" w:hAnsi="Book Antiqua" w:cs="Book Antiqua"/>
          <w:color w:val="000000"/>
        </w:rPr>
        <w:t xml:space="preserve"> K, Komaki T, Imai H, </w:t>
      </w:r>
      <w:proofErr w:type="spellStart"/>
      <w:r>
        <w:rPr>
          <w:rFonts w:ascii="Book Antiqua" w:eastAsia="Book Antiqua" w:hAnsi="Book Antiqua" w:cs="Book Antiqua"/>
          <w:color w:val="000000"/>
        </w:rPr>
        <w:t>Chikugo</w:t>
      </w:r>
      <w:proofErr w:type="spellEnd"/>
      <w:r>
        <w:rPr>
          <w:rFonts w:ascii="Book Antiqua" w:eastAsia="Book Antiqua" w:hAnsi="Book Antiqua" w:cs="Book Antiqua"/>
          <w:color w:val="000000"/>
        </w:rPr>
        <w:t xml:space="preserve"> T, Takeyama Y, Kudo M. EUS-guided broad plexus neurolysis over the superior mesenteric artery using a 25-gauge needle. </w:t>
      </w:r>
      <w:r>
        <w:rPr>
          <w:rFonts w:ascii="Book Antiqua" w:eastAsia="Book Antiqua" w:hAnsi="Book Antiqua" w:cs="Book Antiqua"/>
          <w:i/>
          <w:iCs/>
          <w:color w:val="000000"/>
        </w:rPr>
        <w:t>Am J Gastroenterol</w:t>
      </w:r>
      <w:r>
        <w:rPr>
          <w:rFonts w:ascii="Book Antiqua" w:eastAsia="Book Antiqua" w:hAnsi="Book Antiqua" w:cs="Book Antiqua"/>
          <w:color w:val="000000"/>
        </w:rPr>
        <w:t xml:space="preserve"> 2010; </w:t>
      </w:r>
      <w:r>
        <w:rPr>
          <w:rFonts w:ascii="Book Antiqua" w:eastAsia="Book Antiqua" w:hAnsi="Book Antiqua" w:cs="Book Antiqua"/>
          <w:b/>
          <w:bCs/>
          <w:color w:val="000000"/>
        </w:rPr>
        <w:t>105</w:t>
      </w:r>
      <w:r>
        <w:rPr>
          <w:rFonts w:ascii="Book Antiqua" w:eastAsia="Book Antiqua" w:hAnsi="Book Antiqua" w:cs="Book Antiqua"/>
          <w:color w:val="000000"/>
        </w:rPr>
        <w:t>: 2599-2606 [PMID: 20823834 DOI: 10.1038/ajg.2010.339]</w:t>
      </w:r>
    </w:p>
    <w:p w14:paraId="0762113F"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Gunaratnam</w:t>
      </w:r>
      <w:proofErr w:type="spellEnd"/>
      <w:r>
        <w:rPr>
          <w:rFonts w:ascii="Book Antiqua" w:eastAsia="Book Antiqua" w:hAnsi="Book Antiqua" w:cs="Book Antiqua"/>
          <w:b/>
          <w:bCs/>
          <w:color w:val="000000"/>
        </w:rPr>
        <w:t xml:space="preserve"> NT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Sarma</w:t>
      </w:r>
      <w:proofErr w:type="spellEnd"/>
      <w:r>
        <w:rPr>
          <w:rFonts w:ascii="Book Antiqua" w:eastAsia="Book Antiqua" w:hAnsi="Book Antiqua" w:cs="Book Antiqua"/>
          <w:color w:val="000000"/>
        </w:rPr>
        <w:t xml:space="preserve"> AV, Norton ID, Wiersema MJ. A prospective study of EUS-guided celiac plexus neurolysis for pancreatic cancer pain.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54</w:t>
      </w:r>
      <w:r>
        <w:rPr>
          <w:rFonts w:ascii="Book Antiqua" w:eastAsia="Book Antiqua" w:hAnsi="Book Antiqua" w:cs="Book Antiqua"/>
          <w:color w:val="000000"/>
        </w:rPr>
        <w:t>: 316-324 [PMID: 11522971 DOI: 10.1067/mge.2001.117515]</w:t>
      </w:r>
    </w:p>
    <w:p w14:paraId="583C5D5A"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Leblanc JK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Rawl</w:t>
      </w:r>
      <w:proofErr w:type="spellEnd"/>
      <w:r>
        <w:rPr>
          <w:rFonts w:ascii="Book Antiqua" w:eastAsia="Book Antiqua" w:hAnsi="Book Antiqua" w:cs="Book Antiqua"/>
          <w:color w:val="000000"/>
        </w:rPr>
        <w:t xml:space="preserve"> S, Juan M, Johnson C, Kroenke K, McHenry L, Sherman S, McGreevy K, Al-Haddad M, Dewitt J. Endoscopic Ultrasound-Guided Celiac Plexus Neurolysis in Pancreatic Cancer: A Prospective Pilot Study of Safety Using 10 mL </w:t>
      </w:r>
      <w:r>
        <w:rPr>
          <w:rFonts w:ascii="Book Antiqua" w:eastAsia="Book Antiqua" w:hAnsi="Book Antiqua" w:cs="Book Antiqua"/>
          <w:i/>
          <w:iCs/>
          <w:color w:val="000000"/>
        </w:rPr>
        <w:t>vs</w:t>
      </w:r>
      <w:r>
        <w:rPr>
          <w:rFonts w:ascii="Book Antiqua" w:eastAsia="Book Antiqua" w:hAnsi="Book Antiqua" w:cs="Book Antiqua"/>
          <w:color w:val="000000"/>
        </w:rPr>
        <w:t xml:space="preserve"> 20 mL Alcohol.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2013</w:t>
      </w:r>
      <w:r>
        <w:rPr>
          <w:rFonts w:ascii="Book Antiqua" w:eastAsia="Book Antiqua" w:hAnsi="Book Antiqua" w:cs="Book Antiqua"/>
          <w:color w:val="000000"/>
        </w:rPr>
        <w:t>: 327036 [PMID: 23365492 DOI: 10.1155/2013/327036]</w:t>
      </w:r>
    </w:p>
    <w:p w14:paraId="1ED619C4"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Minaga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Kitano M, Sakamoto H, Miyata T, Imai H, </w:t>
      </w:r>
      <w:proofErr w:type="spellStart"/>
      <w:r>
        <w:rPr>
          <w:rFonts w:ascii="Book Antiqua" w:eastAsia="Book Antiqua" w:hAnsi="Book Antiqua" w:cs="Book Antiqua"/>
          <w:color w:val="000000"/>
        </w:rPr>
        <w:t>Yamao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Kamata</w:t>
      </w:r>
      <w:proofErr w:type="spellEnd"/>
      <w:r>
        <w:rPr>
          <w:rFonts w:ascii="Book Antiqua" w:eastAsia="Book Antiqua" w:hAnsi="Book Antiqua" w:cs="Book Antiqua"/>
          <w:color w:val="000000"/>
        </w:rPr>
        <w:t xml:space="preserve"> K, Omoto S, </w:t>
      </w:r>
      <w:proofErr w:type="spellStart"/>
      <w:r>
        <w:rPr>
          <w:rFonts w:ascii="Book Antiqua" w:eastAsia="Book Antiqua" w:hAnsi="Book Antiqua" w:cs="Book Antiqua"/>
          <w:color w:val="000000"/>
        </w:rPr>
        <w:t>Kadosaka</w:t>
      </w:r>
      <w:proofErr w:type="spellEnd"/>
      <w:r>
        <w:rPr>
          <w:rFonts w:ascii="Book Antiqua" w:eastAsia="Book Antiqua" w:hAnsi="Book Antiqua" w:cs="Book Antiqua"/>
          <w:color w:val="000000"/>
        </w:rPr>
        <w:t xml:space="preserve"> K, Sakurai T, Nishida N, Chiba Y, Kudo M. Predictors of pain response in patients undergoing endoscopic ultrasound-guided neurolysis for abdominal pain caused by pancreatic cancer.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9</w:t>
      </w:r>
      <w:r>
        <w:rPr>
          <w:rFonts w:ascii="Book Antiqua" w:eastAsia="Book Antiqua" w:hAnsi="Book Antiqua" w:cs="Book Antiqua"/>
          <w:color w:val="000000"/>
        </w:rPr>
        <w:t>: 483-494 [PMID: 27366217 DOI: 10.1177/1756283X16644248]</w:t>
      </w:r>
    </w:p>
    <w:p w14:paraId="16A74667"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Rykowski</w:t>
      </w:r>
      <w:proofErr w:type="spellEnd"/>
      <w:r>
        <w:rPr>
          <w:rFonts w:ascii="Book Antiqua" w:eastAsia="Book Antiqua" w:hAnsi="Book Antiqua" w:cs="Book Antiqua"/>
          <w:b/>
          <w:bCs/>
          <w:color w:val="000000"/>
        </w:rPr>
        <w:t xml:space="preserve"> JJ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Hilgier</w:t>
      </w:r>
      <w:proofErr w:type="spellEnd"/>
      <w:r>
        <w:rPr>
          <w:rFonts w:ascii="Book Antiqua" w:eastAsia="Book Antiqua" w:hAnsi="Book Antiqua" w:cs="Book Antiqua"/>
          <w:color w:val="000000"/>
        </w:rPr>
        <w:t xml:space="preserve"> M. Efficacy of neurolytic celiac plexus block in varying locations of pancreatic cancer: influence on pain relief. </w:t>
      </w:r>
      <w:r>
        <w:rPr>
          <w:rFonts w:ascii="Book Antiqua" w:eastAsia="Book Antiqua" w:hAnsi="Book Antiqua" w:cs="Book Antiqua"/>
          <w:i/>
          <w:iCs/>
          <w:color w:val="000000"/>
        </w:rPr>
        <w:t>Anesthesiology</w:t>
      </w:r>
      <w:r>
        <w:rPr>
          <w:rFonts w:ascii="Book Antiqua" w:eastAsia="Book Antiqua" w:hAnsi="Book Antiqua" w:cs="Book Antiqua"/>
          <w:color w:val="000000"/>
        </w:rPr>
        <w:t xml:space="preserve"> 2000; </w:t>
      </w:r>
      <w:r>
        <w:rPr>
          <w:rFonts w:ascii="Book Antiqua" w:eastAsia="Book Antiqua" w:hAnsi="Book Antiqua" w:cs="Book Antiqua"/>
          <w:b/>
          <w:bCs/>
          <w:color w:val="000000"/>
        </w:rPr>
        <w:t>92</w:t>
      </w:r>
      <w:r>
        <w:rPr>
          <w:rFonts w:ascii="Book Antiqua" w:eastAsia="Book Antiqua" w:hAnsi="Book Antiqua" w:cs="Book Antiqua"/>
          <w:color w:val="000000"/>
        </w:rPr>
        <w:t>: 347-354 [PMID: 10691219 DOI: 10.1097/00000542-200002000-00014]</w:t>
      </w:r>
    </w:p>
    <w:p w14:paraId="2A449ADC"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Bang JY</w:t>
      </w:r>
      <w:r>
        <w:rPr>
          <w:rFonts w:ascii="Book Antiqua" w:eastAsia="Book Antiqua" w:hAnsi="Book Antiqua" w:cs="Book Antiqua"/>
          <w:color w:val="000000"/>
        </w:rPr>
        <w:t xml:space="preserve">, Hasan MK, Sutton B, Holt BA, Navaneethan U, Hawes R, </w:t>
      </w:r>
      <w:proofErr w:type="spellStart"/>
      <w:r>
        <w:rPr>
          <w:rFonts w:ascii="Book Antiqua" w:eastAsia="Book Antiqua" w:hAnsi="Book Antiqua" w:cs="Book Antiqua"/>
          <w:color w:val="000000"/>
        </w:rPr>
        <w:t>Varadarajulu</w:t>
      </w:r>
      <w:proofErr w:type="spellEnd"/>
      <w:r>
        <w:rPr>
          <w:rFonts w:ascii="Book Antiqua" w:eastAsia="Book Antiqua" w:hAnsi="Book Antiqua" w:cs="Book Antiqua"/>
          <w:color w:val="000000"/>
        </w:rPr>
        <w:t xml:space="preserve"> S. Intraprocedural increase in heart rate during EUS-guided celiac plexus neurolysis: Clinically relevant or just a physiologic change?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84</w:t>
      </w:r>
      <w:r>
        <w:rPr>
          <w:rFonts w:ascii="Book Antiqua" w:eastAsia="Book Antiqua" w:hAnsi="Book Antiqua" w:cs="Book Antiqua"/>
          <w:color w:val="000000"/>
        </w:rPr>
        <w:t>: 773-779.e3 [PMID: 27048974 DOI: 10.1016/j.gie.2016.03.1496]</w:t>
      </w:r>
    </w:p>
    <w:p w14:paraId="24F5C1AA" w14:textId="77777777" w:rsidR="00A77B3E" w:rsidRDefault="00A77B3E" w:rsidP="00CD114C">
      <w:pPr>
        <w:adjustRightInd w:val="0"/>
        <w:snapToGrid w:val="0"/>
        <w:spacing w:line="360" w:lineRule="auto"/>
        <w:jc w:val="both"/>
        <w:sectPr w:rsidR="00A77B3E">
          <w:pgSz w:w="12240" w:h="15840"/>
          <w:pgMar w:top="1440" w:right="1440" w:bottom="1440" w:left="1440" w:header="720" w:footer="720" w:gutter="0"/>
          <w:cols w:space="720"/>
          <w:docGrid w:linePitch="360"/>
        </w:sectPr>
      </w:pPr>
    </w:p>
    <w:p w14:paraId="03136523" w14:textId="77777777" w:rsidR="00A77B3E" w:rsidRDefault="009B365A" w:rsidP="00CD114C">
      <w:pPr>
        <w:adjustRightInd w:val="0"/>
        <w:snapToGrid w:val="0"/>
        <w:spacing w:line="360" w:lineRule="auto"/>
        <w:jc w:val="both"/>
      </w:pPr>
      <w:r>
        <w:rPr>
          <w:rFonts w:ascii="Book Antiqua" w:eastAsia="Book Antiqua" w:hAnsi="Book Antiqua" w:cs="Book Antiqua"/>
          <w:b/>
          <w:color w:val="000000"/>
        </w:rPr>
        <w:lastRenderedPageBreak/>
        <w:t>Footnotes</w:t>
      </w:r>
    </w:p>
    <w:p w14:paraId="1A1BA30B" w14:textId="77777777" w:rsidR="00A77B3E" w:rsidRDefault="009B365A" w:rsidP="00CD114C">
      <w:pPr>
        <w:adjustRightInd w:val="0"/>
        <w:snapToGrid w:val="0"/>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The study was approved by the Ethics Committee of Tongji Medical College, Huazhong University of Science and Technology (IORG No: IORG0003571).</w:t>
      </w:r>
    </w:p>
    <w:p w14:paraId="314AA0BC" w14:textId="77777777" w:rsidR="00A77B3E" w:rsidRDefault="00A77B3E" w:rsidP="00CD114C">
      <w:pPr>
        <w:adjustRightInd w:val="0"/>
        <w:snapToGrid w:val="0"/>
        <w:spacing w:line="360" w:lineRule="auto"/>
        <w:jc w:val="both"/>
      </w:pPr>
    </w:p>
    <w:p w14:paraId="17051E92" w14:textId="77777777" w:rsidR="00A77B3E" w:rsidRDefault="009B365A" w:rsidP="00CD114C">
      <w:pPr>
        <w:adjustRightInd w:val="0"/>
        <w:snapToGrid w:val="0"/>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Written informed consent was obtained from the patients.</w:t>
      </w:r>
    </w:p>
    <w:p w14:paraId="3A728B73" w14:textId="77777777" w:rsidR="00A77B3E" w:rsidRDefault="00A77B3E" w:rsidP="00CD114C">
      <w:pPr>
        <w:adjustRightInd w:val="0"/>
        <w:snapToGrid w:val="0"/>
        <w:spacing w:line="360" w:lineRule="auto"/>
        <w:jc w:val="both"/>
      </w:pPr>
    </w:p>
    <w:p w14:paraId="575C8E65" w14:textId="77777777" w:rsidR="00A77B3E" w:rsidRDefault="009B365A" w:rsidP="00CD114C">
      <w:pPr>
        <w:adjustRightInd w:val="0"/>
        <w:snapToGrid w:val="0"/>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 in this study.</w:t>
      </w:r>
    </w:p>
    <w:p w14:paraId="14CFADCF" w14:textId="77777777" w:rsidR="00A77B3E" w:rsidRDefault="00A77B3E" w:rsidP="00CD114C">
      <w:pPr>
        <w:adjustRightInd w:val="0"/>
        <w:snapToGrid w:val="0"/>
        <w:spacing w:line="360" w:lineRule="auto"/>
        <w:jc w:val="both"/>
      </w:pPr>
    </w:p>
    <w:p w14:paraId="7E4B8E00" w14:textId="1EE9F45C" w:rsidR="00A77B3E" w:rsidRDefault="009B365A" w:rsidP="00CD114C">
      <w:pPr>
        <w:adjustRightInd w:val="0"/>
        <w:snapToGrid w:val="0"/>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Dataset available from the corresponding author at</w:t>
      </w:r>
      <w:r w:rsidR="00CD114C">
        <w:rPr>
          <w:rFonts w:ascii="Book Antiqua" w:eastAsia="Book Antiqua" w:hAnsi="Book Antiqua" w:cs="Book Antiqua"/>
          <w:color w:val="000000"/>
        </w:rPr>
        <w:t xml:space="preserve"> </w:t>
      </w:r>
      <w:r>
        <w:rPr>
          <w:rFonts w:ascii="Book Antiqua" w:eastAsia="Book Antiqua" w:hAnsi="Book Antiqua" w:cs="Book Antiqua"/>
          <w:color w:val="000000"/>
        </w:rPr>
        <w:t>271914799@qq.com.</w:t>
      </w:r>
    </w:p>
    <w:p w14:paraId="339391DC" w14:textId="77777777" w:rsidR="00A77B3E" w:rsidRDefault="00A77B3E" w:rsidP="00CD114C">
      <w:pPr>
        <w:adjustRightInd w:val="0"/>
        <w:snapToGrid w:val="0"/>
        <w:spacing w:line="360" w:lineRule="auto"/>
        <w:jc w:val="both"/>
      </w:pPr>
    </w:p>
    <w:p w14:paraId="3F4F6223" w14:textId="77777777" w:rsidR="00A77B3E" w:rsidRDefault="009B365A" w:rsidP="00CD114C">
      <w:pPr>
        <w:adjustRightInd w:val="0"/>
        <w:snapToGrid w:val="0"/>
        <w:spacing w:line="360" w:lineRule="auto"/>
        <w:jc w:val="both"/>
      </w:pPr>
      <w:r>
        <w:rPr>
          <w:rFonts w:ascii="Book Antiqua" w:eastAsia="Book Antiqua" w:hAnsi="Book Antiqua" w:cs="Book Antiqua"/>
          <w:b/>
          <w:bCs/>
          <w:color w:val="000000"/>
          <w:szCs w:val="21"/>
        </w:rPr>
        <w:t xml:space="preserve">STROBE statement: </w:t>
      </w:r>
      <w:r>
        <w:rPr>
          <w:rFonts w:ascii="Book Antiqua" w:eastAsia="Book Antiqua" w:hAnsi="Book Antiqua" w:cs="Book Antiqua"/>
          <w:color w:val="000000"/>
          <w:shd w:val="clear" w:color="auto" w:fill="FFFFFF"/>
        </w:rPr>
        <w:t>The manuscript was prepared and revised according to the STROBE statement.</w:t>
      </w:r>
    </w:p>
    <w:p w14:paraId="6374C1EA" w14:textId="77777777" w:rsidR="00A77B3E" w:rsidRDefault="00A77B3E" w:rsidP="00CD114C">
      <w:pPr>
        <w:adjustRightInd w:val="0"/>
        <w:snapToGrid w:val="0"/>
        <w:spacing w:line="360" w:lineRule="auto"/>
        <w:jc w:val="both"/>
      </w:pPr>
    </w:p>
    <w:p w14:paraId="114008C0" w14:textId="77777777" w:rsidR="00A77B3E" w:rsidRDefault="009B365A" w:rsidP="00CD114C">
      <w:pPr>
        <w:adjustRightInd w:val="0"/>
        <w:snapToGrid w:val="0"/>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9C5FF3" w14:textId="77777777" w:rsidR="00A77B3E" w:rsidRDefault="00A77B3E" w:rsidP="00CD114C">
      <w:pPr>
        <w:adjustRightInd w:val="0"/>
        <w:snapToGrid w:val="0"/>
        <w:spacing w:line="360" w:lineRule="auto"/>
        <w:jc w:val="both"/>
      </w:pPr>
    </w:p>
    <w:p w14:paraId="6A19E1F0" w14:textId="1872647B" w:rsidR="00A77B3E" w:rsidRDefault="009B365A" w:rsidP="00CD114C">
      <w:pPr>
        <w:adjustRightInd w:val="0"/>
        <w:snapToGrid w:val="0"/>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3D62B7">
        <w:rPr>
          <w:rFonts w:ascii="Book Antiqua" w:eastAsia="Book Antiqua" w:hAnsi="Book Antiqua" w:cs="Book Antiqua"/>
          <w:color w:val="000000"/>
        </w:rPr>
        <w:t>m</w:t>
      </w:r>
      <w:r>
        <w:rPr>
          <w:rFonts w:ascii="Book Antiqua" w:eastAsia="Book Antiqua" w:hAnsi="Book Antiqua" w:cs="Book Antiqua"/>
          <w:color w:val="000000"/>
        </w:rPr>
        <w:t>anuscript</w:t>
      </w:r>
    </w:p>
    <w:p w14:paraId="7DFDAD45" w14:textId="77777777" w:rsidR="00A77B3E" w:rsidRDefault="00A77B3E" w:rsidP="00CD114C">
      <w:pPr>
        <w:adjustRightInd w:val="0"/>
        <w:snapToGrid w:val="0"/>
        <w:spacing w:line="360" w:lineRule="auto"/>
        <w:jc w:val="both"/>
      </w:pPr>
    </w:p>
    <w:p w14:paraId="07ED1E4A" w14:textId="77777777" w:rsidR="00A77B3E" w:rsidRDefault="009B365A" w:rsidP="00CD114C">
      <w:pPr>
        <w:adjustRightInd w:val="0"/>
        <w:snapToGrid w:val="0"/>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4, 2020</w:t>
      </w:r>
    </w:p>
    <w:p w14:paraId="2EAFB7DA" w14:textId="77777777" w:rsidR="00A77B3E" w:rsidRDefault="009B365A" w:rsidP="00CD114C">
      <w:pPr>
        <w:adjustRightInd w:val="0"/>
        <w:snapToGrid w:val="0"/>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8, 2020</w:t>
      </w:r>
    </w:p>
    <w:p w14:paraId="262CFE2A" w14:textId="549439CE" w:rsidR="00A77B3E" w:rsidRDefault="009B365A" w:rsidP="00CD114C">
      <w:pPr>
        <w:adjustRightInd w:val="0"/>
        <w:snapToGrid w:val="0"/>
        <w:spacing w:line="360" w:lineRule="auto"/>
        <w:jc w:val="both"/>
      </w:pPr>
      <w:r>
        <w:rPr>
          <w:rFonts w:ascii="Book Antiqua" w:eastAsia="Book Antiqua" w:hAnsi="Book Antiqua" w:cs="Book Antiqua"/>
          <w:b/>
          <w:color w:val="000000"/>
        </w:rPr>
        <w:t xml:space="preserve">Article in press: </w:t>
      </w:r>
      <w:r w:rsidR="00877A25" w:rsidRPr="00986B25">
        <w:rPr>
          <w:rFonts w:ascii="Book Antiqua" w:eastAsia="Book Antiqua" w:hAnsi="Book Antiqua" w:cs="Book Antiqua"/>
          <w:color w:val="000000"/>
        </w:rPr>
        <w:t>November 12, 2020</w:t>
      </w:r>
    </w:p>
    <w:p w14:paraId="271F4E2D" w14:textId="77777777" w:rsidR="00A77B3E" w:rsidRDefault="00A77B3E" w:rsidP="00CD114C">
      <w:pPr>
        <w:adjustRightInd w:val="0"/>
        <w:snapToGrid w:val="0"/>
        <w:spacing w:line="360" w:lineRule="auto"/>
        <w:jc w:val="both"/>
      </w:pPr>
    </w:p>
    <w:p w14:paraId="7706E1AC" w14:textId="77777777" w:rsidR="00A77B3E" w:rsidRDefault="009B365A" w:rsidP="00CD114C">
      <w:pPr>
        <w:adjustRightInd w:val="0"/>
        <w:snapToGrid w:val="0"/>
        <w:spacing w:line="360" w:lineRule="auto"/>
        <w:jc w:val="both"/>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color w:val="000000"/>
        </w:rPr>
        <w:t>Gastroenterology and Hepatology</w:t>
      </w:r>
    </w:p>
    <w:p w14:paraId="5E0C6EB5" w14:textId="18CCBDAD" w:rsidR="00A77B3E" w:rsidRDefault="009B365A" w:rsidP="00CD114C">
      <w:pPr>
        <w:adjustRightInd w:val="0"/>
        <w:snapToGrid w:val="0"/>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r w:rsidR="004C655E">
        <w:rPr>
          <w:rFonts w:ascii="Book Antiqua" w:eastAsia="Book Antiqua" w:hAnsi="Book Antiqua" w:cs="Book Antiqua"/>
          <w:color w:val="000000"/>
        </w:rPr>
        <w:t xml:space="preserve"> </w:t>
      </w:r>
    </w:p>
    <w:p w14:paraId="1DFFECE6" w14:textId="77777777" w:rsidR="00A77B3E" w:rsidRDefault="009B365A" w:rsidP="00CD114C">
      <w:pPr>
        <w:adjustRightInd w:val="0"/>
        <w:snapToGrid w:val="0"/>
        <w:spacing w:line="360" w:lineRule="auto"/>
        <w:jc w:val="both"/>
      </w:pPr>
      <w:r>
        <w:rPr>
          <w:rFonts w:ascii="Book Antiqua" w:eastAsia="Book Antiqua" w:hAnsi="Book Antiqua" w:cs="Book Antiqua"/>
          <w:b/>
          <w:color w:val="000000"/>
        </w:rPr>
        <w:t>Peer-review report’s scientific quality classification</w:t>
      </w:r>
    </w:p>
    <w:p w14:paraId="7E2FF08B"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Grade A (Excellent): 0</w:t>
      </w:r>
    </w:p>
    <w:p w14:paraId="102BFF28"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Grade B (Very good): B</w:t>
      </w:r>
    </w:p>
    <w:p w14:paraId="02E86259"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Grade C (Good): C</w:t>
      </w:r>
    </w:p>
    <w:p w14:paraId="2811A861"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Grade D (Fair): D</w:t>
      </w:r>
    </w:p>
    <w:p w14:paraId="487565FC" w14:textId="77777777" w:rsidR="00A77B3E" w:rsidRDefault="009B365A" w:rsidP="00CD114C">
      <w:pPr>
        <w:adjustRightInd w:val="0"/>
        <w:snapToGrid w:val="0"/>
        <w:spacing w:line="360" w:lineRule="auto"/>
        <w:jc w:val="both"/>
      </w:pPr>
      <w:r>
        <w:rPr>
          <w:rFonts w:ascii="Book Antiqua" w:eastAsia="Book Antiqua" w:hAnsi="Book Antiqua" w:cs="Book Antiqua"/>
          <w:color w:val="000000"/>
        </w:rPr>
        <w:t>Grade E (Poor): 0</w:t>
      </w:r>
    </w:p>
    <w:p w14:paraId="5AD64FBC" w14:textId="77777777" w:rsidR="00A77B3E" w:rsidRDefault="00A77B3E" w:rsidP="00CD114C">
      <w:pPr>
        <w:adjustRightInd w:val="0"/>
        <w:snapToGrid w:val="0"/>
        <w:spacing w:line="360" w:lineRule="auto"/>
        <w:jc w:val="both"/>
      </w:pPr>
    </w:p>
    <w:p w14:paraId="6ABDBB4E" w14:textId="6666CD2D" w:rsidR="00CD114C" w:rsidRPr="00877A25" w:rsidRDefault="009B365A" w:rsidP="00CD114C">
      <w:pPr>
        <w:adjustRightInd w:val="0"/>
        <w:snapToGrid w:val="0"/>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Kozarek RA, Thandassery RB</w:t>
      </w:r>
      <w:r>
        <w:rPr>
          <w:rFonts w:ascii="Book Antiqua" w:eastAsia="Book Antiqua" w:hAnsi="Book Antiqua" w:cs="Book Antiqua"/>
          <w:b/>
          <w:color w:val="000000"/>
        </w:rPr>
        <w:t xml:space="preserve"> S-Editor: </w:t>
      </w:r>
      <w:r>
        <w:rPr>
          <w:rFonts w:ascii="Book Antiqua" w:eastAsia="Book Antiqua" w:hAnsi="Book Antiqua" w:cs="Book Antiqua"/>
          <w:color w:val="000000"/>
        </w:rPr>
        <w:t xml:space="preserve">Liu </w:t>
      </w:r>
      <w:r w:rsidR="00CD114C">
        <w:rPr>
          <w:rFonts w:ascii="Book Antiqua" w:eastAsia="Book Antiqua" w:hAnsi="Book Antiqua" w:cs="Book Antiqua"/>
          <w:color w:val="000000"/>
        </w:rPr>
        <w:t xml:space="preserve">M </w:t>
      </w:r>
      <w:r>
        <w:rPr>
          <w:rFonts w:ascii="Book Antiqua" w:eastAsia="Book Antiqua" w:hAnsi="Book Antiqua" w:cs="Book Antiqua"/>
          <w:color w:val="000000"/>
        </w:rPr>
        <w:t xml:space="preserve">(Part-Time Editor) </w:t>
      </w:r>
      <w:r>
        <w:rPr>
          <w:rFonts w:ascii="Book Antiqua" w:eastAsia="Book Antiqua" w:hAnsi="Book Antiqua" w:cs="Book Antiqua"/>
          <w:b/>
          <w:color w:val="000000"/>
        </w:rPr>
        <w:t>L-Editor:</w:t>
      </w:r>
      <w:r w:rsidR="00CD114C">
        <w:rPr>
          <w:rFonts w:ascii="Book Antiqua" w:eastAsia="Book Antiqua" w:hAnsi="Book Antiqua" w:cs="Book Antiqua"/>
          <w:b/>
          <w:color w:val="000000"/>
        </w:rPr>
        <w:t xml:space="preserve"> </w:t>
      </w:r>
      <w:proofErr w:type="spellStart"/>
      <w:r w:rsidR="004C655E">
        <w:rPr>
          <w:rFonts w:ascii="Book Antiqua" w:eastAsia="Book Antiqua" w:hAnsi="Book Antiqua" w:cs="Book Antiqua"/>
          <w:bCs/>
          <w:color w:val="000000"/>
        </w:rPr>
        <w:t>Filipodia</w:t>
      </w:r>
      <w:proofErr w:type="spellEnd"/>
      <w:r w:rsidR="004C655E">
        <w:rPr>
          <w:rFonts w:ascii="Book Antiqua" w:eastAsia="Book Antiqua" w:hAnsi="Book Antiqua" w:cs="Book Antiqua"/>
          <w:bCs/>
          <w:color w:val="000000"/>
        </w:rPr>
        <w:t xml:space="preserve"> </w:t>
      </w:r>
      <w:r>
        <w:rPr>
          <w:rFonts w:ascii="Book Antiqua" w:eastAsia="Book Antiqua" w:hAnsi="Book Antiqua" w:cs="Book Antiqua"/>
          <w:b/>
          <w:color w:val="000000"/>
        </w:rPr>
        <w:t xml:space="preserve">P-Editor: </w:t>
      </w:r>
      <w:r w:rsidR="00877A25">
        <w:rPr>
          <w:rFonts w:ascii="Book Antiqua" w:hAnsi="Book Antiqua" w:cs="Book Antiqua" w:hint="eastAsia"/>
          <w:b/>
          <w:color w:val="000000"/>
          <w:lang w:eastAsia="zh-CN"/>
        </w:rPr>
        <w:t>Ma YJ</w:t>
      </w:r>
    </w:p>
    <w:p w14:paraId="5E53C213" w14:textId="77777777" w:rsidR="00CD114C" w:rsidRPr="00B94601" w:rsidRDefault="00CD114C" w:rsidP="00CD114C">
      <w:pPr>
        <w:adjustRightInd w:val="0"/>
        <w:snapToGrid w:val="0"/>
        <w:spacing w:line="360" w:lineRule="auto"/>
        <w:jc w:val="both"/>
        <w:rPr>
          <w:rFonts w:ascii="Book Antiqua" w:hAnsi="Book Antiqua"/>
          <w:b/>
          <w:color w:val="000000" w:themeColor="text1"/>
        </w:rPr>
      </w:pPr>
      <w:r>
        <w:rPr>
          <w:rFonts w:ascii="Book Antiqua" w:eastAsia="Book Antiqua" w:hAnsi="Book Antiqua" w:cs="Book Antiqua"/>
          <w:b/>
          <w:color w:val="000000"/>
        </w:rPr>
        <w:br w:type="page"/>
      </w:r>
      <w:r w:rsidRPr="00B94601">
        <w:rPr>
          <w:rFonts w:ascii="Book Antiqua" w:hAnsi="Book Antiqua"/>
          <w:b/>
          <w:color w:val="000000" w:themeColor="text1"/>
        </w:rPr>
        <w:lastRenderedPageBreak/>
        <w:t xml:space="preserve">Figure legends </w:t>
      </w:r>
    </w:p>
    <w:p w14:paraId="4E492D44" w14:textId="77777777" w:rsidR="00CD114C" w:rsidRPr="00B94601" w:rsidRDefault="00CD114C" w:rsidP="00CD114C">
      <w:pPr>
        <w:adjustRightInd w:val="0"/>
        <w:snapToGrid w:val="0"/>
        <w:spacing w:line="360" w:lineRule="auto"/>
        <w:ind w:firstLineChars="100" w:firstLine="241"/>
        <w:jc w:val="both"/>
        <w:rPr>
          <w:rFonts w:ascii="Book Antiqua" w:hAnsi="Book Antiqua"/>
          <w:b/>
          <w:color w:val="000000" w:themeColor="text1"/>
        </w:rPr>
      </w:pPr>
      <w:r w:rsidRPr="00B94601">
        <w:rPr>
          <w:rFonts w:ascii="Book Antiqua" w:hAnsi="Book Antiqua"/>
          <w:b/>
          <w:noProof/>
          <w:color w:val="000000" w:themeColor="text1"/>
          <w:lang w:eastAsia="zh-CN"/>
        </w:rPr>
        <w:drawing>
          <wp:inline distT="0" distB="0" distL="0" distR="0" wp14:anchorId="27D0C3A0" wp14:editId="0EED8C79">
            <wp:extent cx="3634515" cy="45764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tif"/>
                    <pic:cNvPicPr/>
                  </pic:nvPicPr>
                  <pic:blipFill rotWithShape="1">
                    <a:blip r:embed="rId9">
                      <a:extLst>
                        <a:ext uri="{28A0092B-C50C-407E-A947-70E740481C1C}">
                          <a14:useLocalDpi xmlns:a14="http://schemas.microsoft.com/office/drawing/2010/main" val="0"/>
                        </a:ext>
                      </a:extLst>
                    </a:blip>
                    <a:srcRect t="4909"/>
                    <a:stretch/>
                  </pic:blipFill>
                  <pic:spPr bwMode="auto">
                    <a:xfrm>
                      <a:off x="0" y="0"/>
                      <a:ext cx="3664820" cy="4614603"/>
                    </a:xfrm>
                    <a:prstGeom prst="rect">
                      <a:avLst/>
                    </a:prstGeom>
                    <a:ln>
                      <a:noFill/>
                    </a:ln>
                    <a:extLst>
                      <a:ext uri="{53640926-AAD7-44D8-BBD7-CCE9431645EC}">
                        <a14:shadowObscured xmlns:a14="http://schemas.microsoft.com/office/drawing/2010/main"/>
                      </a:ext>
                    </a:extLst>
                  </pic:spPr>
                </pic:pic>
              </a:graphicData>
            </a:graphic>
          </wp:inline>
        </w:drawing>
      </w:r>
    </w:p>
    <w:p w14:paraId="685A65CA" w14:textId="778572DC" w:rsidR="00CD114C" w:rsidRPr="00B94601" w:rsidRDefault="00CD114C" w:rsidP="00CD114C">
      <w:pPr>
        <w:adjustRightInd w:val="0"/>
        <w:snapToGrid w:val="0"/>
        <w:spacing w:line="360" w:lineRule="auto"/>
        <w:jc w:val="both"/>
        <w:rPr>
          <w:rFonts w:ascii="Book Antiqua" w:hAnsi="Book Antiqua"/>
          <w:bCs/>
          <w:color w:val="000000" w:themeColor="text1"/>
          <w:lang w:eastAsia="zh-CN"/>
        </w:rPr>
      </w:pPr>
      <w:r w:rsidRPr="00B94601">
        <w:rPr>
          <w:rFonts w:ascii="Book Antiqua" w:hAnsi="Book Antiqua"/>
          <w:b/>
          <w:color w:val="000000" w:themeColor="text1"/>
        </w:rPr>
        <w:t xml:space="preserve">Figure 1 Varied pancreatic lesions </w:t>
      </w:r>
      <w:r w:rsidR="005A209C">
        <w:rPr>
          <w:rFonts w:ascii="Book Antiqua" w:hAnsi="Book Antiqua"/>
          <w:b/>
          <w:color w:val="000000" w:themeColor="text1"/>
        </w:rPr>
        <w:t>are shown</w:t>
      </w:r>
      <w:r w:rsidRPr="00B94601">
        <w:rPr>
          <w:rFonts w:ascii="Book Antiqua" w:hAnsi="Book Antiqua"/>
          <w:b/>
          <w:color w:val="000000" w:themeColor="text1"/>
        </w:rPr>
        <w:t xml:space="preserve"> by contrast-enhanced computed tomography image. </w:t>
      </w:r>
      <w:r w:rsidRPr="00B94601">
        <w:rPr>
          <w:rFonts w:ascii="Book Antiqua" w:hAnsi="Book Antiqua"/>
          <w:bCs/>
          <w:color w:val="000000" w:themeColor="text1"/>
        </w:rPr>
        <w:t>A: The lesion was located in head/neck of pancreas; B: The lesion was located in body/tail of pancreas; C: Pancreatic head lesion was associated with celiac trunk and celiac plexus invasion; D: The image showed a pancreatic body/tail invading the celiac plexus; E: Pancreatic head/neck lesion was accompanied with hepatic metastasis; F: Pancreatic body/tail lesion was accompanied with hepatic metastasis</w:t>
      </w:r>
      <w:r w:rsidR="00C61F8E">
        <w:rPr>
          <w:rFonts w:ascii="Book Antiqua" w:hAnsi="Book Antiqua" w:hint="eastAsia"/>
          <w:bCs/>
          <w:color w:val="000000" w:themeColor="text1"/>
          <w:lang w:eastAsia="zh-CN"/>
        </w:rPr>
        <w:t>.</w:t>
      </w:r>
    </w:p>
    <w:p w14:paraId="6EFFD949" w14:textId="77777777" w:rsidR="00CD114C" w:rsidRPr="00230B5C" w:rsidRDefault="00CD114C" w:rsidP="00CD114C">
      <w:pPr>
        <w:adjustRightInd w:val="0"/>
        <w:snapToGrid w:val="0"/>
        <w:spacing w:line="360" w:lineRule="auto"/>
        <w:jc w:val="both"/>
        <w:rPr>
          <w:rFonts w:ascii="Book Antiqua" w:hAnsi="Book Antiqua"/>
          <w:bCs/>
          <w:color w:val="000000" w:themeColor="text1"/>
        </w:rPr>
      </w:pPr>
      <w:r w:rsidRPr="00B94601">
        <w:rPr>
          <w:rFonts w:ascii="Book Antiqua" w:hAnsi="Book Antiqua"/>
          <w:bCs/>
          <w:color w:val="000000" w:themeColor="text1"/>
        </w:rPr>
        <w:br w:type="page"/>
      </w:r>
    </w:p>
    <w:p w14:paraId="683FBCBA" w14:textId="7D6D98CA" w:rsidR="00CD114C" w:rsidRDefault="00CD114C" w:rsidP="00CD114C">
      <w:pPr>
        <w:adjustRightInd w:val="0"/>
        <w:snapToGrid w:val="0"/>
        <w:spacing w:line="360" w:lineRule="auto"/>
        <w:jc w:val="both"/>
        <w:rPr>
          <w:rFonts w:ascii="Book Antiqua" w:hAnsi="Book Antiqua"/>
          <w:b/>
          <w:bCs/>
          <w:color w:val="000000" w:themeColor="text1"/>
          <w:lang w:eastAsia="zh-CN"/>
        </w:rPr>
      </w:pPr>
      <w:r w:rsidRPr="00B94601">
        <w:rPr>
          <w:rFonts w:ascii="Book Antiqua" w:hAnsi="Book Antiqua"/>
          <w:b/>
          <w:color w:val="000000" w:themeColor="text1"/>
        </w:rPr>
        <w:lastRenderedPageBreak/>
        <w:t>Table 1</w:t>
      </w:r>
      <w:r w:rsidRPr="00B94601">
        <w:rPr>
          <w:rFonts w:ascii="Book Antiqua" w:hAnsi="Book Antiqua"/>
          <w:color w:val="000000" w:themeColor="text1"/>
        </w:rPr>
        <w:t xml:space="preserve"> </w:t>
      </w:r>
      <w:r w:rsidRPr="00B94601">
        <w:rPr>
          <w:rFonts w:ascii="Book Antiqua" w:hAnsi="Book Antiqua"/>
          <w:b/>
          <w:bCs/>
          <w:color w:val="000000" w:themeColor="text1"/>
        </w:rPr>
        <w:t>Baseline characteristics of patients who underwent endoscopic ultrasound-guided celiac plexus neurolysis</w:t>
      </w:r>
      <w:r w:rsidR="0044613E">
        <w:rPr>
          <w:rFonts w:ascii="Book Antiqua" w:hAnsi="Book Antiqua" w:hint="eastAsia"/>
          <w:b/>
          <w:bCs/>
          <w:color w:val="000000" w:themeColor="text1"/>
          <w:lang w:eastAsia="zh-CN"/>
        </w:rPr>
        <w:t xml:space="preserve"> [</w:t>
      </w:r>
      <w:r w:rsidRPr="00BD01AB">
        <w:rPr>
          <w:rFonts w:ascii="Book Antiqua" w:hAnsi="Book Antiqua" w:cs="Tahoma"/>
          <w:b/>
          <w:bCs/>
          <w:i/>
          <w:color w:val="000000"/>
        </w:rPr>
        <w:t>n</w:t>
      </w:r>
      <w:r w:rsidRPr="00BD01AB">
        <w:rPr>
          <w:rFonts w:ascii="Book Antiqua" w:hAnsi="Book Antiqua" w:cs="Tahoma"/>
          <w:b/>
          <w:bCs/>
          <w:color w:val="000000"/>
        </w:rPr>
        <w:t xml:space="preserve"> (%)</w:t>
      </w:r>
      <w:r>
        <w:rPr>
          <w:rFonts w:ascii="Book Antiqua" w:hAnsi="Book Antiqua" w:cs="Tahoma"/>
          <w:b/>
          <w:bCs/>
          <w:color w:val="000000"/>
        </w:rPr>
        <w:t>,</w:t>
      </w:r>
      <w:r w:rsidRPr="00B94601">
        <w:rPr>
          <w:rFonts w:ascii="Book Antiqua" w:hAnsi="Book Antiqua"/>
          <w:b/>
          <w:bCs/>
          <w:color w:val="000000" w:themeColor="text1"/>
        </w:rPr>
        <w:t xml:space="preserve"> </w:t>
      </w:r>
      <w:r w:rsidRPr="00B94601">
        <w:rPr>
          <w:rFonts w:ascii="Book Antiqua" w:hAnsi="Book Antiqua"/>
          <w:b/>
          <w:bCs/>
          <w:i/>
          <w:iCs/>
          <w:color w:val="000000" w:themeColor="text1"/>
        </w:rPr>
        <w:t>n</w:t>
      </w:r>
      <w:r w:rsidRPr="00B94601">
        <w:rPr>
          <w:rFonts w:ascii="Book Antiqua" w:hAnsi="Book Antiqua"/>
          <w:b/>
          <w:bCs/>
          <w:color w:val="000000" w:themeColor="text1"/>
        </w:rPr>
        <w:t xml:space="preserve"> = 58</w:t>
      </w:r>
      <w:r w:rsidR="0044613E">
        <w:rPr>
          <w:rFonts w:ascii="Book Antiqua" w:hAnsi="Book Antiqua" w:hint="eastAsia"/>
          <w:b/>
          <w:bCs/>
          <w:color w:val="000000" w:themeColor="text1"/>
          <w:lang w:eastAsia="zh-CN"/>
        </w:rPr>
        <w:t>]</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7903"/>
        <w:gridCol w:w="1565"/>
      </w:tblGrid>
      <w:tr w:rsidR="00ED28E3" w:rsidRPr="00ED28E3" w14:paraId="3F72E05F" w14:textId="77777777" w:rsidTr="000E4C2C">
        <w:trPr>
          <w:trHeight w:val="1260"/>
        </w:trPr>
        <w:tc>
          <w:tcPr>
            <w:tcW w:w="0" w:type="auto"/>
            <w:tcBorders>
              <w:top w:val="single" w:sz="4" w:space="0" w:color="auto"/>
              <w:bottom w:val="single" w:sz="4" w:space="0" w:color="auto"/>
            </w:tcBorders>
            <w:shd w:val="clear" w:color="000000" w:fill="FFFFFF"/>
            <w:vAlign w:val="center"/>
            <w:hideMark/>
          </w:tcPr>
          <w:p w14:paraId="3A09975E" w14:textId="77777777" w:rsidR="00ED28E3" w:rsidRPr="00ED28E3" w:rsidRDefault="00ED28E3" w:rsidP="00ED28E3">
            <w:pPr>
              <w:jc w:val="both"/>
              <w:rPr>
                <w:rFonts w:ascii="Book Antiqua" w:eastAsia="Times New Roman" w:hAnsi="Book Antiqua" w:cs="Calibri"/>
                <w:b/>
                <w:bCs/>
                <w:color w:val="000000"/>
                <w:lang w:eastAsia="zh-CN"/>
              </w:rPr>
            </w:pPr>
            <w:r w:rsidRPr="00ED28E3">
              <w:rPr>
                <w:rFonts w:ascii="Book Antiqua" w:eastAsia="Times New Roman" w:hAnsi="Book Antiqua" w:cs="Calibri"/>
                <w:b/>
                <w:bCs/>
                <w:color w:val="000000"/>
                <w:lang w:eastAsia="zh-CN"/>
              </w:rPr>
              <w:t xml:space="preserve">Independent variables                       </w:t>
            </w:r>
          </w:p>
        </w:tc>
        <w:tc>
          <w:tcPr>
            <w:tcW w:w="0" w:type="auto"/>
            <w:tcBorders>
              <w:top w:val="single" w:sz="4" w:space="0" w:color="auto"/>
              <w:bottom w:val="single" w:sz="4" w:space="0" w:color="auto"/>
            </w:tcBorders>
            <w:shd w:val="clear" w:color="000000" w:fill="FFFFFF"/>
            <w:vAlign w:val="center"/>
            <w:hideMark/>
          </w:tcPr>
          <w:p w14:paraId="1D00B6D6" w14:textId="77777777" w:rsidR="00ED28E3" w:rsidRPr="00ED28E3" w:rsidRDefault="00ED28E3" w:rsidP="00ED28E3">
            <w:pPr>
              <w:jc w:val="both"/>
              <w:rPr>
                <w:rFonts w:ascii="Book Antiqua" w:eastAsia="Times New Roman" w:hAnsi="Book Antiqua" w:cs="Calibri"/>
                <w:b/>
                <w:bCs/>
                <w:color w:val="000000"/>
                <w:lang w:eastAsia="zh-CN"/>
              </w:rPr>
            </w:pPr>
            <w:r w:rsidRPr="00ED28E3">
              <w:rPr>
                <w:rFonts w:ascii="Book Antiqua" w:eastAsia="Times New Roman" w:hAnsi="Book Antiqua" w:cs="Calibri"/>
                <w:b/>
                <w:bCs/>
                <w:color w:val="000000"/>
                <w:lang w:eastAsia="zh-CN"/>
              </w:rPr>
              <w:t>Total number</w:t>
            </w:r>
          </w:p>
        </w:tc>
      </w:tr>
      <w:tr w:rsidR="00ED28E3" w:rsidRPr="00ED28E3" w14:paraId="3EC383FD" w14:textId="77777777" w:rsidTr="000E4C2C">
        <w:trPr>
          <w:trHeight w:val="1248"/>
        </w:trPr>
        <w:tc>
          <w:tcPr>
            <w:tcW w:w="0" w:type="auto"/>
            <w:tcBorders>
              <w:top w:val="single" w:sz="4" w:space="0" w:color="auto"/>
            </w:tcBorders>
            <w:shd w:val="clear" w:color="auto" w:fill="auto"/>
            <w:vAlign w:val="center"/>
            <w:hideMark/>
          </w:tcPr>
          <w:p w14:paraId="351671EE"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 xml:space="preserve">Age in </w:t>
            </w:r>
            <w:proofErr w:type="spellStart"/>
            <w:r w:rsidRPr="00ED28E3">
              <w:rPr>
                <w:rFonts w:ascii="Book Antiqua" w:eastAsia="Times New Roman" w:hAnsi="Book Antiqua" w:cs="Calibri"/>
                <w:color w:val="000000"/>
                <w:lang w:eastAsia="zh-CN"/>
              </w:rPr>
              <w:t>yr</w:t>
            </w:r>
            <w:proofErr w:type="spellEnd"/>
            <w:r w:rsidRPr="00ED28E3">
              <w:rPr>
                <w:rFonts w:ascii="Book Antiqua" w:eastAsia="Times New Roman" w:hAnsi="Book Antiqua" w:cs="Calibri"/>
                <w:color w:val="000000"/>
                <w:lang w:eastAsia="zh-CN"/>
              </w:rPr>
              <w:t xml:space="preserve">, range (mean)                        </w:t>
            </w:r>
          </w:p>
        </w:tc>
        <w:tc>
          <w:tcPr>
            <w:tcW w:w="0" w:type="auto"/>
            <w:tcBorders>
              <w:top w:val="single" w:sz="4" w:space="0" w:color="auto"/>
            </w:tcBorders>
            <w:shd w:val="clear" w:color="auto" w:fill="auto"/>
            <w:vAlign w:val="center"/>
            <w:hideMark/>
          </w:tcPr>
          <w:p w14:paraId="391D9400"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 xml:space="preserve">54–73 (67) </w:t>
            </w:r>
          </w:p>
        </w:tc>
      </w:tr>
      <w:tr w:rsidR="00ED28E3" w:rsidRPr="00ED28E3" w14:paraId="1DAC32D9" w14:textId="77777777" w:rsidTr="000E4C2C">
        <w:trPr>
          <w:trHeight w:val="1248"/>
        </w:trPr>
        <w:tc>
          <w:tcPr>
            <w:tcW w:w="0" w:type="auto"/>
            <w:shd w:val="clear" w:color="auto" w:fill="auto"/>
            <w:vAlign w:val="center"/>
            <w:hideMark/>
          </w:tcPr>
          <w:p w14:paraId="6DAB5F64"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 xml:space="preserve">Gender, female/male                            </w:t>
            </w:r>
          </w:p>
        </w:tc>
        <w:tc>
          <w:tcPr>
            <w:tcW w:w="0" w:type="auto"/>
            <w:shd w:val="clear" w:color="auto" w:fill="auto"/>
            <w:vAlign w:val="center"/>
            <w:hideMark/>
          </w:tcPr>
          <w:p w14:paraId="62778167"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25/33</w:t>
            </w:r>
          </w:p>
        </w:tc>
      </w:tr>
      <w:tr w:rsidR="00ED28E3" w:rsidRPr="00ED28E3" w14:paraId="32E82D08" w14:textId="77777777" w:rsidTr="000E4C2C">
        <w:trPr>
          <w:trHeight w:val="624"/>
        </w:trPr>
        <w:tc>
          <w:tcPr>
            <w:tcW w:w="0" w:type="auto"/>
            <w:shd w:val="clear" w:color="auto" w:fill="auto"/>
            <w:vAlign w:val="center"/>
            <w:hideMark/>
          </w:tcPr>
          <w:p w14:paraId="72276DEB" w14:textId="77777777" w:rsidR="00ED28E3" w:rsidRPr="00ED28E3" w:rsidRDefault="00ED28E3" w:rsidP="00ED28E3">
            <w:pPr>
              <w:jc w:val="both"/>
              <w:rPr>
                <w:rFonts w:ascii="Book Antiqua" w:eastAsia="Times New Roman" w:hAnsi="Book Antiqua" w:cs="Calibri"/>
                <w:color w:val="000000"/>
                <w:lang w:eastAsia="zh-CN"/>
              </w:rPr>
            </w:pPr>
            <w:bookmarkStart w:id="8" w:name="RANGE!D168"/>
            <w:r w:rsidRPr="00ED28E3">
              <w:rPr>
                <w:rFonts w:ascii="Book Antiqua" w:eastAsia="Times New Roman" w:hAnsi="Book Antiqua" w:cs="Calibri"/>
                <w:color w:val="000000"/>
                <w:lang w:eastAsia="zh-CN"/>
              </w:rPr>
              <w:t>Symptom</w:t>
            </w:r>
            <w:bookmarkEnd w:id="8"/>
          </w:p>
        </w:tc>
        <w:tc>
          <w:tcPr>
            <w:tcW w:w="0" w:type="auto"/>
            <w:shd w:val="clear" w:color="auto" w:fill="auto"/>
            <w:vAlign w:val="center"/>
            <w:hideMark/>
          </w:tcPr>
          <w:p w14:paraId="6DB0CE53" w14:textId="77777777" w:rsidR="00ED28E3" w:rsidRPr="00ED28E3" w:rsidRDefault="00ED28E3" w:rsidP="00ED28E3">
            <w:pPr>
              <w:jc w:val="both"/>
              <w:rPr>
                <w:rFonts w:ascii="Book Antiqua" w:eastAsia="Times New Roman" w:hAnsi="Book Antiqua" w:cs="Calibri"/>
                <w:color w:val="000000"/>
                <w:lang w:eastAsia="zh-CN"/>
              </w:rPr>
            </w:pPr>
          </w:p>
        </w:tc>
      </w:tr>
      <w:tr w:rsidR="00ED28E3" w:rsidRPr="00ED28E3" w14:paraId="203338BC" w14:textId="77777777" w:rsidTr="000E4C2C">
        <w:trPr>
          <w:trHeight w:val="940"/>
        </w:trPr>
        <w:tc>
          <w:tcPr>
            <w:tcW w:w="0" w:type="auto"/>
            <w:shd w:val="clear" w:color="auto" w:fill="auto"/>
            <w:vAlign w:val="center"/>
            <w:hideMark/>
          </w:tcPr>
          <w:p w14:paraId="10144E85" w14:textId="77777777" w:rsidR="00ED28E3" w:rsidRPr="00ED28E3" w:rsidRDefault="00ED28E3" w:rsidP="00ED28E3">
            <w:pPr>
              <w:jc w:val="both"/>
              <w:rPr>
                <w:rFonts w:ascii="Book Antiqua" w:eastAsia="Times New Roman" w:hAnsi="Book Antiqua" w:cs="Calibri"/>
                <w:color w:val="000000"/>
                <w:lang w:eastAsia="zh-CN"/>
              </w:rPr>
            </w:pPr>
            <w:bookmarkStart w:id="9" w:name="RANGE!D169"/>
            <w:r w:rsidRPr="00ED28E3">
              <w:rPr>
                <w:rFonts w:ascii="Book Antiqua" w:eastAsia="Times New Roman" w:hAnsi="Book Antiqua" w:cs="Calibri"/>
                <w:color w:val="000000"/>
                <w:lang w:eastAsia="zh-CN"/>
              </w:rPr>
              <w:t>Abdominal pain concomitant with jaundice Tumor largest dimension in mm, range (mean)</w:t>
            </w:r>
            <w:bookmarkEnd w:id="9"/>
          </w:p>
        </w:tc>
        <w:tc>
          <w:tcPr>
            <w:tcW w:w="0" w:type="auto"/>
            <w:shd w:val="clear" w:color="auto" w:fill="auto"/>
            <w:vAlign w:val="center"/>
            <w:hideMark/>
          </w:tcPr>
          <w:p w14:paraId="76150A26"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6 (10.3)</w:t>
            </w:r>
          </w:p>
        </w:tc>
      </w:tr>
      <w:tr w:rsidR="00ED28E3" w:rsidRPr="00ED28E3" w14:paraId="2439CFBA" w14:textId="77777777" w:rsidTr="000E4C2C">
        <w:trPr>
          <w:trHeight w:val="936"/>
        </w:trPr>
        <w:tc>
          <w:tcPr>
            <w:tcW w:w="0" w:type="auto"/>
            <w:shd w:val="clear" w:color="auto" w:fill="auto"/>
            <w:vAlign w:val="center"/>
            <w:hideMark/>
          </w:tcPr>
          <w:p w14:paraId="6814518C" w14:textId="77777777" w:rsidR="00ED28E3" w:rsidRPr="00ED28E3" w:rsidRDefault="00ED28E3" w:rsidP="00ED28E3">
            <w:pPr>
              <w:jc w:val="both"/>
              <w:rPr>
                <w:rFonts w:ascii="Book Antiqua" w:eastAsia="Times New Roman" w:hAnsi="Book Antiqua" w:cs="Calibri"/>
                <w:color w:val="000000"/>
                <w:lang w:eastAsia="zh-CN"/>
              </w:rPr>
            </w:pPr>
            <w:bookmarkStart w:id="10" w:name="RANGE!D170"/>
            <w:r w:rsidRPr="00ED28E3">
              <w:rPr>
                <w:rFonts w:ascii="Book Antiqua" w:eastAsia="Times New Roman" w:hAnsi="Book Antiqua" w:cs="Calibri"/>
                <w:color w:val="000000"/>
                <w:lang w:eastAsia="zh-CN"/>
              </w:rPr>
              <w:t>Ascites, slight or mild</w:t>
            </w:r>
            <w:bookmarkEnd w:id="10"/>
          </w:p>
        </w:tc>
        <w:tc>
          <w:tcPr>
            <w:tcW w:w="0" w:type="auto"/>
            <w:shd w:val="clear" w:color="auto" w:fill="auto"/>
            <w:vAlign w:val="center"/>
            <w:hideMark/>
          </w:tcPr>
          <w:p w14:paraId="6E894C1C"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24–100 (44.3)</w:t>
            </w:r>
          </w:p>
        </w:tc>
      </w:tr>
      <w:tr w:rsidR="00ED28E3" w:rsidRPr="00ED28E3" w14:paraId="774D5103" w14:textId="77777777" w:rsidTr="000E4C2C">
        <w:trPr>
          <w:trHeight w:val="936"/>
        </w:trPr>
        <w:tc>
          <w:tcPr>
            <w:tcW w:w="0" w:type="auto"/>
            <w:shd w:val="clear" w:color="auto" w:fill="auto"/>
            <w:vAlign w:val="center"/>
            <w:hideMark/>
          </w:tcPr>
          <w:p w14:paraId="58E2C84B"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Tumor location</w:t>
            </w:r>
          </w:p>
        </w:tc>
        <w:tc>
          <w:tcPr>
            <w:tcW w:w="0" w:type="auto"/>
            <w:shd w:val="clear" w:color="auto" w:fill="auto"/>
            <w:vAlign w:val="center"/>
            <w:hideMark/>
          </w:tcPr>
          <w:p w14:paraId="0F2AC828"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4 (6.9)</w:t>
            </w:r>
          </w:p>
        </w:tc>
      </w:tr>
      <w:tr w:rsidR="00ED28E3" w:rsidRPr="00ED28E3" w14:paraId="54E7B51F" w14:textId="77777777" w:rsidTr="000E4C2C">
        <w:trPr>
          <w:trHeight w:val="1248"/>
        </w:trPr>
        <w:tc>
          <w:tcPr>
            <w:tcW w:w="0" w:type="auto"/>
            <w:shd w:val="clear" w:color="auto" w:fill="auto"/>
            <w:vAlign w:val="center"/>
            <w:hideMark/>
          </w:tcPr>
          <w:p w14:paraId="6C29DFEA"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Pancreatic head/neck</w:t>
            </w:r>
          </w:p>
        </w:tc>
        <w:tc>
          <w:tcPr>
            <w:tcW w:w="0" w:type="auto"/>
            <w:shd w:val="clear" w:color="auto" w:fill="auto"/>
            <w:vAlign w:val="center"/>
            <w:hideMark/>
          </w:tcPr>
          <w:p w14:paraId="1D800FB8" w14:textId="77777777" w:rsidR="00ED28E3" w:rsidRPr="00ED28E3" w:rsidRDefault="00ED28E3" w:rsidP="00ED28E3">
            <w:pPr>
              <w:jc w:val="both"/>
              <w:rPr>
                <w:rFonts w:ascii="Book Antiqua" w:eastAsia="Times New Roman" w:hAnsi="Book Antiqua" w:cs="Calibri"/>
                <w:color w:val="000000"/>
                <w:lang w:eastAsia="zh-CN"/>
              </w:rPr>
            </w:pPr>
          </w:p>
        </w:tc>
      </w:tr>
      <w:tr w:rsidR="00ED28E3" w:rsidRPr="00ED28E3" w14:paraId="65605ED8" w14:textId="77777777" w:rsidTr="000E4C2C">
        <w:trPr>
          <w:trHeight w:val="1248"/>
        </w:trPr>
        <w:tc>
          <w:tcPr>
            <w:tcW w:w="0" w:type="auto"/>
            <w:shd w:val="clear" w:color="auto" w:fill="auto"/>
            <w:vAlign w:val="center"/>
            <w:hideMark/>
          </w:tcPr>
          <w:p w14:paraId="581C57B4"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Pancreatic body/tail</w:t>
            </w:r>
          </w:p>
        </w:tc>
        <w:tc>
          <w:tcPr>
            <w:tcW w:w="0" w:type="auto"/>
            <w:shd w:val="clear" w:color="auto" w:fill="auto"/>
            <w:vAlign w:val="center"/>
            <w:hideMark/>
          </w:tcPr>
          <w:p w14:paraId="525D6E61"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18 (31.0)</w:t>
            </w:r>
          </w:p>
        </w:tc>
      </w:tr>
      <w:tr w:rsidR="00ED28E3" w:rsidRPr="00ED28E3" w14:paraId="7016B89A" w14:textId="77777777" w:rsidTr="000E4C2C">
        <w:trPr>
          <w:trHeight w:val="1560"/>
        </w:trPr>
        <w:tc>
          <w:tcPr>
            <w:tcW w:w="0" w:type="auto"/>
            <w:shd w:val="clear" w:color="auto" w:fill="auto"/>
            <w:vAlign w:val="center"/>
            <w:hideMark/>
          </w:tcPr>
          <w:p w14:paraId="3D237BFB" w14:textId="77777777" w:rsidR="00ED28E3" w:rsidRPr="00ED28E3" w:rsidRDefault="00ED28E3" w:rsidP="00ED28E3">
            <w:pPr>
              <w:jc w:val="both"/>
              <w:rPr>
                <w:rFonts w:ascii="Book Antiqua" w:eastAsia="Times New Roman" w:hAnsi="Book Antiqua" w:cs="Calibri"/>
                <w:color w:val="000000"/>
                <w:lang w:eastAsia="zh-CN"/>
              </w:rPr>
            </w:pPr>
            <w:bookmarkStart w:id="11" w:name="RANGE!D174"/>
            <w:r w:rsidRPr="00ED28E3">
              <w:rPr>
                <w:rFonts w:ascii="Book Antiqua" w:eastAsia="Times New Roman" w:hAnsi="Book Antiqua" w:cs="Calibri"/>
                <w:color w:val="000000"/>
                <w:lang w:eastAsia="zh-CN"/>
              </w:rPr>
              <w:t>Initial VAS score, range (mean)</w:t>
            </w:r>
            <w:bookmarkEnd w:id="11"/>
          </w:p>
        </w:tc>
        <w:tc>
          <w:tcPr>
            <w:tcW w:w="0" w:type="auto"/>
            <w:shd w:val="clear" w:color="auto" w:fill="auto"/>
            <w:vAlign w:val="center"/>
            <w:hideMark/>
          </w:tcPr>
          <w:p w14:paraId="15581B29"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40 (69.0)</w:t>
            </w:r>
          </w:p>
        </w:tc>
      </w:tr>
      <w:tr w:rsidR="00ED28E3" w:rsidRPr="00ED28E3" w14:paraId="173DC718" w14:textId="77777777" w:rsidTr="000E4C2C">
        <w:trPr>
          <w:trHeight w:val="1560"/>
        </w:trPr>
        <w:tc>
          <w:tcPr>
            <w:tcW w:w="0" w:type="auto"/>
            <w:shd w:val="clear" w:color="auto" w:fill="auto"/>
            <w:vAlign w:val="center"/>
            <w:hideMark/>
          </w:tcPr>
          <w:p w14:paraId="32B4DB71" w14:textId="77777777" w:rsidR="00ED28E3" w:rsidRPr="00ED28E3" w:rsidRDefault="00ED28E3" w:rsidP="00ED28E3">
            <w:pPr>
              <w:jc w:val="both"/>
              <w:rPr>
                <w:rFonts w:ascii="Book Antiqua" w:eastAsia="Times New Roman" w:hAnsi="Book Antiqua" w:cs="Calibri"/>
                <w:color w:val="000000"/>
                <w:lang w:eastAsia="zh-CN"/>
              </w:rPr>
            </w:pPr>
            <w:bookmarkStart w:id="12" w:name="RANGE!D175"/>
            <w:r w:rsidRPr="00ED28E3">
              <w:rPr>
                <w:rFonts w:ascii="Book Antiqua" w:eastAsia="Times New Roman" w:hAnsi="Book Antiqua" w:cs="Calibri"/>
                <w:color w:val="000000"/>
                <w:lang w:eastAsia="zh-CN"/>
              </w:rPr>
              <w:lastRenderedPageBreak/>
              <w:t>Tramadol use before EUS-CPN</w:t>
            </w:r>
            <w:bookmarkEnd w:id="12"/>
          </w:p>
        </w:tc>
        <w:tc>
          <w:tcPr>
            <w:tcW w:w="0" w:type="auto"/>
            <w:shd w:val="clear" w:color="auto" w:fill="auto"/>
            <w:vAlign w:val="center"/>
            <w:hideMark/>
          </w:tcPr>
          <w:p w14:paraId="5F533C51"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6-10 (8)</w:t>
            </w:r>
          </w:p>
        </w:tc>
      </w:tr>
      <w:tr w:rsidR="00ED28E3" w:rsidRPr="00ED28E3" w14:paraId="4306340C" w14:textId="77777777" w:rsidTr="000E4C2C">
        <w:trPr>
          <w:trHeight w:val="1248"/>
        </w:trPr>
        <w:tc>
          <w:tcPr>
            <w:tcW w:w="0" w:type="auto"/>
            <w:shd w:val="clear" w:color="auto" w:fill="auto"/>
            <w:vAlign w:val="center"/>
            <w:hideMark/>
          </w:tcPr>
          <w:p w14:paraId="380BAB20"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Dose in mg, range (mean)</w:t>
            </w:r>
          </w:p>
        </w:tc>
        <w:tc>
          <w:tcPr>
            <w:tcW w:w="0" w:type="auto"/>
            <w:shd w:val="clear" w:color="auto" w:fill="auto"/>
            <w:vAlign w:val="center"/>
            <w:hideMark/>
          </w:tcPr>
          <w:p w14:paraId="32B0C870" w14:textId="77777777" w:rsidR="00ED28E3" w:rsidRPr="00ED28E3" w:rsidRDefault="00ED28E3" w:rsidP="00ED28E3">
            <w:pPr>
              <w:jc w:val="both"/>
              <w:rPr>
                <w:rFonts w:ascii="Book Antiqua" w:eastAsia="Times New Roman" w:hAnsi="Book Antiqua" w:cs="Calibri"/>
                <w:color w:val="000000"/>
                <w:lang w:eastAsia="zh-CN"/>
              </w:rPr>
            </w:pPr>
            <w:bookmarkStart w:id="13" w:name="RANGE!E176"/>
            <w:r w:rsidRPr="00ED28E3">
              <w:rPr>
                <w:rFonts w:ascii="Book Antiqua" w:eastAsia="Times New Roman" w:hAnsi="Book Antiqua" w:cs="Calibri"/>
                <w:color w:val="000000"/>
                <w:lang w:eastAsia="zh-CN"/>
              </w:rPr>
              <w:t>51 (87.9)</w:t>
            </w:r>
            <w:bookmarkEnd w:id="13"/>
          </w:p>
        </w:tc>
      </w:tr>
      <w:tr w:rsidR="00ED28E3" w:rsidRPr="00ED28E3" w14:paraId="735D2B67" w14:textId="77777777" w:rsidTr="000E4C2C">
        <w:trPr>
          <w:trHeight w:val="936"/>
        </w:trPr>
        <w:tc>
          <w:tcPr>
            <w:tcW w:w="0" w:type="auto"/>
            <w:shd w:val="clear" w:color="auto" w:fill="auto"/>
            <w:vAlign w:val="center"/>
            <w:hideMark/>
          </w:tcPr>
          <w:p w14:paraId="60079583" w14:textId="77777777" w:rsidR="00ED28E3" w:rsidRPr="00ED28E3" w:rsidRDefault="00ED28E3" w:rsidP="00ED28E3">
            <w:pPr>
              <w:jc w:val="both"/>
              <w:rPr>
                <w:rFonts w:ascii="Book Antiqua" w:eastAsia="Times New Roman" w:hAnsi="Book Antiqua" w:cs="Calibri"/>
                <w:color w:val="000000"/>
                <w:lang w:eastAsia="zh-CN"/>
              </w:rPr>
            </w:pPr>
            <w:bookmarkStart w:id="14" w:name="RANGE!D177"/>
            <w:r w:rsidRPr="00ED28E3">
              <w:rPr>
                <w:rFonts w:ascii="Book Antiqua" w:eastAsia="Times New Roman" w:hAnsi="Book Antiqua" w:cs="Calibri"/>
                <w:color w:val="000000"/>
                <w:lang w:eastAsia="zh-CN"/>
              </w:rPr>
              <w:t>Ganglia visualized</w:t>
            </w:r>
            <w:bookmarkEnd w:id="14"/>
          </w:p>
        </w:tc>
        <w:tc>
          <w:tcPr>
            <w:tcW w:w="0" w:type="auto"/>
            <w:shd w:val="clear" w:color="auto" w:fill="auto"/>
            <w:vAlign w:val="center"/>
            <w:hideMark/>
          </w:tcPr>
          <w:p w14:paraId="1DFFA4AC"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0-240 (40)</w:t>
            </w:r>
          </w:p>
        </w:tc>
      </w:tr>
      <w:tr w:rsidR="00ED28E3" w:rsidRPr="00ED28E3" w14:paraId="63D2B0F6" w14:textId="77777777" w:rsidTr="000E4C2C">
        <w:trPr>
          <w:trHeight w:val="1248"/>
        </w:trPr>
        <w:tc>
          <w:tcPr>
            <w:tcW w:w="0" w:type="auto"/>
            <w:shd w:val="clear" w:color="auto" w:fill="auto"/>
            <w:vAlign w:val="center"/>
            <w:hideMark/>
          </w:tcPr>
          <w:p w14:paraId="58571536" w14:textId="77777777" w:rsidR="00ED28E3" w:rsidRPr="00ED28E3" w:rsidRDefault="00ED28E3" w:rsidP="00ED28E3">
            <w:pPr>
              <w:jc w:val="both"/>
              <w:rPr>
                <w:rFonts w:ascii="Book Antiqua" w:eastAsia="Times New Roman" w:hAnsi="Book Antiqua" w:cs="Calibri"/>
                <w:color w:val="000000"/>
                <w:lang w:eastAsia="zh-CN"/>
              </w:rPr>
            </w:pPr>
            <w:bookmarkStart w:id="15" w:name="RANGE!D178"/>
            <w:r w:rsidRPr="00ED28E3">
              <w:rPr>
                <w:rFonts w:ascii="Book Antiqua" w:eastAsia="Times New Roman" w:hAnsi="Book Antiqua" w:cs="Calibri"/>
                <w:color w:val="000000"/>
                <w:lang w:eastAsia="zh-CN"/>
              </w:rPr>
              <w:t>Invasion of celiac plexus</w:t>
            </w:r>
            <w:bookmarkEnd w:id="15"/>
          </w:p>
        </w:tc>
        <w:tc>
          <w:tcPr>
            <w:tcW w:w="0" w:type="auto"/>
            <w:shd w:val="clear" w:color="auto" w:fill="auto"/>
            <w:vAlign w:val="center"/>
            <w:hideMark/>
          </w:tcPr>
          <w:p w14:paraId="1FD5B021" w14:textId="77777777" w:rsidR="00ED28E3" w:rsidRPr="00ED28E3" w:rsidRDefault="00ED28E3" w:rsidP="00ED28E3">
            <w:pPr>
              <w:jc w:val="both"/>
              <w:rPr>
                <w:rFonts w:ascii="Book Antiqua" w:eastAsia="Times New Roman" w:hAnsi="Book Antiqua" w:cs="Calibri"/>
                <w:color w:val="000000"/>
                <w:lang w:eastAsia="zh-CN"/>
              </w:rPr>
            </w:pPr>
            <w:bookmarkStart w:id="16" w:name="RANGE!E178"/>
            <w:r w:rsidRPr="00ED28E3">
              <w:rPr>
                <w:rFonts w:ascii="Book Antiqua" w:eastAsia="Times New Roman" w:hAnsi="Book Antiqua" w:cs="Calibri"/>
                <w:color w:val="000000"/>
                <w:lang w:eastAsia="zh-CN"/>
              </w:rPr>
              <w:t>42 (72.4)</w:t>
            </w:r>
            <w:bookmarkEnd w:id="16"/>
          </w:p>
        </w:tc>
      </w:tr>
      <w:tr w:rsidR="00ED28E3" w:rsidRPr="00ED28E3" w14:paraId="4D8B1957" w14:textId="77777777" w:rsidTr="000E4C2C">
        <w:trPr>
          <w:trHeight w:val="936"/>
        </w:trPr>
        <w:tc>
          <w:tcPr>
            <w:tcW w:w="0" w:type="auto"/>
            <w:shd w:val="clear" w:color="auto" w:fill="auto"/>
            <w:vAlign w:val="center"/>
            <w:hideMark/>
          </w:tcPr>
          <w:p w14:paraId="24DBB871" w14:textId="77777777" w:rsidR="00ED28E3" w:rsidRPr="00ED28E3" w:rsidRDefault="00ED28E3" w:rsidP="00ED28E3">
            <w:pPr>
              <w:jc w:val="both"/>
              <w:rPr>
                <w:rFonts w:ascii="Book Antiqua" w:eastAsia="Times New Roman" w:hAnsi="Book Antiqua" w:cs="Calibri"/>
                <w:color w:val="000000"/>
                <w:lang w:eastAsia="zh-CN"/>
              </w:rPr>
            </w:pPr>
            <w:bookmarkStart w:id="17" w:name="RANGE!D179"/>
            <w:r w:rsidRPr="00ED28E3">
              <w:rPr>
                <w:rFonts w:ascii="Book Antiqua" w:eastAsia="Times New Roman" w:hAnsi="Book Antiqua" w:cs="Calibri"/>
                <w:color w:val="000000"/>
                <w:lang w:eastAsia="zh-CN"/>
              </w:rPr>
              <w:t>Distant metastasis</w:t>
            </w:r>
            <w:bookmarkEnd w:id="17"/>
          </w:p>
        </w:tc>
        <w:tc>
          <w:tcPr>
            <w:tcW w:w="0" w:type="auto"/>
            <w:shd w:val="clear" w:color="auto" w:fill="auto"/>
            <w:vAlign w:val="center"/>
            <w:hideMark/>
          </w:tcPr>
          <w:p w14:paraId="1C3F902F"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16 (27.6)</w:t>
            </w:r>
          </w:p>
        </w:tc>
      </w:tr>
      <w:tr w:rsidR="00ED28E3" w:rsidRPr="00ED28E3" w14:paraId="7266C9A0" w14:textId="77777777" w:rsidTr="000E4C2C">
        <w:trPr>
          <w:trHeight w:val="2184"/>
        </w:trPr>
        <w:tc>
          <w:tcPr>
            <w:tcW w:w="0" w:type="auto"/>
            <w:shd w:val="clear" w:color="auto" w:fill="auto"/>
            <w:vAlign w:val="center"/>
            <w:hideMark/>
          </w:tcPr>
          <w:p w14:paraId="6C57F645"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Injected alcohol dose in mL, range (mean)</w:t>
            </w:r>
          </w:p>
        </w:tc>
        <w:tc>
          <w:tcPr>
            <w:tcW w:w="0" w:type="auto"/>
            <w:shd w:val="clear" w:color="auto" w:fill="auto"/>
            <w:vAlign w:val="center"/>
            <w:hideMark/>
          </w:tcPr>
          <w:p w14:paraId="058FA2D7"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 xml:space="preserve">26 (44.8) </w:t>
            </w:r>
          </w:p>
        </w:tc>
      </w:tr>
      <w:tr w:rsidR="00ED28E3" w:rsidRPr="00ED28E3" w14:paraId="64736A88" w14:textId="77777777" w:rsidTr="000E4C2C">
        <w:trPr>
          <w:trHeight w:val="936"/>
        </w:trPr>
        <w:tc>
          <w:tcPr>
            <w:tcW w:w="0" w:type="auto"/>
            <w:shd w:val="clear" w:color="auto" w:fill="auto"/>
            <w:vAlign w:val="center"/>
            <w:hideMark/>
          </w:tcPr>
          <w:p w14:paraId="6C51EFD1"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Procedure method</w:t>
            </w:r>
          </w:p>
        </w:tc>
        <w:tc>
          <w:tcPr>
            <w:tcW w:w="0" w:type="auto"/>
            <w:shd w:val="clear" w:color="auto" w:fill="auto"/>
            <w:vAlign w:val="center"/>
            <w:hideMark/>
          </w:tcPr>
          <w:p w14:paraId="1E6A05F6"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5–20 (10)</w:t>
            </w:r>
          </w:p>
        </w:tc>
      </w:tr>
      <w:tr w:rsidR="00ED28E3" w:rsidRPr="00ED28E3" w14:paraId="347B3C57" w14:textId="77777777" w:rsidTr="000E4C2C">
        <w:trPr>
          <w:trHeight w:val="624"/>
        </w:trPr>
        <w:tc>
          <w:tcPr>
            <w:tcW w:w="0" w:type="auto"/>
            <w:shd w:val="clear" w:color="auto" w:fill="auto"/>
            <w:vAlign w:val="center"/>
            <w:hideMark/>
          </w:tcPr>
          <w:p w14:paraId="3ACADE24"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Unilateral</w:t>
            </w:r>
          </w:p>
        </w:tc>
        <w:tc>
          <w:tcPr>
            <w:tcW w:w="0" w:type="auto"/>
            <w:shd w:val="clear" w:color="auto" w:fill="auto"/>
            <w:vAlign w:val="center"/>
            <w:hideMark/>
          </w:tcPr>
          <w:p w14:paraId="13B8D2CA" w14:textId="77777777" w:rsidR="00ED28E3" w:rsidRPr="00ED28E3" w:rsidRDefault="00ED28E3" w:rsidP="00ED28E3">
            <w:pPr>
              <w:jc w:val="both"/>
              <w:rPr>
                <w:rFonts w:ascii="Book Antiqua" w:eastAsia="Times New Roman" w:hAnsi="Book Antiqua" w:cs="Calibri"/>
                <w:color w:val="000000"/>
                <w:lang w:eastAsia="zh-CN"/>
              </w:rPr>
            </w:pPr>
          </w:p>
        </w:tc>
      </w:tr>
      <w:tr w:rsidR="00ED28E3" w:rsidRPr="00ED28E3" w14:paraId="75362867" w14:textId="77777777" w:rsidTr="000E4C2C">
        <w:trPr>
          <w:trHeight w:val="624"/>
        </w:trPr>
        <w:tc>
          <w:tcPr>
            <w:tcW w:w="0" w:type="auto"/>
            <w:shd w:val="clear" w:color="auto" w:fill="auto"/>
            <w:vAlign w:val="center"/>
            <w:hideMark/>
          </w:tcPr>
          <w:p w14:paraId="76C6AED8"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Bilateral</w:t>
            </w:r>
          </w:p>
        </w:tc>
        <w:tc>
          <w:tcPr>
            <w:tcW w:w="0" w:type="auto"/>
            <w:shd w:val="clear" w:color="auto" w:fill="auto"/>
            <w:vAlign w:val="center"/>
            <w:hideMark/>
          </w:tcPr>
          <w:p w14:paraId="3F2E7B1F"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33 (56.9)</w:t>
            </w:r>
          </w:p>
        </w:tc>
      </w:tr>
      <w:tr w:rsidR="00ED28E3" w:rsidRPr="00ED28E3" w14:paraId="310C6271" w14:textId="77777777" w:rsidTr="000E4C2C">
        <w:trPr>
          <w:trHeight w:val="2184"/>
        </w:trPr>
        <w:tc>
          <w:tcPr>
            <w:tcW w:w="0" w:type="auto"/>
            <w:shd w:val="clear" w:color="auto" w:fill="auto"/>
            <w:vAlign w:val="center"/>
            <w:hideMark/>
          </w:tcPr>
          <w:p w14:paraId="39B8F6F2"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Intra-procedural decrease in heart rate</w:t>
            </w:r>
          </w:p>
        </w:tc>
        <w:tc>
          <w:tcPr>
            <w:tcW w:w="0" w:type="auto"/>
            <w:shd w:val="clear" w:color="auto" w:fill="auto"/>
            <w:vAlign w:val="center"/>
            <w:hideMark/>
          </w:tcPr>
          <w:p w14:paraId="07E681C0"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25 (43.1)</w:t>
            </w:r>
          </w:p>
        </w:tc>
      </w:tr>
      <w:tr w:rsidR="00ED28E3" w:rsidRPr="00ED28E3" w14:paraId="522D4BC8" w14:textId="77777777" w:rsidTr="000E4C2C">
        <w:trPr>
          <w:trHeight w:val="1560"/>
        </w:trPr>
        <w:tc>
          <w:tcPr>
            <w:tcW w:w="0" w:type="auto"/>
            <w:shd w:val="clear" w:color="auto" w:fill="auto"/>
            <w:vAlign w:val="center"/>
            <w:hideMark/>
          </w:tcPr>
          <w:p w14:paraId="43294BAA"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lastRenderedPageBreak/>
              <w:t xml:space="preserve">decrease of ≥ 5 beats for ≥ 10 s </w:t>
            </w:r>
          </w:p>
        </w:tc>
        <w:tc>
          <w:tcPr>
            <w:tcW w:w="0" w:type="auto"/>
            <w:shd w:val="clear" w:color="auto" w:fill="auto"/>
            <w:vAlign w:val="center"/>
            <w:hideMark/>
          </w:tcPr>
          <w:p w14:paraId="22487E98" w14:textId="77777777" w:rsidR="00ED28E3" w:rsidRPr="00ED28E3" w:rsidRDefault="00ED28E3" w:rsidP="00ED28E3">
            <w:pPr>
              <w:jc w:val="both"/>
              <w:rPr>
                <w:rFonts w:ascii="Book Antiqua" w:eastAsia="Times New Roman" w:hAnsi="Book Antiqua" w:cs="Calibri"/>
                <w:color w:val="000000"/>
                <w:lang w:eastAsia="zh-CN"/>
              </w:rPr>
            </w:pPr>
          </w:p>
        </w:tc>
      </w:tr>
      <w:tr w:rsidR="00ED28E3" w:rsidRPr="00ED28E3" w14:paraId="5E6EED16" w14:textId="77777777" w:rsidTr="000E4C2C">
        <w:trPr>
          <w:trHeight w:val="636"/>
        </w:trPr>
        <w:tc>
          <w:tcPr>
            <w:tcW w:w="0" w:type="auto"/>
            <w:shd w:val="clear" w:color="auto" w:fill="auto"/>
            <w:hideMark/>
          </w:tcPr>
          <w:p w14:paraId="2EC12B32" w14:textId="77777777" w:rsidR="00ED28E3" w:rsidRPr="00ED28E3" w:rsidRDefault="00ED28E3" w:rsidP="00ED28E3">
            <w:pPr>
              <w:rPr>
                <w:rFonts w:ascii="Calibri" w:eastAsia="Times New Roman" w:hAnsi="Calibri" w:cs="Calibri"/>
                <w:color w:val="000000"/>
                <w:sz w:val="22"/>
                <w:szCs w:val="22"/>
                <w:lang w:eastAsia="zh-CN"/>
              </w:rPr>
            </w:pPr>
            <w:r w:rsidRPr="00ED28E3">
              <w:rPr>
                <w:rFonts w:ascii="Calibri" w:eastAsia="Times New Roman" w:hAnsi="Calibri" w:cs="Calibri"/>
                <w:color w:val="000000"/>
                <w:sz w:val="22"/>
                <w:szCs w:val="22"/>
                <w:lang w:eastAsia="zh-CN"/>
              </w:rPr>
              <w:t> </w:t>
            </w:r>
          </w:p>
        </w:tc>
        <w:tc>
          <w:tcPr>
            <w:tcW w:w="0" w:type="auto"/>
            <w:shd w:val="clear" w:color="auto" w:fill="auto"/>
            <w:vAlign w:val="center"/>
            <w:hideMark/>
          </w:tcPr>
          <w:p w14:paraId="43A2FA73"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 xml:space="preserve">48 (82.8) </w:t>
            </w:r>
          </w:p>
        </w:tc>
      </w:tr>
    </w:tbl>
    <w:p w14:paraId="76D97741"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 xml:space="preserve">EUS-CPN: </w:t>
      </w:r>
      <w:bookmarkStart w:id="18" w:name="_Hlk53596631"/>
      <w:r>
        <w:rPr>
          <w:rFonts w:ascii="Book Antiqua" w:hAnsi="Book Antiqua"/>
          <w:color w:val="000000" w:themeColor="text1"/>
        </w:rPr>
        <w:t>E</w:t>
      </w:r>
      <w:r w:rsidRPr="00B94601">
        <w:rPr>
          <w:rFonts w:ascii="Book Antiqua" w:hAnsi="Book Antiqua"/>
          <w:color w:val="000000" w:themeColor="text1"/>
        </w:rPr>
        <w:t>ndoscopic ultrasound-guided celiac plexus neurolysis</w:t>
      </w:r>
      <w:bookmarkEnd w:id="18"/>
      <w:r w:rsidRPr="00B94601">
        <w:rPr>
          <w:rFonts w:ascii="Book Antiqua" w:hAnsi="Book Antiqua"/>
          <w:color w:val="000000" w:themeColor="text1"/>
        </w:rPr>
        <w:t xml:space="preserve">; VAS: </w:t>
      </w:r>
      <w:r>
        <w:rPr>
          <w:rFonts w:ascii="Book Antiqua" w:hAnsi="Book Antiqua"/>
          <w:color w:val="000000" w:themeColor="text1"/>
        </w:rPr>
        <w:t>V</w:t>
      </w:r>
      <w:r w:rsidRPr="00B94601">
        <w:rPr>
          <w:rFonts w:ascii="Book Antiqua" w:hAnsi="Book Antiqua"/>
          <w:color w:val="000000" w:themeColor="text1"/>
        </w:rPr>
        <w:t xml:space="preserve">isual analog scale. </w:t>
      </w:r>
    </w:p>
    <w:p w14:paraId="0FC0DFCB"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br w:type="page"/>
      </w:r>
    </w:p>
    <w:p w14:paraId="755626DD" w14:textId="77777777" w:rsidR="00CD114C" w:rsidRDefault="00CD114C" w:rsidP="00CD114C">
      <w:pPr>
        <w:adjustRightInd w:val="0"/>
        <w:snapToGrid w:val="0"/>
        <w:spacing w:line="360" w:lineRule="auto"/>
        <w:jc w:val="both"/>
        <w:rPr>
          <w:rFonts w:ascii="Book Antiqua" w:hAnsi="Book Antiqua"/>
          <w:b/>
          <w:bCs/>
          <w:color w:val="000000" w:themeColor="text1"/>
          <w:lang w:eastAsia="zh-CN"/>
        </w:rPr>
      </w:pPr>
      <w:r w:rsidRPr="00B94601">
        <w:rPr>
          <w:rFonts w:ascii="Book Antiqua" w:hAnsi="Book Antiqua"/>
          <w:b/>
          <w:color w:val="000000" w:themeColor="text1"/>
        </w:rPr>
        <w:lastRenderedPageBreak/>
        <w:t>Table 2</w:t>
      </w:r>
      <w:r w:rsidRPr="00B94601">
        <w:rPr>
          <w:rFonts w:ascii="Book Antiqua" w:hAnsi="Book Antiqua"/>
          <w:b/>
          <w:bCs/>
          <w:color w:val="000000" w:themeColor="text1"/>
        </w:rPr>
        <w:t xml:space="preserve"> Univariable analysis of variables associated with pain response after 1 wk in the enrolled cohort of 58 patients</w:t>
      </w:r>
    </w:p>
    <w:tbl>
      <w:tblPr>
        <w:tblW w:w="0" w:type="auto"/>
        <w:tblInd w:w="108" w:type="dxa"/>
        <w:tblBorders>
          <w:top w:val="single" w:sz="4" w:space="0" w:color="auto"/>
          <w:bottom w:val="single" w:sz="4" w:space="0" w:color="auto"/>
        </w:tblBorders>
        <w:tblLook w:val="04A0" w:firstRow="1" w:lastRow="0" w:firstColumn="1" w:lastColumn="0" w:noHBand="0" w:noVBand="1"/>
      </w:tblPr>
      <w:tblGrid>
        <w:gridCol w:w="4838"/>
        <w:gridCol w:w="756"/>
        <w:gridCol w:w="1296"/>
        <w:gridCol w:w="1037"/>
      </w:tblGrid>
      <w:tr w:rsidR="00ED28E3" w:rsidRPr="00ED28E3" w14:paraId="15368021" w14:textId="77777777" w:rsidTr="000E4C2C">
        <w:trPr>
          <w:trHeight w:val="1260"/>
        </w:trPr>
        <w:tc>
          <w:tcPr>
            <w:tcW w:w="0" w:type="auto"/>
            <w:tcBorders>
              <w:top w:val="single" w:sz="4" w:space="0" w:color="auto"/>
              <w:bottom w:val="single" w:sz="4" w:space="0" w:color="auto"/>
            </w:tcBorders>
            <w:shd w:val="clear" w:color="000000" w:fill="FFFFFF"/>
            <w:vAlign w:val="center"/>
            <w:hideMark/>
          </w:tcPr>
          <w:p w14:paraId="01F0094D" w14:textId="77777777" w:rsidR="00ED28E3" w:rsidRPr="00ED28E3" w:rsidRDefault="00ED28E3" w:rsidP="00ED28E3">
            <w:pPr>
              <w:jc w:val="both"/>
              <w:rPr>
                <w:rFonts w:ascii="Book Antiqua" w:eastAsia="Times New Roman" w:hAnsi="Book Antiqua" w:cs="Calibri"/>
                <w:b/>
                <w:bCs/>
                <w:color w:val="000000"/>
                <w:lang w:eastAsia="zh-CN"/>
              </w:rPr>
            </w:pPr>
            <w:bookmarkStart w:id="19" w:name="RANGE!D139"/>
            <w:r w:rsidRPr="00ED28E3">
              <w:rPr>
                <w:rFonts w:ascii="Book Antiqua" w:eastAsia="Times New Roman" w:hAnsi="Book Antiqua" w:cs="Calibri"/>
                <w:b/>
                <w:bCs/>
                <w:color w:val="000000" w:themeColor="text1"/>
                <w:lang w:eastAsia="zh-CN"/>
              </w:rPr>
              <w:t xml:space="preserve">Independent variables                      </w:t>
            </w:r>
            <w:bookmarkEnd w:id="19"/>
          </w:p>
        </w:tc>
        <w:tc>
          <w:tcPr>
            <w:tcW w:w="0" w:type="auto"/>
            <w:tcBorders>
              <w:top w:val="single" w:sz="4" w:space="0" w:color="auto"/>
              <w:bottom w:val="single" w:sz="4" w:space="0" w:color="auto"/>
            </w:tcBorders>
            <w:shd w:val="clear" w:color="000000" w:fill="FFFFFF"/>
            <w:vAlign w:val="center"/>
            <w:hideMark/>
          </w:tcPr>
          <w:p w14:paraId="70A16DC4" w14:textId="77777777" w:rsidR="00ED28E3" w:rsidRPr="00ED28E3" w:rsidRDefault="00ED28E3" w:rsidP="00ED28E3">
            <w:pPr>
              <w:jc w:val="both"/>
              <w:rPr>
                <w:rFonts w:ascii="Book Antiqua" w:eastAsia="Times New Roman" w:hAnsi="Book Antiqua" w:cs="Calibri"/>
                <w:b/>
                <w:bCs/>
                <w:color w:val="000000"/>
                <w:lang w:eastAsia="zh-CN"/>
              </w:rPr>
            </w:pPr>
            <w:r w:rsidRPr="00ED28E3">
              <w:rPr>
                <w:rFonts w:ascii="Book Antiqua" w:eastAsia="Times New Roman" w:hAnsi="Book Antiqua" w:cs="Calibri"/>
                <w:b/>
                <w:bCs/>
                <w:color w:val="000000" w:themeColor="text1"/>
                <w:lang w:eastAsia="zh-CN"/>
              </w:rPr>
              <w:t>OR</w:t>
            </w:r>
          </w:p>
        </w:tc>
        <w:tc>
          <w:tcPr>
            <w:tcW w:w="0" w:type="auto"/>
            <w:tcBorders>
              <w:top w:val="single" w:sz="4" w:space="0" w:color="auto"/>
              <w:bottom w:val="single" w:sz="4" w:space="0" w:color="auto"/>
            </w:tcBorders>
            <w:shd w:val="clear" w:color="000000" w:fill="FFFFFF"/>
            <w:vAlign w:val="center"/>
            <w:hideMark/>
          </w:tcPr>
          <w:p w14:paraId="7BFCEB24" w14:textId="77777777" w:rsidR="00ED28E3" w:rsidRPr="00ED28E3" w:rsidRDefault="00ED28E3" w:rsidP="00ED28E3">
            <w:pPr>
              <w:jc w:val="both"/>
              <w:rPr>
                <w:rFonts w:ascii="Book Antiqua" w:eastAsia="Times New Roman" w:hAnsi="Book Antiqua" w:cs="Calibri"/>
                <w:b/>
                <w:bCs/>
                <w:color w:val="000000"/>
                <w:lang w:eastAsia="zh-CN"/>
              </w:rPr>
            </w:pPr>
            <w:r w:rsidRPr="00ED28E3">
              <w:rPr>
                <w:rFonts w:ascii="Book Antiqua" w:eastAsia="Times New Roman" w:hAnsi="Book Antiqua" w:cs="Calibri"/>
                <w:b/>
                <w:bCs/>
                <w:color w:val="000000" w:themeColor="text1"/>
                <w:lang w:eastAsia="zh-CN"/>
              </w:rPr>
              <w:t>95%CI</w:t>
            </w:r>
          </w:p>
        </w:tc>
        <w:tc>
          <w:tcPr>
            <w:tcW w:w="0" w:type="auto"/>
            <w:tcBorders>
              <w:top w:val="single" w:sz="4" w:space="0" w:color="auto"/>
              <w:bottom w:val="single" w:sz="4" w:space="0" w:color="auto"/>
            </w:tcBorders>
            <w:shd w:val="clear" w:color="000000" w:fill="FFFFFF"/>
            <w:vAlign w:val="center"/>
            <w:hideMark/>
          </w:tcPr>
          <w:p w14:paraId="30D5CD6C" w14:textId="77777777" w:rsidR="00ED28E3" w:rsidRPr="00ED28E3" w:rsidRDefault="00ED28E3" w:rsidP="00ED28E3">
            <w:pPr>
              <w:jc w:val="both"/>
              <w:rPr>
                <w:rFonts w:ascii="Book Antiqua" w:eastAsia="Times New Roman" w:hAnsi="Book Antiqua" w:cs="Calibri"/>
                <w:b/>
                <w:bCs/>
                <w:i/>
                <w:iCs/>
                <w:color w:val="000000"/>
                <w:lang w:eastAsia="zh-CN"/>
              </w:rPr>
            </w:pPr>
            <w:r w:rsidRPr="00ED28E3">
              <w:rPr>
                <w:rFonts w:ascii="Book Antiqua" w:eastAsia="Times New Roman" w:hAnsi="Book Antiqua" w:cs="Calibri"/>
                <w:b/>
                <w:bCs/>
                <w:i/>
                <w:iCs/>
                <w:color w:val="000000" w:themeColor="text1"/>
                <w:lang w:eastAsia="zh-CN"/>
              </w:rPr>
              <w:t>P</w:t>
            </w:r>
            <w:r w:rsidRPr="00ED28E3">
              <w:rPr>
                <w:rFonts w:ascii="Book Antiqua" w:eastAsia="Times New Roman" w:hAnsi="Book Antiqua" w:cs="Calibri"/>
                <w:b/>
                <w:bCs/>
                <w:color w:val="000000"/>
                <w:lang w:eastAsia="zh-CN"/>
              </w:rPr>
              <w:t xml:space="preserve"> value</w:t>
            </w:r>
          </w:p>
        </w:tc>
      </w:tr>
      <w:tr w:rsidR="00ED28E3" w:rsidRPr="00ED28E3" w14:paraId="69E548C4" w14:textId="77777777" w:rsidTr="000E4C2C">
        <w:trPr>
          <w:trHeight w:val="624"/>
        </w:trPr>
        <w:tc>
          <w:tcPr>
            <w:tcW w:w="0" w:type="auto"/>
            <w:tcBorders>
              <w:top w:val="single" w:sz="4" w:space="0" w:color="auto"/>
            </w:tcBorders>
            <w:shd w:val="clear" w:color="auto" w:fill="auto"/>
            <w:vAlign w:val="center"/>
            <w:hideMark/>
          </w:tcPr>
          <w:p w14:paraId="66DE27EF"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 xml:space="preserve">Age in </w:t>
            </w:r>
            <w:proofErr w:type="spellStart"/>
            <w:r w:rsidRPr="00ED28E3">
              <w:rPr>
                <w:rFonts w:ascii="Book Antiqua" w:eastAsia="Times New Roman" w:hAnsi="Book Antiqua" w:cs="Calibri"/>
                <w:color w:val="000000" w:themeColor="text1"/>
                <w:lang w:eastAsia="zh-CN"/>
              </w:rPr>
              <w:t>yr</w:t>
            </w:r>
            <w:proofErr w:type="spellEnd"/>
            <w:r w:rsidRPr="00ED28E3">
              <w:rPr>
                <w:rFonts w:ascii="Book Antiqua" w:eastAsia="Times New Roman" w:hAnsi="Book Antiqua" w:cs="Calibri"/>
                <w:color w:val="000000" w:themeColor="text1"/>
                <w:lang w:eastAsia="zh-CN"/>
              </w:rPr>
              <w:t xml:space="preserve">                         </w:t>
            </w:r>
          </w:p>
        </w:tc>
        <w:tc>
          <w:tcPr>
            <w:tcW w:w="0" w:type="auto"/>
            <w:tcBorders>
              <w:top w:val="single" w:sz="4" w:space="0" w:color="auto"/>
            </w:tcBorders>
            <w:shd w:val="clear" w:color="auto" w:fill="auto"/>
            <w:vAlign w:val="center"/>
            <w:hideMark/>
          </w:tcPr>
          <w:p w14:paraId="73AEF3A2"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1.084</w:t>
            </w:r>
          </w:p>
        </w:tc>
        <w:tc>
          <w:tcPr>
            <w:tcW w:w="0" w:type="auto"/>
            <w:tcBorders>
              <w:top w:val="single" w:sz="4" w:space="0" w:color="auto"/>
            </w:tcBorders>
            <w:shd w:val="clear" w:color="auto" w:fill="auto"/>
            <w:vAlign w:val="center"/>
            <w:hideMark/>
          </w:tcPr>
          <w:p w14:paraId="19C578B4"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0.60-3.88</w:t>
            </w:r>
          </w:p>
        </w:tc>
        <w:tc>
          <w:tcPr>
            <w:tcW w:w="0" w:type="auto"/>
            <w:tcBorders>
              <w:top w:val="single" w:sz="4" w:space="0" w:color="auto"/>
            </w:tcBorders>
            <w:shd w:val="clear" w:color="auto" w:fill="auto"/>
            <w:vAlign w:val="center"/>
            <w:hideMark/>
          </w:tcPr>
          <w:p w14:paraId="47B445C4"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0.212</w:t>
            </w:r>
          </w:p>
        </w:tc>
      </w:tr>
      <w:tr w:rsidR="00ED28E3" w:rsidRPr="00ED28E3" w14:paraId="18B123C8" w14:textId="77777777" w:rsidTr="000E4C2C">
        <w:trPr>
          <w:trHeight w:val="1248"/>
        </w:trPr>
        <w:tc>
          <w:tcPr>
            <w:tcW w:w="0" w:type="auto"/>
            <w:shd w:val="clear" w:color="auto" w:fill="auto"/>
            <w:vAlign w:val="center"/>
            <w:hideMark/>
          </w:tcPr>
          <w:p w14:paraId="1C257BDE"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 xml:space="preserve">Gender, female/male                     </w:t>
            </w:r>
          </w:p>
        </w:tc>
        <w:tc>
          <w:tcPr>
            <w:tcW w:w="0" w:type="auto"/>
            <w:shd w:val="clear" w:color="auto" w:fill="auto"/>
            <w:vAlign w:val="center"/>
            <w:hideMark/>
          </w:tcPr>
          <w:p w14:paraId="650DC65E"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1.39</w:t>
            </w:r>
          </w:p>
        </w:tc>
        <w:tc>
          <w:tcPr>
            <w:tcW w:w="0" w:type="auto"/>
            <w:shd w:val="clear" w:color="auto" w:fill="auto"/>
            <w:vAlign w:val="center"/>
            <w:hideMark/>
          </w:tcPr>
          <w:p w14:paraId="5C7FF25E"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0.43-3.79</w:t>
            </w:r>
          </w:p>
        </w:tc>
        <w:tc>
          <w:tcPr>
            <w:tcW w:w="0" w:type="auto"/>
            <w:shd w:val="clear" w:color="auto" w:fill="auto"/>
            <w:vAlign w:val="center"/>
            <w:hideMark/>
          </w:tcPr>
          <w:p w14:paraId="3381E168"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0.64</w:t>
            </w:r>
          </w:p>
        </w:tc>
      </w:tr>
      <w:tr w:rsidR="00ED28E3" w:rsidRPr="00ED28E3" w14:paraId="2A163152" w14:textId="77777777" w:rsidTr="000E4C2C">
        <w:trPr>
          <w:trHeight w:val="624"/>
        </w:trPr>
        <w:tc>
          <w:tcPr>
            <w:tcW w:w="0" w:type="auto"/>
            <w:shd w:val="clear" w:color="auto" w:fill="auto"/>
            <w:vAlign w:val="center"/>
            <w:hideMark/>
          </w:tcPr>
          <w:p w14:paraId="5EB670B1"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 xml:space="preserve">Symptom                 </w:t>
            </w:r>
          </w:p>
        </w:tc>
        <w:tc>
          <w:tcPr>
            <w:tcW w:w="0" w:type="auto"/>
            <w:shd w:val="clear" w:color="auto" w:fill="auto"/>
            <w:vAlign w:val="center"/>
            <w:hideMark/>
          </w:tcPr>
          <w:p w14:paraId="180E299E" w14:textId="77777777" w:rsidR="00ED28E3" w:rsidRPr="00ED28E3" w:rsidRDefault="00ED28E3" w:rsidP="00ED28E3">
            <w:pPr>
              <w:jc w:val="both"/>
              <w:rPr>
                <w:rFonts w:ascii="Book Antiqua" w:eastAsia="Times New Roman" w:hAnsi="Book Antiqua" w:cs="Calibri"/>
                <w:color w:val="000000"/>
                <w:lang w:eastAsia="zh-CN"/>
              </w:rPr>
            </w:pPr>
          </w:p>
        </w:tc>
        <w:tc>
          <w:tcPr>
            <w:tcW w:w="0" w:type="auto"/>
            <w:shd w:val="clear" w:color="auto" w:fill="auto"/>
            <w:vAlign w:val="center"/>
            <w:hideMark/>
          </w:tcPr>
          <w:p w14:paraId="725F5AC7" w14:textId="77777777" w:rsidR="00ED28E3" w:rsidRPr="00ED28E3" w:rsidRDefault="00ED28E3" w:rsidP="00ED28E3">
            <w:pPr>
              <w:jc w:val="both"/>
              <w:rPr>
                <w:rFonts w:ascii="Book Antiqua" w:eastAsia="Times New Roman" w:hAnsi="Book Antiqua" w:cs="Calibri"/>
                <w:color w:val="000000"/>
                <w:lang w:eastAsia="zh-CN"/>
              </w:rPr>
            </w:pPr>
          </w:p>
        </w:tc>
        <w:tc>
          <w:tcPr>
            <w:tcW w:w="0" w:type="auto"/>
            <w:shd w:val="clear" w:color="auto" w:fill="auto"/>
            <w:vAlign w:val="center"/>
            <w:hideMark/>
          </w:tcPr>
          <w:p w14:paraId="4F2A6FF7" w14:textId="77777777" w:rsidR="00ED28E3" w:rsidRPr="00ED28E3" w:rsidRDefault="00ED28E3" w:rsidP="00ED28E3">
            <w:pPr>
              <w:jc w:val="both"/>
              <w:rPr>
                <w:rFonts w:ascii="Book Antiqua" w:eastAsia="Times New Roman" w:hAnsi="Book Antiqua" w:cs="Calibri"/>
                <w:color w:val="000000"/>
                <w:lang w:eastAsia="zh-CN"/>
              </w:rPr>
            </w:pPr>
          </w:p>
        </w:tc>
      </w:tr>
      <w:tr w:rsidR="00ED28E3" w:rsidRPr="00ED28E3" w14:paraId="08CCC150" w14:textId="77777777" w:rsidTr="000E4C2C">
        <w:trPr>
          <w:trHeight w:val="2496"/>
        </w:trPr>
        <w:tc>
          <w:tcPr>
            <w:tcW w:w="0" w:type="auto"/>
            <w:shd w:val="clear" w:color="auto" w:fill="auto"/>
            <w:vAlign w:val="center"/>
            <w:hideMark/>
          </w:tcPr>
          <w:p w14:paraId="306EE16B"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 xml:space="preserve">Abdominal pain concomitant with jaundice         </w:t>
            </w:r>
          </w:p>
        </w:tc>
        <w:tc>
          <w:tcPr>
            <w:tcW w:w="0" w:type="auto"/>
            <w:shd w:val="clear" w:color="auto" w:fill="auto"/>
            <w:vAlign w:val="center"/>
            <w:hideMark/>
          </w:tcPr>
          <w:p w14:paraId="28CA9C6A"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1.29</w:t>
            </w:r>
          </w:p>
        </w:tc>
        <w:tc>
          <w:tcPr>
            <w:tcW w:w="0" w:type="auto"/>
            <w:shd w:val="clear" w:color="auto" w:fill="auto"/>
            <w:vAlign w:val="center"/>
            <w:hideMark/>
          </w:tcPr>
          <w:p w14:paraId="7FDF607A"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0.53–3.26</w:t>
            </w:r>
          </w:p>
        </w:tc>
        <w:tc>
          <w:tcPr>
            <w:tcW w:w="0" w:type="auto"/>
            <w:shd w:val="clear" w:color="auto" w:fill="auto"/>
            <w:vAlign w:val="center"/>
            <w:hideMark/>
          </w:tcPr>
          <w:p w14:paraId="37851D95"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0.581</w:t>
            </w:r>
          </w:p>
        </w:tc>
      </w:tr>
      <w:tr w:rsidR="00ED28E3" w:rsidRPr="00ED28E3" w14:paraId="34EF89B0" w14:textId="77777777" w:rsidTr="000E4C2C">
        <w:trPr>
          <w:trHeight w:val="1248"/>
        </w:trPr>
        <w:tc>
          <w:tcPr>
            <w:tcW w:w="0" w:type="auto"/>
            <w:shd w:val="clear" w:color="auto" w:fill="auto"/>
            <w:vAlign w:val="center"/>
            <w:hideMark/>
          </w:tcPr>
          <w:p w14:paraId="3220C7EB"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 xml:space="preserve">Tumor largest dimension                   </w:t>
            </w:r>
          </w:p>
        </w:tc>
        <w:tc>
          <w:tcPr>
            <w:tcW w:w="0" w:type="auto"/>
            <w:shd w:val="clear" w:color="auto" w:fill="auto"/>
            <w:vAlign w:val="center"/>
            <w:hideMark/>
          </w:tcPr>
          <w:p w14:paraId="2EA26281"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1.32</w:t>
            </w:r>
          </w:p>
        </w:tc>
        <w:tc>
          <w:tcPr>
            <w:tcW w:w="0" w:type="auto"/>
            <w:shd w:val="clear" w:color="auto" w:fill="auto"/>
            <w:vAlign w:val="center"/>
            <w:hideMark/>
          </w:tcPr>
          <w:p w14:paraId="26A9CA6D"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0.45-4.69</w:t>
            </w:r>
          </w:p>
        </w:tc>
        <w:tc>
          <w:tcPr>
            <w:tcW w:w="0" w:type="auto"/>
            <w:shd w:val="clear" w:color="auto" w:fill="auto"/>
            <w:vAlign w:val="center"/>
            <w:hideMark/>
          </w:tcPr>
          <w:p w14:paraId="5AC79016"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0.665</w:t>
            </w:r>
          </w:p>
        </w:tc>
      </w:tr>
      <w:tr w:rsidR="00ED28E3" w:rsidRPr="00ED28E3" w14:paraId="5735B967" w14:textId="77777777" w:rsidTr="000E4C2C">
        <w:trPr>
          <w:trHeight w:val="312"/>
        </w:trPr>
        <w:tc>
          <w:tcPr>
            <w:tcW w:w="0" w:type="auto"/>
            <w:shd w:val="clear" w:color="auto" w:fill="auto"/>
            <w:vAlign w:val="center"/>
            <w:hideMark/>
          </w:tcPr>
          <w:p w14:paraId="6481FBC7"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 xml:space="preserve">Ascites                          </w:t>
            </w:r>
          </w:p>
        </w:tc>
        <w:tc>
          <w:tcPr>
            <w:tcW w:w="0" w:type="auto"/>
            <w:shd w:val="clear" w:color="auto" w:fill="auto"/>
            <w:vAlign w:val="center"/>
            <w:hideMark/>
          </w:tcPr>
          <w:p w14:paraId="69A4EF23"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1.772</w:t>
            </w:r>
          </w:p>
        </w:tc>
        <w:tc>
          <w:tcPr>
            <w:tcW w:w="0" w:type="auto"/>
            <w:shd w:val="clear" w:color="auto" w:fill="auto"/>
            <w:vAlign w:val="center"/>
            <w:hideMark/>
          </w:tcPr>
          <w:p w14:paraId="7776F67E"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0.59–6.84</w:t>
            </w:r>
          </w:p>
        </w:tc>
        <w:tc>
          <w:tcPr>
            <w:tcW w:w="0" w:type="auto"/>
            <w:shd w:val="clear" w:color="auto" w:fill="auto"/>
            <w:vAlign w:val="center"/>
            <w:hideMark/>
          </w:tcPr>
          <w:p w14:paraId="29DB2561"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0.437</w:t>
            </w:r>
          </w:p>
        </w:tc>
      </w:tr>
      <w:tr w:rsidR="00ED28E3" w:rsidRPr="00ED28E3" w14:paraId="2D52F0D4" w14:textId="77777777" w:rsidTr="000E4C2C">
        <w:trPr>
          <w:trHeight w:val="936"/>
        </w:trPr>
        <w:tc>
          <w:tcPr>
            <w:tcW w:w="0" w:type="auto"/>
            <w:shd w:val="clear" w:color="auto" w:fill="auto"/>
            <w:vAlign w:val="center"/>
            <w:hideMark/>
          </w:tcPr>
          <w:p w14:paraId="431682FA"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 xml:space="preserve">Tumor location               </w:t>
            </w:r>
          </w:p>
        </w:tc>
        <w:tc>
          <w:tcPr>
            <w:tcW w:w="0" w:type="auto"/>
            <w:shd w:val="clear" w:color="auto" w:fill="auto"/>
            <w:vAlign w:val="center"/>
            <w:hideMark/>
          </w:tcPr>
          <w:p w14:paraId="51AB9380" w14:textId="77777777" w:rsidR="00ED28E3" w:rsidRPr="00ED28E3" w:rsidRDefault="00ED28E3" w:rsidP="00ED28E3">
            <w:pPr>
              <w:jc w:val="both"/>
              <w:rPr>
                <w:rFonts w:ascii="Book Antiqua" w:eastAsia="Times New Roman" w:hAnsi="Book Antiqua" w:cs="Calibri"/>
                <w:color w:val="000000"/>
                <w:lang w:eastAsia="zh-CN"/>
              </w:rPr>
            </w:pPr>
          </w:p>
        </w:tc>
        <w:tc>
          <w:tcPr>
            <w:tcW w:w="0" w:type="auto"/>
            <w:shd w:val="clear" w:color="auto" w:fill="auto"/>
            <w:vAlign w:val="center"/>
            <w:hideMark/>
          </w:tcPr>
          <w:p w14:paraId="3E4677CE" w14:textId="77777777" w:rsidR="00ED28E3" w:rsidRPr="00ED28E3" w:rsidRDefault="00ED28E3" w:rsidP="00ED28E3">
            <w:pPr>
              <w:jc w:val="both"/>
              <w:rPr>
                <w:rFonts w:ascii="Book Antiqua" w:eastAsia="Times New Roman" w:hAnsi="Book Antiqua" w:cs="Calibri"/>
                <w:color w:val="000000"/>
                <w:lang w:eastAsia="zh-CN"/>
              </w:rPr>
            </w:pPr>
          </w:p>
        </w:tc>
        <w:tc>
          <w:tcPr>
            <w:tcW w:w="0" w:type="auto"/>
            <w:shd w:val="clear" w:color="auto" w:fill="auto"/>
            <w:vAlign w:val="center"/>
            <w:hideMark/>
          </w:tcPr>
          <w:p w14:paraId="306EFFAA" w14:textId="77777777" w:rsidR="00ED28E3" w:rsidRPr="00ED28E3" w:rsidRDefault="00ED28E3" w:rsidP="00ED28E3">
            <w:pPr>
              <w:jc w:val="both"/>
              <w:rPr>
                <w:rFonts w:ascii="Book Antiqua" w:eastAsia="Times New Roman" w:hAnsi="Book Antiqua" w:cs="Calibri"/>
                <w:color w:val="000000"/>
                <w:lang w:eastAsia="zh-CN"/>
              </w:rPr>
            </w:pPr>
          </w:p>
        </w:tc>
      </w:tr>
      <w:tr w:rsidR="00ED28E3" w:rsidRPr="00ED28E3" w14:paraId="6E815CCC" w14:textId="77777777" w:rsidTr="000E4C2C">
        <w:trPr>
          <w:trHeight w:val="1248"/>
        </w:trPr>
        <w:tc>
          <w:tcPr>
            <w:tcW w:w="0" w:type="auto"/>
            <w:shd w:val="clear" w:color="auto" w:fill="auto"/>
            <w:vAlign w:val="center"/>
            <w:hideMark/>
          </w:tcPr>
          <w:p w14:paraId="61EDC736"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 xml:space="preserve">Pancreatic head/neck                     </w:t>
            </w:r>
          </w:p>
        </w:tc>
        <w:tc>
          <w:tcPr>
            <w:tcW w:w="0" w:type="auto"/>
            <w:shd w:val="clear" w:color="auto" w:fill="auto"/>
            <w:vAlign w:val="center"/>
            <w:hideMark/>
          </w:tcPr>
          <w:p w14:paraId="7A00466B"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2.071</w:t>
            </w:r>
          </w:p>
        </w:tc>
        <w:tc>
          <w:tcPr>
            <w:tcW w:w="0" w:type="auto"/>
            <w:shd w:val="clear" w:color="auto" w:fill="auto"/>
            <w:vAlign w:val="center"/>
            <w:hideMark/>
          </w:tcPr>
          <w:p w14:paraId="779A74F9"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0.60-7.09</w:t>
            </w:r>
          </w:p>
        </w:tc>
        <w:tc>
          <w:tcPr>
            <w:tcW w:w="0" w:type="auto"/>
            <w:shd w:val="clear" w:color="auto" w:fill="auto"/>
            <w:vAlign w:val="center"/>
            <w:hideMark/>
          </w:tcPr>
          <w:p w14:paraId="7B866944"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0.232</w:t>
            </w:r>
          </w:p>
        </w:tc>
      </w:tr>
      <w:tr w:rsidR="00ED28E3" w:rsidRPr="00ED28E3" w14:paraId="6ED279A3" w14:textId="77777777" w:rsidTr="000E4C2C">
        <w:trPr>
          <w:trHeight w:val="1248"/>
        </w:trPr>
        <w:tc>
          <w:tcPr>
            <w:tcW w:w="0" w:type="auto"/>
            <w:shd w:val="clear" w:color="auto" w:fill="auto"/>
            <w:vAlign w:val="center"/>
            <w:hideMark/>
          </w:tcPr>
          <w:p w14:paraId="73D1EB21" w14:textId="77777777" w:rsidR="00ED28E3" w:rsidRPr="00ED28E3" w:rsidRDefault="00ED28E3" w:rsidP="00ED28E3">
            <w:pPr>
              <w:jc w:val="both"/>
              <w:rPr>
                <w:rFonts w:ascii="Book Antiqua" w:eastAsia="Times New Roman" w:hAnsi="Book Antiqua" w:cs="Calibri"/>
                <w:color w:val="000000"/>
                <w:lang w:eastAsia="zh-CN"/>
              </w:rPr>
            </w:pPr>
            <w:bookmarkStart w:id="20" w:name="RANGE!D148"/>
            <w:r w:rsidRPr="00ED28E3">
              <w:rPr>
                <w:rFonts w:ascii="Book Antiqua" w:eastAsia="Times New Roman" w:hAnsi="Book Antiqua" w:cs="Calibri"/>
                <w:color w:val="000000" w:themeColor="text1"/>
                <w:lang w:eastAsia="zh-CN"/>
              </w:rPr>
              <w:t xml:space="preserve">Pancreatic body/tail                    </w:t>
            </w:r>
            <w:bookmarkEnd w:id="20"/>
          </w:p>
        </w:tc>
        <w:tc>
          <w:tcPr>
            <w:tcW w:w="0" w:type="auto"/>
            <w:shd w:val="clear" w:color="auto" w:fill="auto"/>
            <w:vAlign w:val="center"/>
            <w:hideMark/>
          </w:tcPr>
          <w:p w14:paraId="573635EA"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0.617</w:t>
            </w:r>
          </w:p>
        </w:tc>
        <w:tc>
          <w:tcPr>
            <w:tcW w:w="0" w:type="auto"/>
            <w:shd w:val="clear" w:color="auto" w:fill="auto"/>
            <w:vAlign w:val="center"/>
            <w:hideMark/>
          </w:tcPr>
          <w:p w14:paraId="55BF459F"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0.65-10.40</w:t>
            </w:r>
          </w:p>
        </w:tc>
        <w:tc>
          <w:tcPr>
            <w:tcW w:w="0" w:type="auto"/>
            <w:shd w:val="clear" w:color="auto" w:fill="auto"/>
            <w:vAlign w:val="center"/>
            <w:hideMark/>
          </w:tcPr>
          <w:p w14:paraId="25DEC905"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0.094</w:t>
            </w:r>
          </w:p>
        </w:tc>
      </w:tr>
      <w:tr w:rsidR="00ED28E3" w:rsidRPr="00ED28E3" w14:paraId="6BB71AC0" w14:textId="77777777" w:rsidTr="000E4C2C">
        <w:trPr>
          <w:trHeight w:val="936"/>
        </w:trPr>
        <w:tc>
          <w:tcPr>
            <w:tcW w:w="0" w:type="auto"/>
            <w:shd w:val="clear" w:color="auto" w:fill="auto"/>
            <w:vAlign w:val="center"/>
            <w:hideMark/>
          </w:tcPr>
          <w:p w14:paraId="1B916498"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lastRenderedPageBreak/>
              <w:t xml:space="preserve">Initial VAS score                      </w:t>
            </w:r>
          </w:p>
        </w:tc>
        <w:tc>
          <w:tcPr>
            <w:tcW w:w="0" w:type="auto"/>
            <w:shd w:val="clear" w:color="auto" w:fill="auto"/>
            <w:vAlign w:val="center"/>
            <w:hideMark/>
          </w:tcPr>
          <w:p w14:paraId="33CCD0CB"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2.231</w:t>
            </w:r>
          </w:p>
        </w:tc>
        <w:tc>
          <w:tcPr>
            <w:tcW w:w="0" w:type="auto"/>
            <w:shd w:val="clear" w:color="auto" w:fill="auto"/>
            <w:vAlign w:val="center"/>
            <w:hideMark/>
          </w:tcPr>
          <w:p w14:paraId="5372D0B7"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0.76-5.41</w:t>
            </w:r>
          </w:p>
        </w:tc>
        <w:tc>
          <w:tcPr>
            <w:tcW w:w="0" w:type="auto"/>
            <w:shd w:val="clear" w:color="auto" w:fill="auto"/>
            <w:vAlign w:val="center"/>
            <w:hideMark/>
          </w:tcPr>
          <w:p w14:paraId="76BDD591"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0.132</w:t>
            </w:r>
          </w:p>
        </w:tc>
      </w:tr>
      <w:tr w:rsidR="00ED28E3" w:rsidRPr="00ED28E3" w14:paraId="679664E9" w14:textId="77777777" w:rsidTr="000E4C2C">
        <w:trPr>
          <w:trHeight w:val="1560"/>
        </w:trPr>
        <w:tc>
          <w:tcPr>
            <w:tcW w:w="0" w:type="auto"/>
            <w:shd w:val="clear" w:color="auto" w:fill="auto"/>
            <w:vAlign w:val="center"/>
            <w:hideMark/>
          </w:tcPr>
          <w:p w14:paraId="6A8A3A59"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 xml:space="preserve">Tramadol use before EUS-CPN                 </w:t>
            </w:r>
          </w:p>
        </w:tc>
        <w:tc>
          <w:tcPr>
            <w:tcW w:w="0" w:type="auto"/>
            <w:shd w:val="clear" w:color="auto" w:fill="auto"/>
            <w:vAlign w:val="center"/>
            <w:hideMark/>
          </w:tcPr>
          <w:p w14:paraId="53ED5940"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1.339</w:t>
            </w:r>
          </w:p>
        </w:tc>
        <w:tc>
          <w:tcPr>
            <w:tcW w:w="0" w:type="auto"/>
            <w:shd w:val="clear" w:color="auto" w:fill="auto"/>
            <w:vAlign w:val="center"/>
            <w:hideMark/>
          </w:tcPr>
          <w:p w14:paraId="5385BBD3"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0.54-15.39</w:t>
            </w:r>
          </w:p>
        </w:tc>
        <w:tc>
          <w:tcPr>
            <w:tcW w:w="0" w:type="auto"/>
            <w:shd w:val="clear" w:color="auto" w:fill="auto"/>
            <w:vAlign w:val="center"/>
            <w:hideMark/>
          </w:tcPr>
          <w:p w14:paraId="4C8363BF"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0.327</w:t>
            </w:r>
          </w:p>
        </w:tc>
      </w:tr>
      <w:tr w:rsidR="00ED28E3" w:rsidRPr="00ED28E3" w14:paraId="0B26FBD5" w14:textId="77777777" w:rsidTr="000E4C2C">
        <w:trPr>
          <w:trHeight w:val="936"/>
        </w:trPr>
        <w:tc>
          <w:tcPr>
            <w:tcW w:w="0" w:type="auto"/>
            <w:shd w:val="clear" w:color="auto" w:fill="auto"/>
            <w:vAlign w:val="center"/>
            <w:hideMark/>
          </w:tcPr>
          <w:p w14:paraId="0FAA2646" w14:textId="77777777" w:rsidR="00ED28E3" w:rsidRPr="00ED28E3" w:rsidRDefault="00ED28E3" w:rsidP="00ED28E3">
            <w:pPr>
              <w:jc w:val="both"/>
              <w:rPr>
                <w:rFonts w:ascii="Book Antiqua" w:eastAsia="Times New Roman" w:hAnsi="Book Antiqua" w:cs="Calibri"/>
                <w:color w:val="000000"/>
                <w:lang w:eastAsia="zh-CN"/>
              </w:rPr>
            </w:pPr>
            <w:bookmarkStart w:id="21" w:name="RANGE!D151"/>
            <w:r w:rsidRPr="00ED28E3">
              <w:rPr>
                <w:rFonts w:ascii="Book Antiqua" w:eastAsia="Times New Roman" w:hAnsi="Book Antiqua" w:cs="Calibri"/>
                <w:color w:val="000000" w:themeColor="text1"/>
                <w:lang w:eastAsia="zh-CN"/>
              </w:rPr>
              <w:t xml:space="preserve">Invisible ganglia                   </w:t>
            </w:r>
            <w:bookmarkEnd w:id="21"/>
          </w:p>
        </w:tc>
        <w:tc>
          <w:tcPr>
            <w:tcW w:w="0" w:type="auto"/>
            <w:shd w:val="clear" w:color="auto" w:fill="auto"/>
            <w:vAlign w:val="center"/>
            <w:hideMark/>
          </w:tcPr>
          <w:p w14:paraId="0D8B06ED"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3.574</w:t>
            </w:r>
          </w:p>
        </w:tc>
        <w:tc>
          <w:tcPr>
            <w:tcW w:w="0" w:type="auto"/>
            <w:shd w:val="clear" w:color="auto" w:fill="auto"/>
            <w:vAlign w:val="center"/>
            <w:hideMark/>
          </w:tcPr>
          <w:p w14:paraId="29956E1E"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1.80-14.24</w:t>
            </w:r>
          </w:p>
        </w:tc>
        <w:tc>
          <w:tcPr>
            <w:tcW w:w="0" w:type="auto"/>
            <w:shd w:val="clear" w:color="auto" w:fill="auto"/>
            <w:vAlign w:val="center"/>
            <w:hideMark/>
          </w:tcPr>
          <w:p w14:paraId="64AE3B54" w14:textId="77777777" w:rsidR="00ED28E3" w:rsidRPr="00ED28E3" w:rsidRDefault="00ED28E3" w:rsidP="00ED28E3">
            <w:pPr>
              <w:jc w:val="both"/>
              <w:rPr>
                <w:rFonts w:ascii="Book Antiqua" w:eastAsia="Times New Roman" w:hAnsi="Book Antiqua" w:cs="Calibri"/>
                <w:b/>
                <w:bCs/>
                <w:color w:val="000000"/>
                <w:lang w:eastAsia="zh-CN"/>
              </w:rPr>
            </w:pPr>
            <w:r w:rsidRPr="00ED28E3">
              <w:rPr>
                <w:rFonts w:ascii="Book Antiqua" w:eastAsia="Times New Roman" w:hAnsi="Book Antiqua" w:cs="Calibri"/>
                <w:b/>
                <w:bCs/>
                <w:color w:val="000000" w:themeColor="text1"/>
                <w:lang w:eastAsia="zh-CN"/>
              </w:rPr>
              <w:t>0.003</w:t>
            </w:r>
          </w:p>
        </w:tc>
      </w:tr>
      <w:tr w:rsidR="00ED28E3" w:rsidRPr="00ED28E3" w14:paraId="0D4B4A98" w14:textId="77777777" w:rsidTr="000E4C2C">
        <w:trPr>
          <w:trHeight w:val="1248"/>
        </w:trPr>
        <w:tc>
          <w:tcPr>
            <w:tcW w:w="0" w:type="auto"/>
            <w:shd w:val="clear" w:color="auto" w:fill="auto"/>
            <w:vAlign w:val="center"/>
            <w:hideMark/>
          </w:tcPr>
          <w:p w14:paraId="7197C695"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 xml:space="preserve">Invasion of celiac plexus                   </w:t>
            </w:r>
          </w:p>
        </w:tc>
        <w:tc>
          <w:tcPr>
            <w:tcW w:w="0" w:type="auto"/>
            <w:shd w:val="clear" w:color="auto" w:fill="auto"/>
            <w:vAlign w:val="center"/>
            <w:hideMark/>
          </w:tcPr>
          <w:p w14:paraId="66AA48C6"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7.922</w:t>
            </w:r>
          </w:p>
        </w:tc>
        <w:tc>
          <w:tcPr>
            <w:tcW w:w="0" w:type="auto"/>
            <w:shd w:val="clear" w:color="auto" w:fill="auto"/>
            <w:vAlign w:val="center"/>
            <w:hideMark/>
          </w:tcPr>
          <w:p w14:paraId="2DB6BD81"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2.24-25.93</w:t>
            </w:r>
          </w:p>
        </w:tc>
        <w:tc>
          <w:tcPr>
            <w:tcW w:w="0" w:type="auto"/>
            <w:shd w:val="clear" w:color="auto" w:fill="auto"/>
            <w:vAlign w:val="center"/>
            <w:hideMark/>
          </w:tcPr>
          <w:p w14:paraId="5690D514" w14:textId="77777777" w:rsidR="00ED28E3" w:rsidRPr="00ED28E3" w:rsidRDefault="00ED28E3" w:rsidP="00ED28E3">
            <w:pPr>
              <w:jc w:val="both"/>
              <w:rPr>
                <w:rFonts w:ascii="Book Antiqua" w:eastAsia="Times New Roman" w:hAnsi="Book Antiqua" w:cs="Calibri"/>
                <w:b/>
                <w:bCs/>
                <w:color w:val="000000"/>
                <w:lang w:eastAsia="zh-CN"/>
              </w:rPr>
            </w:pPr>
            <w:r w:rsidRPr="00ED28E3">
              <w:rPr>
                <w:rFonts w:ascii="Book Antiqua" w:eastAsia="Times New Roman" w:hAnsi="Book Antiqua" w:cs="Calibri"/>
                <w:b/>
                <w:bCs/>
                <w:color w:val="000000" w:themeColor="text1"/>
                <w:lang w:eastAsia="zh-CN"/>
              </w:rPr>
              <w:t>0.001</w:t>
            </w:r>
          </w:p>
        </w:tc>
      </w:tr>
      <w:tr w:rsidR="00ED28E3" w:rsidRPr="00ED28E3" w14:paraId="7BE8136A" w14:textId="77777777" w:rsidTr="000E4C2C">
        <w:trPr>
          <w:trHeight w:val="936"/>
        </w:trPr>
        <w:tc>
          <w:tcPr>
            <w:tcW w:w="0" w:type="auto"/>
            <w:shd w:val="clear" w:color="auto" w:fill="auto"/>
            <w:vAlign w:val="center"/>
            <w:hideMark/>
          </w:tcPr>
          <w:p w14:paraId="1C795308" w14:textId="77777777" w:rsidR="00ED28E3" w:rsidRPr="00ED28E3" w:rsidRDefault="00ED28E3" w:rsidP="00ED28E3">
            <w:pPr>
              <w:jc w:val="both"/>
              <w:rPr>
                <w:rFonts w:ascii="Book Antiqua" w:eastAsia="Times New Roman" w:hAnsi="Book Antiqua" w:cs="Calibri"/>
                <w:color w:val="000000"/>
                <w:lang w:eastAsia="zh-CN"/>
              </w:rPr>
            </w:pPr>
            <w:bookmarkStart w:id="22" w:name="RANGE!D153"/>
            <w:r w:rsidRPr="00ED28E3">
              <w:rPr>
                <w:rFonts w:ascii="Book Antiqua" w:eastAsia="Times New Roman" w:hAnsi="Book Antiqua" w:cs="Calibri"/>
                <w:color w:val="000000" w:themeColor="text1"/>
                <w:lang w:eastAsia="zh-CN"/>
              </w:rPr>
              <w:t xml:space="preserve">Distant metastasis                     </w:t>
            </w:r>
            <w:bookmarkEnd w:id="22"/>
          </w:p>
        </w:tc>
        <w:tc>
          <w:tcPr>
            <w:tcW w:w="0" w:type="auto"/>
            <w:shd w:val="clear" w:color="auto" w:fill="auto"/>
            <w:vAlign w:val="center"/>
            <w:hideMark/>
          </w:tcPr>
          <w:p w14:paraId="75731B04"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5.94</w:t>
            </w:r>
          </w:p>
        </w:tc>
        <w:tc>
          <w:tcPr>
            <w:tcW w:w="0" w:type="auto"/>
            <w:shd w:val="clear" w:color="auto" w:fill="auto"/>
            <w:vAlign w:val="center"/>
            <w:hideMark/>
          </w:tcPr>
          <w:p w14:paraId="5BE062BC"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1.31–11.82</w:t>
            </w:r>
          </w:p>
        </w:tc>
        <w:tc>
          <w:tcPr>
            <w:tcW w:w="0" w:type="auto"/>
            <w:shd w:val="clear" w:color="auto" w:fill="auto"/>
            <w:vAlign w:val="center"/>
            <w:hideMark/>
          </w:tcPr>
          <w:p w14:paraId="4A38B0EB" w14:textId="77777777" w:rsidR="00ED28E3" w:rsidRPr="00ED28E3" w:rsidRDefault="00ED28E3" w:rsidP="00ED28E3">
            <w:pPr>
              <w:jc w:val="both"/>
              <w:rPr>
                <w:rFonts w:ascii="Book Antiqua" w:eastAsia="Times New Roman" w:hAnsi="Book Antiqua" w:cs="Calibri"/>
                <w:b/>
                <w:bCs/>
                <w:color w:val="000000"/>
                <w:lang w:eastAsia="zh-CN"/>
              </w:rPr>
            </w:pPr>
            <w:r w:rsidRPr="00ED28E3">
              <w:rPr>
                <w:rFonts w:ascii="Book Antiqua" w:eastAsia="Times New Roman" w:hAnsi="Book Antiqua" w:cs="Calibri"/>
                <w:b/>
                <w:bCs/>
                <w:color w:val="000000" w:themeColor="text1"/>
                <w:lang w:eastAsia="zh-CN"/>
              </w:rPr>
              <w:t>0.015</w:t>
            </w:r>
          </w:p>
        </w:tc>
      </w:tr>
      <w:tr w:rsidR="00ED28E3" w:rsidRPr="00ED28E3" w14:paraId="391A8E77" w14:textId="77777777" w:rsidTr="000E4C2C">
        <w:trPr>
          <w:trHeight w:val="1248"/>
        </w:trPr>
        <w:tc>
          <w:tcPr>
            <w:tcW w:w="0" w:type="auto"/>
            <w:shd w:val="clear" w:color="auto" w:fill="auto"/>
            <w:vAlign w:val="center"/>
            <w:hideMark/>
          </w:tcPr>
          <w:p w14:paraId="113DC6DE"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 xml:space="preserve">Injected alcohol dose                    </w:t>
            </w:r>
          </w:p>
        </w:tc>
        <w:tc>
          <w:tcPr>
            <w:tcW w:w="0" w:type="auto"/>
            <w:shd w:val="clear" w:color="auto" w:fill="auto"/>
            <w:vAlign w:val="center"/>
            <w:hideMark/>
          </w:tcPr>
          <w:p w14:paraId="0A02E1C8"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3.825</w:t>
            </w:r>
          </w:p>
        </w:tc>
        <w:tc>
          <w:tcPr>
            <w:tcW w:w="0" w:type="auto"/>
            <w:shd w:val="clear" w:color="auto" w:fill="auto"/>
            <w:vAlign w:val="center"/>
            <w:hideMark/>
          </w:tcPr>
          <w:p w14:paraId="2B9C72CD"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1.12–13.42</w:t>
            </w:r>
          </w:p>
        </w:tc>
        <w:tc>
          <w:tcPr>
            <w:tcW w:w="0" w:type="auto"/>
            <w:shd w:val="clear" w:color="auto" w:fill="auto"/>
            <w:vAlign w:val="center"/>
            <w:hideMark/>
          </w:tcPr>
          <w:p w14:paraId="2BECDE58"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0.437</w:t>
            </w:r>
          </w:p>
        </w:tc>
      </w:tr>
      <w:tr w:rsidR="00ED28E3" w:rsidRPr="00ED28E3" w14:paraId="081C6E47" w14:textId="77777777" w:rsidTr="000E4C2C">
        <w:trPr>
          <w:trHeight w:val="936"/>
        </w:trPr>
        <w:tc>
          <w:tcPr>
            <w:tcW w:w="0" w:type="auto"/>
            <w:shd w:val="clear" w:color="auto" w:fill="auto"/>
            <w:vAlign w:val="center"/>
            <w:hideMark/>
          </w:tcPr>
          <w:p w14:paraId="4AD8436C" w14:textId="77777777" w:rsidR="00ED28E3" w:rsidRPr="00ED28E3" w:rsidRDefault="00ED28E3" w:rsidP="00ED28E3">
            <w:pPr>
              <w:jc w:val="both"/>
              <w:rPr>
                <w:rFonts w:ascii="Book Antiqua" w:eastAsia="Times New Roman" w:hAnsi="Book Antiqua" w:cs="Calibri"/>
                <w:color w:val="000000"/>
                <w:lang w:eastAsia="zh-CN"/>
              </w:rPr>
            </w:pPr>
            <w:bookmarkStart w:id="23" w:name="RANGE!D155"/>
            <w:r w:rsidRPr="00ED28E3">
              <w:rPr>
                <w:rFonts w:ascii="Book Antiqua" w:eastAsia="Times New Roman" w:hAnsi="Book Antiqua" w:cs="Calibri"/>
                <w:color w:val="000000" w:themeColor="text1"/>
                <w:lang w:eastAsia="zh-CN"/>
              </w:rPr>
              <w:t xml:space="preserve">Procedure method </w:t>
            </w:r>
            <w:bookmarkEnd w:id="23"/>
          </w:p>
        </w:tc>
        <w:tc>
          <w:tcPr>
            <w:tcW w:w="0" w:type="auto"/>
            <w:shd w:val="clear" w:color="auto" w:fill="auto"/>
            <w:vAlign w:val="center"/>
            <w:hideMark/>
          </w:tcPr>
          <w:p w14:paraId="659F580E" w14:textId="77777777" w:rsidR="00ED28E3" w:rsidRPr="00ED28E3" w:rsidRDefault="00ED28E3" w:rsidP="00ED28E3">
            <w:pPr>
              <w:jc w:val="both"/>
              <w:rPr>
                <w:rFonts w:ascii="Book Antiqua" w:eastAsia="Times New Roman" w:hAnsi="Book Antiqua" w:cs="Calibri"/>
                <w:color w:val="000000"/>
                <w:lang w:eastAsia="zh-CN"/>
              </w:rPr>
            </w:pPr>
          </w:p>
        </w:tc>
        <w:tc>
          <w:tcPr>
            <w:tcW w:w="0" w:type="auto"/>
            <w:shd w:val="clear" w:color="auto" w:fill="auto"/>
            <w:vAlign w:val="center"/>
            <w:hideMark/>
          </w:tcPr>
          <w:p w14:paraId="2D01F86A" w14:textId="77777777" w:rsidR="00ED28E3" w:rsidRPr="00ED28E3" w:rsidRDefault="00ED28E3" w:rsidP="00ED28E3">
            <w:pPr>
              <w:jc w:val="both"/>
              <w:rPr>
                <w:rFonts w:ascii="Book Antiqua" w:eastAsia="Times New Roman" w:hAnsi="Book Antiqua" w:cs="Calibri"/>
                <w:color w:val="000000"/>
                <w:lang w:eastAsia="zh-CN"/>
              </w:rPr>
            </w:pPr>
          </w:p>
        </w:tc>
        <w:tc>
          <w:tcPr>
            <w:tcW w:w="0" w:type="auto"/>
            <w:shd w:val="clear" w:color="auto" w:fill="auto"/>
            <w:vAlign w:val="center"/>
            <w:hideMark/>
          </w:tcPr>
          <w:p w14:paraId="3FA3C07E" w14:textId="77777777" w:rsidR="00ED28E3" w:rsidRPr="00ED28E3" w:rsidRDefault="00ED28E3" w:rsidP="00ED28E3">
            <w:pPr>
              <w:jc w:val="both"/>
              <w:rPr>
                <w:rFonts w:ascii="Book Antiqua" w:eastAsia="Times New Roman" w:hAnsi="Book Antiqua" w:cs="Calibri"/>
                <w:color w:val="000000"/>
                <w:lang w:eastAsia="zh-CN"/>
              </w:rPr>
            </w:pPr>
          </w:p>
        </w:tc>
      </w:tr>
      <w:tr w:rsidR="00ED28E3" w:rsidRPr="00ED28E3" w14:paraId="551D2C01" w14:textId="77777777" w:rsidTr="000E4C2C">
        <w:trPr>
          <w:trHeight w:val="624"/>
        </w:trPr>
        <w:tc>
          <w:tcPr>
            <w:tcW w:w="0" w:type="auto"/>
            <w:shd w:val="clear" w:color="auto" w:fill="auto"/>
            <w:vAlign w:val="center"/>
            <w:hideMark/>
          </w:tcPr>
          <w:p w14:paraId="45BF5EBA"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 xml:space="preserve">Unilateral                        </w:t>
            </w:r>
          </w:p>
        </w:tc>
        <w:tc>
          <w:tcPr>
            <w:tcW w:w="0" w:type="auto"/>
            <w:shd w:val="clear" w:color="auto" w:fill="auto"/>
            <w:vAlign w:val="center"/>
            <w:hideMark/>
          </w:tcPr>
          <w:p w14:paraId="59A1E39B"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1.677</w:t>
            </w:r>
          </w:p>
        </w:tc>
        <w:tc>
          <w:tcPr>
            <w:tcW w:w="0" w:type="auto"/>
            <w:shd w:val="clear" w:color="auto" w:fill="auto"/>
            <w:vAlign w:val="center"/>
            <w:hideMark/>
          </w:tcPr>
          <w:p w14:paraId="32A58993"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0.84–11.48</w:t>
            </w:r>
          </w:p>
        </w:tc>
        <w:tc>
          <w:tcPr>
            <w:tcW w:w="0" w:type="auto"/>
            <w:shd w:val="clear" w:color="auto" w:fill="auto"/>
            <w:vAlign w:val="center"/>
            <w:hideMark/>
          </w:tcPr>
          <w:p w14:paraId="139BA532"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0.591</w:t>
            </w:r>
          </w:p>
        </w:tc>
      </w:tr>
      <w:tr w:rsidR="00ED28E3" w:rsidRPr="00ED28E3" w14:paraId="182C2224" w14:textId="77777777" w:rsidTr="000E4C2C">
        <w:trPr>
          <w:trHeight w:val="624"/>
        </w:trPr>
        <w:tc>
          <w:tcPr>
            <w:tcW w:w="0" w:type="auto"/>
            <w:shd w:val="clear" w:color="auto" w:fill="auto"/>
            <w:vAlign w:val="center"/>
            <w:hideMark/>
          </w:tcPr>
          <w:p w14:paraId="5B2E0F15" w14:textId="77777777" w:rsidR="00ED28E3" w:rsidRPr="00ED28E3" w:rsidRDefault="00ED28E3" w:rsidP="00ED28E3">
            <w:pPr>
              <w:jc w:val="both"/>
              <w:rPr>
                <w:rFonts w:ascii="Book Antiqua" w:eastAsia="Times New Roman" w:hAnsi="Book Antiqua" w:cs="Calibri"/>
                <w:color w:val="000000"/>
                <w:lang w:eastAsia="zh-CN"/>
              </w:rPr>
            </w:pPr>
            <w:bookmarkStart w:id="24" w:name="RANGE!D157"/>
            <w:r w:rsidRPr="00ED28E3">
              <w:rPr>
                <w:rFonts w:ascii="Book Antiqua" w:eastAsia="Times New Roman" w:hAnsi="Book Antiqua" w:cs="Calibri"/>
                <w:color w:val="000000" w:themeColor="text1"/>
                <w:lang w:eastAsia="zh-CN"/>
              </w:rPr>
              <w:t xml:space="preserve">Bilateral                          </w:t>
            </w:r>
            <w:bookmarkEnd w:id="24"/>
          </w:p>
        </w:tc>
        <w:tc>
          <w:tcPr>
            <w:tcW w:w="0" w:type="auto"/>
            <w:shd w:val="clear" w:color="auto" w:fill="auto"/>
            <w:vAlign w:val="center"/>
            <w:hideMark/>
          </w:tcPr>
          <w:p w14:paraId="110587FA"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0.489</w:t>
            </w:r>
          </w:p>
        </w:tc>
        <w:tc>
          <w:tcPr>
            <w:tcW w:w="0" w:type="auto"/>
            <w:shd w:val="clear" w:color="auto" w:fill="auto"/>
            <w:vAlign w:val="center"/>
            <w:hideMark/>
          </w:tcPr>
          <w:p w14:paraId="1C3E3227"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0.11–1.12</w:t>
            </w:r>
          </w:p>
        </w:tc>
        <w:tc>
          <w:tcPr>
            <w:tcW w:w="0" w:type="auto"/>
            <w:shd w:val="clear" w:color="auto" w:fill="auto"/>
            <w:vAlign w:val="center"/>
            <w:hideMark/>
          </w:tcPr>
          <w:p w14:paraId="1916BBB7" w14:textId="77777777" w:rsidR="00ED28E3" w:rsidRPr="00ED28E3" w:rsidRDefault="00ED28E3" w:rsidP="00ED28E3">
            <w:pPr>
              <w:jc w:val="both"/>
              <w:rPr>
                <w:rFonts w:ascii="Book Antiqua" w:eastAsia="Times New Roman" w:hAnsi="Book Antiqua" w:cs="Calibri"/>
                <w:color w:val="000000"/>
                <w:lang w:eastAsia="zh-CN"/>
              </w:rPr>
            </w:pPr>
            <w:bookmarkStart w:id="25" w:name="RANGE!G157"/>
            <w:r w:rsidRPr="00ED28E3">
              <w:rPr>
                <w:rFonts w:ascii="Book Antiqua" w:eastAsia="Times New Roman" w:hAnsi="Book Antiqua" w:cs="Calibri"/>
                <w:color w:val="000000" w:themeColor="text1"/>
                <w:lang w:eastAsia="zh-CN"/>
              </w:rPr>
              <w:t>0.087</w:t>
            </w:r>
            <w:bookmarkEnd w:id="25"/>
          </w:p>
        </w:tc>
      </w:tr>
      <w:tr w:rsidR="00ED28E3" w:rsidRPr="00ED28E3" w14:paraId="4D310BC3" w14:textId="77777777" w:rsidTr="000E4C2C">
        <w:trPr>
          <w:trHeight w:val="2196"/>
        </w:trPr>
        <w:tc>
          <w:tcPr>
            <w:tcW w:w="0" w:type="auto"/>
            <w:shd w:val="clear" w:color="auto" w:fill="auto"/>
            <w:vAlign w:val="center"/>
            <w:hideMark/>
          </w:tcPr>
          <w:p w14:paraId="70267D91"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 xml:space="preserve">Intra-procedural decrease in heart rate              </w:t>
            </w:r>
          </w:p>
        </w:tc>
        <w:tc>
          <w:tcPr>
            <w:tcW w:w="0" w:type="auto"/>
            <w:shd w:val="clear" w:color="auto" w:fill="auto"/>
            <w:vAlign w:val="center"/>
            <w:hideMark/>
          </w:tcPr>
          <w:p w14:paraId="0FAC1040"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1.011</w:t>
            </w:r>
          </w:p>
        </w:tc>
        <w:tc>
          <w:tcPr>
            <w:tcW w:w="0" w:type="auto"/>
            <w:shd w:val="clear" w:color="auto" w:fill="auto"/>
            <w:vAlign w:val="center"/>
            <w:hideMark/>
          </w:tcPr>
          <w:p w14:paraId="56F8225E"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0.91–2.08</w:t>
            </w:r>
          </w:p>
        </w:tc>
        <w:tc>
          <w:tcPr>
            <w:tcW w:w="0" w:type="auto"/>
            <w:shd w:val="clear" w:color="auto" w:fill="auto"/>
            <w:vAlign w:val="center"/>
            <w:hideMark/>
          </w:tcPr>
          <w:p w14:paraId="084B560E"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themeColor="text1"/>
                <w:lang w:eastAsia="zh-CN"/>
              </w:rPr>
              <w:t>0.933</w:t>
            </w:r>
          </w:p>
        </w:tc>
      </w:tr>
    </w:tbl>
    <w:p w14:paraId="4D3087AC"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 xml:space="preserve">OR: Odds ratio; CI: Confidence interval; EUS-CPN: </w:t>
      </w:r>
      <w:r>
        <w:rPr>
          <w:rFonts w:ascii="Book Antiqua" w:hAnsi="Book Antiqua"/>
          <w:color w:val="000000" w:themeColor="text1"/>
        </w:rPr>
        <w:t>E</w:t>
      </w:r>
      <w:r w:rsidRPr="00B94601">
        <w:rPr>
          <w:rFonts w:ascii="Book Antiqua" w:hAnsi="Book Antiqua"/>
          <w:color w:val="000000" w:themeColor="text1"/>
        </w:rPr>
        <w:t xml:space="preserve">ndoscopic ultrasound-guided celiac plexus neurolysis; VAS: </w:t>
      </w:r>
      <w:r>
        <w:rPr>
          <w:rFonts w:ascii="Book Antiqua" w:hAnsi="Book Antiqua"/>
          <w:color w:val="000000" w:themeColor="text1"/>
        </w:rPr>
        <w:t>V</w:t>
      </w:r>
      <w:r w:rsidRPr="00B94601">
        <w:rPr>
          <w:rFonts w:ascii="Book Antiqua" w:hAnsi="Book Antiqua"/>
          <w:color w:val="000000" w:themeColor="text1"/>
        </w:rPr>
        <w:t>isual analogue scale.</w:t>
      </w:r>
    </w:p>
    <w:p w14:paraId="5E77E05D" w14:textId="72A817AA" w:rsidR="00CD114C" w:rsidRDefault="00CD114C" w:rsidP="00CD114C">
      <w:pPr>
        <w:adjustRightInd w:val="0"/>
        <w:snapToGrid w:val="0"/>
        <w:spacing w:line="360" w:lineRule="auto"/>
        <w:jc w:val="both"/>
        <w:rPr>
          <w:rFonts w:ascii="Book Antiqua" w:hAnsi="Book Antiqua"/>
          <w:b/>
          <w:bCs/>
          <w:color w:val="000000" w:themeColor="text1"/>
          <w:lang w:eastAsia="zh-CN"/>
        </w:rPr>
      </w:pPr>
      <w:r w:rsidRPr="00B94601">
        <w:rPr>
          <w:rFonts w:ascii="Book Antiqua" w:hAnsi="Book Antiqua"/>
          <w:color w:val="000000" w:themeColor="text1"/>
        </w:rPr>
        <w:br w:type="page"/>
      </w:r>
      <w:r w:rsidRPr="00B94601">
        <w:rPr>
          <w:rFonts w:ascii="Book Antiqua" w:hAnsi="Book Antiqua"/>
          <w:b/>
          <w:color w:val="000000" w:themeColor="text1"/>
        </w:rPr>
        <w:lastRenderedPageBreak/>
        <w:t xml:space="preserve">Table 3 </w:t>
      </w:r>
      <w:r w:rsidRPr="00B94601">
        <w:rPr>
          <w:rFonts w:ascii="Book Antiqua" w:hAnsi="Book Antiqua"/>
          <w:b/>
          <w:bCs/>
          <w:color w:val="000000" w:themeColor="text1"/>
        </w:rPr>
        <w:t xml:space="preserve">Multivariate analysis for predictors affecting pain response after 1 wk by endoscopic ultrasound-guided celiac plexus </w:t>
      </w:r>
      <w:proofErr w:type="spellStart"/>
      <w:r w:rsidRPr="00B94601">
        <w:rPr>
          <w:rFonts w:ascii="Book Antiqua" w:hAnsi="Book Antiqua"/>
          <w:b/>
          <w:bCs/>
          <w:color w:val="000000" w:themeColor="text1"/>
        </w:rPr>
        <w:t>neurolysis</w:t>
      </w:r>
      <w:proofErr w:type="spellEnd"/>
    </w:p>
    <w:tbl>
      <w:tblPr>
        <w:tblW w:w="4220" w:type="dxa"/>
        <w:tblInd w:w="108" w:type="dxa"/>
        <w:tblLook w:val="04A0" w:firstRow="1" w:lastRow="0" w:firstColumn="1" w:lastColumn="0" w:noHBand="0" w:noVBand="1"/>
      </w:tblPr>
      <w:tblGrid>
        <w:gridCol w:w="1629"/>
        <w:gridCol w:w="707"/>
        <w:gridCol w:w="937"/>
        <w:gridCol w:w="947"/>
      </w:tblGrid>
      <w:tr w:rsidR="00ED28E3" w:rsidRPr="00ED28E3" w14:paraId="3004FAA3" w14:textId="77777777" w:rsidTr="00ED28E3">
        <w:trPr>
          <w:trHeight w:val="1260"/>
        </w:trPr>
        <w:tc>
          <w:tcPr>
            <w:tcW w:w="1413" w:type="dxa"/>
            <w:tcBorders>
              <w:top w:val="single" w:sz="8" w:space="0" w:color="auto"/>
              <w:left w:val="nil"/>
              <w:bottom w:val="single" w:sz="8" w:space="0" w:color="auto"/>
              <w:right w:val="nil"/>
            </w:tcBorders>
            <w:shd w:val="clear" w:color="000000" w:fill="FFFFFF"/>
            <w:vAlign w:val="center"/>
            <w:hideMark/>
          </w:tcPr>
          <w:p w14:paraId="17A9F361" w14:textId="77777777" w:rsidR="00ED28E3" w:rsidRPr="00ED28E3" w:rsidRDefault="00ED28E3" w:rsidP="00ED28E3">
            <w:pPr>
              <w:jc w:val="both"/>
              <w:rPr>
                <w:rFonts w:ascii="Book Antiqua" w:eastAsia="Times New Roman" w:hAnsi="Book Antiqua" w:cs="Calibri"/>
                <w:b/>
                <w:bCs/>
                <w:color w:val="000000"/>
                <w:lang w:eastAsia="zh-CN"/>
              </w:rPr>
            </w:pPr>
            <w:r w:rsidRPr="00ED28E3">
              <w:rPr>
                <w:rFonts w:ascii="Book Antiqua" w:eastAsia="Times New Roman" w:hAnsi="Book Antiqua" w:cs="Calibri"/>
                <w:b/>
                <w:bCs/>
                <w:color w:val="000000"/>
                <w:lang w:eastAsia="zh-CN"/>
              </w:rPr>
              <w:t xml:space="preserve">Independent variables                   </w:t>
            </w:r>
          </w:p>
        </w:tc>
        <w:tc>
          <w:tcPr>
            <w:tcW w:w="799" w:type="dxa"/>
            <w:tcBorders>
              <w:top w:val="single" w:sz="8" w:space="0" w:color="auto"/>
              <w:left w:val="nil"/>
              <w:bottom w:val="single" w:sz="8" w:space="0" w:color="auto"/>
              <w:right w:val="nil"/>
            </w:tcBorders>
            <w:shd w:val="clear" w:color="000000" w:fill="FFFFFF"/>
            <w:vAlign w:val="center"/>
            <w:hideMark/>
          </w:tcPr>
          <w:p w14:paraId="6DEA9731" w14:textId="77777777" w:rsidR="00ED28E3" w:rsidRPr="00ED28E3" w:rsidRDefault="00ED28E3" w:rsidP="00ED28E3">
            <w:pPr>
              <w:jc w:val="both"/>
              <w:rPr>
                <w:rFonts w:ascii="Book Antiqua" w:eastAsia="Times New Roman" w:hAnsi="Book Antiqua" w:cs="Calibri"/>
                <w:b/>
                <w:bCs/>
                <w:color w:val="000000"/>
                <w:lang w:eastAsia="zh-CN"/>
              </w:rPr>
            </w:pPr>
            <w:r w:rsidRPr="00ED28E3">
              <w:rPr>
                <w:rFonts w:ascii="Book Antiqua" w:eastAsia="Times New Roman" w:hAnsi="Book Antiqua" w:cs="Calibri"/>
                <w:b/>
                <w:bCs/>
                <w:color w:val="000000"/>
                <w:lang w:eastAsia="zh-CN"/>
              </w:rPr>
              <w:t>OR</w:t>
            </w:r>
          </w:p>
        </w:tc>
        <w:tc>
          <w:tcPr>
            <w:tcW w:w="889" w:type="dxa"/>
            <w:tcBorders>
              <w:top w:val="single" w:sz="8" w:space="0" w:color="auto"/>
              <w:left w:val="nil"/>
              <w:bottom w:val="single" w:sz="8" w:space="0" w:color="auto"/>
              <w:right w:val="nil"/>
            </w:tcBorders>
            <w:shd w:val="clear" w:color="000000" w:fill="FFFFFF"/>
            <w:vAlign w:val="center"/>
            <w:hideMark/>
          </w:tcPr>
          <w:p w14:paraId="5BB73387" w14:textId="77777777" w:rsidR="00ED28E3" w:rsidRPr="00ED28E3" w:rsidRDefault="00ED28E3" w:rsidP="00ED28E3">
            <w:pPr>
              <w:jc w:val="both"/>
              <w:rPr>
                <w:rFonts w:ascii="Book Antiqua" w:eastAsia="Times New Roman" w:hAnsi="Book Antiqua" w:cs="Calibri"/>
                <w:b/>
                <w:bCs/>
                <w:color w:val="000000"/>
                <w:lang w:eastAsia="zh-CN"/>
              </w:rPr>
            </w:pPr>
            <w:r w:rsidRPr="00ED28E3">
              <w:rPr>
                <w:rFonts w:ascii="Book Antiqua" w:eastAsia="Times New Roman" w:hAnsi="Book Antiqua" w:cs="Calibri"/>
                <w:b/>
                <w:bCs/>
                <w:color w:val="000000"/>
                <w:lang w:eastAsia="zh-CN"/>
              </w:rPr>
              <w:t>95%CI</w:t>
            </w:r>
          </w:p>
        </w:tc>
        <w:tc>
          <w:tcPr>
            <w:tcW w:w="1119" w:type="dxa"/>
            <w:tcBorders>
              <w:top w:val="single" w:sz="8" w:space="0" w:color="auto"/>
              <w:left w:val="nil"/>
              <w:bottom w:val="single" w:sz="8" w:space="0" w:color="auto"/>
              <w:right w:val="nil"/>
            </w:tcBorders>
            <w:shd w:val="clear" w:color="000000" w:fill="FFFFFF"/>
            <w:vAlign w:val="center"/>
            <w:hideMark/>
          </w:tcPr>
          <w:p w14:paraId="1E409E48" w14:textId="77777777" w:rsidR="00ED28E3" w:rsidRPr="00ED28E3" w:rsidRDefault="00ED28E3" w:rsidP="00ED28E3">
            <w:pPr>
              <w:jc w:val="both"/>
              <w:rPr>
                <w:rFonts w:ascii="Book Antiqua" w:eastAsia="Times New Roman" w:hAnsi="Book Antiqua" w:cs="Calibri"/>
                <w:b/>
                <w:bCs/>
                <w:i/>
                <w:iCs/>
                <w:color w:val="000000"/>
                <w:lang w:eastAsia="zh-CN"/>
              </w:rPr>
            </w:pPr>
            <w:r w:rsidRPr="00ED28E3">
              <w:rPr>
                <w:rFonts w:ascii="Book Antiqua" w:eastAsia="Times New Roman" w:hAnsi="Book Antiqua" w:cs="Calibri"/>
                <w:b/>
                <w:bCs/>
                <w:i/>
                <w:iCs/>
                <w:color w:val="000000"/>
                <w:lang w:eastAsia="zh-CN"/>
              </w:rPr>
              <w:t xml:space="preserve">P </w:t>
            </w:r>
            <w:r w:rsidRPr="00ED28E3">
              <w:rPr>
                <w:rFonts w:ascii="Book Antiqua" w:eastAsia="Times New Roman" w:hAnsi="Book Antiqua" w:cs="Calibri"/>
                <w:b/>
                <w:bCs/>
                <w:color w:val="000000"/>
                <w:lang w:eastAsia="zh-CN"/>
              </w:rPr>
              <w:t>value</w:t>
            </w:r>
          </w:p>
        </w:tc>
      </w:tr>
      <w:tr w:rsidR="00ED28E3" w:rsidRPr="00ED28E3" w14:paraId="15CBE643" w14:textId="77777777" w:rsidTr="00ED28E3">
        <w:trPr>
          <w:trHeight w:val="936"/>
        </w:trPr>
        <w:tc>
          <w:tcPr>
            <w:tcW w:w="1413" w:type="dxa"/>
            <w:tcBorders>
              <w:top w:val="nil"/>
              <w:left w:val="nil"/>
              <w:bottom w:val="nil"/>
              <w:right w:val="nil"/>
            </w:tcBorders>
            <w:shd w:val="clear" w:color="auto" w:fill="auto"/>
            <w:vAlign w:val="center"/>
            <w:hideMark/>
          </w:tcPr>
          <w:p w14:paraId="4A1007D2" w14:textId="77777777" w:rsidR="00ED28E3" w:rsidRPr="00ED28E3" w:rsidRDefault="00ED28E3" w:rsidP="00ED28E3">
            <w:pPr>
              <w:jc w:val="both"/>
              <w:rPr>
                <w:rFonts w:ascii="Book Antiqua" w:eastAsia="Times New Roman" w:hAnsi="Book Antiqua" w:cs="Calibri"/>
                <w:color w:val="000000"/>
                <w:lang w:eastAsia="zh-CN"/>
              </w:rPr>
            </w:pPr>
            <w:bookmarkStart w:id="26" w:name="RANGE!C128"/>
            <w:r w:rsidRPr="00ED28E3">
              <w:rPr>
                <w:rFonts w:ascii="Book Antiqua" w:eastAsia="Times New Roman" w:hAnsi="Book Antiqua" w:cs="Calibri"/>
                <w:color w:val="000000"/>
                <w:lang w:eastAsia="zh-CN"/>
              </w:rPr>
              <w:t xml:space="preserve">Ganglia invisible                   </w:t>
            </w:r>
            <w:bookmarkEnd w:id="26"/>
          </w:p>
        </w:tc>
        <w:tc>
          <w:tcPr>
            <w:tcW w:w="799" w:type="dxa"/>
            <w:tcBorders>
              <w:top w:val="nil"/>
              <w:left w:val="nil"/>
              <w:bottom w:val="nil"/>
              <w:right w:val="nil"/>
            </w:tcBorders>
            <w:shd w:val="clear" w:color="auto" w:fill="auto"/>
            <w:vAlign w:val="center"/>
            <w:hideMark/>
          </w:tcPr>
          <w:p w14:paraId="6408DD80" w14:textId="77777777" w:rsidR="00ED28E3" w:rsidRPr="00ED28E3" w:rsidRDefault="00ED28E3" w:rsidP="00ED28E3">
            <w:pPr>
              <w:jc w:val="both"/>
              <w:rPr>
                <w:rFonts w:ascii="Book Antiqua" w:eastAsia="Times New Roman" w:hAnsi="Book Antiqua" w:cs="Calibri"/>
                <w:color w:val="000000"/>
                <w:lang w:eastAsia="zh-CN"/>
              </w:rPr>
            </w:pPr>
            <w:bookmarkStart w:id="27" w:name="RANGE!D128"/>
            <w:r w:rsidRPr="00ED28E3">
              <w:rPr>
                <w:rFonts w:ascii="Book Antiqua" w:eastAsia="Times New Roman" w:hAnsi="Book Antiqua" w:cs="Calibri"/>
                <w:color w:val="000000"/>
                <w:lang w:eastAsia="zh-CN"/>
              </w:rPr>
              <w:t>4.9</w:t>
            </w:r>
            <w:bookmarkEnd w:id="27"/>
          </w:p>
        </w:tc>
        <w:tc>
          <w:tcPr>
            <w:tcW w:w="889" w:type="dxa"/>
            <w:tcBorders>
              <w:top w:val="nil"/>
              <w:left w:val="nil"/>
              <w:bottom w:val="nil"/>
              <w:right w:val="nil"/>
            </w:tcBorders>
            <w:shd w:val="clear" w:color="auto" w:fill="auto"/>
            <w:vAlign w:val="center"/>
            <w:hideMark/>
          </w:tcPr>
          <w:p w14:paraId="43266C03"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2.25-17.91</w:t>
            </w:r>
          </w:p>
        </w:tc>
        <w:tc>
          <w:tcPr>
            <w:tcW w:w="1119" w:type="dxa"/>
            <w:tcBorders>
              <w:top w:val="nil"/>
              <w:left w:val="nil"/>
              <w:bottom w:val="nil"/>
              <w:right w:val="nil"/>
            </w:tcBorders>
            <w:shd w:val="clear" w:color="auto" w:fill="auto"/>
            <w:vAlign w:val="center"/>
            <w:hideMark/>
          </w:tcPr>
          <w:p w14:paraId="340A9A3D"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0.011</w:t>
            </w:r>
          </w:p>
        </w:tc>
      </w:tr>
      <w:tr w:rsidR="00ED28E3" w:rsidRPr="00ED28E3" w14:paraId="2B7B2B2B" w14:textId="77777777" w:rsidTr="00ED28E3">
        <w:trPr>
          <w:trHeight w:val="1248"/>
        </w:trPr>
        <w:tc>
          <w:tcPr>
            <w:tcW w:w="1413" w:type="dxa"/>
            <w:tcBorders>
              <w:top w:val="nil"/>
              <w:left w:val="nil"/>
              <w:bottom w:val="nil"/>
              <w:right w:val="nil"/>
            </w:tcBorders>
            <w:shd w:val="clear" w:color="auto" w:fill="auto"/>
            <w:vAlign w:val="center"/>
            <w:hideMark/>
          </w:tcPr>
          <w:p w14:paraId="4A4D527C"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 xml:space="preserve">Invasion of celiac plexus                </w:t>
            </w:r>
          </w:p>
        </w:tc>
        <w:tc>
          <w:tcPr>
            <w:tcW w:w="799" w:type="dxa"/>
            <w:tcBorders>
              <w:top w:val="nil"/>
              <w:left w:val="nil"/>
              <w:bottom w:val="nil"/>
              <w:right w:val="nil"/>
            </w:tcBorders>
            <w:shd w:val="clear" w:color="auto" w:fill="auto"/>
            <w:vAlign w:val="center"/>
            <w:hideMark/>
          </w:tcPr>
          <w:p w14:paraId="13623717"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13.2</w:t>
            </w:r>
          </w:p>
        </w:tc>
        <w:tc>
          <w:tcPr>
            <w:tcW w:w="889" w:type="dxa"/>
            <w:tcBorders>
              <w:top w:val="nil"/>
              <w:left w:val="nil"/>
              <w:bottom w:val="nil"/>
              <w:right w:val="nil"/>
            </w:tcBorders>
            <w:shd w:val="clear" w:color="auto" w:fill="auto"/>
            <w:vAlign w:val="center"/>
            <w:hideMark/>
          </w:tcPr>
          <w:p w14:paraId="39E8313E"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3.02-46.27</w:t>
            </w:r>
          </w:p>
        </w:tc>
        <w:tc>
          <w:tcPr>
            <w:tcW w:w="1119" w:type="dxa"/>
            <w:tcBorders>
              <w:top w:val="nil"/>
              <w:left w:val="nil"/>
              <w:bottom w:val="nil"/>
              <w:right w:val="nil"/>
            </w:tcBorders>
            <w:shd w:val="clear" w:color="auto" w:fill="auto"/>
            <w:vAlign w:val="center"/>
            <w:hideMark/>
          </w:tcPr>
          <w:p w14:paraId="1BB5E0BB"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0.003</w:t>
            </w:r>
          </w:p>
        </w:tc>
      </w:tr>
      <w:tr w:rsidR="00ED28E3" w:rsidRPr="00ED28E3" w14:paraId="7A0867E8" w14:textId="77777777" w:rsidTr="00ED28E3">
        <w:trPr>
          <w:trHeight w:val="948"/>
        </w:trPr>
        <w:tc>
          <w:tcPr>
            <w:tcW w:w="1413" w:type="dxa"/>
            <w:tcBorders>
              <w:top w:val="nil"/>
              <w:left w:val="nil"/>
              <w:bottom w:val="single" w:sz="8" w:space="0" w:color="auto"/>
              <w:right w:val="nil"/>
            </w:tcBorders>
            <w:shd w:val="clear" w:color="auto" w:fill="auto"/>
            <w:vAlign w:val="center"/>
            <w:hideMark/>
          </w:tcPr>
          <w:p w14:paraId="2F33E42B"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 xml:space="preserve">Distant metastasis                   </w:t>
            </w:r>
          </w:p>
        </w:tc>
        <w:tc>
          <w:tcPr>
            <w:tcW w:w="799" w:type="dxa"/>
            <w:tcBorders>
              <w:top w:val="nil"/>
              <w:left w:val="nil"/>
              <w:bottom w:val="single" w:sz="8" w:space="0" w:color="auto"/>
              <w:right w:val="nil"/>
            </w:tcBorders>
            <w:shd w:val="clear" w:color="auto" w:fill="auto"/>
            <w:vAlign w:val="center"/>
            <w:hideMark/>
          </w:tcPr>
          <w:p w14:paraId="74C50D66"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6.84</w:t>
            </w:r>
          </w:p>
        </w:tc>
        <w:tc>
          <w:tcPr>
            <w:tcW w:w="889" w:type="dxa"/>
            <w:tcBorders>
              <w:top w:val="nil"/>
              <w:left w:val="nil"/>
              <w:bottom w:val="single" w:sz="8" w:space="0" w:color="auto"/>
              <w:right w:val="nil"/>
            </w:tcBorders>
            <w:shd w:val="clear" w:color="auto" w:fill="auto"/>
            <w:vAlign w:val="center"/>
            <w:hideMark/>
          </w:tcPr>
          <w:p w14:paraId="46A002B5"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2.34–19.15</w:t>
            </w:r>
          </w:p>
        </w:tc>
        <w:tc>
          <w:tcPr>
            <w:tcW w:w="1119" w:type="dxa"/>
            <w:tcBorders>
              <w:top w:val="nil"/>
              <w:left w:val="nil"/>
              <w:bottom w:val="single" w:sz="8" w:space="0" w:color="auto"/>
              <w:right w:val="nil"/>
            </w:tcBorders>
            <w:shd w:val="clear" w:color="auto" w:fill="auto"/>
            <w:vAlign w:val="center"/>
            <w:hideMark/>
          </w:tcPr>
          <w:p w14:paraId="0394AEF4" w14:textId="77777777" w:rsidR="00ED28E3" w:rsidRPr="00ED28E3" w:rsidRDefault="00ED28E3" w:rsidP="00ED28E3">
            <w:pPr>
              <w:jc w:val="both"/>
              <w:rPr>
                <w:rFonts w:ascii="Book Antiqua" w:eastAsia="Times New Roman" w:hAnsi="Book Antiqua" w:cs="Calibri"/>
                <w:color w:val="000000"/>
                <w:lang w:eastAsia="zh-CN"/>
              </w:rPr>
            </w:pPr>
            <w:r w:rsidRPr="00ED28E3">
              <w:rPr>
                <w:rFonts w:ascii="Book Antiqua" w:eastAsia="Times New Roman" w:hAnsi="Book Antiqua" w:cs="Calibri"/>
                <w:color w:val="000000"/>
                <w:lang w:eastAsia="zh-CN"/>
              </w:rPr>
              <w:t>0.022</w:t>
            </w:r>
          </w:p>
        </w:tc>
      </w:tr>
    </w:tbl>
    <w:p w14:paraId="6CD27862" w14:textId="0AF1ECDC" w:rsidR="00CD114C" w:rsidRPr="00B94601" w:rsidRDefault="00CD114C" w:rsidP="00CD114C">
      <w:pPr>
        <w:adjustRightInd w:val="0"/>
        <w:snapToGrid w:val="0"/>
        <w:spacing w:line="360" w:lineRule="auto"/>
        <w:jc w:val="both"/>
        <w:rPr>
          <w:rFonts w:ascii="Book Antiqua" w:hAnsi="Book Antiqua"/>
          <w:color w:val="000000" w:themeColor="text1"/>
        </w:rPr>
      </w:pPr>
      <w:bookmarkStart w:id="28" w:name="OLE_LINK59"/>
      <w:proofErr w:type="gramStart"/>
      <w:r w:rsidRPr="00B94601">
        <w:rPr>
          <w:rFonts w:ascii="Book Antiqua" w:hAnsi="Book Antiqua"/>
          <w:color w:val="000000" w:themeColor="text1"/>
        </w:rPr>
        <w:t>Summarizes the results of the multivariate analyses of the predictive factors associated with pain relief by EUS-CPN.</w:t>
      </w:r>
      <w:proofErr w:type="gramEnd"/>
      <w:r w:rsidRPr="00B94601">
        <w:rPr>
          <w:rFonts w:ascii="Book Antiqua" w:hAnsi="Book Antiqua"/>
          <w:color w:val="000000" w:themeColor="text1"/>
        </w:rPr>
        <w:t xml:space="preserve"> The only independent predictive factors that achieved statistical significance in the univariate analysis were included. CI: Confidence interval;</w:t>
      </w:r>
      <w:bookmarkEnd w:id="28"/>
      <w:r w:rsidRPr="00B94601">
        <w:rPr>
          <w:rFonts w:ascii="Book Antiqua" w:hAnsi="Book Antiqua"/>
          <w:color w:val="000000" w:themeColor="text1"/>
        </w:rPr>
        <w:t xml:space="preserve"> EUS-CPN: endoscopic ultrasound-guided celiac plexus neurolysis</w:t>
      </w:r>
      <w:r w:rsidR="005A209C">
        <w:rPr>
          <w:rFonts w:ascii="Book Antiqua" w:hAnsi="Book Antiqua"/>
          <w:color w:val="000000" w:themeColor="text1"/>
        </w:rPr>
        <w:t>;</w:t>
      </w:r>
      <w:r w:rsidR="005A209C" w:rsidRPr="005A209C">
        <w:rPr>
          <w:rFonts w:ascii="Book Antiqua" w:hAnsi="Book Antiqua"/>
          <w:color w:val="000000" w:themeColor="text1"/>
        </w:rPr>
        <w:t xml:space="preserve"> </w:t>
      </w:r>
      <w:r w:rsidR="005A209C" w:rsidRPr="00B94601">
        <w:rPr>
          <w:rFonts w:ascii="Book Antiqua" w:hAnsi="Book Antiqua"/>
          <w:color w:val="000000" w:themeColor="text1"/>
        </w:rPr>
        <w:t>OR: Odds ratio</w:t>
      </w:r>
      <w:r w:rsidRPr="00B94601">
        <w:rPr>
          <w:rFonts w:ascii="Book Antiqua" w:hAnsi="Book Antiqua"/>
          <w:color w:val="000000" w:themeColor="text1"/>
        </w:rPr>
        <w:t>.</w:t>
      </w:r>
    </w:p>
    <w:p w14:paraId="6A3AD088" w14:textId="38676C07" w:rsidR="00CD114C" w:rsidRPr="00B94601" w:rsidRDefault="00CD114C" w:rsidP="00CD114C">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br w:type="page"/>
      </w:r>
      <w:r w:rsidRPr="00B94601">
        <w:rPr>
          <w:rFonts w:ascii="Book Antiqua" w:hAnsi="Book Antiqua"/>
          <w:b/>
          <w:color w:val="000000" w:themeColor="text1"/>
        </w:rPr>
        <w:lastRenderedPageBreak/>
        <w:t>Table 4</w:t>
      </w:r>
      <w:r w:rsidRPr="00B94601">
        <w:rPr>
          <w:rFonts w:ascii="Book Antiqua" w:hAnsi="Book Antiqua"/>
          <w:color w:val="000000" w:themeColor="text1"/>
        </w:rPr>
        <w:t xml:space="preserve"> </w:t>
      </w:r>
      <w:r w:rsidRPr="00B94601">
        <w:rPr>
          <w:rFonts w:ascii="Book Antiqua" w:hAnsi="Book Antiqua"/>
          <w:b/>
          <w:bCs/>
          <w:color w:val="000000" w:themeColor="text1"/>
        </w:rPr>
        <w:t>Univariable analysis of variables associated with pain response after 4 wk in the enrolled cohort of 58 patients</w:t>
      </w:r>
    </w:p>
    <w:tbl>
      <w:tblPr>
        <w:tblW w:w="8359" w:type="dxa"/>
        <w:tblBorders>
          <w:top w:val="single" w:sz="4" w:space="0" w:color="auto"/>
          <w:bottom w:val="single" w:sz="4" w:space="0" w:color="auto"/>
        </w:tblBorders>
        <w:shd w:val="clear" w:color="auto" w:fill="FFFFFF" w:themeFill="background1"/>
        <w:tblLayout w:type="fixed"/>
        <w:tblLook w:val="0000" w:firstRow="0" w:lastRow="0" w:firstColumn="0" w:lastColumn="0" w:noHBand="0" w:noVBand="0"/>
      </w:tblPr>
      <w:tblGrid>
        <w:gridCol w:w="3964"/>
        <w:gridCol w:w="1134"/>
        <w:gridCol w:w="1985"/>
        <w:gridCol w:w="1276"/>
      </w:tblGrid>
      <w:tr w:rsidR="00CD114C" w:rsidRPr="00B94601" w14:paraId="023E5F03" w14:textId="77777777" w:rsidTr="00183011">
        <w:tc>
          <w:tcPr>
            <w:tcW w:w="3964" w:type="dxa"/>
            <w:tcBorders>
              <w:top w:val="single" w:sz="4" w:space="0" w:color="auto"/>
              <w:bottom w:val="single" w:sz="4" w:space="0" w:color="auto"/>
            </w:tcBorders>
            <w:shd w:val="clear" w:color="auto" w:fill="FFFFFF" w:themeFill="background1"/>
          </w:tcPr>
          <w:p w14:paraId="6D5EE132" w14:textId="6125A9A2"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color w:val="000000" w:themeColor="text1"/>
              </w:rPr>
              <w:t>Independent variables</w:t>
            </w:r>
            <w:r>
              <w:rPr>
                <w:rFonts w:ascii="Book Antiqua" w:hAnsi="Book Antiqua"/>
                <w:b/>
                <w:bCs/>
                <w:color w:val="000000" w:themeColor="text1"/>
              </w:rPr>
              <w:t xml:space="preserve">                   </w:t>
            </w:r>
          </w:p>
        </w:tc>
        <w:tc>
          <w:tcPr>
            <w:tcW w:w="1134" w:type="dxa"/>
            <w:tcBorders>
              <w:top w:val="single" w:sz="4" w:space="0" w:color="auto"/>
              <w:bottom w:val="single" w:sz="4" w:space="0" w:color="auto"/>
            </w:tcBorders>
            <w:shd w:val="clear" w:color="auto" w:fill="FFFFFF" w:themeFill="background1"/>
          </w:tcPr>
          <w:p w14:paraId="6BF23BAA" w14:textId="77777777"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color w:val="000000" w:themeColor="text1"/>
              </w:rPr>
              <w:t>OR</w:t>
            </w:r>
          </w:p>
        </w:tc>
        <w:tc>
          <w:tcPr>
            <w:tcW w:w="1985" w:type="dxa"/>
            <w:tcBorders>
              <w:top w:val="single" w:sz="4" w:space="0" w:color="auto"/>
              <w:bottom w:val="single" w:sz="4" w:space="0" w:color="auto"/>
            </w:tcBorders>
            <w:shd w:val="clear" w:color="auto" w:fill="FFFFFF" w:themeFill="background1"/>
          </w:tcPr>
          <w:p w14:paraId="46E7D661" w14:textId="2ADF2DBE"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color w:val="000000" w:themeColor="text1"/>
              </w:rPr>
              <w:t>95%CI</w:t>
            </w:r>
            <w:r>
              <w:rPr>
                <w:rFonts w:ascii="Book Antiqua" w:hAnsi="Book Antiqua"/>
                <w:b/>
                <w:bCs/>
                <w:color w:val="000000" w:themeColor="text1"/>
              </w:rPr>
              <w:t xml:space="preserve"> </w:t>
            </w:r>
          </w:p>
        </w:tc>
        <w:tc>
          <w:tcPr>
            <w:tcW w:w="1276" w:type="dxa"/>
            <w:tcBorders>
              <w:top w:val="single" w:sz="4" w:space="0" w:color="auto"/>
              <w:bottom w:val="single" w:sz="4" w:space="0" w:color="auto"/>
            </w:tcBorders>
            <w:shd w:val="clear" w:color="auto" w:fill="FFFFFF" w:themeFill="background1"/>
          </w:tcPr>
          <w:p w14:paraId="47181730" w14:textId="77777777"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i/>
                <w:iCs/>
                <w:color w:val="000000" w:themeColor="text1"/>
              </w:rPr>
              <w:t>P</w:t>
            </w:r>
            <w:r w:rsidRPr="00B94601">
              <w:rPr>
                <w:rFonts w:ascii="Book Antiqua" w:hAnsi="Book Antiqua"/>
                <w:b/>
                <w:bCs/>
                <w:color w:val="000000" w:themeColor="text1"/>
              </w:rPr>
              <w:t xml:space="preserve"> value</w:t>
            </w:r>
          </w:p>
        </w:tc>
      </w:tr>
      <w:tr w:rsidR="00CD114C" w:rsidRPr="00B94601" w14:paraId="3B474382" w14:textId="77777777" w:rsidTr="00183011">
        <w:tc>
          <w:tcPr>
            <w:tcW w:w="3964" w:type="dxa"/>
            <w:tcBorders>
              <w:top w:val="single" w:sz="4" w:space="0" w:color="auto"/>
            </w:tcBorders>
            <w:shd w:val="clear" w:color="auto" w:fill="FFFFFF" w:themeFill="background1"/>
          </w:tcPr>
          <w:p w14:paraId="2DCFB003" w14:textId="0DE7924B" w:rsidR="00CD114C" w:rsidRPr="00ED4142" w:rsidRDefault="008D121D" w:rsidP="00CD114C">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Age</w:t>
            </w:r>
            <w:r w:rsidR="003D62B7">
              <w:rPr>
                <w:rFonts w:ascii="Book Antiqua" w:hAnsi="Book Antiqua"/>
                <w:color w:val="000000" w:themeColor="text1"/>
              </w:rPr>
              <w:t xml:space="preserve"> in</w:t>
            </w:r>
            <w:r>
              <w:rPr>
                <w:rFonts w:ascii="Book Antiqua" w:hAnsi="Book Antiqua"/>
                <w:color w:val="000000" w:themeColor="text1"/>
              </w:rPr>
              <w:t xml:space="preserve"> </w:t>
            </w:r>
            <w:proofErr w:type="spellStart"/>
            <w:r>
              <w:rPr>
                <w:rFonts w:ascii="Book Antiqua" w:hAnsi="Book Antiqua"/>
                <w:color w:val="000000" w:themeColor="text1"/>
              </w:rPr>
              <w:t>yr</w:t>
            </w:r>
            <w:proofErr w:type="spellEnd"/>
            <w:r>
              <w:rPr>
                <w:rFonts w:ascii="Book Antiqua" w:hAnsi="Book Antiqua"/>
                <w:color w:val="000000" w:themeColor="text1"/>
              </w:rPr>
              <w:t xml:space="preserve">   </w:t>
            </w:r>
            <w:r w:rsidR="00CD114C">
              <w:rPr>
                <w:rFonts w:ascii="Book Antiqua" w:hAnsi="Book Antiqua"/>
                <w:color w:val="000000" w:themeColor="text1"/>
              </w:rPr>
              <w:t xml:space="preserve">                  </w:t>
            </w:r>
            <w:r w:rsidR="00CD114C" w:rsidRPr="00ED4142">
              <w:rPr>
                <w:rFonts w:ascii="Book Antiqua" w:hAnsi="Book Antiqua"/>
                <w:color w:val="000000" w:themeColor="text1"/>
              </w:rPr>
              <w:t xml:space="preserve"> </w:t>
            </w:r>
          </w:p>
          <w:p w14:paraId="13A0263B" w14:textId="02CE3F3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Gender, female/male</w:t>
            </w:r>
            <w:r>
              <w:rPr>
                <w:rFonts w:ascii="Book Antiqua" w:hAnsi="Book Antiqua"/>
                <w:color w:val="000000" w:themeColor="text1"/>
              </w:rPr>
              <w:t xml:space="preserve">                   </w:t>
            </w:r>
            <w:r w:rsidRPr="00ED4142">
              <w:rPr>
                <w:rFonts w:ascii="Book Antiqua" w:hAnsi="Book Antiqua"/>
                <w:color w:val="000000" w:themeColor="text1"/>
              </w:rPr>
              <w:t xml:space="preserve"> </w:t>
            </w:r>
          </w:p>
          <w:p w14:paraId="01E76653" w14:textId="11E758A3"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Symptom</w:t>
            </w:r>
            <w:r>
              <w:rPr>
                <w:rFonts w:ascii="Book Antiqua" w:hAnsi="Book Antiqua"/>
                <w:color w:val="000000" w:themeColor="text1"/>
              </w:rPr>
              <w:t xml:space="preserve">                 </w:t>
            </w:r>
          </w:p>
          <w:p w14:paraId="254D3D2B" w14:textId="6F3B79B5"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Abdominal pain concomitant with jaundice</w:t>
            </w:r>
            <w:r>
              <w:rPr>
                <w:rFonts w:ascii="Book Antiqua" w:hAnsi="Book Antiqua"/>
                <w:color w:val="000000" w:themeColor="text1"/>
              </w:rPr>
              <w:t xml:space="preserve">          </w:t>
            </w:r>
          </w:p>
          <w:p w14:paraId="1F306B40" w14:textId="650CD40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Tumor largest dimension</w:t>
            </w:r>
            <w:r>
              <w:rPr>
                <w:rFonts w:ascii="Book Antiqua" w:hAnsi="Book Antiqua"/>
                <w:color w:val="000000" w:themeColor="text1"/>
              </w:rPr>
              <w:t xml:space="preserve">                 </w:t>
            </w:r>
            <w:r w:rsidRPr="00ED4142">
              <w:rPr>
                <w:rFonts w:ascii="Book Antiqua" w:hAnsi="Book Antiqua"/>
                <w:color w:val="000000" w:themeColor="text1"/>
              </w:rPr>
              <w:t xml:space="preserve"> </w:t>
            </w:r>
          </w:p>
          <w:p w14:paraId="1F8F2B74" w14:textId="31679D29"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Ascites</w:t>
            </w:r>
            <w:r>
              <w:rPr>
                <w:rFonts w:ascii="Book Antiqua" w:hAnsi="Book Antiqua"/>
                <w:color w:val="000000" w:themeColor="text1"/>
              </w:rPr>
              <w:t xml:space="preserve">                        </w:t>
            </w:r>
            <w:r w:rsidRPr="00ED4142">
              <w:rPr>
                <w:rFonts w:ascii="Book Antiqua" w:hAnsi="Book Antiqua"/>
                <w:color w:val="000000" w:themeColor="text1"/>
              </w:rPr>
              <w:t xml:space="preserve"> </w:t>
            </w:r>
          </w:p>
          <w:p w14:paraId="5282B344" w14:textId="3494845B"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Tumor location</w:t>
            </w:r>
            <w:r>
              <w:rPr>
                <w:rFonts w:ascii="Book Antiqua" w:hAnsi="Book Antiqua"/>
                <w:color w:val="000000" w:themeColor="text1"/>
              </w:rPr>
              <w:t xml:space="preserve">               </w:t>
            </w:r>
          </w:p>
          <w:p w14:paraId="7B242565" w14:textId="3C088688"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Pancreatic head/neck</w:t>
            </w:r>
            <w:r>
              <w:rPr>
                <w:rFonts w:ascii="Book Antiqua" w:hAnsi="Book Antiqua"/>
                <w:color w:val="000000" w:themeColor="text1"/>
              </w:rPr>
              <w:t xml:space="preserve">                   </w:t>
            </w:r>
          </w:p>
          <w:p w14:paraId="34BB90E6" w14:textId="0A5BF56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Pancreatic body/tail</w:t>
            </w:r>
            <w:r>
              <w:rPr>
                <w:rFonts w:ascii="Book Antiqua" w:hAnsi="Book Antiqua"/>
                <w:color w:val="000000" w:themeColor="text1"/>
              </w:rPr>
              <w:t xml:space="preserve">                   </w:t>
            </w:r>
            <w:r w:rsidRPr="00ED4142">
              <w:rPr>
                <w:rFonts w:ascii="Book Antiqua" w:hAnsi="Book Antiqua"/>
                <w:color w:val="000000" w:themeColor="text1"/>
              </w:rPr>
              <w:t xml:space="preserve"> </w:t>
            </w:r>
          </w:p>
          <w:p w14:paraId="1AB28F1D" w14:textId="50084776"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Initial VAS score</w:t>
            </w:r>
            <w:r>
              <w:rPr>
                <w:rFonts w:ascii="Book Antiqua" w:hAnsi="Book Antiqua"/>
                <w:color w:val="000000" w:themeColor="text1"/>
              </w:rPr>
              <w:t xml:space="preserve">                     </w:t>
            </w:r>
          </w:p>
          <w:p w14:paraId="4F2910EB" w14:textId="583DA728"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Tramadol use before EUS-CPN</w:t>
            </w:r>
            <w:r>
              <w:rPr>
                <w:rFonts w:ascii="Book Antiqua" w:hAnsi="Book Antiqua"/>
                <w:color w:val="000000" w:themeColor="text1"/>
              </w:rPr>
              <w:t xml:space="preserve">                </w:t>
            </w:r>
          </w:p>
          <w:p w14:paraId="757AE8DA" w14:textId="4F97E292" w:rsidR="00CD114C" w:rsidRPr="00ED4142" w:rsidRDefault="003D62B7" w:rsidP="00CD114C">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Invisible g</w:t>
            </w:r>
            <w:r w:rsidR="00CD114C" w:rsidRPr="00ED4142">
              <w:rPr>
                <w:rFonts w:ascii="Book Antiqua" w:hAnsi="Book Antiqua"/>
                <w:color w:val="000000" w:themeColor="text1"/>
              </w:rPr>
              <w:t xml:space="preserve">anglia </w:t>
            </w:r>
            <w:r w:rsidR="00CD114C">
              <w:rPr>
                <w:rFonts w:ascii="Book Antiqua" w:hAnsi="Book Antiqua"/>
                <w:color w:val="000000" w:themeColor="text1"/>
              </w:rPr>
              <w:t xml:space="preserve">                    </w:t>
            </w:r>
            <w:r w:rsidR="00CD114C" w:rsidRPr="00ED4142">
              <w:rPr>
                <w:rFonts w:ascii="Book Antiqua" w:hAnsi="Book Antiqua"/>
                <w:color w:val="000000" w:themeColor="text1"/>
              </w:rPr>
              <w:t xml:space="preserve"> </w:t>
            </w:r>
          </w:p>
          <w:p w14:paraId="0743D91A" w14:textId="6684B004"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Invasion of celiac plexus</w:t>
            </w:r>
            <w:r>
              <w:rPr>
                <w:rFonts w:ascii="Book Antiqua" w:hAnsi="Book Antiqua"/>
                <w:color w:val="000000" w:themeColor="text1"/>
              </w:rPr>
              <w:t xml:space="preserve">                 </w:t>
            </w:r>
            <w:r w:rsidRPr="00ED4142">
              <w:rPr>
                <w:rFonts w:ascii="Book Antiqua" w:hAnsi="Book Antiqua"/>
                <w:color w:val="000000" w:themeColor="text1"/>
              </w:rPr>
              <w:t xml:space="preserve"> </w:t>
            </w:r>
          </w:p>
          <w:p w14:paraId="50EC6F1F" w14:textId="544679E3"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Distant metastasis</w:t>
            </w:r>
            <w:r>
              <w:rPr>
                <w:rFonts w:ascii="Book Antiqua" w:hAnsi="Book Antiqua"/>
                <w:color w:val="000000" w:themeColor="text1"/>
              </w:rPr>
              <w:t xml:space="preserve">                    </w:t>
            </w:r>
          </w:p>
          <w:p w14:paraId="196FC657" w14:textId="106D1C3A"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Injected alcohol dose</w:t>
            </w:r>
            <w:r>
              <w:rPr>
                <w:rFonts w:ascii="Book Antiqua" w:hAnsi="Book Antiqua"/>
                <w:color w:val="000000" w:themeColor="text1"/>
              </w:rPr>
              <w:t xml:space="preserve">                   </w:t>
            </w:r>
          </w:p>
          <w:p w14:paraId="7018B56B"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 xml:space="preserve">Procedure method </w:t>
            </w:r>
          </w:p>
          <w:p w14:paraId="7EF4C473" w14:textId="5217D042"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Unilateral</w:t>
            </w:r>
            <w:r>
              <w:rPr>
                <w:rFonts w:ascii="Book Antiqua" w:hAnsi="Book Antiqua"/>
                <w:color w:val="000000" w:themeColor="text1"/>
              </w:rPr>
              <w:t xml:space="preserve">                       </w:t>
            </w:r>
            <w:r w:rsidRPr="00ED4142">
              <w:rPr>
                <w:rFonts w:ascii="Book Antiqua" w:hAnsi="Book Antiqua"/>
                <w:color w:val="000000" w:themeColor="text1"/>
              </w:rPr>
              <w:t xml:space="preserve"> </w:t>
            </w:r>
          </w:p>
          <w:p w14:paraId="0F217647" w14:textId="64C1081A"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Bilateral</w:t>
            </w:r>
            <w:r>
              <w:rPr>
                <w:rFonts w:ascii="Book Antiqua" w:hAnsi="Book Antiqua"/>
                <w:color w:val="000000" w:themeColor="text1"/>
              </w:rPr>
              <w:t xml:space="preserve">                     </w:t>
            </w:r>
          </w:p>
          <w:p w14:paraId="11C33712" w14:textId="76127E3B"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Intra-procedural decrease in heart rate</w:t>
            </w:r>
            <w:r>
              <w:rPr>
                <w:rFonts w:ascii="Book Antiqua" w:hAnsi="Book Antiqua"/>
                <w:color w:val="000000" w:themeColor="text1"/>
              </w:rPr>
              <w:t xml:space="preserve">            </w:t>
            </w:r>
            <w:r w:rsidRPr="00ED4142">
              <w:rPr>
                <w:rFonts w:ascii="Book Antiqua" w:hAnsi="Book Antiqua"/>
                <w:color w:val="000000" w:themeColor="text1"/>
              </w:rPr>
              <w:t xml:space="preserve"> </w:t>
            </w:r>
          </w:p>
        </w:tc>
        <w:tc>
          <w:tcPr>
            <w:tcW w:w="1134" w:type="dxa"/>
            <w:tcBorders>
              <w:top w:val="single" w:sz="4" w:space="0" w:color="auto"/>
            </w:tcBorders>
            <w:shd w:val="clear" w:color="auto" w:fill="FFFFFF" w:themeFill="background1"/>
          </w:tcPr>
          <w:p w14:paraId="092466A3"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1.091</w:t>
            </w:r>
          </w:p>
          <w:p w14:paraId="54823E6D"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1.124</w:t>
            </w:r>
          </w:p>
          <w:p w14:paraId="23A1B2D1" w14:textId="77777777" w:rsidR="00CD114C" w:rsidRPr="00ED4142" w:rsidRDefault="00CD114C" w:rsidP="00CD114C">
            <w:pPr>
              <w:adjustRightInd w:val="0"/>
              <w:snapToGrid w:val="0"/>
              <w:spacing w:line="360" w:lineRule="auto"/>
              <w:jc w:val="both"/>
              <w:rPr>
                <w:rFonts w:ascii="Book Antiqua" w:hAnsi="Book Antiqua"/>
                <w:color w:val="000000" w:themeColor="text1"/>
              </w:rPr>
            </w:pPr>
          </w:p>
          <w:p w14:paraId="0D55BFE4"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1.384</w:t>
            </w:r>
          </w:p>
          <w:p w14:paraId="2DAF37A4"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1.496</w:t>
            </w:r>
          </w:p>
          <w:p w14:paraId="35F64FB1"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1.921</w:t>
            </w:r>
          </w:p>
          <w:p w14:paraId="455C0D38" w14:textId="77777777" w:rsidR="00CD114C" w:rsidRPr="00ED4142" w:rsidRDefault="00CD114C" w:rsidP="00CD114C">
            <w:pPr>
              <w:adjustRightInd w:val="0"/>
              <w:snapToGrid w:val="0"/>
              <w:spacing w:line="360" w:lineRule="auto"/>
              <w:jc w:val="both"/>
              <w:rPr>
                <w:rFonts w:ascii="Book Antiqua" w:hAnsi="Book Antiqua"/>
                <w:color w:val="000000" w:themeColor="text1"/>
              </w:rPr>
            </w:pPr>
          </w:p>
          <w:p w14:paraId="777407F7"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3.59</w:t>
            </w:r>
          </w:p>
          <w:p w14:paraId="39627AC7"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0.42</w:t>
            </w:r>
          </w:p>
          <w:p w14:paraId="120CFB70"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2.93</w:t>
            </w:r>
          </w:p>
          <w:p w14:paraId="1716B4AF"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2.91</w:t>
            </w:r>
          </w:p>
          <w:p w14:paraId="5D1E4B81"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4.02</w:t>
            </w:r>
          </w:p>
          <w:p w14:paraId="6E437AF6"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8.84</w:t>
            </w:r>
          </w:p>
          <w:p w14:paraId="2DD12D2C"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7.83</w:t>
            </w:r>
          </w:p>
          <w:p w14:paraId="4CBEC9EC"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4.90</w:t>
            </w:r>
          </w:p>
          <w:p w14:paraId="4E5553E0" w14:textId="77777777" w:rsidR="00CD114C" w:rsidRPr="00ED4142" w:rsidRDefault="00CD114C" w:rsidP="00CD114C">
            <w:pPr>
              <w:adjustRightInd w:val="0"/>
              <w:snapToGrid w:val="0"/>
              <w:spacing w:line="360" w:lineRule="auto"/>
              <w:jc w:val="both"/>
              <w:rPr>
                <w:rFonts w:ascii="Book Antiqua" w:hAnsi="Book Antiqua"/>
                <w:color w:val="000000" w:themeColor="text1"/>
              </w:rPr>
            </w:pPr>
          </w:p>
          <w:p w14:paraId="3A7F9CDB"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2.87</w:t>
            </w:r>
          </w:p>
          <w:p w14:paraId="4CB1474A"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0.54</w:t>
            </w:r>
          </w:p>
          <w:p w14:paraId="4808B188"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0.94</w:t>
            </w:r>
          </w:p>
        </w:tc>
        <w:tc>
          <w:tcPr>
            <w:tcW w:w="1985" w:type="dxa"/>
            <w:tcBorders>
              <w:top w:val="single" w:sz="4" w:space="0" w:color="auto"/>
            </w:tcBorders>
            <w:shd w:val="clear" w:color="auto" w:fill="FFFFFF" w:themeFill="background1"/>
          </w:tcPr>
          <w:p w14:paraId="108F8B78"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0.63-3.94</w:t>
            </w:r>
          </w:p>
          <w:p w14:paraId="6DE644FF"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0.47-3.99</w:t>
            </w:r>
          </w:p>
          <w:p w14:paraId="35F1D2A3" w14:textId="77777777" w:rsidR="00CD114C" w:rsidRPr="00ED4142" w:rsidRDefault="00CD114C" w:rsidP="00CD114C">
            <w:pPr>
              <w:adjustRightInd w:val="0"/>
              <w:snapToGrid w:val="0"/>
              <w:spacing w:line="360" w:lineRule="auto"/>
              <w:jc w:val="both"/>
              <w:rPr>
                <w:rFonts w:ascii="Book Antiqua" w:hAnsi="Book Antiqua"/>
                <w:color w:val="000000" w:themeColor="text1"/>
              </w:rPr>
            </w:pPr>
          </w:p>
          <w:p w14:paraId="192A958D"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0.43–4.82</w:t>
            </w:r>
          </w:p>
          <w:p w14:paraId="11B81000"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0.32-5.92</w:t>
            </w:r>
          </w:p>
          <w:p w14:paraId="5D4A984E"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0.79–9.34</w:t>
            </w:r>
          </w:p>
          <w:p w14:paraId="11C1CD0B" w14:textId="77777777" w:rsidR="00CD114C" w:rsidRPr="00ED4142" w:rsidRDefault="00CD114C" w:rsidP="00CD114C">
            <w:pPr>
              <w:adjustRightInd w:val="0"/>
              <w:snapToGrid w:val="0"/>
              <w:spacing w:line="360" w:lineRule="auto"/>
              <w:jc w:val="both"/>
              <w:rPr>
                <w:rFonts w:ascii="Book Antiqua" w:hAnsi="Book Antiqua"/>
                <w:color w:val="000000" w:themeColor="text1"/>
              </w:rPr>
            </w:pPr>
          </w:p>
          <w:p w14:paraId="52E3D744"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0.40-10.06</w:t>
            </w:r>
          </w:p>
          <w:p w14:paraId="09C6355B"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0.15-12.77</w:t>
            </w:r>
          </w:p>
          <w:p w14:paraId="13F99BE2"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0.42-8.17</w:t>
            </w:r>
          </w:p>
          <w:p w14:paraId="69DDECF0"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0.24-19.40</w:t>
            </w:r>
          </w:p>
          <w:p w14:paraId="01D7AA1A"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1.62-13.27</w:t>
            </w:r>
          </w:p>
          <w:p w14:paraId="49A56509"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2.11-23.32</w:t>
            </w:r>
          </w:p>
          <w:p w14:paraId="6921EFF3"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1.81–15.77</w:t>
            </w:r>
          </w:p>
          <w:p w14:paraId="55FF1A6A"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1.32–17.91</w:t>
            </w:r>
          </w:p>
          <w:p w14:paraId="36A525E1" w14:textId="77777777" w:rsidR="00CD114C" w:rsidRPr="00ED4142" w:rsidRDefault="00CD114C" w:rsidP="00CD114C">
            <w:pPr>
              <w:adjustRightInd w:val="0"/>
              <w:snapToGrid w:val="0"/>
              <w:spacing w:line="360" w:lineRule="auto"/>
              <w:jc w:val="both"/>
              <w:rPr>
                <w:rFonts w:ascii="Book Antiqua" w:hAnsi="Book Antiqua"/>
                <w:color w:val="000000" w:themeColor="text1"/>
              </w:rPr>
            </w:pPr>
          </w:p>
          <w:p w14:paraId="78AB0C9D"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0.44–17.41</w:t>
            </w:r>
          </w:p>
          <w:p w14:paraId="550FE81B"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0.16–1.99</w:t>
            </w:r>
          </w:p>
          <w:p w14:paraId="5E48446D"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0.42–3.12</w:t>
            </w:r>
          </w:p>
        </w:tc>
        <w:tc>
          <w:tcPr>
            <w:tcW w:w="1276" w:type="dxa"/>
            <w:tcBorders>
              <w:top w:val="single" w:sz="4" w:space="0" w:color="auto"/>
            </w:tcBorders>
            <w:shd w:val="clear" w:color="auto" w:fill="FFFFFF" w:themeFill="background1"/>
          </w:tcPr>
          <w:p w14:paraId="1575E3AA"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0.209</w:t>
            </w:r>
          </w:p>
          <w:p w14:paraId="66ABB0F8"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0.532</w:t>
            </w:r>
          </w:p>
          <w:p w14:paraId="63B10D7B" w14:textId="77777777" w:rsidR="00CD114C" w:rsidRPr="00ED4142" w:rsidRDefault="00CD114C" w:rsidP="00CD114C">
            <w:pPr>
              <w:adjustRightInd w:val="0"/>
              <w:snapToGrid w:val="0"/>
              <w:spacing w:line="360" w:lineRule="auto"/>
              <w:jc w:val="both"/>
              <w:rPr>
                <w:rFonts w:ascii="Book Antiqua" w:hAnsi="Book Antiqua"/>
                <w:color w:val="000000" w:themeColor="text1"/>
              </w:rPr>
            </w:pPr>
          </w:p>
          <w:p w14:paraId="1A5F1D66"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0.618</w:t>
            </w:r>
          </w:p>
          <w:p w14:paraId="4DF7933E"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0.701</w:t>
            </w:r>
          </w:p>
          <w:p w14:paraId="2DD88C6A"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0.408</w:t>
            </w:r>
          </w:p>
          <w:p w14:paraId="678F7EA5" w14:textId="77777777" w:rsidR="00CD114C" w:rsidRPr="00ED4142" w:rsidRDefault="00CD114C" w:rsidP="00CD114C">
            <w:pPr>
              <w:adjustRightInd w:val="0"/>
              <w:snapToGrid w:val="0"/>
              <w:spacing w:line="360" w:lineRule="auto"/>
              <w:jc w:val="both"/>
              <w:rPr>
                <w:rFonts w:ascii="Book Antiqua" w:hAnsi="Book Antiqua"/>
                <w:color w:val="000000" w:themeColor="text1"/>
              </w:rPr>
            </w:pPr>
          </w:p>
          <w:p w14:paraId="06FA6C5E"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0.184</w:t>
            </w:r>
          </w:p>
          <w:p w14:paraId="501BFF41"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0.082</w:t>
            </w:r>
          </w:p>
          <w:p w14:paraId="5D1C47CA"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0.101</w:t>
            </w:r>
          </w:p>
          <w:p w14:paraId="20FAEECB"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0.149</w:t>
            </w:r>
          </w:p>
          <w:p w14:paraId="55A7B67D"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0.003</w:t>
            </w:r>
          </w:p>
          <w:p w14:paraId="1E10C3F6"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0.001</w:t>
            </w:r>
          </w:p>
          <w:p w14:paraId="043A7316"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0.009</w:t>
            </w:r>
          </w:p>
          <w:p w14:paraId="515DC7BE"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0.394</w:t>
            </w:r>
          </w:p>
          <w:p w14:paraId="15C49912" w14:textId="77777777" w:rsidR="00CD114C" w:rsidRPr="00ED4142" w:rsidRDefault="00CD114C" w:rsidP="00CD114C">
            <w:pPr>
              <w:adjustRightInd w:val="0"/>
              <w:snapToGrid w:val="0"/>
              <w:spacing w:line="360" w:lineRule="auto"/>
              <w:jc w:val="both"/>
              <w:rPr>
                <w:rFonts w:ascii="Book Antiqua" w:hAnsi="Book Antiqua"/>
                <w:color w:val="000000" w:themeColor="text1"/>
              </w:rPr>
            </w:pPr>
          </w:p>
          <w:p w14:paraId="3231013C"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0.502</w:t>
            </w:r>
          </w:p>
          <w:p w14:paraId="1D092F65"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0.093</w:t>
            </w:r>
          </w:p>
          <w:p w14:paraId="046BEBF2" w14:textId="77777777" w:rsidR="00CD114C" w:rsidRPr="00ED4142" w:rsidRDefault="00CD114C" w:rsidP="00CD114C">
            <w:pPr>
              <w:adjustRightInd w:val="0"/>
              <w:snapToGrid w:val="0"/>
              <w:spacing w:line="360" w:lineRule="auto"/>
              <w:jc w:val="both"/>
              <w:rPr>
                <w:rFonts w:ascii="Book Antiqua" w:hAnsi="Book Antiqua"/>
                <w:color w:val="000000" w:themeColor="text1"/>
              </w:rPr>
            </w:pPr>
            <w:r w:rsidRPr="00ED4142">
              <w:rPr>
                <w:rFonts w:ascii="Book Antiqua" w:hAnsi="Book Antiqua"/>
                <w:color w:val="000000" w:themeColor="text1"/>
              </w:rPr>
              <w:t>0.858</w:t>
            </w:r>
          </w:p>
        </w:tc>
      </w:tr>
    </w:tbl>
    <w:p w14:paraId="37F5AC97" w14:textId="10DBC9F1" w:rsidR="00CD114C" w:rsidRPr="00B94601" w:rsidRDefault="005A209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CI: Confidence interval</w:t>
      </w:r>
      <w:r>
        <w:rPr>
          <w:rFonts w:ascii="Book Antiqua" w:hAnsi="Book Antiqua"/>
          <w:color w:val="000000" w:themeColor="text1"/>
        </w:rPr>
        <w:t>;</w:t>
      </w:r>
      <w:r w:rsidRPr="00B94601">
        <w:rPr>
          <w:rFonts w:ascii="Book Antiqua" w:hAnsi="Book Antiqua"/>
          <w:color w:val="000000" w:themeColor="text1"/>
        </w:rPr>
        <w:t xml:space="preserve"> </w:t>
      </w:r>
      <w:r w:rsidR="00CD114C" w:rsidRPr="00B94601">
        <w:rPr>
          <w:rFonts w:ascii="Book Antiqua" w:hAnsi="Book Antiqua"/>
          <w:color w:val="000000" w:themeColor="text1"/>
        </w:rPr>
        <w:t xml:space="preserve">EUS-CPN: Endoscopic ultrasound-guided celiac plexus neurolysis; </w:t>
      </w:r>
      <w:r w:rsidRPr="00B94601">
        <w:rPr>
          <w:rFonts w:ascii="Book Antiqua" w:hAnsi="Book Antiqua"/>
          <w:color w:val="000000" w:themeColor="text1"/>
        </w:rPr>
        <w:t>OR: Odds ratio</w:t>
      </w:r>
      <w:r>
        <w:rPr>
          <w:rFonts w:ascii="Book Antiqua" w:hAnsi="Book Antiqua"/>
          <w:color w:val="000000" w:themeColor="text1"/>
        </w:rPr>
        <w:t>;</w:t>
      </w:r>
      <w:r w:rsidRPr="00B94601">
        <w:rPr>
          <w:rFonts w:ascii="Book Antiqua" w:hAnsi="Book Antiqua"/>
          <w:color w:val="000000" w:themeColor="text1"/>
        </w:rPr>
        <w:t xml:space="preserve"> </w:t>
      </w:r>
      <w:r w:rsidR="00CD114C" w:rsidRPr="00B94601">
        <w:rPr>
          <w:rFonts w:ascii="Book Antiqua" w:hAnsi="Book Antiqua"/>
          <w:color w:val="000000" w:themeColor="text1"/>
        </w:rPr>
        <w:t>VAS: Visual analogue scale.</w:t>
      </w:r>
    </w:p>
    <w:p w14:paraId="5F5D1874" w14:textId="1CC40EFA" w:rsidR="00CD114C" w:rsidRPr="00B94601" w:rsidRDefault="00CD114C" w:rsidP="00CD114C">
      <w:pPr>
        <w:adjustRightInd w:val="0"/>
        <w:snapToGrid w:val="0"/>
        <w:spacing w:line="360" w:lineRule="auto"/>
        <w:jc w:val="both"/>
        <w:rPr>
          <w:rFonts w:ascii="Book Antiqua" w:hAnsi="Book Antiqua"/>
          <w:color w:val="000000" w:themeColor="text1"/>
        </w:rPr>
      </w:pPr>
      <w:r>
        <w:rPr>
          <w:rFonts w:ascii="Book Antiqua" w:hAnsi="Book Antiqua"/>
          <w:b/>
          <w:color w:val="000000" w:themeColor="text1"/>
        </w:rPr>
        <w:br w:type="page"/>
      </w:r>
      <w:r w:rsidRPr="00B94601">
        <w:rPr>
          <w:rFonts w:ascii="Book Antiqua" w:hAnsi="Book Antiqua"/>
          <w:b/>
          <w:color w:val="000000" w:themeColor="text1"/>
        </w:rPr>
        <w:lastRenderedPageBreak/>
        <w:t xml:space="preserve">Table 5 </w:t>
      </w:r>
      <w:r w:rsidRPr="00B94601">
        <w:rPr>
          <w:rFonts w:ascii="Book Antiqua" w:hAnsi="Book Antiqua"/>
          <w:b/>
          <w:bCs/>
          <w:color w:val="000000" w:themeColor="text1"/>
        </w:rPr>
        <w:t xml:space="preserve">Multivariate analysis for predictors affecting pain response after 4 wk by </w:t>
      </w:r>
      <w:r>
        <w:rPr>
          <w:rFonts w:ascii="Book Antiqua" w:hAnsi="Book Antiqua"/>
          <w:b/>
          <w:bCs/>
          <w:color w:val="000000" w:themeColor="text1"/>
        </w:rPr>
        <w:t>e</w:t>
      </w:r>
      <w:r w:rsidRPr="00B94601">
        <w:rPr>
          <w:rFonts w:ascii="Book Antiqua" w:hAnsi="Book Antiqua"/>
          <w:b/>
          <w:bCs/>
          <w:color w:val="000000" w:themeColor="text1"/>
        </w:rPr>
        <w:t>ndoscopic ultrasound-guided celiac plexus neurolysis</w:t>
      </w:r>
    </w:p>
    <w:tbl>
      <w:tblPr>
        <w:tblStyle w:val="a3"/>
        <w:tblW w:w="83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446"/>
        <w:gridCol w:w="1843"/>
        <w:gridCol w:w="1985"/>
      </w:tblGrid>
      <w:tr w:rsidR="00CD114C" w:rsidRPr="00B94601" w14:paraId="10212423" w14:textId="77777777" w:rsidTr="00183011">
        <w:tc>
          <w:tcPr>
            <w:tcW w:w="3085" w:type="dxa"/>
            <w:tcBorders>
              <w:top w:val="single" w:sz="4" w:space="0" w:color="auto"/>
              <w:bottom w:val="single" w:sz="4" w:space="0" w:color="auto"/>
            </w:tcBorders>
            <w:shd w:val="clear" w:color="auto" w:fill="FFFFFF" w:themeFill="background1"/>
          </w:tcPr>
          <w:p w14:paraId="1180115B" w14:textId="76EC38B4"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color w:val="000000" w:themeColor="text1"/>
              </w:rPr>
              <w:t>Independent variables</w:t>
            </w:r>
            <w:r>
              <w:rPr>
                <w:rFonts w:ascii="Book Antiqua" w:hAnsi="Book Antiqua"/>
                <w:b/>
                <w:bCs/>
                <w:color w:val="000000" w:themeColor="text1"/>
              </w:rPr>
              <w:t xml:space="preserve">                    </w:t>
            </w:r>
          </w:p>
        </w:tc>
        <w:tc>
          <w:tcPr>
            <w:tcW w:w="1446" w:type="dxa"/>
            <w:tcBorders>
              <w:top w:val="single" w:sz="4" w:space="0" w:color="auto"/>
              <w:bottom w:val="single" w:sz="4" w:space="0" w:color="auto"/>
            </w:tcBorders>
            <w:shd w:val="clear" w:color="auto" w:fill="FFFFFF" w:themeFill="background1"/>
          </w:tcPr>
          <w:p w14:paraId="79268328" w14:textId="77777777"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color w:val="000000" w:themeColor="text1"/>
              </w:rPr>
              <w:t>OR</w:t>
            </w:r>
          </w:p>
        </w:tc>
        <w:tc>
          <w:tcPr>
            <w:tcW w:w="1843" w:type="dxa"/>
            <w:tcBorders>
              <w:top w:val="single" w:sz="4" w:space="0" w:color="auto"/>
              <w:bottom w:val="single" w:sz="4" w:space="0" w:color="auto"/>
            </w:tcBorders>
            <w:shd w:val="clear" w:color="auto" w:fill="FFFFFF" w:themeFill="background1"/>
          </w:tcPr>
          <w:p w14:paraId="55829116" w14:textId="77777777"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color w:val="000000" w:themeColor="text1"/>
              </w:rPr>
              <w:t>95%CI</w:t>
            </w:r>
          </w:p>
        </w:tc>
        <w:tc>
          <w:tcPr>
            <w:tcW w:w="1985" w:type="dxa"/>
            <w:tcBorders>
              <w:top w:val="single" w:sz="4" w:space="0" w:color="auto"/>
              <w:bottom w:val="single" w:sz="4" w:space="0" w:color="auto"/>
            </w:tcBorders>
            <w:shd w:val="clear" w:color="auto" w:fill="FFFFFF" w:themeFill="background1"/>
          </w:tcPr>
          <w:p w14:paraId="0D04E711" w14:textId="77777777" w:rsidR="00CD114C" w:rsidRPr="00B94601" w:rsidRDefault="00CD114C" w:rsidP="00CD114C">
            <w:pPr>
              <w:adjustRightInd w:val="0"/>
              <w:snapToGrid w:val="0"/>
              <w:spacing w:line="360" w:lineRule="auto"/>
              <w:jc w:val="both"/>
              <w:rPr>
                <w:rFonts w:ascii="Book Antiqua" w:hAnsi="Book Antiqua"/>
                <w:b/>
                <w:bCs/>
                <w:color w:val="000000" w:themeColor="text1"/>
              </w:rPr>
            </w:pPr>
            <w:r w:rsidRPr="00B94601">
              <w:rPr>
                <w:rFonts w:ascii="Book Antiqua" w:hAnsi="Book Antiqua"/>
                <w:b/>
                <w:bCs/>
                <w:i/>
                <w:iCs/>
                <w:color w:val="000000" w:themeColor="text1"/>
              </w:rPr>
              <w:t>P</w:t>
            </w:r>
            <w:r w:rsidRPr="00B94601">
              <w:rPr>
                <w:rFonts w:ascii="Book Antiqua" w:hAnsi="Book Antiqua"/>
                <w:b/>
                <w:bCs/>
                <w:color w:val="000000" w:themeColor="text1"/>
              </w:rPr>
              <w:t xml:space="preserve"> value</w:t>
            </w:r>
          </w:p>
        </w:tc>
      </w:tr>
      <w:tr w:rsidR="00CD114C" w:rsidRPr="00B94601" w14:paraId="0427EE2A" w14:textId="77777777" w:rsidTr="00183011">
        <w:tc>
          <w:tcPr>
            <w:tcW w:w="3085" w:type="dxa"/>
            <w:tcBorders>
              <w:top w:val="single" w:sz="4" w:space="0" w:color="auto"/>
            </w:tcBorders>
          </w:tcPr>
          <w:p w14:paraId="62740597" w14:textId="334F6A80" w:rsidR="00CD114C" w:rsidRPr="00B94601" w:rsidRDefault="003D62B7" w:rsidP="00CD114C">
            <w:pPr>
              <w:adjustRightInd w:val="0"/>
              <w:snapToGrid w:val="0"/>
              <w:spacing w:line="360" w:lineRule="auto"/>
              <w:jc w:val="both"/>
              <w:rPr>
                <w:rFonts w:ascii="Book Antiqua" w:hAnsi="Book Antiqua"/>
                <w:color w:val="000000" w:themeColor="text1"/>
              </w:rPr>
            </w:pPr>
            <w:r>
              <w:rPr>
                <w:rFonts w:ascii="Book Antiqua" w:hAnsi="Book Antiqua"/>
                <w:color w:val="000000" w:themeColor="text1"/>
              </w:rPr>
              <w:t>Invisible g</w:t>
            </w:r>
            <w:r w:rsidR="00CD114C" w:rsidRPr="00B94601">
              <w:rPr>
                <w:rFonts w:ascii="Book Antiqua" w:hAnsi="Book Antiqua"/>
                <w:color w:val="000000" w:themeColor="text1"/>
              </w:rPr>
              <w:t>anglia</w:t>
            </w:r>
            <w:r w:rsidR="00CD114C">
              <w:rPr>
                <w:rFonts w:ascii="Book Antiqua" w:hAnsi="Book Antiqua"/>
                <w:color w:val="000000" w:themeColor="text1"/>
              </w:rPr>
              <w:t xml:space="preserve">                   </w:t>
            </w:r>
            <w:r w:rsidR="00CD114C" w:rsidRPr="00B94601">
              <w:rPr>
                <w:rFonts w:ascii="Book Antiqua" w:hAnsi="Book Antiqua"/>
                <w:color w:val="000000" w:themeColor="text1"/>
              </w:rPr>
              <w:t xml:space="preserve"> </w:t>
            </w:r>
          </w:p>
          <w:p w14:paraId="18075883" w14:textId="59D20B68"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Invasion of celiac plexus</w:t>
            </w:r>
            <w:r>
              <w:rPr>
                <w:rFonts w:ascii="Book Antiqua" w:hAnsi="Book Antiqua"/>
                <w:color w:val="000000" w:themeColor="text1"/>
              </w:rPr>
              <w:t xml:space="preserve">               </w:t>
            </w:r>
            <w:r w:rsidRPr="00B94601">
              <w:rPr>
                <w:rFonts w:ascii="Book Antiqua" w:hAnsi="Book Antiqua"/>
                <w:color w:val="000000" w:themeColor="text1"/>
              </w:rPr>
              <w:t xml:space="preserve"> </w:t>
            </w:r>
          </w:p>
          <w:p w14:paraId="6CDB4738" w14:textId="0BB9E628"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Distant metastasis</w:t>
            </w:r>
            <w:r>
              <w:rPr>
                <w:rFonts w:ascii="Book Antiqua" w:hAnsi="Book Antiqua"/>
                <w:color w:val="000000" w:themeColor="text1"/>
              </w:rPr>
              <w:t xml:space="preserve">                  </w:t>
            </w:r>
            <w:r w:rsidRPr="00B94601">
              <w:rPr>
                <w:rFonts w:ascii="Book Antiqua" w:hAnsi="Book Antiqua"/>
                <w:color w:val="000000" w:themeColor="text1"/>
              </w:rPr>
              <w:t xml:space="preserve"> </w:t>
            </w:r>
          </w:p>
        </w:tc>
        <w:tc>
          <w:tcPr>
            <w:tcW w:w="1446" w:type="dxa"/>
            <w:tcBorders>
              <w:top w:val="single" w:sz="4" w:space="0" w:color="auto"/>
            </w:tcBorders>
          </w:tcPr>
          <w:p w14:paraId="334820F0"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5.85</w:t>
            </w:r>
          </w:p>
          <w:p w14:paraId="712458BF"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15.11</w:t>
            </w:r>
          </w:p>
          <w:p w14:paraId="1A6D951E"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8.59</w:t>
            </w:r>
          </w:p>
        </w:tc>
        <w:tc>
          <w:tcPr>
            <w:tcW w:w="1843" w:type="dxa"/>
            <w:tcBorders>
              <w:top w:val="single" w:sz="4" w:space="0" w:color="auto"/>
            </w:tcBorders>
          </w:tcPr>
          <w:p w14:paraId="78FE71F1"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2.66-22.73</w:t>
            </w:r>
          </w:p>
          <w:p w14:paraId="546626C8"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4.01-51.22</w:t>
            </w:r>
          </w:p>
          <w:p w14:paraId="6DEAA6C9"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2.16–27.02</w:t>
            </w:r>
          </w:p>
        </w:tc>
        <w:tc>
          <w:tcPr>
            <w:tcW w:w="1985" w:type="dxa"/>
            <w:tcBorders>
              <w:top w:val="single" w:sz="4" w:space="0" w:color="auto"/>
            </w:tcBorders>
          </w:tcPr>
          <w:p w14:paraId="5E0D6EF2"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0.037</w:t>
            </w:r>
          </w:p>
          <w:p w14:paraId="4466128E"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0.001</w:t>
            </w:r>
          </w:p>
          <w:p w14:paraId="1AE2A6DB" w14:textId="77777777" w:rsidR="00CD114C" w:rsidRPr="00B94601"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0.019</w:t>
            </w:r>
          </w:p>
        </w:tc>
      </w:tr>
    </w:tbl>
    <w:p w14:paraId="4458ADED" w14:textId="08B56E65" w:rsidR="00A77B3E" w:rsidRPr="00CD114C" w:rsidRDefault="00CD114C" w:rsidP="00CD114C">
      <w:pPr>
        <w:adjustRightInd w:val="0"/>
        <w:snapToGrid w:val="0"/>
        <w:spacing w:line="360" w:lineRule="auto"/>
        <w:jc w:val="both"/>
        <w:rPr>
          <w:rFonts w:ascii="Book Antiqua" w:hAnsi="Book Antiqua"/>
          <w:color w:val="000000" w:themeColor="text1"/>
        </w:rPr>
      </w:pPr>
      <w:r w:rsidRPr="00B94601">
        <w:rPr>
          <w:rFonts w:ascii="Book Antiqua" w:hAnsi="Book Antiqua"/>
          <w:color w:val="000000" w:themeColor="text1"/>
        </w:rPr>
        <w:t xml:space="preserve">Summarizes the results of the multivariate analyses of the predictive factors associated with pain relief by EUS-CPN. The only independent predictive factors that achieved statistical significance in the univariate analysis were included. CI: </w:t>
      </w:r>
      <w:r>
        <w:rPr>
          <w:rFonts w:ascii="Book Antiqua" w:hAnsi="Book Antiqua"/>
          <w:color w:val="000000" w:themeColor="text1"/>
        </w:rPr>
        <w:t>C</w:t>
      </w:r>
      <w:r w:rsidRPr="00B94601">
        <w:rPr>
          <w:rFonts w:ascii="Book Antiqua" w:hAnsi="Book Antiqua"/>
          <w:color w:val="000000" w:themeColor="text1"/>
        </w:rPr>
        <w:t>onfidence interval; EUS-CPN</w:t>
      </w:r>
      <w:r w:rsidR="008D121D">
        <w:rPr>
          <w:rFonts w:ascii="Book Antiqua" w:hAnsi="Book Antiqua" w:hint="eastAsia"/>
          <w:color w:val="000000" w:themeColor="text1"/>
          <w:lang w:eastAsia="zh-CN"/>
        </w:rPr>
        <w:t>:</w:t>
      </w:r>
      <w:r w:rsidRPr="00B94601">
        <w:rPr>
          <w:rFonts w:ascii="Book Antiqua" w:hAnsi="Book Antiqua"/>
          <w:color w:val="000000" w:themeColor="text1"/>
        </w:rPr>
        <w:t xml:space="preserve"> </w:t>
      </w:r>
      <w:r>
        <w:rPr>
          <w:rFonts w:ascii="Book Antiqua" w:hAnsi="Book Antiqua"/>
          <w:color w:val="000000" w:themeColor="text1"/>
        </w:rPr>
        <w:t>E</w:t>
      </w:r>
      <w:r w:rsidRPr="00B94601">
        <w:rPr>
          <w:rFonts w:ascii="Book Antiqua" w:hAnsi="Book Antiqua"/>
          <w:color w:val="000000" w:themeColor="text1"/>
        </w:rPr>
        <w:t>ndoscopic ultrasound-guided celiac plexus neurolysis</w:t>
      </w:r>
      <w:r w:rsidR="005A209C">
        <w:rPr>
          <w:rFonts w:ascii="Book Antiqua" w:hAnsi="Book Antiqua"/>
          <w:color w:val="000000" w:themeColor="text1"/>
        </w:rPr>
        <w:t xml:space="preserve">; </w:t>
      </w:r>
      <w:r w:rsidR="005A209C" w:rsidRPr="00B94601">
        <w:rPr>
          <w:rFonts w:ascii="Book Antiqua" w:hAnsi="Book Antiqua"/>
          <w:color w:val="000000" w:themeColor="text1"/>
        </w:rPr>
        <w:t>OR: Odds ratio</w:t>
      </w:r>
      <w:r w:rsidRPr="00B94601">
        <w:rPr>
          <w:rFonts w:ascii="Book Antiqua" w:hAnsi="Book Antiqua"/>
          <w:color w:val="000000" w:themeColor="text1"/>
        </w:rPr>
        <w:t>.</w:t>
      </w:r>
    </w:p>
    <w:sectPr w:rsidR="00A77B3E" w:rsidRPr="00CD114C">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7" w:author="Jennifer Benavides" w:date="2020-11-13T21:16:00Z" w:initials="JB">
    <w:p w14:paraId="0A62D692" w14:textId="4A82A91C" w:rsidR="00B94D08" w:rsidRDefault="00B94D08">
      <w:pPr>
        <w:pStyle w:val="a9"/>
      </w:pPr>
      <w:r>
        <w:rPr>
          <w:rStyle w:val="a8"/>
        </w:rPr>
        <w:annotationRef/>
      </w:r>
      <w:r>
        <w:t>What unit of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62D69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7644" w16cex:dateUtc="2020-11-14T02: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62D692" w16cid:durableId="235976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35FE44" w14:textId="77777777" w:rsidR="007652A0" w:rsidRDefault="007652A0" w:rsidP="00CD114C">
      <w:r>
        <w:separator/>
      </w:r>
    </w:p>
  </w:endnote>
  <w:endnote w:type="continuationSeparator" w:id="0">
    <w:p w14:paraId="6D508EED" w14:textId="77777777" w:rsidR="007652A0" w:rsidRDefault="007652A0" w:rsidP="00CD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229266500"/>
      <w:docPartObj>
        <w:docPartGallery w:val="Page Numbers (Bottom of Page)"/>
        <w:docPartUnique/>
      </w:docPartObj>
    </w:sdtPr>
    <w:sdtEndPr>
      <w:rPr>
        <w:noProof/>
      </w:rPr>
    </w:sdtEndPr>
    <w:sdtContent>
      <w:p w14:paraId="2B4F2A09" w14:textId="4FF330BF" w:rsidR="00183011" w:rsidRPr="00866D5B" w:rsidRDefault="00183011">
        <w:pPr>
          <w:pStyle w:val="a5"/>
          <w:jc w:val="right"/>
          <w:rPr>
            <w:rFonts w:ascii="Book Antiqua" w:hAnsi="Book Antiqua"/>
            <w:sz w:val="24"/>
            <w:szCs w:val="24"/>
          </w:rPr>
        </w:pPr>
        <w:r w:rsidRPr="00866D5B">
          <w:rPr>
            <w:rFonts w:ascii="Book Antiqua" w:hAnsi="Book Antiqua"/>
            <w:sz w:val="24"/>
            <w:szCs w:val="24"/>
          </w:rPr>
          <w:fldChar w:fldCharType="begin"/>
        </w:r>
        <w:r w:rsidRPr="00866D5B">
          <w:rPr>
            <w:rFonts w:ascii="Book Antiqua" w:hAnsi="Book Antiqua"/>
            <w:sz w:val="24"/>
            <w:szCs w:val="24"/>
          </w:rPr>
          <w:instrText xml:space="preserve"> PAGE   \* MERGEFORMAT </w:instrText>
        </w:r>
        <w:r w:rsidRPr="00866D5B">
          <w:rPr>
            <w:rFonts w:ascii="Book Antiqua" w:hAnsi="Book Antiqua"/>
            <w:sz w:val="24"/>
            <w:szCs w:val="24"/>
          </w:rPr>
          <w:fldChar w:fldCharType="separate"/>
        </w:r>
        <w:r w:rsidR="008D2DA8">
          <w:rPr>
            <w:rFonts w:ascii="Book Antiqua" w:hAnsi="Book Antiqua"/>
            <w:noProof/>
            <w:sz w:val="24"/>
            <w:szCs w:val="24"/>
          </w:rPr>
          <w:t>4</w:t>
        </w:r>
        <w:r w:rsidRPr="00866D5B">
          <w:rPr>
            <w:rFonts w:ascii="Book Antiqua" w:hAnsi="Book Antiqua"/>
            <w:noProof/>
            <w:sz w:val="24"/>
            <w:szCs w:val="24"/>
          </w:rPr>
          <w:fldChar w:fldCharType="end"/>
        </w:r>
        <w:r w:rsidR="003D62B7">
          <w:rPr>
            <w:rFonts w:ascii="Book Antiqua" w:hAnsi="Book Antiqua"/>
            <w:noProof/>
            <w:sz w:val="24"/>
            <w:szCs w:val="24"/>
          </w:rPr>
          <w:t xml:space="preserve"> </w:t>
        </w:r>
        <w:r w:rsidRPr="00866D5B">
          <w:rPr>
            <w:rFonts w:ascii="Book Antiqua" w:hAnsi="Book Antiqua"/>
            <w:noProof/>
            <w:sz w:val="24"/>
            <w:szCs w:val="24"/>
          </w:rPr>
          <w:t>/</w:t>
        </w:r>
        <w:r w:rsidR="003D62B7">
          <w:rPr>
            <w:rFonts w:ascii="Book Antiqua" w:hAnsi="Book Antiqua"/>
            <w:noProof/>
            <w:sz w:val="24"/>
            <w:szCs w:val="24"/>
          </w:rPr>
          <w:t xml:space="preserve"> </w:t>
        </w:r>
        <w:r w:rsidRPr="00866D5B">
          <w:rPr>
            <w:rFonts w:ascii="Book Antiqua" w:hAnsi="Book Antiqua"/>
            <w:noProof/>
            <w:sz w:val="24"/>
            <w:szCs w:val="24"/>
          </w:rPr>
          <w:t>2</w:t>
        </w:r>
        <w:r>
          <w:rPr>
            <w:rFonts w:ascii="Book Antiqua" w:hAnsi="Book Antiqua"/>
            <w:noProof/>
            <w:sz w:val="24"/>
            <w:szCs w:val="24"/>
          </w:rPr>
          <w:t>6</w:t>
        </w:r>
      </w:p>
    </w:sdtContent>
  </w:sdt>
  <w:p w14:paraId="709A9A8B" w14:textId="77777777" w:rsidR="00183011" w:rsidRDefault="0018301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869957" w14:textId="77777777" w:rsidR="007652A0" w:rsidRDefault="007652A0" w:rsidP="00CD114C">
      <w:r>
        <w:separator/>
      </w:r>
    </w:p>
  </w:footnote>
  <w:footnote w:type="continuationSeparator" w:id="0">
    <w:p w14:paraId="6A3D6B42" w14:textId="77777777" w:rsidR="007652A0" w:rsidRDefault="007652A0" w:rsidP="00CD114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Benavides">
    <w15:presenceInfo w15:providerId="Windows Live" w15:userId="4cbf9624bcf2e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0CA"/>
    <w:rsid w:val="00020023"/>
    <w:rsid w:val="000330AB"/>
    <w:rsid w:val="000927EF"/>
    <w:rsid w:val="000B465F"/>
    <w:rsid w:val="000E14B5"/>
    <w:rsid w:val="000E4C2C"/>
    <w:rsid w:val="000E56E9"/>
    <w:rsid w:val="000F7670"/>
    <w:rsid w:val="00110CAC"/>
    <w:rsid w:val="00183011"/>
    <w:rsid w:val="001C2FCD"/>
    <w:rsid w:val="001C7ED0"/>
    <w:rsid w:val="001E6640"/>
    <w:rsid w:val="002921E6"/>
    <w:rsid w:val="002B09B1"/>
    <w:rsid w:val="00317B4B"/>
    <w:rsid w:val="00375D9F"/>
    <w:rsid w:val="003860A9"/>
    <w:rsid w:val="003B0BA5"/>
    <w:rsid w:val="003B4F6E"/>
    <w:rsid w:val="003D62B7"/>
    <w:rsid w:val="00405C98"/>
    <w:rsid w:val="0044613E"/>
    <w:rsid w:val="004C0F3D"/>
    <w:rsid w:val="004C655E"/>
    <w:rsid w:val="0053502F"/>
    <w:rsid w:val="00544CB5"/>
    <w:rsid w:val="00582F98"/>
    <w:rsid w:val="00592F66"/>
    <w:rsid w:val="005A209C"/>
    <w:rsid w:val="005D750B"/>
    <w:rsid w:val="005E5DB4"/>
    <w:rsid w:val="00654B26"/>
    <w:rsid w:val="0069306A"/>
    <w:rsid w:val="007652A0"/>
    <w:rsid w:val="007A28A0"/>
    <w:rsid w:val="00866D5B"/>
    <w:rsid w:val="00877A25"/>
    <w:rsid w:val="008D121D"/>
    <w:rsid w:val="008D2DA8"/>
    <w:rsid w:val="008D3DDF"/>
    <w:rsid w:val="00986B25"/>
    <w:rsid w:val="009A311F"/>
    <w:rsid w:val="009B1B96"/>
    <w:rsid w:val="009B365A"/>
    <w:rsid w:val="009C0016"/>
    <w:rsid w:val="009E1AE6"/>
    <w:rsid w:val="009F5A8C"/>
    <w:rsid w:val="00A77B3E"/>
    <w:rsid w:val="00A821C4"/>
    <w:rsid w:val="00AC30B8"/>
    <w:rsid w:val="00AC56D8"/>
    <w:rsid w:val="00AC65B4"/>
    <w:rsid w:val="00B94D08"/>
    <w:rsid w:val="00BD3DB2"/>
    <w:rsid w:val="00C26154"/>
    <w:rsid w:val="00C57D97"/>
    <w:rsid w:val="00C61F8E"/>
    <w:rsid w:val="00C96E4A"/>
    <w:rsid w:val="00CA2A55"/>
    <w:rsid w:val="00CD114C"/>
    <w:rsid w:val="00D13D43"/>
    <w:rsid w:val="00E06D21"/>
    <w:rsid w:val="00E235A9"/>
    <w:rsid w:val="00E46CD9"/>
    <w:rsid w:val="00ED0DBC"/>
    <w:rsid w:val="00ED28E3"/>
    <w:rsid w:val="00F05667"/>
    <w:rsid w:val="00F53B83"/>
    <w:rsid w:val="00FE1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90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14C"/>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CD11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D114C"/>
    <w:rPr>
      <w:sz w:val="18"/>
      <w:szCs w:val="18"/>
    </w:rPr>
  </w:style>
  <w:style w:type="paragraph" w:styleId="a5">
    <w:name w:val="footer"/>
    <w:basedOn w:val="a"/>
    <w:link w:val="Char0"/>
    <w:uiPriority w:val="99"/>
    <w:unhideWhenUsed/>
    <w:rsid w:val="00CD114C"/>
    <w:pPr>
      <w:tabs>
        <w:tab w:val="center" w:pos="4153"/>
        <w:tab w:val="right" w:pos="8306"/>
      </w:tabs>
      <w:snapToGrid w:val="0"/>
    </w:pPr>
    <w:rPr>
      <w:sz w:val="18"/>
      <w:szCs w:val="18"/>
    </w:rPr>
  </w:style>
  <w:style w:type="character" w:customStyle="1" w:styleId="Char0">
    <w:name w:val="页脚 Char"/>
    <w:basedOn w:val="a0"/>
    <w:link w:val="a5"/>
    <w:uiPriority w:val="99"/>
    <w:rsid w:val="00CD114C"/>
    <w:rPr>
      <w:sz w:val="18"/>
      <w:szCs w:val="18"/>
    </w:rPr>
  </w:style>
  <w:style w:type="paragraph" w:styleId="a6">
    <w:name w:val="Balloon Text"/>
    <w:basedOn w:val="a"/>
    <w:link w:val="Char1"/>
    <w:rsid w:val="007A28A0"/>
    <w:rPr>
      <w:sz w:val="18"/>
      <w:szCs w:val="18"/>
    </w:rPr>
  </w:style>
  <w:style w:type="character" w:customStyle="1" w:styleId="Char1">
    <w:name w:val="批注框文本 Char"/>
    <w:basedOn w:val="a0"/>
    <w:link w:val="a6"/>
    <w:rsid w:val="007A28A0"/>
    <w:rPr>
      <w:sz w:val="18"/>
      <w:szCs w:val="18"/>
    </w:rPr>
  </w:style>
  <w:style w:type="paragraph" w:styleId="a7">
    <w:name w:val="Revision"/>
    <w:hidden/>
    <w:uiPriority w:val="99"/>
    <w:semiHidden/>
    <w:rsid w:val="00183011"/>
    <w:rPr>
      <w:sz w:val="24"/>
      <w:szCs w:val="24"/>
    </w:rPr>
  </w:style>
  <w:style w:type="character" w:styleId="a8">
    <w:name w:val="annotation reference"/>
    <w:basedOn w:val="a0"/>
    <w:semiHidden/>
    <w:unhideWhenUsed/>
    <w:rsid w:val="00B94D08"/>
    <w:rPr>
      <w:sz w:val="16"/>
      <w:szCs w:val="16"/>
    </w:rPr>
  </w:style>
  <w:style w:type="paragraph" w:styleId="a9">
    <w:name w:val="annotation text"/>
    <w:basedOn w:val="a"/>
    <w:link w:val="Char2"/>
    <w:semiHidden/>
    <w:unhideWhenUsed/>
    <w:rsid w:val="00B94D08"/>
    <w:rPr>
      <w:sz w:val="20"/>
      <w:szCs w:val="20"/>
    </w:rPr>
  </w:style>
  <w:style w:type="character" w:customStyle="1" w:styleId="Char2">
    <w:name w:val="批注文字 Char"/>
    <w:basedOn w:val="a0"/>
    <w:link w:val="a9"/>
    <w:semiHidden/>
    <w:rsid w:val="00B94D08"/>
  </w:style>
  <w:style w:type="paragraph" w:styleId="aa">
    <w:name w:val="annotation subject"/>
    <w:basedOn w:val="a9"/>
    <w:next w:val="a9"/>
    <w:link w:val="Char3"/>
    <w:semiHidden/>
    <w:unhideWhenUsed/>
    <w:rsid w:val="00B94D08"/>
    <w:rPr>
      <w:b/>
      <w:bCs/>
    </w:rPr>
  </w:style>
  <w:style w:type="character" w:customStyle="1" w:styleId="Char3">
    <w:name w:val="批注主题 Char"/>
    <w:basedOn w:val="Char2"/>
    <w:link w:val="aa"/>
    <w:semiHidden/>
    <w:rsid w:val="00B94D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114C"/>
    <w:rPr>
      <w:rFonts w:eastAsia="宋体"/>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CD11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CD114C"/>
    <w:rPr>
      <w:sz w:val="18"/>
      <w:szCs w:val="18"/>
    </w:rPr>
  </w:style>
  <w:style w:type="paragraph" w:styleId="a5">
    <w:name w:val="footer"/>
    <w:basedOn w:val="a"/>
    <w:link w:val="Char0"/>
    <w:uiPriority w:val="99"/>
    <w:unhideWhenUsed/>
    <w:rsid w:val="00CD114C"/>
    <w:pPr>
      <w:tabs>
        <w:tab w:val="center" w:pos="4153"/>
        <w:tab w:val="right" w:pos="8306"/>
      </w:tabs>
      <w:snapToGrid w:val="0"/>
    </w:pPr>
    <w:rPr>
      <w:sz w:val="18"/>
      <w:szCs w:val="18"/>
    </w:rPr>
  </w:style>
  <w:style w:type="character" w:customStyle="1" w:styleId="Char0">
    <w:name w:val="页脚 Char"/>
    <w:basedOn w:val="a0"/>
    <w:link w:val="a5"/>
    <w:uiPriority w:val="99"/>
    <w:rsid w:val="00CD114C"/>
    <w:rPr>
      <w:sz w:val="18"/>
      <w:szCs w:val="18"/>
    </w:rPr>
  </w:style>
  <w:style w:type="paragraph" w:styleId="a6">
    <w:name w:val="Balloon Text"/>
    <w:basedOn w:val="a"/>
    <w:link w:val="Char1"/>
    <w:rsid w:val="007A28A0"/>
    <w:rPr>
      <w:sz w:val="18"/>
      <w:szCs w:val="18"/>
    </w:rPr>
  </w:style>
  <w:style w:type="character" w:customStyle="1" w:styleId="Char1">
    <w:name w:val="批注框文本 Char"/>
    <w:basedOn w:val="a0"/>
    <w:link w:val="a6"/>
    <w:rsid w:val="007A28A0"/>
    <w:rPr>
      <w:sz w:val="18"/>
      <w:szCs w:val="18"/>
    </w:rPr>
  </w:style>
  <w:style w:type="paragraph" w:styleId="a7">
    <w:name w:val="Revision"/>
    <w:hidden/>
    <w:uiPriority w:val="99"/>
    <w:semiHidden/>
    <w:rsid w:val="00183011"/>
    <w:rPr>
      <w:sz w:val="24"/>
      <w:szCs w:val="24"/>
    </w:rPr>
  </w:style>
  <w:style w:type="character" w:styleId="a8">
    <w:name w:val="annotation reference"/>
    <w:basedOn w:val="a0"/>
    <w:semiHidden/>
    <w:unhideWhenUsed/>
    <w:rsid w:val="00B94D08"/>
    <w:rPr>
      <w:sz w:val="16"/>
      <w:szCs w:val="16"/>
    </w:rPr>
  </w:style>
  <w:style w:type="paragraph" w:styleId="a9">
    <w:name w:val="annotation text"/>
    <w:basedOn w:val="a"/>
    <w:link w:val="Char2"/>
    <w:semiHidden/>
    <w:unhideWhenUsed/>
    <w:rsid w:val="00B94D08"/>
    <w:rPr>
      <w:sz w:val="20"/>
      <w:szCs w:val="20"/>
    </w:rPr>
  </w:style>
  <w:style w:type="character" w:customStyle="1" w:styleId="Char2">
    <w:name w:val="批注文字 Char"/>
    <w:basedOn w:val="a0"/>
    <w:link w:val="a9"/>
    <w:semiHidden/>
    <w:rsid w:val="00B94D08"/>
  </w:style>
  <w:style w:type="paragraph" w:styleId="aa">
    <w:name w:val="annotation subject"/>
    <w:basedOn w:val="a9"/>
    <w:next w:val="a9"/>
    <w:link w:val="Char3"/>
    <w:semiHidden/>
    <w:unhideWhenUsed/>
    <w:rsid w:val="00B94D08"/>
    <w:rPr>
      <w:b/>
      <w:bCs/>
    </w:rPr>
  </w:style>
  <w:style w:type="character" w:customStyle="1" w:styleId="Char3">
    <w:name w:val="批注主题 Char"/>
    <w:basedOn w:val="Char2"/>
    <w:link w:val="aa"/>
    <w:semiHidden/>
    <w:rsid w:val="00B94D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18069">
      <w:bodyDiv w:val="1"/>
      <w:marLeft w:val="0"/>
      <w:marRight w:val="0"/>
      <w:marTop w:val="0"/>
      <w:marBottom w:val="0"/>
      <w:divBdr>
        <w:top w:val="none" w:sz="0" w:space="0" w:color="auto"/>
        <w:left w:val="none" w:sz="0" w:space="0" w:color="auto"/>
        <w:bottom w:val="none" w:sz="0" w:space="0" w:color="auto"/>
        <w:right w:val="none" w:sz="0" w:space="0" w:color="auto"/>
      </w:divBdr>
    </w:div>
    <w:div w:id="458038177">
      <w:bodyDiv w:val="1"/>
      <w:marLeft w:val="0"/>
      <w:marRight w:val="0"/>
      <w:marTop w:val="0"/>
      <w:marBottom w:val="0"/>
      <w:divBdr>
        <w:top w:val="none" w:sz="0" w:space="0" w:color="auto"/>
        <w:left w:val="none" w:sz="0" w:space="0" w:color="auto"/>
        <w:bottom w:val="none" w:sz="0" w:space="0" w:color="auto"/>
        <w:right w:val="none" w:sz="0" w:space="0" w:color="auto"/>
      </w:divBdr>
    </w:div>
    <w:div w:id="1443571384">
      <w:bodyDiv w:val="1"/>
      <w:marLeft w:val="0"/>
      <w:marRight w:val="0"/>
      <w:marTop w:val="0"/>
      <w:marBottom w:val="0"/>
      <w:divBdr>
        <w:top w:val="none" w:sz="0" w:space="0" w:color="auto"/>
        <w:left w:val="none" w:sz="0" w:space="0" w:color="auto"/>
        <w:bottom w:val="none" w:sz="0" w:space="0" w:color="auto"/>
        <w:right w:val="none" w:sz="0" w:space="0" w:color="auto"/>
      </w:divBdr>
    </w:div>
    <w:div w:id="1808736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tif"/><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29</Pages>
  <Words>6135</Words>
  <Characters>34976</Characters>
  <Application>Microsoft Office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10</cp:revision>
  <dcterms:created xsi:type="dcterms:W3CDTF">2020-12-02T09:14:00Z</dcterms:created>
  <dcterms:modified xsi:type="dcterms:W3CDTF">2020-12-30T05:01:00Z</dcterms:modified>
</cp:coreProperties>
</file>