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6EBF0"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b/>
          <w:color w:val="000000"/>
        </w:rPr>
        <w:t xml:space="preserve">Name of Journal: </w:t>
      </w:r>
      <w:r w:rsidRPr="007A3E30">
        <w:rPr>
          <w:rFonts w:ascii="Book Antiqua" w:eastAsia="Book Antiqua" w:hAnsi="Book Antiqua" w:cs="Book Antiqua"/>
          <w:i/>
          <w:color w:val="000000"/>
        </w:rPr>
        <w:t>World Journal of Clinical Cases</w:t>
      </w:r>
    </w:p>
    <w:p w14:paraId="19264396"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b/>
          <w:color w:val="000000"/>
        </w:rPr>
        <w:t xml:space="preserve">Manuscript NO: </w:t>
      </w:r>
      <w:r w:rsidRPr="007A3E30">
        <w:rPr>
          <w:rFonts w:ascii="Book Antiqua" w:eastAsia="Book Antiqua" w:hAnsi="Book Antiqua" w:cs="Book Antiqua"/>
          <w:color w:val="000000"/>
        </w:rPr>
        <w:t>58123</w:t>
      </w:r>
    </w:p>
    <w:p w14:paraId="6BFB8C75"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b/>
          <w:color w:val="000000"/>
        </w:rPr>
        <w:t xml:space="preserve">Manuscript Type: </w:t>
      </w:r>
      <w:r w:rsidRPr="007A3E30">
        <w:rPr>
          <w:rFonts w:ascii="Book Antiqua" w:eastAsia="Book Antiqua" w:hAnsi="Book Antiqua" w:cs="Book Antiqua"/>
          <w:color w:val="000000"/>
        </w:rPr>
        <w:t>ORIGINAL ARTICLE</w:t>
      </w:r>
    </w:p>
    <w:p w14:paraId="2C4862D6" w14:textId="77777777" w:rsidR="00A77B3E" w:rsidRPr="007A3E30" w:rsidRDefault="00A77B3E" w:rsidP="000540F1">
      <w:pPr>
        <w:spacing w:line="360" w:lineRule="auto"/>
        <w:jc w:val="both"/>
        <w:rPr>
          <w:rFonts w:ascii="Book Antiqua" w:hAnsi="Book Antiqua"/>
        </w:rPr>
      </w:pPr>
    </w:p>
    <w:p w14:paraId="700468CE"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b/>
          <w:i/>
          <w:color w:val="000000"/>
        </w:rPr>
        <w:t>Observational Study</w:t>
      </w:r>
    </w:p>
    <w:p w14:paraId="7435A876" w14:textId="77777777" w:rsidR="00A77B3E" w:rsidRPr="007A3E30" w:rsidRDefault="00111EBA" w:rsidP="000540F1">
      <w:pPr>
        <w:spacing w:line="360" w:lineRule="auto"/>
        <w:jc w:val="both"/>
        <w:rPr>
          <w:rFonts w:ascii="Book Antiqua" w:hAnsi="Book Antiqua"/>
        </w:rPr>
      </w:pPr>
      <w:bookmarkStart w:id="0" w:name="OLE_LINK197"/>
      <w:r w:rsidRPr="007A3E30">
        <w:rPr>
          <w:rFonts w:ascii="Book Antiqua" w:eastAsia="Book Antiqua" w:hAnsi="Book Antiqua" w:cs="Book Antiqua"/>
          <w:b/>
          <w:color w:val="000000"/>
        </w:rPr>
        <w:t xml:space="preserve">Cost-effectiveness of lutetium </w:t>
      </w:r>
      <w:r w:rsidR="00D76D30" w:rsidRPr="007A3E30">
        <w:rPr>
          <w:rFonts w:ascii="Book Antiqua" w:hAnsi="Book Antiqua" w:cs="Book Antiqua"/>
          <w:b/>
          <w:color w:val="000000"/>
          <w:lang w:eastAsia="zh-CN"/>
        </w:rPr>
        <w:t>(</w:t>
      </w:r>
      <w:r w:rsidRPr="007A3E30">
        <w:rPr>
          <w:rFonts w:ascii="Book Antiqua" w:eastAsia="Book Antiqua" w:hAnsi="Book Antiqua" w:cs="Book Antiqua"/>
          <w:b/>
          <w:color w:val="000000"/>
          <w:vertAlign w:val="superscript"/>
        </w:rPr>
        <w:t>177</w:t>
      </w:r>
      <w:r w:rsidRPr="007A3E30">
        <w:rPr>
          <w:rFonts w:ascii="Book Antiqua" w:eastAsia="Book Antiqua" w:hAnsi="Book Antiqua" w:cs="Book Antiqua"/>
          <w:b/>
          <w:caps/>
          <w:color w:val="000000"/>
        </w:rPr>
        <w:t>l</w:t>
      </w:r>
      <w:r w:rsidRPr="007A3E30">
        <w:rPr>
          <w:rFonts w:ascii="Book Antiqua" w:eastAsia="Book Antiqua" w:hAnsi="Book Antiqua" w:cs="Book Antiqua"/>
          <w:b/>
          <w:color w:val="000000"/>
        </w:rPr>
        <w:t>u</w:t>
      </w:r>
      <w:r w:rsidR="00D76D30" w:rsidRPr="007A3E30">
        <w:rPr>
          <w:rFonts w:ascii="Book Antiqua" w:hAnsi="Book Antiqua" w:cs="Book Antiqua"/>
          <w:b/>
          <w:color w:val="000000"/>
          <w:lang w:eastAsia="zh-CN"/>
        </w:rPr>
        <w:t>)</w:t>
      </w:r>
      <w:r w:rsidRPr="007A3E30">
        <w:rPr>
          <w:rFonts w:ascii="Book Antiqua" w:eastAsia="Book Antiqua" w:hAnsi="Book Antiqua" w:cs="Book Antiqua"/>
          <w:b/>
          <w:color w:val="000000"/>
        </w:rPr>
        <w:t xml:space="preserve"> oxodotreotide </w:t>
      </w:r>
      <w:r w:rsidRPr="007A3E30">
        <w:rPr>
          <w:rFonts w:ascii="Book Antiqua" w:eastAsia="Book Antiqua" w:hAnsi="Book Antiqua" w:cs="Book Antiqua"/>
          <w:b/>
          <w:i/>
          <w:color w:val="000000"/>
        </w:rPr>
        <w:t>vs</w:t>
      </w:r>
      <w:r w:rsidRPr="007A3E30">
        <w:rPr>
          <w:rFonts w:ascii="Book Antiqua" w:eastAsia="Book Antiqua" w:hAnsi="Book Antiqua" w:cs="Book Antiqua"/>
          <w:b/>
          <w:color w:val="000000"/>
        </w:rPr>
        <w:t xml:space="preserve"> everolimus in gastroenteropancreatic neuroendocrine tumors in </w:t>
      </w:r>
      <w:r w:rsidRPr="007A3E30">
        <w:rPr>
          <w:rFonts w:ascii="Book Antiqua" w:eastAsia="Book Antiqua" w:hAnsi="Book Antiqua" w:cs="Book Antiqua"/>
          <w:b/>
          <w:caps/>
          <w:color w:val="000000"/>
        </w:rPr>
        <w:t>n</w:t>
      </w:r>
      <w:r w:rsidRPr="007A3E30">
        <w:rPr>
          <w:rFonts w:ascii="Book Antiqua" w:eastAsia="Book Antiqua" w:hAnsi="Book Antiqua" w:cs="Book Antiqua"/>
          <w:b/>
          <w:color w:val="000000"/>
        </w:rPr>
        <w:t xml:space="preserve">orway and </w:t>
      </w:r>
      <w:r w:rsidRPr="007A3E30">
        <w:rPr>
          <w:rFonts w:ascii="Book Antiqua" w:eastAsia="Book Antiqua" w:hAnsi="Book Antiqua" w:cs="Book Antiqua"/>
          <w:b/>
          <w:caps/>
          <w:color w:val="000000"/>
        </w:rPr>
        <w:t>s</w:t>
      </w:r>
      <w:r w:rsidRPr="007A3E30">
        <w:rPr>
          <w:rFonts w:ascii="Book Antiqua" w:eastAsia="Book Antiqua" w:hAnsi="Book Antiqua" w:cs="Book Antiqua"/>
          <w:b/>
          <w:color w:val="000000"/>
        </w:rPr>
        <w:t>weden</w:t>
      </w:r>
    </w:p>
    <w:bookmarkEnd w:id="0"/>
    <w:p w14:paraId="498C99FF" w14:textId="77777777" w:rsidR="00A77B3E" w:rsidRPr="007A3E30" w:rsidRDefault="00A77B3E" w:rsidP="000540F1">
      <w:pPr>
        <w:spacing w:line="360" w:lineRule="auto"/>
        <w:jc w:val="both"/>
        <w:rPr>
          <w:rFonts w:ascii="Book Antiqua" w:hAnsi="Book Antiqua"/>
        </w:rPr>
      </w:pPr>
    </w:p>
    <w:p w14:paraId="31FCB177" w14:textId="77777777" w:rsidR="00A77B3E" w:rsidRPr="007A3E30" w:rsidRDefault="00111EBA" w:rsidP="000540F1">
      <w:pPr>
        <w:spacing w:line="360" w:lineRule="auto"/>
        <w:jc w:val="both"/>
        <w:rPr>
          <w:rFonts w:ascii="Book Antiqua" w:hAnsi="Book Antiqua"/>
        </w:rPr>
      </w:pPr>
      <w:r w:rsidRPr="007A3E30">
        <w:rPr>
          <w:rFonts w:ascii="Book Antiqua" w:eastAsia="Book Antiqua" w:hAnsi="Book Antiqua" w:cs="Book Antiqua"/>
          <w:color w:val="000000"/>
        </w:rPr>
        <w:t xml:space="preserve">Palmer </w:t>
      </w:r>
      <w:r w:rsidRPr="007A3E30">
        <w:rPr>
          <w:rFonts w:ascii="Book Antiqua" w:hAnsi="Book Antiqua" w:cs="Book Antiqua"/>
          <w:color w:val="000000"/>
          <w:lang w:eastAsia="zh-CN"/>
        </w:rPr>
        <w:t xml:space="preserve">J </w:t>
      </w:r>
      <w:r w:rsidR="00305DB9" w:rsidRPr="007A3E30">
        <w:rPr>
          <w:rFonts w:ascii="Book Antiqua" w:hAnsi="Book Antiqua" w:cs="Book Antiqua"/>
          <w:i/>
          <w:color w:val="000000"/>
          <w:lang w:eastAsia="zh-CN"/>
        </w:rPr>
        <w:t>et al.</w:t>
      </w:r>
      <w:r w:rsidRPr="007A3E30">
        <w:rPr>
          <w:rFonts w:ascii="Book Antiqua" w:hAnsi="Book Antiqua" w:cs="Book Antiqua"/>
          <w:color w:val="000000"/>
          <w:lang w:eastAsia="zh-CN"/>
        </w:rPr>
        <w:t xml:space="preserve"> </w:t>
      </w:r>
      <w:r w:rsidRPr="007A3E30">
        <w:rPr>
          <w:rFonts w:ascii="Book Antiqua" w:eastAsia="Book Antiqua" w:hAnsi="Book Antiqua" w:cs="Book Antiqua"/>
          <w:color w:val="000000"/>
        </w:rPr>
        <w:t xml:space="preserve">Cost-effectiveness of lutetium </w:t>
      </w:r>
      <w:r w:rsidR="00D76D30" w:rsidRPr="007A3E30">
        <w:rPr>
          <w:rFonts w:ascii="Book Antiqua" w:hAnsi="Book Antiqua" w:cs="Book Antiqua"/>
          <w:color w:val="000000"/>
          <w:lang w:eastAsia="zh-CN"/>
        </w:rPr>
        <w:t>(</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w:t>
      </w:r>
      <w:r w:rsidR="00D76D30" w:rsidRPr="007A3E30">
        <w:rPr>
          <w:rFonts w:ascii="Book Antiqua" w:hAnsi="Book Antiqua" w:cs="Book Antiqua"/>
          <w:color w:val="000000"/>
          <w:lang w:eastAsia="zh-CN"/>
        </w:rPr>
        <w:t>)</w:t>
      </w:r>
      <w:r w:rsidRPr="007A3E30">
        <w:rPr>
          <w:rFonts w:ascii="Book Antiqua" w:eastAsia="Book Antiqua" w:hAnsi="Book Antiqua" w:cs="Book Antiqua"/>
          <w:color w:val="000000"/>
        </w:rPr>
        <w:t xml:space="preserve"> oxodotreotide </w:t>
      </w:r>
      <w:r w:rsidRPr="007A3E30">
        <w:rPr>
          <w:rFonts w:ascii="Book Antiqua" w:eastAsia="Book Antiqua" w:hAnsi="Book Antiqua" w:cs="Book Antiqua"/>
          <w:i/>
          <w:color w:val="000000"/>
        </w:rPr>
        <w:t>vs</w:t>
      </w:r>
      <w:r w:rsidRPr="007A3E30">
        <w:rPr>
          <w:rFonts w:ascii="Book Antiqua" w:eastAsia="Book Antiqua" w:hAnsi="Book Antiqua" w:cs="Book Antiqua"/>
          <w:color w:val="000000"/>
        </w:rPr>
        <w:t xml:space="preserve"> everolimus</w:t>
      </w:r>
    </w:p>
    <w:p w14:paraId="4630F64D" w14:textId="77777777" w:rsidR="00A77B3E" w:rsidRPr="007A3E30" w:rsidRDefault="00A77B3E" w:rsidP="000540F1">
      <w:pPr>
        <w:spacing w:line="360" w:lineRule="auto"/>
        <w:jc w:val="both"/>
        <w:rPr>
          <w:rFonts w:ascii="Book Antiqua" w:hAnsi="Book Antiqua"/>
        </w:rPr>
      </w:pPr>
    </w:p>
    <w:p w14:paraId="5F65BA2B"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color w:val="000000"/>
        </w:rPr>
        <w:t xml:space="preserve">Jayne </w:t>
      </w:r>
      <w:bookmarkStart w:id="1" w:name="OLE_LINK440"/>
      <w:bookmarkStart w:id="2" w:name="OLE_LINK441"/>
      <w:r w:rsidRPr="007A3E30">
        <w:rPr>
          <w:rFonts w:ascii="Book Antiqua" w:eastAsia="Book Antiqua" w:hAnsi="Book Antiqua" w:cs="Book Antiqua"/>
          <w:color w:val="000000"/>
        </w:rPr>
        <w:t>Palmer</w:t>
      </w:r>
      <w:bookmarkEnd w:id="1"/>
      <w:bookmarkEnd w:id="2"/>
      <w:r w:rsidRPr="007A3E30">
        <w:rPr>
          <w:rFonts w:ascii="Book Antiqua" w:eastAsia="Book Antiqua" w:hAnsi="Book Antiqua" w:cs="Book Antiqua"/>
          <w:color w:val="000000"/>
        </w:rPr>
        <w:t>, Oscar R Leeuwenkamp</w:t>
      </w:r>
    </w:p>
    <w:p w14:paraId="5CA3E76D" w14:textId="77777777" w:rsidR="00A77B3E" w:rsidRPr="007A3E30" w:rsidRDefault="00A77B3E" w:rsidP="000540F1">
      <w:pPr>
        <w:spacing w:line="360" w:lineRule="auto"/>
        <w:jc w:val="both"/>
        <w:rPr>
          <w:rFonts w:ascii="Book Antiqua" w:hAnsi="Book Antiqua"/>
        </w:rPr>
      </w:pPr>
    </w:p>
    <w:p w14:paraId="16F21857" w14:textId="476027A4"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b/>
          <w:bCs/>
          <w:color w:val="000000"/>
        </w:rPr>
        <w:t>Jayne Palmer,</w:t>
      </w:r>
      <w:r w:rsidR="002B01AF" w:rsidRPr="007A3E30">
        <w:rPr>
          <w:rFonts w:ascii="Book Antiqua" w:eastAsia="Book Antiqua" w:hAnsi="Book Antiqua" w:cs="Book Antiqua"/>
          <w:b/>
          <w:bCs/>
          <w:color w:val="000000"/>
        </w:rPr>
        <w:t xml:space="preserve"> </w:t>
      </w:r>
      <w:r w:rsidRPr="007A3E30">
        <w:rPr>
          <w:rFonts w:ascii="Book Antiqua" w:eastAsia="Book Antiqua" w:hAnsi="Book Antiqua" w:cs="Book Antiqua"/>
          <w:color w:val="000000"/>
        </w:rPr>
        <w:t>Ossian Health Economics and Communications, Basel 4051, Switzerland</w:t>
      </w:r>
    </w:p>
    <w:p w14:paraId="609C8FFB" w14:textId="77777777" w:rsidR="00A77B3E" w:rsidRPr="007A3E30" w:rsidRDefault="00A77B3E" w:rsidP="000540F1">
      <w:pPr>
        <w:spacing w:line="360" w:lineRule="auto"/>
        <w:jc w:val="both"/>
        <w:rPr>
          <w:rFonts w:ascii="Book Antiqua" w:hAnsi="Book Antiqua"/>
        </w:rPr>
      </w:pPr>
    </w:p>
    <w:p w14:paraId="714C69DF" w14:textId="23C8D6D0"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b/>
          <w:bCs/>
          <w:color w:val="000000"/>
        </w:rPr>
        <w:t xml:space="preserve">Oscar R Leeuwenkamp, </w:t>
      </w:r>
      <w:r w:rsidRPr="007A3E30">
        <w:rPr>
          <w:rFonts w:ascii="Book Antiqua" w:eastAsia="Book Antiqua" w:hAnsi="Book Antiqua" w:cs="Book Antiqua"/>
          <w:color w:val="000000"/>
        </w:rPr>
        <w:t>Advanced Accelerator Applications, Geneva 1204, Switzerland</w:t>
      </w:r>
    </w:p>
    <w:p w14:paraId="1B867A1D" w14:textId="77777777" w:rsidR="00A77B3E" w:rsidRPr="007A3E30" w:rsidRDefault="00A77B3E" w:rsidP="000540F1">
      <w:pPr>
        <w:spacing w:line="360" w:lineRule="auto"/>
        <w:jc w:val="both"/>
        <w:rPr>
          <w:rFonts w:ascii="Book Antiqua" w:hAnsi="Book Antiqua"/>
        </w:rPr>
      </w:pPr>
    </w:p>
    <w:p w14:paraId="110765CE"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b/>
          <w:bCs/>
          <w:color w:val="000000"/>
        </w:rPr>
        <w:t xml:space="preserve">Author contributions: </w:t>
      </w:r>
      <w:r w:rsidR="009F3719" w:rsidRPr="007A3E30">
        <w:rPr>
          <w:rFonts w:ascii="Book Antiqua" w:eastAsia="Book Antiqua" w:hAnsi="Book Antiqua" w:cs="Book Antiqua"/>
          <w:bCs/>
          <w:color w:val="000000"/>
        </w:rPr>
        <w:t>Leeuwenkamp</w:t>
      </w:r>
      <w:r w:rsidR="009F3719" w:rsidRPr="007A3E30">
        <w:rPr>
          <w:rFonts w:ascii="Book Antiqua" w:eastAsia="Book Antiqua" w:hAnsi="Book Antiqua" w:cs="Book Antiqua"/>
          <w:b/>
          <w:bCs/>
          <w:color w:val="000000"/>
        </w:rPr>
        <w:t xml:space="preserve"> </w:t>
      </w:r>
      <w:r w:rsidRPr="007A3E30">
        <w:rPr>
          <w:rFonts w:ascii="Book Antiqua" w:eastAsia="Book Antiqua" w:hAnsi="Book Antiqua" w:cs="Book Antiqua"/>
          <w:color w:val="000000"/>
        </w:rPr>
        <w:t>O</w:t>
      </w:r>
      <w:r w:rsidR="009F3719" w:rsidRPr="007A3E30">
        <w:rPr>
          <w:rFonts w:ascii="Book Antiqua" w:hAnsi="Book Antiqua" w:cs="Book Antiqua"/>
          <w:color w:val="000000"/>
          <w:lang w:eastAsia="zh-CN"/>
        </w:rPr>
        <w:t>R</w:t>
      </w:r>
      <w:r w:rsidRPr="007A3E30">
        <w:rPr>
          <w:rFonts w:ascii="Book Antiqua" w:eastAsia="Book Antiqua" w:hAnsi="Book Antiqua" w:cs="Book Antiqua"/>
          <w:color w:val="000000"/>
        </w:rPr>
        <w:t xml:space="preserve"> provided analysis support in conjunction with manuscript development</w:t>
      </w:r>
      <w:r w:rsidR="009F3719" w:rsidRPr="007A3E30">
        <w:rPr>
          <w:rFonts w:ascii="Book Antiqua" w:hAnsi="Book Antiqua" w:cs="Book Antiqua"/>
          <w:color w:val="000000"/>
          <w:lang w:eastAsia="zh-CN"/>
        </w:rPr>
        <w:t>;</w:t>
      </w:r>
      <w:r w:rsidRPr="007A3E30">
        <w:rPr>
          <w:rFonts w:ascii="Book Antiqua" w:eastAsia="Book Antiqua" w:hAnsi="Book Antiqua" w:cs="Book Antiqua"/>
          <w:color w:val="000000"/>
        </w:rPr>
        <w:t> </w:t>
      </w:r>
      <w:r w:rsidR="009F3719" w:rsidRPr="007A3E30">
        <w:rPr>
          <w:rFonts w:ascii="Book Antiqua" w:eastAsia="Book Antiqua" w:hAnsi="Book Antiqua" w:cs="Book Antiqua"/>
          <w:color w:val="000000"/>
        </w:rPr>
        <w:t>Palmer J</w:t>
      </w:r>
      <w:r w:rsidRPr="007A3E30">
        <w:rPr>
          <w:rFonts w:ascii="Book Antiqua" w:eastAsia="Book Antiqua" w:hAnsi="Book Antiqua" w:cs="Book Antiqua"/>
          <w:color w:val="000000"/>
        </w:rPr>
        <w:t xml:space="preserve"> prepared the first draft of the manuscript</w:t>
      </w:r>
      <w:r w:rsidR="009F3719" w:rsidRPr="007A3E30">
        <w:rPr>
          <w:rFonts w:ascii="Book Antiqua" w:hAnsi="Book Antiqua" w:cs="Book Antiqua"/>
          <w:color w:val="000000"/>
          <w:lang w:eastAsia="zh-CN"/>
        </w:rPr>
        <w:t>;</w:t>
      </w:r>
      <w:r w:rsidRPr="007A3E30">
        <w:rPr>
          <w:rFonts w:ascii="Book Antiqua" w:eastAsia="Book Antiqua" w:hAnsi="Book Antiqua" w:cs="Book Antiqua"/>
          <w:color w:val="000000"/>
        </w:rPr>
        <w:t> </w:t>
      </w:r>
      <w:r w:rsidR="009F3719" w:rsidRPr="007A3E30">
        <w:rPr>
          <w:rFonts w:ascii="Book Antiqua" w:eastAsia="Book Antiqua" w:hAnsi="Book Antiqua" w:cs="Book Antiqua"/>
          <w:bCs/>
          <w:color w:val="000000"/>
        </w:rPr>
        <w:t>Leeuwenkamp</w:t>
      </w:r>
      <w:r w:rsidR="009F3719" w:rsidRPr="007A3E30">
        <w:rPr>
          <w:rFonts w:ascii="Book Antiqua" w:eastAsia="Book Antiqua" w:hAnsi="Book Antiqua" w:cs="Book Antiqua"/>
          <w:b/>
          <w:bCs/>
          <w:color w:val="000000"/>
        </w:rPr>
        <w:t xml:space="preserve"> </w:t>
      </w:r>
      <w:r w:rsidR="009F3719" w:rsidRPr="007A3E30">
        <w:rPr>
          <w:rFonts w:ascii="Book Antiqua" w:eastAsia="Book Antiqua" w:hAnsi="Book Antiqua" w:cs="Book Antiqua"/>
          <w:color w:val="000000"/>
        </w:rPr>
        <w:t>O</w:t>
      </w:r>
      <w:r w:rsidR="009F3719" w:rsidRPr="007A3E30">
        <w:rPr>
          <w:rFonts w:ascii="Book Antiqua" w:hAnsi="Book Antiqua" w:cs="Book Antiqua"/>
          <w:color w:val="000000"/>
          <w:lang w:eastAsia="zh-CN"/>
        </w:rPr>
        <w:t>R</w:t>
      </w:r>
      <w:r w:rsidRPr="007A3E30">
        <w:rPr>
          <w:rFonts w:ascii="Book Antiqua" w:eastAsia="Book Antiqua" w:hAnsi="Book Antiqua" w:cs="Book Antiqua"/>
          <w:color w:val="000000"/>
        </w:rPr>
        <w:t xml:space="preserve"> provided critical input and review to the first draft and all subsequent drafts of the manuscript. </w:t>
      </w:r>
    </w:p>
    <w:p w14:paraId="643DFEBF" w14:textId="77777777" w:rsidR="00E36424" w:rsidRPr="007A3E30" w:rsidRDefault="00E36424" w:rsidP="000540F1">
      <w:pPr>
        <w:spacing w:line="360" w:lineRule="auto"/>
        <w:jc w:val="both"/>
        <w:rPr>
          <w:rFonts w:ascii="Book Antiqua" w:hAnsi="Book Antiqua"/>
          <w:lang w:eastAsia="zh-CN"/>
        </w:rPr>
      </w:pPr>
    </w:p>
    <w:p w14:paraId="3962C286" w14:textId="4BF3A08C"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b/>
          <w:bCs/>
          <w:color w:val="000000"/>
        </w:rPr>
        <w:t xml:space="preserve">Corresponding author: Jayne Palmer, BSc, DPhil, </w:t>
      </w:r>
      <w:r w:rsidR="000E1271" w:rsidRPr="007A3E30">
        <w:rPr>
          <w:rFonts w:ascii="Book Antiqua" w:eastAsia="Book Antiqua" w:hAnsi="Book Antiqua" w:cs="Book Antiqua"/>
          <w:b/>
          <w:bCs/>
          <w:color w:val="000000"/>
        </w:rPr>
        <w:t>Doctor</w:t>
      </w:r>
      <w:r w:rsidR="000E1271" w:rsidRPr="007A3E30">
        <w:rPr>
          <w:rFonts w:ascii="Book Antiqua" w:hAnsi="Book Antiqua" w:cs="Book Antiqua" w:hint="eastAsia"/>
          <w:b/>
          <w:bCs/>
          <w:color w:val="000000"/>
          <w:lang w:eastAsia="zh-CN"/>
        </w:rPr>
        <w:t>,</w:t>
      </w:r>
      <w:r w:rsidR="000E1271" w:rsidRPr="007A3E30">
        <w:rPr>
          <w:rFonts w:ascii="Book Antiqua" w:eastAsia="Book Antiqua" w:hAnsi="Book Antiqua" w:cs="Book Antiqua"/>
          <w:b/>
          <w:bCs/>
          <w:color w:val="000000"/>
        </w:rPr>
        <w:t xml:space="preserve"> </w:t>
      </w:r>
      <w:r w:rsidRPr="007A3E30">
        <w:rPr>
          <w:rFonts w:ascii="Book Antiqua" w:eastAsia="Book Antiqua" w:hAnsi="Book Antiqua" w:cs="Book Antiqua"/>
          <w:color w:val="000000"/>
        </w:rPr>
        <w:t xml:space="preserve">Ossian Health Economics and Communications, Bäumleingasse 20, Basel 4051, </w:t>
      </w:r>
      <w:bookmarkStart w:id="3" w:name="OLE_LINK204"/>
      <w:bookmarkStart w:id="4" w:name="OLE_LINK205"/>
      <w:r w:rsidRPr="007A3E30">
        <w:rPr>
          <w:rFonts w:ascii="Book Antiqua" w:eastAsia="Book Antiqua" w:hAnsi="Book Antiqua" w:cs="Book Antiqua"/>
          <w:color w:val="000000"/>
        </w:rPr>
        <w:t>Switzerland</w:t>
      </w:r>
      <w:bookmarkEnd w:id="3"/>
      <w:bookmarkEnd w:id="4"/>
      <w:r w:rsidRPr="007A3E30">
        <w:rPr>
          <w:rFonts w:ascii="Book Antiqua" w:eastAsia="Book Antiqua" w:hAnsi="Book Antiqua" w:cs="Book Antiqua"/>
          <w:color w:val="000000"/>
        </w:rPr>
        <w:t>. smith-palmer@ossianconsulting.com</w:t>
      </w:r>
    </w:p>
    <w:p w14:paraId="1CCD600E" w14:textId="77777777" w:rsidR="00A77B3E" w:rsidRPr="007A3E30" w:rsidRDefault="00A77B3E" w:rsidP="000540F1">
      <w:pPr>
        <w:spacing w:line="360" w:lineRule="auto"/>
        <w:jc w:val="both"/>
        <w:rPr>
          <w:rFonts w:ascii="Book Antiqua" w:hAnsi="Book Antiqua"/>
        </w:rPr>
      </w:pPr>
    </w:p>
    <w:p w14:paraId="0DEAB69B"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b/>
          <w:bCs/>
          <w:color w:val="000000"/>
        </w:rPr>
        <w:t xml:space="preserve">Received: </w:t>
      </w:r>
      <w:r w:rsidRPr="007A3E30">
        <w:rPr>
          <w:rFonts w:ascii="Book Antiqua" w:eastAsia="Book Antiqua" w:hAnsi="Book Antiqua" w:cs="Book Antiqua"/>
          <w:color w:val="000000"/>
        </w:rPr>
        <w:t>July 8, 2020</w:t>
      </w:r>
    </w:p>
    <w:p w14:paraId="006C10A9"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b/>
          <w:bCs/>
          <w:color w:val="000000"/>
        </w:rPr>
        <w:t xml:space="preserve">Revised: </w:t>
      </w:r>
      <w:r w:rsidRPr="007A3E30">
        <w:rPr>
          <w:rFonts w:ascii="Book Antiqua" w:eastAsia="Book Antiqua" w:hAnsi="Book Antiqua" w:cs="Book Antiqua"/>
          <w:color w:val="000000"/>
        </w:rPr>
        <w:t>August 21, 2020</w:t>
      </w:r>
    </w:p>
    <w:p w14:paraId="4CC7C749" w14:textId="0F6C729D" w:rsidR="00A77B3E" w:rsidRPr="007A3E30" w:rsidRDefault="00E7670D" w:rsidP="00D372A5">
      <w:pPr>
        <w:snapToGrid w:val="0"/>
        <w:spacing w:line="360" w:lineRule="auto"/>
        <w:rPr>
          <w:rFonts w:ascii="Book Antiqua" w:hAnsi="Book Antiqua" w:cs="Arial"/>
          <w:color w:val="000000" w:themeColor="text1"/>
          <w:shd w:val="clear" w:color="auto" w:fill="FFFFFF"/>
        </w:rPr>
      </w:pPr>
      <w:r w:rsidRPr="007A3E30">
        <w:rPr>
          <w:rFonts w:ascii="Book Antiqua" w:eastAsia="Book Antiqua" w:hAnsi="Book Antiqua" w:cs="Book Antiqua"/>
          <w:b/>
          <w:bCs/>
          <w:color w:val="000000"/>
        </w:rPr>
        <w:t xml:space="preserve">Accepted: </w:t>
      </w:r>
      <w:bookmarkStart w:id="5" w:name="_Hlk50781202"/>
      <w:bookmarkStart w:id="6" w:name="OLE_LINK106"/>
      <w:r w:rsidR="00D372A5" w:rsidRPr="007A3E30">
        <w:rPr>
          <w:rFonts w:ascii="Book Antiqua" w:hAnsi="Book Antiqua" w:cs="Arial"/>
          <w:color w:val="000000" w:themeColor="text1"/>
          <w:shd w:val="clear" w:color="auto" w:fill="FFFFFF"/>
        </w:rPr>
        <w:t>September 25, 2020</w:t>
      </w:r>
      <w:bookmarkEnd w:id="5"/>
      <w:bookmarkEnd w:id="6"/>
    </w:p>
    <w:p w14:paraId="27351596" w14:textId="54CE4D17" w:rsidR="00A77B3E" w:rsidRPr="007A3E30" w:rsidRDefault="00E7670D" w:rsidP="000540F1">
      <w:pPr>
        <w:spacing w:line="360" w:lineRule="auto"/>
        <w:jc w:val="both"/>
        <w:rPr>
          <w:rFonts w:ascii="Book Antiqua" w:hAnsi="Book Antiqua"/>
          <w:lang w:eastAsia="zh-CN"/>
        </w:rPr>
      </w:pPr>
      <w:r w:rsidRPr="007A3E30">
        <w:rPr>
          <w:rFonts w:ascii="Book Antiqua" w:eastAsia="Book Antiqua" w:hAnsi="Book Antiqua" w:cs="Book Antiqua"/>
          <w:b/>
          <w:bCs/>
          <w:color w:val="000000"/>
        </w:rPr>
        <w:t xml:space="preserve">Published online: </w:t>
      </w:r>
      <w:r w:rsidR="009B51BE" w:rsidRPr="007A3E30">
        <w:rPr>
          <w:rFonts w:ascii="Book Antiqua" w:hAnsi="Book Antiqua" w:cs="Book Antiqua" w:hint="eastAsia"/>
          <w:bCs/>
          <w:color w:val="000000"/>
          <w:lang w:eastAsia="zh-CN"/>
        </w:rPr>
        <w:t>October 26, 2020</w:t>
      </w:r>
    </w:p>
    <w:p w14:paraId="3A89E72C" w14:textId="77777777" w:rsidR="00A77B3E" w:rsidRPr="007A3E30" w:rsidRDefault="00A77B3E" w:rsidP="000540F1">
      <w:pPr>
        <w:spacing w:line="360" w:lineRule="auto"/>
        <w:jc w:val="both"/>
        <w:rPr>
          <w:rFonts w:ascii="Book Antiqua" w:hAnsi="Book Antiqua"/>
        </w:rPr>
        <w:sectPr w:rsidR="00A77B3E" w:rsidRPr="007A3E30">
          <w:footerReference w:type="default" r:id="rId8"/>
          <w:pgSz w:w="12240" w:h="15840"/>
          <w:pgMar w:top="1440" w:right="1440" w:bottom="1440" w:left="1440" w:header="720" w:footer="720" w:gutter="0"/>
          <w:cols w:space="720"/>
          <w:docGrid w:linePitch="360"/>
        </w:sectPr>
      </w:pPr>
    </w:p>
    <w:p w14:paraId="577647FE"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b/>
          <w:color w:val="000000"/>
        </w:rPr>
        <w:lastRenderedPageBreak/>
        <w:t>Abstract</w:t>
      </w:r>
    </w:p>
    <w:p w14:paraId="6FB4C046"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color w:val="000000"/>
        </w:rPr>
        <w:t>BACKGROUND</w:t>
      </w:r>
    </w:p>
    <w:p w14:paraId="044137F1" w14:textId="0C064FA1"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color w:val="000000"/>
        </w:rPr>
        <w:t>Gastroenteropancreatic neuroendocrine tumors (GEP-NETs) represent a relatively rare and heterogenous group of tumors.</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Currently available treatment options for patients with progressive GEP-NETs include lutetium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 oxodotreotide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 xml:space="preserve">Lu-Dotatate) and everolimus </w:t>
      </w:r>
      <w:r w:rsidR="00D76D30" w:rsidRPr="007A3E30">
        <w:rPr>
          <w:rFonts w:ascii="Book Antiqua" w:hAnsi="Book Antiqua" w:cs="Book Antiqua"/>
          <w:color w:val="000000"/>
          <w:lang w:eastAsia="zh-CN"/>
        </w:rPr>
        <w:t>[</w:t>
      </w:r>
      <w:r w:rsidRPr="007A3E30">
        <w:rPr>
          <w:rFonts w:ascii="Book Antiqua" w:eastAsia="Book Antiqua" w:hAnsi="Book Antiqua" w:cs="Book Antiqua"/>
          <w:color w:val="000000"/>
        </w:rPr>
        <w:t xml:space="preserve">as well as sunitinib for patients with pancreatic NETs </w:t>
      </w:r>
      <w:r w:rsidR="00D76D30" w:rsidRPr="007A3E30">
        <w:rPr>
          <w:rFonts w:ascii="Book Antiqua" w:hAnsi="Book Antiqua" w:cs="Book Antiqua"/>
          <w:color w:val="000000"/>
          <w:lang w:eastAsia="zh-CN"/>
        </w:rPr>
        <w:t>(</w:t>
      </w:r>
      <w:r w:rsidRPr="007A3E30">
        <w:rPr>
          <w:rFonts w:ascii="Book Antiqua" w:eastAsia="Book Antiqua" w:hAnsi="Book Antiqua" w:cs="Book Antiqua"/>
          <w:color w:val="000000"/>
        </w:rPr>
        <w:t>P-NETs</w:t>
      </w:r>
      <w:r w:rsidR="00D76D30" w:rsidRPr="007A3E30">
        <w:rPr>
          <w:rFonts w:ascii="Book Antiqua" w:hAnsi="Book Antiqua" w:cs="Book Antiqua"/>
          <w:color w:val="000000"/>
          <w:lang w:eastAsia="zh-CN"/>
        </w:rPr>
        <w:t>)]</w:t>
      </w:r>
      <w:r w:rsidRPr="007A3E30">
        <w:rPr>
          <w:rFonts w:ascii="Book Antiqua" w:eastAsia="Book Antiqua" w:hAnsi="Book Antiqua" w:cs="Book Antiqua"/>
          <w:color w:val="000000"/>
        </w:rPr>
        <w:t>.</w:t>
      </w:r>
      <w:r w:rsidR="002B01AF" w:rsidRPr="007A3E30">
        <w:rPr>
          <w:rFonts w:ascii="Book Antiqua" w:eastAsia="Book Antiqua" w:hAnsi="Book Antiqua" w:cs="Book Antiqua"/>
          <w:color w:val="000000"/>
        </w:rPr>
        <w:t xml:space="preserve"> </w:t>
      </w:r>
    </w:p>
    <w:p w14:paraId="550BCB6D" w14:textId="77777777" w:rsidR="00A77B3E" w:rsidRPr="007A3E30" w:rsidRDefault="00A77B3E" w:rsidP="000540F1">
      <w:pPr>
        <w:spacing w:line="360" w:lineRule="auto"/>
        <w:jc w:val="both"/>
        <w:rPr>
          <w:rFonts w:ascii="Book Antiqua" w:hAnsi="Book Antiqua"/>
        </w:rPr>
      </w:pPr>
    </w:p>
    <w:p w14:paraId="4087FB40"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color w:val="000000"/>
        </w:rPr>
        <w:t>AIM</w:t>
      </w:r>
    </w:p>
    <w:p w14:paraId="3BBE9A3F" w14:textId="78CCA7AB"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caps/>
          <w:color w:val="000000"/>
        </w:rPr>
        <w:t>t</w:t>
      </w:r>
      <w:r w:rsidRPr="007A3E30">
        <w:rPr>
          <w:rFonts w:ascii="Book Antiqua" w:eastAsia="Book Antiqua" w:hAnsi="Book Antiqua" w:cs="Book Antiqua"/>
          <w:color w:val="000000"/>
        </w:rPr>
        <w:t xml:space="preserve">o perform a health economic analysis to determine the cost-effectiveness of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w:t>
      </w:r>
      <w:r w:rsidR="00D76D30" w:rsidRPr="007A3E30">
        <w:rPr>
          <w:rFonts w:ascii="Book Antiqua" w:eastAsia="Book Antiqua" w:hAnsi="Book Antiqua" w:cs="Book Antiqua"/>
          <w:caps/>
          <w:color w:val="000000"/>
        </w:rPr>
        <w:t>d</w:t>
      </w:r>
      <w:r w:rsidRPr="007A3E30">
        <w:rPr>
          <w:rFonts w:ascii="Book Antiqua" w:eastAsia="Book Antiqua" w:hAnsi="Book Antiqua" w:cs="Book Antiqua"/>
          <w:color w:val="000000"/>
        </w:rPr>
        <w:t>otatate compared with everolimus in patients with unresectable or metastatic midgut-NETs or P-NETs in both Sweden and Norway.</w:t>
      </w:r>
      <w:r w:rsidR="002B01AF" w:rsidRPr="007A3E30">
        <w:rPr>
          <w:rFonts w:ascii="Book Antiqua" w:eastAsia="Book Antiqua" w:hAnsi="Book Antiqua" w:cs="Book Antiqua"/>
          <w:color w:val="000000"/>
        </w:rPr>
        <w:t xml:space="preserve"> </w:t>
      </w:r>
    </w:p>
    <w:p w14:paraId="1A302E1E" w14:textId="77777777" w:rsidR="00A77B3E" w:rsidRPr="007A3E30" w:rsidRDefault="00A77B3E" w:rsidP="000540F1">
      <w:pPr>
        <w:spacing w:line="360" w:lineRule="auto"/>
        <w:jc w:val="both"/>
        <w:rPr>
          <w:rFonts w:ascii="Book Antiqua" w:hAnsi="Book Antiqua"/>
        </w:rPr>
      </w:pPr>
    </w:p>
    <w:p w14:paraId="4565F676"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color w:val="000000"/>
        </w:rPr>
        <w:t>METHODS</w:t>
      </w:r>
    </w:p>
    <w:p w14:paraId="73ACE43B" w14:textId="28792E35"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color w:val="000000"/>
        </w:rPr>
        <w:t>Simulations were performed using a three-state partitioned survival model and analyses were performed separately for patients with midgut-NETs and P-NETs.</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 xml:space="preserve">Clinical input data were sourced from an indirect comparison that utilized survival data from clinical trials of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and everolimus.</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The analyses were performed from the healthcare payer perspective over a time horizon of 20 years. For Sweden</w:t>
      </w:r>
      <w:r w:rsidR="00411063" w:rsidRPr="007A3E30">
        <w:rPr>
          <w:rFonts w:ascii="Book Antiqua" w:eastAsia="Book Antiqua" w:hAnsi="Book Antiqua" w:cs="Book Antiqua"/>
          <w:color w:val="000000"/>
        </w:rPr>
        <w:t>,</w:t>
      </w:r>
      <w:r w:rsidRPr="007A3E30">
        <w:rPr>
          <w:rFonts w:ascii="Book Antiqua" w:eastAsia="Book Antiqua" w:hAnsi="Book Antiqua" w:cs="Book Antiqua"/>
          <w:color w:val="000000"/>
        </w:rPr>
        <w:t xml:space="preserve"> future costs and clinical outcomes were discounted at 3% </w:t>
      </w:r>
      <w:r w:rsidRPr="007A3E30">
        <w:rPr>
          <w:rFonts w:ascii="Book Antiqua" w:eastAsia="Book Antiqua" w:hAnsi="Book Antiqua" w:cs="Book Antiqua"/>
          <w:i/>
          <w:iCs/>
          <w:color w:val="000000"/>
        </w:rPr>
        <w:t>per annum</w:t>
      </w:r>
      <w:r w:rsidRPr="007A3E30">
        <w:rPr>
          <w:rFonts w:ascii="Book Antiqua" w:eastAsia="Book Antiqua" w:hAnsi="Book Antiqua" w:cs="Book Antiqua"/>
          <w:color w:val="000000"/>
        </w:rPr>
        <w:t>.</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For Norway</w:t>
      </w:r>
      <w:r w:rsidR="00411063" w:rsidRPr="007A3E30">
        <w:rPr>
          <w:rFonts w:ascii="Book Antiqua" w:eastAsia="Book Antiqua" w:hAnsi="Book Antiqua" w:cs="Book Antiqua"/>
          <w:color w:val="000000"/>
        </w:rPr>
        <w:t>,</w:t>
      </w:r>
      <w:r w:rsidRPr="007A3E30">
        <w:rPr>
          <w:rFonts w:ascii="Book Antiqua" w:eastAsia="Book Antiqua" w:hAnsi="Book Antiqua" w:cs="Book Antiqua"/>
          <w:color w:val="000000"/>
        </w:rPr>
        <w:t xml:space="preserve"> a discount rate of 4% </w:t>
      </w:r>
      <w:r w:rsidRPr="007A3E30">
        <w:rPr>
          <w:rFonts w:ascii="Book Antiqua" w:eastAsia="Book Antiqua" w:hAnsi="Book Antiqua" w:cs="Book Antiqua"/>
          <w:i/>
          <w:iCs/>
          <w:color w:val="000000"/>
        </w:rPr>
        <w:t>per annum</w:t>
      </w:r>
      <w:r w:rsidRPr="007A3E30">
        <w:rPr>
          <w:rFonts w:ascii="Book Antiqua" w:eastAsia="Book Antiqua" w:hAnsi="Book Antiqua" w:cs="Book Antiqua"/>
          <w:color w:val="000000"/>
        </w:rPr>
        <w:t xml:space="preserve"> was applied.</w:t>
      </w:r>
    </w:p>
    <w:p w14:paraId="4ABCA3B1" w14:textId="77777777" w:rsidR="00A77B3E" w:rsidRPr="007A3E30" w:rsidRDefault="00A77B3E" w:rsidP="000540F1">
      <w:pPr>
        <w:spacing w:line="360" w:lineRule="auto"/>
        <w:jc w:val="both"/>
        <w:rPr>
          <w:rFonts w:ascii="Book Antiqua" w:hAnsi="Book Antiqua"/>
        </w:rPr>
      </w:pPr>
    </w:p>
    <w:p w14:paraId="41E0ABAC"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color w:val="000000"/>
        </w:rPr>
        <w:t>RESULTS</w:t>
      </w:r>
    </w:p>
    <w:p w14:paraId="6326AE50" w14:textId="783E7E94"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color w:val="000000"/>
        </w:rPr>
        <w:t xml:space="preserve">For Sweden, improved survival outcomes and higher lifetime costs with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resulted in an incremental cost-effect</w:t>
      </w:r>
      <w:r w:rsidR="00FD2162" w:rsidRPr="007A3E30">
        <w:rPr>
          <w:rFonts w:ascii="Book Antiqua" w:eastAsia="Book Antiqua" w:hAnsi="Book Antiqua" w:cs="Book Antiqua"/>
          <w:color w:val="000000"/>
        </w:rPr>
        <w:t>iveness ratio (ICER) of SEK 391</w:t>
      </w:r>
      <w:r w:rsidRPr="007A3E30">
        <w:rPr>
          <w:rFonts w:ascii="Book Antiqua" w:eastAsia="Book Antiqua" w:hAnsi="Book Antiqua" w:cs="Book Antiqua"/>
          <w:color w:val="000000"/>
        </w:rPr>
        <w:t>194 per quality-adjusted life year (QALY) ga</w:t>
      </w:r>
      <w:r w:rsidR="00D76D30" w:rsidRPr="007A3E30">
        <w:rPr>
          <w:rFonts w:ascii="Book Antiqua" w:eastAsia="Book Antiqua" w:hAnsi="Book Antiqua" w:cs="Book Antiqua"/>
          <w:color w:val="000000"/>
        </w:rPr>
        <w:t>ined for midgut NETs and SEK 16</w:t>
      </w:r>
      <w:r w:rsidRPr="007A3E30">
        <w:rPr>
          <w:rFonts w:ascii="Book Antiqua" w:eastAsia="Book Antiqua" w:hAnsi="Book Antiqua" w:cs="Book Antiqua"/>
          <w:color w:val="000000"/>
        </w:rPr>
        <w:t xml:space="preserve">764 per QALY gained for P-NETs for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compared with everolimus.</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For Norway</w:t>
      </w:r>
      <w:r w:rsidR="00411063" w:rsidRPr="007A3E30">
        <w:rPr>
          <w:rFonts w:ascii="Book Antiqua" w:eastAsia="Book Antiqua" w:hAnsi="Book Antiqua" w:cs="Book Antiqua"/>
          <w:color w:val="000000"/>
        </w:rPr>
        <w:t>,</w:t>
      </w:r>
      <w:r w:rsidRPr="007A3E30">
        <w:rPr>
          <w:rFonts w:ascii="Book Antiqua" w:eastAsia="Book Antiqua" w:hAnsi="Book Antiqua" w:cs="Book Antiqua"/>
          <w:color w:val="000000"/>
        </w:rPr>
        <w:t xml:space="preserve"> the corresponding I</w:t>
      </w:r>
      <w:r w:rsidR="00D76D30" w:rsidRPr="007A3E30">
        <w:rPr>
          <w:rFonts w:ascii="Book Antiqua" w:eastAsia="Book Antiqua" w:hAnsi="Book Antiqua" w:cs="Book Antiqua"/>
          <w:color w:val="000000"/>
        </w:rPr>
        <w:t>CERs were NOK 244444 per QALY gained and NOK 106</w:t>
      </w:r>
      <w:r w:rsidRPr="007A3E30">
        <w:rPr>
          <w:rFonts w:ascii="Book Antiqua" w:eastAsia="Book Antiqua" w:hAnsi="Book Antiqua" w:cs="Book Antiqua"/>
          <w:color w:val="000000"/>
        </w:rPr>
        <w:t>451 per QALY gained, respectively.</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One-way sensitivity analyses revealed that the results were most sensitive to changes in drug acquisition costs and health state utility values.</w:t>
      </w:r>
    </w:p>
    <w:p w14:paraId="5DFA222E" w14:textId="77777777" w:rsidR="00A77B3E" w:rsidRPr="007A3E30" w:rsidRDefault="00A77B3E" w:rsidP="000540F1">
      <w:pPr>
        <w:spacing w:line="360" w:lineRule="auto"/>
        <w:jc w:val="both"/>
        <w:rPr>
          <w:rFonts w:ascii="Book Antiqua" w:hAnsi="Book Antiqua"/>
        </w:rPr>
      </w:pPr>
    </w:p>
    <w:p w14:paraId="5FFE26DC"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color w:val="000000"/>
        </w:rPr>
        <w:t>CONCLUSION</w:t>
      </w:r>
    </w:p>
    <w:p w14:paraId="3425B232" w14:textId="2FA2D70A"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color w:val="000000"/>
        </w:rPr>
        <w:t>In both Sweden and Norway, from a healthcare payer perspective</w:t>
      </w:r>
      <w:r w:rsidR="00411063" w:rsidRPr="007A3E30">
        <w:rPr>
          <w:rFonts w:ascii="Book Antiqua" w:eastAsia="Book Antiqua" w:hAnsi="Book Antiqua" w:cs="Book Antiqua"/>
          <w:color w:val="000000"/>
        </w:rPr>
        <w:t>,</w:t>
      </w:r>
      <w:r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is likely to be considered cost-effective relative to everolimus for the treatment of patients with unresectable or metastatic, progressive midgut-NETs or P-NETs. </w:t>
      </w:r>
    </w:p>
    <w:p w14:paraId="2531EDB3" w14:textId="77777777" w:rsidR="00A77B3E" w:rsidRPr="007A3E30" w:rsidRDefault="00A77B3E" w:rsidP="000540F1">
      <w:pPr>
        <w:spacing w:line="360" w:lineRule="auto"/>
        <w:jc w:val="both"/>
        <w:rPr>
          <w:rFonts w:ascii="Book Antiqua" w:hAnsi="Book Antiqua"/>
        </w:rPr>
      </w:pPr>
    </w:p>
    <w:p w14:paraId="0778B516"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b/>
          <w:bCs/>
          <w:color w:val="000000"/>
        </w:rPr>
        <w:t xml:space="preserve">Key Words: </w:t>
      </w:r>
      <w:r w:rsidRPr="007A3E30">
        <w:rPr>
          <w:rFonts w:ascii="Book Antiqua" w:eastAsia="Book Antiqua" w:hAnsi="Book Antiqua" w:cs="Book Antiqua"/>
          <w:color w:val="000000"/>
        </w:rPr>
        <w:t xml:space="preserve">Cost; Cost-effectiveness; </w:t>
      </w:r>
      <w:r w:rsidRPr="007A3E30">
        <w:rPr>
          <w:rFonts w:ascii="Book Antiqua" w:eastAsia="Book Antiqua" w:hAnsi="Book Antiqua" w:cs="Book Antiqua"/>
          <w:caps/>
          <w:color w:val="000000"/>
        </w:rPr>
        <w:t>n</w:t>
      </w:r>
      <w:r w:rsidRPr="007A3E30">
        <w:rPr>
          <w:rFonts w:ascii="Book Antiqua" w:eastAsia="Book Antiqua" w:hAnsi="Book Antiqua" w:cs="Book Antiqua"/>
          <w:color w:val="000000"/>
        </w:rPr>
        <w:t xml:space="preserve">euroendocrine tumors;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Sweden; Norway</w:t>
      </w:r>
    </w:p>
    <w:p w14:paraId="3CC7C44A" w14:textId="77777777" w:rsidR="00A77B3E" w:rsidRPr="007A3E30" w:rsidRDefault="00A77B3E" w:rsidP="000540F1">
      <w:pPr>
        <w:spacing w:line="360" w:lineRule="auto"/>
        <w:jc w:val="both"/>
        <w:rPr>
          <w:rFonts w:ascii="Book Antiqua" w:hAnsi="Book Antiqua"/>
        </w:rPr>
      </w:pPr>
    </w:p>
    <w:p w14:paraId="7087ABAD" w14:textId="77777777" w:rsidR="00BE1CB6" w:rsidRDefault="00BE1CB6" w:rsidP="000540F1">
      <w:pPr>
        <w:spacing w:line="360" w:lineRule="auto"/>
        <w:jc w:val="both"/>
        <w:rPr>
          <w:rFonts w:ascii="Book Antiqua" w:hAnsi="Book Antiqua" w:cs="Book Antiqua" w:hint="eastAsia"/>
          <w:color w:val="000000"/>
          <w:lang w:eastAsia="zh-CN"/>
        </w:rPr>
      </w:pPr>
      <w:r w:rsidRPr="00BE1CB6">
        <w:rPr>
          <w:rFonts w:ascii="Book Antiqua" w:hAnsi="Book Antiqua" w:cs="Book Antiqua" w:hint="eastAsia"/>
          <w:b/>
          <w:color w:val="000000"/>
          <w:lang w:eastAsia="zh-CN"/>
        </w:rPr>
        <w:t xml:space="preserve">Citation: </w:t>
      </w:r>
      <w:r w:rsidR="00E7670D" w:rsidRPr="007A3E30">
        <w:rPr>
          <w:rFonts w:ascii="Book Antiqua" w:eastAsia="Book Antiqua" w:hAnsi="Book Antiqua" w:cs="Book Antiqua"/>
          <w:color w:val="000000"/>
        </w:rPr>
        <w:t xml:space="preserve">Palmer J, Leeuwenkamp OR. </w:t>
      </w:r>
      <w:r w:rsidR="00D76D30" w:rsidRPr="007A3E30">
        <w:rPr>
          <w:rFonts w:ascii="Book Antiqua" w:eastAsia="Book Antiqua" w:hAnsi="Book Antiqua" w:cs="Book Antiqua"/>
          <w:color w:val="000000"/>
        </w:rPr>
        <w:t xml:space="preserve">Cost-effectiveness of lutetium </w:t>
      </w:r>
      <w:r w:rsidR="00262A89" w:rsidRPr="007A3E30">
        <w:rPr>
          <w:rFonts w:ascii="Book Antiqua" w:eastAsia="Book Antiqua" w:hAnsi="Book Antiqua" w:cs="Book Antiqua"/>
          <w:color w:val="000000"/>
        </w:rPr>
        <w:t>(</w:t>
      </w:r>
      <w:r w:rsidR="00262A89" w:rsidRPr="007A3E30">
        <w:rPr>
          <w:rFonts w:ascii="Book Antiqua" w:eastAsia="Book Antiqua" w:hAnsi="Book Antiqua" w:cs="Book Antiqua"/>
          <w:color w:val="000000"/>
          <w:vertAlign w:val="superscript"/>
        </w:rPr>
        <w:t>177</w:t>
      </w:r>
      <w:r w:rsidR="003F7153" w:rsidRPr="007A3E30">
        <w:rPr>
          <w:rFonts w:ascii="Book Antiqua" w:eastAsia="Book Antiqua" w:hAnsi="Book Antiqua" w:cs="Book Antiqua"/>
          <w:color w:val="000000"/>
        </w:rPr>
        <w:t>L</w:t>
      </w:r>
      <w:r w:rsidR="00262A89" w:rsidRPr="007A3E30">
        <w:rPr>
          <w:rFonts w:ascii="Book Antiqua" w:eastAsia="Book Antiqua" w:hAnsi="Book Antiqua" w:cs="Book Antiqua"/>
          <w:color w:val="000000"/>
        </w:rPr>
        <w:t>u)</w:t>
      </w:r>
      <w:r w:rsidR="00D76D30" w:rsidRPr="007A3E30">
        <w:rPr>
          <w:rFonts w:ascii="Book Antiqua" w:eastAsia="Book Antiqua" w:hAnsi="Book Antiqua" w:cs="Book Antiqua"/>
          <w:color w:val="000000"/>
        </w:rPr>
        <w:t xml:space="preserve"> oxodotreotide </w:t>
      </w:r>
      <w:r w:rsidR="00D76D30" w:rsidRPr="007A3E30">
        <w:rPr>
          <w:rFonts w:ascii="Book Antiqua" w:eastAsia="Book Antiqua" w:hAnsi="Book Antiqua" w:cs="Book Antiqua"/>
          <w:i/>
          <w:color w:val="000000"/>
        </w:rPr>
        <w:t>vs</w:t>
      </w:r>
      <w:r w:rsidR="00D76D30" w:rsidRPr="007A3E30">
        <w:rPr>
          <w:rFonts w:ascii="Book Antiqua" w:eastAsia="Book Antiqua" w:hAnsi="Book Antiqua" w:cs="Book Antiqua"/>
          <w:color w:val="000000"/>
        </w:rPr>
        <w:t xml:space="preserve"> everolimus in gastroenteropancreatic neuroendocrine tumors in </w:t>
      </w:r>
      <w:r w:rsidR="00D76D30" w:rsidRPr="007A3E30">
        <w:rPr>
          <w:rFonts w:ascii="Book Antiqua" w:eastAsia="Book Antiqua" w:hAnsi="Book Antiqua" w:cs="Book Antiqua"/>
          <w:caps/>
          <w:color w:val="000000"/>
        </w:rPr>
        <w:t>n</w:t>
      </w:r>
      <w:r w:rsidR="00D76D30" w:rsidRPr="007A3E30">
        <w:rPr>
          <w:rFonts w:ascii="Book Antiqua" w:eastAsia="Book Antiqua" w:hAnsi="Book Antiqua" w:cs="Book Antiqua"/>
          <w:color w:val="000000"/>
        </w:rPr>
        <w:t xml:space="preserve">orway and </w:t>
      </w:r>
      <w:r w:rsidR="00D76D30" w:rsidRPr="007A3E30">
        <w:rPr>
          <w:rFonts w:ascii="Book Antiqua" w:eastAsia="Book Antiqua" w:hAnsi="Book Antiqua" w:cs="Book Antiqua"/>
          <w:caps/>
          <w:color w:val="000000"/>
        </w:rPr>
        <w:t>s</w:t>
      </w:r>
      <w:r w:rsidR="00D76D30" w:rsidRPr="007A3E30">
        <w:rPr>
          <w:rFonts w:ascii="Book Antiqua" w:eastAsia="Book Antiqua" w:hAnsi="Book Antiqua" w:cs="Book Antiqua"/>
          <w:color w:val="000000"/>
        </w:rPr>
        <w:t>weden</w:t>
      </w:r>
      <w:r w:rsidR="00E7670D" w:rsidRPr="007A3E30">
        <w:rPr>
          <w:rFonts w:ascii="Book Antiqua" w:eastAsia="Book Antiqua" w:hAnsi="Book Antiqua" w:cs="Book Antiqua"/>
          <w:color w:val="000000"/>
        </w:rPr>
        <w:t xml:space="preserve">. </w:t>
      </w:r>
      <w:r w:rsidR="00E7670D" w:rsidRPr="007A3E30">
        <w:rPr>
          <w:rFonts w:ascii="Book Antiqua" w:eastAsia="Book Antiqua" w:hAnsi="Book Antiqua" w:cs="Book Antiqua"/>
          <w:i/>
          <w:iCs/>
          <w:color w:val="000000"/>
        </w:rPr>
        <w:t>World J Clin Cases</w:t>
      </w:r>
      <w:r w:rsidR="00E7670D" w:rsidRPr="007A3E30">
        <w:rPr>
          <w:rFonts w:ascii="Book Antiqua" w:eastAsia="Book Antiqua" w:hAnsi="Book Antiqua" w:cs="Book Antiqua"/>
          <w:color w:val="000000"/>
        </w:rPr>
        <w:t xml:space="preserve"> </w:t>
      </w:r>
      <w:bookmarkStart w:id="7" w:name="OLE_LINK69"/>
      <w:r w:rsidR="00E7670D" w:rsidRPr="007A3E30">
        <w:rPr>
          <w:rFonts w:ascii="Book Antiqua" w:eastAsia="Book Antiqua" w:hAnsi="Book Antiqua" w:cs="Book Antiqua"/>
          <w:color w:val="000000"/>
        </w:rPr>
        <w:t xml:space="preserve">2020; </w:t>
      </w:r>
      <w:r w:rsidR="009B51BE" w:rsidRPr="007A3E30">
        <w:rPr>
          <w:rFonts w:ascii="Book Antiqua" w:eastAsia="Book Antiqua" w:hAnsi="Book Antiqua" w:cs="Book Antiqua"/>
          <w:color w:val="000000"/>
        </w:rPr>
        <w:t>8(</w:t>
      </w:r>
      <w:r w:rsidR="009B51BE" w:rsidRPr="007A3E30">
        <w:rPr>
          <w:rFonts w:ascii="Book Antiqua" w:hAnsi="Book Antiqua" w:cs="Book Antiqua" w:hint="eastAsia"/>
          <w:color w:val="000000"/>
          <w:lang w:eastAsia="zh-CN"/>
        </w:rPr>
        <w:t>20</w:t>
      </w:r>
      <w:r w:rsidR="009B51BE" w:rsidRPr="007A3E30">
        <w:rPr>
          <w:rFonts w:ascii="Book Antiqua" w:eastAsia="Book Antiqua" w:hAnsi="Book Antiqua" w:cs="Book Antiqua"/>
          <w:color w:val="000000"/>
        </w:rPr>
        <w:t xml:space="preserve">): </w:t>
      </w:r>
      <w:r w:rsidR="003C3ED8" w:rsidRPr="003C3ED8">
        <w:rPr>
          <w:rFonts w:ascii="Book Antiqua" w:eastAsia="Book Antiqua" w:hAnsi="Book Antiqua" w:cs="Book Antiqua"/>
          <w:color w:val="000000"/>
        </w:rPr>
        <w:t>4793-</w:t>
      </w:r>
      <w:bookmarkStart w:id="8" w:name="OLE_LINK71"/>
      <w:bookmarkStart w:id="9" w:name="OLE_LINK72"/>
      <w:bookmarkStart w:id="10" w:name="_GoBack"/>
      <w:r w:rsidR="003C3ED8" w:rsidRPr="003C3ED8">
        <w:rPr>
          <w:rFonts w:ascii="Book Antiqua" w:eastAsia="Book Antiqua" w:hAnsi="Book Antiqua" w:cs="Book Antiqua"/>
          <w:color w:val="000000"/>
        </w:rPr>
        <w:t>4806</w:t>
      </w:r>
      <w:bookmarkEnd w:id="7"/>
      <w:bookmarkEnd w:id="8"/>
      <w:bookmarkEnd w:id="9"/>
      <w:bookmarkEnd w:id="10"/>
      <w:r w:rsidR="009B51BE" w:rsidRPr="007A3E30">
        <w:rPr>
          <w:rFonts w:ascii="Book Antiqua" w:eastAsia="Book Antiqua" w:hAnsi="Book Antiqua" w:cs="Book Antiqua"/>
          <w:color w:val="000000"/>
        </w:rPr>
        <w:t xml:space="preserve">  </w:t>
      </w:r>
    </w:p>
    <w:p w14:paraId="5908362D" w14:textId="77777777" w:rsidR="00BE1CB6" w:rsidRDefault="009B51BE" w:rsidP="000540F1">
      <w:pPr>
        <w:spacing w:line="360" w:lineRule="auto"/>
        <w:jc w:val="both"/>
        <w:rPr>
          <w:rFonts w:ascii="Book Antiqua" w:hAnsi="Book Antiqua" w:cs="Book Antiqua" w:hint="eastAsia"/>
          <w:color w:val="000000"/>
          <w:lang w:eastAsia="zh-CN"/>
        </w:rPr>
      </w:pPr>
      <w:r w:rsidRPr="00255D8D">
        <w:rPr>
          <w:rFonts w:ascii="Book Antiqua" w:eastAsia="Book Antiqua" w:hAnsi="Book Antiqua" w:cs="Book Antiqua"/>
          <w:b/>
          <w:color w:val="000000"/>
        </w:rPr>
        <w:t xml:space="preserve">URL: </w:t>
      </w:r>
      <w:r w:rsidRPr="007A3E30">
        <w:rPr>
          <w:rFonts w:ascii="Book Antiqua" w:eastAsia="Book Antiqua" w:hAnsi="Book Antiqua" w:cs="Book Antiqua"/>
          <w:color w:val="000000"/>
        </w:rPr>
        <w:t>https://www.wjgnet.com/2307-8960/full/v8/i</w:t>
      </w:r>
      <w:r w:rsidRPr="007A3E30">
        <w:rPr>
          <w:rFonts w:ascii="Book Antiqua" w:hAnsi="Book Antiqua" w:cs="Book Antiqua" w:hint="eastAsia"/>
          <w:color w:val="000000"/>
          <w:lang w:eastAsia="zh-CN"/>
        </w:rPr>
        <w:t>20</w:t>
      </w:r>
      <w:r w:rsidRPr="007A3E30">
        <w:rPr>
          <w:rFonts w:ascii="Book Antiqua" w:eastAsia="Book Antiqua" w:hAnsi="Book Antiqua" w:cs="Book Antiqua"/>
          <w:color w:val="000000"/>
        </w:rPr>
        <w:t>/</w:t>
      </w:r>
      <w:r w:rsidR="003C3ED8">
        <w:rPr>
          <w:rFonts w:ascii="Book Antiqua" w:hAnsi="Book Antiqua" w:cs="Book Antiqua" w:hint="eastAsia"/>
          <w:color w:val="000000"/>
          <w:lang w:eastAsia="zh-CN"/>
        </w:rPr>
        <w:t>4793</w:t>
      </w:r>
      <w:r w:rsidRPr="007A3E30">
        <w:rPr>
          <w:rFonts w:ascii="Book Antiqua" w:eastAsia="Book Antiqua" w:hAnsi="Book Antiqua" w:cs="Book Antiqua"/>
          <w:color w:val="000000"/>
        </w:rPr>
        <w:t xml:space="preserve">.htm  </w:t>
      </w:r>
    </w:p>
    <w:p w14:paraId="56C226AB" w14:textId="2B134972" w:rsidR="00A77B3E" w:rsidRPr="003C3ED8" w:rsidRDefault="009B51BE" w:rsidP="000540F1">
      <w:pPr>
        <w:spacing w:line="360" w:lineRule="auto"/>
        <w:jc w:val="both"/>
        <w:rPr>
          <w:rFonts w:ascii="Book Antiqua" w:hAnsi="Book Antiqua" w:hint="eastAsia"/>
          <w:lang w:eastAsia="zh-CN"/>
        </w:rPr>
      </w:pPr>
      <w:r w:rsidRPr="00255D8D">
        <w:rPr>
          <w:rFonts w:ascii="Book Antiqua" w:eastAsia="Book Antiqua" w:hAnsi="Book Antiqua" w:cs="Book Antiqua"/>
          <w:b/>
          <w:color w:val="000000"/>
        </w:rPr>
        <w:t>DOI:</w:t>
      </w:r>
      <w:r w:rsidRPr="007A3E30">
        <w:rPr>
          <w:rFonts w:ascii="Book Antiqua" w:eastAsia="Book Antiqua" w:hAnsi="Book Antiqua" w:cs="Book Antiqua"/>
          <w:color w:val="000000"/>
        </w:rPr>
        <w:t xml:space="preserve"> </w:t>
      </w:r>
      <w:bookmarkStart w:id="11" w:name="OLE_LINK70"/>
      <w:r w:rsidRPr="007A3E30">
        <w:rPr>
          <w:rFonts w:ascii="Book Antiqua" w:eastAsia="Book Antiqua" w:hAnsi="Book Antiqua" w:cs="Book Antiqua"/>
          <w:color w:val="000000"/>
        </w:rPr>
        <w:t>https://dx.doi.org/10.12998/wjcc.v8.i</w:t>
      </w:r>
      <w:r w:rsidRPr="007A3E30">
        <w:rPr>
          <w:rFonts w:ascii="Book Antiqua" w:hAnsi="Book Antiqua" w:cs="Book Antiqua" w:hint="eastAsia"/>
          <w:color w:val="000000"/>
          <w:lang w:eastAsia="zh-CN"/>
        </w:rPr>
        <w:t>20</w:t>
      </w:r>
      <w:r w:rsidRPr="007A3E30">
        <w:rPr>
          <w:rFonts w:ascii="Book Antiqua" w:eastAsia="Book Antiqua" w:hAnsi="Book Antiqua" w:cs="Book Antiqua"/>
          <w:color w:val="000000"/>
        </w:rPr>
        <w:t>.</w:t>
      </w:r>
      <w:r w:rsidR="003C3ED8">
        <w:rPr>
          <w:rFonts w:ascii="Book Antiqua" w:hAnsi="Book Antiqua" w:cs="Book Antiqua" w:hint="eastAsia"/>
          <w:color w:val="000000"/>
          <w:lang w:eastAsia="zh-CN"/>
        </w:rPr>
        <w:t>4793</w:t>
      </w:r>
      <w:bookmarkEnd w:id="11"/>
    </w:p>
    <w:p w14:paraId="71525B84" w14:textId="77777777" w:rsidR="00A77B3E" w:rsidRPr="007A3E30" w:rsidRDefault="00A77B3E" w:rsidP="000540F1">
      <w:pPr>
        <w:spacing w:line="360" w:lineRule="auto"/>
        <w:jc w:val="both"/>
        <w:rPr>
          <w:rFonts w:ascii="Book Antiqua" w:hAnsi="Book Antiqua"/>
        </w:rPr>
      </w:pPr>
    </w:p>
    <w:p w14:paraId="7F8DB848" w14:textId="2EE1D029"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b/>
          <w:bCs/>
          <w:color w:val="000000"/>
        </w:rPr>
        <w:t>Core Tip:</w:t>
      </w:r>
      <w:r w:rsidR="002B01AF" w:rsidRPr="007A3E30">
        <w:rPr>
          <w:rFonts w:ascii="Book Antiqua" w:eastAsia="Book Antiqua" w:hAnsi="Book Antiqua" w:cs="Book Antiqua"/>
          <w:b/>
          <w:bCs/>
          <w:color w:val="000000"/>
        </w:rPr>
        <w:t xml:space="preserve"> </w:t>
      </w:r>
      <w:r w:rsidRPr="007A3E30">
        <w:rPr>
          <w:rFonts w:ascii="Book Antiqua" w:eastAsia="Book Antiqua" w:hAnsi="Book Antiqua" w:cs="Book Antiqua"/>
          <w:color w:val="000000"/>
        </w:rPr>
        <w:t xml:space="preserve">Peptide receptor radionuclide therapy with </w:t>
      </w:r>
      <w:r w:rsidRPr="007A3E30">
        <w:rPr>
          <w:rFonts w:ascii="Book Antiqua" w:eastAsia="Book Antiqua" w:hAnsi="Book Antiqua" w:cs="Book Antiqua"/>
          <w:color w:val="000000"/>
          <w:vertAlign w:val="superscript"/>
        </w:rPr>
        <w:t>177</w:t>
      </w:r>
      <w:r w:rsidR="003F7153" w:rsidRPr="007A3E30">
        <w:rPr>
          <w:rFonts w:ascii="Book Antiqua" w:eastAsia="Book Antiqua" w:hAnsi="Book Antiqua" w:cs="Book Antiqua"/>
          <w:color w:val="000000"/>
        </w:rPr>
        <w:t>l</w:t>
      </w:r>
      <w:r w:rsidRPr="007A3E30">
        <w:rPr>
          <w:rFonts w:ascii="Book Antiqua" w:eastAsia="Book Antiqua" w:hAnsi="Book Antiqua" w:cs="Book Antiqua"/>
          <w:color w:val="000000"/>
        </w:rPr>
        <w:t>utetium oxodotreotide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Lutathera), which targets the overexpression of somatostatin receptors, particularly the somatostatin receptor type 2</w:t>
      </w:r>
      <w:r w:rsidR="00D76D30" w:rsidRPr="007A3E30">
        <w:rPr>
          <w:rFonts w:ascii="Book Antiqua" w:hAnsi="Book Antiqua" w:cs="Book Antiqua"/>
          <w:color w:val="000000"/>
          <w:lang w:eastAsia="zh-CN"/>
        </w:rPr>
        <w:t xml:space="preserve"> </w:t>
      </w:r>
      <w:r w:rsidRPr="007A3E30">
        <w:rPr>
          <w:rFonts w:ascii="Book Antiqua" w:eastAsia="Book Antiqua" w:hAnsi="Book Antiqua" w:cs="Book Antiqua"/>
          <w:color w:val="000000"/>
        </w:rPr>
        <w:t>expressed on the surface of tumor cells in some neuroendocrine tumors (NETs)</w:t>
      </w:r>
      <w:r w:rsidR="00411063" w:rsidRPr="007A3E30">
        <w:rPr>
          <w:rFonts w:ascii="Book Antiqua" w:eastAsia="Book Antiqua" w:hAnsi="Book Antiqua" w:cs="Book Antiqua"/>
          <w:color w:val="000000"/>
        </w:rPr>
        <w:t>,</w:t>
      </w:r>
      <w:r w:rsidRPr="007A3E30">
        <w:rPr>
          <w:rFonts w:ascii="Book Antiqua" w:eastAsia="Book Antiqua" w:hAnsi="Book Antiqua" w:cs="Book Antiqua"/>
          <w:color w:val="000000"/>
        </w:rPr>
        <w:t xml:space="preserve"> is an efficacious new treatment approach for patients with gastroenteropancreatic NETs. To be adopted into routine clinical practices, new treatments should also be cost-effective as well as efficacious. Long-term health economic analys</w:t>
      </w:r>
      <w:r w:rsidR="005245C3" w:rsidRPr="007A3E30">
        <w:rPr>
          <w:rFonts w:ascii="Book Antiqua" w:eastAsia="Book Antiqua" w:hAnsi="Book Antiqua" w:cs="Book Antiqua"/>
          <w:color w:val="000000"/>
        </w:rPr>
        <w:t>e</w:t>
      </w:r>
      <w:r w:rsidRPr="007A3E30">
        <w:rPr>
          <w:rFonts w:ascii="Book Antiqua" w:eastAsia="Book Antiqua" w:hAnsi="Book Antiqua" w:cs="Book Antiqua"/>
          <w:color w:val="000000"/>
        </w:rPr>
        <w:t xml:space="preserve">s suggest that in Sweden and Norway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Lu-Dotate is likely to be cost-effective and associated with minimal budget impact relative to everolimus for the treatment of unresectable or metastatic progressive midgut or pancreatic NETs.</w:t>
      </w:r>
    </w:p>
    <w:p w14:paraId="7AE3A08F" w14:textId="77777777" w:rsidR="00A77B3E" w:rsidRPr="007A3E30" w:rsidRDefault="00D76D30" w:rsidP="000540F1">
      <w:pPr>
        <w:spacing w:line="360" w:lineRule="auto"/>
        <w:jc w:val="both"/>
        <w:rPr>
          <w:rFonts w:ascii="Book Antiqua" w:hAnsi="Book Antiqua"/>
        </w:rPr>
      </w:pPr>
      <w:r w:rsidRPr="007A3E30">
        <w:rPr>
          <w:rFonts w:ascii="Book Antiqua" w:hAnsi="Book Antiqua"/>
        </w:rPr>
        <w:br w:type="page"/>
      </w:r>
      <w:r w:rsidR="00E7670D" w:rsidRPr="007A3E30">
        <w:rPr>
          <w:rFonts w:ascii="Book Antiqua" w:eastAsia="Book Antiqua" w:hAnsi="Book Antiqua" w:cs="Book Antiqua"/>
          <w:b/>
          <w:caps/>
          <w:color w:val="000000"/>
          <w:u w:val="single"/>
        </w:rPr>
        <w:t>INTRODUCTION</w:t>
      </w:r>
    </w:p>
    <w:p w14:paraId="09937847" w14:textId="06979FAC"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color w:val="000000"/>
        </w:rPr>
        <w:t>Neuroendocrine tumors (NETs) are a heterogenous group of tumors that may arise from any cell with a neuroendocrine phenotype, although around 70% of NETs emanate from cells in the gastrointestinal tract or pancreas, collectively termed gastroenteropancreatic (GEP)-NETs</w:t>
      </w:r>
      <w:r w:rsidR="00CD092E" w:rsidRPr="007A3E30">
        <w:rPr>
          <w:rFonts w:ascii="Book Antiqua" w:eastAsia="Book Antiqua" w:hAnsi="Book Antiqua" w:cs="Book Antiqua"/>
          <w:color w:val="000000"/>
          <w:vertAlign w:val="superscript"/>
        </w:rPr>
        <w:t>[1]</w:t>
      </w:r>
      <w:r w:rsidRPr="007A3E30">
        <w:rPr>
          <w:rFonts w:ascii="Book Antiqua" w:eastAsia="Book Antiqua" w:hAnsi="Book Antiqua" w:cs="Book Antiqua"/>
          <w:color w:val="000000"/>
        </w:rPr>
        <w:t>.</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Recent estimates relating to the prevalence and incidence of NETs or GEP-NETs specifically in Sweden are lacking, but in Norway in 2010 the overall incidence of all NET types was estimated at 21.3</w:t>
      </w:r>
      <w:r w:rsidR="00CD092E" w:rsidRPr="007A3E30">
        <w:rPr>
          <w:rFonts w:ascii="Book Antiqua" w:eastAsia="Book Antiqua" w:hAnsi="Book Antiqua" w:cs="Book Antiqua"/>
          <w:color w:val="000000"/>
        </w:rPr>
        <w:t xml:space="preserve"> per 100</w:t>
      </w:r>
      <w:r w:rsidRPr="007A3E30">
        <w:rPr>
          <w:rFonts w:ascii="Book Antiqua" w:eastAsia="Book Antiqua" w:hAnsi="Book Antiqua" w:cs="Book Antiqua"/>
          <w:color w:val="000000"/>
        </w:rPr>
        <w:t>000 population and the median age at diagnosis was 65 years</w:t>
      </w:r>
      <w:r w:rsidR="00CD092E" w:rsidRPr="007A3E30">
        <w:rPr>
          <w:rFonts w:ascii="Book Antiqua" w:eastAsia="Book Antiqua" w:hAnsi="Book Antiqua" w:cs="Book Antiqua"/>
          <w:color w:val="000000"/>
          <w:vertAlign w:val="superscript"/>
        </w:rPr>
        <w:t>[2]</w:t>
      </w:r>
      <w:r w:rsidRPr="007A3E30">
        <w:rPr>
          <w:rFonts w:ascii="Book Antiqua" w:eastAsia="Book Antiqua" w:hAnsi="Book Antiqua" w:cs="Book Antiqua"/>
          <w:color w:val="000000"/>
        </w:rPr>
        <w:t>.</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Moreover, analysis of temporal trends in incidence has also shown that in Norway over the period 1993–2010 the incidence of NETs increased by 5.1% per year in women and 2.1% per year in men</w:t>
      </w:r>
      <w:r w:rsidR="00CD092E" w:rsidRPr="007A3E30">
        <w:rPr>
          <w:rFonts w:ascii="Book Antiqua" w:eastAsia="Book Antiqua" w:hAnsi="Book Antiqua" w:cs="Book Antiqua"/>
          <w:color w:val="000000"/>
          <w:vertAlign w:val="superscript"/>
        </w:rPr>
        <w:t>[2]</w:t>
      </w:r>
      <w:r w:rsidRPr="007A3E30">
        <w:rPr>
          <w:rFonts w:ascii="Book Antiqua" w:eastAsia="Book Antiqua" w:hAnsi="Book Antiqua" w:cs="Book Antiqua"/>
          <w:color w:val="000000"/>
        </w:rPr>
        <w:t>,</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this increase has been attributed</w:t>
      </w:r>
      <w:r w:rsidR="0046576E" w:rsidRPr="007A3E30">
        <w:rPr>
          <w:rFonts w:ascii="Book Antiqua" w:eastAsia="Book Antiqua" w:hAnsi="Book Antiqua" w:cs="Book Antiqua"/>
          <w:color w:val="000000"/>
        </w:rPr>
        <w:t>, in part,</w:t>
      </w:r>
      <w:r w:rsidRPr="007A3E30">
        <w:rPr>
          <w:rFonts w:ascii="Book Antiqua" w:eastAsia="Book Antiqua" w:hAnsi="Book Antiqua" w:cs="Book Antiqua"/>
          <w:color w:val="000000"/>
        </w:rPr>
        <w:t xml:space="preserve"> to increased physician and pathologist awareness of NETs, improved diagnostic techniques and improved classification</w:t>
      </w:r>
      <w:r w:rsidR="00CD092E" w:rsidRPr="007A3E30">
        <w:rPr>
          <w:rFonts w:ascii="Book Antiqua" w:eastAsia="Book Antiqua" w:hAnsi="Book Antiqua" w:cs="Book Antiqua"/>
          <w:color w:val="000000"/>
          <w:vertAlign w:val="superscript"/>
        </w:rPr>
        <w:t>[2,3]</w:t>
      </w:r>
      <w:r w:rsidRPr="007A3E30">
        <w:rPr>
          <w:rFonts w:ascii="Book Antiqua" w:eastAsia="Book Antiqua" w:hAnsi="Book Antiqua" w:cs="Book Antiqua"/>
          <w:color w:val="000000"/>
        </w:rPr>
        <w:t>.</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With regard to the incidence of GEP-NETs, specifically, this has been estimat</w:t>
      </w:r>
      <w:r w:rsidR="00CD092E" w:rsidRPr="007A3E30">
        <w:rPr>
          <w:rFonts w:ascii="Book Antiqua" w:eastAsia="Book Antiqua" w:hAnsi="Book Antiqua" w:cs="Book Antiqua"/>
          <w:color w:val="000000"/>
        </w:rPr>
        <w:t>ed at 5.25 per 100</w:t>
      </w:r>
      <w:r w:rsidRPr="007A3E30">
        <w:rPr>
          <w:rFonts w:ascii="Book Antiqua" w:eastAsia="Book Antiqua" w:hAnsi="Book Antiqua" w:cs="Book Antiqua"/>
          <w:color w:val="000000"/>
        </w:rPr>
        <w:t>000 population</w:t>
      </w:r>
      <w:r w:rsidR="00CD092E" w:rsidRPr="007A3E30">
        <w:rPr>
          <w:rFonts w:ascii="Book Antiqua" w:eastAsia="Book Antiqua" w:hAnsi="Book Antiqua" w:cs="Book Antiqua"/>
          <w:color w:val="000000"/>
          <w:vertAlign w:val="superscript"/>
        </w:rPr>
        <w:t>[4]</w:t>
      </w:r>
      <w:r w:rsidRPr="007A3E30">
        <w:rPr>
          <w:rFonts w:ascii="Book Antiqua" w:eastAsia="Book Antiqua" w:hAnsi="Book Antiqua" w:cs="Book Antiqua"/>
          <w:color w:val="000000"/>
        </w:rPr>
        <w:t>.</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For Sweden, this corresponds to an estimated 540 new cases per year (based on a population of 10.28 million</w:t>
      </w:r>
      <w:r w:rsidRPr="007A3E30">
        <w:rPr>
          <w:rFonts w:ascii="Book Antiqua" w:eastAsia="Book Antiqua" w:hAnsi="Book Antiqua" w:cs="Book Antiqua"/>
          <w:color w:val="000000"/>
          <w:vertAlign w:val="superscript"/>
        </w:rPr>
        <w:t>[5]</w:t>
      </w:r>
      <w:r w:rsidRPr="007A3E30">
        <w:rPr>
          <w:rFonts w:ascii="Book Antiqua" w:eastAsia="Book Antiqua" w:hAnsi="Book Antiqua" w:cs="Book Antiqua"/>
          <w:color w:val="000000"/>
        </w:rPr>
        <w:t>) and for Norway the corresponding figure is approximately 280 new cases per year (based on a population of 5.30 million</w:t>
      </w:r>
      <w:r w:rsidRPr="007A3E30">
        <w:rPr>
          <w:rFonts w:ascii="Book Antiqua" w:eastAsia="Book Antiqua" w:hAnsi="Book Antiqua" w:cs="Book Antiqua"/>
          <w:color w:val="000000"/>
          <w:vertAlign w:val="superscript"/>
        </w:rPr>
        <w:t>[6]</w:t>
      </w:r>
      <w:r w:rsidRPr="007A3E30">
        <w:rPr>
          <w:rFonts w:ascii="Book Antiqua" w:eastAsia="Book Antiqua" w:hAnsi="Book Antiqua" w:cs="Book Antiqua"/>
          <w:color w:val="000000"/>
        </w:rPr>
        <w:t>).</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Based on these estimates, GEP-NETs fulfil the European Medicines Agency (EMA) criteria for orphan disease status</w:t>
      </w:r>
      <w:r w:rsidR="00CD092E" w:rsidRPr="007A3E30">
        <w:rPr>
          <w:rFonts w:ascii="Book Antiqua" w:eastAsia="Book Antiqua" w:hAnsi="Book Antiqua" w:cs="Book Antiqua"/>
          <w:color w:val="000000"/>
          <w:vertAlign w:val="superscript"/>
        </w:rPr>
        <w:t>[7]</w:t>
      </w:r>
      <w:r w:rsidRPr="007A3E30">
        <w:rPr>
          <w:rFonts w:ascii="Book Antiqua" w:eastAsia="Book Antiqua" w:hAnsi="Book Antiqua" w:cs="Book Antiqua"/>
          <w:color w:val="000000"/>
        </w:rPr>
        <w:t>.</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Additionally, the tumor biology and malignant potential of GEP-NETs is highly variable and prognosis is influenced by the location of the primary tumor, Ki-67 (a marker of cell proliferation rate), tumor size and tumor grade, metastases, and disease stage at diagnosis</w:t>
      </w:r>
      <w:r w:rsidR="00CD092E" w:rsidRPr="007A3E30">
        <w:rPr>
          <w:rFonts w:ascii="Book Antiqua" w:eastAsia="Book Antiqua" w:hAnsi="Book Antiqua" w:cs="Book Antiqua"/>
          <w:color w:val="000000"/>
          <w:vertAlign w:val="superscript"/>
        </w:rPr>
        <w:t>[8]</w:t>
      </w:r>
      <w:r w:rsidRPr="007A3E30">
        <w:rPr>
          <w:rFonts w:ascii="Book Antiqua" w:eastAsia="Book Antiqua" w:hAnsi="Book Antiqua" w:cs="Book Antiqua"/>
          <w:color w:val="000000"/>
        </w:rPr>
        <w:t>.</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Indeed, in Norway over 40% of patients already had distant metastases at diagnosis</w:t>
      </w:r>
      <w:r w:rsidRPr="007A3E30">
        <w:rPr>
          <w:rFonts w:ascii="Book Antiqua" w:eastAsia="Book Antiqua" w:hAnsi="Book Antiqua" w:cs="Book Antiqua"/>
          <w:color w:val="000000"/>
          <w:vertAlign w:val="superscript"/>
        </w:rPr>
        <w:t>[2]</w:t>
      </w:r>
      <w:r w:rsidRPr="007A3E30">
        <w:rPr>
          <w:rFonts w:ascii="Book Antiqua" w:eastAsia="Book Antiqua" w:hAnsi="Book Antiqua" w:cs="Book Antiqua"/>
          <w:color w:val="000000"/>
        </w:rPr>
        <w:t xml:space="preserve"> and 5-year survival for patients with pancreatic NETs (P-NETs) with distant disease at diagnosis was just 33%</w:t>
      </w:r>
      <w:r w:rsidR="00CD092E" w:rsidRPr="007A3E30">
        <w:rPr>
          <w:rFonts w:ascii="Book Antiqua" w:eastAsia="Book Antiqua" w:hAnsi="Book Antiqua" w:cs="Book Antiqua"/>
          <w:color w:val="000000"/>
          <w:vertAlign w:val="superscript"/>
        </w:rPr>
        <w:t>[2]</w:t>
      </w:r>
      <w:r w:rsidRPr="007A3E30">
        <w:rPr>
          <w:rFonts w:ascii="Book Antiqua" w:eastAsia="Book Antiqua" w:hAnsi="Book Antiqua" w:cs="Book Antiqua"/>
          <w:color w:val="000000"/>
        </w:rPr>
        <w:t>.</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Similarly, 5-year survival rates for patients with small intestinal NETs with distant disease at diagnosis were 63% for tumors classified as low/intermediate aggressiveness</w:t>
      </w:r>
      <w:r w:rsidR="00CD092E" w:rsidRPr="007A3E30">
        <w:rPr>
          <w:rFonts w:ascii="Book Antiqua" w:eastAsia="Book Antiqua" w:hAnsi="Book Antiqua" w:cs="Book Antiqua"/>
          <w:color w:val="000000"/>
          <w:vertAlign w:val="superscript"/>
        </w:rPr>
        <w:t>[9]</w:t>
      </w:r>
      <w:r w:rsidRPr="007A3E30">
        <w:rPr>
          <w:rFonts w:ascii="Book Antiqua" w:eastAsia="Book Antiqua" w:hAnsi="Book Antiqua" w:cs="Book Antiqua"/>
          <w:color w:val="000000"/>
        </w:rPr>
        <w:t>.</w:t>
      </w:r>
    </w:p>
    <w:p w14:paraId="7979E5AD" w14:textId="7EF04498" w:rsidR="00A77B3E" w:rsidRPr="007A3E30" w:rsidRDefault="00E7670D" w:rsidP="000540F1">
      <w:pPr>
        <w:spacing w:line="360" w:lineRule="auto"/>
        <w:ind w:firstLineChars="100" w:firstLine="240"/>
        <w:jc w:val="both"/>
        <w:rPr>
          <w:rFonts w:ascii="Book Antiqua" w:hAnsi="Book Antiqua"/>
        </w:rPr>
      </w:pPr>
      <w:r w:rsidRPr="007A3E30">
        <w:rPr>
          <w:rFonts w:ascii="Book Antiqua" w:eastAsia="Book Antiqua" w:hAnsi="Book Antiqua" w:cs="Book Antiqua"/>
          <w:color w:val="000000"/>
        </w:rPr>
        <w:t xml:space="preserve">Currently available treatment options for patients with unresectable or metastatic GEP-NETs include everolimus, sunitinib (only indicated for patients with well-differentiated P-NETs with disease progression) and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Lutetium oxodotreotide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Lutathera).</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 xml:space="preserve">Lu-Dotatate was approved for use in Europe in 2017 and is a peptide receptor radionuclide therapy (PRRT) specifically targeting tumors overexpressing somatostatin receptors, particularly of type 2 </w:t>
      </w:r>
      <w:r w:rsidR="00D76D30" w:rsidRPr="007A3E30">
        <w:rPr>
          <w:rFonts w:ascii="Book Antiqua" w:hAnsi="Book Antiqua" w:cs="Book Antiqua"/>
          <w:color w:val="000000"/>
          <w:lang w:eastAsia="zh-CN"/>
        </w:rPr>
        <w:t>(</w:t>
      </w:r>
      <w:r w:rsidRPr="007A3E30">
        <w:rPr>
          <w:rFonts w:ascii="Book Antiqua" w:eastAsia="Book Antiqua" w:hAnsi="Book Antiqua" w:cs="Book Antiqua"/>
          <w:color w:val="000000"/>
        </w:rPr>
        <w:t>SSRT2</w:t>
      </w:r>
      <w:r w:rsidR="00D76D30" w:rsidRPr="007A3E30">
        <w:rPr>
          <w:rFonts w:ascii="Book Antiqua" w:hAnsi="Book Antiqua" w:cs="Book Antiqua"/>
          <w:color w:val="000000"/>
          <w:lang w:eastAsia="zh-CN"/>
        </w:rPr>
        <w:t>)</w:t>
      </w:r>
      <w:r w:rsidRPr="007A3E30">
        <w:rPr>
          <w:rFonts w:ascii="Book Antiqua" w:eastAsia="Book Antiqua" w:hAnsi="Book Antiqua" w:cs="Book Antiqua"/>
          <w:color w:val="000000"/>
        </w:rPr>
        <w:t xml:space="preserve"> on the surface of tumor cells of most NETs</w:t>
      </w:r>
      <w:r w:rsidR="00CD092E" w:rsidRPr="007A3E30">
        <w:rPr>
          <w:rFonts w:ascii="Book Antiqua" w:eastAsia="Book Antiqua" w:hAnsi="Book Antiqua" w:cs="Book Antiqua"/>
          <w:color w:val="000000"/>
          <w:vertAlign w:val="superscript"/>
        </w:rPr>
        <w:t>[10]</w:t>
      </w:r>
      <w:r w:rsidRPr="007A3E30">
        <w:rPr>
          <w:rFonts w:ascii="Book Antiqua" w:eastAsia="Book Antiqua" w:hAnsi="Book Antiqua" w:cs="Book Antiqua"/>
          <w:color w:val="000000"/>
        </w:rPr>
        <w:t>.</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 xml:space="preserve">Lu-Dotatate is radiolabeled with the β-emitter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 which has a maximum penetration range of 2.2 mm and binds with high affinity to SSRT2, thereby delivering targeted cytotoxic radiation to tumor cells overexpressing SSRT2 with minimal damage to neighboring healthy tissue</w:t>
      </w:r>
      <w:r w:rsidR="00CD092E" w:rsidRPr="007A3E30">
        <w:rPr>
          <w:rFonts w:ascii="Book Antiqua" w:eastAsia="Book Antiqua" w:hAnsi="Book Antiqua" w:cs="Book Antiqua"/>
          <w:color w:val="000000"/>
          <w:vertAlign w:val="superscript"/>
        </w:rPr>
        <w:t>[11]</w:t>
      </w:r>
      <w:r w:rsidRPr="007A3E30">
        <w:rPr>
          <w:rFonts w:ascii="Book Antiqua" w:eastAsia="Book Antiqua" w:hAnsi="Book Antiqua" w:cs="Book Antiqua"/>
          <w:color w:val="000000"/>
        </w:rPr>
        <w:t>.</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 xml:space="preserve">In the phase III NETTER-1 trial, conducted in patients with advanced, progressive, somatostatin-receptor-positive midgut NETs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plus best supportive care (BSC) with octreotide long-acting release (LAR) 30 mg was associated with a statistically significant benefit in both progression-free survival (PFS) and overall survival (OS) compared with octreotide LAR 60 mg</w:t>
      </w:r>
      <w:r w:rsidR="00CD092E" w:rsidRPr="007A3E30">
        <w:rPr>
          <w:rFonts w:ascii="Book Antiqua" w:eastAsia="Book Antiqua" w:hAnsi="Book Antiqua" w:cs="Book Antiqua"/>
          <w:color w:val="000000"/>
          <w:vertAlign w:val="superscript"/>
        </w:rPr>
        <w:t>[12]</w:t>
      </w:r>
      <w:r w:rsidRPr="007A3E30">
        <w:rPr>
          <w:rFonts w:ascii="Book Antiqua" w:eastAsia="Book Antiqua" w:hAnsi="Book Antiqua" w:cs="Book Antiqua"/>
          <w:color w:val="000000"/>
        </w:rPr>
        <w:t>.</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 xml:space="preserve">In the primary analysis median </w:t>
      </w:r>
      <w:r w:rsidR="006C3727" w:rsidRPr="007A3E30">
        <w:rPr>
          <w:rFonts w:ascii="Book Antiqua" w:hAnsi="Book Antiqua" w:cs="Book Antiqua"/>
          <w:color w:val="000000"/>
          <w:lang w:eastAsia="zh-CN"/>
        </w:rPr>
        <w:t>[</w:t>
      </w:r>
      <w:r w:rsidRPr="007A3E30">
        <w:rPr>
          <w:rFonts w:ascii="Book Antiqua" w:eastAsia="Book Antiqua" w:hAnsi="Book Antiqua" w:cs="Book Antiqua"/>
          <w:color w:val="000000"/>
        </w:rPr>
        <w:t xml:space="preserve">95% confidence interval </w:t>
      </w:r>
      <w:r w:rsidR="006C3727" w:rsidRPr="007A3E30">
        <w:rPr>
          <w:rFonts w:ascii="Book Antiqua" w:hAnsi="Book Antiqua" w:cs="Book Antiqua"/>
          <w:color w:val="000000"/>
          <w:lang w:eastAsia="zh-CN"/>
        </w:rPr>
        <w:t>(</w:t>
      </w:r>
      <w:r w:rsidRPr="007A3E30">
        <w:rPr>
          <w:rFonts w:ascii="Book Antiqua" w:eastAsia="Book Antiqua" w:hAnsi="Book Antiqua" w:cs="Book Antiqua"/>
          <w:color w:val="000000"/>
        </w:rPr>
        <w:t>CI</w:t>
      </w:r>
      <w:r w:rsidR="006C3727" w:rsidRPr="007A3E30">
        <w:rPr>
          <w:rFonts w:ascii="Book Antiqua" w:hAnsi="Book Antiqua" w:cs="Book Antiqua"/>
          <w:color w:val="000000"/>
          <w:lang w:eastAsia="zh-CN"/>
        </w:rPr>
        <w:t>)]</w:t>
      </w:r>
      <w:r w:rsidRPr="007A3E30">
        <w:rPr>
          <w:rFonts w:ascii="Book Antiqua" w:eastAsia="Book Antiqua" w:hAnsi="Book Antiqua" w:cs="Book Antiqua"/>
          <w:color w:val="000000"/>
        </w:rPr>
        <w:t xml:space="preserve"> PFS was not yet reached in the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 xml:space="preserve">Lu-Dotatate group compared with 8.4 (5.8–9.1) months in the octreotide LAR 60 mg group and the hazard ratio (95%CI) for disease progression or death for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Lu-dotatate-treated patients was 0.21 (0.13–0.33) (</w:t>
      </w:r>
      <w:r w:rsidRPr="007A3E30">
        <w:rPr>
          <w:rFonts w:ascii="Book Antiqua" w:eastAsia="Book Antiqua" w:hAnsi="Book Antiqua" w:cs="Book Antiqua"/>
          <w:i/>
          <w:caps/>
          <w:color w:val="000000"/>
        </w:rPr>
        <w:t>p</w:t>
      </w:r>
      <w:r w:rsidR="00CD092E" w:rsidRPr="007A3E30">
        <w:rPr>
          <w:rFonts w:ascii="Book Antiqua" w:hAnsi="Book Antiqua" w:cs="Book Antiqua"/>
          <w:color w:val="000000"/>
          <w:lang w:eastAsia="zh-CN"/>
        </w:rPr>
        <w:t xml:space="preserve"> </w:t>
      </w:r>
      <w:r w:rsidRPr="007A3E30">
        <w:rPr>
          <w:rFonts w:ascii="Book Antiqua" w:eastAsia="Book Antiqua" w:hAnsi="Book Antiqua" w:cs="Book Antiqua"/>
          <w:color w:val="000000"/>
        </w:rPr>
        <w:t>&lt;</w:t>
      </w:r>
      <w:r w:rsidR="00CD092E" w:rsidRPr="007A3E30">
        <w:rPr>
          <w:rFonts w:ascii="Book Antiqua" w:hAnsi="Book Antiqua" w:cs="Book Antiqua"/>
          <w:color w:val="000000"/>
          <w:lang w:eastAsia="zh-CN"/>
        </w:rPr>
        <w:t xml:space="preserve"> </w:t>
      </w:r>
      <w:r w:rsidRPr="007A3E30">
        <w:rPr>
          <w:rFonts w:ascii="Book Antiqua" w:eastAsia="Book Antiqua" w:hAnsi="Book Antiqua" w:cs="Book Antiqua"/>
          <w:color w:val="000000"/>
        </w:rPr>
        <w:t>0.001)</w:t>
      </w:r>
      <w:r w:rsidR="00CD092E" w:rsidRPr="007A3E30">
        <w:rPr>
          <w:rFonts w:ascii="Book Antiqua" w:eastAsia="Book Antiqua" w:hAnsi="Book Antiqua" w:cs="Book Antiqua"/>
          <w:color w:val="000000"/>
          <w:vertAlign w:val="superscript"/>
        </w:rPr>
        <w:t>[12]</w:t>
      </w:r>
      <w:r w:rsidRPr="007A3E30">
        <w:rPr>
          <w:rFonts w:ascii="Book Antiqua" w:eastAsia="Book Antiqua" w:hAnsi="Book Antiqua" w:cs="Book Antiqua"/>
          <w:color w:val="000000"/>
        </w:rPr>
        <w:t>.</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 xml:space="preserve">In parallel with improved survival outcomes, treatment with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also significantly delayed deterioration in quality of life (QoL) relative to octreotide LAR 60 mg</w:t>
      </w:r>
      <w:r w:rsidR="00CD092E" w:rsidRPr="007A3E30">
        <w:rPr>
          <w:rFonts w:ascii="Book Antiqua" w:eastAsia="Book Antiqua" w:hAnsi="Book Antiqua" w:cs="Book Antiqua"/>
          <w:color w:val="000000"/>
          <w:vertAlign w:val="superscript"/>
        </w:rPr>
        <w:t>[13]</w:t>
      </w:r>
      <w:r w:rsidRPr="007A3E30">
        <w:rPr>
          <w:rFonts w:ascii="Book Antiqua" w:eastAsia="Book Antiqua" w:hAnsi="Book Antiqua" w:cs="Book Antiqua"/>
          <w:color w:val="000000"/>
        </w:rPr>
        <w:t>.</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Further, the authors of a 2015 review on QoL in patients with GEP-NETs noted that whilst QoL has been shown to improve in patients treated with PRRT (irrespective of the radionuclide used), it remains relatively unchanged from baseline in patients undergoing treatment with everolimus</w:t>
      </w:r>
      <w:r w:rsidR="00CD092E" w:rsidRPr="007A3E30">
        <w:rPr>
          <w:rFonts w:ascii="Book Antiqua" w:eastAsia="Book Antiqua" w:hAnsi="Book Antiqua" w:cs="Book Antiqua"/>
          <w:color w:val="000000"/>
          <w:vertAlign w:val="superscript"/>
        </w:rPr>
        <w:t>[14]</w:t>
      </w:r>
      <w:r w:rsidRPr="007A3E30">
        <w:rPr>
          <w:rFonts w:ascii="Book Antiqua" w:eastAsia="Book Antiqua" w:hAnsi="Book Antiqua" w:cs="Book Antiqua"/>
          <w:color w:val="000000"/>
        </w:rPr>
        <w:t>. </w:t>
      </w:r>
    </w:p>
    <w:p w14:paraId="546D0C4B" w14:textId="7AB63044" w:rsidR="00A77B3E" w:rsidRPr="007A3E30" w:rsidRDefault="00E7670D" w:rsidP="000540F1">
      <w:pPr>
        <w:spacing w:line="360" w:lineRule="auto"/>
        <w:ind w:firstLineChars="100" w:firstLine="240"/>
        <w:jc w:val="both"/>
        <w:rPr>
          <w:rFonts w:ascii="Book Antiqua" w:hAnsi="Book Antiqua"/>
        </w:rPr>
      </w:pPr>
      <w:r w:rsidRPr="007A3E30">
        <w:rPr>
          <w:rFonts w:ascii="Book Antiqua" w:eastAsia="Book Antiqua" w:hAnsi="Book Antiqua" w:cs="Book Antiqua"/>
          <w:color w:val="000000"/>
        </w:rPr>
        <w:t>In addition to clinical efficacy, novel treatments must also demonstrate cost-effectiveness relative to the currently available treatments.</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The acquisition costs of novel treatments, particularly those used in oncology or for orphan indications are often higher than for the current standard of care.</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As such, healthcare policy makers and payers are increasingly stipulating that for granting reimbursement novel treatments must demonstrate not only better safety and efficacy, but also long-term cost-effectiveness relative to the current standard of care.</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On a European level, spending on cancer drugs has increased substantially in recent years.</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In 2005, spending on cancer drugs in the EU totaled EUR 7.6 billion and accounted for 12% of total healthcare spending on cancer, by 2014 these figures had increased to EUR 19.1 billion and 23%, respectively</w:t>
      </w:r>
      <w:r w:rsidR="00CD092E" w:rsidRPr="007A3E30">
        <w:rPr>
          <w:rFonts w:ascii="Book Antiqua" w:eastAsia="Book Antiqua" w:hAnsi="Book Antiqua" w:cs="Book Antiqua"/>
          <w:color w:val="000000"/>
          <w:vertAlign w:val="superscript"/>
        </w:rPr>
        <w:t>[15]</w:t>
      </w:r>
      <w:r w:rsidRPr="007A3E30">
        <w:rPr>
          <w:rFonts w:ascii="Book Antiqua" w:eastAsia="Book Antiqua" w:hAnsi="Book Antiqua" w:cs="Book Antiqua"/>
          <w:color w:val="000000"/>
        </w:rPr>
        <w:t>.</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Consequently, to maintain access and equity throughout healthcare systems the acquisition costs associated with novel cancer treatments have been subject to increasing scrutiny from payers and policy makers</w:t>
      </w:r>
      <w:r w:rsidR="00CD092E" w:rsidRPr="007A3E30">
        <w:rPr>
          <w:rFonts w:ascii="Book Antiqua" w:eastAsia="Book Antiqua" w:hAnsi="Book Antiqua" w:cs="Book Antiqua"/>
          <w:color w:val="000000"/>
          <w:vertAlign w:val="superscript"/>
        </w:rPr>
        <w:t>[16]</w:t>
      </w:r>
      <w:r w:rsidRPr="007A3E30">
        <w:rPr>
          <w:rFonts w:ascii="Book Antiqua" w:eastAsia="Book Antiqua" w:hAnsi="Book Antiqua" w:cs="Book Antiqua"/>
          <w:color w:val="000000"/>
        </w:rPr>
        <w:t>.</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 xml:space="preserve">In light of the importance of demonstrating the cost-effectiveness and substantiating the budget impact of new interventions the aim of the current analysis was to investigate the long-term cost-effectiveness of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 xml:space="preserve">Lu-Dotatate compared with everolimus in populations of patients with unresectable or metastatic, progressive P-NETs and midgut NETs in both Sweden and Norway (analyses were performed based on health economic models utilized in successful reimbursement submissions for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in both Sweden and Norway).</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In addition, budget impact evaluations for Norway, Sweden and Denmark are presented to reflect the potential influence of the novel treatment options on the health care budget.</w:t>
      </w:r>
    </w:p>
    <w:p w14:paraId="767D6931" w14:textId="77777777" w:rsidR="00A77B3E" w:rsidRPr="007A3E30" w:rsidRDefault="00A77B3E" w:rsidP="000540F1">
      <w:pPr>
        <w:spacing w:line="360" w:lineRule="auto"/>
        <w:jc w:val="both"/>
        <w:rPr>
          <w:rFonts w:ascii="Book Antiqua" w:hAnsi="Book Antiqua"/>
        </w:rPr>
      </w:pPr>
    </w:p>
    <w:p w14:paraId="443975BC"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b/>
          <w:caps/>
          <w:color w:val="000000"/>
          <w:u w:val="single"/>
        </w:rPr>
        <w:t>MATERIALS AND METHODS</w:t>
      </w:r>
    </w:p>
    <w:p w14:paraId="6B668DBA" w14:textId="77777777" w:rsidR="00A77B3E" w:rsidRPr="007A3E30" w:rsidRDefault="00E7670D" w:rsidP="000540F1">
      <w:pPr>
        <w:spacing w:line="360" w:lineRule="auto"/>
        <w:jc w:val="both"/>
        <w:rPr>
          <w:rFonts w:ascii="Book Antiqua" w:hAnsi="Book Antiqua"/>
          <w:i/>
        </w:rPr>
      </w:pPr>
      <w:r w:rsidRPr="007A3E30">
        <w:rPr>
          <w:rFonts w:ascii="Book Antiqua" w:eastAsia="Book Antiqua" w:hAnsi="Book Antiqua" w:cs="Book Antiqua"/>
          <w:b/>
          <w:bCs/>
          <w:i/>
          <w:color w:val="000000"/>
        </w:rPr>
        <w:t xml:space="preserve">Model structure </w:t>
      </w:r>
    </w:p>
    <w:p w14:paraId="58581001" w14:textId="22F55B5E"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color w:val="000000"/>
        </w:rPr>
        <w:t xml:space="preserve">Long-term cost-effectiveness analysis was performed using a three-state partitioned survival model developed in Microsoft Excel, wherein the three states were </w:t>
      </w:r>
      <w:r w:rsidR="006C3727" w:rsidRPr="007A3E30">
        <w:rPr>
          <w:rFonts w:ascii="Book Antiqua" w:eastAsia="Book Antiqua" w:hAnsi="Book Antiqua" w:cs="Book Antiqua"/>
          <w:color w:val="000000"/>
        </w:rPr>
        <w:t>PFS</w:t>
      </w:r>
      <w:r w:rsidRPr="007A3E30">
        <w:rPr>
          <w:rFonts w:ascii="Book Antiqua" w:eastAsia="Book Antiqua" w:hAnsi="Book Antiqua" w:cs="Book Antiqua"/>
          <w:color w:val="000000"/>
        </w:rPr>
        <w:t>, post-progression survival and death</w:t>
      </w:r>
      <w:r w:rsidR="00F94E1F" w:rsidRPr="007A3E30">
        <w:rPr>
          <w:rFonts w:ascii="Book Antiqua" w:eastAsia="Book Antiqua" w:hAnsi="Book Antiqua" w:cs="Book Antiqua"/>
          <w:color w:val="000000"/>
        </w:rPr>
        <w:t>,</w:t>
      </w:r>
      <w:r w:rsidRPr="007A3E30">
        <w:rPr>
          <w:rFonts w:ascii="Book Antiqua" w:eastAsia="Book Antiqua" w:hAnsi="Book Antiqua" w:cs="Book Antiqua"/>
          <w:color w:val="000000"/>
        </w:rPr>
        <w:t xml:space="preserve"> and analyses were performed separately for patients with midgut NETs and patients with P-NETs.</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 xml:space="preserve">This approach allows for independent modeling of PFS and </w:t>
      </w:r>
      <w:r w:rsidR="008F24FB" w:rsidRPr="007A3E30">
        <w:rPr>
          <w:rFonts w:ascii="Book Antiqua" w:eastAsia="Book Antiqua" w:hAnsi="Book Antiqua" w:cs="Book Antiqua"/>
          <w:color w:val="000000"/>
        </w:rPr>
        <w:t>OS</w:t>
      </w:r>
      <w:r w:rsidRPr="007A3E30">
        <w:rPr>
          <w:rFonts w:ascii="Book Antiqua" w:eastAsia="Book Antiqua" w:hAnsi="Book Antiqua" w:cs="Book Antiqua"/>
          <w:color w:val="000000"/>
        </w:rPr>
        <w:t xml:space="preserve"> based on the use of parametric survival models to extrapolate clinical data beyond the time frame of clinical studies</w:t>
      </w:r>
      <w:r w:rsidR="00CD092E" w:rsidRPr="007A3E30">
        <w:rPr>
          <w:rFonts w:ascii="Book Antiqua" w:eastAsia="Book Antiqua" w:hAnsi="Book Antiqua" w:cs="Book Antiqua"/>
          <w:color w:val="000000"/>
          <w:vertAlign w:val="superscript"/>
        </w:rPr>
        <w:t>[17]</w:t>
      </w:r>
      <w:r w:rsidRPr="007A3E30">
        <w:rPr>
          <w:rFonts w:ascii="Book Antiqua" w:eastAsia="Book Antiqua" w:hAnsi="Book Antiqua" w:cs="Book Antiqua"/>
          <w:color w:val="000000"/>
        </w:rPr>
        <w:t>.</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A series of parametric survival functions (including exponential, Weibull, Gompertz, log-logistic and log-normal models) were fitted to the survival data obtained from the NETTER-1</w:t>
      </w:r>
      <w:r w:rsidRPr="007A3E30">
        <w:rPr>
          <w:rFonts w:ascii="Book Antiqua" w:eastAsia="Book Antiqua" w:hAnsi="Book Antiqua" w:cs="Book Antiqua"/>
          <w:color w:val="000000"/>
          <w:vertAlign w:val="superscript"/>
        </w:rPr>
        <w:t>[12]</w:t>
      </w:r>
      <w:r w:rsidRPr="007A3E30">
        <w:rPr>
          <w:rFonts w:ascii="Book Antiqua" w:eastAsia="Book Antiqua" w:hAnsi="Book Antiqua" w:cs="Book Antiqua"/>
          <w:color w:val="000000"/>
        </w:rPr>
        <w:t xml:space="preserve"> and ERASMUS studies (AAA, data on file).</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The most appropriate function was determined based on a combination of visual inspection, Akaike’s Information Criterion and the Bayesian Information Criterion as well as both clinical and biological plausibility.</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On this basis the Weibull model, was considered to be the most appropriate and best fit (for both PFS and OS) and was utilized in the base case analysis (log-normal and log-logistic functions were excluded on the basis that both as the long survival tails were considered to be biologically implausible).</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Further, the Weibull model is flexible as has the advantage that the associated hazard rate is not constant over time in contrast to the exponential survival model.</w:t>
      </w:r>
      <w:r w:rsidR="002B01AF" w:rsidRPr="007A3E30">
        <w:rPr>
          <w:rFonts w:ascii="Book Antiqua" w:eastAsia="Book Antiqua" w:hAnsi="Book Antiqua" w:cs="Book Antiqua"/>
          <w:color w:val="000000"/>
        </w:rPr>
        <w:t xml:space="preserve"> </w:t>
      </w:r>
    </w:p>
    <w:p w14:paraId="456AE4E2" w14:textId="77777777" w:rsidR="00A77B3E" w:rsidRPr="007A3E30" w:rsidRDefault="00E7670D" w:rsidP="000540F1">
      <w:pPr>
        <w:spacing w:line="360" w:lineRule="auto"/>
        <w:ind w:firstLineChars="100" w:firstLine="240"/>
        <w:jc w:val="both"/>
        <w:rPr>
          <w:rFonts w:ascii="Book Antiqua" w:hAnsi="Book Antiqua"/>
        </w:rPr>
      </w:pPr>
      <w:r w:rsidRPr="007A3E30">
        <w:rPr>
          <w:rFonts w:ascii="Book Antiqua" w:eastAsia="Book Antiqua" w:hAnsi="Book Antiqua" w:cs="Book Antiqua"/>
          <w:color w:val="000000"/>
        </w:rPr>
        <w:t xml:space="preserve">In the analysis a cycle length of 4 wk was used and half-cycle correction was applied (note that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is administered once every 8 wk for a total of four courses and is therefore integrated into the model every second cycle).</w:t>
      </w:r>
    </w:p>
    <w:p w14:paraId="30DB88DF" w14:textId="77777777" w:rsidR="00A77B3E" w:rsidRPr="007A3E30" w:rsidRDefault="00A77B3E" w:rsidP="000540F1">
      <w:pPr>
        <w:spacing w:line="360" w:lineRule="auto"/>
        <w:jc w:val="both"/>
        <w:rPr>
          <w:rFonts w:ascii="Book Antiqua" w:hAnsi="Book Antiqua"/>
        </w:rPr>
      </w:pPr>
    </w:p>
    <w:p w14:paraId="711E9386" w14:textId="77777777" w:rsidR="00A77B3E" w:rsidRPr="007A3E30" w:rsidRDefault="00E7670D" w:rsidP="000540F1">
      <w:pPr>
        <w:spacing w:line="360" w:lineRule="auto"/>
        <w:jc w:val="both"/>
        <w:rPr>
          <w:rFonts w:ascii="Book Antiqua" w:hAnsi="Book Antiqua"/>
          <w:i/>
        </w:rPr>
      </w:pPr>
      <w:r w:rsidRPr="007A3E30">
        <w:rPr>
          <w:rFonts w:ascii="Book Antiqua" w:eastAsia="Book Antiqua" w:hAnsi="Book Antiqua" w:cs="Book Antiqua"/>
          <w:b/>
          <w:bCs/>
          <w:i/>
          <w:color w:val="000000"/>
        </w:rPr>
        <w:t>Clinical input data</w:t>
      </w:r>
    </w:p>
    <w:p w14:paraId="3D0E6494" w14:textId="4C082C5E"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color w:val="000000"/>
        </w:rPr>
        <w:t xml:space="preserve">For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Lu-Dotatate-treated patients, survival data were sourced from the NETTER-1 trial for patients with midgut-NETs and from the ERASMUS study for patients with P-NETs.</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 xml:space="preserve">The analysis for Norway was performed prior to that for Sweden, consequently for the Swedish analysis updated </w:t>
      </w:r>
      <w:r w:rsidRPr="007A3E30">
        <w:rPr>
          <w:rFonts w:ascii="Book Antiqua" w:eastAsia="Book Antiqua" w:hAnsi="Book Antiqua" w:cs="Book Antiqua"/>
          <w:i/>
          <w:iCs/>
          <w:color w:val="000000"/>
        </w:rPr>
        <w:t>post-hoc</w:t>
      </w:r>
      <w:r w:rsidRPr="007A3E30">
        <w:rPr>
          <w:rFonts w:ascii="Book Antiqua" w:eastAsia="Book Antiqua" w:hAnsi="Book Antiqua" w:cs="Book Antiqua"/>
          <w:color w:val="000000"/>
        </w:rPr>
        <w:t xml:space="preserve"> survival data were used.</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 xml:space="preserve">For the Norwegian analysis, survival data from the primary analysis were used as </w:t>
      </w:r>
      <w:r w:rsidRPr="007A3E30">
        <w:rPr>
          <w:rFonts w:ascii="Book Antiqua" w:eastAsia="Book Antiqua" w:hAnsi="Book Antiqua" w:cs="Book Antiqua"/>
          <w:i/>
          <w:iCs/>
          <w:color w:val="000000"/>
        </w:rPr>
        <w:t>post-hoc</w:t>
      </w:r>
      <w:r w:rsidRPr="007A3E30">
        <w:rPr>
          <w:rFonts w:ascii="Book Antiqua" w:eastAsia="Book Antiqua" w:hAnsi="Book Antiqua" w:cs="Book Antiqua"/>
          <w:color w:val="000000"/>
        </w:rPr>
        <w:t xml:space="preserve"> survival data were not yet available at the time the Norwegian analysis was performed.</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Baseline cohort characteristics for the simulated patient cohort were based on the NETTER-1 trial and for patients treated with everolimus survival data were sourced from the RADIANT-4</w:t>
      </w:r>
      <w:r w:rsidRPr="007A3E30">
        <w:rPr>
          <w:rFonts w:ascii="Book Antiqua" w:eastAsia="Book Antiqua" w:hAnsi="Book Antiqua" w:cs="Book Antiqua"/>
          <w:color w:val="000000"/>
          <w:vertAlign w:val="superscript"/>
        </w:rPr>
        <w:t>[18]</w:t>
      </w:r>
      <w:r w:rsidRPr="007A3E30">
        <w:rPr>
          <w:rFonts w:ascii="Book Antiqua" w:eastAsia="Book Antiqua" w:hAnsi="Book Antiqua" w:cs="Book Antiqua"/>
          <w:color w:val="000000"/>
        </w:rPr>
        <w:t xml:space="preserve"> trial in patients with </w:t>
      </w:r>
      <w:bookmarkStart w:id="12" w:name="OLE_LINK454"/>
      <w:bookmarkStart w:id="13" w:name="OLE_LINK455"/>
      <w:r w:rsidR="006C3727" w:rsidRPr="007A3E30">
        <w:rPr>
          <w:rFonts w:ascii="Book Antiqua" w:hAnsi="Book Antiqua" w:cs="Book Antiqua"/>
          <w:color w:val="000000"/>
          <w:lang w:eastAsia="zh-CN"/>
        </w:rPr>
        <w:t>gastrointestinal-</w:t>
      </w:r>
      <w:r w:rsidR="006C3727" w:rsidRPr="007A3E30">
        <w:rPr>
          <w:rFonts w:ascii="Book Antiqua" w:hAnsi="Book Antiqua" w:cs="Book Antiqua"/>
          <w:caps/>
          <w:color w:val="000000"/>
          <w:lang w:eastAsia="zh-CN"/>
        </w:rPr>
        <w:t>net</w:t>
      </w:r>
      <w:r w:rsidR="006C3727" w:rsidRPr="007A3E30">
        <w:rPr>
          <w:rFonts w:ascii="Book Antiqua" w:hAnsi="Book Antiqua" w:cs="Book Antiqua"/>
          <w:color w:val="000000"/>
          <w:lang w:eastAsia="zh-CN"/>
        </w:rPr>
        <w:t>s</w:t>
      </w:r>
      <w:bookmarkEnd w:id="12"/>
      <w:bookmarkEnd w:id="13"/>
      <w:r w:rsidR="006C3727" w:rsidRPr="007A3E30">
        <w:rPr>
          <w:rFonts w:ascii="Book Antiqua" w:eastAsia="Book Antiqua" w:hAnsi="Book Antiqua" w:cs="Book Antiqua"/>
          <w:color w:val="000000"/>
        </w:rPr>
        <w:t xml:space="preserve"> </w:t>
      </w:r>
      <w:r w:rsidR="006C3727" w:rsidRPr="007A3E30">
        <w:rPr>
          <w:rFonts w:ascii="Book Antiqua" w:hAnsi="Book Antiqua" w:cs="Book Antiqua"/>
          <w:color w:val="000000"/>
          <w:lang w:eastAsia="zh-CN"/>
        </w:rPr>
        <w:t>(</w:t>
      </w:r>
      <w:r w:rsidRPr="007A3E30">
        <w:rPr>
          <w:rFonts w:ascii="Book Antiqua" w:eastAsia="Book Antiqua" w:hAnsi="Book Antiqua" w:cs="Book Antiqua"/>
          <w:color w:val="000000"/>
        </w:rPr>
        <w:t>GI-NETs</w:t>
      </w:r>
      <w:r w:rsidR="006C3727" w:rsidRPr="007A3E30">
        <w:rPr>
          <w:rFonts w:ascii="Book Antiqua" w:hAnsi="Book Antiqua" w:cs="Book Antiqua"/>
          <w:color w:val="000000"/>
          <w:lang w:eastAsia="zh-CN"/>
        </w:rPr>
        <w:t>)</w:t>
      </w:r>
      <w:r w:rsidRPr="007A3E30">
        <w:rPr>
          <w:rFonts w:ascii="Book Antiqua" w:eastAsia="Book Antiqua" w:hAnsi="Book Antiqua" w:cs="Book Antiqua"/>
          <w:color w:val="000000"/>
        </w:rPr>
        <w:t xml:space="preserve"> and the RADIANT-3</w:t>
      </w:r>
      <w:r w:rsidRPr="007A3E30">
        <w:rPr>
          <w:rFonts w:ascii="Book Antiqua" w:eastAsia="Book Antiqua" w:hAnsi="Book Antiqua" w:cs="Book Antiqua"/>
          <w:color w:val="000000"/>
          <w:vertAlign w:val="superscript"/>
        </w:rPr>
        <w:t>[19]</w:t>
      </w:r>
      <w:r w:rsidRPr="007A3E30">
        <w:rPr>
          <w:rFonts w:ascii="Book Antiqua" w:eastAsia="Book Antiqua" w:hAnsi="Book Antiqua" w:cs="Book Antiqua"/>
          <w:color w:val="000000"/>
        </w:rPr>
        <w:t xml:space="preserve"> trial in patients with P-NETs.</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 xml:space="preserve">For the survival modeling approach, a hazard ratio was applied to the baseline risk curve to compare each active treatment to a control so that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and everolimus could be compared indirectly via a common comparator assuming constant proportionality. </w:t>
      </w:r>
    </w:p>
    <w:p w14:paraId="6C3566FE" w14:textId="7A6AF064" w:rsidR="00A77B3E" w:rsidRPr="007A3E30" w:rsidRDefault="00E7670D" w:rsidP="000540F1">
      <w:pPr>
        <w:spacing w:line="360" w:lineRule="auto"/>
        <w:ind w:firstLineChars="100" w:firstLine="240"/>
        <w:jc w:val="both"/>
        <w:rPr>
          <w:rFonts w:ascii="Book Antiqua" w:hAnsi="Book Antiqua"/>
        </w:rPr>
      </w:pPr>
      <w:r w:rsidRPr="007A3E30">
        <w:rPr>
          <w:rFonts w:ascii="Book Antiqua" w:eastAsia="Book Antiqua" w:hAnsi="Book Antiqua" w:cs="Book Antiqua"/>
          <w:color w:val="000000"/>
        </w:rPr>
        <w:t>For both treatments, missed doses or dose modifications due to toxicity were accounted for using relative dose intensity (RDI) and missed doses were also taken into account in terms of the acquisition costs for each treatment.</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For everolimus</w:t>
      </w:r>
      <w:r w:rsidR="000A1CB2" w:rsidRPr="007A3E30">
        <w:rPr>
          <w:rFonts w:ascii="Book Antiqua" w:eastAsia="Book Antiqua" w:hAnsi="Book Antiqua" w:cs="Book Antiqua"/>
          <w:color w:val="000000"/>
        </w:rPr>
        <w:t>,</w:t>
      </w:r>
      <w:r w:rsidRPr="007A3E30">
        <w:rPr>
          <w:rFonts w:ascii="Book Antiqua" w:eastAsia="Book Antiqua" w:hAnsi="Book Antiqua" w:cs="Book Antiqua"/>
          <w:color w:val="000000"/>
        </w:rPr>
        <w:t xml:space="preserve"> an RDI of 79.4% was assumed based on data from the RADIANT-4 trial</w:t>
      </w:r>
      <w:r w:rsidR="00CD092E" w:rsidRPr="007A3E30">
        <w:rPr>
          <w:rFonts w:ascii="Book Antiqua" w:eastAsia="Book Antiqua" w:hAnsi="Book Antiqua" w:cs="Book Antiqua"/>
          <w:color w:val="000000"/>
          <w:vertAlign w:val="superscript"/>
        </w:rPr>
        <w:t>[18]</w:t>
      </w:r>
      <w:r w:rsidRPr="007A3E30">
        <w:rPr>
          <w:rFonts w:ascii="Book Antiqua" w:eastAsia="Book Antiqua" w:hAnsi="Book Antiqua" w:cs="Book Antiqua"/>
          <w:color w:val="000000"/>
        </w:rPr>
        <w:t>.</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 xml:space="preserve">For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RDI refers to the amount of the drug that is actually administered relative to the planned number of four doses, the RDI may be below 100% if patients either miss a dose or have the dose modified due to toxicity or an adverse event.</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 xml:space="preserve">A complete course of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consists of 4 doses, but based on the findings of the ERASMUS study an RDI of 84.4% was assumed, which corresponds to a mean of 3.4 doses per patient.</w:t>
      </w:r>
      <w:r w:rsidR="002B01AF" w:rsidRPr="007A3E30">
        <w:rPr>
          <w:rFonts w:ascii="Book Antiqua" w:eastAsia="Book Antiqua" w:hAnsi="Book Antiqua" w:cs="Book Antiqua"/>
          <w:color w:val="000000"/>
        </w:rPr>
        <w:t xml:space="preserve"> </w:t>
      </w:r>
    </w:p>
    <w:p w14:paraId="57BD0752" w14:textId="371FB062" w:rsidR="00A77B3E" w:rsidRPr="007A3E30" w:rsidRDefault="00E7670D" w:rsidP="000540F1">
      <w:pPr>
        <w:spacing w:line="360" w:lineRule="auto"/>
        <w:ind w:firstLineChars="100" w:firstLine="240"/>
        <w:jc w:val="both"/>
        <w:rPr>
          <w:rFonts w:ascii="Book Antiqua" w:hAnsi="Book Antiqua"/>
        </w:rPr>
      </w:pPr>
      <w:r w:rsidRPr="007A3E30">
        <w:rPr>
          <w:rFonts w:ascii="Book Antiqua" w:eastAsia="Book Antiqua" w:hAnsi="Book Antiqua" w:cs="Book Antiqua"/>
          <w:color w:val="000000"/>
        </w:rPr>
        <w:t>Only grade 3</w:t>
      </w:r>
      <w:r w:rsidR="005721C2" w:rsidRPr="007A3E30">
        <w:rPr>
          <w:rFonts w:ascii="Book Antiqua" w:eastAsia="Book Antiqua" w:hAnsi="Book Antiqua" w:cs="Book Antiqua"/>
          <w:color w:val="000000"/>
        </w:rPr>
        <w:t>-</w:t>
      </w:r>
      <w:r w:rsidRPr="007A3E30">
        <w:rPr>
          <w:rFonts w:ascii="Book Antiqua" w:eastAsia="Book Antiqua" w:hAnsi="Book Antiqua" w:cs="Book Antiqua"/>
          <w:color w:val="000000"/>
        </w:rPr>
        <w:t>4 adverse events (AEs) were conservatively included in the analysis.</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 xml:space="preserve">For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Lu-Dotatate-treated patients the frequency of AEs was sourced from the NETTER-1 trial.</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For everolimus-treated patients the frequency of AEs was sourced from the RADIANT-4 study</w:t>
      </w:r>
      <w:r w:rsidRPr="007A3E30">
        <w:rPr>
          <w:rFonts w:ascii="Book Antiqua" w:eastAsia="Book Antiqua" w:hAnsi="Book Antiqua" w:cs="Book Antiqua"/>
          <w:color w:val="000000"/>
          <w:vertAlign w:val="superscript"/>
        </w:rPr>
        <w:t>[18]</w:t>
      </w:r>
      <w:r w:rsidRPr="007A3E30">
        <w:rPr>
          <w:rFonts w:ascii="Book Antiqua" w:eastAsia="Book Antiqua" w:hAnsi="Book Antiqua" w:cs="Book Antiqua"/>
          <w:color w:val="000000"/>
        </w:rPr>
        <w:t xml:space="preserve"> for midgut-NETs and the RADIANT-3 study</w:t>
      </w:r>
      <w:r w:rsidRPr="007A3E30">
        <w:rPr>
          <w:rFonts w:ascii="Book Antiqua" w:eastAsia="Book Antiqua" w:hAnsi="Book Antiqua" w:cs="Book Antiqua"/>
          <w:color w:val="000000"/>
          <w:vertAlign w:val="superscript"/>
        </w:rPr>
        <w:t>[19]</w:t>
      </w:r>
      <w:r w:rsidRPr="007A3E30">
        <w:rPr>
          <w:rFonts w:ascii="Book Antiqua" w:eastAsia="Book Antiqua" w:hAnsi="Book Antiqua" w:cs="Book Antiqua"/>
          <w:color w:val="000000"/>
        </w:rPr>
        <w:t xml:space="preserve"> for patients with P-NETs.</w:t>
      </w:r>
    </w:p>
    <w:p w14:paraId="09CEC81B" w14:textId="77777777" w:rsidR="00A77B3E" w:rsidRPr="007A3E30" w:rsidRDefault="00A77B3E" w:rsidP="000540F1">
      <w:pPr>
        <w:spacing w:line="360" w:lineRule="auto"/>
        <w:jc w:val="both"/>
        <w:rPr>
          <w:rFonts w:ascii="Book Antiqua" w:hAnsi="Book Antiqua"/>
        </w:rPr>
      </w:pPr>
    </w:p>
    <w:p w14:paraId="5CDF7C30" w14:textId="77777777" w:rsidR="00A77B3E" w:rsidRPr="007A3E30" w:rsidRDefault="00E7670D" w:rsidP="000540F1">
      <w:pPr>
        <w:spacing w:line="360" w:lineRule="auto"/>
        <w:jc w:val="both"/>
        <w:rPr>
          <w:rFonts w:ascii="Book Antiqua" w:hAnsi="Book Antiqua"/>
          <w:i/>
        </w:rPr>
      </w:pPr>
      <w:r w:rsidRPr="007A3E30">
        <w:rPr>
          <w:rFonts w:ascii="Book Antiqua" w:eastAsia="Book Antiqua" w:hAnsi="Book Antiqua" w:cs="Book Antiqua"/>
          <w:b/>
          <w:bCs/>
          <w:i/>
          <w:color w:val="000000"/>
        </w:rPr>
        <w:t>Resource utilization and costs</w:t>
      </w:r>
    </w:p>
    <w:p w14:paraId="04AC291D" w14:textId="42E0BF4D"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color w:val="000000"/>
        </w:rPr>
        <w:t>Drug acquisition costs and resource utilization costs associated with drug administration specific to each setting (</w:t>
      </w:r>
      <w:r w:rsidRPr="007A3E30">
        <w:rPr>
          <w:rFonts w:ascii="Book Antiqua" w:eastAsia="Book Antiqua" w:hAnsi="Book Antiqua" w:cs="Book Antiqua"/>
          <w:i/>
          <w:color w:val="000000"/>
        </w:rPr>
        <w:t>e.g.</w:t>
      </w:r>
      <w:r w:rsidR="00CD092E" w:rsidRPr="007A3E30">
        <w:rPr>
          <w:rFonts w:ascii="Book Antiqua" w:hAnsi="Book Antiqua" w:cs="Book Antiqua"/>
          <w:i/>
          <w:color w:val="000000"/>
          <w:lang w:eastAsia="zh-CN"/>
        </w:rPr>
        <w:t>,</w:t>
      </w:r>
      <w:r w:rsidRPr="007A3E30">
        <w:rPr>
          <w:rFonts w:ascii="Book Antiqua" w:eastAsia="Book Antiqua" w:hAnsi="Book Antiqua" w:cs="Book Antiqua"/>
          <w:color w:val="000000"/>
        </w:rPr>
        <w:t xml:space="preserve"> for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specialist physician, biochemist and nurse as well as general inpatient and outpatient costs) were accounted in the analysis.</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For Sweden</w:t>
      </w:r>
      <w:r w:rsidR="008D708E" w:rsidRPr="007A3E30">
        <w:rPr>
          <w:rFonts w:ascii="Book Antiqua" w:eastAsia="Book Antiqua" w:hAnsi="Book Antiqua" w:cs="Book Antiqua"/>
          <w:color w:val="000000"/>
        </w:rPr>
        <w:t>,</w:t>
      </w:r>
      <w:r w:rsidRPr="007A3E30">
        <w:rPr>
          <w:rFonts w:ascii="Book Antiqua" w:eastAsia="Book Antiqua" w:hAnsi="Book Antiqua" w:cs="Book Antiqua"/>
          <w:color w:val="000000"/>
        </w:rPr>
        <w:t xml:space="preserve"> drug acquisition costs were sourced from FASS (Pharmaceutical specialties in Sweden)</w:t>
      </w:r>
      <w:r w:rsidRPr="007A3E30">
        <w:rPr>
          <w:rFonts w:ascii="Book Antiqua" w:eastAsia="Book Antiqua" w:hAnsi="Book Antiqua" w:cs="Book Antiqua"/>
          <w:color w:val="000000"/>
          <w:vertAlign w:val="superscript"/>
        </w:rPr>
        <w:t>[20]</w:t>
      </w:r>
      <w:r w:rsidRPr="007A3E30">
        <w:rPr>
          <w:rFonts w:ascii="Book Antiqua" w:eastAsia="Book Antiqua" w:hAnsi="Book Antiqua" w:cs="Book Antiqua"/>
          <w:color w:val="000000"/>
        </w:rPr>
        <w:t xml:space="preserve"> and for Norway drug acquisition costs were sourced from the Norwegian Medicines Agency</w:t>
      </w:r>
      <w:r w:rsidRPr="007A3E30">
        <w:rPr>
          <w:rFonts w:ascii="Book Antiqua" w:eastAsia="Book Antiqua" w:hAnsi="Book Antiqua" w:cs="Book Antiqua"/>
          <w:color w:val="000000"/>
          <w:vertAlign w:val="superscript"/>
        </w:rPr>
        <w:t>[21]</w:t>
      </w:r>
      <w:r w:rsidRPr="007A3E30">
        <w:rPr>
          <w:rFonts w:ascii="Book Antiqua" w:eastAsia="Book Antiqua" w:hAnsi="Book Antiqua" w:cs="Book Antiqua"/>
          <w:color w:val="000000"/>
        </w:rPr>
        <w:t xml:space="preserve"> (Table 1).</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The costs of routine monitoring in each setting (</w:t>
      </w:r>
      <w:r w:rsidRPr="007A3E30">
        <w:rPr>
          <w:rFonts w:ascii="Book Antiqua" w:eastAsia="Book Antiqua" w:hAnsi="Book Antiqua" w:cs="Book Antiqua"/>
          <w:i/>
          <w:color w:val="000000"/>
        </w:rPr>
        <w:t>e.g.</w:t>
      </w:r>
      <w:r w:rsidR="00CD092E" w:rsidRPr="007A3E30">
        <w:rPr>
          <w:rFonts w:ascii="Book Antiqua" w:hAnsi="Book Antiqua" w:cs="Book Antiqua"/>
          <w:color w:val="000000"/>
          <w:lang w:eastAsia="zh-CN"/>
        </w:rPr>
        <w:t>,</w:t>
      </w:r>
      <w:r w:rsidRPr="007A3E30">
        <w:rPr>
          <w:rFonts w:ascii="Book Antiqua" w:eastAsia="Book Antiqua" w:hAnsi="Book Antiqua" w:cs="Book Antiqua"/>
          <w:color w:val="000000"/>
        </w:rPr>
        <w:t xml:space="preserve"> CT scans, blood tests </w:t>
      </w:r>
      <w:r w:rsidRPr="007A3E30">
        <w:rPr>
          <w:rFonts w:ascii="Book Antiqua" w:eastAsia="Book Antiqua" w:hAnsi="Book Antiqua" w:cs="Book Antiqua"/>
          <w:i/>
          <w:iCs/>
          <w:color w:val="000000"/>
        </w:rPr>
        <w:t>etc.</w:t>
      </w:r>
      <w:r w:rsidRPr="007A3E30">
        <w:rPr>
          <w:rFonts w:ascii="Book Antiqua" w:eastAsia="Book Antiqua" w:hAnsi="Book Antiqua" w:cs="Book Antiqua"/>
          <w:color w:val="000000"/>
        </w:rPr>
        <w:t>) were also captured in the analysis (resource use was country-specific owing to differences between health care systems in terms of monitoring frequency).</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Applying a conservative assumption, costs associated with palliative care were not captured in the analysis. </w:t>
      </w:r>
    </w:p>
    <w:p w14:paraId="5BB1F1AF" w14:textId="0051FFF4" w:rsidR="00A77B3E" w:rsidRPr="007A3E30" w:rsidRDefault="00E7670D" w:rsidP="000540F1">
      <w:pPr>
        <w:spacing w:line="360" w:lineRule="auto"/>
        <w:ind w:firstLineChars="100" w:firstLine="240"/>
        <w:jc w:val="both"/>
        <w:rPr>
          <w:rFonts w:ascii="Book Antiqua" w:hAnsi="Book Antiqua"/>
        </w:rPr>
      </w:pPr>
      <w:r w:rsidRPr="007A3E30">
        <w:rPr>
          <w:rFonts w:ascii="Book Antiqua" w:eastAsia="Book Antiqua" w:hAnsi="Book Antiqua" w:cs="Book Antiqua"/>
          <w:color w:val="000000"/>
        </w:rPr>
        <w:t>The cost of AEs was calculated as a single cost based on a weighted probability of AEs in each treatment arm.</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For Sweden, costs for individual AEs were not identified, therefore Norwegian AE costs were used as a proxy and converted to SEK, which included a conversion factor that corrected for the relative cost level in specialist care and the average exchange rate in the previous 12 mo.</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For Norway, AE costs were calculated based on DRG codes.</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All costs are presented in 2017 values. </w:t>
      </w:r>
    </w:p>
    <w:p w14:paraId="5491B099" w14:textId="77777777" w:rsidR="00A77B3E" w:rsidRPr="007A3E30" w:rsidRDefault="00A77B3E" w:rsidP="000540F1">
      <w:pPr>
        <w:spacing w:line="360" w:lineRule="auto"/>
        <w:jc w:val="both"/>
        <w:rPr>
          <w:rFonts w:ascii="Book Antiqua" w:hAnsi="Book Antiqua"/>
        </w:rPr>
      </w:pPr>
    </w:p>
    <w:p w14:paraId="7430B83E" w14:textId="77777777" w:rsidR="00A77B3E" w:rsidRPr="007A3E30" w:rsidRDefault="00E7670D" w:rsidP="000540F1">
      <w:pPr>
        <w:spacing w:line="360" w:lineRule="auto"/>
        <w:jc w:val="both"/>
        <w:rPr>
          <w:rFonts w:ascii="Book Antiqua" w:hAnsi="Book Antiqua"/>
          <w:i/>
        </w:rPr>
      </w:pPr>
      <w:r w:rsidRPr="007A3E30">
        <w:rPr>
          <w:rFonts w:ascii="Book Antiqua" w:eastAsia="Book Antiqua" w:hAnsi="Book Antiqua" w:cs="Book Antiqua"/>
          <w:b/>
          <w:bCs/>
          <w:i/>
          <w:color w:val="000000"/>
        </w:rPr>
        <w:t>Health state utilities</w:t>
      </w:r>
    </w:p>
    <w:p w14:paraId="0C191A7D" w14:textId="3D3C72E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color w:val="000000"/>
        </w:rPr>
        <w:t>In the base case analysis, for Sweden, the health state utility value for the PFS state for patients with midgut-NETs was sourced from a real-world study in patients with GI-NETs conducted in the U</w:t>
      </w:r>
      <w:r w:rsidR="006C3727" w:rsidRPr="007A3E30">
        <w:rPr>
          <w:rFonts w:ascii="Book Antiqua" w:hAnsi="Book Antiqua" w:cs="Book Antiqua"/>
          <w:color w:val="000000"/>
          <w:lang w:eastAsia="zh-CN"/>
        </w:rPr>
        <w:t>nited Kingdom</w:t>
      </w:r>
      <w:r w:rsidRPr="007A3E30">
        <w:rPr>
          <w:rFonts w:ascii="Book Antiqua" w:eastAsia="Book Antiqua" w:hAnsi="Book Antiqua" w:cs="Book Antiqua"/>
          <w:color w:val="000000"/>
        </w:rPr>
        <w:t xml:space="preserve"> (AAA, data on file; Table 2).</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For Norway, the health state utility value for the PFS state in midgut-NET patients was sourced from NETTER-1 study.</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For both Sweden and Norway</w:t>
      </w:r>
      <w:r w:rsidR="00B23833" w:rsidRPr="007A3E30">
        <w:rPr>
          <w:rFonts w:ascii="Book Antiqua" w:eastAsia="Book Antiqua" w:hAnsi="Book Antiqua" w:cs="Book Antiqua"/>
          <w:color w:val="000000"/>
        </w:rPr>
        <w:t>,</w:t>
      </w:r>
      <w:r w:rsidRPr="007A3E30">
        <w:rPr>
          <w:rFonts w:ascii="Book Antiqua" w:eastAsia="Book Antiqua" w:hAnsi="Book Antiqua" w:cs="Book Antiqua"/>
          <w:color w:val="000000"/>
        </w:rPr>
        <w:t xml:space="preserve"> utility values for all other health states were sourced from the real-world ERASMUS study conducted in the Netherlands.</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In both the NETTER-1 and ERASMUS studies, QoL was assessed using the European Organization for Research and Treatment of Cancer QLQ-C30</w:t>
      </w:r>
      <w:r w:rsidR="00C61E55" w:rsidRPr="007A3E30">
        <w:rPr>
          <w:rFonts w:ascii="Book Antiqua" w:eastAsia="Book Antiqua" w:hAnsi="Book Antiqua" w:cs="Book Antiqua"/>
          <w:color w:val="000000"/>
        </w:rPr>
        <w:t xml:space="preserve"> questionnaire</w:t>
      </w:r>
      <w:r w:rsidRPr="007A3E30">
        <w:rPr>
          <w:rFonts w:ascii="Book Antiqua" w:eastAsia="Book Antiqua" w:hAnsi="Book Antiqua" w:cs="Book Antiqua"/>
          <w:color w:val="000000"/>
          <w:vertAlign w:val="superscript"/>
        </w:rPr>
        <w:t>[22]</w:t>
      </w:r>
      <w:r w:rsidRPr="007A3E30">
        <w:rPr>
          <w:rFonts w:ascii="Book Antiqua" w:eastAsia="Book Antiqua" w:hAnsi="Book Antiqua" w:cs="Book Antiqua"/>
          <w:color w:val="000000"/>
        </w:rPr>
        <w:t xml:space="preserve"> and subsequently mapped to the EQ-5D using the algorithm developed by Longworth </w:t>
      </w:r>
      <w:r w:rsidRPr="007A3E30">
        <w:rPr>
          <w:rFonts w:ascii="Book Antiqua" w:eastAsia="Book Antiqua" w:hAnsi="Book Antiqua" w:cs="Book Antiqua"/>
          <w:i/>
          <w:iCs/>
          <w:color w:val="000000"/>
        </w:rPr>
        <w:t>et al</w:t>
      </w:r>
      <w:r w:rsidR="00CD092E" w:rsidRPr="007A3E30">
        <w:rPr>
          <w:rFonts w:ascii="Book Antiqua" w:eastAsia="Book Antiqua" w:hAnsi="Book Antiqua" w:cs="Book Antiqua"/>
          <w:color w:val="000000"/>
          <w:vertAlign w:val="superscript"/>
        </w:rPr>
        <w:t>[23]</w:t>
      </w:r>
      <w:r w:rsidR="00CD092E" w:rsidRPr="007A3E30">
        <w:rPr>
          <w:rFonts w:ascii="Book Antiqua" w:hAnsi="Book Antiqua" w:cs="Book Antiqua"/>
          <w:color w:val="000000"/>
          <w:lang w:eastAsia="zh-CN"/>
        </w:rPr>
        <w:t xml:space="preserve">, </w:t>
      </w:r>
      <w:r w:rsidRPr="007A3E30">
        <w:rPr>
          <w:rFonts w:ascii="Book Antiqua" w:eastAsia="Book Antiqua" w:hAnsi="Book Antiqua" w:cs="Book Antiqua"/>
          <w:color w:val="000000"/>
        </w:rPr>
        <w:t>2014).</w:t>
      </w:r>
      <w:r w:rsidR="002B01AF" w:rsidRPr="007A3E30">
        <w:rPr>
          <w:rFonts w:ascii="Book Antiqua" w:eastAsia="Book Antiqua" w:hAnsi="Book Antiqua" w:cs="Book Antiqua"/>
          <w:color w:val="000000"/>
        </w:rPr>
        <w:t xml:space="preserve"> </w:t>
      </w:r>
    </w:p>
    <w:p w14:paraId="3A19D98B" w14:textId="493326D7" w:rsidR="00A77B3E" w:rsidRPr="007A3E30" w:rsidRDefault="00E7670D" w:rsidP="000540F1">
      <w:pPr>
        <w:spacing w:line="360" w:lineRule="auto"/>
        <w:ind w:firstLineChars="100" w:firstLine="240"/>
        <w:jc w:val="both"/>
        <w:rPr>
          <w:rFonts w:ascii="Book Antiqua" w:hAnsi="Book Antiqua"/>
        </w:rPr>
      </w:pPr>
      <w:r w:rsidRPr="007A3E30">
        <w:rPr>
          <w:rFonts w:ascii="Book Antiqua" w:eastAsia="Book Antiqua" w:hAnsi="Book Antiqua" w:cs="Book Antiqua"/>
          <w:color w:val="000000"/>
        </w:rPr>
        <w:t>Disutilities associated with treatment-related AEs were sourced from published literature</w:t>
      </w:r>
      <w:r w:rsidRPr="007A3E30">
        <w:rPr>
          <w:rFonts w:ascii="Book Antiqua" w:eastAsia="Book Antiqua" w:hAnsi="Book Antiqua" w:cs="Book Antiqua"/>
          <w:color w:val="000000"/>
          <w:vertAlign w:val="superscript"/>
        </w:rPr>
        <w:t>[24</w:t>
      </w:r>
      <w:r w:rsidR="00CD092E" w:rsidRPr="007A3E30">
        <w:rPr>
          <w:rFonts w:ascii="Book Antiqua" w:hAnsi="Book Antiqua" w:cs="Book Antiqua"/>
          <w:color w:val="000000"/>
          <w:vertAlign w:val="superscript"/>
          <w:lang w:eastAsia="zh-CN"/>
        </w:rPr>
        <w:t>-</w:t>
      </w:r>
      <w:r w:rsidRPr="007A3E30">
        <w:rPr>
          <w:rFonts w:ascii="Book Antiqua" w:eastAsia="Book Antiqua" w:hAnsi="Book Antiqua" w:cs="Book Antiqua"/>
          <w:color w:val="000000"/>
          <w:vertAlign w:val="superscript"/>
        </w:rPr>
        <w:t>27]</w:t>
      </w:r>
      <w:r w:rsidRPr="007A3E30">
        <w:rPr>
          <w:rFonts w:ascii="Book Antiqua" w:eastAsia="Book Antiqua" w:hAnsi="Book Antiqua" w:cs="Book Antiqua"/>
          <w:color w:val="000000"/>
        </w:rPr>
        <w:t xml:space="preserve"> (Table 3).</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QoL decrements associated with palliative/end of life care were not included in the analysis. </w:t>
      </w:r>
    </w:p>
    <w:p w14:paraId="0CBB82D0" w14:textId="77777777" w:rsidR="00A77B3E" w:rsidRPr="007A3E30" w:rsidRDefault="00A77B3E" w:rsidP="000540F1">
      <w:pPr>
        <w:spacing w:line="360" w:lineRule="auto"/>
        <w:jc w:val="both"/>
        <w:rPr>
          <w:rFonts w:ascii="Book Antiqua" w:hAnsi="Book Antiqua"/>
        </w:rPr>
      </w:pPr>
    </w:p>
    <w:p w14:paraId="10962CD3" w14:textId="77777777" w:rsidR="00A77B3E" w:rsidRPr="007A3E30" w:rsidRDefault="00E7670D" w:rsidP="000540F1">
      <w:pPr>
        <w:spacing w:line="360" w:lineRule="auto"/>
        <w:jc w:val="both"/>
        <w:rPr>
          <w:rFonts w:ascii="Book Antiqua" w:hAnsi="Book Antiqua"/>
          <w:i/>
        </w:rPr>
      </w:pPr>
      <w:r w:rsidRPr="007A3E30">
        <w:rPr>
          <w:rFonts w:ascii="Book Antiqua" w:eastAsia="Book Antiqua" w:hAnsi="Book Antiqua" w:cs="Book Antiqua"/>
          <w:b/>
          <w:bCs/>
          <w:i/>
          <w:color w:val="000000"/>
        </w:rPr>
        <w:t>Time horizon, discount rate and perspective</w:t>
      </w:r>
    </w:p>
    <w:p w14:paraId="6C424429" w14:textId="3FA96B78"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color w:val="000000"/>
        </w:rPr>
        <w:t>For both Sweden and Norway, the analysis was performed from the perspective of the healthcare payer and the time horizon was 20 years reflecting a life-time analysis given the average age of NET patients at age of diagnosis.</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 xml:space="preserve">In line with national recommendations, for Sweden both future costs and clinical outcomes were discounted at a rate of 3% </w:t>
      </w:r>
      <w:r w:rsidRPr="007A3E30">
        <w:rPr>
          <w:rFonts w:ascii="Book Antiqua" w:eastAsia="Book Antiqua" w:hAnsi="Book Antiqua" w:cs="Book Antiqua"/>
          <w:i/>
          <w:iCs/>
          <w:color w:val="000000"/>
        </w:rPr>
        <w:t>per annum</w:t>
      </w:r>
      <w:r w:rsidRPr="007A3E30">
        <w:rPr>
          <w:rFonts w:ascii="Book Antiqua" w:eastAsia="Book Antiqua" w:hAnsi="Book Antiqua" w:cs="Book Antiqua"/>
          <w:color w:val="000000"/>
        </w:rPr>
        <w:t xml:space="preserve">, and for Norway a discount rate of 4% </w:t>
      </w:r>
      <w:r w:rsidRPr="007A3E30">
        <w:rPr>
          <w:rFonts w:ascii="Book Antiqua" w:eastAsia="Book Antiqua" w:hAnsi="Book Antiqua" w:cs="Book Antiqua"/>
          <w:i/>
          <w:iCs/>
          <w:color w:val="000000"/>
        </w:rPr>
        <w:t>per annum</w:t>
      </w:r>
      <w:r w:rsidRPr="007A3E30">
        <w:rPr>
          <w:rFonts w:ascii="Book Antiqua" w:eastAsia="Book Antiqua" w:hAnsi="Book Antiqua" w:cs="Book Antiqua"/>
          <w:color w:val="000000"/>
        </w:rPr>
        <w:t xml:space="preserve"> was applied for both costs and outcomes. </w:t>
      </w:r>
    </w:p>
    <w:p w14:paraId="453DCADC" w14:textId="77777777" w:rsidR="00A77B3E" w:rsidRPr="007A3E30" w:rsidRDefault="00A77B3E" w:rsidP="000540F1">
      <w:pPr>
        <w:spacing w:line="360" w:lineRule="auto"/>
        <w:jc w:val="both"/>
        <w:rPr>
          <w:rFonts w:ascii="Book Antiqua" w:hAnsi="Book Antiqua"/>
        </w:rPr>
      </w:pPr>
    </w:p>
    <w:p w14:paraId="6E9C3E66" w14:textId="77777777" w:rsidR="00A77B3E" w:rsidRPr="007A3E30" w:rsidRDefault="00E7670D" w:rsidP="000540F1">
      <w:pPr>
        <w:spacing w:line="360" w:lineRule="auto"/>
        <w:jc w:val="both"/>
        <w:rPr>
          <w:rFonts w:ascii="Book Antiqua" w:hAnsi="Book Antiqua"/>
          <w:i/>
        </w:rPr>
      </w:pPr>
      <w:r w:rsidRPr="007A3E30">
        <w:rPr>
          <w:rFonts w:ascii="Book Antiqua" w:eastAsia="Book Antiqua" w:hAnsi="Book Antiqua" w:cs="Book Antiqua"/>
          <w:b/>
          <w:bCs/>
          <w:i/>
          <w:color w:val="000000"/>
        </w:rPr>
        <w:t>Sensitivity analys</w:t>
      </w:r>
      <w:r w:rsidR="00CD092E" w:rsidRPr="007A3E30">
        <w:rPr>
          <w:rFonts w:ascii="Book Antiqua" w:hAnsi="Book Antiqua" w:cs="Book Antiqua"/>
          <w:b/>
          <w:bCs/>
          <w:i/>
          <w:color w:val="000000"/>
          <w:lang w:eastAsia="zh-CN"/>
        </w:rPr>
        <w:t>i</w:t>
      </w:r>
      <w:r w:rsidRPr="007A3E30">
        <w:rPr>
          <w:rFonts w:ascii="Book Antiqua" w:eastAsia="Book Antiqua" w:hAnsi="Book Antiqua" w:cs="Book Antiqua"/>
          <w:b/>
          <w:bCs/>
          <w:i/>
          <w:color w:val="000000"/>
        </w:rPr>
        <w:t>s</w:t>
      </w:r>
    </w:p>
    <w:p w14:paraId="7B12BF25" w14:textId="3EBD0560"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color w:val="000000"/>
        </w:rPr>
        <w:t>A series of one-way sensitivity analyses were performed to determine key drivers of outcomes.</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For Sweden, the impact of changing key input values by ±</w:t>
      </w:r>
      <w:r w:rsidR="00CD092E" w:rsidRPr="007A3E30">
        <w:rPr>
          <w:rFonts w:ascii="Book Antiqua" w:hAnsi="Book Antiqua" w:cs="Book Antiqua"/>
          <w:color w:val="000000"/>
          <w:lang w:eastAsia="zh-CN"/>
        </w:rPr>
        <w:t xml:space="preserve"> </w:t>
      </w:r>
      <w:r w:rsidRPr="007A3E30">
        <w:rPr>
          <w:rFonts w:ascii="Book Antiqua" w:eastAsia="Book Antiqua" w:hAnsi="Book Antiqua" w:cs="Book Antiqua"/>
          <w:color w:val="000000"/>
        </w:rPr>
        <w:t>20% was explored.</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For Norway key input parameters were varied by ±</w:t>
      </w:r>
      <w:r w:rsidR="00CD092E" w:rsidRPr="007A3E30">
        <w:rPr>
          <w:rFonts w:ascii="Book Antiqua" w:hAnsi="Book Antiqua" w:cs="Book Antiqua"/>
          <w:color w:val="000000"/>
          <w:lang w:eastAsia="zh-CN"/>
        </w:rPr>
        <w:t xml:space="preserve"> </w:t>
      </w:r>
      <w:r w:rsidRPr="007A3E30">
        <w:rPr>
          <w:rFonts w:ascii="Book Antiqua" w:eastAsia="Book Antiqua" w:hAnsi="Book Antiqua" w:cs="Book Antiqua"/>
          <w:color w:val="000000"/>
        </w:rPr>
        <w:t>30%.</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 xml:space="preserve">Sensitivity analyses were performed around drug acquisition costs, health state utility values, efficacy, resource use and the overall disutility associated with </w:t>
      </w:r>
      <w:r w:rsidR="00D1244A" w:rsidRPr="007A3E30">
        <w:rPr>
          <w:rFonts w:ascii="Book Antiqua" w:eastAsia="Book Antiqua" w:hAnsi="Book Antiqua" w:cs="Book Antiqua"/>
          <w:color w:val="000000"/>
        </w:rPr>
        <w:t>AEs</w:t>
      </w:r>
      <w:r w:rsidRPr="007A3E30">
        <w:rPr>
          <w:rFonts w:ascii="Book Antiqua" w:eastAsia="Book Antiqua" w:hAnsi="Book Antiqua" w:cs="Book Antiqua"/>
          <w:color w:val="000000"/>
        </w:rPr>
        <w:t>. </w:t>
      </w:r>
    </w:p>
    <w:p w14:paraId="193BE475" w14:textId="77777777" w:rsidR="00A77B3E" w:rsidRPr="007A3E30" w:rsidRDefault="00A77B3E" w:rsidP="000540F1">
      <w:pPr>
        <w:spacing w:line="360" w:lineRule="auto"/>
        <w:jc w:val="both"/>
        <w:rPr>
          <w:rFonts w:ascii="Book Antiqua" w:hAnsi="Book Antiqua"/>
        </w:rPr>
      </w:pPr>
    </w:p>
    <w:p w14:paraId="29B81347" w14:textId="77777777" w:rsidR="00A77B3E" w:rsidRPr="007A3E30" w:rsidRDefault="00E7670D" w:rsidP="000540F1">
      <w:pPr>
        <w:spacing w:line="360" w:lineRule="auto"/>
        <w:jc w:val="both"/>
        <w:rPr>
          <w:rFonts w:ascii="Book Antiqua" w:hAnsi="Book Antiqua"/>
          <w:i/>
        </w:rPr>
      </w:pPr>
      <w:r w:rsidRPr="007A3E30">
        <w:rPr>
          <w:rFonts w:ascii="Book Antiqua" w:eastAsia="Book Antiqua" w:hAnsi="Book Antiqua" w:cs="Book Antiqua"/>
          <w:b/>
          <w:bCs/>
          <w:i/>
          <w:color w:val="000000"/>
        </w:rPr>
        <w:t>Budget impact analys</w:t>
      </w:r>
      <w:r w:rsidR="00CD092E" w:rsidRPr="007A3E30">
        <w:rPr>
          <w:rFonts w:ascii="Book Antiqua" w:hAnsi="Book Antiqua" w:cs="Book Antiqua"/>
          <w:b/>
          <w:bCs/>
          <w:i/>
          <w:color w:val="000000"/>
          <w:lang w:eastAsia="zh-CN"/>
        </w:rPr>
        <w:t>i</w:t>
      </w:r>
      <w:r w:rsidRPr="007A3E30">
        <w:rPr>
          <w:rFonts w:ascii="Book Antiqua" w:eastAsia="Book Antiqua" w:hAnsi="Book Antiqua" w:cs="Book Antiqua"/>
          <w:b/>
          <w:bCs/>
          <w:i/>
          <w:color w:val="000000"/>
        </w:rPr>
        <w:t>s</w:t>
      </w:r>
    </w:p>
    <w:p w14:paraId="15C85C2B" w14:textId="2498A8B6"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color w:val="000000"/>
        </w:rPr>
        <w:t xml:space="preserve">Budget impact analyses were performed to estimate the budget impact of introducing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into clinical practice in Sweden and Norway.</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 xml:space="preserve">For both countries, the treatment eligible GEP-NET population was based on national population figures, incidence estimates published by </w:t>
      </w:r>
      <w:r w:rsidRPr="007A3E30">
        <w:rPr>
          <w:rFonts w:ascii="Book Antiqua" w:eastAsia="Book Antiqua" w:hAnsi="Book Antiqua" w:cs="Book Antiqua"/>
          <w:caps/>
          <w:color w:val="000000"/>
        </w:rPr>
        <w:t>ö</w:t>
      </w:r>
      <w:r w:rsidRPr="007A3E30">
        <w:rPr>
          <w:rFonts w:ascii="Book Antiqua" w:eastAsia="Book Antiqua" w:hAnsi="Book Antiqua" w:cs="Book Antiqua"/>
          <w:color w:val="000000"/>
        </w:rPr>
        <w:t xml:space="preserve">berg </w:t>
      </w:r>
      <w:r w:rsidRPr="007A3E30">
        <w:rPr>
          <w:rFonts w:ascii="Book Antiqua" w:eastAsia="Book Antiqua" w:hAnsi="Book Antiqua" w:cs="Book Antiqua"/>
          <w:i/>
          <w:iCs/>
          <w:color w:val="000000"/>
        </w:rPr>
        <w:t>et al</w:t>
      </w:r>
      <w:r w:rsidR="00CD092E" w:rsidRPr="007A3E30">
        <w:rPr>
          <w:rFonts w:ascii="Book Antiqua" w:eastAsia="Book Antiqua" w:hAnsi="Book Antiqua" w:cs="Book Antiqua"/>
          <w:color w:val="000000"/>
          <w:vertAlign w:val="superscript"/>
        </w:rPr>
        <w:t>[4]</w:t>
      </w:r>
      <w:r w:rsidRPr="007A3E30">
        <w:rPr>
          <w:rFonts w:ascii="Book Antiqua" w:eastAsia="Book Antiqua" w:hAnsi="Book Antiqua" w:cs="Book Antiqua"/>
          <w:color w:val="000000"/>
        </w:rPr>
        <w:t xml:space="preserve"> (2012) and it was assumed that 40% of patients had metastasis at baseline</w:t>
      </w:r>
      <w:r w:rsidR="00CD092E" w:rsidRPr="007A3E30">
        <w:rPr>
          <w:rFonts w:ascii="Book Antiqua" w:eastAsia="Book Antiqua" w:hAnsi="Book Antiqua" w:cs="Book Antiqua"/>
          <w:color w:val="000000"/>
          <w:vertAlign w:val="superscript"/>
        </w:rPr>
        <w:t>[28]</w:t>
      </w:r>
      <w:r w:rsidRPr="007A3E30">
        <w:rPr>
          <w:rFonts w:ascii="Book Antiqua" w:eastAsia="Book Antiqua" w:hAnsi="Book Antiqua" w:cs="Book Antiqua"/>
          <w:color w:val="000000"/>
        </w:rPr>
        <w:t>.</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 xml:space="preserve">Market share projections for each country were based on estimates from the manufacturer of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(AAA, data on file).</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 xml:space="preserve">In both Sweden and Norway, it was assumed that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would replace everolimus as a treatment option.</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Budget impact analyses were performed over a time horizon of 5 years, in line with good practice</w:t>
      </w:r>
      <w:r w:rsidRPr="007A3E30">
        <w:rPr>
          <w:rFonts w:ascii="Book Antiqua" w:eastAsia="Book Antiqua" w:hAnsi="Book Antiqua" w:cs="Book Antiqua"/>
          <w:color w:val="000000"/>
          <w:vertAlign w:val="superscript"/>
        </w:rPr>
        <w:t>[29]</w:t>
      </w:r>
      <w:r w:rsidRPr="007A3E30">
        <w:rPr>
          <w:rFonts w:ascii="Book Antiqua" w:eastAsia="Book Antiqua" w:hAnsi="Book Antiqua" w:cs="Book Antiqua"/>
          <w:color w:val="000000"/>
        </w:rPr>
        <w:t xml:space="preserve"> and national guidance</w:t>
      </w:r>
      <w:r w:rsidRPr="007A3E30">
        <w:rPr>
          <w:rFonts w:ascii="Book Antiqua" w:eastAsia="Book Antiqua" w:hAnsi="Book Antiqua" w:cs="Book Antiqua"/>
          <w:color w:val="000000"/>
          <w:vertAlign w:val="superscript"/>
        </w:rPr>
        <w:t>[30]</w:t>
      </w:r>
      <w:r w:rsidRPr="007A3E30">
        <w:rPr>
          <w:rFonts w:ascii="Book Antiqua" w:eastAsia="Book Antiqua" w:hAnsi="Book Antiqua" w:cs="Book Antiqua"/>
          <w:color w:val="000000"/>
        </w:rPr>
        <w:t xml:space="preserve"> and costs were not discounted. </w:t>
      </w:r>
    </w:p>
    <w:p w14:paraId="42849B23" w14:textId="77777777" w:rsidR="00A77B3E" w:rsidRPr="007A3E30" w:rsidRDefault="00A77B3E" w:rsidP="000540F1">
      <w:pPr>
        <w:spacing w:line="360" w:lineRule="auto"/>
        <w:jc w:val="both"/>
        <w:rPr>
          <w:rFonts w:ascii="Book Antiqua" w:hAnsi="Book Antiqua"/>
        </w:rPr>
      </w:pPr>
    </w:p>
    <w:p w14:paraId="74406C6C"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b/>
          <w:caps/>
          <w:color w:val="000000"/>
          <w:u w:val="single"/>
        </w:rPr>
        <w:t>RESULTS</w:t>
      </w:r>
    </w:p>
    <w:p w14:paraId="668C5BD9" w14:textId="77777777" w:rsidR="00A77B3E" w:rsidRPr="007A3E30" w:rsidRDefault="00E7670D" w:rsidP="000540F1">
      <w:pPr>
        <w:spacing w:line="360" w:lineRule="auto"/>
        <w:jc w:val="both"/>
        <w:rPr>
          <w:rFonts w:ascii="Book Antiqua" w:hAnsi="Book Antiqua"/>
          <w:i/>
        </w:rPr>
      </w:pPr>
      <w:r w:rsidRPr="007A3E30">
        <w:rPr>
          <w:rFonts w:ascii="Book Antiqua" w:eastAsia="Book Antiqua" w:hAnsi="Book Antiqua" w:cs="Book Antiqua"/>
          <w:b/>
          <w:bCs/>
          <w:i/>
          <w:color w:val="000000"/>
        </w:rPr>
        <w:t xml:space="preserve">Cost-effectiveness of </w:t>
      </w:r>
      <w:r w:rsidRPr="007A3E30">
        <w:rPr>
          <w:rFonts w:ascii="Book Antiqua" w:eastAsia="Book Antiqua" w:hAnsi="Book Antiqua" w:cs="Book Antiqua"/>
          <w:b/>
          <w:bCs/>
          <w:i/>
          <w:color w:val="000000"/>
          <w:vertAlign w:val="superscript"/>
        </w:rPr>
        <w:t>177</w:t>
      </w:r>
      <w:r w:rsidRPr="007A3E30">
        <w:rPr>
          <w:rFonts w:ascii="Book Antiqua" w:eastAsia="Book Antiqua" w:hAnsi="Book Antiqua" w:cs="Book Antiqua"/>
          <w:b/>
          <w:bCs/>
          <w:i/>
          <w:color w:val="000000"/>
        </w:rPr>
        <w:t xml:space="preserve">Lu-Dotatate in Sweden </w:t>
      </w:r>
    </w:p>
    <w:p w14:paraId="31AC9456" w14:textId="0A13489D"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color w:val="000000"/>
        </w:rPr>
        <w:t xml:space="preserve">In patients with midgut NETs, treatment with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 xml:space="preserve">Lu-Dotatate was associated with a projected gain in quality-adjusted life expectancy of 0.48 quality-adjusted life years (QALYs) relative to everolimus (3.45 QALYs for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 xml:space="preserve">Lu-Dotatate </w:t>
      </w:r>
      <w:r w:rsidRPr="007A3E30">
        <w:rPr>
          <w:rFonts w:ascii="Book Antiqua" w:eastAsia="Book Antiqua" w:hAnsi="Book Antiqua" w:cs="Book Antiqua"/>
          <w:i/>
          <w:iCs/>
          <w:color w:val="000000"/>
        </w:rPr>
        <w:t>vs</w:t>
      </w:r>
      <w:r w:rsidRPr="007A3E30">
        <w:rPr>
          <w:rFonts w:ascii="Book Antiqua" w:eastAsia="Book Antiqua" w:hAnsi="Book Antiqua" w:cs="Book Antiqua"/>
          <w:color w:val="000000"/>
        </w:rPr>
        <w:t xml:space="preserve"> 2.97 QALYs for everolimus), which was driven by longer PFS and OS with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(Table 4).</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Total lifetime costs were</w:t>
      </w:r>
      <w:r w:rsidR="00E62816" w:rsidRPr="007A3E30">
        <w:rPr>
          <w:rFonts w:ascii="Book Antiqua" w:eastAsia="Book Antiqua" w:hAnsi="Book Antiqua" w:cs="Book Antiqua"/>
          <w:color w:val="000000"/>
        </w:rPr>
        <w:t xml:space="preserve"> SEK 189</w:t>
      </w:r>
      <w:r w:rsidRPr="007A3E30">
        <w:rPr>
          <w:rFonts w:ascii="Book Antiqua" w:eastAsia="Book Antiqua" w:hAnsi="Book Antiqua" w:cs="Book Antiqua"/>
          <w:color w:val="000000"/>
        </w:rPr>
        <w:t xml:space="preserve">818 higher with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 xml:space="preserve">Lu-Dotatate compared with everolimus (SEK 1,170,731 </w:t>
      </w:r>
      <w:r w:rsidRPr="007A3E30">
        <w:rPr>
          <w:rFonts w:ascii="Book Antiqua" w:eastAsia="Book Antiqua" w:hAnsi="Book Antiqua" w:cs="Book Antiqua"/>
          <w:i/>
          <w:iCs/>
          <w:color w:val="000000"/>
        </w:rPr>
        <w:t>vs</w:t>
      </w:r>
      <w:r w:rsidR="00E62816" w:rsidRPr="007A3E30">
        <w:rPr>
          <w:rFonts w:ascii="Book Antiqua" w:eastAsia="Book Antiqua" w:hAnsi="Book Antiqua" w:cs="Book Antiqua"/>
          <w:color w:val="000000"/>
        </w:rPr>
        <w:t xml:space="preserve"> SEK 980</w:t>
      </w:r>
      <w:r w:rsidRPr="007A3E30">
        <w:rPr>
          <w:rFonts w:ascii="Book Antiqua" w:eastAsia="Book Antiqua" w:hAnsi="Book Antiqua" w:cs="Book Antiqua"/>
          <w:color w:val="000000"/>
        </w:rPr>
        <w:t xml:space="preserve">913), which resulted in an incremental cost effectiveness ratio </w:t>
      </w:r>
      <w:r w:rsidR="00D1244A" w:rsidRPr="007A3E30">
        <w:rPr>
          <w:rFonts w:ascii="Book Antiqua" w:eastAsia="Book Antiqua" w:hAnsi="Book Antiqua" w:cs="Book Antiqua"/>
          <w:color w:val="000000"/>
        </w:rPr>
        <w:t xml:space="preserve">(ICER) </w:t>
      </w:r>
      <w:r w:rsidR="00E62816" w:rsidRPr="007A3E30">
        <w:rPr>
          <w:rFonts w:ascii="Book Antiqua" w:eastAsia="Book Antiqua" w:hAnsi="Book Antiqua" w:cs="Book Antiqua"/>
          <w:color w:val="000000"/>
        </w:rPr>
        <w:t>of SEK 391194 (EUR 36</w:t>
      </w:r>
      <w:r w:rsidRPr="007A3E30">
        <w:rPr>
          <w:rFonts w:ascii="Book Antiqua" w:eastAsia="Book Antiqua" w:hAnsi="Book Antiqua" w:cs="Book Antiqua"/>
          <w:color w:val="000000"/>
        </w:rPr>
        <w:t>154, September 2019 exchange rates) per QALY gained.</w:t>
      </w:r>
    </w:p>
    <w:p w14:paraId="44C36E6D" w14:textId="1C442CBE" w:rsidR="00A77B3E" w:rsidRPr="007A3E30" w:rsidRDefault="00E7670D" w:rsidP="000540F1">
      <w:pPr>
        <w:spacing w:line="360" w:lineRule="auto"/>
        <w:ind w:firstLineChars="100" w:firstLine="240"/>
        <w:jc w:val="both"/>
        <w:rPr>
          <w:rFonts w:ascii="Book Antiqua" w:hAnsi="Book Antiqua"/>
        </w:rPr>
      </w:pPr>
      <w:r w:rsidRPr="007A3E30">
        <w:rPr>
          <w:rFonts w:ascii="Book Antiqua" w:eastAsia="Book Antiqua" w:hAnsi="Book Antiqua" w:cs="Book Antiqua"/>
          <w:color w:val="000000"/>
        </w:rPr>
        <w:t>For patients with P-NETs, the difference in projected quality-adjusted life expectancy between the two treatments was more pronounced.</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 xml:space="preserve">Treatment with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resulted in a mean quality-adjusted life expectancy of 4.90 QALYs compared with 3.55 QALYs for patients treated with everolimus (difference 1.35 QALYs) (Table 4).</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 xml:space="preserve">Total mean </w:t>
      </w:r>
      <w:r w:rsidR="00CD092E" w:rsidRPr="007A3E30">
        <w:rPr>
          <w:rFonts w:ascii="Book Antiqua" w:eastAsia="Book Antiqua" w:hAnsi="Book Antiqua" w:cs="Book Antiqua"/>
          <w:color w:val="000000"/>
        </w:rPr>
        <w:t>lifetime costs were also SEK 22</w:t>
      </w:r>
      <w:r w:rsidRPr="007A3E30">
        <w:rPr>
          <w:rFonts w:ascii="Book Antiqua" w:eastAsia="Book Antiqua" w:hAnsi="Book Antiqua" w:cs="Book Antiqua"/>
          <w:color w:val="000000"/>
        </w:rPr>
        <w:t xml:space="preserve">498 higher with </w:t>
      </w:r>
      <w:r w:rsidRPr="007A3E30">
        <w:rPr>
          <w:rFonts w:ascii="Book Antiqua" w:eastAsia="Book Antiqua" w:hAnsi="Book Antiqua" w:cs="Book Antiqua"/>
          <w:color w:val="000000"/>
          <w:vertAlign w:val="superscript"/>
        </w:rPr>
        <w:t>177</w:t>
      </w:r>
      <w:r w:rsidR="00CD092E" w:rsidRPr="007A3E30">
        <w:rPr>
          <w:rFonts w:ascii="Book Antiqua" w:eastAsia="Book Antiqua" w:hAnsi="Book Antiqua" w:cs="Book Antiqua"/>
          <w:color w:val="000000"/>
        </w:rPr>
        <w:t>Lu-Dotatate (SEK 1</w:t>
      </w:r>
      <w:r w:rsidRPr="007A3E30">
        <w:rPr>
          <w:rFonts w:ascii="Book Antiqua" w:eastAsia="Book Antiqua" w:hAnsi="Book Antiqua" w:cs="Book Antiqua"/>
          <w:color w:val="000000"/>
        </w:rPr>
        <w:t>3</w:t>
      </w:r>
      <w:r w:rsidR="00CD092E" w:rsidRPr="007A3E30">
        <w:rPr>
          <w:rFonts w:ascii="Book Antiqua" w:eastAsia="Book Antiqua" w:hAnsi="Book Antiqua" w:cs="Book Antiqua"/>
          <w:color w:val="000000"/>
        </w:rPr>
        <w:t>98</w:t>
      </w:r>
      <w:r w:rsidRPr="007A3E30">
        <w:rPr>
          <w:rFonts w:ascii="Book Antiqua" w:eastAsia="Book Antiqua" w:hAnsi="Book Antiqua" w:cs="Book Antiqua"/>
          <w:color w:val="000000"/>
        </w:rPr>
        <w:t xml:space="preserve">533 </w:t>
      </w:r>
      <w:r w:rsidRPr="007A3E30">
        <w:rPr>
          <w:rFonts w:ascii="Book Antiqua" w:eastAsia="Book Antiqua" w:hAnsi="Book Antiqua" w:cs="Book Antiqua"/>
          <w:i/>
          <w:iCs/>
          <w:color w:val="000000"/>
        </w:rPr>
        <w:t>vs</w:t>
      </w:r>
      <w:r w:rsidR="00CD092E" w:rsidRPr="007A3E30">
        <w:rPr>
          <w:rFonts w:ascii="Book Antiqua" w:eastAsia="Book Antiqua" w:hAnsi="Book Antiqua" w:cs="Book Antiqua"/>
          <w:color w:val="000000"/>
        </w:rPr>
        <w:t xml:space="preserve"> SEK 1376</w:t>
      </w:r>
      <w:r w:rsidRPr="007A3E30">
        <w:rPr>
          <w:rFonts w:ascii="Book Antiqua" w:eastAsia="Book Antiqua" w:hAnsi="Book Antiqua" w:cs="Book Antiqua"/>
          <w:color w:val="000000"/>
        </w:rPr>
        <w:t xml:space="preserve">034), resulting </w:t>
      </w:r>
      <w:r w:rsidR="00CD092E" w:rsidRPr="007A3E30">
        <w:rPr>
          <w:rFonts w:ascii="Book Antiqua" w:eastAsia="Book Antiqua" w:hAnsi="Book Antiqua" w:cs="Book Antiqua"/>
          <w:color w:val="000000"/>
        </w:rPr>
        <w:t>in an ICER of SEK 16764 (EUR 1</w:t>
      </w:r>
      <w:r w:rsidRPr="007A3E30">
        <w:rPr>
          <w:rFonts w:ascii="Book Antiqua" w:eastAsia="Book Antiqua" w:hAnsi="Book Antiqua" w:cs="Book Antiqua"/>
          <w:color w:val="000000"/>
        </w:rPr>
        <w:t>549) per QALY gained.</w:t>
      </w:r>
    </w:p>
    <w:p w14:paraId="18701481" w14:textId="710F779E" w:rsidR="00A77B3E" w:rsidRPr="007A3E30" w:rsidRDefault="00E7670D" w:rsidP="000540F1">
      <w:pPr>
        <w:spacing w:line="360" w:lineRule="auto"/>
        <w:ind w:firstLineChars="100" w:firstLine="240"/>
        <w:jc w:val="both"/>
        <w:rPr>
          <w:rFonts w:ascii="Book Antiqua" w:hAnsi="Book Antiqua"/>
        </w:rPr>
      </w:pPr>
      <w:r w:rsidRPr="007A3E30">
        <w:rPr>
          <w:rFonts w:ascii="Book Antiqua" w:eastAsia="Book Antiqua" w:hAnsi="Book Antiqua" w:cs="Book Antiqua"/>
          <w:color w:val="000000"/>
        </w:rPr>
        <w:t xml:space="preserve">One way sensitivity analyses showed that for patients with midgut NETs, the findings of the analysis were most sensitive to changes in drug acquisition costs for both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and everolimus as well as assumptions around health state utility values for the PFS and PPS state</w:t>
      </w:r>
      <w:r w:rsidR="00005085" w:rsidRPr="007A3E30">
        <w:rPr>
          <w:rFonts w:ascii="Book Antiqua" w:eastAsia="Book Antiqua" w:hAnsi="Book Antiqua" w:cs="Book Antiqua"/>
          <w:color w:val="000000"/>
        </w:rPr>
        <w:t>s</w:t>
      </w:r>
      <w:r w:rsidRPr="007A3E30">
        <w:rPr>
          <w:rFonts w:ascii="Book Antiqua" w:eastAsia="Book Antiqua" w:hAnsi="Book Antiqua" w:cs="Book Antiqua"/>
          <w:color w:val="000000"/>
        </w:rPr>
        <w:t xml:space="preserve"> (Figure 1).</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Similarly, for P-NET patients the ICER was most sensitive to changes in drug acquisition costs and changes in the total weighted disutility value for AEs experienced by everolimus-treated patients. </w:t>
      </w:r>
    </w:p>
    <w:p w14:paraId="1ECF6897" w14:textId="77777777" w:rsidR="00A77B3E" w:rsidRPr="007A3E30" w:rsidRDefault="00A77B3E" w:rsidP="000540F1">
      <w:pPr>
        <w:spacing w:line="360" w:lineRule="auto"/>
        <w:jc w:val="both"/>
        <w:rPr>
          <w:rFonts w:ascii="Book Antiqua" w:hAnsi="Book Antiqua"/>
          <w:i/>
        </w:rPr>
      </w:pPr>
    </w:p>
    <w:p w14:paraId="15EC2686" w14:textId="77777777" w:rsidR="00A77B3E" w:rsidRPr="007A3E30" w:rsidRDefault="00E7670D" w:rsidP="000540F1">
      <w:pPr>
        <w:spacing w:line="360" w:lineRule="auto"/>
        <w:jc w:val="both"/>
        <w:rPr>
          <w:rFonts w:ascii="Book Antiqua" w:hAnsi="Book Antiqua"/>
          <w:i/>
        </w:rPr>
      </w:pPr>
      <w:r w:rsidRPr="007A3E30">
        <w:rPr>
          <w:rFonts w:ascii="Book Antiqua" w:eastAsia="Book Antiqua" w:hAnsi="Book Antiqua" w:cs="Book Antiqua"/>
          <w:b/>
          <w:bCs/>
          <w:i/>
          <w:color w:val="000000"/>
        </w:rPr>
        <w:t xml:space="preserve">Cost-effectiveness of </w:t>
      </w:r>
      <w:r w:rsidRPr="007A3E30">
        <w:rPr>
          <w:rFonts w:ascii="Book Antiqua" w:eastAsia="Book Antiqua" w:hAnsi="Book Antiqua" w:cs="Book Antiqua"/>
          <w:b/>
          <w:bCs/>
          <w:i/>
          <w:color w:val="000000"/>
          <w:vertAlign w:val="superscript"/>
        </w:rPr>
        <w:t>177</w:t>
      </w:r>
      <w:r w:rsidRPr="007A3E30">
        <w:rPr>
          <w:rFonts w:ascii="Book Antiqua" w:eastAsia="Book Antiqua" w:hAnsi="Book Antiqua" w:cs="Book Antiqua"/>
          <w:b/>
          <w:bCs/>
          <w:i/>
          <w:color w:val="000000"/>
        </w:rPr>
        <w:t>Lu-Dotatate in Norway</w:t>
      </w:r>
    </w:p>
    <w:p w14:paraId="1F8EA8F7" w14:textId="21FB314B"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color w:val="000000"/>
        </w:rPr>
        <w:t>For patients with midgut-NET</w:t>
      </w:r>
      <w:r w:rsidR="00DF3BEC" w:rsidRPr="007A3E30">
        <w:rPr>
          <w:rFonts w:ascii="Book Antiqua" w:eastAsia="Book Antiqua" w:hAnsi="Book Antiqua" w:cs="Book Antiqua"/>
          <w:color w:val="000000"/>
        </w:rPr>
        <w:t>s</w:t>
      </w:r>
      <w:r w:rsidRPr="007A3E30">
        <w:rPr>
          <w:rFonts w:ascii="Book Antiqua" w:eastAsia="Book Antiqua" w:hAnsi="Book Antiqua" w:cs="Book Antiqua"/>
          <w:color w:val="000000"/>
        </w:rPr>
        <w:t xml:space="preserve">, treatment with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 xml:space="preserve">Lu-Dotatate led to a gain in quality-adjusted life expectancy of 1.36 QALYs relative to the use of everolimus (3.15 QALYs for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 xml:space="preserve">Lu-Dotatate </w:t>
      </w:r>
      <w:r w:rsidRPr="007A3E30">
        <w:rPr>
          <w:rFonts w:ascii="Book Antiqua" w:eastAsia="Book Antiqua" w:hAnsi="Book Antiqua" w:cs="Book Antiqua"/>
          <w:i/>
          <w:iCs/>
          <w:color w:val="000000"/>
        </w:rPr>
        <w:t>vs</w:t>
      </w:r>
      <w:r w:rsidRPr="007A3E30">
        <w:rPr>
          <w:rFonts w:ascii="Book Antiqua" w:eastAsia="Book Antiqua" w:hAnsi="Book Antiqua" w:cs="Book Antiqua"/>
          <w:color w:val="000000"/>
        </w:rPr>
        <w:t xml:space="preserve"> 1.79 QALYs for everolimus).</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Total m</w:t>
      </w:r>
      <w:r w:rsidR="00CD092E" w:rsidRPr="007A3E30">
        <w:rPr>
          <w:rFonts w:ascii="Book Antiqua" w:eastAsia="Book Antiqua" w:hAnsi="Book Antiqua" w:cs="Book Antiqua"/>
          <w:color w:val="000000"/>
        </w:rPr>
        <w:t>ean lifetime costs were NOK 331</w:t>
      </w:r>
      <w:r w:rsidRPr="007A3E30">
        <w:rPr>
          <w:rFonts w:ascii="Book Antiqua" w:eastAsia="Book Antiqua" w:hAnsi="Book Antiqua" w:cs="Book Antiqua"/>
          <w:color w:val="000000"/>
        </w:rPr>
        <w:t xml:space="preserve">995 higher with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co</w:t>
      </w:r>
      <w:r w:rsidR="00CD092E" w:rsidRPr="007A3E30">
        <w:rPr>
          <w:rFonts w:ascii="Book Antiqua" w:eastAsia="Book Antiqua" w:hAnsi="Book Antiqua" w:cs="Book Antiqua"/>
          <w:color w:val="000000"/>
        </w:rPr>
        <w:t>mpared with everolimus (NOK 985</w:t>
      </w:r>
      <w:r w:rsidRPr="007A3E30">
        <w:rPr>
          <w:rFonts w:ascii="Book Antiqua" w:eastAsia="Book Antiqua" w:hAnsi="Book Antiqua" w:cs="Book Antiqua"/>
          <w:color w:val="000000"/>
        </w:rPr>
        <w:t xml:space="preserve">062 </w:t>
      </w:r>
      <w:r w:rsidRPr="007A3E30">
        <w:rPr>
          <w:rFonts w:ascii="Book Antiqua" w:eastAsia="Book Antiqua" w:hAnsi="Book Antiqua" w:cs="Book Antiqua"/>
          <w:i/>
          <w:iCs/>
          <w:color w:val="000000"/>
        </w:rPr>
        <w:t>vs</w:t>
      </w:r>
      <w:r w:rsidR="00CD092E" w:rsidRPr="007A3E30">
        <w:rPr>
          <w:rFonts w:ascii="Book Antiqua" w:eastAsia="Book Antiqua" w:hAnsi="Book Antiqua" w:cs="Book Antiqua"/>
          <w:color w:val="000000"/>
        </w:rPr>
        <w:t xml:space="preserve"> NOK 653</w:t>
      </w:r>
      <w:r w:rsidRPr="007A3E30">
        <w:rPr>
          <w:rFonts w:ascii="Book Antiqua" w:eastAsia="Book Antiqua" w:hAnsi="Book Antiqua" w:cs="Book Antiqua"/>
          <w:color w:val="000000"/>
        </w:rPr>
        <w:t xml:space="preserve">066), which was primarily driven by the higher acquisition costs associated with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(Table 4).</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The incremental gain in quality-adjusted life expectancy combined with higher lifetime costs resulted in</w:t>
      </w:r>
      <w:r w:rsidR="00CD092E" w:rsidRPr="007A3E30">
        <w:rPr>
          <w:rFonts w:ascii="Book Antiqua" w:eastAsia="Book Antiqua" w:hAnsi="Book Antiqua" w:cs="Book Antiqua"/>
          <w:color w:val="000000"/>
        </w:rPr>
        <w:t xml:space="preserve"> an ICER of NOK 244444 (EUR 24</w:t>
      </w:r>
      <w:r w:rsidRPr="007A3E30">
        <w:rPr>
          <w:rFonts w:ascii="Book Antiqua" w:eastAsia="Book Antiqua" w:hAnsi="Book Antiqua" w:cs="Book Antiqua"/>
          <w:color w:val="000000"/>
        </w:rPr>
        <w:t xml:space="preserve">416; September 2019 exchange rates) per QALY gained for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 xml:space="preserve">Lu-Dotatate </w:t>
      </w:r>
      <w:r w:rsidRPr="007A3E30">
        <w:rPr>
          <w:rFonts w:ascii="Book Antiqua" w:eastAsia="Book Antiqua" w:hAnsi="Book Antiqua" w:cs="Book Antiqua"/>
          <w:i/>
          <w:iCs/>
          <w:color w:val="000000"/>
        </w:rPr>
        <w:t>vs</w:t>
      </w:r>
      <w:r w:rsidRPr="007A3E30">
        <w:rPr>
          <w:rFonts w:ascii="Book Antiqua" w:eastAsia="Book Antiqua" w:hAnsi="Book Antiqua" w:cs="Book Antiqua"/>
          <w:color w:val="000000"/>
        </w:rPr>
        <w:t xml:space="preserve"> everolimus. </w:t>
      </w:r>
    </w:p>
    <w:p w14:paraId="3EF4CDBE" w14:textId="4C405B17" w:rsidR="00A77B3E" w:rsidRPr="007A3E30" w:rsidRDefault="00E7670D" w:rsidP="000540F1">
      <w:pPr>
        <w:spacing w:line="360" w:lineRule="auto"/>
        <w:ind w:firstLineChars="100" w:firstLine="240"/>
        <w:jc w:val="both"/>
        <w:rPr>
          <w:rFonts w:ascii="Book Antiqua" w:hAnsi="Book Antiqua"/>
        </w:rPr>
      </w:pPr>
      <w:r w:rsidRPr="007A3E30">
        <w:rPr>
          <w:rFonts w:ascii="Book Antiqua" w:eastAsia="Book Antiqua" w:hAnsi="Book Antiqua" w:cs="Book Antiqua"/>
          <w:color w:val="000000"/>
        </w:rPr>
        <w:t xml:space="preserve">For patients with P-NETs, the incremental gain in quality-adjusted life expectancy associated with the use of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 xml:space="preserve">Lu-Dotatate compared with everolimus was 2.10 QALYs (5.31 QALYs for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 xml:space="preserve">Lu-Dotatate </w:t>
      </w:r>
      <w:r w:rsidRPr="007A3E30">
        <w:rPr>
          <w:rFonts w:ascii="Book Antiqua" w:eastAsia="Book Antiqua" w:hAnsi="Book Antiqua" w:cs="Book Antiqua"/>
          <w:i/>
          <w:iCs/>
          <w:color w:val="000000"/>
        </w:rPr>
        <w:t>vs</w:t>
      </w:r>
      <w:r w:rsidRPr="007A3E30">
        <w:rPr>
          <w:rFonts w:ascii="Book Antiqua" w:eastAsia="Book Antiqua" w:hAnsi="Book Antiqua" w:cs="Book Antiqua"/>
          <w:color w:val="000000"/>
        </w:rPr>
        <w:t xml:space="preserve"> 3.21 QALYs for everolimus) (Table 4), which was driven by the notably longer PFS and OS projected for patients treated with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w:t>
      </w:r>
      <w:r w:rsidR="00CD092E" w:rsidRPr="007A3E30">
        <w:rPr>
          <w:rFonts w:ascii="Book Antiqua" w:eastAsia="Book Antiqua" w:hAnsi="Book Antiqua" w:cs="Book Antiqua"/>
          <w:color w:val="000000"/>
        </w:rPr>
        <w:t>e.</w:t>
      </w:r>
      <w:r w:rsidR="002B01AF" w:rsidRPr="007A3E30">
        <w:rPr>
          <w:rFonts w:ascii="Book Antiqua" w:eastAsia="Book Antiqua" w:hAnsi="Book Antiqua" w:cs="Book Antiqua"/>
          <w:color w:val="000000"/>
        </w:rPr>
        <w:t xml:space="preserve"> </w:t>
      </w:r>
      <w:r w:rsidR="00CD092E" w:rsidRPr="007A3E30">
        <w:rPr>
          <w:rFonts w:ascii="Book Antiqua" w:eastAsia="Book Antiqua" w:hAnsi="Book Antiqua" w:cs="Book Antiqua"/>
          <w:color w:val="000000"/>
        </w:rPr>
        <w:t>Lifetime costs were NOK 223</w:t>
      </w:r>
      <w:r w:rsidRPr="007A3E30">
        <w:rPr>
          <w:rFonts w:ascii="Book Antiqua" w:eastAsia="Book Antiqua" w:hAnsi="Book Antiqua" w:cs="Book Antiqua"/>
          <w:color w:val="000000"/>
        </w:rPr>
        <w:t xml:space="preserve">487 higher with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w:t>
      </w:r>
      <w:r w:rsidR="00CD092E" w:rsidRPr="007A3E30">
        <w:rPr>
          <w:rFonts w:ascii="Book Antiqua" w:eastAsia="Book Antiqua" w:hAnsi="Book Antiqua" w:cs="Book Antiqua"/>
          <w:color w:val="000000"/>
        </w:rPr>
        <w:t>ate than with everolimus (NOK 1280</w:t>
      </w:r>
      <w:r w:rsidRPr="007A3E30">
        <w:rPr>
          <w:rFonts w:ascii="Book Antiqua" w:eastAsia="Book Antiqua" w:hAnsi="Book Antiqua" w:cs="Book Antiqua"/>
          <w:color w:val="000000"/>
        </w:rPr>
        <w:t xml:space="preserve">254 </w:t>
      </w:r>
      <w:r w:rsidRPr="007A3E30">
        <w:rPr>
          <w:rFonts w:ascii="Book Antiqua" w:eastAsia="Book Antiqua" w:hAnsi="Book Antiqua" w:cs="Book Antiqua"/>
          <w:i/>
          <w:iCs/>
          <w:color w:val="000000"/>
        </w:rPr>
        <w:t>vs</w:t>
      </w:r>
      <w:r w:rsidR="00CD092E" w:rsidRPr="007A3E30">
        <w:rPr>
          <w:rFonts w:ascii="Book Antiqua" w:eastAsia="Book Antiqua" w:hAnsi="Book Antiqua" w:cs="Book Antiqua"/>
          <w:color w:val="000000"/>
        </w:rPr>
        <w:t xml:space="preserve"> NOK 223</w:t>
      </w:r>
      <w:r w:rsidRPr="007A3E30">
        <w:rPr>
          <w:rFonts w:ascii="Book Antiqua" w:eastAsia="Book Antiqua" w:hAnsi="Book Antiqua" w:cs="Book Antiqua"/>
          <w:color w:val="000000"/>
        </w:rPr>
        <w:t>487).</w:t>
      </w:r>
      <w:r w:rsidR="002B01AF" w:rsidRPr="007A3E30">
        <w:rPr>
          <w:rFonts w:ascii="Book Antiqua" w:eastAsia="Book Antiqua" w:hAnsi="Book Antiqua" w:cs="Book Antiqua"/>
          <w:color w:val="000000"/>
        </w:rPr>
        <w:t xml:space="preserve"> </w:t>
      </w:r>
      <w:r w:rsidR="00CD092E" w:rsidRPr="007A3E30">
        <w:rPr>
          <w:rFonts w:ascii="Book Antiqua" w:eastAsia="Book Antiqua" w:hAnsi="Book Antiqua" w:cs="Book Antiqua"/>
          <w:color w:val="000000"/>
        </w:rPr>
        <w:t>This led to an ICER of NOK 106</w:t>
      </w:r>
      <w:r w:rsidRPr="007A3E30">
        <w:rPr>
          <w:rFonts w:ascii="Book Antiqua" w:eastAsia="Book Antiqua" w:hAnsi="Book Antiqua" w:cs="Book Antiqua"/>
          <w:color w:val="000000"/>
        </w:rPr>
        <w:t xml:space="preserve">451 </w:t>
      </w:r>
      <w:r w:rsidR="00CD092E" w:rsidRPr="007A3E30">
        <w:rPr>
          <w:rFonts w:ascii="Book Antiqua" w:eastAsia="Book Antiqua" w:hAnsi="Book Antiqua" w:cs="Book Antiqua"/>
          <w:color w:val="000000"/>
        </w:rPr>
        <w:t>(EUR 10</w:t>
      </w:r>
      <w:r w:rsidRPr="007A3E30">
        <w:rPr>
          <w:rFonts w:ascii="Book Antiqua" w:eastAsia="Book Antiqua" w:hAnsi="Book Antiqua" w:cs="Book Antiqua"/>
          <w:color w:val="000000"/>
        </w:rPr>
        <w:t>633) per QALY gained. </w:t>
      </w:r>
    </w:p>
    <w:p w14:paraId="5085CCD6" w14:textId="2118692F" w:rsidR="00A77B3E" w:rsidRPr="007A3E30" w:rsidRDefault="00E7670D" w:rsidP="000540F1">
      <w:pPr>
        <w:spacing w:line="360" w:lineRule="auto"/>
        <w:ind w:firstLineChars="100" w:firstLine="240"/>
        <w:jc w:val="both"/>
        <w:rPr>
          <w:rFonts w:ascii="Book Antiqua" w:hAnsi="Book Antiqua"/>
        </w:rPr>
      </w:pPr>
      <w:r w:rsidRPr="007A3E30">
        <w:rPr>
          <w:rFonts w:ascii="Book Antiqua" w:eastAsia="Book Antiqua" w:hAnsi="Book Antiqua" w:cs="Book Antiqua"/>
          <w:color w:val="000000"/>
        </w:rPr>
        <w:t xml:space="preserve">One-way sensitivity analyses revealed that for patients with midgut-NETs cost-effectiveness was most sensitive to changes in drug acquisition costs for both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 xml:space="preserve">Lu-Dotatate and everolimus and also to </w:t>
      </w:r>
      <w:r w:rsidR="006235B7" w:rsidRPr="007A3E30">
        <w:rPr>
          <w:rFonts w:ascii="Book Antiqua" w:eastAsia="Book Antiqua" w:hAnsi="Book Antiqua" w:cs="Book Antiqua"/>
          <w:color w:val="000000"/>
        </w:rPr>
        <w:t xml:space="preserve">the </w:t>
      </w:r>
      <w:r w:rsidRPr="007A3E30">
        <w:rPr>
          <w:rFonts w:ascii="Book Antiqua" w:eastAsia="Book Antiqua" w:hAnsi="Book Antiqua" w:cs="Book Antiqua"/>
          <w:color w:val="000000"/>
        </w:rPr>
        <w:t>utility value assigned to the PFS health state (Figure 2).</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Similarly, for P-NET patients results were most sensitive to changes in drug acquisition costs and changes in assumptions around efficacy. </w:t>
      </w:r>
    </w:p>
    <w:p w14:paraId="38100D47" w14:textId="77777777" w:rsidR="00A77B3E" w:rsidRPr="007A3E30" w:rsidRDefault="00A77B3E" w:rsidP="000540F1">
      <w:pPr>
        <w:spacing w:line="360" w:lineRule="auto"/>
        <w:jc w:val="both"/>
        <w:rPr>
          <w:rFonts w:ascii="Book Antiqua" w:hAnsi="Book Antiqua"/>
        </w:rPr>
      </w:pPr>
    </w:p>
    <w:p w14:paraId="5ADA26F8" w14:textId="77777777" w:rsidR="00A77B3E" w:rsidRPr="007A3E30" w:rsidRDefault="00E7670D" w:rsidP="000540F1">
      <w:pPr>
        <w:spacing w:line="360" w:lineRule="auto"/>
        <w:jc w:val="both"/>
        <w:rPr>
          <w:rFonts w:ascii="Book Antiqua" w:hAnsi="Book Antiqua"/>
          <w:i/>
        </w:rPr>
      </w:pPr>
      <w:r w:rsidRPr="007A3E30">
        <w:rPr>
          <w:rFonts w:ascii="Book Antiqua" w:eastAsia="Book Antiqua" w:hAnsi="Book Antiqua" w:cs="Book Antiqua"/>
          <w:b/>
          <w:bCs/>
          <w:i/>
          <w:color w:val="000000"/>
        </w:rPr>
        <w:t xml:space="preserve">Budget impact of </w:t>
      </w:r>
      <w:r w:rsidRPr="007A3E30">
        <w:rPr>
          <w:rFonts w:ascii="Book Antiqua" w:eastAsia="Book Antiqua" w:hAnsi="Book Antiqua" w:cs="Book Antiqua"/>
          <w:b/>
          <w:bCs/>
          <w:i/>
          <w:color w:val="000000"/>
          <w:vertAlign w:val="superscript"/>
        </w:rPr>
        <w:t>177</w:t>
      </w:r>
      <w:r w:rsidRPr="007A3E30">
        <w:rPr>
          <w:rFonts w:ascii="Book Antiqua" w:eastAsia="Book Antiqua" w:hAnsi="Book Antiqua" w:cs="Book Antiqua"/>
          <w:b/>
          <w:bCs/>
          <w:i/>
          <w:color w:val="000000"/>
        </w:rPr>
        <w:t>Lu-Dotatate</w:t>
      </w:r>
    </w:p>
    <w:p w14:paraId="7E15F18D" w14:textId="500DA60E"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color w:val="000000"/>
        </w:rPr>
        <w:t xml:space="preserve">In Sweden it was assumed that the market share of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for the treatment of patients with GEP-NETs would increase from 30% in Year 1 to 90% in Years 4 and 5 (Table 5).</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In Year 1</w:t>
      </w:r>
      <w:r w:rsidR="006235B7" w:rsidRPr="007A3E30">
        <w:rPr>
          <w:rFonts w:ascii="Book Antiqua" w:eastAsia="Book Antiqua" w:hAnsi="Book Antiqua" w:cs="Book Antiqua"/>
          <w:color w:val="000000"/>
        </w:rPr>
        <w:t>,</w:t>
      </w:r>
      <w:r w:rsidRPr="007A3E30">
        <w:rPr>
          <w:rFonts w:ascii="Book Antiqua" w:eastAsia="Book Antiqua" w:hAnsi="Book Antiqua" w:cs="Book Antiqua"/>
          <w:color w:val="000000"/>
        </w:rPr>
        <w:t xml:space="preserve"> the total budget impact associated with the introduction of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was SEK 17.3 million (EUR 1.6 million), which increased to SEK 52.2 million (EUR 4.8 million) in Years 4 and 5 (Table 5).</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 xml:space="preserve">Over a 5-year period the total budget impact associated with the introduction of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was SEK 202 million (EUR 19 million).</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 xml:space="preserve">In Norway, the market share of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 xml:space="preserve">Lu-Dotatate was assumed to remain at 50% over the 5-year time horizon of the analysis and the annual budget impact associated with the introduction of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was NOK 23.5 million (EUR 2.4 million).</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Over a 5-year time horizon the total budget impact was estimated at NOK 117 million (EUR 11.8 million).</w:t>
      </w:r>
    </w:p>
    <w:p w14:paraId="2AE098EC" w14:textId="733F2E31" w:rsidR="00A77B3E" w:rsidRPr="007A3E30" w:rsidRDefault="00E7670D" w:rsidP="000540F1">
      <w:pPr>
        <w:spacing w:line="360" w:lineRule="auto"/>
        <w:ind w:firstLineChars="100" w:firstLine="240"/>
        <w:jc w:val="both"/>
        <w:rPr>
          <w:rFonts w:ascii="Book Antiqua" w:hAnsi="Book Antiqua"/>
        </w:rPr>
      </w:pPr>
      <w:r w:rsidRPr="007A3E30">
        <w:rPr>
          <w:rFonts w:ascii="Book Antiqua" w:eastAsia="Book Antiqua" w:hAnsi="Book Antiqua" w:cs="Book Antiqua"/>
          <w:color w:val="000000"/>
        </w:rPr>
        <w:t>An additional budget impact analysis was also performed for Denmark.</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 xml:space="preserve">In Denmark, it was assumed that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 xml:space="preserve">Lu-Dotatate would wholly replace lanreotide as a treatment option for GEP-NETs (and that 60 GEP-NET patients per year would be treated with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and the annual budget impact was estimated at DKK 27.2 million (EUR 3.6 million), which led to a total budget impact over 5 years of DKK 136 million (EUR 18.2 million).</w:t>
      </w:r>
    </w:p>
    <w:p w14:paraId="05576264" w14:textId="77777777" w:rsidR="00A77B3E" w:rsidRPr="007A3E30" w:rsidRDefault="00A77B3E" w:rsidP="000540F1">
      <w:pPr>
        <w:spacing w:line="360" w:lineRule="auto"/>
        <w:jc w:val="both"/>
        <w:rPr>
          <w:rFonts w:ascii="Book Antiqua" w:hAnsi="Book Antiqua"/>
        </w:rPr>
      </w:pPr>
    </w:p>
    <w:p w14:paraId="046642D7"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b/>
          <w:caps/>
          <w:color w:val="000000"/>
          <w:u w:val="single"/>
        </w:rPr>
        <w:t>DISCUSSION</w:t>
      </w:r>
    </w:p>
    <w:p w14:paraId="621EE189" w14:textId="13EAD9FE"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color w:val="000000"/>
        </w:rPr>
        <w:t xml:space="preserve">Overall, the findings of long-term cost-effectiveness analyses suggest that in both Sweden and Norway,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is associated with substantial gains in quality-adjusted life expectancy and higher lifetime costs in patients with unresectable/metastatic midgut-NETs or P-NETs.</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 xml:space="preserve">In particular, in both countries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was most cost-effective in patients with P-NETs and was associated with an IC</w:t>
      </w:r>
      <w:r w:rsidR="00FF4383" w:rsidRPr="007A3E30">
        <w:rPr>
          <w:rFonts w:ascii="Book Antiqua" w:eastAsia="Book Antiqua" w:hAnsi="Book Antiqua" w:cs="Book Antiqua"/>
          <w:color w:val="000000"/>
        </w:rPr>
        <w:t>ER below EUR 11</w:t>
      </w:r>
      <w:r w:rsidRPr="007A3E30">
        <w:rPr>
          <w:rFonts w:ascii="Book Antiqua" w:eastAsia="Book Antiqua" w:hAnsi="Book Antiqua" w:cs="Book Antiqua"/>
          <w:color w:val="000000"/>
        </w:rPr>
        <w:t>000 per QALY gained relative to everolimus in both settings.</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There is no official willingness-to-pay (WTP) threshold in Sweden</w:t>
      </w:r>
      <w:r w:rsidR="002219C0" w:rsidRPr="007A3E30">
        <w:rPr>
          <w:rFonts w:ascii="Book Antiqua" w:eastAsia="Book Antiqua" w:hAnsi="Book Antiqua" w:cs="Book Antiqua"/>
          <w:color w:val="000000"/>
        </w:rPr>
        <w:t>,</w:t>
      </w:r>
      <w:r w:rsidRPr="007A3E30">
        <w:rPr>
          <w:rFonts w:ascii="Book Antiqua" w:eastAsia="Book Antiqua" w:hAnsi="Book Antiqua" w:cs="Book Antiqua"/>
          <w:color w:val="000000"/>
        </w:rPr>
        <w:t xml:space="preserve"> in Norway an </w:t>
      </w:r>
      <w:r w:rsidR="00CD092E" w:rsidRPr="007A3E30">
        <w:rPr>
          <w:rFonts w:ascii="Book Antiqua" w:eastAsia="Book Antiqua" w:hAnsi="Book Antiqua" w:cs="Book Antiqua"/>
          <w:color w:val="000000"/>
        </w:rPr>
        <w:t>unofficial threshold of NOK 600000 (EUR 59</w:t>
      </w:r>
      <w:r w:rsidRPr="007A3E30">
        <w:rPr>
          <w:rFonts w:ascii="Book Antiqua" w:eastAsia="Book Antiqua" w:hAnsi="Book Antiqua" w:cs="Book Antiqua"/>
          <w:color w:val="000000"/>
        </w:rPr>
        <w:t>939) per QALY gained is often cited</w:t>
      </w:r>
      <w:r w:rsidRPr="007A3E30">
        <w:rPr>
          <w:rFonts w:ascii="Book Antiqua" w:eastAsia="Book Antiqua" w:hAnsi="Book Antiqua" w:cs="Book Antiqua"/>
          <w:color w:val="000000"/>
          <w:vertAlign w:val="superscript"/>
        </w:rPr>
        <w:t>[31]</w:t>
      </w:r>
      <w:r w:rsidRPr="007A3E30">
        <w:rPr>
          <w:rFonts w:ascii="Book Antiqua" w:eastAsia="Book Antiqua" w:hAnsi="Book Antiqua" w:cs="Book Antiqua"/>
          <w:color w:val="000000"/>
        </w:rPr>
        <w:t xml:space="preserve"> and in high income European coun</w:t>
      </w:r>
      <w:r w:rsidR="00CD092E" w:rsidRPr="007A3E30">
        <w:rPr>
          <w:rFonts w:ascii="Book Antiqua" w:eastAsia="Book Antiqua" w:hAnsi="Book Antiqua" w:cs="Book Antiqua"/>
          <w:color w:val="000000"/>
        </w:rPr>
        <w:t>tries a WTP threshold of EUR 50</w:t>
      </w:r>
      <w:r w:rsidRPr="007A3E30">
        <w:rPr>
          <w:rFonts w:ascii="Book Antiqua" w:eastAsia="Book Antiqua" w:hAnsi="Book Antiqua" w:cs="Book Antiqua"/>
          <w:color w:val="000000"/>
        </w:rPr>
        <w:t>000 per QALY gained</w:t>
      </w:r>
      <w:r w:rsidR="00C219FE" w:rsidRPr="007A3E30">
        <w:rPr>
          <w:rFonts w:ascii="Book Antiqua" w:eastAsia="Book Antiqua" w:hAnsi="Book Antiqua" w:cs="Book Antiqua"/>
          <w:color w:val="000000"/>
        </w:rPr>
        <w:t xml:space="preserve"> is also frequently cited</w:t>
      </w:r>
      <w:r w:rsidRPr="007A3E30">
        <w:rPr>
          <w:rFonts w:ascii="Book Antiqua" w:eastAsia="Book Antiqua" w:hAnsi="Book Antiqua" w:cs="Book Antiqua"/>
          <w:color w:val="000000"/>
        </w:rPr>
        <w:t>.</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 xml:space="preserve">Consequently, applying these commonly applied thresholds,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is likely to be considered cost-effective for the treatment of patients with unresectable or metastatic midgut NETs or P-NETs in both Sweden and Norway. </w:t>
      </w:r>
    </w:p>
    <w:p w14:paraId="55BF1DC9" w14:textId="1299C557" w:rsidR="00A77B3E" w:rsidRPr="007A3E30" w:rsidRDefault="00E7670D" w:rsidP="000540F1">
      <w:pPr>
        <w:spacing w:line="360" w:lineRule="auto"/>
        <w:ind w:firstLineChars="100" w:firstLine="240"/>
        <w:jc w:val="both"/>
        <w:rPr>
          <w:rFonts w:ascii="Book Antiqua" w:hAnsi="Book Antiqua"/>
        </w:rPr>
      </w:pPr>
      <w:r w:rsidRPr="007A3E30">
        <w:rPr>
          <w:rFonts w:ascii="Book Antiqua" w:eastAsia="Book Antiqua" w:hAnsi="Book Antiqua" w:cs="Book Antiqua"/>
          <w:color w:val="000000"/>
        </w:rPr>
        <w:t xml:space="preserve">Although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was shown to be cost-effective in both midgut-NETs and P-NETs the findings in patients with P-NETs may be particularly salient to healthcare payers as historically 5-year survival rates in patients with P-NET have been low relative to patients with GI-NETs</w:t>
      </w:r>
      <w:r w:rsidR="00CD092E" w:rsidRPr="007A3E30">
        <w:rPr>
          <w:rFonts w:ascii="Book Antiqua" w:eastAsia="Book Antiqua" w:hAnsi="Book Antiqua" w:cs="Book Antiqua"/>
          <w:color w:val="000000"/>
          <w:vertAlign w:val="superscript"/>
        </w:rPr>
        <w:t>[32]</w:t>
      </w:r>
      <w:r w:rsidRPr="007A3E30">
        <w:rPr>
          <w:rFonts w:ascii="Book Antiqua" w:eastAsia="Book Antiqua" w:hAnsi="Book Antiqua" w:cs="Book Antiqua"/>
          <w:color w:val="000000"/>
        </w:rPr>
        <w:t>.</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In Sweden, total direct medical costs are also substantially higher for patients with P-NETs compared with patients with small intestine NETs.</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In 2013, annual per patient d</w:t>
      </w:r>
      <w:r w:rsidR="00CD092E" w:rsidRPr="007A3E30">
        <w:rPr>
          <w:rFonts w:ascii="Book Antiqua" w:eastAsia="Book Antiqua" w:hAnsi="Book Antiqua" w:cs="Book Antiqua"/>
          <w:color w:val="000000"/>
        </w:rPr>
        <w:t>irect medical costs were EUR 24</w:t>
      </w:r>
      <w:r w:rsidRPr="007A3E30">
        <w:rPr>
          <w:rFonts w:ascii="Book Antiqua" w:eastAsia="Book Antiqua" w:hAnsi="Book Antiqua" w:cs="Book Antiqua"/>
          <w:color w:val="000000"/>
        </w:rPr>
        <w:t>800 for patients with small inte</w:t>
      </w:r>
      <w:r w:rsidR="00CD092E" w:rsidRPr="007A3E30">
        <w:rPr>
          <w:rFonts w:ascii="Book Antiqua" w:eastAsia="Book Antiqua" w:hAnsi="Book Antiqua" w:cs="Book Antiqua"/>
          <w:color w:val="000000"/>
        </w:rPr>
        <w:t>stine-NETs compared with EUR 37</w:t>
      </w:r>
      <w:r w:rsidRPr="007A3E30">
        <w:rPr>
          <w:rFonts w:ascii="Book Antiqua" w:eastAsia="Book Antiqua" w:hAnsi="Book Antiqua" w:cs="Book Antiqua"/>
          <w:color w:val="000000"/>
        </w:rPr>
        <w:t>300 for patients with P-NETs</w:t>
      </w:r>
      <w:r w:rsidR="00CD092E" w:rsidRPr="007A3E30">
        <w:rPr>
          <w:rFonts w:ascii="Book Antiqua" w:eastAsia="Book Antiqua" w:hAnsi="Book Antiqua" w:cs="Book Antiqua"/>
          <w:color w:val="000000"/>
          <w:vertAlign w:val="superscript"/>
        </w:rPr>
        <w:t>[33]</w:t>
      </w:r>
      <w:r w:rsidRPr="007A3E30">
        <w:rPr>
          <w:rFonts w:ascii="Book Antiqua" w:eastAsia="Book Antiqua" w:hAnsi="Book Antiqua" w:cs="Book Antiqua"/>
          <w:color w:val="000000"/>
        </w:rPr>
        <w:t>.</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Further, overall 54% of direct costs for patients with GEP-NETs were attributable to cancer drugs and on a national level, EUR 5.1 million was spent on pharmacologic agents for the treatment of patients with GEP-NETs</w:t>
      </w:r>
      <w:r w:rsidR="00CD092E" w:rsidRPr="007A3E30">
        <w:rPr>
          <w:rFonts w:ascii="Book Antiqua" w:eastAsia="Book Antiqua" w:hAnsi="Book Antiqua" w:cs="Book Antiqua"/>
          <w:color w:val="000000"/>
          <w:vertAlign w:val="superscript"/>
        </w:rPr>
        <w:t>[33]</w:t>
      </w:r>
      <w:r w:rsidRPr="007A3E30">
        <w:rPr>
          <w:rFonts w:ascii="Book Antiqua" w:eastAsia="Book Antiqua" w:hAnsi="Book Antiqua" w:cs="Book Antiqua"/>
          <w:color w:val="000000"/>
        </w:rPr>
        <w:t>.</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 xml:space="preserve">In terms of budget impact, in Sweden and Denmark overall healthcare </w:t>
      </w:r>
      <w:r w:rsidR="002D17D7" w:rsidRPr="007A3E30">
        <w:rPr>
          <w:rFonts w:ascii="Book Antiqua" w:eastAsia="Book Antiqua" w:hAnsi="Book Antiqua" w:cs="Book Antiqua"/>
          <w:color w:val="000000"/>
        </w:rPr>
        <w:t xml:space="preserve">spending </w:t>
      </w:r>
      <w:r w:rsidRPr="007A3E30">
        <w:rPr>
          <w:rFonts w:ascii="Book Antiqua" w:eastAsia="Book Antiqua" w:hAnsi="Book Antiqua" w:cs="Book Antiqua"/>
          <w:color w:val="000000"/>
        </w:rPr>
        <w:t>on cancer in 2014 was EUR 2.7 billion and EUR 1.2 billion, respectively (comparable data for Norway were not available)</w:t>
      </w:r>
      <w:r w:rsidR="00CD092E" w:rsidRPr="007A3E30">
        <w:rPr>
          <w:rFonts w:ascii="Book Antiqua" w:eastAsia="Book Antiqua" w:hAnsi="Book Antiqua" w:cs="Book Antiqua"/>
          <w:color w:val="000000"/>
          <w:vertAlign w:val="superscript"/>
        </w:rPr>
        <w:t>[15]</w:t>
      </w:r>
      <w:r w:rsidRPr="007A3E30">
        <w:rPr>
          <w:rFonts w:ascii="Book Antiqua" w:eastAsia="Book Antiqua" w:hAnsi="Book Antiqua" w:cs="Book Antiqua"/>
          <w:color w:val="000000"/>
        </w:rPr>
        <w:t>.</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 xml:space="preserve">As such, the budget impact associated with the introduction of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is likely to have only a minimal impact on overall spending on pharmacologic agents used in cancer treatment. </w:t>
      </w:r>
    </w:p>
    <w:p w14:paraId="1FE679C5" w14:textId="6FDC8545" w:rsidR="00A77B3E" w:rsidRPr="007A3E30" w:rsidRDefault="00E7670D" w:rsidP="000540F1">
      <w:pPr>
        <w:spacing w:line="360" w:lineRule="auto"/>
        <w:ind w:firstLineChars="100" w:firstLine="240"/>
        <w:jc w:val="both"/>
        <w:rPr>
          <w:rFonts w:ascii="Book Antiqua" w:hAnsi="Book Antiqua"/>
        </w:rPr>
      </w:pPr>
      <w:r w:rsidRPr="007A3E30">
        <w:rPr>
          <w:rFonts w:ascii="Book Antiqua" w:eastAsia="Book Antiqua" w:hAnsi="Book Antiqua" w:cs="Book Antiqua"/>
          <w:color w:val="000000"/>
        </w:rPr>
        <w:t xml:space="preserve">The findings of the cost-effectiveness analyses presented here align with previously published findings </w:t>
      </w:r>
      <w:r w:rsidR="00D87C27" w:rsidRPr="007A3E30">
        <w:rPr>
          <w:rFonts w:ascii="Book Antiqua" w:eastAsia="Book Antiqua" w:hAnsi="Book Antiqua" w:cs="Book Antiqua"/>
          <w:color w:val="000000"/>
        </w:rPr>
        <w:t>from</w:t>
      </w:r>
      <w:r w:rsidRPr="007A3E30">
        <w:rPr>
          <w:rFonts w:ascii="Book Antiqua" w:eastAsia="Book Antiqua" w:hAnsi="Book Antiqua" w:cs="Book Antiqua"/>
          <w:color w:val="000000"/>
        </w:rPr>
        <w:t xml:space="preserve"> the National Institute for Health and Care Excellence (NICE)</w:t>
      </w:r>
      <w:r w:rsidRPr="007A3E30">
        <w:rPr>
          <w:rFonts w:ascii="Book Antiqua" w:eastAsia="Book Antiqua" w:hAnsi="Book Antiqua" w:cs="Book Antiqua"/>
          <w:color w:val="000000"/>
          <w:vertAlign w:val="superscript"/>
        </w:rPr>
        <w:t>[34]</w:t>
      </w:r>
      <w:r w:rsidRPr="007A3E30">
        <w:rPr>
          <w:rFonts w:ascii="Book Antiqua" w:eastAsia="Book Antiqua" w:hAnsi="Book Antiqua" w:cs="Book Antiqua"/>
          <w:color w:val="000000"/>
        </w:rPr>
        <w:t xml:space="preserve"> and the Scottish Medicines Consortium</w:t>
      </w:r>
      <w:r w:rsidRPr="007A3E30">
        <w:rPr>
          <w:rFonts w:ascii="Book Antiqua" w:eastAsia="Book Antiqua" w:hAnsi="Book Antiqua" w:cs="Book Antiqua"/>
          <w:color w:val="000000"/>
          <w:vertAlign w:val="superscript"/>
        </w:rPr>
        <w:t>[35]</w:t>
      </w:r>
      <w:r w:rsidRPr="007A3E30">
        <w:rPr>
          <w:rFonts w:ascii="Book Antiqua" w:eastAsia="Book Antiqua" w:hAnsi="Book Antiqua" w:cs="Book Antiqua"/>
          <w:color w:val="000000"/>
        </w:rPr>
        <w:t xml:space="preserve"> in the U</w:t>
      </w:r>
      <w:r w:rsidR="00CD092E" w:rsidRPr="007A3E30">
        <w:rPr>
          <w:rFonts w:ascii="Book Antiqua" w:hAnsi="Book Antiqua" w:cs="Book Antiqua"/>
          <w:color w:val="000000"/>
          <w:lang w:eastAsia="zh-CN"/>
        </w:rPr>
        <w:t>nited Kingdom</w:t>
      </w:r>
      <w:r w:rsidRPr="007A3E30">
        <w:rPr>
          <w:rFonts w:ascii="Book Antiqua" w:eastAsia="Book Antiqua" w:hAnsi="Book Antiqua" w:cs="Book Antiqua"/>
          <w:color w:val="000000"/>
        </w:rPr>
        <w:t xml:space="preserve"> as well as findings pub</w:t>
      </w:r>
      <w:r w:rsidR="002B01AF" w:rsidRPr="007A3E30">
        <w:rPr>
          <w:rFonts w:ascii="Book Antiqua" w:eastAsia="Book Antiqua" w:hAnsi="Book Antiqua" w:cs="Book Antiqua"/>
          <w:color w:val="000000"/>
        </w:rPr>
        <w:t>lished by the Tandvårds-</w:t>
      </w:r>
      <w:r w:rsidRPr="007A3E30">
        <w:rPr>
          <w:rFonts w:ascii="Book Antiqua" w:eastAsia="Book Antiqua" w:hAnsi="Book Antiqua" w:cs="Book Antiqua"/>
          <w:color w:val="000000"/>
        </w:rPr>
        <w:t>och läkemedelsförmånsverket (TLV; Dental and Pharmaceutical Benefits Agency) in Sweden.</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 xml:space="preserve">In particular, the NICE assessment reported that for patients with GI-NETs, when compared with everolimus or best supportive care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was considered to be cost-effective and associated with an ICER</w:t>
      </w:r>
      <w:r w:rsidR="002B01AF" w:rsidRPr="007A3E30">
        <w:rPr>
          <w:rFonts w:ascii="Book Antiqua" w:eastAsia="Book Antiqua" w:hAnsi="Book Antiqua" w:cs="Book Antiqua"/>
          <w:color w:val="000000"/>
        </w:rPr>
        <w:t xml:space="preserve"> </w:t>
      </w:r>
      <w:r w:rsidR="00CD092E" w:rsidRPr="007A3E30">
        <w:rPr>
          <w:rFonts w:ascii="Book Antiqua" w:eastAsia="Book Antiqua" w:hAnsi="Book Antiqua" w:cs="Book Antiqua"/>
          <w:color w:val="000000"/>
        </w:rPr>
        <w:t>below the threshold of GBP 30</w:t>
      </w:r>
      <w:r w:rsidRPr="007A3E30">
        <w:rPr>
          <w:rFonts w:ascii="Book Antiqua" w:eastAsia="Book Antiqua" w:hAnsi="Book Antiqua" w:cs="Book Antiqua"/>
          <w:color w:val="000000"/>
        </w:rPr>
        <w:t>000 per QALY gained.</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ICERs were also below GBP 3</w:t>
      </w:r>
      <w:r w:rsidR="00CD092E" w:rsidRPr="007A3E30">
        <w:rPr>
          <w:rFonts w:ascii="Book Antiqua" w:eastAsia="Book Antiqua" w:hAnsi="Book Antiqua" w:cs="Book Antiqua"/>
          <w:color w:val="000000"/>
        </w:rPr>
        <w:t>0</w:t>
      </w:r>
      <w:r w:rsidRPr="007A3E30">
        <w:rPr>
          <w:rFonts w:ascii="Book Antiqua" w:eastAsia="Book Antiqua" w:hAnsi="Book Antiqua" w:cs="Book Antiqua"/>
          <w:color w:val="000000"/>
        </w:rPr>
        <w:t xml:space="preserve">000 per QALY gained </w:t>
      </w:r>
      <w:r w:rsidRPr="007A3E30">
        <w:rPr>
          <w:rFonts w:ascii="Book Antiqua" w:eastAsia="Book Antiqua" w:hAnsi="Book Antiqua" w:cs="Book Antiqua"/>
          <w:i/>
          <w:iCs/>
          <w:color w:val="000000"/>
        </w:rPr>
        <w:t>vs</w:t>
      </w:r>
      <w:r w:rsidRPr="007A3E30">
        <w:rPr>
          <w:rFonts w:ascii="Book Antiqua" w:eastAsia="Book Antiqua" w:hAnsi="Book Antiqua" w:cs="Book Antiqua"/>
          <w:color w:val="000000"/>
        </w:rPr>
        <w:t xml:space="preserve"> everolimus, sunitinib or best supportive care in patients with P-NETs, with the NICE appraisal also noting that for P-NETs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met the criteria for end of life care of extending life expectancy by at least 3 mo</w:t>
      </w:r>
      <w:r w:rsidR="00CD092E" w:rsidRPr="007A3E30">
        <w:rPr>
          <w:rFonts w:ascii="Book Antiqua" w:eastAsia="Book Antiqua" w:hAnsi="Book Antiqua" w:cs="Book Antiqua"/>
          <w:color w:val="000000"/>
          <w:vertAlign w:val="superscript"/>
        </w:rPr>
        <w:t>[34]</w:t>
      </w:r>
      <w:r w:rsidRPr="007A3E30">
        <w:rPr>
          <w:rFonts w:ascii="Book Antiqua" w:eastAsia="Book Antiqua" w:hAnsi="Book Antiqua" w:cs="Book Antiqua"/>
          <w:color w:val="000000"/>
        </w:rPr>
        <w:t>.</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 xml:space="preserve">Additionally, the TLV conducted cost-minimization rather than cost-effectiveness analysis and reported that whilst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was associated with higher costs than everolimus in patients with GI-NETs it was associated with lower costs than both everolimus and sunitinib in patients with P-NETs</w:t>
      </w:r>
      <w:r w:rsidR="00CD092E" w:rsidRPr="007A3E30">
        <w:rPr>
          <w:rFonts w:ascii="Book Antiqua" w:eastAsia="Book Antiqua" w:hAnsi="Book Antiqua" w:cs="Book Antiqua"/>
          <w:color w:val="000000"/>
          <w:vertAlign w:val="superscript"/>
        </w:rPr>
        <w:t>[36]</w:t>
      </w:r>
      <w:r w:rsidRPr="007A3E30">
        <w:rPr>
          <w:rFonts w:ascii="Book Antiqua" w:eastAsia="Book Antiqua" w:hAnsi="Book Antiqua" w:cs="Book Antiqua"/>
          <w:color w:val="000000"/>
        </w:rPr>
        <w:t>.</w:t>
      </w:r>
    </w:p>
    <w:p w14:paraId="67DA348F" w14:textId="51630EAA" w:rsidR="00A77B3E" w:rsidRPr="007A3E30" w:rsidRDefault="00E7670D" w:rsidP="000540F1">
      <w:pPr>
        <w:spacing w:line="360" w:lineRule="auto"/>
        <w:ind w:firstLineChars="100" w:firstLine="240"/>
        <w:jc w:val="both"/>
        <w:rPr>
          <w:rFonts w:ascii="Book Antiqua" w:hAnsi="Book Antiqua"/>
        </w:rPr>
      </w:pPr>
      <w:r w:rsidRPr="007A3E30">
        <w:rPr>
          <w:rFonts w:ascii="Book Antiqua" w:eastAsia="Book Antiqua" w:hAnsi="Book Antiqua" w:cs="Book Antiqua"/>
          <w:color w:val="000000"/>
        </w:rPr>
        <w:t>A key limitation of the current analysis is the use of clinical input data obtained via an indirect comparison.</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 xml:space="preserve">Although everolimus was considered to be the most relevant active comparator for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 xml:space="preserve">Lu-Dotatate, to date, there are no head-to-head trials that directly compare the efficacy and safety of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 xml:space="preserve">Lu-Dotatate with everolimus in patients </w:t>
      </w:r>
      <w:r w:rsidR="00221EDC" w:rsidRPr="007A3E30">
        <w:rPr>
          <w:rFonts w:ascii="Book Antiqua" w:eastAsia="Book Antiqua" w:hAnsi="Book Antiqua" w:cs="Book Antiqua"/>
          <w:color w:val="000000"/>
        </w:rPr>
        <w:t>with</w:t>
      </w:r>
      <w:r w:rsidRPr="007A3E30">
        <w:rPr>
          <w:rFonts w:ascii="Book Antiqua" w:eastAsia="Book Antiqua" w:hAnsi="Book Antiqua" w:cs="Book Antiqua"/>
          <w:color w:val="000000"/>
        </w:rPr>
        <w:t xml:space="preserve"> midgut NETs or P-NETs.</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Consequently, this necessitated the use of data sourced from indirect comparisons, which is inherently associated with a degree of uncertainty.</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 xml:space="preserve">The findings of the indirect comparison used here align with those of a recent systematic review and meta-analysis of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 xml:space="preserve">Lu-Dotatate </w:t>
      </w:r>
      <w:r w:rsidRPr="007A3E30">
        <w:rPr>
          <w:rFonts w:ascii="Book Antiqua" w:eastAsia="Book Antiqua" w:hAnsi="Book Antiqua" w:cs="Book Antiqua"/>
          <w:i/>
          <w:iCs/>
          <w:color w:val="000000"/>
        </w:rPr>
        <w:t>vs</w:t>
      </w:r>
      <w:r w:rsidRPr="007A3E30">
        <w:rPr>
          <w:rFonts w:ascii="Book Antiqua" w:eastAsia="Book Antiqua" w:hAnsi="Book Antiqua" w:cs="Book Antiqua"/>
          <w:color w:val="000000"/>
        </w:rPr>
        <w:t xml:space="preserve"> everolimus in advanced P</w:t>
      </w:r>
      <w:r w:rsidR="00221EDC" w:rsidRPr="007A3E30">
        <w:rPr>
          <w:rFonts w:ascii="Book Antiqua" w:eastAsia="Book Antiqua" w:hAnsi="Book Antiqua" w:cs="Book Antiqua"/>
          <w:color w:val="000000"/>
        </w:rPr>
        <w:t>-</w:t>
      </w:r>
      <w:r w:rsidRPr="007A3E30">
        <w:rPr>
          <w:rFonts w:ascii="Book Antiqua" w:eastAsia="Book Antiqua" w:hAnsi="Book Antiqua" w:cs="Book Antiqua"/>
          <w:color w:val="000000"/>
        </w:rPr>
        <w:t xml:space="preserve">NETs, wherein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was associated with a significantly higher objective response rate, disease control rate and PFS relative to everolimus</w:t>
      </w:r>
      <w:r w:rsidR="00CD092E" w:rsidRPr="007A3E30">
        <w:rPr>
          <w:rFonts w:ascii="Book Antiqua" w:eastAsia="Book Antiqua" w:hAnsi="Book Antiqua" w:cs="Book Antiqua"/>
          <w:color w:val="000000"/>
          <w:vertAlign w:val="superscript"/>
        </w:rPr>
        <w:t>[37]</w:t>
      </w:r>
      <w:r w:rsidRPr="007A3E30">
        <w:rPr>
          <w:rFonts w:ascii="Book Antiqua" w:eastAsia="Book Antiqua" w:hAnsi="Book Antiqua" w:cs="Book Antiqua"/>
          <w:color w:val="000000"/>
        </w:rPr>
        <w:t>.</w:t>
      </w:r>
      <w:r w:rsidR="002B01AF" w:rsidRPr="007A3E30">
        <w:rPr>
          <w:rFonts w:ascii="Book Antiqua" w:eastAsia="Book Antiqua" w:hAnsi="Book Antiqua" w:cs="Book Antiqua"/>
          <w:color w:val="000000"/>
          <w:vertAlign w:val="superscript"/>
        </w:rPr>
        <w:t xml:space="preserve"> </w:t>
      </w:r>
      <w:r w:rsidRPr="007A3E30">
        <w:rPr>
          <w:rFonts w:ascii="Book Antiqua" w:eastAsia="Book Antiqua" w:hAnsi="Book Antiqua" w:cs="Book Antiqua"/>
          <w:color w:val="000000"/>
        </w:rPr>
        <w:t xml:space="preserve">Additionally, although the analysis included the incidence of grade 3–4 </w:t>
      </w:r>
      <w:r w:rsidR="001772C9" w:rsidRPr="007A3E30">
        <w:rPr>
          <w:rFonts w:ascii="Book Antiqua" w:eastAsia="Book Antiqua" w:hAnsi="Book Antiqua" w:cs="Book Antiqua"/>
          <w:color w:val="000000"/>
        </w:rPr>
        <w:t>AEs</w:t>
      </w:r>
      <w:r w:rsidRPr="007A3E30">
        <w:rPr>
          <w:rFonts w:ascii="Book Antiqua" w:eastAsia="Book Antiqua" w:hAnsi="Book Antiqua" w:cs="Book Antiqua"/>
          <w:color w:val="000000"/>
        </w:rPr>
        <w:t xml:space="preserve"> it did not account for long-term persistent hematologic dysfunction that has recently been reported in a small proportion of GEP-NET patients undergoing treatment with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 xml:space="preserve">A recent real-world analysis reported that 4% of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Lu-Dotatate-treated GEP-NET patients experienced persistent hematologic dysfunction, occurring at a median of 41 mo post-treatment</w:t>
      </w:r>
      <w:r w:rsidRPr="007A3E30">
        <w:rPr>
          <w:rFonts w:ascii="Book Antiqua" w:eastAsia="Book Antiqua" w:hAnsi="Book Antiqua" w:cs="Book Antiqua"/>
          <w:color w:val="000000"/>
          <w:vertAlign w:val="superscript"/>
        </w:rPr>
        <w:t>[38]</w:t>
      </w:r>
      <w:r w:rsidRPr="007A3E30">
        <w:rPr>
          <w:rFonts w:ascii="Book Antiqua" w:eastAsia="Book Antiqua" w:hAnsi="Book Antiqua" w:cs="Book Antiqua"/>
          <w:color w:val="000000"/>
        </w:rPr>
        <w:t>, the costs and clinical implication of which should be considered in future analyses.</w:t>
      </w:r>
      <w:r w:rsidR="002B01AF" w:rsidRPr="007A3E30">
        <w:rPr>
          <w:rFonts w:ascii="Book Antiqua" w:eastAsia="Book Antiqua" w:hAnsi="Book Antiqua" w:cs="Book Antiqua"/>
          <w:color w:val="000000"/>
        </w:rPr>
        <w:t xml:space="preserve"> </w:t>
      </w:r>
    </w:p>
    <w:p w14:paraId="391F426B" w14:textId="21D42086" w:rsidR="00A77B3E" w:rsidRPr="007A3E30" w:rsidRDefault="00E7670D" w:rsidP="000540F1">
      <w:pPr>
        <w:spacing w:line="360" w:lineRule="auto"/>
        <w:ind w:firstLineChars="100" w:firstLine="240"/>
        <w:jc w:val="both"/>
        <w:rPr>
          <w:rFonts w:ascii="Book Antiqua" w:hAnsi="Book Antiqua"/>
        </w:rPr>
      </w:pPr>
      <w:r w:rsidRPr="007A3E30">
        <w:rPr>
          <w:rFonts w:ascii="Book Antiqua" w:eastAsia="Book Antiqua" w:hAnsi="Book Antiqua" w:cs="Book Antiqua"/>
          <w:color w:val="000000"/>
        </w:rPr>
        <w:t>A further limitation in the analysis in patients with P-NETs is that only everolimus was included as a relevant comparator, based on clinical practice utilization patterns and input from local clinicians.</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In Europe, the tyrosine kinase inhibitor sunitinib is indicated for use in the treatment of patients with unresectable or metastatic, well differentiated P-NETs experiencing disease progression</w:t>
      </w:r>
      <w:r w:rsidR="00CD092E" w:rsidRPr="007A3E30">
        <w:rPr>
          <w:rFonts w:ascii="Book Antiqua" w:eastAsia="Book Antiqua" w:hAnsi="Book Antiqua" w:cs="Book Antiqua"/>
          <w:color w:val="000000"/>
          <w:vertAlign w:val="superscript"/>
        </w:rPr>
        <w:t>[39]</w:t>
      </w:r>
      <w:r w:rsidRPr="007A3E30">
        <w:rPr>
          <w:rFonts w:ascii="Book Antiqua" w:eastAsia="Book Antiqua" w:hAnsi="Book Antiqua" w:cs="Book Antiqua"/>
          <w:color w:val="000000"/>
        </w:rPr>
        <w:t>.</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 xml:space="preserve">However, as with everolimus, head-to-head clinical data comparing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with sunitinib are currently lacking.</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Evidence from two different matching-adjusted indirect comparisons, which adjusted for differences in baseline patient prognostic factors between trials, reported that sunitinib and everolimus were associated with similar PFS and OS in P-NET</w:t>
      </w:r>
      <w:r w:rsidR="00CD092E" w:rsidRPr="007A3E30">
        <w:rPr>
          <w:rFonts w:ascii="Book Antiqua" w:eastAsia="Book Antiqua" w:hAnsi="Book Antiqua" w:cs="Book Antiqua"/>
          <w:color w:val="000000"/>
          <w:vertAlign w:val="superscript"/>
        </w:rPr>
        <w:t>[40,41]</w:t>
      </w:r>
      <w:r w:rsidRPr="007A3E30">
        <w:rPr>
          <w:rFonts w:ascii="Book Antiqua" w:eastAsia="Book Antiqua" w:hAnsi="Book Antiqua" w:cs="Book Antiqua"/>
          <w:color w:val="000000"/>
        </w:rPr>
        <w:t>.</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Drug acquisition costs for everolimus and sunitinib were also similar in both Sweden and Norway.</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 xml:space="preserve">It is therefore feasible that given the similar efficacy profile and costs the cost-effectiveness profile of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 xml:space="preserve">Lu-Dotatate </w:t>
      </w:r>
      <w:r w:rsidRPr="007A3E30">
        <w:rPr>
          <w:rFonts w:ascii="Book Antiqua" w:eastAsia="Book Antiqua" w:hAnsi="Book Antiqua" w:cs="Book Antiqua"/>
          <w:i/>
          <w:iCs/>
          <w:color w:val="000000"/>
        </w:rPr>
        <w:t>vs</w:t>
      </w:r>
      <w:r w:rsidRPr="007A3E30">
        <w:rPr>
          <w:rFonts w:ascii="Book Antiqua" w:eastAsia="Book Antiqua" w:hAnsi="Book Antiqua" w:cs="Book Antiqua"/>
          <w:color w:val="000000"/>
        </w:rPr>
        <w:t xml:space="preserve"> sunitinib would be similar to that of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 xml:space="preserve">Lu-Dotatate </w:t>
      </w:r>
      <w:r w:rsidRPr="007A3E30">
        <w:rPr>
          <w:rFonts w:ascii="Book Antiqua" w:eastAsia="Book Antiqua" w:hAnsi="Book Antiqua" w:cs="Book Antiqua"/>
          <w:i/>
          <w:iCs/>
          <w:color w:val="000000"/>
        </w:rPr>
        <w:t>vs</w:t>
      </w:r>
      <w:r w:rsidRPr="007A3E30">
        <w:rPr>
          <w:rFonts w:ascii="Book Antiqua" w:eastAsia="Book Antiqua" w:hAnsi="Book Antiqua" w:cs="Book Antiqua"/>
          <w:color w:val="000000"/>
        </w:rPr>
        <w:t xml:space="preserve"> everolimus. </w:t>
      </w:r>
    </w:p>
    <w:p w14:paraId="7F43CEFF" w14:textId="5FB30E5F" w:rsidR="00A77B3E" w:rsidRPr="007A3E30" w:rsidRDefault="00E7670D" w:rsidP="000540F1">
      <w:pPr>
        <w:spacing w:line="360" w:lineRule="auto"/>
        <w:ind w:firstLineChars="100" w:firstLine="240"/>
        <w:jc w:val="both"/>
        <w:rPr>
          <w:rFonts w:ascii="Book Antiqua" w:hAnsi="Book Antiqua"/>
        </w:rPr>
      </w:pPr>
      <w:r w:rsidRPr="007A3E30">
        <w:rPr>
          <w:rFonts w:ascii="Book Antiqua" w:eastAsia="Book Antiqua" w:hAnsi="Book Antiqua" w:cs="Book Antiqua"/>
          <w:color w:val="000000"/>
        </w:rPr>
        <w:t>Additionally, although Nordic guidelines</w:t>
      </w:r>
      <w:r w:rsidRPr="007A3E30">
        <w:rPr>
          <w:rFonts w:ascii="Book Antiqua" w:eastAsia="Book Antiqua" w:hAnsi="Book Antiqua" w:cs="Book Antiqua"/>
          <w:color w:val="000000"/>
          <w:vertAlign w:val="superscript"/>
        </w:rPr>
        <w:t>[3]</w:t>
      </w:r>
      <w:r w:rsidRPr="007A3E30">
        <w:rPr>
          <w:rFonts w:ascii="Book Antiqua" w:eastAsia="Book Antiqua" w:hAnsi="Book Antiqua" w:cs="Book Antiqua"/>
          <w:color w:val="000000"/>
        </w:rPr>
        <w:t xml:space="preserve"> relating the treatment of patients with GEP-NETs were published prior to the approval of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European guidelines advocate the use of PRRT as a treatment option for patients with metastatic midgut-NETs or P-NETs</w:t>
      </w:r>
      <w:r w:rsidRPr="007A3E30">
        <w:rPr>
          <w:rFonts w:ascii="Book Antiqua" w:eastAsia="Book Antiqua" w:hAnsi="Book Antiqua" w:cs="Book Antiqua"/>
          <w:color w:val="000000"/>
          <w:vertAlign w:val="superscript"/>
        </w:rPr>
        <w:t>[28]</w:t>
      </w:r>
      <w:r w:rsidR="002B01AF" w:rsidRPr="007A3E30">
        <w:rPr>
          <w:rFonts w:ascii="Book Antiqua" w:eastAsia="Book Antiqua" w:hAnsi="Book Antiqua" w:cs="Book Antiqua"/>
          <w:color w:val="000000"/>
          <w:vertAlign w:val="superscript"/>
        </w:rPr>
        <w:t xml:space="preserve"> </w:t>
      </w:r>
      <w:r w:rsidRPr="007A3E30">
        <w:rPr>
          <w:rFonts w:ascii="Book Antiqua" w:eastAsia="Book Antiqua" w:hAnsi="Book Antiqua" w:cs="Book Antiqua"/>
          <w:color w:val="000000"/>
        </w:rPr>
        <w:t>and the findings of the NETTER-1 and ERAMUS trials lend further credence to the clinical evidence base for these recommendations. </w:t>
      </w:r>
    </w:p>
    <w:p w14:paraId="6768FB74" w14:textId="66097D3E" w:rsidR="00A77B3E" w:rsidRPr="007A3E30" w:rsidRDefault="00E7670D" w:rsidP="000540F1">
      <w:pPr>
        <w:spacing w:line="360" w:lineRule="auto"/>
        <w:ind w:firstLineChars="100" w:firstLine="240"/>
        <w:jc w:val="both"/>
        <w:rPr>
          <w:rFonts w:ascii="Book Antiqua" w:hAnsi="Book Antiqua"/>
        </w:rPr>
      </w:pPr>
      <w:r w:rsidRPr="007A3E30">
        <w:rPr>
          <w:rFonts w:ascii="Book Antiqua" w:eastAsia="Book Antiqua" w:hAnsi="Book Antiqua" w:cs="Book Antiqua"/>
          <w:color w:val="000000"/>
        </w:rPr>
        <w:t>For consistency, the analyses in both Sweden in Norway were performed from the healthcare payer perspective.</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In Sweden reimbursement decisions are based on analyses performed from a societal perspective, which takes into account indirect costs associated with lost productivity.</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However, the mean age of patients in the simulated cohort was 63.7 years.</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In Sweden, the minimum retirement age is 61 years and the mean age at retirement was 64.5 years in 2016</w:t>
      </w:r>
      <w:r w:rsidR="00326E1D" w:rsidRPr="007A3E30">
        <w:rPr>
          <w:rFonts w:ascii="Book Antiqua" w:eastAsia="Book Antiqua" w:hAnsi="Book Antiqua" w:cs="Book Antiqua"/>
          <w:color w:val="000000"/>
          <w:vertAlign w:val="superscript"/>
        </w:rPr>
        <w:t>[42]</w:t>
      </w:r>
      <w:r w:rsidRPr="007A3E30">
        <w:rPr>
          <w:rFonts w:ascii="Book Antiqua" w:eastAsia="Book Antiqua" w:hAnsi="Book Antiqua" w:cs="Book Antiqua"/>
          <w:color w:val="000000"/>
        </w:rPr>
        <w:t>.</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As such is it unlikely that the inclusion of indirect costs associated with lost productivity in this population would have a notable impact on the conclusions of the analysis.</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 xml:space="preserve">Further, both PFS and OS were projected to be longer for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 xml:space="preserve">Lu-Dotatate patients, suggesting that the inclusion of indirect costs would likely further reduce the ICER for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 xml:space="preserve">Lu-Dotatate </w:t>
      </w:r>
      <w:r w:rsidRPr="007A3E30">
        <w:rPr>
          <w:rFonts w:ascii="Book Antiqua" w:eastAsia="Book Antiqua" w:hAnsi="Book Antiqua" w:cs="Book Antiqua"/>
          <w:i/>
          <w:iCs/>
          <w:color w:val="000000"/>
        </w:rPr>
        <w:t>vs</w:t>
      </w:r>
      <w:r w:rsidRPr="007A3E30">
        <w:rPr>
          <w:rFonts w:ascii="Book Antiqua" w:eastAsia="Book Antiqua" w:hAnsi="Book Antiqua" w:cs="Book Antiqua"/>
          <w:color w:val="000000"/>
        </w:rPr>
        <w:t xml:space="preserve"> everolimus and as such the analysis was conservative.</w:t>
      </w:r>
    </w:p>
    <w:p w14:paraId="418383DB" w14:textId="77777777" w:rsidR="00A77B3E" w:rsidRPr="007A3E30" w:rsidRDefault="00A77B3E" w:rsidP="000540F1">
      <w:pPr>
        <w:spacing w:line="360" w:lineRule="auto"/>
        <w:jc w:val="both"/>
        <w:rPr>
          <w:rFonts w:ascii="Book Antiqua" w:hAnsi="Book Antiqua"/>
          <w:lang w:eastAsia="zh-CN"/>
        </w:rPr>
      </w:pPr>
    </w:p>
    <w:p w14:paraId="6D6645EB"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b/>
          <w:caps/>
          <w:color w:val="000000"/>
          <w:u w:val="single"/>
        </w:rPr>
        <w:t>CONCLUSION</w:t>
      </w:r>
    </w:p>
    <w:p w14:paraId="07952EA7"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color w:val="000000"/>
        </w:rPr>
        <w:t xml:space="preserve">Overall, the findings of life-long cost-effectiveness analyses for both Sweden and Norway indicate that owing to improved survival outcomes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Lu-Dotate is likely to be cost-effective and associated with minimal budget impact relative to everolimus for the treatment of patients with unresectable or metastatic progressive midgut-NETs or P-NETs. </w:t>
      </w:r>
    </w:p>
    <w:p w14:paraId="012B6DE6" w14:textId="77777777" w:rsidR="00A77B3E" w:rsidRPr="007A3E30" w:rsidRDefault="00A77B3E" w:rsidP="000540F1">
      <w:pPr>
        <w:spacing w:line="360" w:lineRule="auto"/>
        <w:jc w:val="both"/>
        <w:rPr>
          <w:rFonts w:ascii="Book Antiqua" w:hAnsi="Book Antiqua"/>
          <w:lang w:eastAsia="zh-CN"/>
        </w:rPr>
      </w:pPr>
    </w:p>
    <w:p w14:paraId="7A23D0FD"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b/>
          <w:caps/>
          <w:color w:val="000000"/>
          <w:u w:val="single"/>
        </w:rPr>
        <w:t>ARTICLE HIGHLIGHTS</w:t>
      </w:r>
    </w:p>
    <w:p w14:paraId="4B158235"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b/>
          <w:i/>
          <w:color w:val="000000"/>
        </w:rPr>
        <w:t>Research background</w:t>
      </w:r>
    </w:p>
    <w:p w14:paraId="1330F9DB" w14:textId="205ED63F" w:rsidR="00A77B3E" w:rsidRPr="007A3E30" w:rsidRDefault="00CD092E" w:rsidP="000540F1">
      <w:pPr>
        <w:spacing w:line="360" w:lineRule="auto"/>
        <w:jc w:val="both"/>
        <w:rPr>
          <w:rFonts w:ascii="Book Antiqua" w:hAnsi="Book Antiqua"/>
        </w:rPr>
      </w:pPr>
      <w:bookmarkStart w:id="14" w:name="OLE_LINK200"/>
      <w:bookmarkStart w:id="15" w:name="OLE_LINK201"/>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w:t>
      </w:r>
      <w:r w:rsidRPr="007A3E30">
        <w:rPr>
          <w:rFonts w:ascii="Book Antiqua" w:hAnsi="Book Antiqua" w:cs="Book Antiqua"/>
          <w:color w:val="000000"/>
          <w:lang w:eastAsia="zh-CN"/>
        </w:rPr>
        <w:t xml:space="preserve"> </w:t>
      </w:r>
      <w:r w:rsidRPr="007A3E30">
        <w:rPr>
          <w:rFonts w:ascii="Book Antiqua" w:eastAsia="Book Antiqua" w:hAnsi="Book Antiqua" w:cs="Book Antiqua"/>
          <w:color w:val="000000"/>
        </w:rPr>
        <w:t>oxodotreotide</w:t>
      </w:r>
      <w:r w:rsidRPr="007A3E30">
        <w:rPr>
          <w:rFonts w:ascii="Book Antiqua" w:eastAsia="Book Antiqua" w:hAnsi="Book Antiqua" w:cs="Book Antiqua"/>
          <w:color w:val="000000"/>
          <w:vertAlign w:val="superscript"/>
        </w:rPr>
        <w:t xml:space="preserve"> </w:t>
      </w:r>
      <w:r w:rsidRPr="007A3E30">
        <w:rPr>
          <w:rFonts w:ascii="Book Antiqua" w:hAnsi="Book Antiqua" w:cs="Book Antiqua"/>
          <w:color w:val="000000"/>
          <w:lang w:eastAsia="zh-CN"/>
        </w:rPr>
        <w:t>(</w:t>
      </w:r>
      <w:r w:rsidR="00E7670D" w:rsidRPr="007A3E30">
        <w:rPr>
          <w:rFonts w:ascii="Book Antiqua" w:eastAsia="Book Antiqua" w:hAnsi="Book Antiqua" w:cs="Book Antiqua"/>
          <w:color w:val="000000"/>
          <w:vertAlign w:val="superscript"/>
        </w:rPr>
        <w:t>177</w:t>
      </w:r>
      <w:r w:rsidR="00E7670D" w:rsidRPr="007A3E30">
        <w:rPr>
          <w:rFonts w:ascii="Book Antiqua" w:eastAsia="Book Antiqua" w:hAnsi="Book Antiqua" w:cs="Book Antiqua"/>
          <w:color w:val="000000"/>
        </w:rPr>
        <w:t>Lu-Dotatate</w:t>
      </w:r>
      <w:r w:rsidRPr="007A3E30">
        <w:rPr>
          <w:rFonts w:ascii="Book Antiqua" w:hAnsi="Book Antiqua" w:cs="Book Antiqua"/>
          <w:color w:val="000000"/>
          <w:lang w:eastAsia="zh-CN"/>
        </w:rPr>
        <w:t>)</w:t>
      </w:r>
      <w:r w:rsidR="00E7670D" w:rsidRPr="007A3E30">
        <w:rPr>
          <w:rFonts w:ascii="Book Antiqua" w:eastAsia="Book Antiqua" w:hAnsi="Book Antiqua" w:cs="Book Antiqua"/>
          <w:color w:val="000000"/>
        </w:rPr>
        <w:t xml:space="preserve"> is a peptide receptor radionuclide therapy</w:t>
      </w:r>
      <w:r w:rsidR="00335AFF" w:rsidRPr="007A3E30">
        <w:rPr>
          <w:rFonts w:ascii="Book Antiqua" w:hAnsi="Book Antiqua" w:cs="Book Antiqua"/>
          <w:color w:val="000000"/>
          <w:lang w:eastAsia="zh-CN"/>
        </w:rPr>
        <w:t xml:space="preserve"> </w:t>
      </w:r>
      <w:r w:rsidR="00E7670D" w:rsidRPr="007A3E30">
        <w:rPr>
          <w:rFonts w:ascii="Book Antiqua" w:eastAsia="Book Antiqua" w:hAnsi="Book Antiqua" w:cs="Book Antiqua"/>
          <w:color w:val="000000"/>
        </w:rPr>
        <w:t>that was approved for use in Europe in 2017.</w:t>
      </w:r>
      <w:r w:rsidR="002B01AF" w:rsidRPr="007A3E30">
        <w:rPr>
          <w:rFonts w:ascii="Book Antiqua" w:eastAsia="Book Antiqua" w:hAnsi="Book Antiqua" w:cs="Book Antiqua"/>
          <w:color w:val="000000"/>
        </w:rPr>
        <w:t xml:space="preserve"> </w:t>
      </w:r>
      <w:r w:rsidR="00E7670D" w:rsidRPr="007A3E30">
        <w:rPr>
          <w:rFonts w:ascii="Book Antiqua" w:eastAsia="Book Antiqua" w:hAnsi="Book Antiqua" w:cs="Book Antiqua"/>
          <w:color w:val="000000"/>
        </w:rPr>
        <w:t xml:space="preserve">Findings from the phase III NETTER-1 trial, conducted in patients with advanced, progressive, somatostatin-receptor-positive midgut neuroendocrine tumors (NETs) showed that the use of </w:t>
      </w:r>
      <w:r w:rsidR="00E7670D" w:rsidRPr="007A3E30">
        <w:rPr>
          <w:rFonts w:ascii="Book Antiqua" w:eastAsia="Book Antiqua" w:hAnsi="Book Antiqua" w:cs="Book Antiqua"/>
          <w:color w:val="000000"/>
          <w:vertAlign w:val="superscript"/>
        </w:rPr>
        <w:t>177</w:t>
      </w:r>
      <w:r w:rsidR="00E7670D" w:rsidRPr="007A3E30">
        <w:rPr>
          <w:rFonts w:ascii="Book Antiqua" w:eastAsia="Book Antiqua" w:hAnsi="Book Antiqua" w:cs="Book Antiqua"/>
          <w:color w:val="000000"/>
        </w:rPr>
        <w:t>Lu-Dotatate in combination with best supportive care with octreotide long-acting release (LAR) 30 mg resulted in a significant benefit in terms of both progression-free survival (PFS) and overall survival (OS) compared with octreotide LAR 60 mg.</w:t>
      </w:r>
    </w:p>
    <w:bookmarkEnd w:id="14"/>
    <w:bookmarkEnd w:id="15"/>
    <w:p w14:paraId="58EE0ECA" w14:textId="77777777" w:rsidR="00A77B3E" w:rsidRPr="007A3E30" w:rsidRDefault="00A77B3E" w:rsidP="000540F1">
      <w:pPr>
        <w:spacing w:line="360" w:lineRule="auto"/>
        <w:jc w:val="both"/>
        <w:rPr>
          <w:rFonts w:ascii="Book Antiqua" w:hAnsi="Book Antiqua"/>
        </w:rPr>
      </w:pPr>
    </w:p>
    <w:p w14:paraId="3FBA391E"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b/>
          <w:i/>
          <w:color w:val="000000"/>
        </w:rPr>
        <w:t>Research motivation</w:t>
      </w:r>
    </w:p>
    <w:p w14:paraId="662E16A7"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color w:val="000000"/>
        </w:rPr>
        <w:t>Health systems frequently have to operate within finite budgetary constraints; therefore, it is important to establish not only the efficacy but also the long-term cost-effectiveness of new treatments as they are introduced into the healthcare system.</w:t>
      </w:r>
    </w:p>
    <w:p w14:paraId="1127EDF2" w14:textId="77777777" w:rsidR="00A77B3E" w:rsidRPr="007A3E30" w:rsidRDefault="00A77B3E" w:rsidP="000540F1">
      <w:pPr>
        <w:spacing w:line="360" w:lineRule="auto"/>
        <w:jc w:val="both"/>
        <w:rPr>
          <w:rFonts w:ascii="Book Antiqua" w:hAnsi="Book Antiqua"/>
        </w:rPr>
      </w:pPr>
    </w:p>
    <w:p w14:paraId="43E01842"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b/>
          <w:i/>
          <w:color w:val="000000"/>
        </w:rPr>
        <w:t>Research objectives</w:t>
      </w:r>
    </w:p>
    <w:p w14:paraId="070F706D"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color w:val="000000"/>
        </w:rPr>
        <w:t xml:space="preserve">The objective of the analysis was to establish the long-term cost-effectiveness of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compared with everolimus in patients with unresectable or metastatic midgut-NETs or pancreatic-NETs (P-NETs) in both Sweden and Norway. </w:t>
      </w:r>
    </w:p>
    <w:p w14:paraId="7658ADE8" w14:textId="77777777" w:rsidR="00A77B3E" w:rsidRPr="007A3E30" w:rsidRDefault="00A77B3E" w:rsidP="000540F1">
      <w:pPr>
        <w:spacing w:line="360" w:lineRule="auto"/>
        <w:jc w:val="both"/>
        <w:rPr>
          <w:rFonts w:ascii="Book Antiqua" w:hAnsi="Book Antiqua"/>
        </w:rPr>
      </w:pPr>
    </w:p>
    <w:p w14:paraId="431492D8"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b/>
          <w:i/>
          <w:color w:val="000000"/>
        </w:rPr>
        <w:t>Research methods</w:t>
      </w:r>
    </w:p>
    <w:p w14:paraId="07524229" w14:textId="592D5F31"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color w:val="000000"/>
        </w:rPr>
        <w:t>Cost-effectiveness analysis was performed using a three-state partitioned survival model, which allows for the independent modeling of PFS and OS and the extrapolation of clinical data beyond the time frame of a clinical trial.</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 xml:space="preserve">In the absence of head-to-head trials clinical input data used in the model were sourced from an indirect comparison using input data from trials of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and everolimus. </w:t>
      </w:r>
    </w:p>
    <w:p w14:paraId="79C0E2A0" w14:textId="77777777" w:rsidR="00A77B3E" w:rsidRPr="007A3E30" w:rsidRDefault="00A77B3E" w:rsidP="000540F1">
      <w:pPr>
        <w:spacing w:line="360" w:lineRule="auto"/>
        <w:jc w:val="both"/>
        <w:rPr>
          <w:rFonts w:ascii="Book Antiqua" w:hAnsi="Book Antiqua"/>
        </w:rPr>
      </w:pPr>
    </w:p>
    <w:p w14:paraId="77C31C1E"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b/>
          <w:i/>
          <w:color w:val="000000"/>
        </w:rPr>
        <w:t>Research results</w:t>
      </w:r>
    </w:p>
    <w:p w14:paraId="131A9ED1" w14:textId="370E9B81"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color w:val="000000"/>
        </w:rPr>
        <w:t xml:space="preserve">In both Sweden and Norway, treatment with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 xml:space="preserve">Lu-Dotatate was associated with an incremental gain in quality-adjusted life expectancy relative to everolimus for both midgut-NETs and P-NETs, which was driven by projected improvements in PFS and OS associated with the use of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 xml:space="preserve">For Sweden, improved survival outcomes and higher lifetime costs with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resulted in an incremental cost-effect</w:t>
      </w:r>
      <w:r w:rsidR="00AD64FF" w:rsidRPr="007A3E30">
        <w:rPr>
          <w:rFonts w:ascii="Book Antiqua" w:eastAsia="Book Antiqua" w:hAnsi="Book Antiqua" w:cs="Book Antiqua"/>
          <w:color w:val="000000"/>
        </w:rPr>
        <w:t>iveness ratio (ICER) of SEK 391</w:t>
      </w:r>
      <w:r w:rsidRPr="007A3E30">
        <w:rPr>
          <w:rFonts w:ascii="Book Antiqua" w:eastAsia="Book Antiqua" w:hAnsi="Book Antiqua" w:cs="Book Antiqua"/>
          <w:color w:val="000000"/>
        </w:rPr>
        <w:t>194 per quality-adjusted life year (QALY) ga</w:t>
      </w:r>
      <w:r w:rsidR="00AD64FF" w:rsidRPr="007A3E30">
        <w:rPr>
          <w:rFonts w:ascii="Book Antiqua" w:eastAsia="Book Antiqua" w:hAnsi="Book Antiqua" w:cs="Book Antiqua"/>
          <w:color w:val="000000"/>
        </w:rPr>
        <w:t>ined for midgut NETs and SEK 16</w:t>
      </w:r>
      <w:r w:rsidRPr="007A3E30">
        <w:rPr>
          <w:rFonts w:ascii="Book Antiqua" w:eastAsia="Book Antiqua" w:hAnsi="Book Antiqua" w:cs="Book Antiqua"/>
          <w:color w:val="000000"/>
        </w:rPr>
        <w:t xml:space="preserve">764 per QALY gained for P-NETs for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compared with everolimus.</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For Norway the c</w:t>
      </w:r>
      <w:r w:rsidR="00AD64FF" w:rsidRPr="007A3E30">
        <w:rPr>
          <w:rFonts w:ascii="Book Antiqua" w:eastAsia="Book Antiqua" w:hAnsi="Book Antiqua" w:cs="Book Antiqua"/>
          <w:color w:val="000000"/>
        </w:rPr>
        <w:t>orresponding ICERs were NOK 244</w:t>
      </w:r>
      <w:r w:rsidRPr="007A3E30">
        <w:rPr>
          <w:rFonts w:ascii="Book Antiqua" w:eastAsia="Book Antiqua" w:hAnsi="Book Antiqua" w:cs="Book Antiqua"/>
          <w:color w:val="000000"/>
        </w:rPr>
        <w:t>444 per QALY gained for midgut NETs and NOK 106,451 per QALY gained for P-NETs. </w:t>
      </w:r>
    </w:p>
    <w:p w14:paraId="7F4B6B66" w14:textId="77777777" w:rsidR="00A77B3E" w:rsidRPr="007A3E30" w:rsidRDefault="00A77B3E" w:rsidP="000540F1">
      <w:pPr>
        <w:spacing w:line="360" w:lineRule="auto"/>
        <w:jc w:val="both"/>
        <w:rPr>
          <w:rFonts w:ascii="Book Antiqua" w:hAnsi="Book Antiqua"/>
        </w:rPr>
      </w:pPr>
    </w:p>
    <w:p w14:paraId="0B642018"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b/>
          <w:i/>
          <w:color w:val="000000"/>
        </w:rPr>
        <w:t>Research conclusions</w:t>
      </w:r>
    </w:p>
    <w:p w14:paraId="1B2FEBE6"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color w:val="000000"/>
        </w:rPr>
        <w:t xml:space="preserve">In both Sweden and Norway,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is likely to be considered cost-effective relative to everolimus for the treatment of patients with unresectable or metastatic, progressive midgut-NETs or P-NETs when considered from the perspective of the healthcare payer. </w:t>
      </w:r>
    </w:p>
    <w:p w14:paraId="18798C5B" w14:textId="77777777" w:rsidR="00A77B3E" w:rsidRPr="007A3E30" w:rsidRDefault="00A77B3E" w:rsidP="000540F1">
      <w:pPr>
        <w:spacing w:line="360" w:lineRule="auto"/>
        <w:jc w:val="both"/>
        <w:rPr>
          <w:rFonts w:ascii="Book Antiqua" w:hAnsi="Book Antiqua"/>
        </w:rPr>
      </w:pPr>
    </w:p>
    <w:p w14:paraId="0A0A4293"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b/>
          <w:i/>
          <w:color w:val="000000"/>
        </w:rPr>
        <w:t>Research perspectives</w:t>
      </w:r>
    </w:p>
    <w:p w14:paraId="46A8A7C4"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color w:val="000000"/>
        </w:rPr>
        <w:t xml:space="preserve">Based on clinical data derived through indirect comparison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Lu-Dotatate is likely to be a cost-effective treatment option relative to everolimus for patients with midgut NETs or P-NETs based in Sweden or Norway. </w:t>
      </w:r>
    </w:p>
    <w:p w14:paraId="4F38E40B" w14:textId="77777777" w:rsidR="00A77B3E" w:rsidRPr="007A3E30" w:rsidRDefault="00A77B3E" w:rsidP="000540F1">
      <w:pPr>
        <w:spacing w:line="360" w:lineRule="auto"/>
        <w:jc w:val="both"/>
        <w:rPr>
          <w:rFonts w:ascii="Book Antiqua" w:hAnsi="Book Antiqua"/>
        </w:rPr>
      </w:pPr>
    </w:p>
    <w:p w14:paraId="54914BAB" w14:textId="77777777" w:rsidR="00A77B3E" w:rsidRPr="007A3E30" w:rsidRDefault="00E7670D" w:rsidP="000540F1">
      <w:pPr>
        <w:spacing w:line="360" w:lineRule="auto"/>
        <w:jc w:val="both"/>
        <w:rPr>
          <w:rFonts w:ascii="Book Antiqua" w:hAnsi="Book Antiqua" w:cs="Book Antiqua"/>
          <w:b/>
          <w:color w:val="000000"/>
          <w:lang w:eastAsia="zh-CN"/>
        </w:rPr>
      </w:pPr>
      <w:r w:rsidRPr="007A3E30">
        <w:rPr>
          <w:rFonts w:ascii="Book Antiqua" w:eastAsia="Book Antiqua" w:hAnsi="Book Antiqua" w:cs="Book Antiqua"/>
          <w:b/>
          <w:color w:val="000000"/>
        </w:rPr>
        <w:t>REFERENCES</w:t>
      </w:r>
    </w:p>
    <w:p w14:paraId="6510B882"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 xml:space="preserve">1 </w:t>
      </w:r>
      <w:r w:rsidRPr="007A3E30">
        <w:rPr>
          <w:rFonts w:ascii="Book Antiqua" w:eastAsia="宋体" w:hAnsi="Book Antiqua" w:cs="宋体"/>
          <w:b/>
          <w:bCs/>
          <w:lang w:eastAsia="zh-CN"/>
        </w:rPr>
        <w:t>Klöppel G</w:t>
      </w:r>
      <w:r w:rsidRPr="007A3E30">
        <w:rPr>
          <w:rFonts w:ascii="Book Antiqua" w:eastAsia="宋体" w:hAnsi="Book Antiqua" w:cs="宋体"/>
          <w:lang w:eastAsia="zh-CN"/>
        </w:rPr>
        <w:t xml:space="preserve">. Neuroendocrine Neoplasms: Dichotomy, Origin and Classifications. </w:t>
      </w:r>
      <w:r w:rsidRPr="007A3E30">
        <w:rPr>
          <w:rFonts w:ascii="Book Antiqua" w:eastAsia="宋体" w:hAnsi="Book Antiqua" w:cs="宋体"/>
          <w:i/>
          <w:iCs/>
          <w:lang w:eastAsia="zh-CN"/>
        </w:rPr>
        <w:t>Visc Med</w:t>
      </w:r>
      <w:r w:rsidRPr="007A3E30">
        <w:rPr>
          <w:rFonts w:ascii="Book Antiqua" w:eastAsia="宋体" w:hAnsi="Book Antiqua" w:cs="宋体"/>
          <w:lang w:eastAsia="zh-CN"/>
        </w:rPr>
        <w:t xml:space="preserve"> 2017; </w:t>
      </w:r>
      <w:r w:rsidRPr="007A3E30">
        <w:rPr>
          <w:rFonts w:ascii="Book Antiqua" w:eastAsia="宋体" w:hAnsi="Book Antiqua" w:cs="宋体"/>
          <w:b/>
          <w:bCs/>
          <w:lang w:eastAsia="zh-CN"/>
        </w:rPr>
        <w:t>33</w:t>
      </w:r>
      <w:r w:rsidRPr="007A3E30">
        <w:rPr>
          <w:rFonts w:ascii="Book Antiqua" w:eastAsia="宋体" w:hAnsi="Book Antiqua" w:cs="宋体"/>
          <w:lang w:eastAsia="zh-CN"/>
        </w:rPr>
        <w:t>: 324-330 [PMID: 29177160 DOI: 10.1159/000481390]</w:t>
      </w:r>
    </w:p>
    <w:p w14:paraId="4D8347D1"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2</w:t>
      </w:r>
      <w:r w:rsidRPr="007A3E30">
        <w:rPr>
          <w:rFonts w:ascii="Book Antiqua" w:eastAsia="宋体" w:hAnsi="Book Antiqua" w:cs="宋体"/>
          <w:b/>
          <w:bCs/>
          <w:lang w:eastAsia="zh-CN"/>
        </w:rPr>
        <w:t xml:space="preserve"> Cetinkaya RB. </w:t>
      </w:r>
      <w:r w:rsidRPr="007A3E30">
        <w:rPr>
          <w:rFonts w:ascii="Book Antiqua" w:eastAsia="宋体" w:hAnsi="Book Antiqua" w:cs="宋体"/>
          <w:bCs/>
          <w:lang w:eastAsia="zh-CN"/>
        </w:rPr>
        <w:t>Epidemiology of Neuroendocrine Neoplasms in Norway. Oslo University Hospital,</w:t>
      </w:r>
      <w:r w:rsidRPr="007A3E30">
        <w:rPr>
          <w:rFonts w:ascii="Book Antiqua" w:eastAsia="宋体" w:hAnsi="Book Antiqua" w:cs="宋体"/>
          <w:lang w:eastAsia="zh-CN"/>
        </w:rPr>
        <w:t xml:space="preserve"> Institute of Clinical Medicine, University of Oslo. 2017. [Last accessed June 18, 2019] Available from: https://www.duo.uio.no/bitstream/handle/10852/61617/Cetinkaya-PhD-2018.pdf?sequence=1&amp;isAllowed=y</w:t>
      </w:r>
    </w:p>
    <w:p w14:paraId="4066E8AE"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 xml:space="preserve">3 </w:t>
      </w:r>
      <w:r w:rsidRPr="007A3E30">
        <w:rPr>
          <w:rFonts w:ascii="Book Antiqua" w:eastAsia="宋体" w:hAnsi="Book Antiqua" w:cs="宋体"/>
          <w:b/>
          <w:bCs/>
          <w:lang w:eastAsia="zh-CN"/>
        </w:rPr>
        <w:t>Janson ET</w:t>
      </w:r>
      <w:r w:rsidRPr="007A3E30">
        <w:rPr>
          <w:rFonts w:ascii="Book Antiqua" w:eastAsia="宋体" w:hAnsi="Book Antiqua" w:cs="宋体"/>
          <w:lang w:eastAsia="zh-CN"/>
        </w:rPr>
        <w:t xml:space="preserve">, Sorbye H, Welin S, Federspiel B, Grønbæk H, Hellman P, Ladekarl M, Langer SW, Mortensen J, Schalin-Jäntti C, Sundin A, Sundlöv A, Thiis-Evensen E, Knigge U. Nordic guidelines 2014 for diagnosis and treatment of gastroenteropancreatic neuroendocrine neoplasms. </w:t>
      </w:r>
      <w:r w:rsidRPr="007A3E30">
        <w:rPr>
          <w:rFonts w:ascii="Book Antiqua" w:eastAsia="宋体" w:hAnsi="Book Antiqua" w:cs="宋体"/>
          <w:i/>
          <w:iCs/>
          <w:lang w:eastAsia="zh-CN"/>
        </w:rPr>
        <w:t>Acta Oncol</w:t>
      </w:r>
      <w:r w:rsidRPr="007A3E30">
        <w:rPr>
          <w:rFonts w:ascii="Book Antiqua" w:eastAsia="宋体" w:hAnsi="Book Antiqua" w:cs="宋体"/>
          <w:lang w:eastAsia="zh-CN"/>
        </w:rPr>
        <w:t xml:space="preserve"> 2014; </w:t>
      </w:r>
      <w:r w:rsidRPr="007A3E30">
        <w:rPr>
          <w:rFonts w:ascii="Book Antiqua" w:eastAsia="宋体" w:hAnsi="Book Antiqua" w:cs="宋体"/>
          <w:b/>
          <w:bCs/>
          <w:lang w:eastAsia="zh-CN"/>
        </w:rPr>
        <w:t>53</w:t>
      </w:r>
      <w:r w:rsidRPr="007A3E30">
        <w:rPr>
          <w:rFonts w:ascii="Book Antiqua" w:eastAsia="宋体" w:hAnsi="Book Antiqua" w:cs="宋体"/>
          <w:lang w:eastAsia="zh-CN"/>
        </w:rPr>
        <w:t>: 1284-1297 [PMID: 25140861 DOI: 10.3109/0284186X.2014.941999]</w:t>
      </w:r>
    </w:p>
    <w:p w14:paraId="46F92730"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 xml:space="preserve">4 </w:t>
      </w:r>
      <w:r w:rsidRPr="007A3E30">
        <w:rPr>
          <w:rFonts w:ascii="Book Antiqua" w:eastAsia="宋体" w:hAnsi="Book Antiqua" w:cs="宋体"/>
          <w:b/>
          <w:bCs/>
          <w:lang w:eastAsia="zh-CN"/>
        </w:rPr>
        <w:t>Öberg K</w:t>
      </w:r>
      <w:r w:rsidRPr="007A3E30">
        <w:rPr>
          <w:rFonts w:ascii="Book Antiqua" w:eastAsia="宋体" w:hAnsi="Book Antiqua" w:cs="宋体"/>
          <w:lang w:eastAsia="zh-CN"/>
        </w:rPr>
        <w:t xml:space="preserve">, Knigge U, Kwekkeboom D, Perren A; ESMO Guidelines Working Group. Neuroendocrine gastro-entero-pancreatic tumors: ESMO Clinical Practice Guidelines for diagnosis, treatment and follow-up. </w:t>
      </w:r>
      <w:r w:rsidRPr="007A3E30">
        <w:rPr>
          <w:rFonts w:ascii="Book Antiqua" w:eastAsia="宋体" w:hAnsi="Book Antiqua" w:cs="宋体"/>
          <w:i/>
          <w:iCs/>
          <w:lang w:eastAsia="zh-CN"/>
        </w:rPr>
        <w:t>Ann Oncol</w:t>
      </w:r>
      <w:r w:rsidRPr="007A3E30">
        <w:rPr>
          <w:rFonts w:ascii="Book Antiqua" w:eastAsia="宋体" w:hAnsi="Book Antiqua" w:cs="宋体"/>
          <w:lang w:eastAsia="zh-CN"/>
        </w:rPr>
        <w:t xml:space="preserve"> 2012; </w:t>
      </w:r>
      <w:r w:rsidRPr="007A3E30">
        <w:rPr>
          <w:rFonts w:ascii="Book Antiqua" w:eastAsia="宋体" w:hAnsi="Book Antiqua" w:cs="宋体"/>
          <w:b/>
          <w:bCs/>
          <w:lang w:eastAsia="zh-CN"/>
        </w:rPr>
        <w:t>23 Suppl 7</w:t>
      </w:r>
      <w:r w:rsidRPr="007A3E30">
        <w:rPr>
          <w:rFonts w:ascii="Book Antiqua" w:eastAsia="宋体" w:hAnsi="Book Antiqua" w:cs="宋体"/>
          <w:lang w:eastAsia="zh-CN"/>
        </w:rPr>
        <w:t>: vii124-vii130 [PMID: 22997445 DOI: 10.1093/annonc/mds295]</w:t>
      </w:r>
    </w:p>
    <w:p w14:paraId="5F613D51"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5</w:t>
      </w:r>
      <w:r w:rsidRPr="007A3E30">
        <w:rPr>
          <w:rFonts w:ascii="Book Antiqua" w:eastAsia="宋体" w:hAnsi="Book Antiqua" w:cs="宋体"/>
          <w:b/>
          <w:bCs/>
          <w:lang w:eastAsia="zh-CN"/>
        </w:rPr>
        <w:t xml:space="preserve"> Statistics Sweden. </w:t>
      </w:r>
      <w:r w:rsidRPr="007A3E30">
        <w:rPr>
          <w:rFonts w:ascii="Book Antiqua" w:eastAsia="宋体" w:hAnsi="Book Antiqua" w:cs="宋体"/>
          <w:bCs/>
          <w:lang w:eastAsia="zh-CN"/>
        </w:rPr>
        <w:t>Population statistics. [Last accessed August 28,</w:t>
      </w:r>
      <w:r w:rsidRPr="007A3E30">
        <w:rPr>
          <w:rFonts w:ascii="Book Antiqua" w:eastAsia="宋体" w:hAnsi="Book Antiqua" w:cs="宋体"/>
          <w:lang w:eastAsia="zh-CN"/>
        </w:rPr>
        <w:t xml:space="preserve"> 2019] </w:t>
      </w:r>
      <w:r w:rsidRPr="007A3E30">
        <w:rPr>
          <w:rFonts w:ascii="Book Antiqua" w:eastAsia="宋体" w:hAnsi="Book Antiqua" w:cs="宋体"/>
          <w:bCs/>
          <w:lang w:eastAsia="zh-CN"/>
        </w:rPr>
        <w:t>Available from: https://www.scb.se/en/finding-statistics/statistics-by-subject-area/population/population-composition/population-statistics/</w:t>
      </w:r>
    </w:p>
    <w:p w14:paraId="307A474F"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6</w:t>
      </w:r>
      <w:r w:rsidRPr="007A3E30">
        <w:rPr>
          <w:rFonts w:ascii="Book Antiqua" w:eastAsia="宋体" w:hAnsi="Book Antiqua" w:cs="宋体"/>
          <w:b/>
          <w:bCs/>
          <w:lang w:eastAsia="zh-CN"/>
        </w:rPr>
        <w:t xml:space="preserve"> Statistics Norway. </w:t>
      </w:r>
      <w:r w:rsidRPr="007A3E30">
        <w:rPr>
          <w:rFonts w:ascii="Book Antiqua" w:eastAsia="宋体" w:hAnsi="Book Antiqua" w:cs="宋体"/>
          <w:bCs/>
          <w:lang w:eastAsia="zh-CN"/>
        </w:rPr>
        <w:t>Key figures for the population. [Last accessed August 28,</w:t>
      </w:r>
      <w:r w:rsidRPr="007A3E30">
        <w:rPr>
          <w:rFonts w:ascii="Book Antiqua" w:eastAsia="宋体" w:hAnsi="Book Antiqua" w:cs="宋体"/>
          <w:lang w:eastAsia="zh-CN"/>
        </w:rPr>
        <w:t xml:space="preserve"> 2019] </w:t>
      </w:r>
      <w:r w:rsidRPr="007A3E30">
        <w:rPr>
          <w:rFonts w:ascii="Book Antiqua" w:eastAsia="宋体" w:hAnsi="Book Antiqua" w:cs="宋体"/>
          <w:bCs/>
          <w:lang w:eastAsia="zh-CN"/>
        </w:rPr>
        <w:t>Available from: https://www.ssb.no/en/befolkning/nokkeltall/population</w:t>
      </w:r>
    </w:p>
    <w:p w14:paraId="5E0E7757"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7</w:t>
      </w:r>
      <w:r w:rsidRPr="007A3E30">
        <w:rPr>
          <w:rFonts w:ascii="Book Antiqua" w:eastAsia="宋体" w:hAnsi="Book Antiqua" w:cs="宋体"/>
          <w:b/>
          <w:bCs/>
          <w:lang w:eastAsia="zh-CN"/>
        </w:rPr>
        <w:t xml:space="preserve"> European Medicines Agency. </w:t>
      </w:r>
      <w:r w:rsidRPr="007A3E30">
        <w:rPr>
          <w:rFonts w:ascii="Book Antiqua" w:eastAsia="宋体" w:hAnsi="Book Antiqua" w:cs="宋体"/>
          <w:bCs/>
          <w:lang w:eastAsia="zh-CN"/>
        </w:rPr>
        <w:t>Orphan designation: Overview. [Last accessed September 02,</w:t>
      </w:r>
      <w:r w:rsidRPr="007A3E30">
        <w:rPr>
          <w:rFonts w:ascii="Book Antiqua" w:eastAsia="宋体" w:hAnsi="Book Antiqua" w:cs="宋体"/>
          <w:lang w:eastAsia="zh-CN"/>
        </w:rPr>
        <w:t xml:space="preserve"> 2019] </w:t>
      </w:r>
      <w:r w:rsidRPr="007A3E30">
        <w:rPr>
          <w:rFonts w:ascii="Book Antiqua" w:eastAsia="宋体" w:hAnsi="Book Antiqua" w:cs="宋体"/>
          <w:bCs/>
          <w:lang w:eastAsia="zh-CN"/>
        </w:rPr>
        <w:t>Available from: https://www.ema.europa.eu/en/human-regulatory/overview/orphan-designation-overview</w:t>
      </w:r>
    </w:p>
    <w:p w14:paraId="6C05360B"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 xml:space="preserve">8 </w:t>
      </w:r>
      <w:r w:rsidRPr="007A3E30">
        <w:rPr>
          <w:rFonts w:ascii="Book Antiqua" w:eastAsia="宋体" w:hAnsi="Book Antiqua" w:cs="宋体"/>
          <w:b/>
          <w:bCs/>
          <w:lang w:eastAsia="zh-CN"/>
        </w:rPr>
        <w:t>Milione M</w:t>
      </w:r>
      <w:r w:rsidRPr="007A3E30">
        <w:rPr>
          <w:rFonts w:ascii="Book Antiqua" w:eastAsia="宋体" w:hAnsi="Book Antiqua" w:cs="宋体"/>
          <w:lang w:eastAsia="zh-CN"/>
        </w:rPr>
        <w:t xml:space="preserve">. Prognostic factors for gastroenteropancreatic neuroendocrine neoplasms (GEP-NENs): what's better? </w:t>
      </w:r>
      <w:r w:rsidRPr="007A3E30">
        <w:rPr>
          <w:rFonts w:ascii="Book Antiqua" w:eastAsia="宋体" w:hAnsi="Book Antiqua" w:cs="宋体"/>
          <w:i/>
          <w:iCs/>
          <w:lang w:eastAsia="zh-CN"/>
        </w:rPr>
        <w:t>Endocrine</w:t>
      </w:r>
      <w:r w:rsidRPr="007A3E30">
        <w:rPr>
          <w:rFonts w:ascii="Book Antiqua" w:eastAsia="宋体" w:hAnsi="Book Antiqua" w:cs="宋体"/>
          <w:lang w:eastAsia="zh-CN"/>
        </w:rPr>
        <w:t xml:space="preserve"> 2018; </w:t>
      </w:r>
      <w:r w:rsidRPr="007A3E30">
        <w:rPr>
          <w:rFonts w:ascii="Book Antiqua" w:eastAsia="宋体" w:hAnsi="Book Antiqua" w:cs="宋体"/>
          <w:b/>
          <w:bCs/>
          <w:lang w:eastAsia="zh-CN"/>
        </w:rPr>
        <w:t>59</w:t>
      </w:r>
      <w:r w:rsidRPr="007A3E30">
        <w:rPr>
          <w:rFonts w:ascii="Book Antiqua" w:eastAsia="宋体" w:hAnsi="Book Antiqua" w:cs="宋体"/>
          <w:lang w:eastAsia="zh-CN"/>
        </w:rPr>
        <w:t>: 1-3 [PMID: 28417314 DOI: 10.1007/s12020-017-1299-0]</w:t>
      </w:r>
    </w:p>
    <w:p w14:paraId="1EF7445A"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 xml:space="preserve">9 </w:t>
      </w:r>
      <w:r w:rsidRPr="007A3E30">
        <w:rPr>
          <w:rFonts w:ascii="Book Antiqua" w:eastAsia="宋体" w:hAnsi="Book Antiqua" w:cs="宋体"/>
          <w:b/>
          <w:bCs/>
          <w:lang w:eastAsia="zh-CN"/>
        </w:rPr>
        <w:t>Boyar Cetinkaya R</w:t>
      </w:r>
      <w:r w:rsidRPr="007A3E30">
        <w:rPr>
          <w:rFonts w:ascii="Book Antiqua" w:eastAsia="宋体" w:hAnsi="Book Antiqua" w:cs="宋体"/>
          <w:lang w:eastAsia="zh-CN"/>
        </w:rPr>
        <w:t xml:space="preserve">, Aagnes B, Myklebust TÅ, Thiis-Evensen E. Survival in neuroendocrine neoplasms; A report from a large Norwegian population-based study. </w:t>
      </w:r>
      <w:r w:rsidRPr="007A3E30">
        <w:rPr>
          <w:rFonts w:ascii="Book Antiqua" w:eastAsia="宋体" w:hAnsi="Book Antiqua" w:cs="宋体"/>
          <w:i/>
          <w:iCs/>
          <w:lang w:eastAsia="zh-CN"/>
        </w:rPr>
        <w:t>Int J Cancer</w:t>
      </w:r>
      <w:r w:rsidRPr="007A3E30">
        <w:rPr>
          <w:rFonts w:ascii="Book Antiqua" w:eastAsia="宋体" w:hAnsi="Book Antiqua" w:cs="宋体"/>
          <w:lang w:eastAsia="zh-CN"/>
        </w:rPr>
        <w:t xml:space="preserve"> 2018; </w:t>
      </w:r>
      <w:r w:rsidRPr="007A3E30">
        <w:rPr>
          <w:rFonts w:ascii="Book Antiqua" w:eastAsia="宋体" w:hAnsi="Book Antiqua" w:cs="宋体"/>
          <w:b/>
          <w:bCs/>
          <w:lang w:eastAsia="zh-CN"/>
        </w:rPr>
        <w:t>142</w:t>
      </w:r>
      <w:r w:rsidRPr="007A3E30">
        <w:rPr>
          <w:rFonts w:ascii="Book Antiqua" w:eastAsia="宋体" w:hAnsi="Book Antiqua" w:cs="宋体"/>
          <w:lang w:eastAsia="zh-CN"/>
        </w:rPr>
        <w:t>: 1139-1147 [PMID: 29082524 DOI: 10.1002/ijc.31137]</w:t>
      </w:r>
    </w:p>
    <w:p w14:paraId="0F05EA05"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 xml:space="preserve">10 </w:t>
      </w:r>
      <w:r w:rsidRPr="007A3E30">
        <w:rPr>
          <w:rFonts w:ascii="Book Antiqua" w:eastAsia="宋体" w:hAnsi="Book Antiqua" w:cs="宋体"/>
          <w:b/>
          <w:bCs/>
          <w:lang w:eastAsia="zh-CN"/>
        </w:rPr>
        <w:t>Childs A</w:t>
      </w:r>
      <w:r w:rsidRPr="007A3E30">
        <w:rPr>
          <w:rFonts w:ascii="Book Antiqua" w:eastAsia="宋体" w:hAnsi="Book Antiqua" w:cs="宋体"/>
          <w:lang w:eastAsia="zh-CN"/>
        </w:rPr>
        <w:t xml:space="preserve">, Vesely C, Ensell L, Lowe H, Luong TV, Caplin ME, Toumpanakis C, Thirlwell C, Hartley JA, Meyer T. Expression of somatostatin receptors 2 and 5 in circulating tumour cells from patients with neuroendocrine tumours. </w:t>
      </w:r>
      <w:r w:rsidRPr="007A3E30">
        <w:rPr>
          <w:rFonts w:ascii="Book Antiqua" w:eastAsia="宋体" w:hAnsi="Book Antiqua" w:cs="宋体"/>
          <w:i/>
          <w:iCs/>
          <w:lang w:eastAsia="zh-CN"/>
        </w:rPr>
        <w:t>Br J Cancer</w:t>
      </w:r>
      <w:r w:rsidRPr="007A3E30">
        <w:rPr>
          <w:rFonts w:ascii="Book Antiqua" w:eastAsia="宋体" w:hAnsi="Book Antiqua" w:cs="宋体"/>
          <w:lang w:eastAsia="zh-CN"/>
        </w:rPr>
        <w:t xml:space="preserve"> 2016; </w:t>
      </w:r>
      <w:r w:rsidRPr="007A3E30">
        <w:rPr>
          <w:rFonts w:ascii="Book Antiqua" w:eastAsia="宋体" w:hAnsi="Book Antiqua" w:cs="宋体"/>
          <w:b/>
          <w:bCs/>
          <w:lang w:eastAsia="zh-CN"/>
        </w:rPr>
        <w:t>115</w:t>
      </w:r>
      <w:r w:rsidRPr="007A3E30">
        <w:rPr>
          <w:rFonts w:ascii="Book Antiqua" w:eastAsia="宋体" w:hAnsi="Book Antiqua" w:cs="宋体"/>
          <w:lang w:eastAsia="zh-CN"/>
        </w:rPr>
        <w:t>: 1540-1547 [PMID: 27875519 DOI: 10.1038/bjc.2016.377]</w:t>
      </w:r>
    </w:p>
    <w:p w14:paraId="70EF7391"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11</w:t>
      </w:r>
      <w:r w:rsidRPr="007A3E30">
        <w:rPr>
          <w:rFonts w:ascii="Book Antiqua" w:eastAsia="宋体" w:hAnsi="Book Antiqua" w:cs="宋体"/>
          <w:b/>
          <w:bCs/>
          <w:lang w:eastAsia="zh-CN"/>
        </w:rPr>
        <w:t xml:space="preserve"> </w:t>
      </w:r>
      <w:r w:rsidRPr="007A3E30">
        <w:rPr>
          <w:rFonts w:ascii="Book Antiqua" w:eastAsia="宋体" w:hAnsi="Book Antiqua" w:cs="宋体"/>
          <w:bCs/>
          <w:lang w:eastAsia="zh-CN"/>
        </w:rPr>
        <w:t>Lutathera,</w:t>
      </w:r>
      <w:r w:rsidRPr="007A3E30">
        <w:rPr>
          <w:rFonts w:ascii="Book Antiqua" w:eastAsia="宋体" w:hAnsi="Book Antiqua" w:cs="宋体"/>
          <w:lang w:eastAsia="zh-CN"/>
        </w:rPr>
        <w:t xml:space="preserve"> INN-lutetium (177Lu) oxodotreotide. European Summary of Product Characteristics. [Last accessed June 18, 2019] Available from: https://www.ema.europa.eu/en/documents/product-information/Lutathera-epar-product-information_en.pdf</w:t>
      </w:r>
    </w:p>
    <w:p w14:paraId="2D3172E5"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 xml:space="preserve">12 </w:t>
      </w:r>
      <w:r w:rsidRPr="007A3E30">
        <w:rPr>
          <w:rFonts w:ascii="Book Antiqua" w:eastAsia="宋体" w:hAnsi="Book Antiqua" w:cs="宋体"/>
          <w:b/>
          <w:bCs/>
          <w:lang w:eastAsia="zh-CN"/>
        </w:rPr>
        <w:t>Strosberg J</w:t>
      </w:r>
      <w:r w:rsidRPr="007A3E30">
        <w:rPr>
          <w:rFonts w:ascii="Book Antiqua" w:eastAsia="宋体" w:hAnsi="Book Antiqua" w:cs="宋体"/>
          <w:lang w:eastAsia="zh-CN"/>
        </w:rPr>
        <w:t xml:space="preserve">, El-Haddad G, Wolin E, Hendifar A, Yao J, Chasen B, Mittra E, Kunz PL, Kulke MH, Jacene H, Bushnell D, O'Dorisio TM, Baum RP, Kulkarni HR, Caplin M, Lebtahi R, Hobday T, Delpassand E, Van Cutsem E, Benson A, Srirajaskanthan R, Pavel M, Mora J, Berlin J, Grande E, Reed N, Seregni E, Öberg K, Lopera Sierra M, Santoro P, Thevenet T, Erion JL, Ruszniewski P, Kwekkeboom D, Krenning E; NETTER-1 Trial Investigators. Phase 3 Trial of </w:t>
      </w:r>
      <w:r w:rsidRPr="007A3E30">
        <w:rPr>
          <w:rFonts w:ascii="Book Antiqua" w:eastAsia="宋体" w:hAnsi="Book Antiqua" w:cs="宋体"/>
          <w:vertAlign w:val="superscript"/>
          <w:lang w:eastAsia="zh-CN"/>
        </w:rPr>
        <w:t>177</w:t>
      </w:r>
      <w:r w:rsidRPr="007A3E30">
        <w:rPr>
          <w:rFonts w:ascii="Book Antiqua" w:eastAsia="宋体" w:hAnsi="Book Antiqua" w:cs="宋体"/>
          <w:lang w:eastAsia="zh-CN"/>
        </w:rPr>
        <w:t xml:space="preserve">Lu-Dotatate for Midgut Neuroendocrine Tumors. </w:t>
      </w:r>
      <w:r w:rsidRPr="007A3E30">
        <w:rPr>
          <w:rFonts w:ascii="Book Antiqua" w:eastAsia="宋体" w:hAnsi="Book Antiqua" w:cs="宋体"/>
          <w:i/>
          <w:iCs/>
          <w:lang w:eastAsia="zh-CN"/>
        </w:rPr>
        <w:t>N Engl J Med</w:t>
      </w:r>
      <w:r w:rsidRPr="007A3E30">
        <w:rPr>
          <w:rFonts w:ascii="Book Antiqua" w:eastAsia="宋体" w:hAnsi="Book Antiqua" w:cs="宋体"/>
          <w:lang w:eastAsia="zh-CN"/>
        </w:rPr>
        <w:t xml:space="preserve"> 2017; </w:t>
      </w:r>
      <w:r w:rsidRPr="007A3E30">
        <w:rPr>
          <w:rFonts w:ascii="Book Antiqua" w:eastAsia="宋体" w:hAnsi="Book Antiqua" w:cs="宋体"/>
          <w:b/>
          <w:bCs/>
          <w:lang w:eastAsia="zh-CN"/>
        </w:rPr>
        <w:t>376</w:t>
      </w:r>
      <w:r w:rsidRPr="007A3E30">
        <w:rPr>
          <w:rFonts w:ascii="Book Antiqua" w:eastAsia="宋体" w:hAnsi="Book Antiqua" w:cs="宋体"/>
          <w:lang w:eastAsia="zh-CN"/>
        </w:rPr>
        <w:t>: 125-135 [PMID: 28076709 DOI: 10.1056/NEJMoa1607427]</w:t>
      </w:r>
    </w:p>
    <w:p w14:paraId="5D118059"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 xml:space="preserve">13 </w:t>
      </w:r>
      <w:r w:rsidRPr="007A3E30">
        <w:rPr>
          <w:rFonts w:ascii="Book Antiqua" w:eastAsia="宋体" w:hAnsi="Book Antiqua" w:cs="宋体"/>
          <w:b/>
          <w:bCs/>
          <w:lang w:eastAsia="zh-CN"/>
        </w:rPr>
        <w:t>Strosberg J</w:t>
      </w:r>
      <w:r w:rsidRPr="007A3E30">
        <w:rPr>
          <w:rFonts w:ascii="Book Antiqua" w:eastAsia="宋体" w:hAnsi="Book Antiqua" w:cs="宋体"/>
          <w:lang w:eastAsia="zh-CN"/>
        </w:rPr>
        <w:t xml:space="preserve">, Wolin E, Chasen B, Kulke M, Bushnell D, Caplin M, Baum RP, Kunz P, Hobday T, Hendifar A, Oberg K, Sierra ML, Thevenet T, Margalet I, Ruszniewski P, Krenning E; NETTER-1 Study Group. Health-Related Quality of Life in Patients With Progressive Midgut Neuroendocrine Tumors Treated With </w:t>
      </w:r>
      <w:r w:rsidRPr="007A3E30">
        <w:rPr>
          <w:rFonts w:ascii="Book Antiqua" w:eastAsia="宋体" w:hAnsi="Book Antiqua" w:cs="宋体"/>
          <w:vertAlign w:val="superscript"/>
          <w:lang w:eastAsia="zh-CN"/>
        </w:rPr>
        <w:t>177</w:t>
      </w:r>
      <w:r w:rsidRPr="007A3E30">
        <w:rPr>
          <w:rFonts w:ascii="Book Antiqua" w:eastAsia="宋体" w:hAnsi="Book Antiqua" w:cs="宋体"/>
          <w:lang w:eastAsia="zh-CN"/>
        </w:rPr>
        <w:t xml:space="preserve">Lu-Dotatate in the Phase III NETTER-1 Trial. </w:t>
      </w:r>
      <w:r w:rsidRPr="007A3E30">
        <w:rPr>
          <w:rFonts w:ascii="Book Antiqua" w:eastAsia="宋体" w:hAnsi="Book Antiqua" w:cs="宋体"/>
          <w:i/>
          <w:iCs/>
          <w:lang w:eastAsia="zh-CN"/>
        </w:rPr>
        <w:t>J Clin Oncol</w:t>
      </w:r>
      <w:r w:rsidRPr="007A3E30">
        <w:rPr>
          <w:rFonts w:ascii="Book Antiqua" w:eastAsia="宋体" w:hAnsi="Book Antiqua" w:cs="宋体"/>
          <w:lang w:eastAsia="zh-CN"/>
        </w:rPr>
        <w:t xml:space="preserve"> 2018; </w:t>
      </w:r>
      <w:r w:rsidRPr="007A3E30">
        <w:rPr>
          <w:rFonts w:ascii="Book Antiqua" w:eastAsia="宋体" w:hAnsi="Book Antiqua" w:cs="宋体"/>
          <w:b/>
          <w:bCs/>
          <w:lang w:eastAsia="zh-CN"/>
        </w:rPr>
        <w:t>36</w:t>
      </w:r>
      <w:r w:rsidRPr="007A3E30">
        <w:rPr>
          <w:rFonts w:ascii="Book Antiqua" w:eastAsia="宋体" w:hAnsi="Book Antiqua" w:cs="宋体"/>
          <w:lang w:eastAsia="zh-CN"/>
        </w:rPr>
        <w:t>: 2578-2584 [PMID: 29878866 DOI: 10.1200/JCO.2018.78.5865]</w:t>
      </w:r>
    </w:p>
    <w:p w14:paraId="0375C947"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 xml:space="preserve">14 </w:t>
      </w:r>
      <w:r w:rsidRPr="007A3E30">
        <w:rPr>
          <w:rFonts w:ascii="Book Antiqua" w:eastAsia="宋体" w:hAnsi="Book Antiqua" w:cs="宋体"/>
          <w:b/>
          <w:bCs/>
          <w:lang w:eastAsia="zh-CN"/>
        </w:rPr>
        <w:t>Jiménez-Fonseca P</w:t>
      </w:r>
      <w:r w:rsidRPr="007A3E30">
        <w:rPr>
          <w:rFonts w:ascii="Book Antiqua" w:eastAsia="宋体" w:hAnsi="Book Antiqua" w:cs="宋体"/>
          <w:lang w:eastAsia="zh-CN"/>
        </w:rPr>
        <w:t xml:space="preserve">, Carmona-Bayonas A, Martín-Pérez E, Crespo G, Serrano R, Llanos M, Villabona C, García-Carbonero R, Aller J, Capdevila J, Grande E; Spanish Neuroendocrine Tumor Group (GETNE). Health-related quality of life in well-differentiated metastatic gastroenteropancreatic neuroendocrine tumors. </w:t>
      </w:r>
      <w:r w:rsidRPr="007A3E30">
        <w:rPr>
          <w:rFonts w:ascii="Book Antiqua" w:eastAsia="宋体" w:hAnsi="Book Antiqua" w:cs="宋体"/>
          <w:i/>
          <w:iCs/>
          <w:lang w:eastAsia="zh-CN"/>
        </w:rPr>
        <w:t>Cancer Metastasis Rev</w:t>
      </w:r>
      <w:r w:rsidRPr="007A3E30">
        <w:rPr>
          <w:rFonts w:ascii="Book Antiqua" w:eastAsia="宋体" w:hAnsi="Book Antiqua" w:cs="宋体"/>
          <w:lang w:eastAsia="zh-CN"/>
        </w:rPr>
        <w:t xml:space="preserve"> 2015; </w:t>
      </w:r>
      <w:r w:rsidRPr="007A3E30">
        <w:rPr>
          <w:rFonts w:ascii="Book Antiqua" w:eastAsia="宋体" w:hAnsi="Book Antiqua" w:cs="宋体"/>
          <w:b/>
          <w:bCs/>
          <w:lang w:eastAsia="zh-CN"/>
        </w:rPr>
        <w:t>34</w:t>
      </w:r>
      <w:r w:rsidRPr="007A3E30">
        <w:rPr>
          <w:rFonts w:ascii="Book Antiqua" w:eastAsia="宋体" w:hAnsi="Book Antiqua" w:cs="宋体"/>
          <w:lang w:eastAsia="zh-CN"/>
        </w:rPr>
        <w:t>: 381-400 [PMID: 26245646 DOI: 10.1007/s10555-015-9573-1]</w:t>
      </w:r>
    </w:p>
    <w:p w14:paraId="58B74E55"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 xml:space="preserve">15 </w:t>
      </w:r>
      <w:r w:rsidRPr="007A3E30">
        <w:rPr>
          <w:rFonts w:ascii="Book Antiqua" w:eastAsia="宋体" w:hAnsi="Book Antiqua" w:cs="宋体"/>
          <w:b/>
          <w:bCs/>
          <w:lang w:eastAsia="zh-CN"/>
        </w:rPr>
        <w:t>Jönsson B</w:t>
      </w:r>
      <w:r w:rsidRPr="007A3E30">
        <w:rPr>
          <w:rFonts w:ascii="Book Antiqua" w:eastAsia="宋体" w:hAnsi="Book Antiqua" w:cs="宋体"/>
          <w:lang w:eastAsia="zh-CN"/>
        </w:rPr>
        <w:t xml:space="preserve">, Hofmarcher T, Lindgren P, Wilking N. The cost and burden of cancer in the European Union 1995-2014. </w:t>
      </w:r>
      <w:r w:rsidRPr="007A3E30">
        <w:rPr>
          <w:rFonts w:ascii="Book Antiqua" w:eastAsia="宋体" w:hAnsi="Book Antiqua" w:cs="宋体"/>
          <w:i/>
          <w:iCs/>
          <w:lang w:eastAsia="zh-CN"/>
        </w:rPr>
        <w:t>Eur J Cancer</w:t>
      </w:r>
      <w:r w:rsidRPr="007A3E30">
        <w:rPr>
          <w:rFonts w:ascii="Book Antiqua" w:eastAsia="宋体" w:hAnsi="Book Antiqua" w:cs="宋体"/>
          <w:lang w:eastAsia="zh-CN"/>
        </w:rPr>
        <w:t xml:space="preserve"> 2016; </w:t>
      </w:r>
      <w:r w:rsidRPr="007A3E30">
        <w:rPr>
          <w:rFonts w:ascii="Book Antiqua" w:eastAsia="宋体" w:hAnsi="Book Antiqua" w:cs="宋体"/>
          <w:b/>
          <w:bCs/>
          <w:lang w:eastAsia="zh-CN"/>
        </w:rPr>
        <w:t>66</w:t>
      </w:r>
      <w:r w:rsidRPr="007A3E30">
        <w:rPr>
          <w:rFonts w:ascii="Book Antiqua" w:eastAsia="宋体" w:hAnsi="Book Antiqua" w:cs="宋体"/>
          <w:lang w:eastAsia="zh-CN"/>
        </w:rPr>
        <w:t>: 162-170 [PMID: 27589247 DOI: 10.1016/j.ejca.2016.06.022]</w:t>
      </w:r>
    </w:p>
    <w:p w14:paraId="0B44ECCC"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16</w:t>
      </w:r>
      <w:r w:rsidRPr="007A3E30">
        <w:rPr>
          <w:rFonts w:ascii="Book Antiqua" w:eastAsia="宋体" w:hAnsi="Book Antiqua" w:cs="宋体"/>
          <w:b/>
          <w:bCs/>
          <w:lang w:eastAsia="zh-CN"/>
        </w:rPr>
        <w:t xml:space="preserve"> Aggarwal A,</w:t>
      </w:r>
      <w:r w:rsidRPr="007A3E30">
        <w:rPr>
          <w:rFonts w:ascii="Book Antiqua" w:eastAsia="宋体" w:hAnsi="Book Antiqua" w:cs="宋体"/>
          <w:lang w:eastAsia="zh-CN"/>
        </w:rPr>
        <w:t xml:space="preserve"> Ginsburg O, Fojo T. Cancer economics, policy and politics: What informs the debate? Perspectives from the EU, Canada and US.</w:t>
      </w:r>
      <w:r w:rsidRPr="007A3E30">
        <w:rPr>
          <w:rFonts w:ascii="Book Antiqua" w:eastAsia="宋体" w:hAnsi="Book Antiqua" w:cs="宋体"/>
          <w:i/>
          <w:lang w:eastAsia="zh-CN"/>
        </w:rPr>
        <w:t xml:space="preserve"> J Cancer Policy</w:t>
      </w:r>
      <w:r w:rsidRPr="007A3E30">
        <w:rPr>
          <w:rFonts w:ascii="Book Antiqua" w:eastAsia="宋体" w:hAnsi="Book Antiqua" w:cs="宋体"/>
          <w:lang w:eastAsia="zh-CN"/>
        </w:rPr>
        <w:t xml:space="preserve"> 2014; 2: 1–11 [DOI: 10.1016/j.jcpo.2014.02.002]</w:t>
      </w:r>
    </w:p>
    <w:p w14:paraId="6E3D0062"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17</w:t>
      </w:r>
      <w:r w:rsidRPr="007A3E30">
        <w:rPr>
          <w:rFonts w:ascii="Book Antiqua" w:eastAsia="宋体" w:hAnsi="Book Antiqua" w:cs="宋体"/>
          <w:b/>
          <w:bCs/>
          <w:lang w:eastAsia="zh-CN"/>
        </w:rPr>
        <w:t xml:space="preserve"> National Institute for Health and Care Excellence Decision Support Unit. </w:t>
      </w:r>
      <w:r w:rsidRPr="007A3E30">
        <w:rPr>
          <w:rFonts w:ascii="Book Antiqua" w:eastAsia="宋体" w:hAnsi="Book Antiqua" w:cs="宋体"/>
          <w:bCs/>
          <w:lang w:eastAsia="zh-CN"/>
        </w:rPr>
        <w:t>Partitioned survival analysis technical support document. [Last accessed September 02,</w:t>
      </w:r>
      <w:r w:rsidRPr="007A3E30">
        <w:rPr>
          <w:rFonts w:ascii="Book Antiqua" w:eastAsia="宋体" w:hAnsi="Book Antiqua" w:cs="宋体"/>
          <w:lang w:eastAsia="zh-CN"/>
        </w:rPr>
        <w:t xml:space="preserve"> 2019] </w:t>
      </w:r>
      <w:r w:rsidRPr="007A3E30">
        <w:rPr>
          <w:rFonts w:ascii="Book Antiqua" w:eastAsia="宋体" w:hAnsi="Book Antiqua" w:cs="宋体"/>
          <w:bCs/>
          <w:lang w:eastAsia="zh-CN"/>
        </w:rPr>
        <w:t>Available from: http://nicedsu.org.uk/technical-support-documents/partitioned-survival-analysis-tsd/</w:t>
      </w:r>
    </w:p>
    <w:p w14:paraId="3544AB3C"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 xml:space="preserve">18 </w:t>
      </w:r>
      <w:r w:rsidRPr="007A3E30">
        <w:rPr>
          <w:rFonts w:ascii="Book Antiqua" w:eastAsia="宋体" w:hAnsi="Book Antiqua" w:cs="宋体"/>
          <w:b/>
          <w:bCs/>
          <w:lang w:eastAsia="zh-CN"/>
        </w:rPr>
        <w:t>Yao JC</w:t>
      </w:r>
      <w:r w:rsidRPr="007A3E30">
        <w:rPr>
          <w:rFonts w:ascii="Book Antiqua" w:eastAsia="宋体" w:hAnsi="Book Antiqua" w:cs="宋体"/>
          <w:lang w:eastAsia="zh-CN"/>
        </w:rPr>
        <w:t xml:space="preserve">, Fazio N, Singh S, Buzzoni R, Carnaghi C, Wolin E, Tomasek J, Raderer M, Lahner H, Voi M, Pacaud LB, Rouyrre N, Sachs C, Valle JW, Fave GD, Van Cutsem E, Tesselaar M, Shimada Y, Oh DY, Strosberg J, Kulke MH, Pavel ME; RAD001 in Advanced Neuroendocrine Tumours, Fourth Trial (RADIANT-4) Study Group. Everolimus for the treatment of advanced, non-functional neuroendocrine tumours of the lung or gastrointestinal tract (RADIANT-4): a randomised, placebo-controlled, phase 3 study. </w:t>
      </w:r>
      <w:r w:rsidRPr="007A3E30">
        <w:rPr>
          <w:rFonts w:ascii="Book Antiqua" w:eastAsia="宋体" w:hAnsi="Book Antiqua" w:cs="宋体"/>
          <w:i/>
          <w:iCs/>
          <w:lang w:eastAsia="zh-CN"/>
        </w:rPr>
        <w:t>Lancet</w:t>
      </w:r>
      <w:r w:rsidRPr="007A3E30">
        <w:rPr>
          <w:rFonts w:ascii="Book Antiqua" w:eastAsia="宋体" w:hAnsi="Book Antiqua" w:cs="宋体"/>
          <w:lang w:eastAsia="zh-CN"/>
        </w:rPr>
        <w:t xml:space="preserve"> 2016; </w:t>
      </w:r>
      <w:r w:rsidRPr="007A3E30">
        <w:rPr>
          <w:rFonts w:ascii="Book Antiqua" w:eastAsia="宋体" w:hAnsi="Book Antiqua" w:cs="宋体"/>
          <w:b/>
          <w:bCs/>
          <w:lang w:eastAsia="zh-CN"/>
        </w:rPr>
        <w:t>387</w:t>
      </w:r>
      <w:r w:rsidRPr="007A3E30">
        <w:rPr>
          <w:rFonts w:ascii="Book Antiqua" w:eastAsia="宋体" w:hAnsi="Book Antiqua" w:cs="宋体"/>
          <w:lang w:eastAsia="zh-CN"/>
        </w:rPr>
        <w:t>: 968-977 [PMID: 26703889 DOI: 10.1016/S0140-6736(15)00817-X]</w:t>
      </w:r>
    </w:p>
    <w:p w14:paraId="2669EB8C"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 xml:space="preserve">19 </w:t>
      </w:r>
      <w:r w:rsidRPr="007A3E30">
        <w:rPr>
          <w:rFonts w:ascii="Book Antiqua" w:eastAsia="宋体" w:hAnsi="Book Antiqua" w:cs="宋体"/>
          <w:b/>
          <w:bCs/>
          <w:lang w:eastAsia="zh-CN"/>
        </w:rPr>
        <w:t>Yao JC</w:t>
      </w:r>
      <w:r w:rsidRPr="007A3E30">
        <w:rPr>
          <w:rFonts w:ascii="Book Antiqua" w:eastAsia="宋体" w:hAnsi="Book Antiqua" w:cs="宋体"/>
          <w:lang w:eastAsia="zh-CN"/>
        </w:rPr>
        <w:t xml:space="preserve">, Shah MH, Ito T, Bohas CL, Wolin EM, Van Cutsem E, Hobday TJ, Okusaka T, Capdevila J, de Vries EG, Tomassetti P, Pavel ME, Hoosen S, Haas T, Lincy J, Lebwohl D, Öberg K; RAD001 in Advanced Neuroendocrine Tumors, Third Trial (RADIANT-3) Study Group. Everolimus for advanced pancreatic neuroendocrine tumors. </w:t>
      </w:r>
      <w:r w:rsidRPr="007A3E30">
        <w:rPr>
          <w:rFonts w:ascii="Book Antiqua" w:eastAsia="宋体" w:hAnsi="Book Antiqua" w:cs="宋体"/>
          <w:i/>
          <w:iCs/>
          <w:lang w:eastAsia="zh-CN"/>
        </w:rPr>
        <w:t>N Engl J Med</w:t>
      </w:r>
      <w:r w:rsidRPr="007A3E30">
        <w:rPr>
          <w:rFonts w:ascii="Book Antiqua" w:eastAsia="宋体" w:hAnsi="Book Antiqua" w:cs="宋体"/>
          <w:lang w:eastAsia="zh-CN"/>
        </w:rPr>
        <w:t xml:space="preserve"> 2011; </w:t>
      </w:r>
      <w:r w:rsidRPr="007A3E30">
        <w:rPr>
          <w:rFonts w:ascii="Book Antiqua" w:eastAsia="宋体" w:hAnsi="Book Antiqua" w:cs="宋体"/>
          <w:b/>
          <w:bCs/>
          <w:lang w:eastAsia="zh-CN"/>
        </w:rPr>
        <w:t>364</w:t>
      </w:r>
      <w:r w:rsidRPr="007A3E30">
        <w:rPr>
          <w:rFonts w:ascii="Book Antiqua" w:eastAsia="宋体" w:hAnsi="Book Antiqua" w:cs="宋体"/>
          <w:lang w:eastAsia="zh-CN"/>
        </w:rPr>
        <w:t>: 514-523 [PMID: 21306238 DOI: 10.1056/NEJMoa1009290]</w:t>
      </w:r>
    </w:p>
    <w:p w14:paraId="487E3007"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20</w:t>
      </w:r>
      <w:r w:rsidRPr="007A3E30">
        <w:rPr>
          <w:rFonts w:ascii="Book Antiqua" w:eastAsia="宋体" w:hAnsi="Book Antiqua" w:cs="宋体"/>
          <w:bCs/>
          <w:lang w:eastAsia="zh-CN"/>
        </w:rPr>
        <w:t xml:space="preserve"> FASS (Pharmaceutical specialities in Sweden) website.</w:t>
      </w:r>
      <w:r w:rsidRPr="007A3E30">
        <w:rPr>
          <w:rFonts w:ascii="Book Antiqua" w:eastAsia="宋体" w:hAnsi="Book Antiqua" w:cs="宋体"/>
          <w:b/>
          <w:bCs/>
          <w:lang w:eastAsia="zh-CN"/>
        </w:rPr>
        <w:t xml:space="preserve"> </w:t>
      </w:r>
      <w:r w:rsidRPr="007A3E30">
        <w:rPr>
          <w:rFonts w:ascii="Book Antiqua" w:eastAsia="宋体" w:hAnsi="Book Antiqua" w:cs="宋体"/>
          <w:bCs/>
          <w:lang w:eastAsia="zh-CN"/>
        </w:rPr>
        <w:t>[Last accessed August 28,</w:t>
      </w:r>
      <w:r w:rsidRPr="007A3E30">
        <w:rPr>
          <w:rFonts w:ascii="Book Antiqua" w:eastAsia="宋体" w:hAnsi="Book Antiqua" w:cs="宋体"/>
          <w:lang w:eastAsia="zh-CN"/>
        </w:rPr>
        <w:t xml:space="preserve"> 2019] </w:t>
      </w:r>
      <w:r w:rsidRPr="007A3E30">
        <w:rPr>
          <w:rFonts w:ascii="Book Antiqua" w:eastAsia="宋体" w:hAnsi="Book Antiqua" w:cs="宋体"/>
          <w:bCs/>
          <w:lang w:eastAsia="zh-CN"/>
        </w:rPr>
        <w:t>Available from: https://www.fass.se/LIF/startpage?userType=2</w:t>
      </w:r>
    </w:p>
    <w:p w14:paraId="2C05520A"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21</w:t>
      </w:r>
      <w:r w:rsidRPr="007A3E30">
        <w:rPr>
          <w:rFonts w:ascii="Book Antiqua" w:eastAsia="宋体" w:hAnsi="Book Antiqua" w:cs="宋体"/>
          <w:bCs/>
          <w:lang w:eastAsia="zh-CN"/>
        </w:rPr>
        <w:t xml:space="preserve"> Norwegian Medicines Agency legemiddelsøk. [Last accessed September 02,</w:t>
      </w:r>
      <w:r w:rsidRPr="007A3E30">
        <w:rPr>
          <w:rFonts w:ascii="Book Antiqua" w:eastAsia="宋体" w:hAnsi="Book Antiqua" w:cs="宋体"/>
          <w:lang w:eastAsia="zh-CN"/>
        </w:rPr>
        <w:t xml:space="preserve"> 2019] </w:t>
      </w:r>
      <w:r w:rsidRPr="007A3E30">
        <w:rPr>
          <w:rFonts w:ascii="Book Antiqua" w:eastAsia="宋体" w:hAnsi="Book Antiqua" w:cs="宋体"/>
          <w:bCs/>
          <w:lang w:eastAsia="zh-CN"/>
        </w:rPr>
        <w:t>Available from: https://www.legemiddelsok.no/</w:t>
      </w:r>
    </w:p>
    <w:p w14:paraId="632906C6"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 xml:space="preserve">22 </w:t>
      </w:r>
      <w:r w:rsidRPr="007A3E30">
        <w:rPr>
          <w:rFonts w:ascii="Book Antiqua" w:eastAsia="宋体" w:hAnsi="Book Antiqua" w:cs="宋体"/>
          <w:b/>
          <w:bCs/>
          <w:lang w:eastAsia="zh-CN"/>
        </w:rPr>
        <w:t>Aaronson NK</w:t>
      </w:r>
      <w:r w:rsidRPr="007A3E30">
        <w:rPr>
          <w:rFonts w:ascii="Book Antiqua" w:eastAsia="宋体" w:hAnsi="Book Antiqua" w:cs="宋体"/>
          <w:lang w:eastAsia="zh-CN"/>
        </w:rPr>
        <w:t xml:space="preserve">, Ahmedzai S, Bergman B, Bullinger M, Cull A, Duez NJ, Filiberti A, Flechtner H, Fleishman SB, de Haes JC. The European Organization for Research and Treatment of Cancer QLQ-C30: a quality-of-life instrument for use in international clinical trials in oncology. </w:t>
      </w:r>
      <w:r w:rsidRPr="007A3E30">
        <w:rPr>
          <w:rFonts w:ascii="Book Antiqua" w:eastAsia="宋体" w:hAnsi="Book Antiqua" w:cs="宋体"/>
          <w:i/>
          <w:iCs/>
          <w:lang w:eastAsia="zh-CN"/>
        </w:rPr>
        <w:t>J Natl Cancer Inst</w:t>
      </w:r>
      <w:r w:rsidRPr="007A3E30">
        <w:rPr>
          <w:rFonts w:ascii="Book Antiqua" w:eastAsia="宋体" w:hAnsi="Book Antiqua" w:cs="宋体"/>
          <w:lang w:eastAsia="zh-CN"/>
        </w:rPr>
        <w:t xml:space="preserve"> 1993; </w:t>
      </w:r>
      <w:r w:rsidRPr="007A3E30">
        <w:rPr>
          <w:rFonts w:ascii="Book Antiqua" w:eastAsia="宋体" w:hAnsi="Book Antiqua" w:cs="宋体"/>
          <w:b/>
          <w:bCs/>
          <w:lang w:eastAsia="zh-CN"/>
        </w:rPr>
        <w:t>85</w:t>
      </w:r>
      <w:r w:rsidRPr="007A3E30">
        <w:rPr>
          <w:rFonts w:ascii="Book Antiqua" w:eastAsia="宋体" w:hAnsi="Book Antiqua" w:cs="宋体"/>
          <w:lang w:eastAsia="zh-CN"/>
        </w:rPr>
        <w:t>: 365-376 [PMID: 8433390 DOI: 10.1093/jnci/85.5.365]</w:t>
      </w:r>
    </w:p>
    <w:p w14:paraId="37F5BC29"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 xml:space="preserve">23 </w:t>
      </w:r>
      <w:r w:rsidRPr="007A3E30">
        <w:rPr>
          <w:rFonts w:ascii="Book Antiqua" w:eastAsia="宋体" w:hAnsi="Book Antiqua" w:cs="宋体"/>
          <w:b/>
          <w:bCs/>
          <w:lang w:eastAsia="zh-CN"/>
        </w:rPr>
        <w:t>Longworth L</w:t>
      </w:r>
      <w:r w:rsidRPr="007A3E30">
        <w:rPr>
          <w:rFonts w:ascii="Book Antiqua" w:eastAsia="宋体" w:hAnsi="Book Antiqua" w:cs="宋体"/>
          <w:lang w:eastAsia="zh-CN"/>
        </w:rPr>
        <w:t xml:space="preserve">, Yang Y, Young T, Mulhern B, Hernández Alava M, Mukuria C, Rowen D, Tosh J, Tsuchiya A, Evans P, Devianee Keetharuth A, Brazier J. Use of generic and condition-specific measures of health-related quality of life in NICE decision-making: a systematic review, statistical modelling and survey. </w:t>
      </w:r>
      <w:r w:rsidRPr="007A3E30">
        <w:rPr>
          <w:rFonts w:ascii="Book Antiqua" w:eastAsia="宋体" w:hAnsi="Book Antiqua" w:cs="宋体"/>
          <w:i/>
          <w:iCs/>
          <w:lang w:eastAsia="zh-CN"/>
        </w:rPr>
        <w:t>Health Technol Assess</w:t>
      </w:r>
      <w:r w:rsidRPr="007A3E30">
        <w:rPr>
          <w:rFonts w:ascii="Book Antiqua" w:eastAsia="宋体" w:hAnsi="Book Antiqua" w:cs="宋体"/>
          <w:lang w:eastAsia="zh-CN"/>
        </w:rPr>
        <w:t xml:space="preserve"> 2014; </w:t>
      </w:r>
      <w:r w:rsidRPr="007A3E30">
        <w:rPr>
          <w:rFonts w:ascii="Book Antiqua" w:eastAsia="宋体" w:hAnsi="Book Antiqua" w:cs="宋体"/>
          <w:b/>
          <w:bCs/>
          <w:lang w:eastAsia="zh-CN"/>
        </w:rPr>
        <w:t>18</w:t>
      </w:r>
      <w:r w:rsidRPr="007A3E30">
        <w:rPr>
          <w:rFonts w:ascii="Book Antiqua" w:eastAsia="宋体" w:hAnsi="Book Antiqua" w:cs="宋体"/>
          <w:lang w:eastAsia="zh-CN"/>
        </w:rPr>
        <w:t>: 1-224 [PMID: 24524660 DOI: 10.3310/hta18090.]</w:t>
      </w:r>
    </w:p>
    <w:p w14:paraId="69404FC0"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 xml:space="preserve">24 </w:t>
      </w:r>
      <w:r w:rsidRPr="007A3E30">
        <w:rPr>
          <w:rFonts w:ascii="Book Antiqua" w:eastAsia="宋体" w:hAnsi="Book Antiqua" w:cs="宋体"/>
          <w:b/>
          <w:bCs/>
          <w:lang w:eastAsia="zh-CN"/>
        </w:rPr>
        <w:t>Nafees B</w:t>
      </w:r>
      <w:r w:rsidRPr="007A3E30">
        <w:rPr>
          <w:rFonts w:ascii="Book Antiqua" w:eastAsia="宋体" w:hAnsi="Book Antiqua" w:cs="宋体"/>
          <w:lang w:eastAsia="zh-CN"/>
        </w:rPr>
        <w:t xml:space="preserve">, Stafford M, Gavriel S, Bhalla S, Watkins J. Health state utilities for non small cell lung cancer. </w:t>
      </w:r>
      <w:r w:rsidRPr="007A3E30">
        <w:rPr>
          <w:rFonts w:ascii="Book Antiqua" w:eastAsia="宋体" w:hAnsi="Book Antiqua" w:cs="宋体"/>
          <w:i/>
          <w:iCs/>
          <w:lang w:eastAsia="zh-CN"/>
        </w:rPr>
        <w:t>Health Qual Life Outcomes</w:t>
      </w:r>
      <w:r w:rsidRPr="007A3E30">
        <w:rPr>
          <w:rFonts w:ascii="Book Antiqua" w:eastAsia="宋体" w:hAnsi="Book Antiqua" w:cs="宋体"/>
          <w:lang w:eastAsia="zh-CN"/>
        </w:rPr>
        <w:t xml:space="preserve"> 2008; </w:t>
      </w:r>
      <w:r w:rsidRPr="007A3E30">
        <w:rPr>
          <w:rFonts w:ascii="Book Antiqua" w:eastAsia="宋体" w:hAnsi="Book Antiqua" w:cs="宋体"/>
          <w:b/>
          <w:bCs/>
          <w:lang w:eastAsia="zh-CN"/>
        </w:rPr>
        <w:t>6</w:t>
      </w:r>
      <w:r w:rsidRPr="007A3E30">
        <w:rPr>
          <w:rFonts w:ascii="Book Antiqua" w:eastAsia="宋体" w:hAnsi="Book Antiqua" w:cs="宋体"/>
          <w:lang w:eastAsia="zh-CN"/>
        </w:rPr>
        <w:t>: 84 [PMID: 18939982 DOI: 10.1186/1477-7525-6-84]</w:t>
      </w:r>
    </w:p>
    <w:p w14:paraId="6340774D"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 xml:space="preserve">25 </w:t>
      </w:r>
      <w:r w:rsidRPr="007A3E30">
        <w:rPr>
          <w:rFonts w:ascii="Book Antiqua" w:eastAsia="宋体" w:hAnsi="Book Antiqua" w:cs="宋体"/>
          <w:b/>
          <w:bCs/>
          <w:lang w:eastAsia="zh-CN"/>
        </w:rPr>
        <w:t>Doyle S</w:t>
      </w:r>
      <w:r w:rsidRPr="007A3E30">
        <w:rPr>
          <w:rFonts w:ascii="Book Antiqua" w:eastAsia="宋体" w:hAnsi="Book Antiqua" w:cs="宋体"/>
          <w:lang w:eastAsia="zh-CN"/>
        </w:rPr>
        <w:t xml:space="preserve">, Lloyd A, Walker M. Health state utility scores in advanced non-small cell lung cancer. </w:t>
      </w:r>
      <w:r w:rsidRPr="007A3E30">
        <w:rPr>
          <w:rFonts w:ascii="Book Antiqua" w:eastAsia="宋体" w:hAnsi="Book Antiqua" w:cs="宋体"/>
          <w:i/>
          <w:iCs/>
          <w:lang w:eastAsia="zh-CN"/>
        </w:rPr>
        <w:t>Lung Cancer</w:t>
      </w:r>
      <w:r w:rsidRPr="007A3E30">
        <w:rPr>
          <w:rFonts w:ascii="Book Antiqua" w:eastAsia="宋体" w:hAnsi="Book Antiqua" w:cs="宋体"/>
          <w:lang w:eastAsia="zh-CN"/>
        </w:rPr>
        <w:t xml:space="preserve"> 2008; </w:t>
      </w:r>
      <w:r w:rsidRPr="007A3E30">
        <w:rPr>
          <w:rFonts w:ascii="Book Antiqua" w:eastAsia="宋体" w:hAnsi="Book Antiqua" w:cs="宋体"/>
          <w:b/>
          <w:bCs/>
          <w:lang w:eastAsia="zh-CN"/>
        </w:rPr>
        <w:t>62</w:t>
      </w:r>
      <w:r w:rsidRPr="007A3E30">
        <w:rPr>
          <w:rFonts w:ascii="Book Antiqua" w:eastAsia="宋体" w:hAnsi="Book Antiqua" w:cs="宋体"/>
          <w:lang w:eastAsia="zh-CN"/>
        </w:rPr>
        <w:t>: 374-380 [PMID: 18467000 DOI: 10.1016/j.lungcan.2008.03.019]</w:t>
      </w:r>
    </w:p>
    <w:p w14:paraId="3B2DBD29"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 xml:space="preserve">26 </w:t>
      </w:r>
      <w:r w:rsidRPr="007A3E30">
        <w:rPr>
          <w:rFonts w:ascii="Book Antiqua" w:eastAsia="宋体" w:hAnsi="Book Antiqua" w:cs="宋体"/>
          <w:b/>
          <w:bCs/>
          <w:lang w:eastAsia="zh-CN"/>
        </w:rPr>
        <w:t>Tolley K</w:t>
      </w:r>
      <w:r w:rsidRPr="007A3E30">
        <w:rPr>
          <w:rFonts w:ascii="Book Antiqua" w:eastAsia="宋体" w:hAnsi="Book Antiqua" w:cs="宋体"/>
          <w:lang w:eastAsia="zh-CN"/>
        </w:rPr>
        <w:t xml:space="preserve">, Goad C, Yi Y, Maroudas P, Haiderali A, Thompson G. Utility elicitation study in the UK general public for late-stage chronic lymphocytic leukaemia. </w:t>
      </w:r>
      <w:r w:rsidRPr="007A3E30">
        <w:rPr>
          <w:rFonts w:ascii="Book Antiqua" w:eastAsia="宋体" w:hAnsi="Book Antiqua" w:cs="宋体"/>
          <w:i/>
          <w:iCs/>
          <w:lang w:eastAsia="zh-CN"/>
        </w:rPr>
        <w:t>Eur J Health Econ</w:t>
      </w:r>
      <w:r w:rsidRPr="007A3E30">
        <w:rPr>
          <w:rFonts w:ascii="Book Antiqua" w:eastAsia="宋体" w:hAnsi="Book Antiqua" w:cs="宋体"/>
          <w:lang w:eastAsia="zh-CN"/>
        </w:rPr>
        <w:t xml:space="preserve"> 2013; </w:t>
      </w:r>
      <w:r w:rsidRPr="007A3E30">
        <w:rPr>
          <w:rFonts w:ascii="Book Antiqua" w:eastAsia="宋体" w:hAnsi="Book Antiqua" w:cs="宋体"/>
          <w:b/>
          <w:bCs/>
          <w:lang w:eastAsia="zh-CN"/>
        </w:rPr>
        <w:t>14</w:t>
      </w:r>
      <w:r w:rsidRPr="007A3E30">
        <w:rPr>
          <w:rFonts w:ascii="Book Antiqua" w:eastAsia="宋体" w:hAnsi="Book Antiqua" w:cs="宋体"/>
          <w:lang w:eastAsia="zh-CN"/>
        </w:rPr>
        <w:t>: 749-759 [PMID: 22941034 DOI: 10.1007/s10198-012-0419-2]</w:t>
      </w:r>
    </w:p>
    <w:p w14:paraId="64BE8EDB"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 xml:space="preserve">27 </w:t>
      </w:r>
      <w:r w:rsidRPr="007A3E30">
        <w:rPr>
          <w:rFonts w:ascii="Book Antiqua" w:eastAsia="宋体" w:hAnsi="Book Antiqua" w:cs="宋体"/>
          <w:b/>
          <w:bCs/>
          <w:lang w:eastAsia="zh-CN"/>
        </w:rPr>
        <w:t>Swinburn P</w:t>
      </w:r>
      <w:r w:rsidRPr="007A3E30">
        <w:rPr>
          <w:rFonts w:ascii="Book Antiqua" w:eastAsia="宋体" w:hAnsi="Book Antiqua" w:cs="宋体"/>
          <w:lang w:eastAsia="zh-CN"/>
        </w:rPr>
        <w:t xml:space="preserve">, Wang J, Chandiwana D, Mansoor W, Lloyd A. Elicitation of health state utilities in neuroendocrine tumours. </w:t>
      </w:r>
      <w:r w:rsidRPr="007A3E30">
        <w:rPr>
          <w:rFonts w:ascii="Book Antiqua" w:eastAsia="宋体" w:hAnsi="Book Antiqua" w:cs="宋体"/>
          <w:i/>
          <w:iCs/>
          <w:lang w:eastAsia="zh-CN"/>
        </w:rPr>
        <w:t>J Med Econ</w:t>
      </w:r>
      <w:r w:rsidRPr="007A3E30">
        <w:rPr>
          <w:rFonts w:ascii="Book Antiqua" w:eastAsia="宋体" w:hAnsi="Book Antiqua" w:cs="宋体"/>
          <w:lang w:eastAsia="zh-CN"/>
        </w:rPr>
        <w:t xml:space="preserve"> 2012; </w:t>
      </w:r>
      <w:r w:rsidRPr="007A3E30">
        <w:rPr>
          <w:rFonts w:ascii="Book Antiqua" w:eastAsia="宋体" w:hAnsi="Book Antiqua" w:cs="宋体"/>
          <w:b/>
          <w:bCs/>
          <w:lang w:eastAsia="zh-CN"/>
        </w:rPr>
        <w:t>15</w:t>
      </w:r>
      <w:r w:rsidRPr="007A3E30">
        <w:rPr>
          <w:rFonts w:ascii="Book Antiqua" w:eastAsia="宋体" w:hAnsi="Book Antiqua" w:cs="宋体"/>
          <w:lang w:eastAsia="zh-CN"/>
        </w:rPr>
        <w:t>: 681-687 [PMID: 22364284 DOI: 10.3111/13696998.2012.670175]</w:t>
      </w:r>
    </w:p>
    <w:p w14:paraId="7D7B53E7"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 xml:space="preserve">28 </w:t>
      </w:r>
      <w:r w:rsidRPr="007A3E30">
        <w:rPr>
          <w:rFonts w:ascii="Book Antiqua" w:eastAsia="宋体" w:hAnsi="Book Antiqua" w:cs="宋体"/>
          <w:b/>
          <w:bCs/>
          <w:lang w:eastAsia="zh-CN"/>
        </w:rPr>
        <w:t>Pavel M</w:t>
      </w:r>
      <w:r w:rsidRPr="007A3E30">
        <w:rPr>
          <w:rFonts w:ascii="Book Antiqua" w:eastAsia="宋体" w:hAnsi="Book Antiqua" w:cs="宋体"/>
          <w:lang w:eastAsia="zh-CN"/>
        </w:rPr>
        <w:t xml:space="preserve">, O'Toole D, Costa F, Capdevila J, Gross D, Kianmanesh R, Krenning E, Knigge U, Salazar R, Pape UF, Öberg K; Vienna Consensus Conference participants. ENETS Consensus Guidelines Update for the Management of Distant Metastatic Disease of Intestinal, Pancreatic, Bronchial Neuroendocrine Neoplasms (NEN) and NEN of Unknown Primary Site. </w:t>
      </w:r>
      <w:r w:rsidRPr="007A3E30">
        <w:rPr>
          <w:rFonts w:ascii="Book Antiqua" w:eastAsia="宋体" w:hAnsi="Book Antiqua" w:cs="宋体"/>
          <w:i/>
          <w:iCs/>
          <w:lang w:eastAsia="zh-CN"/>
        </w:rPr>
        <w:t>Neuroendocrinology</w:t>
      </w:r>
      <w:r w:rsidRPr="007A3E30">
        <w:rPr>
          <w:rFonts w:ascii="Book Antiqua" w:eastAsia="宋体" w:hAnsi="Book Antiqua" w:cs="宋体"/>
          <w:lang w:eastAsia="zh-CN"/>
        </w:rPr>
        <w:t xml:space="preserve"> 2016; </w:t>
      </w:r>
      <w:r w:rsidRPr="007A3E30">
        <w:rPr>
          <w:rFonts w:ascii="Book Antiqua" w:eastAsia="宋体" w:hAnsi="Book Antiqua" w:cs="宋体"/>
          <w:b/>
          <w:bCs/>
          <w:lang w:eastAsia="zh-CN"/>
        </w:rPr>
        <w:t>103</w:t>
      </w:r>
      <w:r w:rsidRPr="007A3E30">
        <w:rPr>
          <w:rFonts w:ascii="Book Antiqua" w:eastAsia="宋体" w:hAnsi="Book Antiqua" w:cs="宋体"/>
          <w:lang w:eastAsia="zh-CN"/>
        </w:rPr>
        <w:t>: 172-185 [PMID: 26731013 DOI: 10.1159/000443167]</w:t>
      </w:r>
    </w:p>
    <w:p w14:paraId="7F4EB7C8"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 xml:space="preserve">29 </w:t>
      </w:r>
      <w:r w:rsidRPr="007A3E30">
        <w:rPr>
          <w:rFonts w:ascii="Book Antiqua" w:eastAsia="宋体" w:hAnsi="Book Antiqua" w:cs="宋体"/>
          <w:b/>
          <w:bCs/>
          <w:lang w:eastAsia="zh-CN"/>
        </w:rPr>
        <w:t>Sullivan SD</w:t>
      </w:r>
      <w:r w:rsidRPr="007A3E30">
        <w:rPr>
          <w:rFonts w:ascii="Book Antiqua" w:eastAsia="宋体" w:hAnsi="Book Antiqua" w:cs="宋体"/>
          <w:lang w:eastAsia="zh-CN"/>
        </w:rPr>
        <w:t xml:space="preserve">, Mauskopf JA, Augustovski F, Jaime Caro J, Lee KM, Minchin M, Orlewska E, Penna P, Rodriguez Barrios JM, Shau WY. Budget impact analysis-principles of good practice: report of the ISPOR 2012 Budget Impact Analysis Good Practice II Task Force. </w:t>
      </w:r>
      <w:r w:rsidRPr="007A3E30">
        <w:rPr>
          <w:rFonts w:ascii="Book Antiqua" w:eastAsia="宋体" w:hAnsi="Book Antiqua" w:cs="宋体"/>
          <w:i/>
          <w:iCs/>
          <w:lang w:eastAsia="zh-CN"/>
        </w:rPr>
        <w:t>Value Health</w:t>
      </w:r>
      <w:r w:rsidRPr="007A3E30">
        <w:rPr>
          <w:rFonts w:ascii="Book Antiqua" w:eastAsia="宋体" w:hAnsi="Book Antiqua" w:cs="宋体"/>
          <w:lang w:eastAsia="zh-CN"/>
        </w:rPr>
        <w:t xml:space="preserve"> 2014; </w:t>
      </w:r>
      <w:r w:rsidRPr="007A3E30">
        <w:rPr>
          <w:rFonts w:ascii="Book Antiqua" w:eastAsia="宋体" w:hAnsi="Book Antiqua" w:cs="宋体"/>
          <w:b/>
          <w:bCs/>
          <w:lang w:eastAsia="zh-CN"/>
        </w:rPr>
        <w:t>17</w:t>
      </w:r>
      <w:r w:rsidRPr="007A3E30">
        <w:rPr>
          <w:rFonts w:ascii="Book Antiqua" w:eastAsia="宋体" w:hAnsi="Book Antiqua" w:cs="宋体"/>
          <w:lang w:eastAsia="zh-CN"/>
        </w:rPr>
        <w:t>: 5-14 [PMID: 24438712 DOI: 10.1016/j.jval.2013.08.2291]</w:t>
      </w:r>
    </w:p>
    <w:p w14:paraId="09ED5F08"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30</w:t>
      </w:r>
      <w:r w:rsidRPr="007A3E30">
        <w:rPr>
          <w:rFonts w:ascii="Book Antiqua" w:eastAsia="宋体" w:hAnsi="Book Antiqua" w:cs="宋体"/>
          <w:b/>
          <w:bCs/>
          <w:lang w:eastAsia="zh-CN"/>
        </w:rPr>
        <w:t xml:space="preserve"> International Society for Pharmacoeconomics and Outcomes Research. </w:t>
      </w:r>
      <w:r w:rsidRPr="007A3E30">
        <w:rPr>
          <w:rFonts w:ascii="Book Antiqua" w:eastAsia="宋体" w:hAnsi="Book Antiqua" w:cs="宋体"/>
          <w:bCs/>
          <w:lang w:eastAsia="zh-CN"/>
        </w:rPr>
        <w:t>Pharmacoeconomic guidelines around the world. [Last accessed September 25,</w:t>
      </w:r>
      <w:r w:rsidRPr="007A3E30">
        <w:rPr>
          <w:rFonts w:ascii="Book Antiqua" w:eastAsia="宋体" w:hAnsi="Book Antiqua" w:cs="宋体"/>
          <w:lang w:eastAsia="zh-CN"/>
        </w:rPr>
        <w:t xml:space="preserve"> 2019] </w:t>
      </w:r>
      <w:r w:rsidRPr="007A3E30">
        <w:rPr>
          <w:rFonts w:ascii="Book Antiqua" w:eastAsia="宋体" w:hAnsi="Book Antiqua" w:cs="宋体"/>
          <w:bCs/>
          <w:lang w:eastAsia="zh-CN"/>
        </w:rPr>
        <w:t>Available from: https://tools.ispor.org/PEguidelines/</w:t>
      </w:r>
    </w:p>
    <w:p w14:paraId="7263749E"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 xml:space="preserve">31 </w:t>
      </w:r>
      <w:r w:rsidRPr="007A3E30">
        <w:rPr>
          <w:rFonts w:ascii="Book Antiqua" w:eastAsia="宋体" w:hAnsi="Book Antiqua" w:cs="宋体"/>
          <w:b/>
          <w:bCs/>
          <w:lang w:eastAsia="zh-CN"/>
        </w:rPr>
        <w:t>Korman M</w:t>
      </w:r>
      <w:r w:rsidRPr="007A3E30">
        <w:rPr>
          <w:rFonts w:ascii="Book Antiqua" w:eastAsia="宋体" w:hAnsi="Book Antiqua" w:cs="宋体"/>
          <w:lang w:eastAsia="zh-CN"/>
        </w:rPr>
        <w:t xml:space="preserve">, Wisløff T. Modelling the cost-effectiveness of PCSK9 inhibitors vs. ezetimibe through LDL-C reductions in a Norwegian setting. </w:t>
      </w:r>
      <w:r w:rsidRPr="007A3E30">
        <w:rPr>
          <w:rFonts w:ascii="Book Antiqua" w:eastAsia="宋体" w:hAnsi="Book Antiqua" w:cs="宋体"/>
          <w:i/>
          <w:iCs/>
          <w:lang w:eastAsia="zh-CN"/>
        </w:rPr>
        <w:t>Eur Heart J Cardiovasc Pharmacother</w:t>
      </w:r>
      <w:r w:rsidRPr="007A3E30">
        <w:rPr>
          <w:rFonts w:ascii="Book Antiqua" w:eastAsia="宋体" w:hAnsi="Book Antiqua" w:cs="宋体"/>
          <w:lang w:eastAsia="zh-CN"/>
        </w:rPr>
        <w:t xml:space="preserve"> 2018; </w:t>
      </w:r>
      <w:r w:rsidRPr="007A3E30">
        <w:rPr>
          <w:rFonts w:ascii="Book Antiqua" w:eastAsia="宋体" w:hAnsi="Book Antiqua" w:cs="宋体"/>
          <w:b/>
          <w:bCs/>
          <w:lang w:eastAsia="zh-CN"/>
        </w:rPr>
        <w:t>4</w:t>
      </w:r>
      <w:r w:rsidRPr="007A3E30">
        <w:rPr>
          <w:rFonts w:ascii="Book Antiqua" w:eastAsia="宋体" w:hAnsi="Book Antiqua" w:cs="宋体"/>
          <w:lang w:eastAsia="zh-CN"/>
        </w:rPr>
        <w:t>: 15-22 [PMID: 28444187 DOI: 10.1093/ehjcvp/pvx010]</w:t>
      </w:r>
    </w:p>
    <w:p w14:paraId="6C7DD2DF"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 xml:space="preserve">32 </w:t>
      </w:r>
      <w:r w:rsidRPr="007A3E30">
        <w:rPr>
          <w:rFonts w:ascii="Book Antiqua" w:eastAsia="宋体" w:hAnsi="Book Antiqua" w:cs="宋体"/>
          <w:b/>
          <w:bCs/>
          <w:lang w:eastAsia="zh-CN"/>
        </w:rPr>
        <w:t>Lawrence B</w:t>
      </w:r>
      <w:r w:rsidRPr="007A3E30">
        <w:rPr>
          <w:rFonts w:ascii="Book Antiqua" w:eastAsia="宋体" w:hAnsi="Book Antiqua" w:cs="宋体"/>
          <w:lang w:eastAsia="zh-CN"/>
        </w:rPr>
        <w:t xml:space="preserve">, Gustafsson BI, Chan A, Svejda B, Kidd M, Modlin IM. The epidemiology of gastroenteropancreatic neuroendocrine tumors. </w:t>
      </w:r>
      <w:r w:rsidRPr="007A3E30">
        <w:rPr>
          <w:rFonts w:ascii="Book Antiqua" w:eastAsia="宋体" w:hAnsi="Book Antiqua" w:cs="宋体"/>
          <w:i/>
          <w:iCs/>
          <w:lang w:eastAsia="zh-CN"/>
        </w:rPr>
        <w:t>Endocrinol Metab Clin North Am</w:t>
      </w:r>
      <w:r w:rsidRPr="007A3E30">
        <w:rPr>
          <w:rFonts w:ascii="Book Antiqua" w:eastAsia="宋体" w:hAnsi="Book Antiqua" w:cs="宋体"/>
          <w:lang w:eastAsia="zh-CN"/>
        </w:rPr>
        <w:t xml:space="preserve"> 2011; </w:t>
      </w:r>
      <w:r w:rsidRPr="007A3E30">
        <w:rPr>
          <w:rFonts w:ascii="Book Antiqua" w:eastAsia="宋体" w:hAnsi="Book Antiqua" w:cs="宋体"/>
          <w:b/>
          <w:bCs/>
          <w:lang w:eastAsia="zh-CN"/>
        </w:rPr>
        <w:t>40</w:t>
      </w:r>
      <w:r w:rsidRPr="007A3E30">
        <w:rPr>
          <w:rFonts w:ascii="Book Antiqua" w:eastAsia="宋体" w:hAnsi="Book Antiqua" w:cs="宋体"/>
          <w:lang w:eastAsia="zh-CN"/>
        </w:rPr>
        <w:t>: 1-18, vii [PMID: 21349409 DOI: 10.1016/j.ecl.2010.12.005]</w:t>
      </w:r>
    </w:p>
    <w:p w14:paraId="320FB06B"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 xml:space="preserve">33 </w:t>
      </w:r>
      <w:r w:rsidRPr="007A3E30">
        <w:rPr>
          <w:rFonts w:ascii="Book Antiqua" w:eastAsia="宋体" w:hAnsi="Book Antiqua" w:cs="宋体"/>
          <w:b/>
          <w:bCs/>
          <w:lang w:eastAsia="zh-CN"/>
        </w:rPr>
        <w:t>Lesén E</w:t>
      </w:r>
      <w:r w:rsidRPr="007A3E30">
        <w:rPr>
          <w:rFonts w:ascii="Book Antiqua" w:eastAsia="宋体" w:hAnsi="Book Antiqua" w:cs="宋体"/>
          <w:lang w:eastAsia="zh-CN"/>
        </w:rPr>
        <w:t xml:space="preserve">, Granfeldt D, Houchard A, Berthon A, Dinet J, Gabriel S, Björstad Å, Björholt I, Elf AK, Johanson V. Cost-of-illness of metastatic gastroenteropancreatic neuroendocrine tumours in Sweden-A population-based register-linkage study. </w:t>
      </w:r>
      <w:r w:rsidRPr="007A3E30">
        <w:rPr>
          <w:rFonts w:ascii="Book Antiqua" w:eastAsia="宋体" w:hAnsi="Book Antiqua" w:cs="宋体"/>
          <w:i/>
          <w:iCs/>
          <w:lang w:eastAsia="zh-CN"/>
        </w:rPr>
        <w:t>Eur J Cancer Care (Engl)</w:t>
      </w:r>
      <w:r w:rsidRPr="007A3E30">
        <w:rPr>
          <w:rFonts w:ascii="Book Antiqua" w:eastAsia="宋体" w:hAnsi="Book Antiqua" w:cs="宋体"/>
          <w:lang w:eastAsia="zh-CN"/>
        </w:rPr>
        <w:t xml:space="preserve"> 2019; </w:t>
      </w:r>
      <w:r w:rsidRPr="007A3E30">
        <w:rPr>
          <w:rFonts w:ascii="Book Antiqua" w:eastAsia="宋体" w:hAnsi="Book Antiqua" w:cs="宋体"/>
          <w:b/>
          <w:bCs/>
          <w:lang w:eastAsia="zh-CN"/>
        </w:rPr>
        <w:t>28</w:t>
      </w:r>
      <w:r w:rsidRPr="007A3E30">
        <w:rPr>
          <w:rFonts w:ascii="Book Antiqua" w:eastAsia="宋体" w:hAnsi="Book Antiqua" w:cs="宋体"/>
          <w:lang w:eastAsia="zh-CN"/>
        </w:rPr>
        <w:t>: e12983 [PMID: 30652364 DOI: 10.1111/ecc.12983]</w:t>
      </w:r>
    </w:p>
    <w:p w14:paraId="1EEFD902"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34</w:t>
      </w:r>
      <w:r w:rsidRPr="007A3E30">
        <w:rPr>
          <w:rFonts w:ascii="Book Antiqua" w:eastAsia="宋体" w:hAnsi="Book Antiqua" w:cs="宋体"/>
          <w:b/>
          <w:bCs/>
          <w:lang w:eastAsia="zh-CN"/>
        </w:rPr>
        <w:t xml:space="preserve"> National Institute for Health and Care Excellence. </w:t>
      </w:r>
      <w:r w:rsidRPr="007A3E30">
        <w:rPr>
          <w:rFonts w:ascii="Book Antiqua" w:eastAsia="宋体" w:hAnsi="Book Antiqua" w:cs="宋体"/>
          <w:bCs/>
          <w:lang w:eastAsia="zh-CN"/>
        </w:rPr>
        <w:t>TA539 August 2018. Lutetium (177Lu) oxodotreotide for treating unresectable or metastatic neuroendocrine tumors. [Last accessed September 03,</w:t>
      </w:r>
      <w:r w:rsidRPr="007A3E30">
        <w:rPr>
          <w:rFonts w:ascii="Book Antiqua" w:eastAsia="宋体" w:hAnsi="Book Antiqua" w:cs="宋体"/>
          <w:lang w:eastAsia="zh-CN"/>
        </w:rPr>
        <w:t xml:space="preserve"> 2019] </w:t>
      </w:r>
      <w:r w:rsidRPr="007A3E30">
        <w:rPr>
          <w:rFonts w:ascii="Book Antiqua" w:eastAsia="宋体" w:hAnsi="Book Antiqua" w:cs="宋体"/>
          <w:bCs/>
          <w:lang w:eastAsia="zh-CN"/>
        </w:rPr>
        <w:t>Available from: https://www.nice.org.uk/guidance/ta539</w:t>
      </w:r>
    </w:p>
    <w:p w14:paraId="7264D6EC"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35</w:t>
      </w:r>
      <w:r w:rsidRPr="007A3E30">
        <w:rPr>
          <w:rFonts w:ascii="Book Antiqua" w:eastAsia="宋体" w:hAnsi="Book Antiqua" w:cs="宋体"/>
          <w:b/>
          <w:bCs/>
          <w:lang w:eastAsia="zh-CN"/>
        </w:rPr>
        <w:t xml:space="preserve"> Scottish Medicines Consortium. </w:t>
      </w:r>
      <w:r w:rsidRPr="007A3E30">
        <w:rPr>
          <w:rFonts w:ascii="Book Antiqua" w:eastAsia="宋体" w:hAnsi="Book Antiqua" w:cs="宋体"/>
          <w:bCs/>
          <w:caps/>
          <w:lang w:eastAsia="zh-CN"/>
        </w:rPr>
        <w:t>l</w:t>
      </w:r>
      <w:r w:rsidRPr="007A3E30">
        <w:rPr>
          <w:rFonts w:ascii="Book Antiqua" w:eastAsia="宋体" w:hAnsi="Book Antiqua" w:cs="宋体"/>
          <w:bCs/>
          <w:lang w:eastAsia="zh-CN"/>
        </w:rPr>
        <w:t>utetium (177Lu) oxodotreotide 370MBq/mL solution for infusion. June 2018. [Last accessed September 04,</w:t>
      </w:r>
      <w:r w:rsidRPr="007A3E30">
        <w:rPr>
          <w:rFonts w:ascii="Book Antiqua" w:eastAsia="宋体" w:hAnsi="Book Antiqua" w:cs="宋体"/>
          <w:lang w:eastAsia="zh-CN"/>
        </w:rPr>
        <w:t xml:space="preserve"> 2019] </w:t>
      </w:r>
      <w:r w:rsidRPr="007A3E30">
        <w:rPr>
          <w:rFonts w:ascii="Book Antiqua" w:eastAsia="宋体" w:hAnsi="Book Antiqua" w:cs="宋体"/>
          <w:bCs/>
          <w:lang w:eastAsia="zh-CN"/>
        </w:rPr>
        <w:t xml:space="preserve">Available from: </w:t>
      </w:r>
      <w:bookmarkStart w:id="16" w:name="OLE_LINK444"/>
      <w:bookmarkStart w:id="17" w:name="OLE_LINK445"/>
      <w:r w:rsidRPr="007A3E30">
        <w:rPr>
          <w:rFonts w:ascii="Book Antiqua" w:eastAsia="宋体" w:hAnsi="Book Antiqua" w:cs="宋体"/>
          <w:bCs/>
          <w:lang w:eastAsia="zh-CN"/>
        </w:rPr>
        <w:t>https://www.scottishmedicines.org.uk/media/3557/Lutetium-177 Lu-oxodotreotide-lutathera-final-june-2018-for-website.pdf</w:t>
      </w:r>
      <w:bookmarkEnd w:id="16"/>
      <w:bookmarkEnd w:id="17"/>
    </w:p>
    <w:p w14:paraId="21961A97" w14:textId="44478E0A"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36</w:t>
      </w:r>
      <w:r w:rsidR="002B01AF" w:rsidRPr="007A3E30">
        <w:rPr>
          <w:rFonts w:ascii="Book Antiqua" w:eastAsia="宋体" w:hAnsi="Book Antiqua" w:cs="宋体"/>
          <w:bCs/>
          <w:lang w:eastAsia="zh-CN"/>
        </w:rPr>
        <w:t xml:space="preserve"> Tandvårds-</w:t>
      </w:r>
      <w:r w:rsidRPr="007A3E30">
        <w:rPr>
          <w:rFonts w:ascii="Book Antiqua" w:eastAsia="宋体" w:hAnsi="Book Antiqua" w:cs="宋体"/>
          <w:bCs/>
          <w:lang w:eastAsia="zh-CN"/>
        </w:rPr>
        <w:t>och läkemedelsförmånsverket. Underlag för beslut i landstingen Lutathera (lutetium (177Lu)oxodotreotid). [Last accessed September 04,</w:t>
      </w:r>
      <w:r w:rsidRPr="007A3E30">
        <w:rPr>
          <w:rFonts w:ascii="Book Antiqua" w:eastAsia="宋体" w:hAnsi="Book Antiqua" w:cs="宋体"/>
          <w:lang w:eastAsia="zh-CN"/>
        </w:rPr>
        <w:t xml:space="preserve"> 2019] </w:t>
      </w:r>
      <w:r w:rsidRPr="007A3E30">
        <w:rPr>
          <w:rFonts w:ascii="Book Antiqua" w:eastAsia="宋体" w:hAnsi="Book Antiqua" w:cs="宋体"/>
          <w:bCs/>
          <w:lang w:eastAsia="zh-CN"/>
        </w:rPr>
        <w:t>Available from: https://www.tlv.se/download/18.500ea4181641067957a50823/1529492321767/bes180614_lutathera_underlag.pdf</w:t>
      </w:r>
    </w:p>
    <w:p w14:paraId="1686DA44"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bookmarkStart w:id="18" w:name="OLE_LINK450"/>
      <w:bookmarkStart w:id="19" w:name="OLE_LINK451"/>
      <w:r w:rsidRPr="007A3E30">
        <w:rPr>
          <w:rFonts w:ascii="Book Antiqua" w:eastAsia="宋体" w:hAnsi="Book Antiqua" w:cs="宋体"/>
          <w:lang w:eastAsia="zh-CN"/>
        </w:rPr>
        <w:t>37</w:t>
      </w:r>
      <w:r w:rsidRPr="007A3E30">
        <w:rPr>
          <w:rFonts w:ascii="Book Antiqua" w:eastAsia="宋体" w:hAnsi="Book Antiqua" w:cs="宋体"/>
          <w:b/>
          <w:bCs/>
          <w:lang w:eastAsia="zh-CN"/>
        </w:rPr>
        <w:t xml:space="preserve"> Satapathy S</w:t>
      </w:r>
      <w:r w:rsidRPr="007A3E30">
        <w:rPr>
          <w:rFonts w:ascii="Book Antiqua" w:eastAsia="宋体" w:hAnsi="Book Antiqua" w:cs="宋体"/>
          <w:lang w:eastAsia="zh-CN"/>
        </w:rPr>
        <w:t xml:space="preserve">, Mittal BR. 177Lu-DOTATATE peptide receptor radionuclide therapy versus Everolimus in advanced pancreatic neuroendocrine tumors: a systematic review and meta-analysis. </w:t>
      </w:r>
      <w:r w:rsidRPr="007A3E30">
        <w:rPr>
          <w:rFonts w:ascii="Book Antiqua" w:eastAsia="宋体" w:hAnsi="Book Antiqua" w:cs="宋体"/>
          <w:i/>
          <w:iCs/>
          <w:lang w:eastAsia="zh-CN"/>
        </w:rPr>
        <w:t>Nucl Med Commun</w:t>
      </w:r>
      <w:r w:rsidRPr="007A3E30">
        <w:rPr>
          <w:rFonts w:ascii="Book Antiqua" w:eastAsia="宋体" w:hAnsi="Book Antiqua" w:cs="宋体"/>
          <w:lang w:eastAsia="zh-CN"/>
        </w:rPr>
        <w:t xml:space="preserve"> 2019; </w:t>
      </w:r>
      <w:r w:rsidRPr="007A3E30">
        <w:rPr>
          <w:rFonts w:ascii="Book Antiqua" w:eastAsia="宋体" w:hAnsi="Book Antiqua" w:cs="宋体"/>
          <w:b/>
          <w:bCs/>
          <w:lang w:eastAsia="zh-CN"/>
        </w:rPr>
        <w:t>40</w:t>
      </w:r>
      <w:r w:rsidRPr="007A3E30">
        <w:rPr>
          <w:rFonts w:ascii="Book Antiqua" w:eastAsia="宋体" w:hAnsi="Book Antiqua" w:cs="宋体"/>
          <w:lang w:eastAsia="zh-CN"/>
        </w:rPr>
        <w:t>: 1195-1203 [PMID: 31658219 DOI: 10.1097/MNM.0000000000001103]</w:t>
      </w:r>
    </w:p>
    <w:p w14:paraId="4E701A26"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 xml:space="preserve">38 </w:t>
      </w:r>
      <w:r w:rsidRPr="007A3E30">
        <w:rPr>
          <w:rFonts w:ascii="Book Antiqua" w:eastAsia="宋体" w:hAnsi="Book Antiqua" w:cs="宋体"/>
          <w:b/>
          <w:bCs/>
          <w:lang w:eastAsia="zh-CN"/>
        </w:rPr>
        <w:t>Bergsma H</w:t>
      </w:r>
      <w:r w:rsidRPr="007A3E30">
        <w:rPr>
          <w:rFonts w:ascii="Book Antiqua" w:eastAsia="宋体" w:hAnsi="Book Antiqua" w:cs="宋体"/>
          <w:lang w:eastAsia="zh-CN"/>
        </w:rPr>
        <w:t xml:space="preserve">, van Lom K, Raaijmakers MHGP, Konijnenberg M, Kam BLBLR, Teunissen JJM, de Herder WW, Krenning EP, Kwekkeboom DJ. Persistent Hematologic Dysfunction after Peptide Receptor Radionuclide Therapy with </w:t>
      </w:r>
      <w:r w:rsidRPr="007A3E30">
        <w:rPr>
          <w:rFonts w:ascii="Book Antiqua" w:eastAsia="宋体" w:hAnsi="Book Antiqua" w:cs="宋体"/>
          <w:vertAlign w:val="superscript"/>
          <w:lang w:eastAsia="zh-CN"/>
        </w:rPr>
        <w:t>177</w:t>
      </w:r>
      <w:r w:rsidRPr="007A3E30">
        <w:rPr>
          <w:rFonts w:ascii="Book Antiqua" w:eastAsia="宋体" w:hAnsi="Book Antiqua" w:cs="宋体"/>
          <w:lang w:eastAsia="zh-CN"/>
        </w:rPr>
        <w:t xml:space="preserve">Lu-DOTATATE: Incidence, Course, and Predicting Factors in Patients with Gastroenteropancreatic Neuroendocrine Tumors. </w:t>
      </w:r>
      <w:r w:rsidRPr="007A3E30">
        <w:rPr>
          <w:rFonts w:ascii="Book Antiqua" w:eastAsia="宋体" w:hAnsi="Book Antiqua" w:cs="宋体"/>
          <w:i/>
          <w:iCs/>
          <w:lang w:eastAsia="zh-CN"/>
        </w:rPr>
        <w:t>J Nucl Med</w:t>
      </w:r>
      <w:r w:rsidRPr="007A3E30">
        <w:rPr>
          <w:rFonts w:ascii="Book Antiqua" w:eastAsia="宋体" w:hAnsi="Book Antiqua" w:cs="宋体"/>
          <w:lang w:eastAsia="zh-CN"/>
        </w:rPr>
        <w:t xml:space="preserve"> 2018; </w:t>
      </w:r>
      <w:r w:rsidRPr="007A3E30">
        <w:rPr>
          <w:rFonts w:ascii="Book Antiqua" w:eastAsia="宋体" w:hAnsi="Book Antiqua" w:cs="宋体"/>
          <w:b/>
          <w:bCs/>
          <w:lang w:eastAsia="zh-CN"/>
        </w:rPr>
        <w:t>59</w:t>
      </w:r>
      <w:r w:rsidRPr="007A3E30">
        <w:rPr>
          <w:rFonts w:ascii="Book Antiqua" w:eastAsia="宋体" w:hAnsi="Book Antiqua" w:cs="宋体"/>
          <w:lang w:eastAsia="zh-CN"/>
        </w:rPr>
        <w:t>: 452-458 [PMID: 28775205 DOI: 10.2967/jnumed.117.189712]</w:t>
      </w:r>
    </w:p>
    <w:bookmarkEnd w:id="18"/>
    <w:bookmarkEnd w:id="19"/>
    <w:p w14:paraId="3DA80D87"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39</w:t>
      </w:r>
      <w:r w:rsidRPr="007A3E30">
        <w:rPr>
          <w:rFonts w:ascii="Book Antiqua" w:eastAsia="宋体" w:hAnsi="Book Antiqua" w:cs="宋体"/>
          <w:b/>
          <w:bCs/>
          <w:lang w:eastAsia="zh-CN"/>
        </w:rPr>
        <w:t xml:space="preserve"> </w:t>
      </w:r>
      <w:r w:rsidRPr="007A3E30">
        <w:rPr>
          <w:rFonts w:ascii="Book Antiqua" w:eastAsia="宋体" w:hAnsi="Book Antiqua" w:cs="宋体"/>
          <w:bCs/>
          <w:lang w:eastAsia="zh-CN"/>
        </w:rPr>
        <w:t>Sunitinib European Summary of Product Characteristics. [Last accessed August 29,</w:t>
      </w:r>
      <w:r w:rsidRPr="007A3E30">
        <w:rPr>
          <w:rFonts w:ascii="Book Antiqua" w:eastAsia="宋体" w:hAnsi="Book Antiqua" w:cs="宋体"/>
          <w:lang w:eastAsia="zh-CN"/>
        </w:rPr>
        <w:t xml:space="preserve"> 2019] </w:t>
      </w:r>
      <w:r w:rsidRPr="007A3E30">
        <w:rPr>
          <w:rFonts w:ascii="Book Antiqua" w:eastAsia="宋体" w:hAnsi="Book Antiqua" w:cs="宋体"/>
          <w:bCs/>
          <w:lang w:eastAsia="zh-CN"/>
        </w:rPr>
        <w:t>Available from: https://www.ema.europa.eu/en/documents/product-information/sutent-epar-product-information_en.pdf</w:t>
      </w:r>
    </w:p>
    <w:p w14:paraId="731BD932"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 xml:space="preserve">40 </w:t>
      </w:r>
      <w:r w:rsidRPr="007A3E30">
        <w:rPr>
          <w:rFonts w:ascii="Book Antiqua" w:eastAsia="宋体" w:hAnsi="Book Antiqua" w:cs="宋体"/>
          <w:b/>
          <w:bCs/>
          <w:lang w:eastAsia="zh-CN"/>
        </w:rPr>
        <w:t>Signorovitch J</w:t>
      </w:r>
      <w:r w:rsidRPr="007A3E30">
        <w:rPr>
          <w:rFonts w:ascii="Book Antiqua" w:eastAsia="宋体" w:hAnsi="Book Antiqua" w:cs="宋体"/>
          <w:lang w:eastAsia="zh-CN"/>
        </w:rPr>
        <w:t xml:space="preserve">, Swallow E, Kantor E, Wang X, Klimovsky J, Haas T, Devine B, Metrakos P. Everolimus and sunitinib for advanced pancreatic neuroendocrine tumors: a matching-adjusted indirect comparison. </w:t>
      </w:r>
      <w:r w:rsidRPr="007A3E30">
        <w:rPr>
          <w:rFonts w:ascii="Book Antiqua" w:eastAsia="宋体" w:hAnsi="Book Antiqua" w:cs="宋体"/>
          <w:i/>
          <w:iCs/>
          <w:lang w:eastAsia="zh-CN"/>
        </w:rPr>
        <w:t>Exp Hematol Oncol</w:t>
      </w:r>
      <w:r w:rsidRPr="007A3E30">
        <w:rPr>
          <w:rFonts w:ascii="Book Antiqua" w:eastAsia="宋体" w:hAnsi="Book Antiqua" w:cs="宋体"/>
          <w:lang w:eastAsia="zh-CN"/>
        </w:rPr>
        <w:t xml:space="preserve"> 2013; </w:t>
      </w:r>
      <w:r w:rsidRPr="007A3E30">
        <w:rPr>
          <w:rFonts w:ascii="Book Antiqua" w:eastAsia="宋体" w:hAnsi="Book Antiqua" w:cs="宋体"/>
          <w:b/>
          <w:bCs/>
          <w:lang w:eastAsia="zh-CN"/>
        </w:rPr>
        <w:t>2</w:t>
      </w:r>
      <w:r w:rsidRPr="007A3E30">
        <w:rPr>
          <w:rFonts w:ascii="Book Antiqua" w:eastAsia="宋体" w:hAnsi="Book Antiqua" w:cs="宋体"/>
          <w:lang w:eastAsia="zh-CN"/>
        </w:rPr>
        <w:t>: 32 [PMID: 24314093 DOI: 10.1186/2162-3619-2-32]</w:t>
      </w:r>
    </w:p>
    <w:p w14:paraId="0E683540"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 xml:space="preserve">41 </w:t>
      </w:r>
      <w:r w:rsidRPr="007A3E30">
        <w:rPr>
          <w:rFonts w:ascii="Book Antiqua" w:eastAsia="宋体" w:hAnsi="Book Antiqua" w:cs="宋体"/>
          <w:b/>
          <w:bCs/>
          <w:lang w:eastAsia="zh-CN"/>
        </w:rPr>
        <w:t>Ishak KJ</w:t>
      </w:r>
      <w:r w:rsidRPr="007A3E30">
        <w:rPr>
          <w:rFonts w:ascii="Book Antiqua" w:eastAsia="宋体" w:hAnsi="Book Antiqua" w:cs="宋体"/>
          <w:lang w:eastAsia="zh-CN"/>
        </w:rPr>
        <w:t xml:space="preserve">, Rael M, Hicks M, Mittal S, Eatock M, Valle JW. Relative effectiveness of sunitinib versus everolimus in advanced pancreatic neuroendocrine tumors: an updated matching-adjusted indirect comparison. </w:t>
      </w:r>
      <w:r w:rsidRPr="007A3E30">
        <w:rPr>
          <w:rFonts w:ascii="Book Antiqua" w:eastAsia="宋体" w:hAnsi="Book Antiqua" w:cs="宋体"/>
          <w:i/>
          <w:iCs/>
          <w:lang w:eastAsia="zh-CN"/>
        </w:rPr>
        <w:t>J Comp Eff Res</w:t>
      </w:r>
      <w:r w:rsidRPr="007A3E30">
        <w:rPr>
          <w:rFonts w:ascii="Book Antiqua" w:eastAsia="宋体" w:hAnsi="Book Antiqua" w:cs="宋体"/>
          <w:lang w:eastAsia="zh-CN"/>
        </w:rPr>
        <w:t xml:space="preserve"> 2018; </w:t>
      </w:r>
      <w:r w:rsidRPr="007A3E30">
        <w:rPr>
          <w:rFonts w:ascii="Book Antiqua" w:eastAsia="宋体" w:hAnsi="Book Antiqua" w:cs="宋体"/>
          <w:b/>
          <w:bCs/>
          <w:lang w:eastAsia="zh-CN"/>
        </w:rPr>
        <w:t>7</w:t>
      </w:r>
      <w:r w:rsidRPr="007A3E30">
        <w:rPr>
          <w:rFonts w:ascii="Book Antiqua" w:eastAsia="宋体" w:hAnsi="Book Antiqua" w:cs="宋体"/>
          <w:lang w:eastAsia="zh-CN"/>
        </w:rPr>
        <w:t>: 947-958 [PMID: 30168349 DOI: 10.2217/cer-2018-0020]</w:t>
      </w:r>
    </w:p>
    <w:p w14:paraId="4ECF82E2" w14:textId="77777777" w:rsidR="00E36424" w:rsidRPr="007A3E30" w:rsidRDefault="00E36424" w:rsidP="000540F1">
      <w:pPr>
        <w:adjustRightInd w:val="0"/>
        <w:snapToGrid w:val="0"/>
        <w:spacing w:line="360" w:lineRule="auto"/>
        <w:jc w:val="both"/>
        <w:rPr>
          <w:rFonts w:ascii="Book Antiqua" w:eastAsia="宋体" w:hAnsi="Book Antiqua" w:cs="宋体"/>
          <w:lang w:eastAsia="zh-CN"/>
        </w:rPr>
      </w:pPr>
      <w:r w:rsidRPr="007A3E30">
        <w:rPr>
          <w:rFonts w:ascii="Book Antiqua" w:eastAsia="宋体" w:hAnsi="Book Antiqua" w:cs="宋体"/>
          <w:lang w:eastAsia="zh-CN"/>
        </w:rPr>
        <w:t>42</w:t>
      </w:r>
      <w:r w:rsidRPr="007A3E30">
        <w:rPr>
          <w:rFonts w:ascii="Book Antiqua" w:eastAsia="宋体" w:hAnsi="Book Antiqua" w:cs="宋体"/>
          <w:b/>
          <w:bCs/>
          <w:lang w:eastAsia="zh-CN"/>
        </w:rPr>
        <w:t xml:space="preserve"> European Commission 2018. </w:t>
      </w:r>
      <w:r w:rsidRPr="007A3E30">
        <w:rPr>
          <w:rFonts w:ascii="Book Antiqua" w:eastAsia="宋体" w:hAnsi="Book Antiqua" w:cs="宋体"/>
          <w:bCs/>
          <w:lang w:eastAsia="zh-CN"/>
        </w:rPr>
        <w:t>The Swedish pension system and pension projections until 2070. [Last accessed September 02,</w:t>
      </w:r>
      <w:r w:rsidRPr="007A3E30">
        <w:rPr>
          <w:rFonts w:ascii="Book Antiqua" w:eastAsia="宋体" w:hAnsi="Book Antiqua" w:cs="宋体"/>
          <w:lang w:eastAsia="zh-CN"/>
        </w:rPr>
        <w:t xml:space="preserve"> 2019] </w:t>
      </w:r>
      <w:r w:rsidRPr="007A3E30">
        <w:rPr>
          <w:rFonts w:ascii="Book Antiqua" w:eastAsia="宋体" w:hAnsi="Book Antiqua" w:cs="宋体"/>
          <w:bCs/>
          <w:lang w:eastAsia="zh-CN"/>
        </w:rPr>
        <w:t>Available from: https://ec.europa.eu/info/sites/info/files/economy-finance/final_country_fiche_se.pdf</w:t>
      </w:r>
    </w:p>
    <w:p w14:paraId="09DCFF82" w14:textId="77777777" w:rsidR="00A77B3E" w:rsidRPr="007A3E30" w:rsidRDefault="00A77B3E" w:rsidP="000540F1">
      <w:pPr>
        <w:spacing w:line="360" w:lineRule="auto"/>
        <w:jc w:val="both"/>
        <w:rPr>
          <w:rFonts w:ascii="Book Antiqua" w:hAnsi="Book Antiqua"/>
        </w:rPr>
        <w:sectPr w:rsidR="00A77B3E" w:rsidRPr="007A3E30">
          <w:pgSz w:w="12240" w:h="15840"/>
          <w:pgMar w:top="1440" w:right="1440" w:bottom="1440" w:left="1440" w:header="720" w:footer="720" w:gutter="0"/>
          <w:cols w:space="720"/>
          <w:docGrid w:linePitch="360"/>
        </w:sectPr>
      </w:pPr>
    </w:p>
    <w:p w14:paraId="7E42C4D0"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b/>
          <w:color w:val="000000"/>
        </w:rPr>
        <w:t>Footnotes</w:t>
      </w:r>
    </w:p>
    <w:p w14:paraId="62854E4E" w14:textId="64373833"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b/>
          <w:bCs/>
          <w:color w:val="000000"/>
        </w:rPr>
        <w:t xml:space="preserve">Institutional review board statement: </w:t>
      </w:r>
      <w:r w:rsidRPr="007A3E30">
        <w:rPr>
          <w:rFonts w:ascii="Book Antiqua" w:eastAsia="Book Antiqua" w:hAnsi="Book Antiqua" w:cs="Book Antiqua"/>
          <w:color w:val="000000"/>
        </w:rPr>
        <w:t>No new clinical trial or patient level data were generated as part of this analysis.</w:t>
      </w:r>
      <w:r w:rsidR="002B01AF" w:rsidRPr="007A3E30">
        <w:rPr>
          <w:rFonts w:ascii="Book Antiqua" w:eastAsia="Book Antiqua" w:hAnsi="Book Antiqua" w:cs="Book Antiqua"/>
          <w:color w:val="000000"/>
        </w:rPr>
        <w:t xml:space="preserve"> </w:t>
      </w:r>
      <w:r w:rsidRPr="007A3E30">
        <w:rPr>
          <w:rFonts w:ascii="Book Antiqua" w:eastAsia="Book Antiqua" w:hAnsi="Book Antiqua" w:cs="Book Antiqua"/>
          <w:color w:val="000000"/>
        </w:rPr>
        <w:t>All data used in the analysis have been previously published, therefore institutional review board approval was not required.</w:t>
      </w:r>
    </w:p>
    <w:p w14:paraId="2F19F229" w14:textId="77777777" w:rsidR="00A77B3E" w:rsidRPr="007A3E30" w:rsidRDefault="00A77B3E" w:rsidP="000540F1">
      <w:pPr>
        <w:spacing w:line="360" w:lineRule="auto"/>
        <w:jc w:val="both"/>
        <w:rPr>
          <w:rFonts w:ascii="Book Antiqua" w:hAnsi="Book Antiqua"/>
          <w:lang w:eastAsia="zh-CN"/>
        </w:rPr>
      </w:pPr>
    </w:p>
    <w:p w14:paraId="116BD0FC" w14:textId="77777777" w:rsidR="00A77B3E" w:rsidRPr="007A3E30" w:rsidRDefault="00E7670D" w:rsidP="000540F1">
      <w:pPr>
        <w:spacing w:line="360" w:lineRule="auto"/>
        <w:jc w:val="both"/>
        <w:rPr>
          <w:rFonts w:ascii="Book Antiqua" w:hAnsi="Book Antiqua"/>
          <w:lang w:eastAsia="zh-CN"/>
        </w:rPr>
      </w:pPr>
      <w:r w:rsidRPr="007A3E30">
        <w:rPr>
          <w:rFonts w:ascii="Book Antiqua" w:eastAsia="Book Antiqua" w:hAnsi="Book Antiqua" w:cs="Book Antiqua"/>
          <w:b/>
          <w:bCs/>
          <w:color w:val="000000"/>
        </w:rPr>
        <w:t xml:space="preserve">Informed consent statement: </w:t>
      </w:r>
      <w:bookmarkStart w:id="20" w:name="OLE_LINK202"/>
      <w:bookmarkStart w:id="21" w:name="OLE_LINK203"/>
      <w:r w:rsidRPr="007A3E30">
        <w:rPr>
          <w:rFonts w:ascii="Book Antiqua" w:eastAsia="Book Antiqua" w:hAnsi="Book Antiqua" w:cs="Book Antiqua"/>
          <w:color w:val="000000"/>
        </w:rPr>
        <w:t>No patients were directly involved in the analysis, therefore informed consent is not applicable</w:t>
      </w:r>
      <w:r w:rsidR="00E36424" w:rsidRPr="007A3E30">
        <w:rPr>
          <w:rFonts w:ascii="Book Antiqua" w:hAnsi="Book Antiqua" w:cs="Book Antiqua"/>
          <w:color w:val="000000"/>
          <w:lang w:eastAsia="zh-CN"/>
        </w:rPr>
        <w:t>.</w:t>
      </w:r>
    </w:p>
    <w:bookmarkEnd w:id="20"/>
    <w:bookmarkEnd w:id="21"/>
    <w:p w14:paraId="703D0EF6" w14:textId="77777777" w:rsidR="00A77B3E" w:rsidRPr="007A3E30" w:rsidRDefault="00A77B3E" w:rsidP="000540F1">
      <w:pPr>
        <w:spacing w:line="360" w:lineRule="auto"/>
        <w:jc w:val="both"/>
        <w:rPr>
          <w:rFonts w:ascii="Book Antiqua" w:hAnsi="Book Antiqua"/>
        </w:rPr>
      </w:pPr>
    </w:p>
    <w:p w14:paraId="7173F524"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b/>
          <w:bCs/>
          <w:color w:val="000000"/>
        </w:rPr>
        <w:t xml:space="preserve">Conflict-of-interest statement: </w:t>
      </w:r>
      <w:r w:rsidR="00E36424" w:rsidRPr="007A3E30">
        <w:rPr>
          <w:rFonts w:ascii="Book Antiqua" w:eastAsia="Book Antiqua" w:hAnsi="Book Antiqua" w:cs="Book Antiqua"/>
          <w:bCs/>
          <w:color w:val="000000"/>
        </w:rPr>
        <w:t>Leeuwenkamp</w:t>
      </w:r>
      <w:r w:rsidR="00E36424" w:rsidRPr="007A3E30">
        <w:rPr>
          <w:rFonts w:ascii="Book Antiqua" w:eastAsia="Book Antiqua" w:hAnsi="Book Antiqua" w:cs="Book Antiqua"/>
          <w:b/>
          <w:bCs/>
          <w:color w:val="000000"/>
        </w:rPr>
        <w:t xml:space="preserve"> </w:t>
      </w:r>
      <w:r w:rsidRPr="007A3E30">
        <w:rPr>
          <w:rFonts w:ascii="Book Antiqua" w:eastAsia="Book Antiqua" w:hAnsi="Book Antiqua" w:cs="Book Antiqua"/>
          <w:color w:val="000000"/>
        </w:rPr>
        <w:t>O</w:t>
      </w:r>
      <w:r w:rsidR="00E36424" w:rsidRPr="007A3E30">
        <w:rPr>
          <w:rFonts w:ascii="Book Antiqua" w:hAnsi="Book Antiqua" w:cs="Book Antiqua"/>
          <w:color w:val="000000"/>
          <w:lang w:eastAsia="zh-CN"/>
        </w:rPr>
        <w:t>R</w:t>
      </w:r>
      <w:r w:rsidRPr="007A3E30">
        <w:rPr>
          <w:rFonts w:ascii="Book Antiqua" w:eastAsia="Book Antiqua" w:hAnsi="Book Antiqua" w:cs="Book Antiqua"/>
          <w:color w:val="000000"/>
        </w:rPr>
        <w:t xml:space="preserve"> is a current employee of Advanced Accelerator Applications, which manufactures </w:t>
      </w:r>
      <w:r w:rsidRPr="007A3E30">
        <w:rPr>
          <w:rFonts w:ascii="Book Antiqua" w:eastAsia="Book Antiqua" w:hAnsi="Book Antiqua" w:cs="Book Antiqua"/>
          <w:color w:val="000000"/>
          <w:vertAlign w:val="superscript"/>
        </w:rPr>
        <w:t>177</w:t>
      </w:r>
      <w:r w:rsidRPr="007A3E30">
        <w:rPr>
          <w:rFonts w:ascii="Book Antiqua" w:eastAsia="Book Antiqua" w:hAnsi="Book Antiqua" w:cs="Book Antiqua"/>
          <w:color w:val="000000"/>
        </w:rPr>
        <w:t xml:space="preserve">Lu-Dotatate. </w:t>
      </w:r>
      <w:r w:rsidR="00E36424" w:rsidRPr="007A3E30">
        <w:rPr>
          <w:rFonts w:ascii="Book Antiqua" w:eastAsia="Book Antiqua" w:hAnsi="Book Antiqua" w:cs="Book Antiqua"/>
          <w:color w:val="000000"/>
        </w:rPr>
        <w:t>Palmer J</w:t>
      </w:r>
      <w:r w:rsidRPr="007A3E30">
        <w:rPr>
          <w:rFonts w:ascii="Book Antiqua" w:eastAsia="Book Antiqua" w:hAnsi="Book Antiqua" w:cs="Book Antiqua"/>
          <w:color w:val="000000"/>
        </w:rPr>
        <w:t xml:space="preserve"> is a current employee of Ossian Health Economics and Communications, which has received consulting fees from Advanced Accelerator Applications.</w:t>
      </w:r>
    </w:p>
    <w:p w14:paraId="08905700" w14:textId="77777777" w:rsidR="00A77B3E" w:rsidRPr="007A3E30" w:rsidRDefault="00A77B3E" w:rsidP="000540F1">
      <w:pPr>
        <w:spacing w:line="360" w:lineRule="auto"/>
        <w:jc w:val="both"/>
        <w:rPr>
          <w:rFonts w:ascii="Book Antiqua" w:hAnsi="Book Antiqua"/>
        </w:rPr>
      </w:pPr>
    </w:p>
    <w:p w14:paraId="2466444A" w14:textId="77777777" w:rsidR="00A77B3E" w:rsidRPr="007A3E30" w:rsidRDefault="00E7670D" w:rsidP="000540F1">
      <w:pPr>
        <w:spacing w:line="360" w:lineRule="auto"/>
        <w:jc w:val="both"/>
        <w:rPr>
          <w:rFonts w:ascii="Book Antiqua" w:hAnsi="Book Antiqua"/>
          <w:lang w:eastAsia="zh-CN"/>
        </w:rPr>
      </w:pPr>
      <w:r w:rsidRPr="007A3E30">
        <w:rPr>
          <w:rFonts w:ascii="Book Antiqua" w:eastAsia="Book Antiqua" w:hAnsi="Book Antiqua" w:cs="Book Antiqua"/>
          <w:b/>
          <w:bCs/>
          <w:color w:val="000000"/>
        </w:rPr>
        <w:t xml:space="preserve">Data sharing statement: </w:t>
      </w:r>
      <w:r w:rsidRPr="007A3E30">
        <w:rPr>
          <w:rFonts w:ascii="Book Antiqua" w:eastAsia="Book Antiqua" w:hAnsi="Book Antiqua" w:cs="Book Antiqua"/>
          <w:color w:val="000000"/>
        </w:rPr>
        <w:t xml:space="preserve">All input data used in the analysis are available from </w:t>
      </w:r>
      <w:r w:rsidR="00E36424" w:rsidRPr="007A3E30">
        <w:rPr>
          <w:rFonts w:ascii="Book Antiqua" w:eastAsia="Book Antiqua" w:hAnsi="Book Antiqua" w:cs="Book Antiqua"/>
          <w:bCs/>
          <w:color w:val="000000"/>
        </w:rPr>
        <w:t>Leeuwenkamp</w:t>
      </w:r>
      <w:r w:rsidR="00E36424" w:rsidRPr="007A3E30">
        <w:rPr>
          <w:rFonts w:ascii="Book Antiqua" w:eastAsia="Book Antiqua" w:hAnsi="Book Antiqua" w:cs="Book Antiqua"/>
          <w:b/>
          <w:bCs/>
          <w:color w:val="000000"/>
        </w:rPr>
        <w:t xml:space="preserve"> </w:t>
      </w:r>
      <w:r w:rsidR="00E36424" w:rsidRPr="007A3E30">
        <w:rPr>
          <w:rFonts w:ascii="Book Antiqua" w:eastAsia="Book Antiqua" w:hAnsi="Book Antiqua" w:cs="Book Antiqua"/>
          <w:color w:val="000000"/>
        </w:rPr>
        <w:t>O</w:t>
      </w:r>
      <w:r w:rsidR="00E36424" w:rsidRPr="007A3E30">
        <w:rPr>
          <w:rFonts w:ascii="Book Antiqua" w:hAnsi="Book Antiqua" w:cs="Book Antiqua"/>
          <w:color w:val="000000"/>
          <w:lang w:eastAsia="zh-CN"/>
        </w:rPr>
        <w:t>R</w:t>
      </w:r>
      <w:r w:rsidRPr="007A3E30">
        <w:rPr>
          <w:rFonts w:ascii="Book Antiqua" w:eastAsia="Book Antiqua" w:hAnsi="Book Antiqua" w:cs="Book Antiqua"/>
          <w:color w:val="000000"/>
        </w:rPr>
        <w:t xml:space="preserve"> upon reasonable request</w:t>
      </w:r>
      <w:r w:rsidR="00E36424" w:rsidRPr="007A3E30">
        <w:rPr>
          <w:rFonts w:ascii="Book Antiqua" w:hAnsi="Book Antiqua" w:cs="Book Antiqua"/>
          <w:color w:val="000000"/>
          <w:lang w:eastAsia="zh-CN"/>
        </w:rPr>
        <w:t>.</w:t>
      </w:r>
    </w:p>
    <w:p w14:paraId="02568196" w14:textId="77777777" w:rsidR="00A77B3E" w:rsidRPr="007A3E30" w:rsidRDefault="00A77B3E" w:rsidP="000540F1">
      <w:pPr>
        <w:spacing w:line="360" w:lineRule="auto"/>
        <w:jc w:val="both"/>
        <w:rPr>
          <w:rFonts w:ascii="Book Antiqua" w:hAnsi="Book Antiqua"/>
          <w:b/>
          <w:lang w:eastAsia="zh-CN"/>
        </w:rPr>
      </w:pPr>
    </w:p>
    <w:p w14:paraId="590700B8" w14:textId="25736512" w:rsidR="00DD287A" w:rsidRPr="007A3E30" w:rsidRDefault="00DD287A" w:rsidP="000540F1">
      <w:pPr>
        <w:spacing w:line="360" w:lineRule="auto"/>
        <w:jc w:val="both"/>
        <w:rPr>
          <w:rFonts w:ascii="Book Antiqua" w:hAnsi="Book Antiqua"/>
          <w:lang w:eastAsia="zh-CN"/>
        </w:rPr>
      </w:pPr>
      <w:r w:rsidRPr="007A3E30">
        <w:rPr>
          <w:rFonts w:ascii="Book Antiqua" w:hAnsi="Book Antiqua"/>
          <w:b/>
          <w:lang w:eastAsia="zh-CN"/>
        </w:rPr>
        <w:t xml:space="preserve">STROBE statement: </w:t>
      </w:r>
      <w:r w:rsidRPr="007A3E30">
        <w:rPr>
          <w:rFonts w:ascii="Book Antiqua" w:hAnsi="Book Antiqua"/>
          <w:lang w:eastAsia="zh-CN"/>
        </w:rPr>
        <w:t>The authors have read the STROBE Statement, and the manuscript was prepared and revised according to the STROBE Statement.</w:t>
      </w:r>
    </w:p>
    <w:p w14:paraId="56F92F4A" w14:textId="77777777" w:rsidR="00DD287A" w:rsidRPr="007A3E30" w:rsidRDefault="00DD287A" w:rsidP="000540F1">
      <w:pPr>
        <w:spacing w:line="360" w:lineRule="auto"/>
        <w:jc w:val="both"/>
        <w:rPr>
          <w:rFonts w:ascii="Book Antiqua" w:hAnsi="Book Antiqua"/>
          <w:lang w:eastAsia="zh-CN"/>
        </w:rPr>
      </w:pPr>
    </w:p>
    <w:p w14:paraId="4BB5FB88"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b/>
          <w:bCs/>
          <w:color w:val="000000"/>
        </w:rPr>
        <w:t xml:space="preserve">Open-Access: </w:t>
      </w:r>
      <w:r w:rsidRPr="007A3E3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F7F7869" w14:textId="77777777" w:rsidR="00A77B3E" w:rsidRPr="007A3E30" w:rsidRDefault="00A77B3E" w:rsidP="000540F1">
      <w:pPr>
        <w:spacing w:line="360" w:lineRule="auto"/>
        <w:jc w:val="both"/>
        <w:rPr>
          <w:rFonts w:ascii="Book Antiqua" w:hAnsi="Book Antiqua"/>
        </w:rPr>
      </w:pPr>
    </w:p>
    <w:p w14:paraId="783B231E" w14:textId="7E7E9D7D"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b/>
          <w:color w:val="000000"/>
        </w:rPr>
        <w:t xml:space="preserve">Manuscript source: </w:t>
      </w:r>
      <w:r w:rsidRPr="007A3E30">
        <w:rPr>
          <w:rFonts w:ascii="Book Antiqua" w:eastAsia="Book Antiqua" w:hAnsi="Book Antiqua" w:cs="Book Antiqua"/>
          <w:color w:val="000000"/>
        </w:rPr>
        <w:t xml:space="preserve">Unsolicited </w:t>
      </w:r>
      <w:r w:rsidR="00937E26" w:rsidRPr="007A3E30">
        <w:rPr>
          <w:rFonts w:ascii="Book Antiqua" w:eastAsia="Book Antiqua" w:hAnsi="Book Antiqua" w:cs="Book Antiqua"/>
          <w:color w:val="000000"/>
        </w:rPr>
        <w:t>m</w:t>
      </w:r>
      <w:r w:rsidRPr="007A3E30">
        <w:rPr>
          <w:rFonts w:ascii="Book Antiqua" w:eastAsia="Book Antiqua" w:hAnsi="Book Antiqua" w:cs="Book Antiqua"/>
          <w:color w:val="000000"/>
        </w:rPr>
        <w:t>anuscript</w:t>
      </w:r>
    </w:p>
    <w:p w14:paraId="0FBF20F9" w14:textId="77777777" w:rsidR="00A77B3E" w:rsidRPr="007A3E30" w:rsidRDefault="00A77B3E" w:rsidP="000540F1">
      <w:pPr>
        <w:spacing w:line="360" w:lineRule="auto"/>
        <w:jc w:val="both"/>
        <w:rPr>
          <w:rFonts w:ascii="Book Antiqua" w:hAnsi="Book Antiqua"/>
        </w:rPr>
      </w:pPr>
    </w:p>
    <w:p w14:paraId="3260B9AA"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b/>
          <w:color w:val="000000"/>
        </w:rPr>
        <w:t xml:space="preserve">Peer-review started: </w:t>
      </w:r>
      <w:r w:rsidRPr="007A3E30">
        <w:rPr>
          <w:rFonts w:ascii="Book Antiqua" w:eastAsia="Book Antiqua" w:hAnsi="Book Antiqua" w:cs="Book Antiqua"/>
          <w:color w:val="000000"/>
        </w:rPr>
        <w:t>July 8, 2020</w:t>
      </w:r>
    </w:p>
    <w:p w14:paraId="43BF73FE"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b/>
          <w:color w:val="000000"/>
        </w:rPr>
        <w:t xml:space="preserve">First decision: </w:t>
      </w:r>
      <w:r w:rsidRPr="007A3E30">
        <w:rPr>
          <w:rFonts w:ascii="Book Antiqua" w:eastAsia="Book Antiqua" w:hAnsi="Book Antiqua" w:cs="Book Antiqua"/>
          <w:color w:val="000000"/>
        </w:rPr>
        <w:t>August 8, 2020</w:t>
      </w:r>
    </w:p>
    <w:p w14:paraId="22D1AAD2" w14:textId="695F81F6"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b/>
          <w:color w:val="000000"/>
        </w:rPr>
        <w:t xml:space="preserve">Article in press: </w:t>
      </w:r>
      <w:r w:rsidR="009B51BE" w:rsidRPr="007A3E30">
        <w:rPr>
          <w:rFonts w:ascii="Book Antiqua" w:hAnsi="Book Antiqua" w:cs="Arial"/>
          <w:color w:val="000000" w:themeColor="text1"/>
          <w:shd w:val="clear" w:color="auto" w:fill="FFFFFF"/>
        </w:rPr>
        <w:t>September 25, 2020</w:t>
      </w:r>
    </w:p>
    <w:p w14:paraId="60930212" w14:textId="77777777" w:rsidR="00A77B3E" w:rsidRPr="007A3E30" w:rsidRDefault="00A77B3E" w:rsidP="000540F1">
      <w:pPr>
        <w:spacing w:line="360" w:lineRule="auto"/>
        <w:jc w:val="both"/>
        <w:rPr>
          <w:rFonts w:ascii="Book Antiqua" w:hAnsi="Book Antiqua"/>
        </w:rPr>
      </w:pPr>
    </w:p>
    <w:p w14:paraId="02C346D5" w14:textId="35048EE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b/>
          <w:color w:val="000000"/>
        </w:rPr>
        <w:t xml:space="preserve">Specialty type: </w:t>
      </w:r>
      <w:r w:rsidRPr="007A3E30">
        <w:rPr>
          <w:rFonts w:ascii="Book Antiqua" w:eastAsia="Book Antiqua" w:hAnsi="Book Antiqua" w:cs="Book Antiqua"/>
          <w:color w:val="000000"/>
        </w:rPr>
        <w:t xml:space="preserve">Gastroenterology and </w:t>
      </w:r>
      <w:r w:rsidR="00706B54" w:rsidRPr="007A3E30">
        <w:rPr>
          <w:rFonts w:ascii="Book Antiqua" w:eastAsia="Book Antiqua" w:hAnsi="Book Antiqua" w:cs="Book Antiqua"/>
          <w:color w:val="000000"/>
        </w:rPr>
        <w:t>h</w:t>
      </w:r>
      <w:r w:rsidRPr="007A3E30">
        <w:rPr>
          <w:rFonts w:ascii="Book Antiqua" w:eastAsia="Book Antiqua" w:hAnsi="Book Antiqua" w:cs="Book Antiqua"/>
          <w:color w:val="000000"/>
        </w:rPr>
        <w:t>epatology</w:t>
      </w:r>
    </w:p>
    <w:p w14:paraId="18810823"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b/>
          <w:color w:val="000000"/>
        </w:rPr>
        <w:t xml:space="preserve">Country/Territory of origin: </w:t>
      </w:r>
      <w:r w:rsidRPr="007A3E30">
        <w:rPr>
          <w:rFonts w:ascii="Book Antiqua" w:eastAsia="Book Antiqua" w:hAnsi="Book Antiqua" w:cs="Book Antiqua"/>
          <w:color w:val="000000"/>
        </w:rPr>
        <w:t>Switzerland</w:t>
      </w:r>
    </w:p>
    <w:p w14:paraId="2921E762"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b/>
          <w:color w:val="000000"/>
        </w:rPr>
        <w:t>Peer-review report’s scientific quality classification</w:t>
      </w:r>
    </w:p>
    <w:p w14:paraId="14B65BB8"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color w:val="000000"/>
        </w:rPr>
        <w:t>Grade A (Excellent): 0</w:t>
      </w:r>
    </w:p>
    <w:p w14:paraId="32E94F67"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color w:val="000000"/>
        </w:rPr>
        <w:t>Grade B (Very good): B</w:t>
      </w:r>
    </w:p>
    <w:p w14:paraId="3B97E6AE"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color w:val="000000"/>
        </w:rPr>
        <w:t>Grade C (Good): 0</w:t>
      </w:r>
    </w:p>
    <w:p w14:paraId="4D7966E5"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color w:val="000000"/>
        </w:rPr>
        <w:t>Grade D (Fair): D</w:t>
      </w:r>
    </w:p>
    <w:p w14:paraId="456D362F" w14:textId="77777777" w:rsidR="00A77B3E" w:rsidRPr="007A3E30" w:rsidRDefault="00E7670D" w:rsidP="000540F1">
      <w:pPr>
        <w:spacing w:line="360" w:lineRule="auto"/>
        <w:jc w:val="both"/>
        <w:rPr>
          <w:rFonts w:ascii="Book Antiqua" w:hAnsi="Book Antiqua"/>
        </w:rPr>
      </w:pPr>
      <w:r w:rsidRPr="007A3E30">
        <w:rPr>
          <w:rFonts w:ascii="Book Antiqua" w:eastAsia="Book Antiqua" w:hAnsi="Book Antiqua" w:cs="Book Antiqua"/>
          <w:color w:val="000000"/>
        </w:rPr>
        <w:t>Grade E (Poor): 0</w:t>
      </w:r>
    </w:p>
    <w:p w14:paraId="09C47E7F" w14:textId="77777777" w:rsidR="00A77B3E" w:rsidRPr="007A3E30" w:rsidRDefault="00A77B3E" w:rsidP="000540F1">
      <w:pPr>
        <w:spacing w:line="360" w:lineRule="auto"/>
        <w:jc w:val="both"/>
        <w:rPr>
          <w:rFonts w:ascii="Book Antiqua" w:hAnsi="Book Antiqua"/>
        </w:rPr>
      </w:pPr>
    </w:p>
    <w:p w14:paraId="5235844F" w14:textId="1125AF14" w:rsidR="00A77B3E" w:rsidRPr="007A3E30" w:rsidRDefault="00E7670D" w:rsidP="000540F1">
      <w:pPr>
        <w:spacing w:line="360" w:lineRule="auto"/>
        <w:jc w:val="both"/>
        <w:rPr>
          <w:rFonts w:ascii="Book Antiqua" w:hAnsi="Book Antiqua" w:cs="Book Antiqua"/>
          <w:color w:val="000000"/>
          <w:lang w:eastAsia="zh-CN"/>
        </w:rPr>
      </w:pPr>
      <w:r w:rsidRPr="007A3E30">
        <w:rPr>
          <w:rFonts w:ascii="Book Antiqua" w:eastAsia="Book Antiqua" w:hAnsi="Book Antiqua" w:cs="Book Antiqua"/>
          <w:b/>
          <w:color w:val="000000"/>
        </w:rPr>
        <w:t xml:space="preserve">P-Reviewer: </w:t>
      </w:r>
      <w:r w:rsidRPr="007A3E30">
        <w:rPr>
          <w:rFonts w:ascii="Book Antiqua" w:eastAsia="Book Antiqua" w:hAnsi="Book Antiqua" w:cs="Book Antiqua"/>
          <w:color w:val="000000"/>
        </w:rPr>
        <w:t>Bergsma H, Takura T</w:t>
      </w:r>
      <w:r w:rsidRPr="007A3E30">
        <w:rPr>
          <w:rFonts w:ascii="Book Antiqua" w:eastAsia="Book Antiqua" w:hAnsi="Book Antiqua" w:cs="Book Antiqua"/>
          <w:b/>
          <w:color w:val="000000"/>
        </w:rPr>
        <w:t xml:space="preserve"> S-Editor: </w:t>
      </w:r>
      <w:r w:rsidRPr="007A3E30">
        <w:rPr>
          <w:rFonts w:ascii="Book Antiqua" w:eastAsia="Book Antiqua" w:hAnsi="Book Antiqua" w:cs="Book Antiqua"/>
          <w:color w:val="000000"/>
        </w:rPr>
        <w:t>Ma YJ</w:t>
      </w:r>
      <w:r w:rsidRPr="007A3E30">
        <w:rPr>
          <w:rFonts w:ascii="Book Antiqua" w:eastAsia="Book Antiqua" w:hAnsi="Book Antiqua" w:cs="Book Antiqua"/>
          <w:b/>
          <w:color w:val="000000"/>
        </w:rPr>
        <w:t xml:space="preserve"> L-Editor:</w:t>
      </w:r>
      <w:r w:rsidR="002B01AF" w:rsidRPr="007A3E30">
        <w:rPr>
          <w:rFonts w:ascii="Book Antiqua" w:eastAsia="Book Antiqua" w:hAnsi="Book Antiqua" w:cs="Book Antiqua"/>
          <w:b/>
          <w:color w:val="000000"/>
        </w:rPr>
        <w:t xml:space="preserve"> </w:t>
      </w:r>
      <w:r w:rsidR="009B51BE" w:rsidRPr="007A3E30">
        <w:rPr>
          <w:rFonts w:ascii="Book Antiqua" w:hAnsi="Book Antiqua" w:cs="Book Antiqua" w:hint="eastAsia"/>
          <w:color w:val="000000"/>
          <w:lang w:eastAsia="zh-CN"/>
        </w:rPr>
        <w:t>A</w:t>
      </w:r>
      <w:r w:rsidR="009B51BE" w:rsidRPr="007A3E30">
        <w:rPr>
          <w:rFonts w:ascii="Book Antiqua" w:hAnsi="Book Antiqua" w:cs="Book Antiqua" w:hint="eastAsia"/>
          <w:b/>
          <w:color w:val="000000"/>
          <w:lang w:eastAsia="zh-CN"/>
        </w:rPr>
        <w:t xml:space="preserve"> </w:t>
      </w:r>
      <w:r w:rsidRPr="007A3E30">
        <w:rPr>
          <w:rFonts w:ascii="Book Antiqua" w:eastAsia="Book Antiqua" w:hAnsi="Book Antiqua" w:cs="Book Antiqua"/>
          <w:b/>
          <w:color w:val="000000"/>
        </w:rPr>
        <w:t>P-Editor:</w:t>
      </w:r>
      <w:r w:rsidRPr="007A3E30">
        <w:rPr>
          <w:rFonts w:ascii="Book Antiqua" w:eastAsia="Book Antiqua" w:hAnsi="Book Antiqua" w:cs="Book Antiqua"/>
          <w:color w:val="000000"/>
        </w:rPr>
        <w:t xml:space="preserve"> </w:t>
      </w:r>
      <w:r w:rsidR="009B51BE" w:rsidRPr="007A3E30">
        <w:rPr>
          <w:rFonts w:ascii="Book Antiqua" w:hAnsi="Book Antiqua" w:cs="Book Antiqua" w:hint="eastAsia"/>
          <w:color w:val="000000"/>
          <w:lang w:eastAsia="zh-CN"/>
        </w:rPr>
        <w:t>Li JH</w:t>
      </w:r>
    </w:p>
    <w:p w14:paraId="6A21B10D" w14:textId="77777777" w:rsidR="00E36424" w:rsidRPr="007A3E30" w:rsidRDefault="00E36424" w:rsidP="000540F1">
      <w:pPr>
        <w:spacing w:line="360" w:lineRule="auto"/>
        <w:jc w:val="both"/>
        <w:rPr>
          <w:rFonts w:ascii="Book Antiqua" w:hAnsi="Book Antiqua"/>
          <w:lang w:eastAsia="zh-CN"/>
        </w:rPr>
        <w:sectPr w:rsidR="00E36424" w:rsidRPr="007A3E30">
          <w:pgSz w:w="12240" w:h="15840"/>
          <w:pgMar w:top="1440" w:right="1440" w:bottom="1440" w:left="1440" w:header="720" w:footer="720" w:gutter="0"/>
          <w:cols w:space="720"/>
          <w:docGrid w:linePitch="360"/>
        </w:sectPr>
      </w:pPr>
    </w:p>
    <w:p w14:paraId="29921E35" w14:textId="77777777" w:rsidR="006C3727" w:rsidRPr="007A3E30" w:rsidRDefault="00E7670D" w:rsidP="000540F1">
      <w:pPr>
        <w:spacing w:line="360" w:lineRule="auto"/>
        <w:jc w:val="both"/>
        <w:rPr>
          <w:rFonts w:ascii="Book Antiqua" w:hAnsi="Book Antiqua" w:cs="Book Antiqua"/>
          <w:b/>
          <w:color w:val="000000"/>
          <w:lang w:eastAsia="zh-CN"/>
        </w:rPr>
      </w:pPr>
      <w:r w:rsidRPr="007A3E30">
        <w:rPr>
          <w:rFonts w:ascii="Book Antiqua" w:eastAsia="Book Antiqua" w:hAnsi="Book Antiqua" w:cs="Book Antiqua"/>
          <w:b/>
          <w:color w:val="000000"/>
        </w:rPr>
        <w:t>Figure Legends</w:t>
      </w:r>
    </w:p>
    <w:p w14:paraId="659DB2F7" w14:textId="77777777" w:rsidR="00FD2162" w:rsidRPr="007A3E30" w:rsidRDefault="00FD2162" w:rsidP="000540F1">
      <w:pPr>
        <w:spacing w:line="360" w:lineRule="auto"/>
        <w:jc w:val="both"/>
        <w:rPr>
          <w:rFonts w:ascii="Book Antiqua" w:hAnsi="Book Antiqua" w:cs="Book Antiqua"/>
          <w:b/>
          <w:color w:val="000000"/>
          <w:lang w:eastAsia="zh-CN"/>
        </w:rPr>
      </w:pPr>
      <w:r w:rsidRPr="007A3E30">
        <w:rPr>
          <w:rFonts w:ascii="Book Antiqua" w:hAnsi="Book Antiqua"/>
          <w:noProof/>
          <w:lang w:eastAsia="zh-CN"/>
        </w:rPr>
        <w:drawing>
          <wp:inline distT="0" distB="0" distL="0" distR="0" wp14:anchorId="66AFE505" wp14:editId="04F1EC27">
            <wp:extent cx="5460636" cy="24644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46"/>
                    <a:stretch/>
                  </pic:blipFill>
                  <pic:spPr bwMode="auto">
                    <a:xfrm>
                      <a:off x="0" y="0"/>
                      <a:ext cx="5461946" cy="2465070"/>
                    </a:xfrm>
                    <a:prstGeom prst="rect">
                      <a:avLst/>
                    </a:prstGeom>
                    <a:ln>
                      <a:noFill/>
                    </a:ln>
                    <a:extLst>
                      <a:ext uri="{53640926-AAD7-44D8-BBD7-CCE9431645EC}">
                        <a14:shadowObscured xmlns:a14="http://schemas.microsoft.com/office/drawing/2010/main"/>
                      </a:ext>
                    </a:extLst>
                  </pic:spPr>
                </pic:pic>
              </a:graphicData>
            </a:graphic>
          </wp:inline>
        </w:drawing>
      </w:r>
    </w:p>
    <w:p w14:paraId="6DE79428" w14:textId="77777777" w:rsidR="00F54A68" w:rsidRPr="007A3E30" w:rsidRDefault="00F54A68" w:rsidP="000540F1">
      <w:pPr>
        <w:spacing w:line="360" w:lineRule="auto"/>
        <w:jc w:val="both"/>
        <w:rPr>
          <w:rFonts w:ascii="Book Antiqua" w:hAnsi="Book Antiqua" w:cs="Book Antiqua"/>
          <w:color w:val="000000"/>
          <w:lang w:eastAsia="zh-CN"/>
        </w:rPr>
      </w:pPr>
      <w:r w:rsidRPr="007A3E30">
        <w:rPr>
          <w:rFonts w:ascii="Book Antiqua" w:hAnsi="Book Antiqua" w:cs="Book Antiqua"/>
          <w:color w:val="000000"/>
          <w:lang w:eastAsia="zh-CN"/>
        </w:rPr>
        <w:t>A</w:t>
      </w:r>
    </w:p>
    <w:p w14:paraId="682BA7FB" w14:textId="77777777" w:rsidR="00F54A68" w:rsidRPr="007A3E30" w:rsidRDefault="00F54A68" w:rsidP="000540F1">
      <w:pPr>
        <w:spacing w:line="360" w:lineRule="auto"/>
        <w:jc w:val="both"/>
        <w:rPr>
          <w:rFonts w:ascii="Book Antiqua" w:hAnsi="Book Antiqua" w:cs="Book Antiqua"/>
          <w:b/>
          <w:color w:val="000000"/>
          <w:lang w:eastAsia="zh-CN"/>
        </w:rPr>
      </w:pPr>
      <w:r w:rsidRPr="007A3E30">
        <w:rPr>
          <w:rFonts w:ascii="Book Antiqua" w:hAnsi="Book Antiqua"/>
          <w:noProof/>
          <w:lang w:eastAsia="zh-CN"/>
        </w:rPr>
        <w:drawing>
          <wp:inline distT="0" distB="0" distL="0" distR="0" wp14:anchorId="4FFD46E5" wp14:editId="429597E8">
            <wp:extent cx="5486400" cy="241427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414270"/>
                    </a:xfrm>
                    <a:prstGeom prst="rect">
                      <a:avLst/>
                    </a:prstGeom>
                  </pic:spPr>
                </pic:pic>
              </a:graphicData>
            </a:graphic>
          </wp:inline>
        </w:drawing>
      </w:r>
    </w:p>
    <w:p w14:paraId="6DD84649" w14:textId="77777777" w:rsidR="00F54A68" w:rsidRPr="007A3E30" w:rsidRDefault="00F54A68" w:rsidP="000540F1">
      <w:pPr>
        <w:spacing w:line="360" w:lineRule="auto"/>
        <w:jc w:val="both"/>
        <w:rPr>
          <w:rFonts w:ascii="Book Antiqua" w:hAnsi="Book Antiqua" w:cs="Book Antiqua"/>
          <w:color w:val="000000"/>
          <w:lang w:eastAsia="zh-CN"/>
        </w:rPr>
      </w:pPr>
      <w:r w:rsidRPr="007A3E30">
        <w:rPr>
          <w:rFonts w:ascii="Book Antiqua" w:hAnsi="Book Antiqua" w:cs="Book Antiqua"/>
          <w:color w:val="000000"/>
          <w:lang w:eastAsia="zh-CN"/>
        </w:rPr>
        <w:t>B</w:t>
      </w:r>
    </w:p>
    <w:p w14:paraId="1D0D5343" w14:textId="77777777" w:rsidR="00FD2162" w:rsidRPr="007A3E30" w:rsidRDefault="00E36424" w:rsidP="000540F1">
      <w:pPr>
        <w:spacing w:line="360" w:lineRule="auto"/>
        <w:jc w:val="both"/>
        <w:rPr>
          <w:rFonts w:ascii="Book Antiqua" w:hAnsi="Book Antiqua" w:cs="Book Antiqua"/>
          <w:color w:val="000000"/>
          <w:lang w:eastAsia="zh-CN"/>
        </w:rPr>
      </w:pPr>
      <w:r w:rsidRPr="007A3E30">
        <w:rPr>
          <w:rFonts w:ascii="Book Antiqua" w:hAnsi="Book Antiqua" w:cs="Book Antiqua"/>
          <w:b/>
          <w:color w:val="000000"/>
          <w:lang w:eastAsia="zh-CN"/>
        </w:rPr>
        <w:t xml:space="preserve">Figure 1 Summary findings of one-way sensitivity analyses for Sweden. </w:t>
      </w:r>
      <w:r w:rsidRPr="007A3E30">
        <w:rPr>
          <w:rFonts w:ascii="Book Antiqua" w:hAnsi="Book Antiqua" w:cs="Book Antiqua"/>
          <w:color w:val="000000"/>
          <w:lang w:eastAsia="zh-CN"/>
        </w:rPr>
        <w:t xml:space="preserve">A: One-way sensitivity analyses in </w:t>
      </w:r>
      <w:r w:rsidR="006C3727" w:rsidRPr="007A3E30">
        <w:rPr>
          <w:rFonts w:ascii="Book Antiqua" w:hAnsi="Book Antiqua" w:cs="Book Antiqua"/>
          <w:color w:val="000000"/>
          <w:lang w:eastAsia="zh-CN"/>
        </w:rPr>
        <w:t>gastrointestinal</w:t>
      </w:r>
      <w:r w:rsidRPr="007A3E30">
        <w:rPr>
          <w:rFonts w:ascii="Book Antiqua" w:hAnsi="Book Antiqua" w:cs="Book Antiqua"/>
          <w:color w:val="000000"/>
          <w:lang w:eastAsia="zh-CN"/>
        </w:rPr>
        <w:t>-</w:t>
      </w:r>
      <w:r w:rsidR="006C3727" w:rsidRPr="007A3E30">
        <w:rPr>
          <w:rFonts w:ascii="Book Antiqua" w:hAnsi="Book Antiqua" w:cs="Book Antiqua"/>
          <w:color w:val="000000"/>
          <w:lang w:eastAsia="zh-CN"/>
        </w:rPr>
        <w:t>neuroendocrine tumors</w:t>
      </w:r>
      <w:r w:rsidRPr="007A3E30">
        <w:rPr>
          <w:rFonts w:ascii="Book Antiqua" w:hAnsi="Book Antiqua" w:cs="Book Antiqua"/>
          <w:color w:val="000000"/>
          <w:lang w:eastAsia="zh-CN"/>
        </w:rPr>
        <w:t xml:space="preserve">; B: One-way sensitivity analyses in </w:t>
      </w:r>
      <w:bookmarkStart w:id="22" w:name="OLE_LINK452"/>
      <w:bookmarkStart w:id="23" w:name="OLE_LINK453"/>
      <w:r w:rsidR="006C3727" w:rsidRPr="007A3E30">
        <w:rPr>
          <w:rFonts w:ascii="Book Antiqua" w:hAnsi="Book Antiqua" w:cs="Book Antiqua"/>
          <w:color w:val="000000"/>
          <w:lang w:eastAsia="zh-CN"/>
        </w:rPr>
        <w:t>pancreatic neuroendocrine tumors.</w:t>
      </w:r>
      <w:bookmarkEnd w:id="22"/>
      <w:bookmarkEnd w:id="23"/>
      <w:r w:rsidR="00F54A68" w:rsidRPr="007A3E30">
        <w:rPr>
          <w:rFonts w:ascii="Book Antiqua" w:hAnsi="Book Antiqua" w:cs="Book Antiqua"/>
          <w:color w:val="000000"/>
          <w:lang w:eastAsia="zh-CN"/>
        </w:rPr>
        <w:t xml:space="preserve"> </w:t>
      </w:r>
      <w:r w:rsidR="00FD2162" w:rsidRPr="007A3E30">
        <w:rPr>
          <w:rFonts w:ascii="Book Antiqua" w:hAnsi="Book Antiqua" w:cs="Book Antiqua"/>
          <w:color w:val="000000"/>
          <w:lang w:eastAsia="zh-CN"/>
        </w:rPr>
        <w:t xml:space="preserve">QALY: </w:t>
      </w:r>
      <w:r w:rsidR="00FD2162" w:rsidRPr="007A3E30">
        <w:rPr>
          <w:rFonts w:ascii="Book Antiqua" w:hAnsi="Book Antiqua" w:cs="Book Antiqua"/>
          <w:caps/>
          <w:color w:val="000000"/>
          <w:lang w:eastAsia="zh-CN"/>
        </w:rPr>
        <w:t>q</w:t>
      </w:r>
      <w:r w:rsidR="00FD2162" w:rsidRPr="007A3E30">
        <w:rPr>
          <w:rFonts w:ascii="Book Antiqua" w:hAnsi="Book Antiqua" w:cs="Book Antiqua"/>
          <w:color w:val="000000"/>
          <w:lang w:eastAsia="zh-CN"/>
        </w:rPr>
        <w:t xml:space="preserve">uality-adjusted life year; </w:t>
      </w:r>
      <w:r w:rsidR="00EF0A0D" w:rsidRPr="007A3E30">
        <w:rPr>
          <w:rFonts w:ascii="Book Antiqua" w:hAnsi="Book Antiqua"/>
        </w:rPr>
        <w:t>PPS</w:t>
      </w:r>
      <w:r w:rsidR="00EF0A0D" w:rsidRPr="007A3E30">
        <w:rPr>
          <w:rFonts w:ascii="Book Antiqua" w:hAnsi="Book Antiqua"/>
          <w:lang w:eastAsia="zh-CN"/>
        </w:rPr>
        <w:t>:</w:t>
      </w:r>
      <w:r w:rsidR="00EF0A0D" w:rsidRPr="007A3E30">
        <w:rPr>
          <w:rFonts w:ascii="Book Antiqua" w:hAnsi="Book Antiqua"/>
        </w:rPr>
        <w:t xml:space="preserve"> </w:t>
      </w:r>
      <w:r w:rsidR="00EF0A0D" w:rsidRPr="007A3E30">
        <w:rPr>
          <w:rFonts w:ascii="Book Antiqua" w:hAnsi="Book Antiqua"/>
          <w:caps/>
        </w:rPr>
        <w:t>p</w:t>
      </w:r>
      <w:r w:rsidR="00EF0A0D" w:rsidRPr="007A3E30">
        <w:rPr>
          <w:rFonts w:ascii="Book Antiqua" w:hAnsi="Book Antiqua"/>
        </w:rPr>
        <w:t>ost-progression survival</w:t>
      </w:r>
      <w:r w:rsidR="00EF0A0D" w:rsidRPr="007A3E30">
        <w:rPr>
          <w:rFonts w:ascii="Book Antiqua" w:hAnsi="Book Antiqua"/>
          <w:lang w:eastAsia="zh-CN"/>
        </w:rPr>
        <w:t xml:space="preserve">; </w:t>
      </w:r>
      <w:r w:rsidR="00FD2162" w:rsidRPr="007A3E30">
        <w:rPr>
          <w:rFonts w:ascii="Book Antiqua" w:hAnsi="Book Antiqua" w:cs="Book Antiqua"/>
          <w:color w:val="000000"/>
          <w:lang w:eastAsia="zh-CN"/>
        </w:rPr>
        <w:t xml:space="preserve">PFS: </w:t>
      </w:r>
      <w:r w:rsidR="00F54A68" w:rsidRPr="007A3E30">
        <w:rPr>
          <w:rFonts w:ascii="Book Antiqua" w:hAnsi="Book Antiqua" w:cs="Book Antiqua"/>
          <w:caps/>
          <w:color w:val="000000"/>
          <w:lang w:eastAsia="zh-CN"/>
        </w:rPr>
        <w:t>p</w:t>
      </w:r>
      <w:r w:rsidR="00F54A68" w:rsidRPr="007A3E30">
        <w:rPr>
          <w:rFonts w:ascii="Book Antiqua" w:hAnsi="Book Antiqua" w:cs="Book Antiqua"/>
          <w:color w:val="000000"/>
          <w:lang w:eastAsia="zh-CN"/>
        </w:rPr>
        <w:t xml:space="preserve">rogression-free survival; </w:t>
      </w:r>
      <w:r w:rsidR="00FD2162" w:rsidRPr="007A3E30">
        <w:rPr>
          <w:rFonts w:ascii="Book Antiqua" w:hAnsi="Book Antiqua" w:cs="Book Antiqua"/>
          <w:color w:val="000000"/>
          <w:lang w:eastAsia="zh-CN"/>
        </w:rPr>
        <w:t xml:space="preserve">GI-NETs: </w:t>
      </w:r>
      <w:r w:rsidR="00F54A68" w:rsidRPr="007A3E30">
        <w:rPr>
          <w:rFonts w:ascii="Book Antiqua" w:hAnsi="Book Antiqua" w:cs="Book Antiqua"/>
          <w:caps/>
          <w:color w:val="000000"/>
          <w:lang w:eastAsia="zh-CN"/>
        </w:rPr>
        <w:t>g</w:t>
      </w:r>
      <w:r w:rsidR="00F54A68" w:rsidRPr="007A3E30">
        <w:rPr>
          <w:rFonts w:ascii="Book Antiqua" w:hAnsi="Book Antiqua" w:cs="Book Antiqua"/>
          <w:color w:val="000000"/>
          <w:lang w:eastAsia="zh-CN"/>
        </w:rPr>
        <w:t xml:space="preserve">astrointestinal-neuroendocrine tumors; </w:t>
      </w:r>
      <w:r w:rsidR="00FD2162" w:rsidRPr="007A3E30">
        <w:rPr>
          <w:rFonts w:ascii="Book Antiqua" w:hAnsi="Book Antiqua" w:cs="Book Antiqua"/>
          <w:color w:val="000000"/>
          <w:lang w:eastAsia="zh-CN"/>
        </w:rPr>
        <w:t xml:space="preserve">LAR: </w:t>
      </w:r>
      <w:r w:rsidR="00F54A68" w:rsidRPr="007A3E30">
        <w:rPr>
          <w:rFonts w:ascii="Book Antiqua" w:hAnsi="Book Antiqua" w:cs="Book Antiqua"/>
          <w:caps/>
          <w:color w:val="000000"/>
          <w:lang w:eastAsia="zh-CN"/>
        </w:rPr>
        <w:t>l</w:t>
      </w:r>
      <w:r w:rsidR="00F54A68" w:rsidRPr="007A3E30">
        <w:rPr>
          <w:rFonts w:ascii="Book Antiqua" w:hAnsi="Book Antiqua" w:cs="Book Antiqua"/>
          <w:color w:val="000000"/>
          <w:lang w:eastAsia="zh-CN"/>
        </w:rPr>
        <w:t xml:space="preserve">ong-acting release; </w:t>
      </w:r>
      <w:r w:rsidR="00FD2162" w:rsidRPr="007A3E30">
        <w:rPr>
          <w:rFonts w:ascii="Book Antiqua" w:hAnsi="Book Antiqua" w:cs="Book Antiqua"/>
          <w:color w:val="000000"/>
          <w:lang w:eastAsia="zh-CN"/>
        </w:rPr>
        <w:t xml:space="preserve">CT: </w:t>
      </w:r>
      <w:r w:rsidR="00F54A68" w:rsidRPr="007A3E30">
        <w:rPr>
          <w:rFonts w:ascii="Book Antiqua" w:hAnsi="Book Antiqua" w:cs="Book Antiqua"/>
          <w:caps/>
          <w:color w:val="000000"/>
          <w:lang w:eastAsia="zh-CN"/>
        </w:rPr>
        <w:t>c</w:t>
      </w:r>
      <w:r w:rsidR="00F54A68" w:rsidRPr="007A3E30">
        <w:rPr>
          <w:rFonts w:ascii="Book Antiqua" w:hAnsi="Book Antiqua" w:cs="Book Antiqua"/>
          <w:color w:val="000000"/>
          <w:lang w:eastAsia="zh-CN"/>
        </w:rPr>
        <w:t xml:space="preserve">omputed tomography; </w:t>
      </w:r>
      <w:r w:rsidR="00FD2162" w:rsidRPr="007A3E30">
        <w:rPr>
          <w:rFonts w:ascii="Book Antiqua" w:hAnsi="Book Antiqua" w:cs="Book Antiqua"/>
          <w:color w:val="000000"/>
          <w:lang w:eastAsia="zh-CN"/>
        </w:rPr>
        <w:t xml:space="preserve">MRI: </w:t>
      </w:r>
      <w:r w:rsidR="00F54A68" w:rsidRPr="007A3E30">
        <w:rPr>
          <w:rFonts w:ascii="Book Antiqua" w:hAnsi="Book Antiqua" w:cs="Book Antiqua"/>
          <w:color w:val="000000"/>
          <w:lang w:eastAsia="zh-CN"/>
        </w:rPr>
        <w:t xml:space="preserve">Magnetic resonance imaging; </w:t>
      </w:r>
      <w:r w:rsidR="00FD2162" w:rsidRPr="007A3E30">
        <w:rPr>
          <w:rFonts w:ascii="Book Antiqua" w:hAnsi="Book Antiqua" w:cs="Book Antiqua"/>
          <w:color w:val="000000"/>
          <w:lang w:eastAsia="zh-CN"/>
        </w:rPr>
        <w:t xml:space="preserve">P-NET: </w:t>
      </w:r>
      <w:r w:rsidR="00F54A68" w:rsidRPr="007A3E30">
        <w:rPr>
          <w:rFonts w:ascii="Book Antiqua" w:eastAsia="Book Antiqua" w:hAnsi="Book Antiqua" w:cs="Book Antiqua"/>
          <w:caps/>
          <w:color w:val="000000"/>
        </w:rPr>
        <w:t>p</w:t>
      </w:r>
      <w:r w:rsidR="00F54A68" w:rsidRPr="007A3E30">
        <w:rPr>
          <w:rFonts w:ascii="Book Antiqua" w:eastAsia="Book Antiqua" w:hAnsi="Book Antiqua" w:cs="Book Antiqua"/>
          <w:color w:val="000000"/>
        </w:rPr>
        <w:t>ancreatic-</w:t>
      </w:r>
      <w:r w:rsidR="00F54A68" w:rsidRPr="007A3E30">
        <w:rPr>
          <w:rFonts w:ascii="Book Antiqua" w:hAnsi="Book Antiqua" w:cs="Book Antiqua"/>
          <w:color w:val="000000"/>
          <w:lang w:eastAsia="zh-CN"/>
        </w:rPr>
        <w:t xml:space="preserve">neuroendocrine tumor; </w:t>
      </w:r>
      <w:r w:rsidR="00FD2162" w:rsidRPr="007A3E30">
        <w:rPr>
          <w:rFonts w:ascii="Book Antiqua" w:hAnsi="Book Antiqua" w:cs="Book Antiqua"/>
          <w:color w:val="000000"/>
          <w:lang w:eastAsia="zh-CN"/>
        </w:rPr>
        <w:t xml:space="preserve">AE: </w:t>
      </w:r>
      <w:r w:rsidR="00F54A68" w:rsidRPr="007A3E30">
        <w:rPr>
          <w:rFonts w:ascii="Book Antiqua" w:eastAsia="Book Antiqua" w:hAnsi="Book Antiqua" w:cs="Book Antiqua"/>
          <w:caps/>
          <w:color w:val="000000"/>
        </w:rPr>
        <w:t>a</w:t>
      </w:r>
      <w:r w:rsidR="00F54A68" w:rsidRPr="007A3E30">
        <w:rPr>
          <w:rFonts w:ascii="Book Antiqua" w:eastAsia="Book Antiqua" w:hAnsi="Book Antiqua" w:cs="Book Antiqua"/>
          <w:color w:val="000000"/>
        </w:rPr>
        <w:t>dverse event</w:t>
      </w:r>
      <w:r w:rsidR="00F54A68" w:rsidRPr="007A3E30">
        <w:rPr>
          <w:rFonts w:ascii="Book Antiqua" w:hAnsi="Book Antiqua" w:cs="Book Antiqua"/>
          <w:color w:val="000000"/>
          <w:lang w:eastAsia="zh-CN"/>
        </w:rPr>
        <w:t>.</w:t>
      </w:r>
    </w:p>
    <w:p w14:paraId="233FE4D1" w14:textId="77777777" w:rsidR="00F54A68" w:rsidRPr="007A3E30" w:rsidRDefault="00F54A68" w:rsidP="000540F1">
      <w:pPr>
        <w:spacing w:line="360" w:lineRule="auto"/>
        <w:jc w:val="both"/>
        <w:rPr>
          <w:rFonts w:ascii="Book Antiqua" w:hAnsi="Book Antiqua" w:cs="Book Antiqua"/>
          <w:color w:val="000000"/>
          <w:lang w:eastAsia="zh-CN"/>
        </w:rPr>
      </w:pPr>
      <w:r w:rsidRPr="007A3E30">
        <w:rPr>
          <w:rFonts w:ascii="Book Antiqua" w:hAnsi="Book Antiqua" w:cs="Book Antiqua"/>
          <w:color w:val="000000"/>
          <w:lang w:eastAsia="zh-CN"/>
        </w:rPr>
        <w:br w:type="page"/>
      </w:r>
      <w:r w:rsidRPr="007A3E30">
        <w:rPr>
          <w:rFonts w:ascii="Book Antiqua" w:hAnsi="Book Antiqua"/>
          <w:noProof/>
          <w:lang w:eastAsia="zh-CN"/>
        </w:rPr>
        <w:drawing>
          <wp:inline distT="0" distB="0" distL="0" distR="0" wp14:anchorId="7FF17B84" wp14:editId="6E1C67CB">
            <wp:extent cx="5486400" cy="239522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395220"/>
                    </a:xfrm>
                    <a:prstGeom prst="rect">
                      <a:avLst/>
                    </a:prstGeom>
                  </pic:spPr>
                </pic:pic>
              </a:graphicData>
            </a:graphic>
          </wp:inline>
        </w:drawing>
      </w:r>
    </w:p>
    <w:p w14:paraId="6539F798" w14:textId="77777777" w:rsidR="00F54A68" w:rsidRPr="007A3E30" w:rsidRDefault="00F54A68" w:rsidP="000540F1">
      <w:pPr>
        <w:spacing w:line="360" w:lineRule="auto"/>
        <w:jc w:val="both"/>
        <w:rPr>
          <w:rFonts w:ascii="Book Antiqua" w:hAnsi="Book Antiqua" w:cs="Book Antiqua"/>
          <w:color w:val="000000"/>
          <w:lang w:eastAsia="zh-CN"/>
        </w:rPr>
      </w:pPr>
      <w:r w:rsidRPr="007A3E30">
        <w:rPr>
          <w:rFonts w:ascii="Book Antiqua" w:hAnsi="Book Antiqua" w:cs="Book Antiqua"/>
          <w:color w:val="000000"/>
          <w:lang w:eastAsia="zh-CN"/>
        </w:rPr>
        <w:t>A</w:t>
      </w:r>
    </w:p>
    <w:p w14:paraId="7BDC81F8" w14:textId="77777777" w:rsidR="005B14E5" w:rsidRPr="007A3E30" w:rsidRDefault="005B14E5" w:rsidP="000540F1">
      <w:pPr>
        <w:spacing w:line="360" w:lineRule="auto"/>
        <w:jc w:val="both"/>
        <w:rPr>
          <w:rFonts w:ascii="Book Antiqua" w:hAnsi="Book Antiqua" w:cs="Book Antiqua"/>
          <w:color w:val="000000"/>
          <w:lang w:eastAsia="zh-CN"/>
        </w:rPr>
      </w:pPr>
      <w:r w:rsidRPr="007A3E30">
        <w:rPr>
          <w:rFonts w:ascii="Book Antiqua" w:hAnsi="Book Antiqua"/>
          <w:noProof/>
          <w:lang w:eastAsia="zh-CN"/>
        </w:rPr>
        <w:drawing>
          <wp:inline distT="0" distB="0" distL="0" distR="0" wp14:anchorId="52C6C5DD" wp14:editId="2EA19783">
            <wp:extent cx="5486400" cy="24771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477135"/>
                    </a:xfrm>
                    <a:prstGeom prst="rect">
                      <a:avLst/>
                    </a:prstGeom>
                  </pic:spPr>
                </pic:pic>
              </a:graphicData>
            </a:graphic>
          </wp:inline>
        </w:drawing>
      </w:r>
    </w:p>
    <w:p w14:paraId="5572FBAE" w14:textId="77777777" w:rsidR="005B14E5" w:rsidRPr="007A3E30" w:rsidRDefault="005B14E5" w:rsidP="000540F1">
      <w:pPr>
        <w:spacing w:line="360" w:lineRule="auto"/>
        <w:jc w:val="both"/>
        <w:rPr>
          <w:rFonts w:ascii="Book Antiqua" w:hAnsi="Book Antiqua" w:cs="Book Antiqua"/>
          <w:color w:val="000000"/>
          <w:lang w:eastAsia="zh-CN"/>
        </w:rPr>
      </w:pPr>
      <w:r w:rsidRPr="007A3E30">
        <w:rPr>
          <w:rFonts w:ascii="Book Antiqua" w:hAnsi="Book Antiqua" w:cs="Book Antiqua"/>
          <w:color w:val="000000"/>
          <w:lang w:eastAsia="zh-CN"/>
        </w:rPr>
        <w:t>B</w:t>
      </w:r>
    </w:p>
    <w:p w14:paraId="372E3454" w14:textId="77777777" w:rsidR="005B14E5" w:rsidRPr="007A3E30" w:rsidRDefault="00E36424" w:rsidP="000540F1">
      <w:pPr>
        <w:spacing w:line="360" w:lineRule="auto"/>
        <w:jc w:val="both"/>
        <w:rPr>
          <w:rFonts w:ascii="Book Antiqua" w:hAnsi="Book Antiqua" w:cs="Book Antiqua"/>
          <w:color w:val="000000"/>
          <w:lang w:eastAsia="zh-CN"/>
        </w:rPr>
      </w:pPr>
      <w:r w:rsidRPr="007A3E30">
        <w:rPr>
          <w:rFonts w:ascii="Book Antiqua" w:hAnsi="Book Antiqua"/>
          <w:b/>
          <w:lang w:eastAsia="zh-CN"/>
        </w:rPr>
        <w:t xml:space="preserve">Figure 2 Summary findings of one-way sensitivity analyses for Norway. </w:t>
      </w:r>
      <w:r w:rsidRPr="007A3E30">
        <w:rPr>
          <w:rFonts w:ascii="Book Antiqua" w:hAnsi="Book Antiqua"/>
          <w:lang w:eastAsia="zh-CN"/>
        </w:rPr>
        <w:t xml:space="preserve">A: One-way sensitivity analyses in </w:t>
      </w:r>
      <w:r w:rsidR="006C3727" w:rsidRPr="007A3E30">
        <w:rPr>
          <w:rFonts w:ascii="Book Antiqua" w:hAnsi="Book Antiqua" w:cs="Book Antiqua"/>
          <w:color w:val="000000"/>
          <w:lang w:eastAsia="zh-CN"/>
        </w:rPr>
        <w:t>gastrointestinal-neuroendocrine tumors</w:t>
      </w:r>
      <w:r w:rsidRPr="007A3E30">
        <w:rPr>
          <w:rFonts w:ascii="Book Antiqua" w:hAnsi="Book Antiqua"/>
          <w:lang w:eastAsia="zh-CN"/>
        </w:rPr>
        <w:t xml:space="preserve">; B: One-way sensitivity analyses in </w:t>
      </w:r>
      <w:r w:rsidR="006C3727" w:rsidRPr="007A3E30">
        <w:rPr>
          <w:rFonts w:ascii="Book Antiqua" w:hAnsi="Book Antiqua" w:cs="Book Antiqua"/>
          <w:color w:val="000000"/>
          <w:lang w:eastAsia="zh-CN"/>
        </w:rPr>
        <w:t>pancreatic neuroendocrine tumors</w:t>
      </w:r>
      <w:r w:rsidRPr="007A3E30">
        <w:rPr>
          <w:rFonts w:ascii="Book Antiqua" w:hAnsi="Book Antiqua"/>
          <w:lang w:eastAsia="zh-CN"/>
        </w:rPr>
        <w:t>.</w:t>
      </w:r>
      <w:r w:rsidR="005B14E5" w:rsidRPr="007A3E30">
        <w:rPr>
          <w:rFonts w:ascii="Book Antiqua" w:hAnsi="Book Antiqua"/>
          <w:lang w:eastAsia="zh-CN"/>
        </w:rPr>
        <w:t xml:space="preserve"> </w:t>
      </w:r>
      <w:r w:rsidR="005B14E5" w:rsidRPr="007A3E30">
        <w:rPr>
          <w:rFonts w:ascii="Book Antiqua" w:hAnsi="Book Antiqua" w:cs="Book Antiqua"/>
          <w:color w:val="000000"/>
          <w:lang w:eastAsia="zh-CN"/>
        </w:rPr>
        <w:t xml:space="preserve">QALY: </w:t>
      </w:r>
      <w:r w:rsidR="005B14E5" w:rsidRPr="007A3E30">
        <w:rPr>
          <w:rFonts w:ascii="Book Antiqua" w:hAnsi="Book Antiqua" w:cs="Book Antiqua"/>
          <w:caps/>
          <w:color w:val="000000"/>
          <w:lang w:eastAsia="zh-CN"/>
        </w:rPr>
        <w:t>q</w:t>
      </w:r>
      <w:r w:rsidR="005B14E5" w:rsidRPr="007A3E30">
        <w:rPr>
          <w:rFonts w:ascii="Book Antiqua" w:hAnsi="Book Antiqua" w:cs="Book Antiqua"/>
          <w:color w:val="000000"/>
          <w:lang w:eastAsia="zh-CN"/>
        </w:rPr>
        <w:t xml:space="preserve">uality-adjusted life year; </w:t>
      </w:r>
      <w:r w:rsidR="00EF0A0D" w:rsidRPr="007A3E30">
        <w:rPr>
          <w:rFonts w:ascii="Book Antiqua" w:hAnsi="Book Antiqua"/>
        </w:rPr>
        <w:t>PPS</w:t>
      </w:r>
      <w:r w:rsidR="00EF0A0D" w:rsidRPr="007A3E30">
        <w:rPr>
          <w:rFonts w:ascii="Book Antiqua" w:hAnsi="Book Antiqua"/>
          <w:lang w:eastAsia="zh-CN"/>
        </w:rPr>
        <w:t>:</w:t>
      </w:r>
      <w:r w:rsidR="00EF0A0D" w:rsidRPr="007A3E30">
        <w:rPr>
          <w:rFonts w:ascii="Book Antiqua" w:hAnsi="Book Antiqua"/>
        </w:rPr>
        <w:t xml:space="preserve"> </w:t>
      </w:r>
      <w:r w:rsidR="00EF0A0D" w:rsidRPr="007A3E30">
        <w:rPr>
          <w:rFonts w:ascii="Book Antiqua" w:hAnsi="Book Antiqua"/>
          <w:caps/>
        </w:rPr>
        <w:t>p</w:t>
      </w:r>
      <w:r w:rsidR="00EF0A0D" w:rsidRPr="007A3E30">
        <w:rPr>
          <w:rFonts w:ascii="Book Antiqua" w:hAnsi="Book Antiqua"/>
        </w:rPr>
        <w:t>ost-progression survival</w:t>
      </w:r>
      <w:r w:rsidR="00EF0A0D" w:rsidRPr="007A3E30">
        <w:rPr>
          <w:rFonts w:ascii="Book Antiqua" w:hAnsi="Book Antiqua"/>
          <w:lang w:eastAsia="zh-CN"/>
        </w:rPr>
        <w:t>;</w:t>
      </w:r>
      <w:r w:rsidR="00EF0A0D" w:rsidRPr="007A3E30">
        <w:rPr>
          <w:rFonts w:ascii="Book Antiqua" w:hAnsi="Book Antiqua" w:cs="Book Antiqua"/>
          <w:color w:val="000000"/>
          <w:lang w:eastAsia="zh-CN"/>
        </w:rPr>
        <w:t xml:space="preserve"> </w:t>
      </w:r>
      <w:r w:rsidR="005B14E5" w:rsidRPr="007A3E30">
        <w:rPr>
          <w:rFonts w:ascii="Book Antiqua" w:hAnsi="Book Antiqua" w:cs="Book Antiqua"/>
          <w:color w:val="000000"/>
          <w:lang w:eastAsia="zh-CN"/>
        </w:rPr>
        <w:t xml:space="preserve">PFS: </w:t>
      </w:r>
      <w:r w:rsidR="005B14E5" w:rsidRPr="007A3E30">
        <w:rPr>
          <w:rFonts w:ascii="Book Antiqua" w:hAnsi="Book Antiqua" w:cs="Book Antiqua"/>
          <w:caps/>
          <w:color w:val="000000"/>
          <w:lang w:eastAsia="zh-CN"/>
        </w:rPr>
        <w:t>p</w:t>
      </w:r>
      <w:r w:rsidR="005B14E5" w:rsidRPr="007A3E30">
        <w:rPr>
          <w:rFonts w:ascii="Book Antiqua" w:hAnsi="Book Antiqua" w:cs="Book Antiqua"/>
          <w:color w:val="000000"/>
          <w:lang w:eastAsia="zh-CN"/>
        </w:rPr>
        <w:t xml:space="preserve">rogression-free survival; GI-NETs: </w:t>
      </w:r>
      <w:r w:rsidR="005B14E5" w:rsidRPr="007A3E30">
        <w:rPr>
          <w:rFonts w:ascii="Book Antiqua" w:hAnsi="Book Antiqua" w:cs="Book Antiqua"/>
          <w:caps/>
          <w:color w:val="000000"/>
          <w:lang w:eastAsia="zh-CN"/>
        </w:rPr>
        <w:t>g</w:t>
      </w:r>
      <w:r w:rsidR="005B14E5" w:rsidRPr="007A3E30">
        <w:rPr>
          <w:rFonts w:ascii="Book Antiqua" w:hAnsi="Book Antiqua" w:cs="Book Antiqua"/>
          <w:color w:val="000000"/>
          <w:lang w:eastAsia="zh-CN"/>
        </w:rPr>
        <w:t xml:space="preserve">astrointestinal-neuroendocrine tumors; LAR: </w:t>
      </w:r>
      <w:r w:rsidR="005B14E5" w:rsidRPr="007A3E30">
        <w:rPr>
          <w:rFonts w:ascii="Book Antiqua" w:hAnsi="Book Antiqua" w:cs="Book Antiqua"/>
          <w:caps/>
          <w:color w:val="000000"/>
          <w:lang w:eastAsia="zh-CN"/>
        </w:rPr>
        <w:t>l</w:t>
      </w:r>
      <w:r w:rsidR="005B14E5" w:rsidRPr="007A3E30">
        <w:rPr>
          <w:rFonts w:ascii="Book Antiqua" w:hAnsi="Book Antiqua" w:cs="Book Antiqua"/>
          <w:color w:val="000000"/>
          <w:lang w:eastAsia="zh-CN"/>
        </w:rPr>
        <w:t xml:space="preserve">ong-acting release; CT: </w:t>
      </w:r>
      <w:r w:rsidR="005B14E5" w:rsidRPr="007A3E30">
        <w:rPr>
          <w:rFonts w:ascii="Book Antiqua" w:hAnsi="Book Antiqua" w:cs="Book Antiqua"/>
          <w:caps/>
          <w:color w:val="000000"/>
          <w:lang w:eastAsia="zh-CN"/>
        </w:rPr>
        <w:t>c</w:t>
      </w:r>
      <w:r w:rsidR="005B14E5" w:rsidRPr="007A3E30">
        <w:rPr>
          <w:rFonts w:ascii="Book Antiqua" w:hAnsi="Book Antiqua" w:cs="Book Antiqua"/>
          <w:color w:val="000000"/>
          <w:lang w:eastAsia="zh-CN"/>
        </w:rPr>
        <w:t xml:space="preserve">omputed tomography; MRI: Magnetic resonance imaging; P-NET: </w:t>
      </w:r>
      <w:r w:rsidR="005B14E5" w:rsidRPr="007A3E30">
        <w:rPr>
          <w:rFonts w:ascii="Book Antiqua" w:eastAsia="Book Antiqua" w:hAnsi="Book Antiqua" w:cs="Book Antiqua"/>
          <w:caps/>
          <w:color w:val="000000"/>
        </w:rPr>
        <w:t>p</w:t>
      </w:r>
      <w:r w:rsidR="005B14E5" w:rsidRPr="007A3E30">
        <w:rPr>
          <w:rFonts w:ascii="Book Antiqua" w:eastAsia="Book Antiqua" w:hAnsi="Book Antiqua" w:cs="Book Antiqua"/>
          <w:color w:val="000000"/>
        </w:rPr>
        <w:t>ancreatic-</w:t>
      </w:r>
      <w:r w:rsidR="005B14E5" w:rsidRPr="007A3E30">
        <w:rPr>
          <w:rFonts w:ascii="Book Antiqua" w:hAnsi="Book Antiqua" w:cs="Book Antiqua"/>
          <w:color w:val="000000"/>
          <w:lang w:eastAsia="zh-CN"/>
        </w:rPr>
        <w:t xml:space="preserve">neuroendocrine tumor; AE: </w:t>
      </w:r>
      <w:r w:rsidR="005B14E5" w:rsidRPr="007A3E30">
        <w:rPr>
          <w:rFonts w:ascii="Book Antiqua" w:eastAsia="Book Antiqua" w:hAnsi="Book Antiqua" w:cs="Book Antiqua"/>
          <w:caps/>
          <w:color w:val="000000"/>
        </w:rPr>
        <w:t>a</w:t>
      </w:r>
      <w:r w:rsidR="005B14E5" w:rsidRPr="007A3E30">
        <w:rPr>
          <w:rFonts w:ascii="Book Antiqua" w:eastAsia="Book Antiqua" w:hAnsi="Book Antiqua" w:cs="Book Antiqua"/>
          <w:color w:val="000000"/>
        </w:rPr>
        <w:t>dverse event</w:t>
      </w:r>
      <w:r w:rsidR="005B14E5" w:rsidRPr="007A3E30">
        <w:rPr>
          <w:rFonts w:ascii="Book Antiqua" w:hAnsi="Book Antiqua" w:cs="Book Antiqua"/>
          <w:color w:val="000000"/>
          <w:lang w:eastAsia="zh-CN"/>
        </w:rPr>
        <w:t>.</w:t>
      </w:r>
    </w:p>
    <w:p w14:paraId="029A467F" w14:textId="77777777" w:rsidR="00E36424" w:rsidRPr="007A3E30" w:rsidRDefault="00E36424" w:rsidP="000540F1">
      <w:pPr>
        <w:spacing w:line="360" w:lineRule="auto"/>
        <w:jc w:val="both"/>
        <w:rPr>
          <w:rFonts w:ascii="Book Antiqua" w:hAnsi="Book Antiqua"/>
          <w:lang w:eastAsia="zh-CN"/>
        </w:rPr>
      </w:pPr>
    </w:p>
    <w:p w14:paraId="738F30A7" w14:textId="77777777" w:rsidR="000E444E" w:rsidRPr="007A3E30" w:rsidRDefault="006C3727" w:rsidP="000540F1">
      <w:pPr>
        <w:pStyle w:val="a9"/>
        <w:keepNext w:val="0"/>
        <w:keepLines w:val="0"/>
        <w:widowControl w:val="0"/>
        <w:spacing w:after="0" w:line="360" w:lineRule="auto"/>
        <w:ind w:left="0" w:firstLine="0"/>
        <w:jc w:val="both"/>
        <w:rPr>
          <w:rFonts w:ascii="Book Antiqua" w:hAnsi="Book Antiqua"/>
          <w:sz w:val="24"/>
          <w:szCs w:val="24"/>
        </w:rPr>
      </w:pPr>
      <w:r w:rsidRPr="007A3E30">
        <w:rPr>
          <w:rFonts w:ascii="Book Antiqua" w:hAnsi="Book Antiqua"/>
          <w:sz w:val="24"/>
          <w:szCs w:val="24"/>
        </w:rPr>
        <w:br w:type="page"/>
      </w:r>
      <w:bookmarkStart w:id="24" w:name="_Ref18491738"/>
      <w:bookmarkStart w:id="25" w:name="_Toc302988134"/>
      <w:r w:rsidR="000E444E" w:rsidRPr="007A3E30">
        <w:rPr>
          <w:rFonts w:ascii="Book Antiqua" w:hAnsi="Book Antiqua"/>
          <w:sz w:val="24"/>
          <w:szCs w:val="24"/>
        </w:rPr>
        <w:t xml:space="preserve">Table </w:t>
      </w:r>
      <w:bookmarkEnd w:id="24"/>
      <w:r w:rsidR="00305DB9" w:rsidRPr="007A3E30">
        <w:rPr>
          <w:rFonts w:ascii="Book Antiqua" w:hAnsi="Book Antiqua"/>
          <w:sz w:val="24"/>
          <w:szCs w:val="24"/>
          <w:lang w:eastAsia="zh-CN"/>
        </w:rPr>
        <w:t>1</w:t>
      </w:r>
      <w:r w:rsidR="000E444E" w:rsidRPr="007A3E30">
        <w:rPr>
          <w:rFonts w:ascii="Book Antiqua" w:hAnsi="Book Antiqua"/>
          <w:sz w:val="24"/>
          <w:szCs w:val="24"/>
          <w:lang w:eastAsia="zh-CN"/>
        </w:rPr>
        <w:t xml:space="preserve"> </w:t>
      </w:r>
      <w:r w:rsidR="000E444E" w:rsidRPr="007A3E30">
        <w:rPr>
          <w:rFonts w:ascii="Book Antiqua" w:hAnsi="Book Antiqua"/>
          <w:sz w:val="24"/>
          <w:szCs w:val="24"/>
        </w:rPr>
        <w:t>Drug acquisition costs for gastrointestinal-neuroendocrine tumors and pancreatic-neuroendocrine tumor</w:t>
      </w:r>
    </w:p>
    <w:tbl>
      <w:tblPr>
        <w:tblStyle w:val="OssianReportTable"/>
        <w:tblW w:w="4994" w:type="pct"/>
        <w:tblLook w:val="04A0" w:firstRow="1" w:lastRow="0" w:firstColumn="1" w:lastColumn="0" w:noHBand="0" w:noVBand="1"/>
      </w:tblPr>
      <w:tblGrid>
        <w:gridCol w:w="1750"/>
        <w:gridCol w:w="2866"/>
        <w:gridCol w:w="2308"/>
        <w:gridCol w:w="2308"/>
      </w:tblGrid>
      <w:tr w:rsidR="000E444E" w:rsidRPr="007A3E30" w14:paraId="2E87D703" w14:textId="77777777" w:rsidTr="000E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pct"/>
            <w:tcBorders>
              <w:top w:val="single" w:sz="6" w:space="0" w:color="auto"/>
            </w:tcBorders>
            <w:shd w:val="clear" w:color="auto" w:fill="auto"/>
          </w:tcPr>
          <w:p w14:paraId="574A718D"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Treatment</w:t>
            </w:r>
          </w:p>
        </w:tc>
        <w:tc>
          <w:tcPr>
            <w:tcW w:w="1552" w:type="pct"/>
            <w:tcBorders>
              <w:top w:val="single" w:sz="6" w:space="0" w:color="auto"/>
            </w:tcBorders>
            <w:shd w:val="clear" w:color="auto" w:fill="auto"/>
          </w:tcPr>
          <w:p w14:paraId="5DF31AF1" w14:textId="77777777" w:rsidR="000E444E" w:rsidRPr="007A3E30" w:rsidRDefault="000E444E" w:rsidP="000540F1">
            <w:pPr>
              <w:pStyle w:val="Text"/>
              <w:keepNext w:val="0"/>
              <w:keepLines w:val="0"/>
              <w:widowControl w:val="0"/>
              <w:spacing w:before="0"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Dose and frequency</w:t>
            </w:r>
          </w:p>
        </w:tc>
        <w:tc>
          <w:tcPr>
            <w:tcW w:w="1250" w:type="pct"/>
            <w:tcBorders>
              <w:top w:val="single" w:sz="6" w:space="0" w:color="auto"/>
            </w:tcBorders>
            <w:shd w:val="clear" w:color="auto" w:fill="auto"/>
          </w:tcPr>
          <w:p w14:paraId="525D7EE5" w14:textId="77777777" w:rsidR="000E444E" w:rsidRPr="007A3E30" w:rsidRDefault="000E444E" w:rsidP="000540F1">
            <w:pPr>
              <w:pStyle w:val="Text"/>
              <w:keepNext w:val="0"/>
              <w:keepLines w:val="0"/>
              <w:widowControl w:val="0"/>
              <w:spacing w:before="0"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Cost Sweden, SEK</w:t>
            </w:r>
          </w:p>
        </w:tc>
        <w:tc>
          <w:tcPr>
            <w:tcW w:w="1250" w:type="pct"/>
            <w:tcBorders>
              <w:top w:val="single" w:sz="6" w:space="0" w:color="auto"/>
            </w:tcBorders>
            <w:shd w:val="clear" w:color="auto" w:fill="auto"/>
          </w:tcPr>
          <w:p w14:paraId="67D9EDE2" w14:textId="77777777" w:rsidR="000E444E" w:rsidRPr="007A3E30" w:rsidRDefault="000E444E" w:rsidP="000540F1">
            <w:pPr>
              <w:pStyle w:val="Text"/>
              <w:keepNext w:val="0"/>
              <w:keepLines w:val="0"/>
              <w:widowControl w:val="0"/>
              <w:spacing w:before="0"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7A3E30">
              <w:rPr>
                <w:rFonts w:ascii="Book Antiqua" w:hAnsi="Book Antiqua"/>
                <w:sz w:val="24"/>
                <w:szCs w:val="24"/>
              </w:rPr>
              <w:t>Cost Norway, NOK</w:t>
            </w:r>
          </w:p>
        </w:tc>
      </w:tr>
      <w:tr w:rsidR="000E444E" w:rsidRPr="007A3E30" w14:paraId="4BB28B8A" w14:textId="77777777" w:rsidTr="000E444E">
        <w:tc>
          <w:tcPr>
            <w:cnfStyle w:val="001000000000" w:firstRow="0" w:lastRow="0" w:firstColumn="1" w:lastColumn="0" w:oddVBand="0" w:evenVBand="0" w:oddHBand="0" w:evenHBand="0" w:firstRowFirstColumn="0" w:firstRowLastColumn="0" w:lastRowFirstColumn="0" w:lastRowLastColumn="0"/>
            <w:tcW w:w="948" w:type="pct"/>
            <w:shd w:val="clear" w:color="auto" w:fill="auto"/>
          </w:tcPr>
          <w:p w14:paraId="2C5054C0"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vertAlign w:val="superscript"/>
              </w:rPr>
              <w:t>177</w:t>
            </w:r>
            <w:r w:rsidRPr="007A3E30">
              <w:rPr>
                <w:rFonts w:ascii="Book Antiqua" w:hAnsi="Book Antiqua"/>
                <w:sz w:val="24"/>
                <w:szCs w:val="24"/>
              </w:rPr>
              <w:t>Lu-Dotatate 7.4 GBq</w:t>
            </w:r>
          </w:p>
        </w:tc>
        <w:tc>
          <w:tcPr>
            <w:tcW w:w="1552" w:type="pct"/>
            <w:shd w:val="clear" w:color="auto" w:fill="auto"/>
          </w:tcPr>
          <w:p w14:paraId="20D0083E"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7A3E30">
              <w:rPr>
                <w:rFonts w:ascii="Book Antiqua" w:hAnsi="Book Antiqua"/>
                <w:sz w:val="24"/>
                <w:szCs w:val="24"/>
              </w:rPr>
              <w:t>4 administrations of 7.4 GBq, administered once every 8 wk</w:t>
            </w:r>
          </w:p>
        </w:tc>
        <w:tc>
          <w:tcPr>
            <w:tcW w:w="1250" w:type="pct"/>
            <w:shd w:val="clear" w:color="auto" w:fill="auto"/>
          </w:tcPr>
          <w:p w14:paraId="67D8F8BB"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200000 per dose</w:t>
            </w:r>
          </w:p>
        </w:tc>
        <w:tc>
          <w:tcPr>
            <w:tcW w:w="1250" w:type="pct"/>
            <w:shd w:val="clear" w:color="auto" w:fill="auto"/>
          </w:tcPr>
          <w:p w14:paraId="09CAFF58"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228508 per dose</w:t>
            </w:r>
          </w:p>
        </w:tc>
      </w:tr>
      <w:tr w:rsidR="000E444E" w:rsidRPr="007A3E30" w14:paraId="1B03EA2F" w14:textId="77777777" w:rsidTr="000E444E">
        <w:tc>
          <w:tcPr>
            <w:cnfStyle w:val="001000000000" w:firstRow="0" w:lastRow="0" w:firstColumn="1" w:lastColumn="0" w:oddVBand="0" w:evenVBand="0" w:oddHBand="0" w:evenHBand="0" w:firstRowFirstColumn="0" w:firstRowLastColumn="0" w:lastRowFirstColumn="0" w:lastRowLastColumn="0"/>
            <w:tcW w:w="948" w:type="pct"/>
            <w:shd w:val="clear" w:color="auto" w:fill="auto"/>
          </w:tcPr>
          <w:p w14:paraId="1BA00C4B"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Octreotide LAR</w:t>
            </w:r>
          </w:p>
        </w:tc>
        <w:tc>
          <w:tcPr>
            <w:tcW w:w="1552" w:type="pct"/>
            <w:shd w:val="clear" w:color="auto" w:fill="auto"/>
          </w:tcPr>
          <w:p w14:paraId="660466F2"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60 mg or 30 mg administered once every 28 d</w:t>
            </w:r>
          </w:p>
        </w:tc>
        <w:tc>
          <w:tcPr>
            <w:tcW w:w="1250" w:type="pct"/>
            <w:shd w:val="clear" w:color="auto" w:fill="auto"/>
          </w:tcPr>
          <w:p w14:paraId="51EE399D"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11957.94 (30 mg) 23915.88 (60 mg)</w:t>
            </w:r>
          </w:p>
        </w:tc>
        <w:tc>
          <w:tcPr>
            <w:tcW w:w="1250" w:type="pct"/>
            <w:shd w:val="clear" w:color="auto" w:fill="auto"/>
          </w:tcPr>
          <w:p w14:paraId="3B2524DC"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13673 (30 mg) 27346 (60 mg)</w:t>
            </w:r>
          </w:p>
        </w:tc>
      </w:tr>
      <w:tr w:rsidR="000E444E" w:rsidRPr="007A3E30" w14:paraId="1BF5793C" w14:textId="77777777" w:rsidTr="000E444E">
        <w:tc>
          <w:tcPr>
            <w:cnfStyle w:val="001000000000" w:firstRow="0" w:lastRow="0" w:firstColumn="1" w:lastColumn="0" w:oddVBand="0" w:evenVBand="0" w:oddHBand="0" w:evenHBand="0" w:firstRowFirstColumn="0" w:firstRowLastColumn="0" w:lastRowFirstColumn="0" w:lastRowLastColumn="0"/>
            <w:tcW w:w="948" w:type="pct"/>
            <w:shd w:val="clear" w:color="auto" w:fill="auto"/>
          </w:tcPr>
          <w:p w14:paraId="003BD3E3"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 xml:space="preserve">Everolimus </w:t>
            </w:r>
          </w:p>
        </w:tc>
        <w:tc>
          <w:tcPr>
            <w:tcW w:w="1552" w:type="pct"/>
            <w:shd w:val="clear" w:color="auto" w:fill="auto"/>
          </w:tcPr>
          <w:p w14:paraId="123C5188"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10 mg once daily</w:t>
            </w:r>
          </w:p>
        </w:tc>
        <w:tc>
          <w:tcPr>
            <w:tcW w:w="1250" w:type="pct"/>
            <w:shd w:val="clear" w:color="auto" w:fill="auto"/>
          </w:tcPr>
          <w:p w14:paraId="2F108C60"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 xml:space="preserve">38089.19 (1 </w:t>
            </w:r>
            <w:r w:rsidRPr="007A3E30">
              <w:rPr>
                <w:rFonts w:ascii="Book Antiqua" w:hAnsi="Book Antiqua"/>
                <w:sz w:val="24"/>
                <w:szCs w:val="24"/>
                <w:lang w:eastAsia="zh-CN"/>
              </w:rPr>
              <w:t>×</w:t>
            </w:r>
            <w:r w:rsidRPr="007A3E30">
              <w:rPr>
                <w:rFonts w:ascii="Book Antiqua" w:hAnsi="Book Antiqua"/>
                <w:sz w:val="24"/>
                <w:szCs w:val="24"/>
              </w:rPr>
              <w:t xml:space="preserve"> 30 tablet pack, 10 mg)</w:t>
            </w:r>
          </w:p>
        </w:tc>
        <w:tc>
          <w:tcPr>
            <w:tcW w:w="1250" w:type="pct"/>
            <w:shd w:val="clear" w:color="auto" w:fill="auto"/>
          </w:tcPr>
          <w:p w14:paraId="28E60909"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 xml:space="preserve">36525 (1 </w:t>
            </w:r>
            <w:r w:rsidRPr="007A3E30">
              <w:rPr>
                <w:rFonts w:ascii="Book Antiqua" w:hAnsi="Book Antiqua"/>
                <w:sz w:val="24"/>
                <w:szCs w:val="24"/>
                <w:lang w:eastAsia="zh-CN"/>
              </w:rPr>
              <w:t>×</w:t>
            </w:r>
            <w:r w:rsidRPr="007A3E30">
              <w:rPr>
                <w:rFonts w:ascii="Book Antiqua" w:hAnsi="Book Antiqua"/>
                <w:sz w:val="24"/>
                <w:szCs w:val="24"/>
              </w:rPr>
              <w:t xml:space="preserve"> 30 tablet pack, 10 mg)</w:t>
            </w:r>
          </w:p>
        </w:tc>
      </w:tr>
      <w:tr w:rsidR="000E444E" w:rsidRPr="007A3E30" w14:paraId="00D6A287" w14:textId="77777777" w:rsidTr="000E444E">
        <w:tc>
          <w:tcPr>
            <w:cnfStyle w:val="001000000000" w:firstRow="0" w:lastRow="0" w:firstColumn="1" w:lastColumn="0" w:oddVBand="0" w:evenVBand="0" w:oddHBand="0" w:evenHBand="0" w:firstRowFirstColumn="0" w:firstRowLastColumn="0" w:lastRowFirstColumn="0" w:lastRowLastColumn="0"/>
            <w:tcW w:w="948" w:type="pct"/>
            <w:shd w:val="clear" w:color="auto" w:fill="auto"/>
          </w:tcPr>
          <w:p w14:paraId="3338B9E8"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Octreotide SC 50 μg/mL</w:t>
            </w:r>
          </w:p>
        </w:tc>
        <w:tc>
          <w:tcPr>
            <w:tcW w:w="1552" w:type="pct"/>
            <w:shd w:val="clear" w:color="auto" w:fill="auto"/>
          </w:tcPr>
          <w:p w14:paraId="2240BB38"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If required</w:t>
            </w:r>
          </w:p>
        </w:tc>
        <w:tc>
          <w:tcPr>
            <w:tcW w:w="1250" w:type="pct"/>
            <w:shd w:val="clear" w:color="auto" w:fill="auto"/>
          </w:tcPr>
          <w:p w14:paraId="285B2731"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283.41 per dose</w:t>
            </w:r>
          </w:p>
        </w:tc>
        <w:tc>
          <w:tcPr>
            <w:tcW w:w="1250" w:type="pct"/>
            <w:shd w:val="clear" w:color="auto" w:fill="auto"/>
          </w:tcPr>
          <w:p w14:paraId="4BFB4017"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227.40 per dose</w:t>
            </w:r>
          </w:p>
        </w:tc>
      </w:tr>
      <w:tr w:rsidR="000E444E" w:rsidRPr="007A3E30" w14:paraId="5E0BA2AF" w14:textId="77777777" w:rsidTr="000E444E">
        <w:tc>
          <w:tcPr>
            <w:cnfStyle w:val="001000000000" w:firstRow="0" w:lastRow="0" w:firstColumn="1" w:lastColumn="0" w:oddVBand="0" w:evenVBand="0" w:oddHBand="0" w:evenHBand="0" w:firstRowFirstColumn="0" w:firstRowLastColumn="0" w:lastRowFirstColumn="0" w:lastRowLastColumn="0"/>
            <w:tcW w:w="948" w:type="pct"/>
            <w:shd w:val="clear" w:color="auto" w:fill="auto"/>
          </w:tcPr>
          <w:p w14:paraId="4525C54C"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Granisetron</w:t>
            </w:r>
            <w:r w:rsidR="00BD50C9" w:rsidRPr="007A3E30">
              <w:rPr>
                <w:rFonts w:ascii="Book Antiqua" w:hAnsi="Book Antiqua"/>
                <w:sz w:val="24"/>
                <w:szCs w:val="24"/>
                <w:vertAlign w:val="superscript"/>
              </w:rPr>
              <w:t>1</w:t>
            </w:r>
          </w:p>
        </w:tc>
        <w:tc>
          <w:tcPr>
            <w:tcW w:w="1552" w:type="pct"/>
            <w:shd w:val="clear" w:color="auto" w:fill="auto"/>
          </w:tcPr>
          <w:p w14:paraId="550ECD8D"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 xml:space="preserve">3.1 mg/24 h depot patch administered prior to </w:t>
            </w:r>
            <w:r w:rsidRPr="007A3E30">
              <w:rPr>
                <w:rFonts w:ascii="Book Antiqua" w:hAnsi="Book Antiqua"/>
                <w:sz w:val="24"/>
                <w:szCs w:val="24"/>
                <w:vertAlign w:val="superscript"/>
              </w:rPr>
              <w:t>177</w:t>
            </w:r>
            <w:r w:rsidRPr="007A3E30">
              <w:rPr>
                <w:rFonts w:ascii="Book Antiqua" w:hAnsi="Book Antiqua"/>
                <w:sz w:val="24"/>
                <w:szCs w:val="24"/>
              </w:rPr>
              <w:t>Lu-Dotatate</w:t>
            </w:r>
          </w:p>
        </w:tc>
        <w:tc>
          <w:tcPr>
            <w:tcW w:w="1250" w:type="pct"/>
            <w:shd w:val="clear" w:color="auto" w:fill="auto"/>
          </w:tcPr>
          <w:p w14:paraId="33F07077"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 xml:space="preserve">913.25 (1 </w:t>
            </w:r>
            <w:r w:rsidRPr="007A3E30">
              <w:rPr>
                <w:rFonts w:ascii="Book Antiqua" w:hAnsi="Book Antiqua"/>
                <w:sz w:val="24"/>
                <w:szCs w:val="24"/>
                <w:lang w:eastAsia="zh-CN"/>
              </w:rPr>
              <w:t>×</w:t>
            </w:r>
            <w:r w:rsidRPr="007A3E30">
              <w:rPr>
                <w:rFonts w:ascii="Book Antiqua" w:hAnsi="Book Antiqua"/>
                <w:sz w:val="24"/>
                <w:szCs w:val="24"/>
              </w:rPr>
              <w:t xml:space="preserve"> patch)</w:t>
            </w:r>
          </w:p>
        </w:tc>
        <w:tc>
          <w:tcPr>
            <w:tcW w:w="1250" w:type="pct"/>
            <w:shd w:val="clear" w:color="auto" w:fill="auto"/>
          </w:tcPr>
          <w:p w14:paraId="2A1761B2"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875.30</w:t>
            </w:r>
          </w:p>
        </w:tc>
      </w:tr>
      <w:tr w:rsidR="000E444E" w:rsidRPr="007A3E30" w14:paraId="43D0A04D" w14:textId="77777777" w:rsidTr="000E444E">
        <w:tc>
          <w:tcPr>
            <w:cnfStyle w:val="001000000000" w:firstRow="0" w:lastRow="0" w:firstColumn="1" w:lastColumn="0" w:oddVBand="0" w:evenVBand="0" w:oddHBand="0" w:evenHBand="0" w:firstRowFirstColumn="0" w:firstRowLastColumn="0" w:lastRowFirstColumn="0" w:lastRowLastColumn="0"/>
            <w:tcW w:w="948" w:type="pct"/>
            <w:shd w:val="clear" w:color="auto" w:fill="auto"/>
          </w:tcPr>
          <w:p w14:paraId="7F6CF62D"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Ondansetron</w:t>
            </w:r>
            <w:r w:rsidR="00BD50C9" w:rsidRPr="007A3E30">
              <w:rPr>
                <w:rFonts w:ascii="Book Antiqua" w:hAnsi="Book Antiqua"/>
                <w:sz w:val="24"/>
                <w:szCs w:val="24"/>
                <w:vertAlign w:val="superscript"/>
              </w:rPr>
              <w:t>1</w:t>
            </w:r>
          </w:p>
        </w:tc>
        <w:tc>
          <w:tcPr>
            <w:tcW w:w="1552" w:type="pct"/>
            <w:shd w:val="clear" w:color="auto" w:fill="auto"/>
          </w:tcPr>
          <w:p w14:paraId="122D1E0D"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 xml:space="preserve">8 mg administered prior to </w:t>
            </w:r>
            <w:r w:rsidRPr="007A3E30">
              <w:rPr>
                <w:rFonts w:ascii="Book Antiqua" w:hAnsi="Book Antiqua"/>
                <w:sz w:val="24"/>
                <w:szCs w:val="24"/>
                <w:vertAlign w:val="superscript"/>
              </w:rPr>
              <w:t>177</w:t>
            </w:r>
            <w:r w:rsidRPr="007A3E30">
              <w:rPr>
                <w:rFonts w:ascii="Book Antiqua" w:hAnsi="Book Antiqua"/>
                <w:sz w:val="24"/>
                <w:szCs w:val="24"/>
              </w:rPr>
              <w:t>Lu-Dotatate</w:t>
            </w:r>
          </w:p>
        </w:tc>
        <w:tc>
          <w:tcPr>
            <w:tcW w:w="1250" w:type="pct"/>
            <w:shd w:val="clear" w:color="auto" w:fill="auto"/>
          </w:tcPr>
          <w:p w14:paraId="67E69C61"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 xml:space="preserve">1474.02 (1 </w:t>
            </w:r>
            <w:r w:rsidRPr="007A3E30">
              <w:rPr>
                <w:rFonts w:ascii="Book Antiqua" w:hAnsi="Book Antiqua"/>
                <w:sz w:val="24"/>
                <w:szCs w:val="24"/>
                <w:lang w:eastAsia="zh-CN"/>
              </w:rPr>
              <w:t>×</w:t>
            </w:r>
            <w:r w:rsidRPr="007A3E30">
              <w:rPr>
                <w:rFonts w:ascii="Book Antiqua" w:hAnsi="Book Antiqua"/>
                <w:sz w:val="24"/>
                <w:szCs w:val="24"/>
              </w:rPr>
              <w:t xml:space="preserve"> 30 tablet pack, 4 mg)</w:t>
            </w:r>
          </w:p>
        </w:tc>
        <w:tc>
          <w:tcPr>
            <w:tcW w:w="1250" w:type="pct"/>
            <w:shd w:val="clear" w:color="auto" w:fill="auto"/>
          </w:tcPr>
          <w:p w14:paraId="150A3645"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 xml:space="preserve">985.70 (1 </w:t>
            </w:r>
            <w:r w:rsidRPr="007A3E30">
              <w:rPr>
                <w:rFonts w:ascii="Book Antiqua" w:hAnsi="Book Antiqua"/>
                <w:sz w:val="24"/>
                <w:szCs w:val="24"/>
                <w:lang w:eastAsia="zh-CN"/>
              </w:rPr>
              <w:t>×</w:t>
            </w:r>
            <w:r w:rsidRPr="007A3E30">
              <w:rPr>
                <w:rFonts w:ascii="Book Antiqua" w:hAnsi="Book Antiqua"/>
                <w:sz w:val="24"/>
                <w:szCs w:val="24"/>
              </w:rPr>
              <w:t xml:space="preserve"> 30 tablet pack, 8 mg)</w:t>
            </w:r>
          </w:p>
        </w:tc>
      </w:tr>
      <w:tr w:rsidR="000E444E" w:rsidRPr="007A3E30" w14:paraId="1ED751FB" w14:textId="77777777" w:rsidTr="000E444E">
        <w:tc>
          <w:tcPr>
            <w:cnfStyle w:val="001000000000" w:firstRow="0" w:lastRow="0" w:firstColumn="1" w:lastColumn="0" w:oddVBand="0" w:evenVBand="0" w:oddHBand="0" w:evenHBand="0" w:firstRowFirstColumn="0" w:firstRowLastColumn="0" w:lastRowFirstColumn="0" w:lastRowLastColumn="0"/>
            <w:tcW w:w="948" w:type="pct"/>
            <w:shd w:val="clear" w:color="auto" w:fill="auto"/>
          </w:tcPr>
          <w:p w14:paraId="35A27C65"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Tropisetron</w:t>
            </w:r>
            <w:r w:rsidR="00BD50C9" w:rsidRPr="007A3E30">
              <w:rPr>
                <w:rFonts w:ascii="Book Antiqua" w:hAnsi="Book Antiqua"/>
                <w:sz w:val="24"/>
                <w:szCs w:val="24"/>
                <w:vertAlign w:val="superscript"/>
              </w:rPr>
              <w:t>1</w:t>
            </w:r>
          </w:p>
        </w:tc>
        <w:tc>
          <w:tcPr>
            <w:tcW w:w="1552" w:type="pct"/>
            <w:shd w:val="clear" w:color="auto" w:fill="auto"/>
          </w:tcPr>
          <w:p w14:paraId="358B010A"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 xml:space="preserve">5 mg administered prior to </w:t>
            </w:r>
            <w:r w:rsidRPr="007A3E30">
              <w:rPr>
                <w:rFonts w:ascii="Book Antiqua" w:hAnsi="Book Antiqua"/>
                <w:sz w:val="24"/>
                <w:szCs w:val="24"/>
                <w:vertAlign w:val="superscript"/>
              </w:rPr>
              <w:t>177</w:t>
            </w:r>
            <w:r w:rsidRPr="007A3E30">
              <w:rPr>
                <w:rFonts w:ascii="Book Antiqua" w:hAnsi="Book Antiqua"/>
                <w:sz w:val="24"/>
                <w:szCs w:val="24"/>
              </w:rPr>
              <w:t>Lu-Dotatate</w:t>
            </w:r>
          </w:p>
        </w:tc>
        <w:tc>
          <w:tcPr>
            <w:tcW w:w="1250" w:type="pct"/>
            <w:shd w:val="clear" w:color="auto" w:fill="auto"/>
          </w:tcPr>
          <w:p w14:paraId="30B3A803"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1474.02</w:t>
            </w:r>
            <w:r w:rsidR="00BD50C9" w:rsidRPr="007A3E30">
              <w:rPr>
                <w:rFonts w:ascii="Book Antiqua" w:hAnsi="Book Antiqua"/>
                <w:sz w:val="24"/>
                <w:szCs w:val="24"/>
                <w:vertAlign w:val="superscript"/>
              </w:rPr>
              <w:t>2</w:t>
            </w:r>
          </w:p>
        </w:tc>
        <w:tc>
          <w:tcPr>
            <w:tcW w:w="1250" w:type="pct"/>
            <w:shd w:val="clear" w:color="auto" w:fill="auto"/>
          </w:tcPr>
          <w:p w14:paraId="77414A96"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 xml:space="preserve">749.70 (1 </w:t>
            </w:r>
            <w:r w:rsidRPr="007A3E30">
              <w:rPr>
                <w:rFonts w:ascii="Book Antiqua" w:hAnsi="Book Antiqua"/>
                <w:sz w:val="24"/>
                <w:szCs w:val="24"/>
                <w:lang w:eastAsia="zh-CN"/>
              </w:rPr>
              <w:t>×</w:t>
            </w:r>
            <w:r w:rsidRPr="007A3E30">
              <w:rPr>
                <w:rFonts w:ascii="Book Antiqua" w:hAnsi="Book Antiqua"/>
                <w:sz w:val="24"/>
                <w:szCs w:val="24"/>
              </w:rPr>
              <w:t xml:space="preserve"> 5 tablet pack, 5 mg)</w:t>
            </w:r>
          </w:p>
        </w:tc>
      </w:tr>
      <w:tr w:rsidR="000E444E" w:rsidRPr="007A3E30" w14:paraId="54AC1E2C" w14:textId="77777777" w:rsidTr="000E444E">
        <w:tc>
          <w:tcPr>
            <w:cnfStyle w:val="001000000000" w:firstRow="0" w:lastRow="0" w:firstColumn="1" w:lastColumn="0" w:oddVBand="0" w:evenVBand="0" w:oddHBand="0" w:evenHBand="0" w:firstRowFirstColumn="0" w:firstRowLastColumn="0" w:lastRowFirstColumn="0" w:lastRowLastColumn="0"/>
            <w:tcW w:w="948" w:type="pct"/>
            <w:shd w:val="clear" w:color="auto" w:fill="auto"/>
          </w:tcPr>
          <w:p w14:paraId="4570DCD4" w14:textId="5B0B0844"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lang w:eastAsia="zh-CN"/>
              </w:rPr>
            </w:pPr>
            <w:r w:rsidRPr="007A3E30">
              <w:rPr>
                <w:rFonts w:ascii="Book Antiqua" w:hAnsi="Book Antiqua"/>
                <w:sz w:val="24"/>
                <w:szCs w:val="24"/>
              </w:rPr>
              <w:t>Vamin</w:t>
            </w:r>
            <w:r w:rsidR="00BD50C9" w:rsidRPr="007A3E30">
              <w:rPr>
                <w:rFonts w:ascii="Book Antiqua" w:hAnsi="Book Antiqua"/>
                <w:sz w:val="24"/>
                <w:szCs w:val="24"/>
                <w:vertAlign w:val="superscript"/>
              </w:rPr>
              <w:t>3</w:t>
            </w:r>
          </w:p>
        </w:tc>
        <w:tc>
          <w:tcPr>
            <w:tcW w:w="1552" w:type="pct"/>
            <w:shd w:val="clear" w:color="auto" w:fill="auto"/>
          </w:tcPr>
          <w:p w14:paraId="15D49845"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 xml:space="preserve">18%–18% infusion administered prior to/during </w:t>
            </w:r>
            <w:r w:rsidRPr="007A3E30">
              <w:rPr>
                <w:rFonts w:ascii="Book Antiqua" w:hAnsi="Book Antiqua"/>
                <w:sz w:val="24"/>
                <w:szCs w:val="24"/>
                <w:vertAlign w:val="superscript"/>
              </w:rPr>
              <w:t>177</w:t>
            </w:r>
            <w:r w:rsidRPr="007A3E30">
              <w:rPr>
                <w:rFonts w:ascii="Book Antiqua" w:hAnsi="Book Antiqua"/>
                <w:sz w:val="24"/>
                <w:szCs w:val="24"/>
              </w:rPr>
              <w:t>Lu-Dotatate</w:t>
            </w:r>
          </w:p>
        </w:tc>
        <w:tc>
          <w:tcPr>
            <w:tcW w:w="1250" w:type="pct"/>
            <w:shd w:val="clear" w:color="auto" w:fill="auto"/>
          </w:tcPr>
          <w:p w14:paraId="17E24E15"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 xml:space="preserve">458.08 (2 </w:t>
            </w:r>
            <w:r w:rsidRPr="007A3E30">
              <w:rPr>
                <w:rFonts w:ascii="Book Antiqua" w:hAnsi="Book Antiqua"/>
                <w:sz w:val="24"/>
                <w:szCs w:val="24"/>
                <w:lang w:eastAsia="zh-CN"/>
              </w:rPr>
              <w:t>×</w:t>
            </w:r>
            <w:r w:rsidRPr="007A3E30">
              <w:rPr>
                <w:rFonts w:ascii="Book Antiqua" w:hAnsi="Book Antiqua"/>
                <w:sz w:val="24"/>
                <w:szCs w:val="24"/>
              </w:rPr>
              <w:t xml:space="preserve"> 500 mL infusions)</w:t>
            </w:r>
          </w:p>
        </w:tc>
        <w:tc>
          <w:tcPr>
            <w:tcW w:w="1250" w:type="pct"/>
            <w:shd w:val="clear" w:color="auto" w:fill="auto"/>
          </w:tcPr>
          <w:p w14:paraId="5FDA4C40"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 xml:space="preserve">202.8 (1 </w:t>
            </w:r>
            <w:r w:rsidRPr="007A3E30">
              <w:rPr>
                <w:rFonts w:ascii="Book Antiqua" w:hAnsi="Book Antiqua"/>
                <w:sz w:val="24"/>
                <w:szCs w:val="24"/>
                <w:lang w:eastAsia="zh-CN"/>
              </w:rPr>
              <w:t>×</w:t>
            </w:r>
            <w:r w:rsidRPr="007A3E30">
              <w:rPr>
                <w:rFonts w:ascii="Book Antiqua" w:hAnsi="Book Antiqua"/>
                <w:sz w:val="24"/>
                <w:szCs w:val="24"/>
              </w:rPr>
              <w:t xml:space="preserve"> 500 mL infusion)</w:t>
            </w:r>
          </w:p>
        </w:tc>
      </w:tr>
      <w:tr w:rsidR="000E444E" w:rsidRPr="007A3E30" w14:paraId="51F68DF7" w14:textId="77777777" w:rsidTr="000E444E">
        <w:tc>
          <w:tcPr>
            <w:cnfStyle w:val="001000000000" w:firstRow="0" w:lastRow="0" w:firstColumn="1" w:lastColumn="0" w:oddVBand="0" w:evenVBand="0" w:oddHBand="0" w:evenHBand="0" w:firstRowFirstColumn="0" w:firstRowLastColumn="0" w:lastRowFirstColumn="0" w:lastRowLastColumn="0"/>
            <w:tcW w:w="948" w:type="pct"/>
            <w:tcBorders>
              <w:bottom w:val="single" w:sz="6" w:space="0" w:color="auto"/>
            </w:tcBorders>
            <w:shd w:val="clear" w:color="auto" w:fill="auto"/>
          </w:tcPr>
          <w:p w14:paraId="6A0E5F8A"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Clinisol</w:t>
            </w:r>
            <w:r w:rsidR="00BD50C9" w:rsidRPr="007A3E30">
              <w:rPr>
                <w:rFonts w:ascii="Book Antiqua" w:hAnsi="Book Antiqua"/>
                <w:sz w:val="24"/>
                <w:szCs w:val="24"/>
                <w:vertAlign w:val="superscript"/>
              </w:rPr>
              <w:t>3</w:t>
            </w:r>
          </w:p>
        </w:tc>
        <w:tc>
          <w:tcPr>
            <w:tcW w:w="1552" w:type="pct"/>
            <w:tcBorders>
              <w:bottom w:val="single" w:sz="6" w:space="0" w:color="auto"/>
            </w:tcBorders>
            <w:shd w:val="clear" w:color="auto" w:fill="auto"/>
          </w:tcPr>
          <w:p w14:paraId="44741E01"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 xml:space="preserve">15% infusion administered prior to/during </w:t>
            </w:r>
            <w:r w:rsidRPr="007A3E30">
              <w:rPr>
                <w:rFonts w:ascii="Book Antiqua" w:hAnsi="Book Antiqua"/>
                <w:sz w:val="24"/>
                <w:szCs w:val="24"/>
                <w:vertAlign w:val="superscript"/>
              </w:rPr>
              <w:t>177</w:t>
            </w:r>
            <w:r w:rsidRPr="007A3E30">
              <w:rPr>
                <w:rFonts w:ascii="Book Antiqua" w:hAnsi="Book Antiqua"/>
                <w:sz w:val="24"/>
                <w:szCs w:val="24"/>
              </w:rPr>
              <w:t>Lu-Dotatate</w:t>
            </w:r>
          </w:p>
        </w:tc>
        <w:tc>
          <w:tcPr>
            <w:tcW w:w="1250" w:type="pct"/>
            <w:tcBorders>
              <w:bottom w:val="single" w:sz="6" w:space="0" w:color="auto"/>
            </w:tcBorders>
            <w:shd w:val="clear" w:color="auto" w:fill="auto"/>
          </w:tcPr>
          <w:p w14:paraId="35AFE348"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458.08</w:t>
            </w:r>
            <w:r w:rsidR="00BD50C9" w:rsidRPr="007A3E30">
              <w:rPr>
                <w:rFonts w:ascii="Book Antiqua" w:hAnsi="Book Antiqua"/>
                <w:sz w:val="24"/>
                <w:szCs w:val="24"/>
                <w:vertAlign w:val="superscript"/>
              </w:rPr>
              <w:t>4</w:t>
            </w:r>
          </w:p>
        </w:tc>
        <w:tc>
          <w:tcPr>
            <w:tcW w:w="1250" w:type="pct"/>
            <w:tcBorders>
              <w:bottom w:val="single" w:sz="6" w:space="0" w:color="auto"/>
            </w:tcBorders>
            <w:shd w:val="clear" w:color="auto" w:fill="auto"/>
          </w:tcPr>
          <w:p w14:paraId="37AF0F9B"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Not available in Norway</w:t>
            </w:r>
          </w:p>
        </w:tc>
      </w:tr>
    </w:tbl>
    <w:p w14:paraId="14EEE6FD" w14:textId="77777777" w:rsidR="0001290C" w:rsidRDefault="000E444E" w:rsidP="000540F1">
      <w:pPr>
        <w:pStyle w:val="Text"/>
        <w:widowControl w:val="0"/>
        <w:spacing w:after="0" w:line="360" w:lineRule="auto"/>
        <w:jc w:val="both"/>
        <w:rPr>
          <w:rFonts w:ascii="Book Antiqua" w:hAnsi="Book Antiqua"/>
          <w:sz w:val="24"/>
          <w:szCs w:val="24"/>
          <w:lang w:eastAsia="zh-CN"/>
        </w:rPr>
      </w:pPr>
      <w:r w:rsidRPr="007A3E30">
        <w:rPr>
          <w:rFonts w:ascii="Book Antiqua" w:hAnsi="Book Antiqua"/>
          <w:sz w:val="24"/>
          <w:szCs w:val="24"/>
          <w:vertAlign w:val="superscript"/>
        </w:rPr>
        <w:t>1</w:t>
      </w:r>
      <w:r w:rsidRPr="007A3E30">
        <w:rPr>
          <w:rFonts w:ascii="Book Antiqua" w:hAnsi="Book Antiqua"/>
          <w:sz w:val="24"/>
          <w:szCs w:val="24"/>
        </w:rPr>
        <w:t>Anti-emetic required to be administered prior to administration with Lutathera.</w:t>
      </w:r>
      <w:r w:rsidRPr="007A3E30">
        <w:rPr>
          <w:rFonts w:ascii="Book Antiqua" w:hAnsi="Book Antiqua"/>
          <w:sz w:val="24"/>
          <w:szCs w:val="24"/>
          <w:lang w:eastAsia="zh-CN"/>
        </w:rPr>
        <w:t xml:space="preserve"> </w:t>
      </w:r>
    </w:p>
    <w:p w14:paraId="6C12E545" w14:textId="77777777" w:rsidR="0001290C" w:rsidRDefault="000E444E" w:rsidP="000540F1">
      <w:pPr>
        <w:pStyle w:val="Text"/>
        <w:widowControl w:val="0"/>
        <w:spacing w:after="0" w:line="360" w:lineRule="auto"/>
        <w:jc w:val="both"/>
        <w:rPr>
          <w:rFonts w:ascii="Book Antiqua" w:hAnsi="Book Antiqua"/>
          <w:sz w:val="24"/>
          <w:szCs w:val="24"/>
          <w:lang w:eastAsia="zh-CN"/>
        </w:rPr>
      </w:pPr>
      <w:r w:rsidRPr="007A3E30">
        <w:rPr>
          <w:rFonts w:ascii="Book Antiqua" w:hAnsi="Book Antiqua"/>
          <w:sz w:val="24"/>
          <w:szCs w:val="24"/>
          <w:vertAlign w:val="superscript"/>
        </w:rPr>
        <w:t>2</w:t>
      </w:r>
      <w:r w:rsidRPr="007A3E30">
        <w:rPr>
          <w:rFonts w:ascii="Book Antiqua" w:hAnsi="Book Antiqua"/>
          <w:sz w:val="24"/>
          <w:szCs w:val="24"/>
        </w:rPr>
        <w:t>Cost assumed equal to ondansetron.</w:t>
      </w:r>
      <w:r w:rsidRPr="007A3E30">
        <w:rPr>
          <w:rFonts w:ascii="Book Antiqua" w:hAnsi="Book Antiqua"/>
          <w:sz w:val="24"/>
          <w:szCs w:val="24"/>
          <w:lang w:eastAsia="zh-CN"/>
        </w:rPr>
        <w:t xml:space="preserve"> </w:t>
      </w:r>
    </w:p>
    <w:p w14:paraId="0E3540ED" w14:textId="77777777" w:rsidR="0001290C" w:rsidRDefault="000E444E" w:rsidP="000540F1">
      <w:pPr>
        <w:pStyle w:val="Text"/>
        <w:widowControl w:val="0"/>
        <w:spacing w:after="0" w:line="360" w:lineRule="auto"/>
        <w:jc w:val="both"/>
        <w:rPr>
          <w:rFonts w:ascii="Book Antiqua" w:hAnsi="Book Antiqua"/>
          <w:sz w:val="24"/>
          <w:szCs w:val="24"/>
          <w:lang w:eastAsia="zh-CN"/>
        </w:rPr>
      </w:pPr>
      <w:r w:rsidRPr="007A3E30">
        <w:rPr>
          <w:rFonts w:ascii="Book Antiqua" w:hAnsi="Book Antiqua"/>
          <w:sz w:val="24"/>
          <w:szCs w:val="24"/>
          <w:vertAlign w:val="superscript"/>
        </w:rPr>
        <w:t>3</w:t>
      </w:r>
      <w:r w:rsidRPr="007A3E30">
        <w:rPr>
          <w:rFonts w:ascii="Book Antiqua" w:hAnsi="Book Antiqua"/>
          <w:sz w:val="24"/>
          <w:szCs w:val="24"/>
        </w:rPr>
        <w:t>Amino acid infusion required to be administered prior to or during administration of Lutathera.</w:t>
      </w:r>
      <w:r w:rsidRPr="007A3E30">
        <w:rPr>
          <w:rFonts w:ascii="Book Antiqua" w:hAnsi="Book Antiqua"/>
          <w:sz w:val="24"/>
          <w:szCs w:val="24"/>
          <w:lang w:eastAsia="zh-CN"/>
        </w:rPr>
        <w:t xml:space="preserve"> </w:t>
      </w:r>
    </w:p>
    <w:p w14:paraId="7AB122B4" w14:textId="2C087C98" w:rsidR="000E444E" w:rsidRDefault="000E444E" w:rsidP="000540F1">
      <w:pPr>
        <w:pStyle w:val="Text"/>
        <w:widowControl w:val="0"/>
        <w:spacing w:after="0" w:line="360" w:lineRule="auto"/>
        <w:jc w:val="both"/>
        <w:rPr>
          <w:rFonts w:ascii="Book Antiqua" w:hAnsi="Book Antiqua"/>
          <w:sz w:val="24"/>
          <w:szCs w:val="24"/>
          <w:lang w:eastAsia="zh-CN"/>
        </w:rPr>
      </w:pPr>
      <w:r w:rsidRPr="007A3E30">
        <w:rPr>
          <w:rFonts w:ascii="Book Antiqua" w:hAnsi="Book Antiqua"/>
          <w:sz w:val="24"/>
          <w:szCs w:val="24"/>
          <w:vertAlign w:val="superscript"/>
        </w:rPr>
        <w:t>4</w:t>
      </w:r>
      <w:r w:rsidRPr="007A3E30">
        <w:rPr>
          <w:rFonts w:ascii="Book Antiqua" w:hAnsi="Book Antiqua"/>
          <w:sz w:val="24"/>
          <w:szCs w:val="24"/>
        </w:rPr>
        <w:t>Cost assumed equal to vamin.</w:t>
      </w:r>
      <w:r w:rsidRPr="007A3E30">
        <w:rPr>
          <w:rFonts w:ascii="Book Antiqua" w:hAnsi="Book Antiqua"/>
          <w:sz w:val="24"/>
          <w:szCs w:val="24"/>
          <w:lang w:eastAsia="zh-CN"/>
        </w:rPr>
        <w:t xml:space="preserve"> </w:t>
      </w:r>
      <w:r w:rsidRPr="007A3E30">
        <w:rPr>
          <w:rFonts w:ascii="Book Antiqua" w:hAnsi="Book Antiqua"/>
          <w:sz w:val="24"/>
          <w:szCs w:val="24"/>
        </w:rPr>
        <w:t>All Swedish costs are sourced from FASS (Pharmaceutical specialties in Sweden)</w:t>
      </w:r>
      <w:r w:rsidR="00BD50C9" w:rsidRPr="007A3E30">
        <w:rPr>
          <w:rFonts w:ascii="Book Antiqua" w:hAnsi="Book Antiqua"/>
          <w:sz w:val="24"/>
          <w:szCs w:val="24"/>
          <w:vertAlign w:val="superscript"/>
        </w:rPr>
        <w:t>[20]</w:t>
      </w:r>
      <w:r w:rsidRPr="007A3E30">
        <w:rPr>
          <w:rFonts w:ascii="Book Antiqua" w:hAnsi="Book Antiqua"/>
          <w:sz w:val="24"/>
          <w:szCs w:val="24"/>
        </w:rPr>
        <w:t>. All Norwegian costs are sourced from the Norwegian Medicines Agency</w:t>
      </w:r>
      <w:r w:rsidRPr="007A3E30">
        <w:rPr>
          <w:rFonts w:ascii="Book Antiqua" w:hAnsi="Book Antiqua"/>
          <w:sz w:val="24"/>
          <w:szCs w:val="24"/>
          <w:vertAlign w:val="superscript"/>
        </w:rPr>
        <w:t>[21]</w:t>
      </w:r>
      <w:r w:rsidR="00BD50C9" w:rsidRPr="007A3E30">
        <w:rPr>
          <w:rFonts w:ascii="Book Antiqua" w:hAnsi="Book Antiqua"/>
          <w:sz w:val="24"/>
          <w:szCs w:val="24"/>
          <w:lang w:eastAsia="zh-CN"/>
        </w:rPr>
        <w:t>.</w:t>
      </w:r>
      <w:r w:rsidR="00EF0A0D" w:rsidRPr="007A3E30">
        <w:rPr>
          <w:rFonts w:ascii="Book Antiqua" w:hAnsi="Book Antiqua"/>
          <w:sz w:val="24"/>
          <w:szCs w:val="24"/>
          <w:lang w:eastAsia="zh-CN"/>
        </w:rPr>
        <w:t xml:space="preserve"> </w:t>
      </w:r>
      <w:r w:rsidR="00EF0A0D" w:rsidRPr="007A3E30">
        <w:rPr>
          <w:rFonts w:ascii="Book Antiqua" w:hAnsi="Book Antiqua"/>
          <w:sz w:val="24"/>
          <w:szCs w:val="24"/>
        </w:rPr>
        <w:t>PPP</w:t>
      </w:r>
      <w:r w:rsidR="00EF0A0D" w:rsidRPr="007A3E30">
        <w:rPr>
          <w:rFonts w:ascii="Book Antiqua" w:hAnsi="Book Antiqua"/>
          <w:sz w:val="24"/>
          <w:szCs w:val="24"/>
          <w:lang w:eastAsia="zh-CN"/>
        </w:rPr>
        <w:t>:</w:t>
      </w:r>
      <w:r w:rsidR="00EF0A0D" w:rsidRPr="007A3E30">
        <w:rPr>
          <w:rFonts w:ascii="Book Antiqua" w:hAnsi="Book Antiqua"/>
          <w:sz w:val="24"/>
          <w:szCs w:val="24"/>
        </w:rPr>
        <w:t xml:space="preserve"> </w:t>
      </w:r>
      <w:r w:rsidR="00EF0A0D" w:rsidRPr="007A3E30">
        <w:rPr>
          <w:rFonts w:ascii="Book Antiqua" w:hAnsi="Book Antiqua"/>
          <w:caps/>
          <w:sz w:val="24"/>
          <w:szCs w:val="24"/>
        </w:rPr>
        <w:t>p</w:t>
      </w:r>
      <w:r w:rsidR="00EF0A0D" w:rsidRPr="007A3E30">
        <w:rPr>
          <w:rFonts w:ascii="Book Antiqua" w:hAnsi="Book Antiqua"/>
          <w:sz w:val="24"/>
          <w:szCs w:val="24"/>
        </w:rPr>
        <w:t>urchasing power parity; SC</w:t>
      </w:r>
      <w:r w:rsidR="00EF0A0D" w:rsidRPr="007A3E30">
        <w:rPr>
          <w:rFonts w:ascii="Book Antiqua" w:hAnsi="Book Antiqua"/>
          <w:sz w:val="24"/>
          <w:szCs w:val="24"/>
          <w:lang w:eastAsia="zh-CN"/>
        </w:rPr>
        <w:t>:</w:t>
      </w:r>
      <w:r w:rsidR="00EF0A0D" w:rsidRPr="007A3E30">
        <w:rPr>
          <w:rFonts w:ascii="Book Antiqua" w:hAnsi="Book Antiqua"/>
          <w:sz w:val="24"/>
          <w:szCs w:val="24"/>
        </w:rPr>
        <w:t xml:space="preserve"> </w:t>
      </w:r>
      <w:r w:rsidR="00EF0A0D" w:rsidRPr="007A3E30">
        <w:rPr>
          <w:rFonts w:ascii="Book Antiqua" w:hAnsi="Book Antiqua"/>
          <w:caps/>
          <w:sz w:val="24"/>
          <w:szCs w:val="24"/>
        </w:rPr>
        <w:t>s</w:t>
      </w:r>
      <w:r w:rsidR="00EF0A0D" w:rsidRPr="007A3E30">
        <w:rPr>
          <w:rFonts w:ascii="Book Antiqua" w:hAnsi="Book Antiqua"/>
          <w:sz w:val="24"/>
          <w:szCs w:val="24"/>
        </w:rPr>
        <w:t>ubcutaneous</w:t>
      </w:r>
      <w:r w:rsidR="00EF0A0D" w:rsidRPr="007A3E30">
        <w:rPr>
          <w:rFonts w:ascii="Book Antiqua" w:hAnsi="Book Antiqua"/>
          <w:sz w:val="24"/>
          <w:szCs w:val="24"/>
          <w:lang w:eastAsia="zh-CN"/>
        </w:rPr>
        <w:t>.</w:t>
      </w:r>
    </w:p>
    <w:p w14:paraId="5CA0AB68" w14:textId="77777777" w:rsidR="0001290C" w:rsidRPr="007A3E30" w:rsidRDefault="0001290C" w:rsidP="000540F1">
      <w:pPr>
        <w:pStyle w:val="Text"/>
        <w:widowControl w:val="0"/>
        <w:spacing w:after="0" w:line="360" w:lineRule="auto"/>
        <w:jc w:val="both"/>
        <w:rPr>
          <w:rFonts w:ascii="Book Antiqua" w:hAnsi="Book Antiqua"/>
          <w:sz w:val="24"/>
          <w:szCs w:val="24"/>
          <w:lang w:eastAsia="zh-CN"/>
        </w:rPr>
      </w:pPr>
    </w:p>
    <w:p w14:paraId="788D5BC2" w14:textId="77777777" w:rsidR="000E444E" w:rsidRPr="007A3E30" w:rsidRDefault="00EF0A0D" w:rsidP="000540F1">
      <w:pPr>
        <w:pStyle w:val="Text"/>
        <w:widowControl w:val="0"/>
        <w:spacing w:after="0" w:line="360" w:lineRule="auto"/>
        <w:jc w:val="both"/>
        <w:rPr>
          <w:rFonts w:ascii="Book Antiqua" w:hAnsi="Book Antiqua"/>
          <w:b/>
          <w:sz w:val="24"/>
          <w:szCs w:val="24"/>
        </w:rPr>
      </w:pPr>
      <w:r w:rsidRPr="007A3E30">
        <w:rPr>
          <w:rFonts w:ascii="Book Antiqua" w:hAnsi="Book Antiqua"/>
          <w:sz w:val="24"/>
          <w:szCs w:val="24"/>
        </w:rPr>
        <w:br w:type="page"/>
      </w:r>
      <w:bookmarkStart w:id="26" w:name="_Ref18491765"/>
      <w:r w:rsidR="000E444E" w:rsidRPr="007A3E30">
        <w:rPr>
          <w:rFonts w:ascii="Book Antiqua" w:hAnsi="Book Antiqua"/>
          <w:b/>
          <w:sz w:val="24"/>
          <w:szCs w:val="24"/>
        </w:rPr>
        <w:t xml:space="preserve">Table </w:t>
      </w:r>
      <w:bookmarkEnd w:id="26"/>
      <w:r w:rsidR="00305DB9" w:rsidRPr="007A3E30">
        <w:rPr>
          <w:rFonts w:ascii="Book Antiqua" w:hAnsi="Book Antiqua"/>
          <w:b/>
          <w:sz w:val="24"/>
          <w:szCs w:val="24"/>
          <w:lang w:eastAsia="zh-CN"/>
        </w:rPr>
        <w:t>2</w:t>
      </w:r>
      <w:r w:rsidRPr="007A3E30">
        <w:rPr>
          <w:rFonts w:ascii="Book Antiqua" w:hAnsi="Book Antiqua"/>
          <w:b/>
          <w:sz w:val="24"/>
          <w:szCs w:val="24"/>
          <w:lang w:eastAsia="zh-CN"/>
        </w:rPr>
        <w:t xml:space="preserve"> </w:t>
      </w:r>
      <w:r w:rsidR="000E444E" w:rsidRPr="007A3E30">
        <w:rPr>
          <w:rFonts w:ascii="Book Antiqua" w:hAnsi="Book Antiqua"/>
          <w:b/>
          <w:sz w:val="24"/>
          <w:szCs w:val="24"/>
        </w:rPr>
        <w:t>Utilities used in the base case analysis</w:t>
      </w:r>
    </w:p>
    <w:tbl>
      <w:tblPr>
        <w:tblStyle w:val="OssianReportTable"/>
        <w:tblW w:w="5000" w:type="pct"/>
        <w:tblLook w:val="04A0" w:firstRow="1" w:lastRow="0" w:firstColumn="1" w:lastColumn="0" w:noHBand="0" w:noVBand="1"/>
      </w:tblPr>
      <w:tblGrid>
        <w:gridCol w:w="3686"/>
        <w:gridCol w:w="2477"/>
        <w:gridCol w:w="3080"/>
      </w:tblGrid>
      <w:tr w:rsidR="000E444E" w:rsidRPr="007A3E30" w14:paraId="2819D2E8" w14:textId="77777777" w:rsidTr="00EF0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pct"/>
            <w:tcBorders>
              <w:top w:val="single" w:sz="6" w:space="0" w:color="auto"/>
            </w:tcBorders>
            <w:shd w:val="clear" w:color="auto" w:fill="auto"/>
          </w:tcPr>
          <w:p w14:paraId="620611CB"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Health state</w:t>
            </w:r>
          </w:p>
        </w:tc>
        <w:tc>
          <w:tcPr>
            <w:tcW w:w="1340" w:type="pct"/>
            <w:tcBorders>
              <w:top w:val="single" w:sz="6" w:space="0" w:color="auto"/>
            </w:tcBorders>
            <w:shd w:val="clear" w:color="auto" w:fill="auto"/>
          </w:tcPr>
          <w:p w14:paraId="1DE57D61" w14:textId="77777777" w:rsidR="000E444E" w:rsidRPr="007A3E30" w:rsidRDefault="000E444E" w:rsidP="000540F1">
            <w:pPr>
              <w:pStyle w:val="Text"/>
              <w:keepNext w:val="0"/>
              <w:keepLines w:val="0"/>
              <w:widowControl w:val="0"/>
              <w:spacing w:before="0"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 xml:space="preserve">Utility (SE) </w:t>
            </w:r>
          </w:p>
        </w:tc>
        <w:tc>
          <w:tcPr>
            <w:tcW w:w="1666" w:type="pct"/>
            <w:tcBorders>
              <w:top w:val="single" w:sz="6" w:space="0" w:color="auto"/>
            </w:tcBorders>
            <w:shd w:val="clear" w:color="auto" w:fill="auto"/>
          </w:tcPr>
          <w:p w14:paraId="0807A38B" w14:textId="77777777" w:rsidR="000E444E" w:rsidRPr="007A3E30" w:rsidRDefault="000E444E" w:rsidP="000540F1">
            <w:pPr>
              <w:pStyle w:val="Text"/>
              <w:keepNext w:val="0"/>
              <w:keepLines w:val="0"/>
              <w:widowControl w:val="0"/>
              <w:spacing w:before="0"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Source</w:t>
            </w:r>
          </w:p>
        </w:tc>
      </w:tr>
      <w:tr w:rsidR="000E444E" w:rsidRPr="007A3E30" w14:paraId="4FEF4623" w14:textId="77777777" w:rsidTr="00EF0A0D">
        <w:tc>
          <w:tcPr>
            <w:cnfStyle w:val="001000000000" w:firstRow="0" w:lastRow="0" w:firstColumn="1" w:lastColumn="0" w:oddVBand="0" w:evenVBand="0" w:oddHBand="0" w:evenHBand="0" w:firstRowFirstColumn="0" w:firstRowLastColumn="0" w:lastRowFirstColumn="0" w:lastRowLastColumn="0"/>
            <w:tcW w:w="1994" w:type="pct"/>
            <w:shd w:val="clear" w:color="auto" w:fill="auto"/>
          </w:tcPr>
          <w:p w14:paraId="01BCC5BB" w14:textId="77777777" w:rsidR="000E444E" w:rsidRPr="007A3E30" w:rsidRDefault="000E444E" w:rsidP="000540F1">
            <w:pPr>
              <w:pStyle w:val="Text"/>
              <w:keepNext w:val="0"/>
              <w:keepLines w:val="0"/>
              <w:widowControl w:val="0"/>
              <w:spacing w:before="0" w:after="0" w:line="360" w:lineRule="auto"/>
              <w:jc w:val="both"/>
              <w:rPr>
                <w:rFonts w:ascii="Book Antiqua" w:hAnsi="Book Antiqua"/>
                <w:b/>
                <w:bCs/>
                <w:sz w:val="24"/>
                <w:szCs w:val="24"/>
              </w:rPr>
            </w:pPr>
            <w:r w:rsidRPr="007A3E30">
              <w:rPr>
                <w:rFonts w:ascii="Book Antiqua" w:hAnsi="Book Antiqua"/>
                <w:b/>
                <w:bCs/>
                <w:sz w:val="24"/>
                <w:szCs w:val="24"/>
              </w:rPr>
              <w:t xml:space="preserve">Sweden </w:t>
            </w:r>
          </w:p>
        </w:tc>
        <w:tc>
          <w:tcPr>
            <w:tcW w:w="1340" w:type="pct"/>
            <w:shd w:val="clear" w:color="auto" w:fill="auto"/>
          </w:tcPr>
          <w:p w14:paraId="41FA5A4B"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666" w:type="pct"/>
            <w:shd w:val="clear" w:color="auto" w:fill="auto"/>
          </w:tcPr>
          <w:p w14:paraId="3C66D467"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0E444E" w:rsidRPr="007A3E30" w14:paraId="2E580387" w14:textId="77777777" w:rsidTr="00EF0A0D">
        <w:tc>
          <w:tcPr>
            <w:cnfStyle w:val="001000000000" w:firstRow="0" w:lastRow="0" w:firstColumn="1" w:lastColumn="0" w:oddVBand="0" w:evenVBand="0" w:oddHBand="0" w:evenHBand="0" w:firstRowFirstColumn="0" w:firstRowLastColumn="0" w:lastRowFirstColumn="0" w:lastRowLastColumn="0"/>
            <w:tcW w:w="1994" w:type="pct"/>
            <w:shd w:val="clear" w:color="auto" w:fill="auto"/>
          </w:tcPr>
          <w:p w14:paraId="29629AF0"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 xml:space="preserve">Midgut-NET progression-free survival </w:t>
            </w:r>
          </w:p>
        </w:tc>
        <w:tc>
          <w:tcPr>
            <w:tcW w:w="1340" w:type="pct"/>
            <w:shd w:val="clear" w:color="auto" w:fill="auto"/>
          </w:tcPr>
          <w:p w14:paraId="46DEA415"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0.79 (0.01)</w:t>
            </w:r>
          </w:p>
        </w:tc>
        <w:tc>
          <w:tcPr>
            <w:tcW w:w="1666" w:type="pct"/>
            <w:shd w:val="clear" w:color="auto" w:fill="auto"/>
          </w:tcPr>
          <w:p w14:paraId="66498AA0"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7A3E30">
              <w:rPr>
                <w:rFonts w:ascii="Book Antiqua" w:hAnsi="Book Antiqua"/>
                <w:sz w:val="24"/>
                <w:szCs w:val="24"/>
              </w:rPr>
              <w:t>Real world evidence</w:t>
            </w:r>
            <w:r w:rsidR="00EF0A0D" w:rsidRPr="007A3E30">
              <w:rPr>
                <w:rFonts w:ascii="Book Antiqua" w:hAnsi="Book Antiqua"/>
                <w:sz w:val="24"/>
                <w:szCs w:val="24"/>
                <w:vertAlign w:val="superscript"/>
                <w:lang w:eastAsia="zh-CN"/>
              </w:rPr>
              <w:t>1</w:t>
            </w:r>
          </w:p>
        </w:tc>
      </w:tr>
      <w:tr w:rsidR="000E444E" w:rsidRPr="007A3E30" w14:paraId="6C32CFC0" w14:textId="77777777" w:rsidTr="00EF0A0D">
        <w:tc>
          <w:tcPr>
            <w:cnfStyle w:val="001000000000" w:firstRow="0" w:lastRow="0" w:firstColumn="1" w:lastColumn="0" w:oddVBand="0" w:evenVBand="0" w:oddHBand="0" w:evenHBand="0" w:firstRowFirstColumn="0" w:firstRowLastColumn="0" w:lastRowFirstColumn="0" w:lastRowLastColumn="0"/>
            <w:tcW w:w="1994" w:type="pct"/>
            <w:shd w:val="clear" w:color="auto" w:fill="auto"/>
          </w:tcPr>
          <w:p w14:paraId="018C1F00"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Midgut-NET post-progression survival</w:t>
            </w:r>
          </w:p>
        </w:tc>
        <w:tc>
          <w:tcPr>
            <w:tcW w:w="1340" w:type="pct"/>
            <w:shd w:val="clear" w:color="auto" w:fill="auto"/>
          </w:tcPr>
          <w:p w14:paraId="778DE504"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0.74 (0.01)</w:t>
            </w:r>
          </w:p>
        </w:tc>
        <w:tc>
          <w:tcPr>
            <w:tcW w:w="1666" w:type="pct"/>
            <w:shd w:val="clear" w:color="auto" w:fill="auto"/>
          </w:tcPr>
          <w:p w14:paraId="1997B621"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7A3E30">
              <w:rPr>
                <w:rFonts w:ascii="Book Antiqua" w:hAnsi="Book Antiqua"/>
                <w:sz w:val="24"/>
                <w:szCs w:val="24"/>
              </w:rPr>
              <w:t>ERASMUS study</w:t>
            </w:r>
            <w:r w:rsidR="00EF0A0D" w:rsidRPr="007A3E30">
              <w:rPr>
                <w:rFonts w:ascii="Book Antiqua" w:hAnsi="Book Antiqua"/>
                <w:sz w:val="24"/>
                <w:szCs w:val="24"/>
                <w:vertAlign w:val="superscript"/>
                <w:lang w:eastAsia="zh-CN"/>
              </w:rPr>
              <w:t>2</w:t>
            </w:r>
          </w:p>
        </w:tc>
      </w:tr>
      <w:tr w:rsidR="000E444E" w:rsidRPr="007A3E30" w14:paraId="50647004" w14:textId="77777777" w:rsidTr="00EF0A0D">
        <w:tc>
          <w:tcPr>
            <w:cnfStyle w:val="001000000000" w:firstRow="0" w:lastRow="0" w:firstColumn="1" w:lastColumn="0" w:oddVBand="0" w:evenVBand="0" w:oddHBand="0" w:evenHBand="0" w:firstRowFirstColumn="0" w:firstRowLastColumn="0" w:lastRowFirstColumn="0" w:lastRowLastColumn="0"/>
            <w:tcW w:w="1994" w:type="pct"/>
            <w:shd w:val="clear" w:color="auto" w:fill="auto"/>
          </w:tcPr>
          <w:p w14:paraId="7458E8B1"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P-NET progression-free survival</w:t>
            </w:r>
          </w:p>
        </w:tc>
        <w:tc>
          <w:tcPr>
            <w:tcW w:w="1340" w:type="pct"/>
            <w:shd w:val="clear" w:color="auto" w:fill="auto"/>
          </w:tcPr>
          <w:p w14:paraId="11E3B687"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0.80 (0.01)</w:t>
            </w:r>
          </w:p>
        </w:tc>
        <w:tc>
          <w:tcPr>
            <w:tcW w:w="1666" w:type="pct"/>
            <w:shd w:val="clear" w:color="auto" w:fill="auto"/>
          </w:tcPr>
          <w:p w14:paraId="67DE25FE"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7A3E30">
              <w:rPr>
                <w:rFonts w:ascii="Book Antiqua" w:hAnsi="Book Antiqua"/>
                <w:sz w:val="24"/>
                <w:szCs w:val="24"/>
              </w:rPr>
              <w:t>ERASMUS study</w:t>
            </w:r>
            <w:r w:rsidR="00EF0A0D" w:rsidRPr="007A3E30">
              <w:rPr>
                <w:rFonts w:ascii="Book Antiqua" w:hAnsi="Book Antiqua"/>
                <w:sz w:val="24"/>
                <w:szCs w:val="24"/>
                <w:vertAlign w:val="superscript"/>
                <w:lang w:eastAsia="zh-CN"/>
              </w:rPr>
              <w:t>2</w:t>
            </w:r>
          </w:p>
        </w:tc>
      </w:tr>
      <w:tr w:rsidR="000E444E" w:rsidRPr="007A3E30" w14:paraId="06561454" w14:textId="77777777" w:rsidTr="00EF0A0D">
        <w:tc>
          <w:tcPr>
            <w:cnfStyle w:val="001000000000" w:firstRow="0" w:lastRow="0" w:firstColumn="1" w:lastColumn="0" w:oddVBand="0" w:evenVBand="0" w:oddHBand="0" w:evenHBand="0" w:firstRowFirstColumn="0" w:firstRowLastColumn="0" w:lastRowFirstColumn="0" w:lastRowLastColumn="0"/>
            <w:tcW w:w="1994" w:type="pct"/>
            <w:shd w:val="clear" w:color="auto" w:fill="auto"/>
          </w:tcPr>
          <w:p w14:paraId="382A3520"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lang w:val="fr-CH"/>
              </w:rPr>
            </w:pPr>
            <w:r w:rsidRPr="007A3E30">
              <w:rPr>
                <w:rFonts w:ascii="Book Antiqua" w:hAnsi="Book Antiqua"/>
                <w:sz w:val="24"/>
                <w:szCs w:val="24"/>
                <w:lang w:val="fr-CH"/>
              </w:rPr>
              <w:t>P-NET post-progression survival</w:t>
            </w:r>
          </w:p>
        </w:tc>
        <w:tc>
          <w:tcPr>
            <w:tcW w:w="1340" w:type="pct"/>
            <w:shd w:val="clear" w:color="auto" w:fill="auto"/>
          </w:tcPr>
          <w:p w14:paraId="4644E723"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0.79 (0.02)</w:t>
            </w:r>
          </w:p>
        </w:tc>
        <w:tc>
          <w:tcPr>
            <w:tcW w:w="1666" w:type="pct"/>
            <w:shd w:val="clear" w:color="auto" w:fill="auto"/>
          </w:tcPr>
          <w:p w14:paraId="5C6413BD"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7A3E30">
              <w:rPr>
                <w:rFonts w:ascii="Book Antiqua" w:hAnsi="Book Antiqua"/>
                <w:sz w:val="24"/>
                <w:szCs w:val="24"/>
              </w:rPr>
              <w:t>ERASMUS study</w:t>
            </w:r>
            <w:r w:rsidR="00EF0A0D" w:rsidRPr="007A3E30">
              <w:rPr>
                <w:rFonts w:ascii="Book Antiqua" w:hAnsi="Book Antiqua"/>
                <w:sz w:val="24"/>
                <w:szCs w:val="24"/>
                <w:vertAlign w:val="superscript"/>
                <w:lang w:eastAsia="zh-CN"/>
              </w:rPr>
              <w:t>2</w:t>
            </w:r>
          </w:p>
        </w:tc>
      </w:tr>
      <w:tr w:rsidR="000E444E" w:rsidRPr="007A3E30" w14:paraId="675BFB41" w14:textId="77777777" w:rsidTr="00EF0A0D">
        <w:tc>
          <w:tcPr>
            <w:cnfStyle w:val="001000000000" w:firstRow="0" w:lastRow="0" w:firstColumn="1" w:lastColumn="0" w:oddVBand="0" w:evenVBand="0" w:oddHBand="0" w:evenHBand="0" w:firstRowFirstColumn="0" w:firstRowLastColumn="0" w:lastRowFirstColumn="0" w:lastRowLastColumn="0"/>
            <w:tcW w:w="1994" w:type="pct"/>
            <w:shd w:val="clear" w:color="auto" w:fill="auto"/>
          </w:tcPr>
          <w:p w14:paraId="2F5685C0" w14:textId="77777777" w:rsidR="000E444E" w:rsidRPr="007A3E30" w:rsidRDefault="000E444E" w:rsidP="000540F1">
            <w:pPr>
              <w:pStyle w:val="Text"/>
              <w:keepNext w:val="0"/>
              <w:keepLines w:val="0"/>
              <w:widowControl w:val="0"/>
              <w:spacing w:before="0" w:after="0" w:line="360" w:lineRule="auto"/>
              <w:jc w:val="both"/>
              <w:rPr>
                <w:rFonts w:ascii="Book Antiqua" w:hAnsi="Book Antiqua"/>
                <w:b/>
                <w:bCs/>
                <w:sz w:val="24"/>
                <w:szCs w:val="24"/>
              </w:rPr>
            </w:pPr>
            <w:r w:rsidRPr="007A3E30">
              <w:rPr>
                <w:rFonts w:ascii="Book Antiqua" w:hAnsi="Book Antiqua"/>
                <w:b/>
                <w:bCs/>
                <w:sz w:val="24"/>
                <w:szCs w:val="24"/>
              </w:rPr>
              <w:t>Norway</w:t>
            </w:r>
          </w:p>
        </w:tc>
        <w:tc>
          <w:tcPr>
            <w:tcW w:w="1340" w:type="pct"/>
            <w:shd w:val="clear" w:color="auto" w:fill="auto"/>
          </w:tcPr>
          <w:p w14:paraId="2555E92C"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666" w:type="pct"/>
            <w:shd w:val="clear" w:color="auto" w:fill="auto"/>
          </w:tcPr>
          <w:p w14:paraId="6BDF0F54"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0E444E" w:rsidRPr="007A3E30" w14:paraId="64B7881B" w14:textId="77777777" w:rsidTr="00EF0A0D">
        <w:tc>
          <w:tcPr>
            <w:cnfStyle w:val="001000000000" w:firstRow="0" w:lastRow="0" w:firstColumn="1" w:lastColumn="0" w:oddVBand="0" w:evenVBand="0" w:oddHBand="0" w:evenHBand="0" w:firstRowFirstColumn="0" w:firstRowLastColumn="0" w:lastRowFirstColumn="0" w:lastRowLastColumn="0"/>
            <w:tcW w:w="1994" w:type="pct"/>
            <w:shd w:val="clear" w:color="auto" w:fill="auto"/>
          </w:tcPr>
          <w:p w14:paraId="4EC2E2A0"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 xml:space="preserve">Midgut-NET progression-free survival (Lutathera) </w:t>
            </w:r>
          </w:p>
        </w:tc>
        <w:tc>
          <w:tcPr>
            <w:tcW w:w="1340" w:type="pct"/>
            <w:shd w:val="clear" w:color="auto" w:fill="auto"/>
          </w:tcPr>
          <w:p w14:paraId="257CF130"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0.75 (0.01)</w:t>
            </w:r>
          </w:p>
        </w:tc>
        <w:tc>
          <w:tcPr>
            <w:tcW w:w="1666" w:type="pct"/>
            <w:shd w:val="clear" w:color="auto" w:fill="auto"/>
          </w:tcPr>
          <w:p w14:paraId="453D88D7" w14:textId="691384E9"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NETTER-1</w:t>
            </w:r>
            <w:r w:rsidRPr="007A3E30">
              <w:rPr>
                <w:rFonts w:ascii="Book Antiqua" w:hAnsi="Book Antiqua"/>
                <w:sz w:val="24"/>
                <w:szCs w:val="24"/>
                <w:vertAlign w:val="superscript"/>
              </w:rPr>
              <w:t>[13]</w:t>
            </w:r>
          </w:p>
        </w:tc>
      </w:tr>
      <w:tr w:rsidR="000E444E" w:rsidRPr="007A3E30" w14:paraId="7833FBD2" w14:textId="77777777" w:rsidTr="00EF0A0D">
        <w:tc>
          <w:tcPr>
            <w:cnfStyle w:val="001000000000" w:firstRow="0" w:lastRow="0" w:firstColumn="1" w:lastColumn="0" w:oddVBand="0" w:evenVBand="0" w:oddHBand="0" w:evenHBand="0" w:firstRowFirstColumn="0" w:firstRowLastColumn="0" w:lastRowFirstColumn="0" w:lastRowLastColumn="0"/>
            <w:tcW w:w="1994" w:type="pct"/>
            <w:shd w:val="clear" w:color="auto" w:fill="auto"/>
          </w:tcPr>
          <w:p w14:paraId="6FED5224"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Midgut-NET post-progression survival</w:t>
            </w:r>
          </w:p>
        </w:tc>
        <w:tc>
          <w:tcPr>
            <w:tcW w:w="1340" w:type="pct"/>
            <w:shd w:val="clear" w:color="auto" w:fill="auto"/>
          </w:tcPr>
          <w:p w14:paraId="7E752337"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0.74 (0.01)</w:t>
            </w:r>
          </w:p>
        </w:tc>
        <w:tc>
          <w:tcPr>
            <w:tcW w:w="1666" w:type="pct"/>
            <w:shd w:val="clear" w:color="auto" w:fill="auto"/>
          </w:tcPr>
          <w:p w14:paraId="6ED4E3CC"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7A3E30">
              <w:rPr>
                <w:rFonts w:ascii="Book Antiqua" w:hAnsi="Book Antiqua"/>
                <w:sz w:val="24"/>
                <w:szCs w:val="24"/>
              </w:rPr>
              <w:t>ERASMUS study</w:t>
            </w:r>
            <w:r w:rsidR="00EF0A0D" w:rsidRPr="007A3E30">
              <w:rPr>
                <w:rFonts w:ascii="Book Antiqua" w:hAnsi="Book Antiqua"/>
                <w:sz w:val="24"/>
                <w:szCs w:val="24"/>
                <w:vertAlign w:val="superscript"/>
                <w:lang w:eastAsia="zh-CN"/>
              </w:rPr>
              <w:t>2</w:t>
            </w:r>
          </w:p>
        </w:tc>
      </w:tr>
      <w:tr w:rsidR="000E444E" w:rsidRPr="007A3E30" w14:paraId="4D0D448E" w14:textId="77777777" w:rsidTr="00EF0A0D">
        <w:tc>
          <w:tcPr>
            <w:cnfStyle w:val="001000000000" w:firstRow="0" w:lastRow="0" w:firstColumn="1" w:lastColumn="0" w:oddVBand="0" w:evenVBand="0" w:oddHBand="0" w:evenHBand="0" w:firstRowFirstColumn="0" w:firstRowLastColumn="0" w:lastRowFirstColumn="0" w:lastRowLastColumn="0"/>
            <w:tcW w:w="1994" w:type="pct"/>
            <w:shd w:val="clear" w:color="auto" w:fill="auto"/>
          </w:tcPr>
          <w:p w14:paraId="7D50AB16"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P-NET progression-free survival</w:t>
            </w:r>
          </w:p>
        </w:tc>
        <w:tc>
          <w:tcPr>
            <w:tcW w:w="1340" w:type="pct"/>
            <w:shd w:val="clear" w:color="auto" w:fill="auto"/>
          </w:tcPr>
          <w:p w14:paraId="1AC05851"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0.80 (0.01)</w:t>
            </w:r>
          </w:p>
        </w:tc>
        <w:tc>
          <w:tcPr>
            <w:tcW w:w="1666" w:type="pct"/>
            <w:shd w:val="clear" w:color="auto" w:fill="auto"/>
          </w:tcPr>
          <w:p w14:paraId="6008CF80"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7A3E30">
              <w:rPr>
                <w:rFonts w:ascii="Book Antiqua" w:hAnsi="Book Antiqua"/>
                <w:sz w:val="24"/>
                <w:szCs w:val="24"/>
              </w:rPr>
              <w:t>ERASMUS study</w:t>
            </w:r>
            <w:r w:rsidR="00EF0A0D" w:rsidRPr="007A3E30">
              <w:rPr>
                <w:rFonts w:ascii="Book Antiqua" w:hAnsi="Book Antiqua"/>
                <w:sz w:val="24"/>
                <w:szCs w:val="24"/>
                <w:vertAlign w:val="superscript"/>
                <w:lang w:eastAsia="zh-CN"/>
              </w:rPr>
              <w:t>2</w:t>
            </w:r>
          </w:p>
        </w:tc>
      </w:tr>
      <w:tr w:rsidR="000E444E" w:rsidRPr="007A3E30" w14:paraId="48A93C1D" w14:textId="77777777" w:rsidTr="00EF0A0D">
        <w:tc>
          <w:tcPr>
            <w:cnfStyle w:val="001000000000" w:firstRow="0" w:lastRow="0" w:firstColumn="1" w:lastColumn="0" w:oddVBand="0" w:evenVBand="0" w:oddHBand="0" w:evenHBand="0" w:firstRowFirstColumn="0" w:firstRowLastColumn="0" w:lastRowFirstColumn="0" w:lastRowLastColumn="0"/>
            <w:tcW w:w="1994" w:type="pct"/>
            <w:tcBorders>
              <w:bottom w:val="single" w:sz="6" w:space="0" w:color="auto"/>
            </w:tcBorders>
            <w:shd w:val="clear" w:color="auto" w:fill="auto"/>
          </w:tcPr>
          <w:p w14:paraId="110BDA60"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lang w:val="fr-CH"/>
              </w:rPr>
            </w:pPr>
            <w:r w:rsidRPr="007A3E30">
              <w:rPr>
                <w:rFonts w:ascii="Book Antiqua" w:hAnsi="Book Antiqua"/>
                <w:sz w:val="24"/>
                <w:szCs w:val="24"/>
                <w:lang w:val="fr-CH"/>
              </w:rPr>
              <w:t>P-NET post-progression survival</w:t>
            </w:r>
          </w:p>
        </w:tc>
        <w:tc>
          <w:tcPr>
            <w:tcW w:w="1340" w:type="pct"/>
            <w:tcBorders>
              <w:bottom w:val="single" w:sz="6" w:space="0" w:color="auto"/>
            </w:tcBorders>
            <w:shd w:val="clear" w:color="auto" w:fill="auto"/>
          </w:tcPr>
          <w:p w14:paraId="0EC53FBD"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0.79 (0.02)</w:t>
            </w:r>
          </w:p>
        </w:tc>
        <w:tc>
          <w:tcPr>
            <w:tcW w:w="1666" w:type="pct"/>
            <w:tcBorders>
              <w:bottom w:val="single" w:sz="6" w:space="0" w:color="auto"/>
            </w:tcBorders>
            <w:shd w:val="clear" w:color="auto" w:fill="auto"/>
          </w:tcPr>
          <w:p w14:paraId="402AE53D"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7A3E30">
              <w:rPr>
                <w:rFonts w:ascii="Book Antiqua" w:hAnsi="Book Antiqua"/>
                <w:sz w:val="24"/>
                <w:szCs w:val="24"/>
              </w:rPr>
              <w:t>ERASMUS study</w:t>
            </w:r>
            <w:r w:rsidR="00EF0A0D" w:rsidRPr="007A3E30">
              <w:rPr>
                <w:rFonts w:ascii="Book Antiqua" w:hAnsi="Book Antiqua"/>
                <w:sz w:val="24"/>
                <w:szCs w:val="24"/>
                <w:vertAlign w:val="superscript"/>
                <w:lang w:eastAsia="zh-CN"/>
              </w:rPr>
              <w:t>2</w:t>
            </w:r>
          </w:p>
        </w:tc>
      </w:tr>
    </w:tbl>
    <w:p w14:paraId="1ADCACF8" w14:textId="77777777" w:rsidR="0001290C" w:rsidRDefault="00305DB9" w:rsidP="000540F1">
      <w:pPr>
        <w:pStyle w:val="Footnote"/>
        <w:widowControl w:val="0"/>
        <w:spacing w:before="0" w:after="0" w:line="360" w:lineRule="auto"/>
        <w:jc w:val="both"/>
        <w:rPr>
          <w:rFonts w:ascii="Book Antiqua" w:hAnsi="Book Antiqua"/>
          <w:sz w:val="24"/>
          <w:szCs w:val="24"/>
          <w:lang w:eastAsia="zh-CN"/>
        </w:rPr>
      </w:pPr>
      <w:r w:rsidRPr="007A3E30">
        <w:rPr>
          <w:rFonts w:ascii="Book Antiqua" w:hAnsi="Book Antiqua"/>
          <w:sz w:val="24"/>
          <w:szCs w:val="24"/>
          <w:vertAlign w:val="superscript"/>
          <w:lang w:eastAsia="zh-CN"/>
        </w:rPr>
        <w:t>1</w:t>
      </w:r>
      <w:r w:rsidRPr="007A3E30">
        <w:rPr>
          <w:rFonts w:ascii="Book Antiqua" w:hAnsi="Book Antiqua"/>
          <w:sz w:val="24"/>
          <w:szCs w:val="24"/>
        </w:rPr>
        <w:t>Real world study conducted at Guy’s and St Thomas’ NHS Foundation Trust, London, U</w:t>
      </w:r>
      <w:r w:rsidRPr="007A3E30">
        <w:rPr>
          <w:rFonts w:ascii="Book Antiqua" w:hAnsi="Book Antiqua"/>
          <w:sz w:val="24"/>
          <w:szCs w:val="24"/>
          <w:lang w:eastAsia="zh-CN"/>
        </w:rPr>
        <w:t>nited Kingdom</w:t>
      </w:r>
      <w:r w:rsidRPr="007A3E30">
        <w:rPr>
          <w:rFonts w:ascii="Book Antiqua" w:hAnsi="Book Antiqua"/>
          <w:sz w:val="24"/>
          <w:szCs w:val="24"/>
        </w:rPr>
        <w:t xml:space="preserve"> (AAA, data on file)</w:t>
      </w:r>
      <w:r w:rsidRPr="007A3E30">
        <w:rPr>
          <w:rFonts w:ascii="Book Antiqua" w:hAnsi="Book Antiqua"/>
          <w:sz w:val="24"/>
          <w:szCs w:val="24"/>
          <w:lang w:eastAsia="zh-CN"/>
        </w:rPr>
        <w:t xml:space="preserve">. </w:t>
      </w:r>
    </w:p>
    <w:p w14:paraId="1F73EE0B" w14:textId="1EE4670F" w:rsidR="000E444E" w:rsidRPr="007A3E30" w:rsidRDefault="00305DB9" w:rsidP="000540F1">
      <w:pPr>
        <w:pStyle w:val="Footnote"/>
        <w:widowControl w:val="0"/>
        <w:spacing w:before="0" w:after="0" w:line="360" w:lineRule="auto"/>
        <w:jc w:val="both"/>
        <w:rPr>
          <w:rFonts w:ascii="Book Antiqua" w:hAnsi="Book Antiqua"/>
          <w:sz w:val="24"/>
          <w:szCs w:val="24"/>
          <w:lang w:eastAsia="zh-CN"/>
        </w:rPr>
      </w:pPr>
      <w:r w:rsidRPr="007A3E30">
        <w:rPr>
          <w:rFonts w:ascii="Book Antiqua" w:hAnsi="Book Antiqua"/>
          <w:sz w:val="24"/>
          <w:szCs w:val="24"/>
          <w:vertAlign w:val="superscript"/>
          <w:lang w:eastAsia="zh-CN"/>
        </w:rPr>
        <w:t>2</w:t>
      </w:r>
      <w:r w:rsidRPr="007A3E30">
        <w:rPr>
          <w:rFonts w:ascii="Book Antiqua" w:hAnsi="Book Antiqua"/>
          <w:sz w:val="24"/>
          <w:szCs w:val="24"/>
        </w:rPr>
        <w:t>AAA data on file</w:t>
      </w:r>
      <w:r w:rsidRPr="007A3E30">
        <w:rPr>
          <w:rFonts w:ascii="Book Antiqua" w:hAnsi="Book Antiqua"/>
          <w:sz w:val="24"/>
          <w:szCs w:val="24"/>
          <w:lang w:eastAsia="zh-CN"/>
        </w:rPr>
        <w:t xml:space="preserve">. </w:t>
      </w:r>
      <w:r w:rsidR="000E444E" w:rsidRPr="007A3E30">
        <w:rPr>
          <w:rFonts w:ascii="Book Antiqua" w:hAnsi="Book Antiqua"/>
          <w:sz w:val="24"/>
          <w:szCs w:val="24"/>
        </w:rPr>
        <w:t>GI-NET</w:t>
      </w:r>
      <w:r w:rsidR="00EF0A0D" w:rsidRPr="007A3E30">
        <w:rPr>
          <w:rFonts w:ascii="Book Antiqua" w:hAnsi="Book Antiqua"/>
          <w:sz w:val="24"/>
          <w:szCs w:val="24"/>
          <w:lang w:eastAsia="zh-CN"/>
        </w:rPr>
        <w:t>:</w:t>
      </w:r>
      <w:r w:rsidR="000E444E" w:rsidRPr="007A3E30">
        <w:rPr>
          <w:rFonts w:ascii="Book Antiqua" w:hAnsi="Book Antiqua"/>
          <w:sz w:val="24"/>
          <w:szCs w:val="24"/>
        </w:rPr>
        <w:t xml:space="preserve"> </w:t>
      </w:r>
      <w:r w:rsidR="000E444E" w:rsidRPr="007A3E30">
        <w:rPr>
          <w:rFonts w:ascii="Book Antiqua" w:hAnsi="Book Antiqua"/>
          <w:caps/>
          <w:sz w:val="24"/>
          <w:szCs w:val="24"/>
        </w:rPr>
        <w:t>g</w:t>
      </w:r>
      <w:r w:rsidR="000E444E" w:rsidRPr="007A3E30">
        <w:rPr>
          <w:rFonts w:ascii="Book Antiqua" w:hAnsi="Book Antiqua"/>
          <w:sz w:val="24"/>
          <w:szCs w:val="24"/>
        </w:rPr>
        <w:t>astrointestinal neuroendocrine tumor; P-NET</w:t>
      </w:r>
      <w:r w:rsidR="00EF0A0D" w:rsidRPr="007A3E30">
        <w:rPr>
          <w:rFonts w:ascii="Book Antiqua" w:hAnsi="Book Antiqua"/>
          <w:sz w:val="24"/>
          <w:szCs w:val="24"/>
          <w:lang w:eastAsia="zh-CN"/>
        </w:rPr>
        <w:t>:</w:t>
      </w:r>
      <w:r w:rsidR="000E444E" w:rsidRPr="007A3E30">
        <w:rPr>
          <w:rFonts w:ascii="Book Antiqua" w:hAnsi="Book Antiqua"/>
          <w:sz w:val="24"/>
          <w:szCs w:val="24"/>
        </w:rPr>
        <w:t xml:space="preserve"> </w:t>
      </w:r>
      <w:r w:rsidR="000E444E" w:rsidRPr="007A3E30">
        <w:rPr>
          <w:rFonts w:ascii="Book Antiqua" w:hAnsi="Book Antiqua"/>
          <w:caps/>
          <w:sz w:val="24"/>
          <w:szCs w:val="24"/>
        </w:rPr>
        <w:t>p</w:t>
      </w:r>
      <w:r w:rsidR="000E444E" w:rsidRPr="007A3E30">
        <w:rPr>
          <w:rFonts w:ascii="Book Antiqua" w:hAnsi="Book Antiqua"/>
          <w:sz w:val="24"/>
          <w:szCs w:val="24"/>
        </w:rPr>
        <w:t>ancreatic neuroendocrine tumor; PFS</w:t>
      </w:r>
      <w:r w:rsidRPr="007A3E30">
        <w:rPr>
          <w:rFonts w:ascii="Book Antiqua" w:hAnsi="Book Antiqua"/>
          <w:sz w:val="24"/>
          <w:szCs w:val="24"/>
          <w:lang w:eastAsia="zh-CN"/>
        </w:rPr>
        <w:t>:</w:t>
      </w:r>
      <w:r w:rsidR="000E444E" w:rsidRPr="007A3E30">
        <w:rPr>
          <w:rFonts w:ascii="Book Antiqua" w:hAnsi="Book Antiqua"/>
          <w:sz w:val="24"/>
          <w:szCs w:val="24"/>
        </w:rPr>
        <w:t xml:space="preserve"> </w:t>
      </w:r>
      <w:r w:rsidR="000E444E" w:rsidRPr="007A3E30">
        <w:rPr>
          <w:rFonts w:ascii="Book Antiqua" w:hAnsi="Book Antiqua"/>
          <w:caps/>
          <w:sz w:val="24"/>
          <w:szCs w:val="24"/>
        </w:rPr>
        <w:t>p</w:t>
      </w:r>
      <w:r w:rsidR="000E444E" w:rsidRPr="007A3E30">
        <w:rPr>
          <w:rFonts w:ascii="Book Antiqua" w:hAnsi="Book Antiqua"/>
          <w:sz w:val="24"/>
          <w:szCs w:val="24"/>
        </w:rPr>
        <w:t>rogression-free survival; PPS</w:t>
      </w:r>
      <w:r w:rsidRPr="007A3E30">
        <w:rPr>
          <w:rFonts w:ascii="Book Antiqua" w:hAnsi="Book Antiqua"/>
          <w:sz w:val="24"/>
          <w:szCs w:val="24"/>
          <w:lang w:eastAsia="zh-CN"/>
        </w:rPr>
        <w:t>:</w:t>
      </w:r>
      <w:r w:rsidR="000E444E" w:rsidRPr="007A3E30">
        <w:rPr>
          <w:rFonts w:ascii="Book Antiqua" w:hAnsi="Book Antiqua"/>
          <w:sz w:val="24"/>
          <w:szCs w:val="24"/>
        </w:rPr>
        <w:t xml:space="preserve"> </w:t>
      </w:r>
      <w:r w:rsidR="000E444E" w:rsidRPr="007A3E30">
        <w:rPr>
          <w:rFonts w:ascii="Book Antiqua" w:hAnsi="Book Antiqua"/>
          <w:caps/>
          <w:sz w:val="24"/>
          <w:szCs w:val="24"/>
        </w:rPr>
        <w:t>p</w:t>
      </w:r>
      <w:r w:rsidR="000E444E" w:rsidRPr="007A3E30">
        <w:rPr>
          <w:rFonts w:ascii="Book Antiqua" w:hAnsi="Book Antiqua"/>
          <w:sz w:val="24"/>
          <w:szCs w:val="24"/>
        </w:rPr>
        <w:t>ost-progression survival; SE</w:t>
      </w:r>
      <w:r w:rsidRPr="007A3E30">
        <w:rPr>
          <w:rFonts w:ascii="Book Antiqua" w:hAnsi="Book Antiqua"/>
          <w:sz w:val="24"/>
          <w:szCs w:val="24"/>
          <w:lang w:eastAsia="zh-CN"/>
        </w:rPr>
        <w:t>:</w:t>
      </w:r>
      <w:r w:rsidR="000E444E" w:rsidRPr="007A3E30">
        <w:rPr>
          <w:rFonts w:ascii="Book Antiqua" w:hAnsi="Book Antiqua"/>
          <w:sz w:val="24"/>
          <w:szCs w:val="24"/>
        </w:rPr>
        <w:t xml:space="preserve"> </w:t>
      </w:r>
      <w:r w:rsidR="000E444E" w:rsidRPr="007A3E30">
        <w:rPr>
          <w:rFonts w:ascii="Book Antiqua" w:hAnsi="Book Antiqua"/>
          <w:caps/>
          <w:sz w:val="24"/>
          <w:szCs w:val="24"/>
        </w:rPr>
        <w:t>s</w:t>
      </w:r>
      <w:r w:rsidR="000E444E" w:rsidRPr="007A3E30">
        <w:rPr>
          <w:rFonts w:ascii="Book Antiqua" w:hAnsi="Book Antiqua"/>
          <w:sz w:val="24"/>
          <w:szCs w:val="24"/>
        </w:rPr>
        <w:t>tandard error</w:t>
      </w:r>
      <w:r w:rsidRPr="007A3E30">
        <w:rPr>
          <w:rFonts w:ascii="Book Antiqua" w:hAnsi="Book Antiqua"/>
          <w:sz w:val="24"/>
          <w:szCs w:val="24"/>
          <w:lang w:eastAsia="zh-CN"/>
        </w:rPr>
        <w:t>.</w:t>
      </w:r>
    </w:p>
    <w:p w14:paraId="3D7FD6BE" w14:textId="77777777" w:rsidR="000E444E" w:rsidRPr="007A3E30" w:rsidRDefault="00305DB9" w:rsidP="000540F1">
      <w:pPr>
        <w:pStyle w:val="Footnote"/>
        <w:widowControl w:val="0"/>
        <w:spacing w:before="0" w:after="0" w:line="360" w:lineRule="auto"/>
        <w:jc w:val="both"/>
        <w:rPr>
          <w:rFonts w:ascii="Book Antiqua" w:hAnsi="Book Antiqua"/>
          <w:b/>
          <w:sz w:val="24"/>
          <w:szCs w:val="24"/>
          <w:lang w:eastAsia="zh-CN"/>
        </w:rPr>
      </w:pPr>
      <w:r w:rsidRPr="007A3E30">
        <w:rPr>
          <w:rFonts w:ascii="Book Antiqua" w:hAnsi="Book Antiqua"/>
          <w:sz w:val="24"/>
          <w:szCs w:val="24"/>
          <w:lang w:eastAsia="zh-CN"/>
        </w:rPr>
        <w:br w:type="page"/>
      </w:r>
      <w:bookmarkStart w:id="27" w:name="_Ref18491783"/>
      <w:r w:rsidR="000E444E" w:rsidRPr="007A3E30">
        <w:rPr>
          <w:rFonts w:ascii="Book Antiqua" w:hAnsi="Book Antiqua"/>
          <w:b/>
          <w:sz w:val="24"/>
          <w:szCs w:val="24"/>
        </w:rPr>
        <w:t xml:space="preserve">Table </w:t>
      </w:r>
      <w:bookmarkEnd w:id="25"/>
      <w:bookmarkEnd w:id="27"/>
      <w:r w:rsidRPr="007A3E30">
        <w:rPr>
          <w:rFonts w:ascii="Book Antiqua" w:hAnsi="Book Antiqua"/>
          <w:b/>
          <w:sz w:val="24"/>
          <w:szCs w:val="24"/>
          <w:lang w:eastAsia="zh-CN"/>
        </w:rPr>
        <w:t xml:space="preserve">3 </w:t>
      </w:r>
      <w:r w:rsidR="000E444E" w:rsidRPr="007A3E30">
        <w:rPr>
          <w:rFonts w:ascii="Book Antiqua" w:hAnsi="Book Antiqua"/>
          <w:b/>
          <w:sz w:val="24"/>
          <w:szCs w:val="24"/>
        </w:rPr>
        <w:t>Disutilities for grade 3 and 4 adverse events</w:t>
      </w:r>
    </w:p>
    <w:tbl>
      <w:tblPr>
        <w:tblStyle w:val="OssianReportTable"/>
        <w:tblW w:w="0" w:type="auto"/>
        <w:tblLook w:val="04A0" w:firstRow="1" w:lastRow="0" w:firstColumn="1" w:lastColumn="0" w:noHBand="0" w:noVBand="1"/>
      </w:tblPr>
      <w:tblGrid>
        <w:gridCol w:w="2700"/>
        <w:gridCol w:w="1620"/>
        <w:gridCol w:w="2430"/>
      </w:tblGrid>
      <w:tr w:rsidR="000E444E" w:rsidRPr="007A3E30" w14:paraId="48BDBA17" w14:textId="77777777" w:rsidTr="00305D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single" w:sz="6" w:space="0" w:color="auto"/>
            </w:tcBorders>
            <w:shd w:val="clear" w:color="auto" w:fill="auto"/>
          </w:tcPr>
          <w:p w14:paraId="6C5DFA15" w14:textId="77777777" w:rsidR="000E444E" w:rsidRPr="007A3E30" w:rsidRDefault="000E444E" w:rsidP="000540F1">
            <w:pPr>
              <w:pStyle w:val="Table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 xml:space="preserve">Event </w:t>
            </w:r>
          </w:p>
        </w:tc>
        <w:tc>
          <w:tcPr>
            <w:tcW w:w="1620" w:type="dxa"/>
            <w:tcBorders>
              <w:top w:val="single" w:sz="6" w:space="0" w:color="auto"/>
            </w:tcBorders>
            <w:shd w:val="clear" w:color="auto" w:fill="auto"/>
          </w:tcPr>
          <w:p w14:paraId="6C4FE745" w14:textId="77777777" w:rsidR="000E444E" w:rsidRPr="007A3E30" w:rsidRDefault="000E444E" w:rsidP="000540F1">
            <w:pPr>
              <w:pStyle w:val="Tabletext"/>
              <w:keepNext w:val="0"/>
              <w:keepLines w:val="0"/>
              <w:widowControl w:val="0"/>
              <w:spacing w:before="0"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Disutility</w:t>
            </w:r>
          </w:p>
        </w:tc>
        <w:tc>
          <w:tcPr>
            <w:tcW w:w="2430" w:type="dxa"/>
            <w:tcBorders>
              <w:top w:val="single" w:sz="6" w:space="0" w:color="auto"/>
            </w:tcBorders>
            <w:shd w:val="clear" w:color="auto" w:fill="auto"/>
          </w:tcPr>
          <w:p w14:paraId="506834C8" w14:textId="77777777" w:rsidR="000E444E" w:rsidRPr="007A3E30" w:rsidRDefault="000E444E" w:rsidP="000540F1">
            <w:pPr>
              <w:pStyle w:val="Tabletext"/>
              <w:keepNext w:val="0"/>
              <w:keepLines w:val="0"/>
              <w:widowControl w:val="0"/>
              <w:spacing w:before="0"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sz w:val="24"/>
                <w:szCs w:val="24"/>
                <w:lang w:eastAsia="zh-CN"/>
              </w:rPr>
            </w:pPr>
            <w:r w:rsidRPr="007A3E30">
              <w:rPr>
                <w:rFonts w:ascii="Book Antiqua" w:hAnsi="Book Antiqua"/>
                <w:sz w:val="24"/>
                <w:szCs w:val="24"/>
              </w:rPr>
              <w:t>Ref</w:t>
            </w:r>
            <w:r w:rsidR="00305DB9" w:rsidRPr="007A3E30">
              <w:rPr>
                <w:rFonts w:ascii="Book Antiqua" w:eastAsiaTheme="minorEastAsia" w:hAnsi="Book Antiqua"/>
                <w:sz w:val="24"/>
                <w:szCs w:val="24"/>
                <w:lang w:eastAsia="zh-CN"/>
              </w:rPr>
              <w:t>.</w:t>
            </w:r>
          </w:p>
        </w:tc>
      </w:tr>
      <w:tr w:rsidR="000E444E" w:rsidRPr="007A3E30" w14:paraId="0D2BC719" w14:textId="77777777" w:rsidTr="00305DB9">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3198F19A" w14:textId="77777777" w:rsidR="000E444E" w:rsidRPr="007A3E30" w:rsidRDefault="000E444E" w:rsidP="000540F1">
            <w:pPr>
              <w:pStyle w:val="Table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Nausea</w:t>
            </w:r>
          </w:p>
        </w:tc>
        <w:tc>
          <w:tcPr>
            <w:tcW w:w="1620" w:type="dxa"/>
            <w:shd w:val="clear" w:color="auto" w:fill="auto"/>
          </w:tcPr>
          <w:p w14:paraId="53797457" w14:textId="77777777"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0.05</w:t>
            </w:r>
          </w:p>
        </w:tc>
        <w:tc>
          <w:tcPr>
            <w:tcW w:w="2430" w:type="dxa"/>
            <w:shd w:val="clear" w:color="auto" w:fill="auto"/>
          </w:tcPr>
          <w:p w14:paraId="75710DCF" w14:textId="156297D8"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 xml:space="preserve">Nafees </w:t>
            </w:r>
            <w:r w:rsidR="00305DB9" w:rsidRPr="007A3E30">
              <w:rPr>
                <w:rFonts w:ascii="Book Antiqua" w:hAnsi="Book Antiqua"/>
                <w:i/>
                <w:sz w:val="24"/>
                <w:szCs w:val="24"/>
              </w:rPr>
              <w:t>et al</w:t>
            </w:r>
            <w:r w:rsidRPr="007A3E30">
              <w:rPr>
                <w:rFonts w:ascii="Book Antiqua" w:hAnsi="Book Antiqua"/>
                <w:sz w:val="24"/>
                <w:szCs w:val="24"/>
                <w:vertAlign w:val="superscript"/>
              </w:rPr>
              <w:t>[24]</w:t>
            </w:r>
          </w:p>
        </w:tc>
      </w:tr>
      <w:tr w:rsidR="000E444E" w:rsidRPr="007A3E30" w14:paraId="273418CC" w14:textId="77777777" w:rsidTr="00305DB9">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6381B829" w14:textId="77777777" w:rsidR="000E444E" w:rsidRPr="007A3E30" w:rsidRDefault="000E444E" w:rsidP="000540F1">
            <w:pPr>
              <w:pStyle w:val="Table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Vomiting</w:t>
            </w:r>
          </w:p>
        </w:tc>
        <w:tc>
          <w:tcPr>
            <w:tcW w:w="1620" w:type="dxa"/>
            <w:shd w:val="clear" w:color="auto" w:fill="auto"/>
          </w:tcPr>
          <w:p w14:paraId="0282F1F0" w14:textId="77777777"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0.05</w:t>
            </w:r>
          </w:p>
        </w:tc>
        <w:tc>
          <w:tcPr>
            <w:tcW w:w="2430" w:type="dxa"/>
            <w:shd w:val="clear" w:color="auto" w:fill="auto"/>
          </w:tcPr>
          <w:p w14:paraId="74882D05" w14:textId="34B7B099"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 xml:space="preserve">Nafees </w:t>
            </w:r>
            <w:r w:rsidR="00305DB9" w:rsidRPr="007A3E30">
              <w:rPr>
                <w:rFonts w:ascii="Book Antiqua" w:hAnsi="Book Antiqua"/>
                <w:i/>
                <w:sz w:val="24"/>
                <w:szCs w:val="24"/>
              </w:rPr>
              <w:t>et al</w:t>
            </w:r>
            <w:r w:rsidRPr="007A3E30">
              <w:rPr>
                <w:rFonts w:ascii="Book Antiqua" w:hAnsi="Book Antiqua"/>
                <w:sz w:val="24"/>
                <w:szCs w:val="24"/>
                <w:vertAlign w:val="superscript"/>
              </w:rPr>
              <w:t>[24]</w:t>
            </w:r>
          </w:p>
        </w:tc>
      </w:tr>
      <w:tr w:rsidR="000E444E" w:rsidRPr="007A3E30" w14:paraId="16FBB721" w14:textId="77777777" w:rsidTr="00305DB9">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14A81DF5" w14:textId="77777777" w:rsidR="000E444E" w:rsidRPr="007A3E30" w:rsidRDefault="000E444E" w:rsidP="000540F1">
            <w:pPr>
              <w:pStyle w:val="Table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Diarrhea</w:t>
            </w:r>
          </w:p>
        </w:tc>
        <w:tc>
          <w:tcPr>
            <w:tcW w:w="1620" w:type="dxa"/>
            <w:shd w:val="clear" w:color="auto" w:fill="auto"/>
          </w:tcPr>
          <w:p w14:paraId="1091FD4C" w14:textId="77777777"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0.05</w:t>
            </w:r>
          </w:p>
        </w:tc>
        <w:tc>
          <w:tcPr>
            <w:tcW w:w="2430" w:type="dxa"/>
            <w:shd w:val="clear" w:color="auto" w:fill="auto"/>
          </w:tcPr>
          <w:p w14:paraId="4BAF166A" w14:textId="5E5BB944"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 xml:space="preserve">Nafees </w:t>
            </w:r>
            <w:r w:rsidR="00305DB9" w:rsidRPr="007A3E30">
              <w:rPr>
                <w:rFonts w:ascii="Book Antiqua" w:hAnsi="Book Antiqua"/>
                <w:i/>
                <w:sz w:val="24"/>
                <w:szCs w:val="24"/>
              </w:rPr>
              <w:t>et al</w:t>
            </w:r>
            <w:r w:rsidRPr="007A3E30">
              <w:rPr>
                <w:rFonts w:ascii="Book Antiqua" w:hAnsi="Book Antiqua"/>
                <w:sz w:val="24"/>
                <w:szCs w:val="24"/>
                <w:vertAlign w:val="superscript"/>
              </w:rPr>
              <w:t>[24]</w:t>
            </w:r>
          </w:p>
        </w:tc>
      </w:tr>
      <w:tr w:rsidR="000E444E" w:rsidRPr="007A3E30" w14:paraId="5E6D1391" w14:textId="77777777" w:rsidTr="00305DB9">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51AD1F90" w14:textId="77777777" w:rsidR="000E444E" w:rsidRPr="007A3E30" w:rsidRDefault="000E444E" w:rsidP="000540F1">
            <w:pPr>
              <w:pStyle w:val="Table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Abdominal pain</w:t>
            </w:r>
          </w:p>
        </w:tc>
        <w:tc>
          <w:tcPr>
            <w:tcW w:w="1620" w:type="dxa"/>
            <w:shd w:val="clear" w:color="auto" w:fill="auto"/>
          </w:tcPr>
          <w:p w14:paraId="79A0C873" w14:textId="77777777"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eastAsia="zh-CN"/>
              </w:rPr>
            </w:pPr>
            <w:r w:rsidRPr="007A3E30">
              <w:rPr>
                <w:rFonts w:ascii="Book Antiqua" w:hAnsi="Book Antiqua"/>
                <w:sz w:val="24"/>
                <w:szCs w:val="24"/>
              </w:rPr>
              <w:t>0.07</w:t>
            </w:r>
            <w:r w:rsidR="00305DB9" w:rsidRPr="007A3E30">
              <w:rPr>
                <w:rFonts w:ascii="Book Antiqua" w:eastAsiaTheme="minorEastAsia" w:hAnsi="Book Antiqua"/>
                <w:sz w:val="24"/>
                <w:szCs w:val="24"/>
                <w:vertAlign w:val="superscript"/>
                <w:lang w:eastAsia="zh-CN"/>
              </w:rPr>
              <w:t>1</w:t>
            </w:r>
          </w:p>
        </w:tc>
        <w:tc>
          <w:tcPr>
            <w:tcW w:w="2430" w:type="dxa"/>
            <w:shd w:val="clear" w:color="auto" w:fill="auto"/>
          </w:tcPr>
          <w:p w14:paraId="2836EE9F" w14:textId="01BF2AD2"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 xml:space="preserve">Doyle </w:t>
            </w:r>
            <w:r w:rsidR="00305DB9" w:rsidRPr="007A3E30">
              <w:rPr>
                <w:rFonts w:ascii="Book Antiqua" w:hAnsi="Book Antiqua"/>
                <w:i/>
                <w:sz w:val="24"/>
                <w:szCs w:val="24"/>
              </w:rPr>
              <w:t>et al</w:t>
            </w:r>
            <w:r w:rsidRPr="007A3E30">
              <w:rPr>
                <w:rFonts w:ascii="Book Antiqua" w:hAnsi="Book Antiqua"/>
                <w:sz w:val="24"/>
                <w:szCs w:val="24"/>
                <w:vertAlign w:val="superscript"/>
              </w:rPr>
              <w:t>[25]</w:t>
            </w:r>
          </w:p>
        </w:tc>
      </w:tr>
      <w:tr w:rsidR="000E444E" w:rsidRPr="007A3E30" w14:paraId="468D4C9C" w14:textId="77777777" w:rsidTr="00305DB9">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1994784C" w14:textId="77777777" w:rsidR="000E444E" w:rsidRPr="007A3E30" w:rsidRDefault="000E444E" w:rsidP="000540F1">
            <w:pPr>
              <w:pStyle w:val="Table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Thrombocytopenia</w:t>
            </w:r>
          </w:p>
        </w:tc>
        <w:tc>
          <w:tcPr>
            <w:tcW w:w="1620" w:type="dxa"/>
            <w:shd w:val="clear" w:color="auto" w:fill="auto"/>
          </w:tcPr>
          <w:p w14:paraId="6FD7AE2F" w14:textId="77777777"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eastAsia="zh-CN"/>
              </w:rPr>
            </w:pPr>
            <w:r w:rsidRPr="007A3E30">
              <w:rPr>
                <w:rFonts w:ascii="Book Antiqua" w:hAnsi="Book Antiqua"/>
                <w:sz w:val="24"/>
                <w:szCs w:val="24"/>
              </w:rPr>
              <w:t>0.11</w:t>
            </w:r>
            <w:r w:rsidR="00305DB9" w:rsidRPr="007A3E30">
              <w:rPr>
                <w:rFonts w:ascii="Book Antiqua" w:eastAsiaTheme="minorEastAsia" w:hAnsi="Book Antiqua"/>
                <w:sz w:val="24"/>
                <w:szCs w:val="24"/>
                <w:vertAlign w:val="superscript"/>
                <w:lang w:eastAsia="zh-CN"/>
              </w:rPr>
              <w:t>1</w:t>
            </w:r>
          </w:p>
        </w:tc>
        <w:tc>
          <w:tcPr>
            <w:tcW w:w="2430" w:type="dxa"/>
            <w:shd w:val="clear" w:color="auto" w:fill="auto"/>
          </w:tcPr>
          <w:p w14:paraId="40423237" w14:textId="5AF8B789"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 xml:space="preserve">Tolley </w:t>
            </w:r>
            <w:r w:rsidR="00305DB9" w:rsidRPr="007A3E30">
              <w:rPr>
                <w:rFonts w:ascii="Book Antiqua" w:hAnsi="Book Antiqua"/>
                <w:i/>
                <w:sz w:val="24"/>
                <w:szCs w:val="24"/>
              </w:rPr>
              <w:t>et al</w:t>
            </w:r>
            <w:r w:rsidRPr="007A3E30">
              <w:rPr>
                <w:rFonts w:ascii="Book Antiqua" w:hAnsi="Book Antiqua"/>
                <w:sz w:val="24"/>
                <w:szCs w:val="24"/>
                <w:vertAlign w:val="superscript"/>
              </w:rPr>
              <w:t>[26]</w:t>
            </w:r>
          </w:p>
        </w:tc>
      </w:tr>
      <w:tr w:rsidR="000E444E" w:rsidRPr="007A3E30" w14:paraId="1CDBAE48" w14:textId="77777777" w:rsidTr="00305DB9">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35C0D457" w14:textId="77777777" w:rsidR="000E444E" w:rsidRPr="007A3E30" w:rsidRDefault="000E444E" w:rsidP="000540F1">
            <w:pPr>
              <w:pStyle w:val="Table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Lymphopenia</w:t>
            </w:r>
          </w:p>
        </w:tc>
        <w:tc>
          <w:tcPr>
            <w:tcW w:w="1620" w:type="dxa"/>
            <w:shd w:val="clear" w:color="auto" w:fill="auto"/>
          </w:tcPr>
          <w:p w14:paraId="419ED503" w14:textId="77777777"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eastAsia="zh-CN"/>
              </w:rPr>
            </w:pPr>
            <w:r w:rsidRPr="007A3E30">
              <w:rPr>
                <w:rFonts w:ascii="Book Antiqua" w:hAnsi="Book Antiqua"/>
                <w:sz w:val="24"/>
                <w:szCs w:val="24"/>
              </w:rPr>
              <w:t>0.11</w:t>
            </w:r>
            <w:r w:rsidR="00305DB9" w:rsidRPr="007A3E30">
              <w:rPr>
                <w:rFonts w:ascii="Book Antiqua" w:eastAsiaTheme="minorEastAsia" w:hAnsi="Book Antiqua"/>
                <w:sz w:val="24"/>
                <w:szCs w:val="24"/>
                <w:vertAlign w:val="superscript"/>
                <w:lang w:eastAsia="zh-CN"/>
              </w:rPr>
              <w:t>1</w:t>
            </w:r>
          </w:p>
        </w:tc>
        <w:tc>
          <w:tcPr>
            <w:tcW w:w="2430" w:type="dxa"/>
            <w:shd w:val="clear" w:color="auto" w:fill="auto"/>
          </w:tcPr>
          <w:p w14:paraId="055EB1E7" w14:textId="77777777"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eastAsia="zh-CN"/>
              </w:rPr>
            </w:pPr>
            <w:r w:rsidRPr="007A3E30">
              <w:rPr>
                <w:rFonts w:ascii="Book Antiqua" w:hAnsi="Book Antiqua"/>
                <w:sz w:val="24"/>
                <w:szCs w:val="24"/>
              </w:rPr>
              <w:t>Assumed</w:t>
            </w:r>
            <w:r w:rsidR="00305DB9" w:rsidRPr="007A3E30">
              <w:rPr>
                <w:rFonts w:ascii="Book Antiqua" w:eastAsiaTheme="minorEastAsia" w:hAnsi="Book Antiqua"/>
                <w:sz w:val="24"/>
                <w:szCs w:val="24"/>
                <w:vertAlign w:val="superscript"/>
                <w:lang w:eastAsia="zh-CN"/>
              </w:rPr>
              <w:t>2</w:t>
            </w:r>
          </w:p>
        </w:tc>
      </w:tr>
      <w:tr w:rsidR="000E444E" w:rsidRPr="007A3E30" w14:paraId="00AD9C63" w14:textId="77777777" w:rsidTr="00305DB9">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32B9BEF3" w14:textId="77777777" w:rsidR="000E444E" w:rsidRPr="007A3E30" w:rsidRDefault="000E444E" w:rsidP="000540F1">
            <w:pPr>
              <w:pStyle w:val="Table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Leukopenia</w:t>
            </w:r>
          </w:p>
        </w:tc>
        <w:tc>
          <w:tcPr>
            <w:tcW w:w="1620" w:type="dxa"/>
            <w:shd w:val="clear" w:color="auto" w:fill="auto"/>
          </w:tcPr>
          <w:p w14:paraId="1ADF2BFF" w14:textId="77777777"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eastAsia="zh-CN"/>
              </w:rPr>
            </w:pPr>
            <w:r w:rsidRPr="007A3E30">
              <w:rPr>
                <w:rFonts w:ascii="Book Antiqua" w:hAnsi="Book Antiqua"/>
                <w:sz w:val="24"/>
                <w:szCs w:val="24"/>
              </w:rPr>
              <w:t>0.11</w:t>
            </w:r>
            <w:r w:rsidR="00305DB9" w:rsidRPr="007A3E30">
              <w:rPr>
                <w:rFonts w:ascii="Book Antiqua" w:eastAsiaTheme="minorEastAsia" w:hAnsi="Book Antiqua"/>
                <w:sz w:val="24"/>
                <w:szCs w:val="24"/>
                <w:vertAlign w:val="superscript"/>
                <w:lang w:eastAsia="zh-CN"/>
              </w:rPr>
              <w:t>1</w:t>
            </w:r>
          </w:p>
        </w:tc>
        <w:tc>
          <w:tcPr>
            <w:tcW w:w="2430" w:type="dxa"/>
            <w:shd w:val="clear" w:color="auto" w:fill="auto"/>
          </w:tcPr>
          <w:p w14:paraId="7EA7A68E" w14:textId="77777777"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eastAsia="zh-CN"/>
              </w:rPr>
            </w:pPr>
            <w:r w:rsidRPr="007A3E30">
              <w:rPr>
                <w:rFonts w:ascii="Book Antiqua" w:hAnsi="Book Antiqua"/>
                <w:sz w:val="24"/>
                <w:szCs w:val="24"/>
              </w:rPr>
              <w:t>Assumed</w:t>
            </w:r>
            <w:r w:rsidR="00305DB9" w:rsidRPr="007A3E30">
              <w:rPr>
                <w:rFonts w:ascii="Book Antiqua" w:eastAsiaTheme="minorEastAsia" w:hAnsi="Book Antiqua"/>
                <w:sz w:val="24"/>
                <w:szCs w:val="24"/>
                <w:vertAlign w:val="superscript"/>
                <w:lang w:eastAsia="zh-CN"/>
              </w:rPr>
              <w:t>2</w:t>
            </w:r>
          </w:p>
        </w:tc>
      </w:tr>
      <w:tr w:rsidR="000E444E" w:rsidRPr="007A3E30" w14:paraId="5FDF736F" w14:textId="77777777" w:rsidTr="00305DB9">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1F552CC0" w14:textId="77777777" w:rsidR="000E444E" w:rsidRPr="007A3E30" w:rsidRDefault="000E444E" w:rsidP="000540F1">
            <w:pPr>
              <w:pStyle w:val="Table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Stomatitis</w:t>
            </w:r>
          </w:p>
        </w:tc>
        <w:tc>
          <w:tcPr>
            <w:tcW w:w="1620" w:type="dxa"/>
            <w:shd w:val="clear" w:color="auto" w:fill="auto"/>
          </w:tcPr>
          <w:p w14:paraId="21A290BA" w14:textId="77777777"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eastAsia="zh-CN"/>
              </w:rPr>
            </w:pPr>
            <w:r w:rsidRPr="007A3E30">
              <w:rPr>
                <w:rFonts w:ascii="Book Antiqua" w:hAnsi="Book Antiqua"/>
                <w:sz w:val="24"/>
                <w:szCs w:val="24"/>
              </w:rPr>
              <w:t>0.11</w:t>
            </w:r>
            <w:r w:rsidR="00305DB9" w:rsidRPr="007A3E30">
              <w:rPr>
                <w:rFonts w:ascii="Book Antiqua" w:eastAsiaTheme="minorEastAsia" w:hAnsi="Book Antiqua"/>
                <w:sz w:val="24"/>
                <w:szCs w:val="24"/>
                <w:vertAlign w:val="superscript"/>
                <w:lang w:eastAsia="zh-CN"/>
              </w:rPr>
              <w:t>1</w:t>
            </w:r>
          </w:p>
        </w:tc>
        <w:tc>
          <w:tcPr>
            <w:tcW w:w="2430" w:type="dxa"/>
            <w:shd w:val="clear" w:color="auto" w:fill="auto"/>
          </w:tcPr>
          <w:p w14:paraId="7496FFC7" w14:textId="77777777"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eastAsia="zh-CN"/>
              </w:rPr>
            </w:pPr>
            <w:r w:rsidRPr="007A3E30">
              <w:rPr>
                <w:rFonts w:ascii="Book Antiqua" w:hAnsi="Book Antiqua"/>
                <w:sz w:val="24"/>
                <w:szCs w:val="24"/>
              </w:rPr>
              <w:t>Assumed</w:t>
            </w:r>
            <w:r w:rsidR="00305DB9" w:rsidRPr="007A3E30">
              <w:rPr>
                <w:rFonts w:ascii="Book Antiqua" w:eastAsiaTheme="minorEastAsia" w:hAnsi="Book Antiqua"/>
                <w:sz w:val="24"/>
                <w:szCs w:val="24"/>
                <w:vertAlign w:val="superscript"/>
                <w:lang w:eastAsia="zh-CN"/>
              </w:rPr>
              <w:t>2</w:t>
            </w:r>
          </w:p>
        </w:tc>
      </w:tr>
      <w:tr w:rsidR="000E444E" w:rsidRPr="007A3E30" w14:paraId="30C859D6" w14:textId="77777777" w:rsidTr="00305DB9">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1A5C4E68" w14:textId="77777777" w:rsidR="000E444E" w:rsidRPr="007A3E30" w:rsidRDefault="000E444E" w:rsidP="000540F1">
            <w:pPr>
              <w:pStyle w:val="Table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Fatigue</w:t>
            </w:r>
          </w:p>
        </w:tc>
        <w:tc>
          <w:tcPr>
            <w:tcW w:w="1620" w:type="dxa"/>
            <w:shd w:val="clear" w:color="auto" w:fill="auto"/>
          </w:tcPr>
          <w:p w14:paraId="6238A087" w14:textId="77777777"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eastAsia="zh-CN"/>
              </w:rPr>
            </w:pPr>
            <w:r w:rsidRPr="007A3E30">
              <w:rPr>
                <w:rFonts w:ascii="Book Antiqua" w:hAnsi="Book Antiqua"/>
                <w:sz w:val="24"/>
                <w:szCs w:val="24"/>
              </w:rPr>
              <w:t>0.20</w:t>
            </w:r>
            <w:r w:rsidR="00305DB9" w:rsidRPr="007A3E30">
              <w:rPr>
                <w:rFonts w:ascii="Book Antiqua" w:eastAsiaTheme="minorEastAsia" w:hAnsi="Book Antiqua"/>
                <w:sz w:val="24"/>
                <w:szCs w:val="24"/>
                <w:vertAlign w:val="superscript"/>
                <w:lang w:eastAsia="zh-CN"/>
              </w:rPr>
              <w:t>1</w:t>
            </w:r>
          </w:p>
        </w:tc>
        <w:tc>
          <w:tcPr>
            <w:tcW w:w="2430" w:type="dxa"/>
            <w:shd w:val="clear" w:color="auto" w:fill="auto"/>
          </w:tcPr>
          <w:p w14:paraId="31735673" w14:textId="7D6B1C45"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 xml:space="preserve">Swinburn </w:t>
            </w:r>
            <w:r w:rsidR="00305DB9" w:rsidRPr="007A3E30">
              <w:rPr>
                <w:rFonts w:ascii="Book Antiqua" w:hAnsi="Book Antiqua"/>
                <w:i/>
                <w:sz w:val="24"/>
                <w:szCs w:val="24"/>
              </w:rPr>
              <w:t>et al</w:t>
            </w:r>
            <w:r w:rsidRPr="007A3E30">
              <w:rPr>
                <w:rFonts w:ascii="Book Antiqua" w:hAnsi="Book Antiqua"/>
                <w:sz w:val="24"/>
                <w:szCs w:val="24"/>
                <w:vertAlign w:val="superscript"/>
              </w:rPr>
              <w:t>[27]</w:t>
            </w:r>
          </w:p>
        </w:tc>
      </w:tr>
      <w:tr w:rsidR="000E444E" w:rsidRPr="007A3E30" w14:paraId="466AF851" w14:textId="77777777" w:rsidTr="00305DB9">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112B3B57" w14:textId="77777777" w:rsidR="000E444E" w:rsidRPr="007A3E30" w:rsidRDefault="000E444E" w:rsidP="000540F1">
            <w:pPr>
              <w:pStyle w:val="Table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Infections</w:t>
            </w:r>
          </w:p>
        </w:tc>
        <w:tc>
          <w:tcPr>
            <w:tcW w:w="1620" w:type="dxa"/>
            <w:shd w:val="clear" w:color="auto" w:fill="auto"/>
          </w:tcPr>
          <w:p w14:paraId="42902EDB" w14:textId="77777777"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eastAsia="zh-CN"/>
              </w:rPr>
            </w:pPr>
            <w:r w:rsidRPr="007A3E30">
              <w:rPr>
                <w:rFonts w:ascii="Book Antiqua" w:hAnsi="Book Antiqua"/>
                <w:sz w:val="24"/>
                <w:szCs w:val="24"/>
              </w:rPr>
              <w:t>0.11</w:t>
            </w:r>
            <w:r w:rsidR="00305DB9" w:rsidRPr="007A3E30">
              <w:rPr>
                <w:rFonts w:ascii="Book Antiqua" w:eastAsiaTheme="minorEastAsia" w:hAnsi="Book Antiqua"/>
                <w:sz w:val="24"/>
                <w:szCs w:val="24"/>
                <w:vertAlign w:val="superscript"/>
                <w:lang w:eastAsia="zh-CN"/>
              </w:rPr>
              <w:t>1</w:t>
            </w:r>
          </w:p>
        </w:tc>
        <w:tc>
          <w:tcPr>
            <w:tcW w:w="2430" w:type="dxa"/>
            <w:shd w:val="clear" w:color="auto" w:fill="auto"/>
          </w:tcPr>
          <w:p w14:paraId="30624E84" w14:textId="77777777"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eastAsia="zh-CN"/>
              </w:rPr>
            </w:pPr>
            <w:r w:rsidRPr="007A3E30">
              <w:rPr>
                <w:rFonts w:ascii="Book Antiqua" w:hAnsi="Book Antiqua"/>
                <w:sz w:val="24"/>
                <w:szCs w:val="24"/>
              </w:rPr>
              <w:t>Assumed</w:t>
            </w:r>
            <w:r w:rsidR="00305DB9" w:rsidRPr="007A3E30">
              <w:rPr>
                <w:rFonts w:ascii="Book Antiqua" w:eastAsiaTheme="minorEastAsia" w:hAnsi="Book Antiqua"/>
                <w:sz w:val="24"/>
                <w:szCs w:val="24"/>
                <w:vertAlign w:val="superscript"/>
                <w:lang w:eastAsia="zh-CN"/>
              </w:rPr>
              <w:t>2</w:t>
            </w:r>
          </w:p>
        </w:tc>
      </w:tr>
      <w:tr w:rsidR="000E444E" w:rsidRPr="007A3E30" w14:paraId="3CA12C16" w14:textId="77777777" w:rsidTr="00305DB9">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10C51784" w14:textId="77777777" w:rsidR="000E444E" w:rsidRPr="007A3E30" w:rsidRDefault="000E444E" w:rsidP="000540F1">
            <w:pPr>
              <w:pStyle w:val="Table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Asthenia</w:t>
            </w:r>
          </w:p>
        </w:tc>
        <w:tc>
          <w:tcPr>
            <w:tcW w:w="1620" w:type="dxa"/>
            <w:shd w:val="clear" w:color="auto" w:fill="auto"/>
          </w:tcPr>
          <w:p w14:paraId="7423DF7E" w14:textId="77777777"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eastAsia="zh-CN"/>
              </w:rPr>
            </w:pPr>
            <w:r w:rsidRPr="007A3E30">
              <w:rPr>
                <w:rFonts w:ascii="Book Antiqua" w:hAnsi="Book Antiqua"/>
                <w:sz w:val="24"/>
                <w:szCs w:val="24"/>
              </w:rPr>
              <w:t>0.20</w:t>
            </w:r>
            <w:r w:rsidR="00305DB9" w:rsidRPr="007A3E30">
              <w:rPr>
                <w:rFonts w:ascii="Book Antiqua" w:eastAsiaTheme="minorEastAsia" w:hAnsi="Book Antiqua"/>
                <w:sz w:val="24"/>
                <w:szCs w:val="24"/>
                <w:vertAlign w:val="superscript"/>
                <w:lang w:eastAsia="zh-CN"/>
              </w:rPr>
              <w:t>1</w:t>
            </w:r>
          </w:p>
        </w:tc>
        <w:tc>
          <w:tcPr>
            <w:tcW w:w="2430" w:type="dxa"/>
            <w:shd w:val="clear" w:color="auto" w:fill="auto"/>
          </w:tcPr>
          <w:p w14:paraId="1F41DBFD" w14:textId="77777777"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eastAsia="zh-CN"/>
              </w:rPr>
            </w:pPr>
            <w:r w:rsidRPr="007A3E30">
              <w:rPr>
                <w:rFonts w:ascii="Book Antiqua" w:hAnsi="Book Antiqua"/>
                <w:sz w:val="24"/>
                <w:szCs w:val="24"/>
              </w:rPr>
              <w:t>Assumed</w:t>
            </w:r>
            <w:r w:rsidR="00305DB9" w:rsidRPr="007A3E30">
              <w:rPr>
                <w:rFonts w:ascii="Book Antiqua" w:eastAsiaTheme="minorEastAsia" w:hAnsi="Book Antiqua"/>
                <w:sz w:val="24"/>
                <w:szCs w:val="24"/>
                <w:vertAlign w:val="superscript"/>
                <w:lang w:eastAsia="zh-CN"/>
              </w:rPr>
              <w:t>3</w:t>
            </w:r>
          </w:p>
        </w:tc>
      </w:tr>
      <w:tr w:rsidR="000E444E" w:rsidRPr="007A3E30" w14:paraId="6422030B" w14:textId="77777777" w:rsidTr="00305DB9">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0E252428" w14:textId="77777777" w:rsidR="000E444E" w:rsidRPr="007A3E30" w:rsidRDefault="000E444E" w:rsidP="000540F1">
            <w:pPr>
              <w:pStyle w:val="Table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Anemia</w:t>
            </w:r>
          </w:p>
        </w:tc>
        <w:tc>
          <w:tcPr>
            <w:tcW w:w="1620" w:type="dxa"/>
            <w:shd w:val="clear" w:color="auto" w:fill="auto"/>
          </w:tcPr>
          <w:p w14:paraId="41E8D60B" w14:textId="77777777"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eastAsia="zh-CN"/>
              </w:rPr>
            </w:pPr>
            <w:r w:rsidRPr="007A3E30">
              <w:rPr>
                <w:rFonts w:ascii="Book Antiqua" w:hAnsi="Book Antiqua"/>
                <w:sz w:val="24"/>
                <w:szCs w:val="24"/>
              </w:rPr>
              <w:t>0.12</w:t>
            </w:r>
            <w:r w:rsidR="00305DB9" w:rsidRPr="007A3E30">
              <w:rPr>
                <w:rFonts w:ascii="Book Antiqua" w:eastAsiaTheme="minorEastAsia" w:hAnsi="Book Antiqua"/>
                <w:sz w:val="24"/>
                <w:szCs w:val="24"/>
                <w:vertAlign w:val="superscript"/>
                <w:lang w:eastAsia="zh-CN"/>
              </w:rPr>
              <w:t>1</w:t>
            </w:r>
          </w:p>
        </w:tc>
        <w:tc>
          <w:tcPr>
            <w:tcW w:w="2430" w:type="dxa"/>
            <w:shd w:val="clear" w:color="auto" w:fill="auto"/>
          </w:tcPr>
          <w:p w14:paraId="1C6830BA" w14:textId="39E1D35C"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 xml:space="preserve">Swinburn </w:t>
            </w:r>
            <w:r w:rsidR="00305DB9" w:rsidRPr="007A3E30">
              <w:rPr>
                <w:rFonts w:ascii="Book Antiqua" w:hAnsi="Book Antiqua"/>
                <w:i/>
                <w:sz w:val="24"/>
                <w:szCs w:val="24"/>
              </w:rPr>
              <w:t>et al</w:t>
            </w:r>
            <w:r w:rsidRPr="007A3E30">
              <w:rPr>
                <w:rFonts w:ascii="Book Antiqua" w:hAnsi="Book Antiqua"/>
                <w:sz w:val="24"/>
                <w:szCs w:val="24"/>
                <w:vertAlign w:val="superscript"/>
              </w:rPr>
              <w:t>[27]</w:t>
            </w:r>
          </w:p>
        </w:tc>
      </w:tr>
      <w:tr w:rsidR="000E444E" w:rsidRPr="007A3E30" w14:paraId="16D29F7F" w14:textId="77777777" w:rsidTr="00305DB9">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07DBB509" w14:textId="77777777" w:rsidR="000E444E" w:rsidRPr="007A3E30" w:rsidRDefault="000E444E" w:rsidP="000540F1">
            <w:pPr>
              <w:pStyle w:val="Table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Pyrexia</w:t>
            </w:r>
          </w:p>
        </w:tc>
        <w:tc>
          <w:tcPr>
            <w:tcW w:w="1620" w:type="dxa"/>
            <w:shd w:val="clear" w:color="auto" w:fill="auto"/>
          </w:tcPr>
          <w:p w14:paraId="12BCCD4C" w14:textId="77777777"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eastAsia="zh-CN"/>
              </w:rPr>
            </w:pPr>
            <w:r w:rsidRPr="007A3E30">
              <w:rPr>
                <w:rFonts w:ascii="Book Antiqua" w:hAnsi="Book Antiqua"/>
                <w:sz w:val="24"/>
                <w:szCs w:val="24"/>
              </w:rPr>
              <w:t>0.11</w:t>
            </w:r>
            <w:r w:rsidR="00305DB9" w:rsidRPr="007A3E30">
              <w:rPr>
                <w:rFonts w:ascii="Book Antiqua" w:eastAsiaTheme="minorEastAsia" w:hAnsi="Book Antiqua"/>
                <w:sz w:val="24"/>
                <w:szCs w:val="24"/>
                <w:vertAlign w:val="superscript"/>
                <w:lang w:eastAsia="zh-CN"/>
              </w:rPr>
              <w:t>1</w:t>
            </w:r>
          </w:p>
        </w:tc>
        <w:tc>
          <w:tcPr>
            <w:tcW w:w="2430" w:type="dxa"/>
            <w:shd w:val="clear" w:color="auto" w:fill="auto"/>
          </w:tcPr>
          <w:p w14:paraId="701CAAD5" w14:textId="77777777"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eastAsia="zh-CN"/>
              </w:rPr>
            </w:pPr>
            <w:r w:rsidRPr="007A3E30">
              <w:rPr>
                <w:rFonts w:ascii="Book Antiqua" w:hAnsi="Book Antiqua"/>
                <w:sz w:val="24"/>
                <w:szCs w:val="24"/>
              </w:rPr>
              <w:t>Assumed</w:t>
            </w:r>
            <w:r w:rsidR="00305DB9" w:rsidRPr="007A3E30">
              <w:rPr>
                <w:rFonts w:ascii="Book Antiqua" w:eastAsiaTheme="minorEastAsia" w:hAnsi="Book Antiqua"/>
                <w:sz w:val="24"/>
                <w:szCs w:val="24"/>
                <w:vertAlign w:val="superscript"/>
                <w:lang w:eastAsia="zh-CN"/>
              </w:rPr>
              <w:t>2</w:t>
            </w:r>
          </w:p>
        </w:tc>
      </w:tr>
      <w:tr w:rsidR="000E444E" w:rsidRPr="007A3E30" w14:paraId="20791F2D" w14:textId="77777777" w:rsidTr="00305DB9">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293D9731" w14:textId="77777777" w:rsidR="000E444E" w:rsidRPr="007A3E30" w:rsidRDefault="000E444E" w:rsidP="000540F1">
            <w:pPr>
              <w:pStyle w:val="Table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Hyperglycemia</w:t>
            </w:r>
          </w:p>
        </w:tc>
        <w:tc>
          <w:tcPr>
            <w:tcW w:w="1620" w:type="dxa"/>
            <w:shd w:val="clear" w:color="auto" w:fill="auto"/>
          </w:tcPr>
          <w:p w14:paraId="3ADDF44A" w14:textId="77777777"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eastAsia="zh-CN"/>
              </w:rPr>
            </w:pPr>
            <w:r w:rsidRPr="007A3E30">
              <w:rPr>
                <w:rFonts w:ascii="Book Antiqua" w:hAnsi="Book Antiqua"/>
                <w:sz w:val="24"/>
                <w:szCs w:val="24"/>
              </w:rPr>
              <w:t>0.11</w:t>
            </w:r>
            <w:r w:rsidR="00305DB9" w:rsidRPr="007A3E30">
              <w:rPr>
                <w:rFonts w:ascii="Book Antiqua" w:eastAsiaTheme="minorEastAsia" w:hAnsi="Book Antiqua"/>
                <w:sz w:val="24"/>
                <w:szCs w:val="24"/>
                <w:vertAlign w:val="superscript"/>
                <w:lang w:eastAsia="zh-CN"/>
              </w:rPr>
              <w:t>1</w:t>
            </w:r>
          </w:p>
        </w:tc>
        <w:tc>
          <w:tcPr>
            <w:tcW w:w="2430" w:type="dxa"/>
            <w:shd w:val="clear" w:color="auto" w:fill="auto"/>
          </w:tcPr>
          <w:p w14:paraId="6FF18B47" w14:textId="77777777"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eastAsia="zh-CN"/>
              </w:rPr>
            </w:pPr>
            <w:r w:rsidRPr="007A3E30">
              <w:rPr>
                <w:rFonts w:ascii="Book Antiqua" w:hAnsi="Book Antiqua"/>
                <w:sz w:val="24"/>
                <w:szCs w:val="24"/>
              </w:rPr>
              <w:t>Assumed</w:t>
            </w:r>
            <w:r w:rsidR="00305DB9" w:rsidRPr="007A3E30">
              <w:rPr>
                <w:rFonts w:ascii="Book Antiqua" w:eastAsiaTheme="minorEastAsia" w:hAnsi="Book Antiqua"/>
                <w:sz w:val="24"/>
                <w:szCs w:val="24"/>
                <w:vertAlign w:val="superscript"/>
                <w:lang w:eastAsia="zh-CN"/>
              </w:rPr>
              <w:t>2</w:t>
            </w:r>
          </w:p>
        </w:tc>
      </w:tr>
      <w:tr w:rsidR="000E444E" w:rsidRPr="007A3E30" w14:paraId="55A39210" w14:textId="77777777" w:rsidTr="00305DB9">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61ADC8E7" w14:textId="77777777" w:rsidR="000E444E" w:rsidRPr="007A3E30" w:rsidRDefault="000E444E" w:rsidP="000540F1">
            <w:pPr>
              <w:pStyle w:val="Table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Neutropenia</w:t>
            </w:r>
          </w:p>
        </w:tc>
        <w:tc>
          <w:tcPr>
            <w:tcW w:w="1620" w:type="dxa"/>
            <w:shd w:val="clear" w:color="auto" w:fill="auto"/>
          </w:tcPr>
          <w:p w14:paraId="630131AA" w14:textId="77777777"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0.09</w:t>
            </w:r>
            <w:r w:rsidRPr="007A3E30">
              <w:rPr>
                <w:rFonts w:ascii="Book Antiqua" w:hAnsi="Book Antiqua"/>
                <w:sz w:val="24"/>
                <w:szCs w:val="24"/>
                <w:vertAlign w:val="superscript"/>
              </w:rPr>
              <w:t>a</w:t>
            </w:r>
          </w:p>
        </w:tc>
        <w:tc>
          <w:tcPr>
            <w:tcW w:w="2430" w:type="dxa"/>
            <w:shd w:val="clear" w:color="auto" w:fill="auto"/>
          </w:tcPr>
          <w:p w14:paraId="3FDB283D" w14:textId="0D1FF920"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 xml:space="preserve">Nafees </w:t>
            </w:r>
            <w:r w:rsidR="00305DB9" w:rsidRPr="007A3E30">
              <w:rPr>
                <w:rFonts w:ascii="Book Antiqua" w:hAnsi="Book Antiqua"/>
                <w:i/>
                <w:sz w:val="24"/>
                <w:szCs w:val="24"/>
              </w:rPr>
              <w:t>et al</w:t>
            </w:r>
            <w:r w:rsidRPr="007A3E30">
              <w:rPr>
                <w:rFonts w:ascii="Book Antiqua" w:hAnsi="Book Antiqua"/>
                <w:sz w:val="24"/>
                <w:szCs w:val="24"/>
                <w:vertAlign w:val="superscript"/>
              </w:rPr>
              <w:t>[24]</w:t>
            </w:r>
          </w:p>
        </w:tc>
      </w:tr>
      <w:tr w:rsidR="000E444E" w:rsidRPr="007A3E30" w14:paraId="40EBE6D9" w14:textId="77777777" w:rsidTr="00305DB9">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7F274AD9" w14:textId="77777777" w:rsidR="000E444E" w:rsidRPr="007A3E30" w:rsidRDefault="000E444E" w:rsidP="000540F1">
            <w:pPr>
              <w:pStyle w:val="Table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Hypertension</w:t>
            </w:r>
          </w:p>
        </w:tc>
        <w:tc>
          <w:tcPr>
            <w:tcW w:w="1620" w:type="dxa"/>
            <w:shd w:val="clear" w:color="auto" w:fill="auto"/>
          </w:tcPr>
          <w:p w14:paraId="216F5B46" w14:textId="77777777"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eastAsia="zh-CN"/>
              </w:rPr>
            </w:pPr>
            <w:r w:rsidRPr="007A3E30">
              <w:rPr>
                <w:rFonts w:ascii="Book Antiqua" w:hAnsi="Book Antiqua"/>
                <w:sz w:val="24"/>
                <w:szCs w:val="24"/>
              </w:rPr>
              <w:t>0.11</w:t>
            </w:r>
            <w:r w:rsidR="00305DB9" w:rsidRPr="007A3E30">
              <w:rPr>
                <w:rFonts w:ascii="Book Antiqua" w:eastAsiaTheme="minorEastAsia" w:hAnsi="Book Antiqua"/>
                <w:sz w:val="24"/>
                <w:szCs w:val="24"/>
                <w:vertAlign w:val="superscript"/>
                <w:lang w:eastAsia="zh-CN"/>
              </w:rPr>
              <w:t>1</w:t>
            </w:r>
          </w:p>
        </w:tc>
        <w:tc>
          <w:tcPr>
            <w:tcW w:w="2430" w:type="dxa"/>
            <w:shd w:val="clear" w:color="auto" w:fill="auto"/>
          </w:tcPr>
          <w:p w14:paraId="480D4A65" w14:textId="77777777"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eastAsia="zh-CN"/>
              </w:rPr>
            </w:pPr>
            <w:r w:rsidRPr="007A3E30">
              <w:rPr>
                <w:rFonts w:ascii="Book Antiqua" w:hAnsi="Book Antiqua"/>
                <w:sz w:val="24"/>
                <w:szCs w:val="24"/>
              </w:rPr>
              <w:t>Assumed</w:t>
            </w:r>
            <w:r w:rsidR="00305DB9" w:rsidRPr="007A3E30">
              <w:rPr>
                <w:rFonts w:ascii="Book Antiqua" w:eastAsiaTheme="minorEastAsia" w:hAnsi="Book Antiqua"/>
                <w:sz w:val="24"/>
                <w:szCs w:val="24"/>
                <w:vertAlign w:val="superscript"/>
                <w:lang w:eastAsia="zh-CN"/>
              </w:rPr>
              <w:t>2</w:t>
            </w:r>
          </w:p>
        </w:tc>
      </w:tr>
      <w:tr w:rsidR="000E444E" w:rsidRPr="007A3E30" w14:paraId="3C2B15C3" w14:textId="77777777" w:rsidTr="00305DB9">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3503EAB9" w14:textId="77777777" w:rsidR="000E444E" w:rsidRPr="007A3E30" w:rsidRDefault="000E444E" w:rsidP="000540F1">
            <w:pPr>
              <w:pStyle w:val="Table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Musculoskeletal pain</w:t>
            </w:r>
          </w:p>
        </w:tc>
        <w:tc>
          <w:tcPr>
            <w:tcW w:w="1620" w:type="dxa"/>
            <w:shd w:val="clear" w:color="auto" w:fill="auto"/>
          </w:tcPr>
          <w:p w14:paraId="72509784" w14:textId="77777777"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eastAsia="zh-CN"/>
              </w:rPr>
            </w:pPr>
            <w:r w:rsidRPr="007A3E30">
              <w:rPr>
                <w:rFonts w:ascii="Book Antiqua" w:hAnsi="Book Antiqua"/>
                <w:sz w:val="24"/>
                <w:szCs w:val="24"/>
              </w:rPr>
              <w:t>0.11</w:t>
            </w:r>
            <w:r w:rsidR="00305DB9" w:rsidRPr="007A3E30">
              <w:rPr>
                <w:rFonts w:ascii="Book Antiqua" w:eastAsiaTheme="minorEastAsia" w:hAnsi="Book Antiqua"/>
                <w:sz w:val="24"/>
                <w:szCs w:val="24"/>
                <w:vertAlign w:val="superscript"/>
                <w:lang w:eastAsia="zh-CN"/>
              </w:rPr>
              <w:t>1</w:t>
            </w:r>
          </w:p>
        </w:tc>
        <w:tc>
          <w:tcPr>
            <w:tcW w:w="2430" w:type="dxa"/>
            <w:shd w:val="clear" w:color="auto" w:fill="auto"/>
          </w:tcPr>
          <w:p w14:paraId="18D19AC4" w14:textId="77777777"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eastAsia="zh-CN"/>
              </w:rPr>
            </w:pPr>
            <w:r w:rsidRPr="007A3E30">
              <w:rPr>
                <w:rFonts w:ascii="Book Antiqua" w:hAnsi="Book Antiqua"/>
                <w:sz w:val="24"/>
                <w:szCs w:val="24"/>
              </w:rPr>
              <w:t>Assumed</w:t>
            </w:r>
            <w:r w:rsidR="00305DB9" w:rsidRPr="007A3E30">
              <w:rPr>
                <w:rFonts w:ascii="Book Antiqua" w:eastAsiaTheme="minorEastAsia" w:hAnsi="Book Antiqua"/>
                <w:sz w:val="24"/>
                <w:szCs w:val="24"/>
                <w:vertAlign w:val="superscript"/>
                <w:lang w:eastAsia="zh-CN"/>
              </w:rPr>
              <w:t>2</w:t>
            </w:r>
          </w:p>
        </w:tc>
      </w:tr>
      <w:tr w:rsidR="000E444E" w:rsidRPr="007A3E30" w14:paraId="3254F2E2" w14:textId="77777777" w:rsidTr="00305DB9">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5BEEBB65" w14:textId="77777777" w:rsidR="000E444E" w:rsidRPr="007A3E30" w:rsidRDefault="000E444E" w:rsidP="000540F1">
            <w:pPr>
              <w:pStyle w:val="Table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Flushing</w:t>
            </w:r>
          </w:p>
        </w:tc>
        <w:tc>
          <w:tcPr>
            <w:tcW w:w="1620" w:type="dxa"/>
            <w:shd w:val="clear" w:color="auto" w:fill="auto"/>
          </w:tcPr>
          <w:p w14:paraId="7097FE8F" w14:textId="77777777"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eastAsia="zh-CN"/>
              </w:rPr>
            </w:pPr>
            <w:r w:rsidRPr="007A3E30">
              <w:rPr>
                <w:rFonts w:ascii="Book Antiqua" w:hAnsi="Book Antiqua"/>
                <w:sz w:val="24"/>
                <w:szCs w:val="24"/>
              </w:rPr>
              <w:t>0.11</w:t>
            </w:r>
            <w:r w:rsidR="00305DB9" w:rsidRPr="007A3E30">
              <w:rPr>
                <w:rFonts w:ascii="Book Antiqua" w:eastAsiaTheme="minorEastAsia" w:hAnsi="Book Antiqua"/>
                <w:sz w:val="24"/>
                <w:szCs w:val="24"/>
                <w:vertAlign w:val="superscript"/>
                <w:lang w:eastAsia="zh-CN"/>
              </w:rPr>
              <w:t>1</w:t>
            </w:r>
          </w:p>
        </w:tc>
        <w:tc>
          <w:tcPr>
            <w:tcW w:w="2430" w:type="dxa"/>
            <w:shd w:val="clear" w:color="auto" w:fill="auto"/>
          </w:tcPr>
          <w:p w14:paraId="120DB13C" w14:textId="77777777"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eastAsia="zh-CN"/>
              </w:rPr>
            </w:pPr>
            <w:r w:rsidRPr="007A3E30">
              <w:rPr>
                <w:rFonts w:ascii="Book Antiqua" w:hAnsi="Book Antiqua"/>
                <w:sz w:val="24"/>
                <w:szCs w:val="24"/>
              </w:rPr>
              <w:t>Assumed</w:t>
            </w:r>
            <w:r w:rsidR="00305DB9" w:rsidRPr="007A3E30">
              <w:rPr>
                <w:rFonts w:ascii="Book Antiqua" w:eastAsiaTheme="minorEastAsia" w:hAnsi="Book Antiqua"/>
                <w:sz w:val="24"/>
                <w:szCs w:val="24"/>
                <w:vertAlign w:val="superscript"/>
                <w:lang w:eastAsia="zh-CN"/>
              </w:rPr>
              <w:t>2</w:t>
            </w:r>
          </w:p>
        </w:tc>
      </w:tr>
      <w:tr w:rsidR="000E444E" w:rsidRPr="007A3E30" w14:paraId="76490FA0" w14:textId="77777777" w:rsidTr="00305DB9">
        <w:tc>
          <w:tcPr>
            <w:cnfStyle w:val="001000000000" w:firstRow="0" w:lastRow="0" w:firstColumn="1" w:lastColumn="0" w:oddVBand="0" w:evenVBand="0" w:oddHBand="0" w:evenHBand="0" w:firstRowFirstColumn="0" w:firstRowLastColumn="0" w:lastRowFirstColumn="0" w:lastRowLastColumn="0"/>
            <w:tcW w:w="2700" w:type="dxa"/>
            <w:tcBorders>
              <w:bottom w:val="single" w:sz="6" w:space="0" w:color="auto"/>
            </w:tcBorders>
            <w:shd w:val="clear" w:color="auto" w:fill="auto"/>
          </w:tcPr>
          <w:p w14:paraId="7FF6A8C1" w14:textId="77777777" w:rsidR="000E444E" w:rsidRPr="007A3E30" w:rsidRDefault="000E444E" w:rsidP="000540F1">
            <w:pPr>
              <w:pStyle w:val="Table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Decreased appetite</w:t>
            </w:r>
          </w:p>
        </w:tc>
        <w:tc>
          <w:tcPr>
            <w:tcW w:w="1620" w:type="dxa"/>
            <w:tcBorders>
              <w:bottom w:val="single" w:sz="6" w:space="0" w:color="auto"/>
            </w:tcBorders>
            <w:shd w:val="clear" w:color="auto" w:fill="auto"/>
          </w:tcPr>
          <w:p w14:paraId="34B50074" w14:textId="77777777"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eastAsia="zh-CN"/>
              </w:rPr>
            </w:pPr>
            <w:r w:rsidRPr="007A3E30">
              <w:rPr>
                <w:rFonts w:ascii="Book Antiqua" w:hAnsi="Book Antiqua"/>
                <w:sz w:val="24"/>
                <w:szCs w:val="24"/>
              </w:rPr>
              <w:t>0.20</w:t>
            </w:r>
            <w:r w:rsidR="00305DB9" w:rsidRPr="007A3E30">
              <w:rPr>
                <w:rFonts w:ascii="Book Antiqua" w:eastAsiaTheme="minorEastAsia" w:hAnsi="Book Antiqua"/>
                <w:sz w:val="24"/>
                <w:szCs w:val="24"/>
                <w:vertAlign w:val="superscript"/>
                <w:lang w:eastAsia="zh-CN"/>
              </w:rPr>
              <w:t>1</w:t>
            </w:r>
          </w:p>
        </w:tc>
        <w:tc>
          <w:tcPr>
            <w:tcW w:w="2430" w:type="dxa"/>
            <w:tcBorders>
              <w:bottom w:val="single" w:sz="6" w:space="0" w:color="auto"/>
            </w:tcBorders>
            <w:shd w:val="clear" w:color="auto" w:fill="auto"/>
          </w:tcPr>
          <w:p w14:paraId="1EDF4439" w14:textId="77777777" w:rsidR="000E444E" w:rsidRPr="007A3E30" w:rsidRDefault="000E444E" w:rsidP="000540F1">
            <w:pPr>
              <w:pStyle w:val="Table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eastAsia="zh-CN"/>
              </w:rPr>
            </w:pPr>
            <w:r w:rsidRPr="007A3E30">
              <w:rPr>
                <w:rFonts w:ascii="Book Antiqua" w:hAnsi="Book Antiqua"/>
                <w:sz w:val="24"/>
                <w:szCs w:val="24"/>
              </w:rPr>
              <w:t>Assumed</w:t>
            </w:r>
            <w:r w:rsidR="00305DB9" w:rsidRPr="007A3E30">
              <w:rPr>
                <w:rFonts w:ascii="Book Antiqua" w:eastAsiaTheme="minorEastAsia" w:hAnsi="Book Antiqua"/>
                <w:sz w:val="24"/>
                <w:szCs w:val="24"/>
                <w:vertAlign w:val="superscript"/>
                <w:lang w:eastAsia="zh-CN"/>
              </w:rPr>
              <w:t>3</w:t>
            </w:r>
          </w:p>
        </w:tc>
      </w:tr>
    </w:tbl>
    <w:p w14:paraId="3B52706F" w14:textId="77777777" w:rsidR="0001290C" w:rsidRDefault="00305DB9" w:rsidP="000540F1">
      <w:pPr>
        <w:pStyle w:val="Footnote"/>
        <w:widowControl w:val="0"/>
        <w:spacing w:before="0" w:after="0" w:line="360" w:lineRule="auto"/>
        <w:jc w:val="both"/>
        <w:rPr>
          <w:rFonts w:ascii="Book Antiqua" w:hAnsi="Book Antiqua"/>
          <w:sz w:val="24"/>
          <w:szCs w:val="24"/>
          <w:lang w:eastAsia="zh-CN"/>
        </w:rPr>
      </w:pPr>
      <w:r w:rsidRPr="007A3E30">
        <w:rPr>
          <w:rFonts w:ascii="Book Antiqua" w:hAnsi="Book Antiqua"/>
          <w:sz w:val="24"/>
          <w:szCs w:val="24"/>
          <w:vertAlign w:val="superscript"/>
        </w:rPr>
        <w:t>1</w:t>
      </w:r>
      <w:r w:rsidR="000E444E" w:rsidRPr="007A3E30">
        <w:rPr>
          <w:rFonts w:ascii="Book Antiqua" w:hAnsi="Book Antiqua"/>
          <w:sz w:val="24"/>
          <w:szCs w:val="24"/>
        </w:rPr>
        <w:t>Standard error assumed to be equal to mean</w:t>
      </w:r>
      <w:r w:rsidRPr="007A3E30">
        <w:rPr>
          <w:rFonts w:ascii="Book Antiqua" w:hAnsi="Book Antiqua"/>
          <w:sz w:val="24"/>
          <w:szCs w:val="24"/>
        </w:rPr>
        <w:t xml:space="preserve">. </w:t>
      </w:r>
    </w:p>
    <w:p w14:paraId="539B6FF3" w14:textId="77777777" w:rsidR="0001290C" w:rsidRDefault="00305DB9" w:rsidP="000540F1">
      <w:pPr>
        <w:pStyle w:val="Footnote"/>
        <w:widowControl w:val="0"/>
        <w:spacing w:before="0" w:after="0" w:line="360" w:lineRule="auto"/>
        <w:jc w:val="both"/>
        <w:rPr>
          <w:rFonts w:ascii="Book Antiqua" w:hAnsi="Book Antiqua"/>
          <w:sz w:val="24"/>
          <w:szCs w:val="24"/>
          <w:lang w:eastAsia="zh-CN"/>
        </w:rPr>
      </w:pPr>
      <w:r w:rsidRPr="007A3E30">
        <w:rPr>
          <w:rFonts w:ascii="Book Antiqua" w:hAnsi="Book Antiqua"/>
          <w:sz w:val="24"/>
          <w:szCs w:val="24"/>
          <w:vertAlign w:val="superscript"/>
          <w:lang w:eastAsia="zh-CN"/>
        </w:rPr>
        <w:t>2</w:t>
      </w:r>
      <w:r w:rsidR="000E444E" w:rsidRPr="007A3E30">
        <w:rPr>
          <w:rFonts w:ascii="Book Antiqua" w:hAnsi="Book Antiqua"/>
          <w:sz w:val="24"/>
          <w:szCs w:val="24"/>
        </w:rPr>
        <w:t>Assumed</w:t>
      </w:r>
      <w:r w:rsidRPr="007A3E30">
        <w:rPr>
          <w:rFonts w:ascii="Book Antiqua" w:hAnsi="Book Antiqua"/>
          <w:sz w:val="24"/>
          <w:szCs w:val="24"/>
          <w:lang w:eastAsia="zh-CN"/>
        </w:rPr>
        <w:t xml:space="preserve">. </w:t>
      </w:r>
    </w:p>
    <w:p w14:paraId="6BE973EB" w14:textId="0D229B51" w:rsidR="000E444E" w:rsidRPr="007A3E30" w:rsidRDefault="00305DB9" w:rsidP="000540F1">
      <w:pPr>
        <w:pStyle w:val="Footnote"/>
        <w:widowControl w:val="0"/>
        <w:spacing w:before="0" w:after="0" w:line="360" w:lineRule="auto"/>
        <w:jc w:val="both"/>
        <w:rPr>
          <w:rFonts w:ascii="Book Antiqua" w:hAnsi="Book Antiqua"/>
          <w:color w:val="4F81BD" w:themeColor="accent1"/>
          <w:sz w:val="24"/>
          <w:szCs w:val="24"/>
          <w:lang w:eastAsia="zh-CN"/>
        </w:rPr>
      </w:pPr>
      <w:r w:rsidRPr="007A3E30">
        <w:rPr>
          <w:rFonts w:ascii="Book Antiqua" w:hAnsi="Book Antiqua"/>
          <w:sz w:val="24"/>
          <w:szCs w:val="24"/>
          <w:vertAlign w:val="superscript"/>
          <w:lang w:eastAsia="zh-CN"/>
        </w:rPr>
        <w:t>3</w:t>
      </w:r>
      <w:r w:rsidR="000E444E" w:rsidRPr="007A3E30">
        <w:rPr>
          <w:rFonts w:ascii="Book Antiqua" w:hAnsi="Book Antiqua"/>
          <w:sz w:val="24"/>
          <w:szCs w:val="24"/>
        </w:rPr>
        <w:t>Assumed to be equal to fatigue</w:t>
      </w:r>
      <w:r w:rsidRPr="007A3E30">
        <w:rPr>
          <w:rFonts w:ascii="Book Antiqua" w:hAnsi="Book Antiqua"/>
          <w:sz w:val="24"/>
          <w:szCs w:val="24"/>
          <w:lang w:eastAsia="zh-CN"/>
        </w:rPr>
        <w:t xml:space="preserve">. </w:t>
      </w:r>
    </w:p>
    <w:p w14:paraId="7610F5E1" w14:textId="77777777" w:rsidR="000E444E" w:rsidRPr="007A3E30" w:rsidRDefault="00305DB9" w:rsidP="000540F1">
      <w:pPr>
        <w:pStyle w:val="Text"/>
        <w:widowControl w:val="0"/>
        <w:spacing w:after="0" w:line="360" w:lineRule="auto"/>
        <w:jc w:val="both"/>
        <w:rPr>
          <w:rFonts w:ascii="Book Antiqua" w:hAnsi="Book Antiqua"/>
          <w:b/>
          <w:sz w:val="24"/>
          <w:szCs w:val="24"/>
          <w:lang w:eastAsia="zh-CN"/>
        </w:rPr>
      </w:pPr>
      <w:r w:rsidRPr="007A3E30">
        <w:rPr>
          <w:rFonts w:ascii="Book Antiqua" w:hAnsi="Book Antiqua"/>
          <w:sz w:val="24"/>
          <w:szCs w:val="24"/>
        </w:rPr>
        <w:br w:type="page"/>
      </w:r>
      <w:bookmarkStart w:id="28" w:name="_Ref18491812"/>
      <w:r w:rsidR="000E444E" w:rsidRPr="007A3E30">
        <w:rPr>
          <w:rFonts w:ascii="Book Antiqua" w:hAnsi="Book Antiqua"/>
          <w:b/>
          <w:sz w:val="24"/>
          <w:szCs w:val="24"/>
        </w:rPr>
        <w:t xml:space="preserve">Table </w:t>
      </w:r>
      <w:bookmarkEnd w:id="28"/>
      <w:r w:rsidRPr="007A3E30">
        <w:rPr>
          <w:rFonts w:ascii="Book Antiqua" w:hAnsi="Book Antiqua"/>
          <w:b/>
          <w:sz w:val="24"/>
          <w:szCs w:val="24"/>
          <w:lang w:eastAsia="zh-CN"/>
        </w:rPr>
        <w:t xml:space="preserve">4 </w:t>
      </w:r>
      <w:r w:rsidRPr="007A3E30">
        <w:rPr>
          <w:rFonts w:ascii="Book Antiqua" w:hAnsi="Book Antiqua"/>
          <w:b/>
          <w:sz w:val="24"/>
          <w:szCs w:val="24"/>
        </w:rPr>
        <w:t>Summary of base case results</w:t>
      </w:r>
    </w:p>
    <w:tbl>
      <w:tblPr>
        <w:tblStyle w:val="OssianReportTable"/>
        <w:tblW w:w="5000" w:type="pct"/>
        <w:tblLook w:val="04A0" w:firstRow="1" w:lastRow="0" w:firstColumn="1" w:lastColumn="0" w:noHBand="0" w:noVBand="1"/>
      </w:tblPr>
      <w:tblGrid>
        <w:gridCol w:w="2949"/>
        <w:gridCol w:w="2098"/>
        <w:gridCol w:w="2098"/>
        <w:gridCol w:w="2098"/>
      </w:tblGrid>
      <w:tr w:rsidR="000E444E" w:rsidRPr="007A3E30" w14:paraId="3C922D43" w14:textId="77777777" w:rsidTr="00305D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pct"/>
            <w:tcBorders>
              <w:top w:val="single" w:sz="6" w:space="0" w:color="auto"/>
            </w:tcBorders>
            <w:shd w:val="clear" w:color="auto" w:fill="auto"/>
          </w:tcPr>
          <w:p w14:paraId="03B5AE28"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rPr>
            </w:pPr>
          </w:p>
        </w:tc>
        <w:tc>
          <w:tcPr>
            <w:tcW w:w="1135" w:type="pct"/>
            <w:tcBorders>
              <w:top w:val="single" w:sz="6" w:space="0" w:color="auto"/>
            </w:tcBorders>
            <w:shd w:val="clear" w:color="auto" w:fill="auto"/>
          </w:tcPr>
          <w:p w14:paraId="6BE6D9EB" w14:textId="77777777" w:rsidR="000E444E" w:rsidRPr="007A3E30" w:rsidRDefault="000E444E" w:rsidP="000540F1">
            <w:pPr>
              <w:pStyle w:val="Text"/>
              <w:keepNext w:val="0"/>
              <w:keepLines w:val="0"/>
              <w:widowControl w:val="0"/>
              <w:spacing w:before="0"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vertAlign w:val="superscript"/>
              </w:rPr>
              <w:t>177</w:t>
            </w:r>
            <w:r w:rsidRPr="007A3E30">
              <w:rPr>
                <w:rFonts w:ascii="Book Antiqua" w:hAnsi="Book Antiqua"/>
                <w:sz w:val="24"/>
                <w:szCs w:val="24"/>
              </w:rPr>
              <w:t>Lu-Dotatate</w:t>
            </w:r>
          </w:p>
        </w:tc>
        <w:tc>
          <w:tcPr>
            <w:tcW w:w="1135" w:type="pct"/>
            <w:tcBorders>
              <w:top w:val="single" w:sz="6" w:space="0" w:color="auto"/>
            </w:tcBorders>
            <w:shd w:val="clear" w:color="auto" w:fill="auto"/>
          </w:tcPr>
          <w:p w14:paraId="1242FEB7" w14:textId="77777777" w:rsidR="000E444E" w:rsidRPr="007A3E30" w:rsidRDefault="000E444E" w:rsidP="000540F1">
            <w:pPr>
              <w:pStyle w:val="Text"/>
              <w:keepNext w:val="0"/>
              <w:keepLines w:val="0"/>
              <w:widowControl w:val="0"/>
              <w:spacing w:before="0"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Everolimus</w:t>
            </w:r>
          </w:p>
        </w:tc>
        <w:tc>
          <w:tcPr>
            <w:tcW w:w="1135" w:type="pct"/>
            <w:tcBorders>
              <w:top w:val="single" w:sz="6" w:space="0" w:color="auto"/>
            </w:tcBorders>
            <w:shd w:val="clear" w:color="auto" w:fill="auto"/>
          </w:tcPr>
          <w:p w14:paraId="2F326D27" w14:textId="77777777" w:rsidR="000E444E" w:rsidRPr="007A3E30" w:rsidRDefault="000E444E" w:rsidP="000540F1">
            <w:pPr>
              <w:pStyle w:val="Text"/>
              <w:keepNext w:val="0"/>
              <w:keepLines w:val="0"/>
              <w:widowControl w:val="0"/>
              <w:spacing w:before="0"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Delta</w:t>
            </w:r>
          </w:p>
        </w:tc>
      </w:tr>
      <w:tr w:rsidR="000E444E" w:rsidRPr="007A3E30" w14:paraId="16A71C01" w14:textId="77777777" w:rsidTr="00305DB9">
        <w:tc>
          <w:tcPr>
            <w:cnfStyle w:val="001000000000" w:firstRow="0" w:lastRow="0" w:firstColumn="1" w:lastColumn="0" w:oddVBand="0" w:evenVBand="0" w:oddHBand="0" w:evenHBand="0" w:firstRowFirstColumn="0" w:firstRowLastColumn="0" w:lastRowFirstColumn="0" w:lastRowLastColumn="0"/>
            <w:tcW w:w="1595" w:type="pct"/>
            <w:tcBorders>
              <w:top w:val="single" w:sz="4" w:space="0" w:color="auto"/>
              <w:bottom w:val="single" w:sz="4" w:space="0" w:color="auto"/>
            </w:tcBorders>
            <w:shd w:val="clear" w:color="auto" w:fill="auto"/>
          </w:tcPr>
          <w:p w14:paraId="4EDF30BD" w14:textId="77777777" w:rsidR="000E444E" w:rsidRPr="007A3E30" w:rsidRDefault="000E444E" w:rsidP="000540F1">
            <w:pPr>
              <w:pStyle w:val="Text"/>
              <w:keepNext w:val="0"/>
              <w:keepLines w:val="0"/>
              <w:widowControl w:val="0"/>
              <w:spacing w:before="0" w:after="0" w:line="360" w:lineRule="auto"/>
              <w:jc w:val="both"/>
              <w:rPr>
                <w:rFonts w:ascii="Book Antiqua" w:hAnsi="Book Antiqua"/>
                <w:b/>
                <w:bCs/>
                <w:sz w:val="24"/>
                <w:szCs w:val="24"/>
              </w:rPr>
            </w:pPr>
            <w:r w:rsidRPr="007A3E30">
              <w:rPr>
                <w:rFonts w:ascii="Book Antiqua" w:hAnsi="Book Antiqua"/>
                <w:b/>
                <w:bCs/>
                <w:sz w:val="24"/>
                <w:szCs w:val="24"/>
              </w:rPr>
              <w:t>Sweden</w:t>
            </w:r>
          </w:p>
        </w:tc>
        <w:tc>
          <w:tcPr>
            <w:tcW w:w="1135" w:type="pct"/>
            <w:tcBorders>
              <w:top w:val="single" w:sz="4" w:space="0" w:color="auto"/>
              <w:bottom w:val="single" w:sz="4" w:space="0" w:color="auto"/>
            </w:tcBorders>
            <w:shd w:val="clear" w:color="auto" w:fill="auto"/>
          </w:tcPr>
          <w:p w14:paraId="635DB4D9"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135" w:type="pct"/>
            <w:tcBorders>
              <w:top w:val="single" w:sz="4" w:space="0" w:color="auto"/>
              <w:bottom w:val="single" w:sz="4" w:space="0" w:color="auto"/>
            </w:tcBorders>
            <w:shd w:val="clear" w:color="auto" w:fill="auto"/>
          </w:tcPr>
          <w:p w14:paraId="1CEFE225"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135" w:type="pct"/>
            <w:tcBorders>
              <w:top w:val="single" w:sz="4" w:space="0" w:color="auto"/>
              <w:bottom w:val="single" w:sz="4" w:space="0" w:color="auto"/>
            </w:tcBorders>
            <w:shd w:val="clear" w:color="auto" w:fill="auto"/>
          </w:tcPr>
          <w:p w14:paraId="39C35BD7"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0E444E" w:rsidRPr="007A3E30" w14:paraId="3E65ED4B" w14:textId="77777777" w:rsidTr="00305DB9">
        <w:tc>
          <w:tcPr>
            <w:cnfStyle w:val="001000000000" w:firstRow="0" w:lastRow="0" w:firstColumn="1" w:lastColumn="0" w:oddVBand="0" w:evenVBand="0" w:oddHBand="0" w:evenHBand="0" w:firstRowFirstColumn="0" w:firstRowLastColumn="0" w:lastRowFirstColumn="0" w:lastRowLastColumn="0"/>
            <w:tcW w:w="1595" w:type="pct"/>
            <w:tcBorders>
              <w:top w:val="single" w:sz="4" w:space="0" w:color="auto"/>
            </w:tcBorders>
            <w:shd w:val="clear" w:color="auto" w:fill="auto"/>
          </w:tcPr>
          <w:p w14:paraId="23E9FE20" w14:textId="77777777" w:rsidR="000E444E" w:rsidRPr="007A3E30" w:rsidRDefault="000E444E" w:rsidP="000540F1">
            <w:pPr>
              <w:pStyle w:val="Text"/>
              <w:keepNext w:val="0"/>
              <w:keepLines w:val="0"/>
              <w:widowControl w:val="0"/>
              <w:spacing w:before="0" w:after="0" w:line="360" w:lineRule="auto"/>
              <w:jc w:val="both"/>
              <w:rPr>
                <w:rFonts w:ascii="Book Antiqua" w:hAnsi="Book Antiqua"/>
                <w:b/>
                <w:bCs/>
                <w:sz w:val="24"/>
                <w:szCs w:val="24"/>
              </w:rPr>
            </w:pPr>
            <w:r w:rsidRPr="007A3E30">
              <w:rPr>
                <w:rFonts w:ascii="Book Antiqua" w:hAnsi="Book Antiqua"/>
                <w:b/>
                <w:bCs/>
                <w:sz w:val="24"/>
                <w:szCs w:val="24"/>
              </w:rPr>
              <w:t>Midgut-NETs</w:t>
            </w:r>
          </w:p>
        </w:tc>
        <w:tc>
          <w:tcPr>
            <w:tcW w:w="1135" w:type="pct"/>
            <w:tcBorders>
              <w:top w:val="single" w:sz="4" w:space="0" w:color="auto"/>
            </w:tcBorders>
            <w:shd w:val="clear" w:color="auto" w:fill="auto"/>
          </w:tcPr>
          <w:p w14:paraId="62C6C819"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135" w:type="pct"/>
            <w:tcBorders>
              <w:top w:val="single" w:sz="4" w:space="0" w:color="auto"/>
            </w:tcBorders>
            <w:shd w:val="clear" w:color="auto" w:fill="auto"/>
          </w:tcPr>
          <w:p w14:paraId="7EF742F1"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135" w:type="pct"/>
            <w:tcBorders>
              <w:top w:val="single" w:sz="4" w:space="0" w:color="auto"/>
            </w:tcBorders>
            <w:shd w:val="clear" w:color="auto" w:fill="auto"/>
          </w:tcPr>
          <w:p w14:paraId="6ED00BE9"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0E444E" w:rsidRPr="007A3E30" w14:paraId="0CEFABF8" w14:textId="77777777" w:rsidTr="00305DB9">
        <w:tc>
          <w:tcPr>
            <w:cnfStyle w:val="001000000000" w:firstRow="0" w:lastRow="0" w:firstColumn="1" w:lastColumn="0" w:oddVBand="0" w:evenVBand="0" w:oddHBand="0" w:evenHBand="0" w:firstRowFirstColumn="0" w:firstRowLastColumn="0" w:lastRowFirstColumn="0" w:lastRowLastColumn="0"/>
            <w:tcW w:w="1595" w:type="pct"/>
            <w:shd w:val="clear" w:color="auto" w:fill="auto"/>
          </w:tcPr>
          <w:p w14:paraId="674D35A1"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Total costs, SEK</w:t>
            </w:r>
          </w:p>
        </w:tc>
        <w:tc>
          <w:tcPr>
            <w:tcW w:w="1135" w:type="pct"/>
            <w:shd w:val="clear" w:color="auto" w:fill="auto"/>
          </w:tcPr>
          <w:p w14:paraId="180F4419" w14:textId="77777777" w:rsidR="000E444E" w:rsidRPr="007A3E30" w:rsidRDefault="00305DB9"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1</w:t>
            </w:r>
            <w:r w:rsidR="000E444E" w:rsidRPr="007A3E30">
              <w:rPr>
                <w:rFonts w:ascii="Book Antiqua" w:hAnsi="Book Antiqua"/>
                <w:sz w:val="24"/>
                <w:szCs w:val="24"/>
              </w:rPr>
              <w:t>170 731</w:t>
            </w:r>
          </w:p>
        </w:tc>
        <w:tc>
          <w:tcPr>
            <w:tcW w:w="1135" w:type="pct"/>
            <w:shd w:val="clear" w:color="auto" w:fill="auto"/>
          </w:tcPr>
          <w:p w14:paraId="1CB4280F" w14:textId="77777777" w:rsidR="000E444E" w:rsidRPr="007A3E30" w:rsidRDefault="00305DB9"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lang w:val="en-GB"/>
              </w:rPr>
              <w:t>980</w:t>
            </w:r>
            <w:r w:rsidR="000E444E" w:rsidRPr="007A3E30">
              <w:rPr>
                <w:rFonts w:ascii="Book Antiqua" w:hAnsi="Book Antiqua"/>
                <w:sz w:val="24"/>
                <w:szCs w:val="24"/>
                <w:lang w:val="en-GB"/>
              </w:rPr>
              <w:t>913</w:t>
            </w:r>
          </w:p>
        </w:tc>
        <w:tc>
          <w:tcPr>
            <w:tcW w:w="1135" w:type="pct"/>
            <w:shd w:val="clear" w:color="auto" w:fill="auto"/>
          </w:tcPr>
          <w:p w14:paraId="46718B09" w14:textId="77777777" w:rsidR="000E444E" w:rsidRPr="007A3E30" w:rsidRDefault="00305DB9"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7A3E30">
              <w:rPr>
                <w:rFonts w:ascii="Book Antiqua" w:hAnsi="Book Antiqua"/>
                <w:sz w:val="24"/>
                <w:szCs w:val="24"/>
                <w:lang w:val="en-GB"/>
              </w:rPr>
              <w:t>189</w:t>
            </w:r>
            <w:r w:rsidR="000E444E" w:rsidRPr="007A3E30">
              <w:rPr>
                <w:rFonts w:ascii="Book Antiqua" w:hAnsi="Book Antiqua"/>
                <w:sz w:val="24"/>
                <w:szCs w:val="24"/>
                <w:lang w:val="en-GB"/>
              </w:rPr>
              <w:t>818</w:t>
            </w:r>
          </w:p>
        </w:tc>
      </w:tr>
      <w:tr w:rsidR="000E444E" w:rsidRPr="007A3E30" w14:paraId="5856FA99" w14:textId="77777777" w:rsidTr="00305DB9">
        <w:tc>
          <w:tcPr>
            <w:cnfStyle w:val="001000000000" w:firstRow="0" w:lastRow="0" w:firstColumn="1" w:lastColumn="0" w:oddVBand="0" w:evenVBand="0" w:oddHBand="0" w:evenHBand="0" w:firstRowFirstColumn="0" w:firstRowLastColumn="0" w:lastRowFirstColumn="0" w:lastRowLastColumn="0"/>
            <w:tcW w:w="1595" w:type="pct"/>
            <w:shd w:val="clear" w:color="auto" w:fill="auto"/>
          </w:tcPr>
          <w:p w14:paraId="61A4F872"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Quality-adjusted life expectancy, QALYs</w:t>
            </w:r>
          </w:p>
        </w:tc>
        <w:tc>
          <w:tcPr>
            <w:tcW w:w="1135" w:type="pct"/>
            <w:shd w:val="clear" w:color="auto" w:fill="auto"/>
          </w:tcPr>
          <w:p w14:paraId="10DC25D4"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3.45</w:t>
            </w:r>
          </w:p>
        </w:tc>
        <w:tc>
          <w:tcPr>
            <w:tcW w:w="1135" w:type="pct"/>
            <w:shd w:val="clear" w:color="auto" w:fill="auto"/>
          </w:tcPr>
          <w:p w14:paraId="68A3E585"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lang w:val="en-GB"/>
              </w:rPr>
              <w:t>2.97</w:t>
            </w:r>
          </w:p>
        </w:tc>
        <w:tc>
          <w:tcPr>
            <w:tcW w:w="1135" w:type="pct"/>
            <w:shd w:val="clear" w:color="auto" w:fill="auto"/>
          </w:tcPr>
          <w:p w14:paraId="72A8FF4C"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7A3E30">
              <w:rPr>
                <w:rFonts w:ascii="Book Antiqua" w:hAnsi="Book Antiqua"/>
                <w:sz w:val="24"/>
                <w:szCs w:val="24"/>
                <w:lang w:val="en-GB"/>
              </w:rPr>
              <w:t>0.48</w:t>
            </w:r>
          </w:p>
        </w:tc>
      </w:tr>
      <w:tr w:rsidR="000E444E" w:rsidRPr="007A3E30" w14:paraId="510BCC9C" w14:textId="77777777" w:rsidTr="00305DB9">
        <w:tc>
          <w:tcPr>
            <w:cnfStyle w:val="001000000000" w:firstRow="0" w:lastRow="0" w:firstColumn="1" w:lastColumn="0" w:oddVBand="0" w:evenVBand="0" w:oddHBand="0" w:evenHBand="0" w:firstRowFirstColumn="0" w:firstRowLastColumn="0" w:lastRowFirstColumn="0" w:lastRowLastColumn="0"/>
            <w:tcW w:w="1595" w:type="pct"/>
            <w:shd w:val="clear" w:color="auto" w:fill="auto"/>
          </w:tcPr>
          <w:p w14:paraId="1BD8A051"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ICER, SEK per QALY gained</w:t>
            </w:r>
          </w:p>
        </w:tc>
        <w:tc>
          <w:tcPr>
            <w:tcW w:w="3405" w:type="pct"/>
            <w:gridSpan w:val="3"/>
            <w:shd w:val="clear" w:color="auto" w:fill="auto"/>
          </w:tcPr>
          <w:p w14:paraId="608B0A02" w14:textId="77777777" w:rsidR="000E444E" w:rsidRPr="007A3E30" w:rsidRDefault="00305DB9"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sz w:val="24"/>
                <w:szCs w:val="24"/>
              </w:rPr>
            </w:pPr>
            <w:r w:rsidRPr="007A3E30">
              <w:rPr>
                <w:rFonts w:ascii="Book Antiqua" w:hAnsi="Book Antiqua"/>
                <w:b/>
                <w:bCs/>
                <w:sz w:val="24"/>
                <w:szCs w:val="24"/>
              </w:rPr>
              <w:t>391</w:t>
            </w:r>
            <w:r w:rsidR="000E444E" w:rsidRPr="007A3E30">
              <w:rPr>
                <w:rFonts w:ascii="Book Antiqua" w:hAnsi="Book Antiqua"/>
                <w:b/>
                <w:bCs/>
                <w:sz w:val="24"/>
                <w:szCs w:val="24"/>
              </w:rPr>
              <w:t>194</w:t>
            </w:r>
          </w:p>
        </w:tc>
      </w:tr>
      <w:tr w:rsidR="000E444E" w:rsidRPr="007A3E30" w14:paraId="75AF3C43" w14:textId="77777777" w:rsidTr="00305DB9">
        <w:tc>
          <w:tcPr>
            <w:cnfStyle w:val="001000000000" w:firstRow="0" w:lastRow="0" w:firstColumn="1" w:lastColumn="0" w:oddVBand="0" w:evenVBand="0" w:oddHBand="0" w:evenHBand="0" w:firstRowFirstColumn="0" w:firstRowLastColumn="0" w:lastRowFirstColumn="0" w:lastRowLastColumn="0"/>
            <w:tcW w:w="1595" w:type="pct"/>
            <w:shd w:val="clear" w:color="auto" w:fill="auto"/>
          </w:tcPr>
          <w:p w14:paraId="4CB56D5D" w14:textId="77777777" w:rsidR="000E444E" w:rsidRPr="007A3E30" w:rsidRDefault="000E444E" w:rsidP="000540F1">
            <w:pPr>
              <w:pStyle w:val="Text"/>
              <w:keepNext w:val="0"/>
              <w:keepLines w:val="0"/>
              <w:widowControl w:val="0"/>
              <w:spacing w:before="0" w:after="0" w:line="360" w:lineRule="auto"/>
              <w:jc w:val="both"/>
              <w:rPr>
                <w:rFonts w:ascii="Book Antiqua" w:hAnsi="Book Antiqua"/>
                <w:b/>
                <w:bCs/>
                <w:sz w:val="24"/>
                <w:szCs w:val="24"/>
              </w:rPr>
            </w:pPr>
            <w:r w:rsidRPr="007A3E30">
              <w:rPr>
                <w:rFonts w:ascii="Book Antiqua" w:hAnsi="Book Antiqua"/>
                <w:b/>
                <w:bCs/>
                <w:sz w:val="24"/>
                <w:szCs w:val="24"/>
              </w:rPr>
              <w:t>P-NETs</w:t>
            </w:r>
          </w:p>
        </w:tc>
        <w:tc>
          <w:tcPr>
            <w:tcW w:w="1135" w:type="pct"/>
            <w:shd w:val="clear" w:color="auto" w:fill="auto"/>
          </w:tcPr>
          <w:p w14:paraId="673169D1"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135" w:type="pct"/>
            <w:shd w:val="clear" w:color="auto" w:fill="auto"/>
          </w:tcPr>
          <w:p w14:paraId="6DB55961"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135" w:type="pct"/>
            <w:shd w:val="clear" w:color="auto" w:fill="auto"/>
          </w:tcPr>
          <w:p w14:paraId="6132D200"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0E444E" w:rsidRPr="007A3E30" w14:paraId="142D3A8D" w14:textId="77777777" w:rsidTr="00305DB9">
        <w:tc>
          <w:tcPr>
            <w:cnfStyle w:val="001000000000" w:firstRow="0" w:lastRow="0" w:firstColumn="1" w:lastColumn="0" w:oddVBand="0" w:evenVBand="0" w:oddHBand="0" w:evenHBand="0" w:firstRowFirstColumn="0" w:firstRowLastColumn="0" w:lastRowFirstColumn="0" w:lastRowLastColumn="0"/>
            <w:tcW w:w="1595" w:type="pct"/>
            <w:shd w:val="clear" w:color="auto" w:fill="auto"/>
          </w:tcPr>
          <w:p w14:paraId="5EA7D69E"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Total costs, SEK</w:t>
            </w:r>
          </w:p>
        </w:tc>
        <w:tc>
          <w:tcPr>
            <w:tcW w:w="1135" w:type="pct"/>
            <w:shd w:val="clear" w:color="auto" w:fill="auto"/>
          </w:tcPr>
          <w:p w14:paraId="67E14409" w14:textId="77777777" w:rsidR="000E444E" w:rsidRPr="007A3E30" w:rsidRDefault="00305DB9"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lang w:val="en-GB"/>
              </w:rPr>
              <w:t>1398</w:t>
            </w:r>
            <w:r w:rsidR="000E444E" w:rsidRPr="007A3E30">
              <w:rPr>
                <w:rFonts w:ascii="Book Antiqua" w:hAnsi="Book Antiqua"/>
                <w:sz w:val="24"/>
                <w:szCs w:val="24"/>
                <w:lang w:val="en-GB"/>
              </w:rPr>
              <w:t>533</w:t>
            </w:r>
          </w:p>
        </w:tc>
        <w:tc>
          <w:tcPr>
            <w:tcW w:w="1135" w:type="pct"/>
            <w:shd w:val="clear" w:color="auto" w:fill="auto"/>
          </w:tcPr>
          <w:p w14:paraId="47FC08E7" w14:textId="77777777" w:rsidR="000E444E" w:rsidRPr="007A3E30" w:rsidRDefault="00305DB9"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lang w:val="en-GB"/>
              </w:rPr>
              <w:t>1376</w:t>
            </w:r>
            <w:r w:rsidR="000E444E" w:rsidRPr="007A3E30">
              <w:rPr>
                <w:rFonts w:ascii="Book Antiqua" w:hAnsi="Book Antiqua"/>
                <w:sz w:val="24"/>
                <w:szCs w:val="24"/>
                <w:lang w:val="en-GB"/>
              </w:rPr>
              <w:t>035</w:t>
            </w:r>
          </w:p>
        </w:tc>
        <w:tc>
          <w:tcPr>
            <w:tcW w:w="1135" w:type="pct"/>
            <w:shd w:val="clear" w:color="auto" w:fill="auto"/>
          </w:tcPr>
          <w:p w14:paraId="2AEE5485" w14:textId="77777777" w:rsidR="000E444E" w:rsidRPr="007A3E30" w:rsidRDefault="00305DB9"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7A3E30">
              <w:rPr>
                <w:rFonts w:ascii="Book Antiqua" w:hAnsi="Book Antiqua"/>
                <w:sz w:val="24"/>
                <w:szCs w:val="24"/>
                <w:lang w:val="en-GB"/>
              </w:rPr>
              <w:t>22</w:t>
            </w:r>
            <w:r w:rsidR="000E444E" w:rsidRPr="007A3E30">
              <w:rPr>
                <w:rFonts w:ascii="Book Antiqua" w:hAnsi="Book Antiqua"/>
                <w:sz w:val="24"/>
                <w:szCs w:val="24"/>
                <w:lang w:val="en-GB"/>
              </w:rPr>
              <w:t>498</w:t>
            </w:r>
          </w:p>
        </w:tc>
      </w:tr>
      <w:tr w:rsidR="000E444E" w:rsidRPr="007A3E30" w14:paraId="448C4AE5" w14:textId="77777777" w:rsidTr="00305DB9">
        <w:tc>
          <w:tcPr>
            <w:cnfStyle w:val="001000000000" w:firstRow="0" w:lastRow="0" w:firstColumn="1" w:lastColumn="0" w:oddVBand="0" w:evenVBand="0" w:oddHBand="0" w:evenHBand="0" w:firstRowFirstColumn="0" w:firstRowLastColumn="0" w:lastRowFirstColumn="0" w:lastRowLastColumn="0"/>
            <w:tcW w:w="1595" w:type="pct"/>
            <w:shd w:val="clear" w:color="auto" w:fill="auto"/>
          </w:tcPr>
          <w:p w14:paraId="262BEA99"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Quality-adjusted life expectancy, QALYs</w:t>
            </w:r>
          </w:p>
        </w:tc>
        <w:tc>
          <w:tcPr>
            <w:tcW w:w="1135" w:type="pct"/>
            <w:shd w:val="clear" w:color="auto" w:fill="auto"/>
          </w:tcPr>
          <w:p w14:paraId="7DD3ABF9"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lang w:val="en-GB"/>
              </w:rPr>
              <w:t>4.90</w:t>
            </w:r>
          </w:p>
        </w:tc>
        <w:tc>
          <w:tcPr>
            <w:tcW w:w="1135" w:type="pct"/>
            <w:shd w:val="clear" w:color="auto" w:fill="auto"/>
          </w:tcPr>
          <w:p w14:paraId="3C7958BB"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lang w:val="en-GB"/>
              </w:rPr>
              <w:t>3.55</w:t>
            </w:r>
          </w:p>
        </w:tc>
        <w:tc>
          <w:tcPr>
            <w:tcW w:w="1135" w:type="pct"/>
            <w:shd w:val="clear" w:color="auto" w:fill="auto"/>
          </w:tcPr>
          <w:p w14:paraId="164DDFB8"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7A3E30">
              <w:rPr>
                <w:rFonts w:ascii="Book Antiqua" w:hAnsi="Book Antiqua"/>
                <w:sz w:val="24"/>
                <w:szCs w:val="24"/>
                <w:lang w:val="en-GB"/>
              </w:rPr>
              <w:t>1.35</w:t>
            </w:r>
          </w:p>
        </w:tc>
      </w:tr>
      <w:tr w:rsidR="000E444E" w:rsidRPr="007A3E30" w14:paraId="520B4E76" w14:textId="77777777" w:rsidTr="008B72AE">
        <w:tc>
          <w:tcPr>
            <w:cnfStyle w:val="001000000000" w:firstRow="0" w:lastRow="0" w:firstColumn="1" w:lastColumn="0" w:oddVBand="0" w:evenVBand="0" w:oddHBand="0" w:evenHBand="0" w:firstRowFirstColumn="0" w:firstRowLastColumn="0" w:lastRowFirstColumn="0" w:lastRowLastColumn="0"/>
            <w:tcW w:w="1595" w:type="pct"/>
            <w:tcBorders>
              <w:bottom w:val="nil"/>
            </w:tcBorders>
            <w:shd w:val="clear" w:color="auto" w:fill="auto"/>
          </w:tcPr>
          <w:p w14:paraId="5521FDBE"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ICER, SEK per QALY gained</w:t>
            </w:r>
          </w:p>
        </w:tc>
        <w:tc>
          <w:tcPr>
            <w:tcW w:w="3405" w:type="pct"/>
            <w:gridSpan w:val="3"/>
            <w:tcBorders>
              <w:bottom w:val="nil"/>
            </w:tcBorders>
            <w:shd w:val="clear" w:color="auto" w:fill="auto"/>
          </w:tcPr>
          <w:p w14:paraId="141057F7" w14:textId="21DB19D6" w:rsidR="000E444E" w:rsidRPr="007A3E30" w:rsidRDefault="00FE7E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b/>
                <w:sz w:val="24"/>
                <w:szCs w:val="24"/>
                <w:lang w:val="en-GB"/>
              </w:rPr>
              <w:t>16</w:t>
            </w:r>
            <w:r w:rsidR="000E444E" w:rsidRPr="007A3E30">
              <w:rPr>
                <w:rFonts w:ascii="Book Antiqua" w:hAnsi="Book Antiqua"/>
                <w:b/>
                <w:sz w:val="24"/>
                <w:szCs w:val="24"/>
                <w:lang w:val="en-GB"/>
              </w:rPr>
              <w:t>764</w:t>
            </w:r>
          </w:p>
        </w:tc>
      </w:tr>
      <w:tr w:rsidR="000E444E" w:rsidRPr="007A3E30" w14:paraId="5348AA7D" w14:textId="77777777" w:rsidTr="008B72AE">
        <w:tc>
          <w:tcPr>
            <w:cnfStyle w:val="001000000000" w:firstRow="0" w:lastRow="0" w:firstColumn="1" w:lastColumn="0" w:oddVBand="0" w:evenVBand="0" w:oddHBand="0" w:evenHBand="0" w:firstRowFirstColumn="0" w:firstRowLastColumn="0" w:lastRowFirstColumn="0" w:lastRowLastColumn="0"/>
            <w:tcW w:w="1595" w:type="pct"/>
            <w:tcBorders>
              <w:top w:val="nil"/>
              <w:bottom w:val="nil"/>
            </w:tcBorders>
            <w:shd w:val="clear" w:color="auto" w:fill="auto"/>
          </w:tcPr>
          <w:p w14:paraId="16CDD365" w14:textId="77777777" w:rsidR="000E444E" w:rsidRPr="007A3E30" w:rsidRDefault="000E444E" w:rsidP="000540F1">
            <w:pPr>
              <w:pStyle w:val="Text"/>
              <w:keepNext w:val="0"/>
              <w:keepLines w:val="0"/>
              <w:widowControl w:val="0"/>
              <w:spacing w:before="0" w:after="0" w:line="360" w:lineRule="auto"/>
              <w:jc w:val="both"/>
              <w:rPr>
                <w:rFonts w:ascii="Book Antiqua" w:hAnsi="Book Antiqua"/>
                <w:b/>
                <w:bCs/>
                <w:sz w:val="24"/>
                <w:szCs w:val="24"/>
              </w:rPr>
            </w:pPr>
            <w:r w:rsidRPr="007A3E30">
              <w:rPr>
                <w:rFonts w:ascii="Book Antiqua" w:hAnsi="Book Antiqua"/>
                <w:b/>
                <w:bCs/>
                <w:sz w:val="24"/>
                <w:szCs w:val="24"/>
              </w:rPr>
              <w:t>Norway</w:t>
            </w:r>
          </w:p>
        </w:tc>
        <w:tc>
          <w:tcPr>
            <w:tcW w:w="1135" w:type="pct"/>
            <w:tcBorders>
              <w:top w:val="nil"/>
              <w:bottom w:val="nil"/>
            </w:tcBorders>
            <w:shd w:val="clear" w:color="auto" w:fill="auto"/>
          </w:tcPr>
          <w:p w14:paraId="71338AF4"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135" w:type="pct"/>
            <w:tcBorders>
              <w:top w:val="nil"/>
              <w:bottom w:val="nil"/>
            </w:tcBorders>
            <w:shd w:val="clear" w:color="auto" w:fill="auto"/>
          </w:tcPr>
          <w:p w14:paraId="6166947F"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135" w:type="pct"/>
            <w:tcBorders>
              <w:top w:val="nil"/>
              <w:bottom w:val="nil"/>
            </w:tcBorders>
            <w:shd w:val="clear" w:color="auto" w:fill="auto"/>
          </w:tcPr>
          <w:p w14:paraId="375BAEAB"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0E444E" w:rsidRPr="007A3E30" w14:paraId="42EA6F94" w14:textId="77777777" w:rsidTr="008B72AE">
        <w:tc>
          <w:tcPr>
            <w:cnfStyle w:val="001000000000" w:firstRow="0" w:lastRow="0" w:firstColumn="1" w:lastColumn="0" w:oddVBand="0" w:evenVBand="0" w:oddHBand="0" w:evenHBand="0" w:firstRowFirstColumn="0" w:firstRowLastColumn="0" w:lastRowFirstColumn="0" w:lastRowLastColumn="0"/>
            <w:tcW w:w="1595" w:type="pct"/>
            <w:tcBorders>
              <w:top w:val="nil"/>
              <w:bottom w:val="nil"/>
            </w:tcBorders>
            <w:shd w:val="clear" w:color="auto" w:fill="auto"/>
          </w:tcPr>
          <w:p w14:paraId="25C16B7B" w14:textId="77777777" w:rsidR="000E444E" w:rsidRPr="007A3E30" w:rsidRDefault="000E444E" w:rsidP="000540F1">
            <w:pPr>
              <w:pStyle w:val="Text"/>
              <w:keepNext w:val="0"/>
              <w:keepLines w:val="0"/>
              <w:widowControl w:val="0"/>
              <w:spacing w:before="0" w:after="0" w:line="360" w:lineRule="auto"/>
              <w:jc w:val="both"/>
              <w:rPr>
                <w:rFonts w:ascii="Book Antiqua" w:hAnsi="Book Antiqua"/>
                <w:b/>
                <w:bCs/>
                <w:sz w:val="24"/>
                <w:szCs w:val="24"/>
              </w:rPr>
            </w:pPr>
            <w:r w:rsidRPr="007A3E30">
              <w:rPr>
                <w:rFonts w:ascii="Book Antiqua" w:hAnsi="Book Antiqua"/>
                <w:b/>
                <w:bCs/>
                <w:sz w:val="24"/>
                <w:szCs w:val="24"/>
              </w:rPr>
              <w:t>Midgut-NETs</w:t>
            </w:r>
          </w:p>
        </w:tc>
        <w:tc>
          <w:tcPr>
            <w:tcW w:w="1135" w:type="pct"/>
            <w:tcBorders>
              <w:top w:val="nil"/>
              <w:bottom w:val="nil"/>
            </w:tcBorders>
            <w:shd w:val="clear" w:color="auto" w:fill="auto"/>
          </w:tcPr>
          <w:p w14:paraId="08452102"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135" w:type="pct"/>
            <w:tcBorders>
              <w:top w:val="nil"/>
              <w:bottom w:val="nil"/>
            </w:tcBorders>
            <w:shd w:val="clear" w:color="auto" w:fill="auto"/>
          </w:tcPr>
          <w:p w14:paraId="5F0FFC9A"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135" w:type="pct"/>
            <w:tcBorders>
              <w:top w:val="nil"/>
              <w:bottom w:val="nil"/>
            </w:tcBorders>
            <w:shd w:val="clear" w:color="auto" w:fill="auto"/>
          </w:tcPr>
          <w:p w14:paraId="035A869A"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0E444E" w:rsidRPr="007A3E30" w14:paraId="2AE5974A" w14:textId="77777777" w:rsidTr="008B72AE">
        <w:tc>
          <w:tcPr>
            <w:cnfStyle w:val="001000000000" w:firstRow="0" w:lastRow="0" w:firstColumn="1" w:lastColumn="0" w:oddVBand="0" w:evenVBand="0" w:oddHBand="0" w:evenHBand="0" w:firstRowFirstColumn="0" w:firstRowLastColumn="0" w:lastRowFirstColumn="0" w:lastRowLastColumn="0"/>
            <w:tcW w:w="1595" w:type="pct"/>
            <w:tcBorders>
              <w:top w:val="nil"/>
            </w:tcBorders>
            <w:shd w:val="clear" w:color="auto" w:fill="auto"/>
          </w:tcPr>
          <w:p w14:paraId="36C74BFF"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Total costs, NOK</w:t>
            </w:r>
          </w:p>
        </w:tc>
        <w:tc>
          <w:tcPr>
            <w:tcW w:w="1135" w:type="pct"/>
            <w:tcBorders>
              <w:top w:val="nil"/>
            </w:tcBorders>
            <w:shd w:val="clear" w:color="auto" w:fill="auto"/>
          </w:tcPr>
          <w:p w14:paraId="16BB3734" w14:textId="77777777" w:rsidR="000E444E" w:rsidRPr="007A3E30" w:rsidRDefault="00305DB9"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985</w:t>
            </w:r>
            <w:r w:rsidR="000E444E" w:rsidRPr="007A3E30">
              <w:rPr>
                <w:rFonts w:ascii="Book Antiqua" w:hAnsi="Book Antiqua"/>
                <w:sz w:val="24"/>
                <w:szCs w:val="24"/>
              </w:rPr>
              <w:t>062</w:t>
            </w:r>
          </w:p>
        </w:tc>
        <w:tc>
          <w:tcPr>
            <w:tcW w:w="1135" w:type="pct"/>
            <w:tcBorders>
              <w:top w:val="nil"/>
            </w:tcBorders>
            <w:shd w:val="clear" w:color="auto" w:fill="auto"/>
          </w:tcPr>
          <w:p w14:paraId="274176E5" w14:textId="77777777" w:rsidR="000E444E" w:rsidRPr="007A3E30" w:rsidRDefault="00305DB9"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lang w:val="en-GB"/>
              </w:rPr>
              <w:t>653</w:t>
            </w:r>
            <w:r w:rsidR="000E444E" w:rsidRPr="007A3E30">
              <w:rPr>
                <w:rFonts w:ascii="Book Antiqua" w:hAnsi="Book Antiqua"/>
                <w:sz w:val="24"/>
                <w:szCs w:val="24"/>
                <w:lang w:val="en-GB"/>
              </w:rPr>
              <w:t>066</w:t>
            </w:r>
          </w:p>
        </w:tc>
        <w:tc>
          <w:tcPr>
            <w:tcW w:w="1135" w:type="pct"/>
            <w:tcBorders>
              <w:top w:val="nil"/>
            </w:tcBorders>
            <w:shd w:val="clear" w:color="auto" w:fill="auto"/>
          </w:tcPr>
          <w:p w14:paraId="157B0117" w14:textId="77777777" w:rsidR="000E444E" w:rsidRPr="007A3E30" w:rsidRDefault="00305DB9"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331</w:t>
            </w:r>
            <w:r w:rsidR="000E444E" w:rsidRPr="007A3E30">
              <w:rPr>
                <w:rFonts w:ascii="Book Antiqua" w:hAnsi="Book Antiqua"/>
                <w:sz w:val="24"/>
                <w:szCs w:val="24"/>
              </w:rPr>
              <w:t>995</w:t>
            </w:r>
          </w:p>
        </w:tc>
      </w:tr>
      <w:tr w:rsidR="000E444E" w:rsidRPr="007A3E30" w14:paraId="56BDD9A7" w14:textId="77777777" w:rsidTr="00305DB9">
        <w:tc>
          <w:tcPr>
            <w:cnfStyle w:val="001000000000" w:firstRow="0" w:lastRow="0" w:firstColumn="1" w:lastColumn="0" w:oddVBand="0" w:evenVBand="0" w:oddHBand="0" w:evenHBand="0" w:firstRowFirstColumn="0" w:firstRowLastColumn="0" w:lastRowFirstColumn="0" w:lastRowLastColumn="0"/>
            <w:tcW w:w="1595" w:type="pct"/>
            <w:shd w:val="clear" w:color="auto" w:fill="auto"/>
          </w:tcPr>
          <w:p w14:paraId="44E9B3BF"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Quality-adjusted life expectancy, QALYs</w:t>
            </w:r>
          </w:p>
        </w:tc>
        <w:tc>
          <w:tcPr>
            <w:tcW w:w="1135" w:type="pct"/>
            <w:shd w:val="clear" w:color="auto" w:fill="auto"/>
          </w:tcPr>
          <w:p w14:paraId="54A17343"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3.15</w:t>
            </w:r>
          </w:p>
        </w:tc>
        <w:tc>
          <w:tcPr>
            <w:tcW w:w="1135" w:type="pct"/>
            <w:shd w:val="clear" w:color="auto" w:fill="auto"/>
          </w:tcPr>
          <w:p w14:paraId="50CFB91D"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lang w:val="en-GB"/>
              </w:rPr>
              <w:t>1.79</w:t>
            </w:r>
          </w:p>
        </w:tc>
        <w:tc>
          <w:tcPr>
            <w:tcW w:w="1135" w:type="pct"/>
            <w:shd w:val="clear" w:color="auto" w:fill="auto"/>
          </w:tcPr>
          <w:p w14:paraId="4BFD7D54"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lang w:val="en-GB"/>
              </w:rPr>
              <w:t>1.36</w:t>
            </w:r>
          </w:p>
        </w:tc>
      </w:tr>
      <w:tr w:rsidR="000E444E" w:rsidRPr="007A3E30" w14:paraId="50E3D330" w14:textId="77777777" w:rsidTr="00305DB9">
        <w:tc>
          <w:tcPr>
            <w:cnfStyle w:val="001000000000" w:firstRow="0" w:lastRow="0" w:firstColumn="1" w:lastColumn="0" w:oddVBand="0" w:evenVBand="0" w:oddHBand="0" w:evenHBand="0" w:firstRowFirstColumn="0" w:firstRowLastColumn="0" w:lastRowFirstColumn="0" w:lastRowLastColumn="0"/>
            <w:tcW w:w="1595" w:type="pct"/>
            <w:shd w:val="clear" w:color="auto" w:fill="auto"/>
          </w:tcPr>
          <w:p w14:paraId="4C53C936"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ICER, NOK per QALY gained</w:t>
            </w:r>
          </w:p>
        </w:tc>
        <w:tc>
          <w:tcPr>
            <w:tcW w:w="3405" w:type="pct"/>
            <w:gridSpan w:val="3"/>
            <w:shd w:val="clear" w:color="auto" w:fill="auto"/>
          </w:tcPr>
          <w:p w14:paraId="455B0BE3" w14:textId="77777777" w:rsidR="000E444E" w:rsidRPr="007A3E30" w:rsidRDefault="00305DB9"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b/>
                <w:sz w:val="24"/>
                <w:szCs w:val="24"/>
                <w:lang w:val="en-GB"/>
              </w:rPr>
              <w:t>244</w:t>
            </w:r>
            <w:r w:rsidR="000E444E" w:rsidRPr="007A3E30">
              <w:rPr>
                <w:rFonts w:ascii="Book Antiqua" w:hAnsi="Book Antiqua"/>
                <w:b/>
                <w:sz w:val="24"/>
                <w:szCs w:val="24"/>
                <w:lang w:val="en-GB"/>
              </w:rPr>
              <w:t>444</w:t>
            </w:r>
          </w:p>
        </w:tc>
      </w:tr>
      <w:tr w:rsidR="000E444E" w:rsidRPr="007A3E30" w14:paraId="21EBD5D9" w14:textId="77777777" w:rsidTr="00305DB9">
        <w:tc>
          <w:tcPr>
            <w:cnfStyle w:val="001000000000" w:firstRow="0" w:lastRow="0" w:firstColumn="1" w:lastColumn="0" w:oddVBand="0" w:evenVBand="0" w:oddHBand="0" w:evenHBand="0" w:firstRowFirstColumn="0" w:firstRowLastColumn="0" w:lastRowFirstColumn="0" w:lastRowLastColumn="0"/>
            <w:tcW w:w="1595" w:type="pct"/>
            <w:shd w:val="clear" w:color="auto" w:fill="auto"/>
          </w:tcPr>
          <w:p w14:paraId="4F29BC77" w14:textId="77777777" w:rsidR="000E444E" w:rsidRPr="007A3E30" w:rsidRDefault="000E444E" w:rsidP="000540F1">
            <w:pPr>
              <w:pStyle w:val="Text"/>
              <w:keepNext w:val="0"/>
              <w:keepLines w:val="0"/>
              <w:widowControl w:val="0"/>
              <w:spacing w:before="0" w:after="0" w:line="360" w:lineRule="auto"/>
              <w:jc w:val="both"/>
              <w:rPr>
                <w:rFonts w:ascii="Book Antiqua" w:hAnsi="Book Antiqua"/>
                <w:b/>
                <w:bCs/>
                <w:sz w:val="24"/>
                <w:szCs w:val="24"/>
              </w:rPr>
            </w:pPr>
            <w:r w:rsidRPr="007A3E30">
              <w:rPr>
                <w:rFonts w:ascii="Book Antiqua" w:hAnsi="Book Antiqua"/>
                <w:b/>
                <w:bCs/>
                <w:sz w:val="24"/>
                <w:szCs w:val="24"/>
              </w:rPr>
              <w:t>P-NETs</w:t>
            </w:r>
          </w:p>
        </w:tc>
        <w:tc>
          <w:tcPr>
            <w:tcW w:w="1135" w:type="pct"/>
            <w:shd w:val="clear" w:color="auto" w:fill="auto"/>
          </w:tcPr>
          <w:p w14:paraId="0F300DE1"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135" w:type="pct"/>
            <w:shd w:val="clear" w:color="auto" w:fill="auto"/>
          </w:tcPr>
          <w:p w14:paraId="419132C0"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135" w:type="pct"/>
            <w:shd w:val="clear" w:color="auto" w:fill="auto"/>
          </w:tcPr>
          <w:p w14:paraId="7A54CA8F"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0E444E" w:rsidRPr="007A3E30" w14:paraId="3493D527" w14:textId="77777777" w:rsidTr="00305DB9">
        <w:tc>
          <w:tcPr>
            <w:cnfStyle w:val="001000000000" w:firstRow="0" w:lastRow="0" w:firstColumn="1" w:lastColumn="0" w:oddVBand="0" w:evenVBand="0" w:oddHBand="0" w:evenHBand="0" w:firstRowFirstColumn="0" w:firstRowLastColumn="0" w:lastRowFirstColumn="0" w:lastRowLastColumn="0"/>
            <w:tcW w:w="1595" w:type="pct"/>
            <w:shd w:val="clear" w:color="auto" w:fill="auto"/>
          </w:tcPr>
          <w:p w14:paraId="6F77B015"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Total costs, NOK</w:t>
            </w:r>
          </w:p>
        </w:tc>
        <w:tc>
          <w:tcPr>
            <w:tcW w:w="1135" w:type="pct"/>
            <w:shd w:val="clear" w:color="auto" w:fill="auto"/>
          </w:tcPr>
          <w:p w14:paraId="5DAB160E" w14:textId="77777777" w:rsidR="000E444E" w:rsidRPr="007A3E30" w:rsidRDefault="00305DB9"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lang w:val="en-GB"/>
              </w:rPr>
              <w:t>1280</w:t>
            </w:r>
            <w:r w:rsidR="000E444E" w:rsidRPr="007A3E30">
              <w:rPr>
                <w:rFonts w:ascii="Book Antiqua" w:hAnsi="Book Antiqua"/>
                <w:sz w:val="24"/>
                <w:szCs w:val="24"/>
                <w:lang w:val="en-GB"/>
              </w:rPr>
              <w:t>254</w:t>
            </w:r>
          </w:p>
        </w:tc>
        <w:tc>
          <w:tcPr>
            <w:tcW w:w="1135" w:type="pct"/>
            <w:shd w:val="clear" w:color="auto" w:fill="auto"/>
          </w:tcPr>
          <w:p w14:paraId="0779FDD1" w14:textId="77777777" w:rsidR="000E444E" w:rsidRPr="007A3E30" w:rsidRDefault="00305DB9"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lang w:val="en-GB"/>
              </w:rPr>
              <w:t>1056</w:t>
            </w:r>
            <w:r w:rsidR="000E444E" w:rsidRPr="007A3E30">
              <w:rPr>
                <w:rFonts w:ascii="Book Antiqua" w:hAnsi="Book Antiqua"/>
                <w:sz w:val="24"/>
                <w:szCs w:val="24"/>
                <w:lang w:val="en-GB"/>
              </w:rPr>
              <w:t>767</w:t>
            </w:r>
          </w:p>
        </w:tc>
        <w:tc>
          <w:tcPr>
            <w:tcW w:w="1135" w:type="pct"/>
            <w:shd w:val="clear" w:color="auto" w:fill="auto"/>
          </w:tcPr>
          <w:p w14:paraId="6E0AEF86" w14:textId="77777777" w:rsidR="000E444E" w:rsidRPr="007A3E30" w:rsidRDefault="00305DB9"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lang w:val="en-GB"/>
              </w:rPr>
              <w:t>223</w:t>
            </w:r>
            <w:r w:rsidR="000E444E" w:rsidRPr="007A3E30">
              <w:rPr>
                <w:rFonts w:ascii="Book Antiqua" w:hAnsi="Book Antiqua"/>
                <w:sz w:val="24"/>
                <w:szCs w:val="24"/>
                <w:lang w:val="en-GB"/>
              </w:rPr>
              <w:t>487</w:t>
            </w:r>
          </w:p>
        </w:tc>
      </w:tr>
      <w:tr w:rsidR="000E444E" w:rsidRPr="007A3E30" w14:paraId="78F319FD" w14:textId="77777777" w:rsidTr="00305DB9">
        <w:tc>
          <w:tcPr>
            <w:cnfStyle w:val="001000000000" w:firstRow="0" w:lastRow="0" w:firstColumn="1" w:lastColumn="0" w:oddVBand="0" w:evenVBand="0" w:oddHBand="0" w:evenHBand="0" w:firstRowFirstColumn="0" w:firstRowLastColumn="0" w:lastRowFirstColumn="0" w:lastRowLastColumn="0"/>
            <w:tcW w:w="1595" w:type="pct"/>
            <w:shd w:val="clear" w:color="auto" w:fill="auto"/>
          </w:tcPr>
          <w:p w14:paraId="2664FB2F"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Quality-adjusted life expectancy, QALYs</w:t>
            </w:r>
          </w:p>
        </w:tc>
        <w:tc>
          <w:tcPr>
            <w:tcW w:w="1135" w:type="pct"/>
            <w:shd w:val="clear" w:color="auto" w:fill="auto"/>
          </w:tcPr>
          <w:p w14:paraId="0B04EE87"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lang w:val="en-GB"/>
              </w:rPr>
              <w:t>5.31</w:t>
            </w:r>
          </w:p>
        </w:tc>
        <w:tc>
          <w:tcPr>
            <w:tcW w:w="1135" w:type="pct"/>
            <w:shd w:val="clear" w:color="auto" w:fill="auto"/>
          </w:tcPr>
          <w:p w14:paraId="573F6A36"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lang w:val="en-GB"/>
              </w:rPr>
              <w:t>3.21</w:t>
            </w:r>
          </w:p>
        </w:tc>
        <w:tc>
          <w:tcPr>
            <w:tcW w:w="1135" w:type="pct"/>
            <w:shd w:val="clear" w:color="auto" w:fill="auto"/>
          </w:tcPr>
          <w:p w14:paraId="36DA8A29"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lang w:val="en-GB"/>
              </w:rPr>
              <w:t>2.10</w:t>
            </w:r>
          </w:p>
        </w:tc>
      </w:tr>
      <w:tr w:rsidR="000E444E" w:rsidRPr="007A3E30" w14:paraId="469F8D06" w14:textId="77777777" w:rsidTr="00305DB9">
        <w:tc>
          <w:tcPr>
            <w:cnfStyle w:val="001000000000" w:firstRow="0" w:lastRow="0" w:firstColumn="1" w:lastColumn="0" w:oddVBand="0" w:evenVBand="0" w:oddHBand="0" w:evenHBand="0" w:firstRowFirstColumn="0" w:firstRowLastColumn="0" w:lastRowFirstColumn="0" w:lastRowLastColumn="0"/>
            <w:tcW w:w="1595" w:type="pct"/>
            <w:tcBorders>
              <w:bottom w:val="single" w:sz="6" w:space="0" w:color="auto"/>
            </w:tcBorders>
            <w:shd w:val="clear" w:color="auto" w:fill="auto"/>
          </w:tcPr>
          <w:p w14:paraId="2138E99C"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ICER, NOK per QALY gained</w:t>
            </w:r>
          </w:p>
        </w:tc>
        <w:tc>
          <w:tcPr>
            <w:tcW w:w="3405" w:type="pct"/>
            <w:gridSpan w:val="3"/>
            <w:tcBorders>
              <w:bottom w:val="single" w:sz="6" w:space="0" w:color="auto"/>
            </w:tcBorders>
            <w:shd w:val="clear" w:color="auto" w:fill="auto"/>
          </w:tcPr>
          <w:p w14:paraId="1F66D253" w14:textId="1F9EEAA9" w:rsidR="000E444E" w:rsidRPr="007A3E30" w:rsidRDefault="00FE7E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b/>
                <w:sz w:val="24"/>
                <w:szCs w:val="24"/>
                <w:lang w:val="en-GB"/>
              </w:rPr>
              <w:t>106</w:t>
            </w:r>
            <w:r w:rsidR="000E444E" w:rsidRPr="007A3E30">
              <w:rPr>
                <w:rFonts w:ascii="Book Antiqua" w:hAnsi="Book Antiqua"/>
                <w:b/>
                <w:sz w:val="24"/>
                <w:szCs w:val="24"/>
                <w:lang w:val="en-GB"/>
              </w:rPr>
              <w:t>451</w:t>
            </w:r>
          </w:p>
        </w:tc>
      </w:tr>
    </w:tbl>
    <w:p w14:paraId="6A4FCD78" w14:textId="098F9EE7" w:rsidR="00305DB9" w:rsidRPr="007A3E30" w:rsidRDefault="00305DB9" w:rsidP="000540F1">
      <w:pPr>
        <w:pStyle w:val="Text"/>
        <w:widowControl w:val="0"/>
        <w:spacing w:after="0" w:line="360" w:lineRule="auto"/>
        <w:jc w:val="both"/>
        <w:rPr>
          <w:rFonts w:ascii="Book Antiqua" w:hAnsi="Book Antiqua"/>
          <w:sz w:val="24"/>
          <w:szCs w:val="24"/>
          <w:lang w:eastAsia="zh-CN"/>
        </w:rPr>
      </w:pPr>
      <w:r w:rsidRPr="007A3E30">
        <w:rPr>
          <w:rFonts w:ascii="Book Antiqua" w:hAnsi="Book Antiqua"/>
          <w:bCs/>
          <w:sz w:val="24"/>
          <w:szCs w:val="24"/>
        </w:rPr>
        <w:t>NETs</w:t>
      </w:r>
      <w:r w:rsidRPr="007A3E30">
        <w:rPr>
          <w:rFonts w:ascii="Book Antiqua" w:hAnsi="Book Antiqua"/>
          <w:b/>
          <w:bCs/>
          <w:sz w:val="24"/>
          <w:szCs w:val="24"/>
          <w:lang w:eastAsia="zh-CN"/>
        </w:rPr>
        <w:t>:</w:t>
      </w:r>
      <w:r w:rsidRPr="007A3E30">
        <w:rPr>
          <w:rFonts w:ascii="Book Antiqua" w:hAnsi="Book Antiqua"/>
          <w:sz w:val="24"/>
          <w:szCs w:val="24"/>
        </w:rPr>
        <w:t xml:space="preserve"> </w:t>
      </w:r>
      <w:r w:rsidR="000540F1" w:rsidRPr="007A3E30">
        <w:rPr>
          <w:rFonts w:ascii="Book Antiqua" w:hAnsi="Book Antiqua"/>
          <w:caps/>
          <w:sz w:val="24"/>
          <w:szCs w:val="24"/>
        </w:rPr>
        <w:t>n</w:t>
      </w:r>
      <w:r w:rsidR="000540F1" w:rsidRPr="007A3E30">
        <w:rPr>
          <w:rFonts w:ascii="Book Antiqua" w:hAnsi="Book Antiqua"/>
          <w:sz w:val="24"/>
          <w:szCs w:val="24"/>
        </w:rPr>
        <w:t>euroendocrine tumor</w:t>
      </w:r>
      <w:r w:rsidR="000540F1" w:rsidRPr="007A3E30">
        <w:rPr>
          <w:rFonts w:ascii="Book Antiqua" w:hAnsi="Book Antiqua"/>
          <w:sz w:val="24"/>
          <w:szCs w:val="24"/>
          <w:lang w:eastAsia="zh-CN"/>
        </w:rPr>
        <w:t>;</w:t>
      </w:r>
      <w:r w:rsidR="000540F1" w:rsidRPr="007A3E30">
        <w:rPr>
          <w:rFonts w:ascii="Book Antiqua" w:hAnsi="Book Antiqua"/>
          <w:sz w:val="24"/>
          <w:szCs w:val="24"/>
        </w:rPr>
        <w:t xml:space="preserve"> QALY: Quality-adjusted life year;</w:t>
      </w:r>
      <w:r w:rsidRPr="007A3E30">
        <w:rPr>
          <w:rFonts w:ascii="Book Antiqua" w:hAnsi="Book Antiqua"/>
          <w:sz w:val="24"/>
          <w:szCs w:val="24"/>
        </w:rPr>
        <w:t xml:space="preserve"> </w:t>
      </w:r>
      <w:r w:rsidR="000E444E" w:rsidRPr="007A3E30">
        <w:rPr>
          <w:rFonts w:ascii="Book Antiqua" w:hAnsi="Book Antiqua"/>
          <w:sz w:val="24"/>
          <w:szCs w:val="24"/>
        </w:rPr>
        <w:t>ICER</w:t>
      </w:r>
      <w:r w:rsidRPr="007A3E30">
        <w:rPr>
          <w:rFonts w:ascii="Book Antiqua" w:hAnsi="Book Antiqua"/>
          <w:sz w:val="24"/>
          <w:szCs w:val="24"/>
          <w:lang w:eastAsia="zh-CN"/>
        </w:rPr>
        <w:t>:</w:t>
      </w:r>
      <w:r w:rsidR="000E444E" w:rsidRPr="007A3E30">
        <w:rPr>
          <w:rFonts w:ascii="Book Antiqua" w:hAnsi="Book Antiqua"/>
          <w:sz w:val="24"/>
          <w:szCs w:val="24"/>
        </w:rPr>
        <w:t xml:space="preserve"> </w:t>
      </w:r>
      <w:r w:rsidR="000E444E" w:rsidRPr="007A3E30">
        <w:rPr>
          <w:rFonts w:ascii="Book Antiqua" w:hAnsi="Book Antiqua"/>
          <w:caps/>
          <w:sz w:val="24"/>
          <w:szCs w:val="24"/>
        </w:rPr>
        <w:t>i</w:t>
      </w:r>
      <w:r w:rsidR="000E444E" w:rsidRPr="007A3E30">
        <w:rPr>
          <w:rFonts w:ascii="Book Antiqua" w:hAnsi="Book Antiqua"/>
          <w:sz w:val="24"/>
          <w:szCs w:val="24"/>
        </w:rPr>
        <w:t xml:space="preserve">ncremental cost-effectiveness ratio; </w:t>
      </w:r>
      <w:r w:rsidR="000540F1" w:rsidRPr="007A3E30">
        <w:rPr>
          <w:rFonts w:ascii="Book Antiqua" w:hAnsi="Book Antiqua"/>
          <w:sz w:val="24"/>
          <w:szCs w:val="24"/>
        </w:rPr>
        <w:t>P-NET: Pancreatic-neuroendocrine tumor</w:t>
      </w:r>
      <w:r w:rsidR="000540F1" w:rsidRPr="007A3E30">
        <w:rPr>
          <w:rFonts w:ascii="Book Antiqua" w:hAnsi="Book Antiqua"/>
          <w:sz w:val="24"/>
          <w:szCs w:val="24"/>
          <w:lang w:eastAsia="zh-CN"/>
        </w:rPr>
        <w:t>.</w:t>
      </w:r>
    </w:p>
    <w:p w14:paraId="70A4CF94" w14:textId="77777777" w:rsidR="00FF4383" w:rsidRPr="007A3E30" w:rsidRDefault="00FF4383" w:rsidP="000540F1">
      <w:pPr>
        <w:pStyle w:val="Text"/>
        <w:widowControl w:val="0"/>
        <w:spacing w:after="0" w:line="360" w:lineRule="auto"/>
        <w:jc w:val="both"/>
        <w:rPr>
          <w:rFonts w:ascii="Book Antiqua" w:hAnsi="Book Antiqua"/>
          <w:sz w:val="24"/>
          <w:szCs w:val="24"/>
          <w:lang w:eastAsia="zh-CN"/>
        </w:rPr>
      </w:pPr>
    </w:p>
    <w:p w14:paraId="4B204B89" w14:textId="77777777" w:rsidR="00FF4383" w:rsidRPr="007A3E30" w:rsidRDefault="00FF4383" w:rsidP="000540F1">
      <w:pPr>
        <w:pStyle w:val="Text"/>
        <w:widowControl w:val="0"/>
        <w:spacing w:after="0" w:line="360" w:lineRule="auto"/>
        <w:jc w:val="both"/>
        <w:rPr>
          <w:rFonts w:ascii="Book Antiqua" w:hAnsi="Book Antiqua"/>
          <w:sz w:val="24"/>
          <w:szCs w:val="24"/>
          <w:lang w:eastAsia="zh-CN"/>
        </w:rPr>
        <w:sectPr w:rsidR="00FF4383" w:rsidRPr="007A3E30" w:rsidSect="001772C9">
          <w:footerReference w:type="default" r:id="rId13"/>
          <w:footerReference w:type="first" r:id="rId14"/>
          <w:endnotePr>
            <w:numFmt w:val="decimal"/>
          </w:endnotePr>
          <w:pgSz w:w="11907" w:h="16839" w:code="9"/>
          <w:pgMar w:top="1440" w:right="1440" w:bottom="1440" w:left="1440" w:header="709" w:footer="709" w:gutter="0"/>
          <w:cols w:space="708"/>
          <w:docGrid w:linePitch="360"/>
        </w:sectPr>
      </w:pPr>
    </w:p>
    <w:p w14:paraId="128A6CB5" w14:textId="77777777" w:rsidR="000E444E" w:rsidRPr="007A3E30" w:rsidRDefault="000E444E" w:rsidP="00FF4383">
      <w:pPr>
        <w:pStyle w:val="a9"/>
        <w:keepNext w:val="0"/>
        <w:keepLines w:val="0"/>
        <w:widowControl w:val="0"/>
        <w:spacing w:after="0" w:line="360" w:lineRule="auto"/>
        <w:ind w:leftChars="24" w:left="1475" w:hangingChars="588" w:hanging="1417"/>
        <w:jc w:val="both"/>
        <w:rPr>
          <w:rFonts w:ascii="Book Antiqua" w:hAnsi="Book Antiqua"/>
          <w:sz w:val="24"/>
          <w:szCs w:val="24"/>
        </w:rPr>
      </w:pPr>
      <w:bookmarkStart w:id="29" w:name="_Ref18423344"/>
      <w:r w:rsidRPr="007A3E30">
        <w:rPr>
          <w:rFonts w:ascii="Book Antiqua" w:hAnsi="Book Antiqua"/>
          <w:sz w:val="24"/>
          <w:szCs w:val="24"/>
        </w:rPr>
        <w:t xml:space="preserve">Table </w:t>
      </w:r>
      <w:bookmarkEnd w:id="29"/>
      <w:r w:rsidR="000540F1" w:rsidRPr="007A3E30">
        <w:rPr>
          <w:rFonts w:ascii="Book Antiqua" w:hAnsi="Book Antiqua"/>
          <w:sz w:val="24"/>
          <w:szCs w:val="24"/>
          <w:lang w:eastAsia="zh-CN"/>
        </w:rPr>
        <w:t xml:space="preserve">5 </w:t>
      </w:r>
      <w:r w:rsidRPr="007A3E30">
        <w:rPr>
          <w:rFonts w:ascii="Book Antiqua" w:hAnsi="Book Antiqua"/>
          <w:sz w:val="24"/>
          <w:szCs w:val="24"/>
        </w:rPr>
        <w:t xml:space="preserve">Summary findings of budget impact analysis </w:t>
      </w:r>
    </w:p>
    <w:tbl>
      <w:tblPr>
        <w:tblStyle w:val="OssianReportTable"/>
        <w:tblW w:w="5000" w:type="pct"/>
        <w:tblLayout w:type="fixed"/>
        <w:tblCellMar>
          <w:left w:w="29" w:type="dxa"/>
          <w:right w:w="29" w:type="dxa"/>
        </w:tblCellMar>
        <w:tblLook w:val="04A0" w:firstRow="1" w:lastRow="0" w:firstColumn="1" w:lastColumn="0" w:noHBand="0" w:noVBand="1"/>
      </w:tblPr>
      <w:tblGrid>
        <w:gridCol w:w="2005"/>
        <w:gridCol w:w="1225"/>
        <w:gridCol w:w="1224"/>
        <w:gridCol w:w="1224"/>
        <w:gridCol w:w="1224"/>
        <w:gridCol w:w="1228"/>
        <w:gridCol w:w="1288"/>
      </w:tblGrid>
      <w:tr w:rsidR="000E444E" w:rsidRPr="007A3E30" w14:paraId="4C00E165" w14:textId="77777777" w:rsidTr="00054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pct"/>
            <w:tcBorders>
              <w:top w:val="single" w:sz="6" w:space="0" w:color="auto"/>
            </w:tcBorders>
            <w:shd w:val="clear" w:color="auto" w:fill="auto"/>
          </w:tcPr>
          <w:p w14:paraId="637915BF"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rPr>
            </w:pPr>
          </w:p>
        </w:tc>
        <w:tc>
          <w:tcPr>
            <w:tcW w:w="3252" w:type="pct"/>
            <w:gridSpan w:val="5"/>
            <w:tcBorders>
              <w:top w:val="single" w:sz="6" w:space="0" w:color="auto"/>
            </w:tcBorders>
            <w:shd w:val="clear" w:color="auto" w:fill="auto"/>
          </w:tcPr>
          <w:p w14:paraId="374430DB" w14:textId="77777777" w:rsidR="000E444E" w:rsidRPr="007A3E30" w:rsidRDefault="000E444E" w:rsidP="000540F1">
            <w:pPr>
              <w:pStyle w:val="Text"/>
              <w:keepNext w:val="0"/>
              <w:keepLines w:val="0"/>
              <w:widowControl w:val="0"/>
              <w:spacing w:before="0"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Year</w:t>
            </w:r>
          </w:p>
        </w:tc>
        <w:tc>
          <w:tcPr>
            <w:tcW w:w="684" w:type="pct"/>
            <w:vMerge w:val="restart"/>
            <w:tcBorders>
              <w:top w:val="single" w:sz="6" w:space="0" w:color="auto"/>
            </w:tcBorders>
            <w:shd w:val="clear" w:color="auto" w:fill="auto"/>
          </w:tcPr>
          <w:p w14:paraId="4E130DAF" w14:textId="77777777" w:rsidR="000E444E" w:rsidRPr="007A3E30" w:rsidRDefault="000E444E" w:rsidP="000540F1">
            <w:pPr>
              <w:pStyle w:val="Text"/>
              <w:keepNext w:val="0"/>
              <w:keepLines w:val="0"/>
              <w:widowControl w:val="0"/>
              <w:spacing w:before="0"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7A3E30">
              <w:rPr>
                <w:rFonts w:ascii="Book Antiqua" w:hAnsi="Book Antiqua"/>
                <w:sz w:val="24"/>
                <w:szCs w:val="24"/>
              </w:rPr>
              <w:t>Cum</w:t>
            </w:r>
            <w:r w:rsidR="000540F1" w:rsidRPr="007A3E30">
              <w:rPr>
                <w:rFonts w:ascii="Book Antiqua" w:hAnsi="Book Antiqua"/>
                <w:sz w:val="24"/>
                <w:szCs w:val="24"/>
              </w:rPr>
              <w:t>ulative budget impact over 5 y</w:t>
            </w:r>
            <w:r w:rsidRPr="007A3E30">
              <w:rPr>
                <w:rFonts w:ascii="Book Antiqua" w:hAnsi="Book Antiqua"/>
                <w:sz w:val="24"/>
                <w:szCs w:val="24"/>
              </w:rPr>
              <w:t>r</w:t>
            </w:r>
          </w:p>
        </w:tc>
      </w:tr>
      <w:tr w:rsidR="000540F1" w:rsidRPr="007A3E30" w14:paraId="49D5CDA4" w14:textId="77777777" w:rsidTr="000540F1">
        <w:tc>
          <w:tcPr>
            <w:cnfStyle w:val="001000000000" w:firstRow="0" w:lastRow="0" w:firstColumn="1" w:lastColumn="0" w:oddVBand="0" w:evenVBand="0" w:oddHBand="0" w:evenHBand="0" w:firstRowFirstColumn="0" w:firstRowLastColumn="0" w:lastRowFirstColumn="0" w:lastRowLastColumn="0"/>
            <w:tcW w:w="1064" w:type="pct"/>
            <w:tcBorders>
              <w:top w:val="single" w:sz="4" w:space="0" w:color="auto"/>
              <w:bottom w:val="single" w:sz="4" w:space="0" w:color="auto"/>
            </w:tcBorders>
            <w:shd w:val="clear" w:color="auto" w:fill="auto"/>
          </w:tcPr>
          <w:p w14:paraId="58D3ABF8"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rPr>
            </w:pPr>
          </w:p>
        </w:tc>
        <w:tc>
          <w:tcPr>
            <w:tcW w:w="650" w:type="pct"/>
            <w:tcBorders>
              <w:top w:val="single" w:sz="4" w:space="0" w:color="auto"/>
              <w:bottom w:val="single" w:sz="4" w:space="0" w:color="auto"/>
            </w:tcBorders>
            <w:shd w:val="clear" w:color="auto" w:fill="auto"/>
          </w:tcPr>
          <w:p w14:paraId="4B791F7C"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sz w:val="24"/>
                <w:szCs w:val="24"/>
              </w:rPr>
            </w:pPr>
            <w:r w:rsidRPr="007A3E30">
              <w:rPr>
                <w:rFonts w:ascii="Book Antiqua" w:hAnsi="Book Antiqua"/>
                <w:b/>
                <w:bCs/>
                <w:sz w:val="24"/>
                <w:szCs w:val="24"/>
              </w:rPr>
              <w:t>1</w:t>
            </w:r>
          </w:p>
        </w:tc>
        <w:tc>
          <w:tcPr>
            <w:tcW w:w="650" w:type="pct"/>
            <w:tcBorders>
              <w:top w:val="single" w:sz="4" w:space="0" w:color="auto"/>
              <w:bottom w:val="single" w:sz="4" w:space="0" w:color="auto"/>
            </w:tcBorders>
            <w:shd w:val="clear" w:color="auto" w:fill="auto"/>
          </w:tcPr>
          <w:p w14:paraId="00B9C273"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sz w:val="24"/>
                <w:szCs w:val="24"/>
              </w:rPr>
            </w:pPr>
            <w:r w:rsidRPr="007A3E30">
              <w:rPr>
                <w:rFonts w:ascii="Book Antiqua" w:hAnsi="Book Antiqua"/>
                <w:b/>
                <w:bCs/>
                <w:sz w:val="24"/>
                <w:szCs w:val="24"/>
              </w:rPr>
              <w:t>2</w:t>
            </w:r>
          </w:p>
        </w:tc>
        <w:tc>
          <w:tcPr>
            <w:tcW w:w="650" w:type="pct"/>
            <w:tcBorders>
              <w:top w:val="single" w:sz="4" w:space="0" w:color="auto"/>
              <w:bottom w:val="single" w:sz="4" w:space="0" w:color="auto"/>
            </w:tcBorders>
            <w:shd w:val="clear" w:color="auto" w:fill="auto"/>
          </w:tcPr>
          <w:p w14:paraId="7165668E"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sz w:val="24"/>
                <w:szCs w:val="24"/>
              </w:rPr>
            </w:pPr>
            <w:r w:rsidRPr="007A3E30">
              <w:rPr>
                <w:rFonts w:ascii="Book Antiqua" w:hAnsi="Book Antiqua"/>
                <w:b/>
                <w:bCs/>
                <w:sz w:val="24"/>
                <w:szCs w:val="24"/>
              </w:rPr>
              <w:t>3</w:t>
            </w:r>
          </w:p>
        </w:tc>
        <w:tc>
          <w:tcPr>
            <w:tcW w:w="650" w:type="pct"/>
            <w:tcBorders>
              <w:top w:val="single" w:sz="4" w:space="0" w:color="auto"/>
              <w:bottom w:val="single" w:sz="4" w:space="0" w:color="auto"/>
            </w:tcBorders>
            <w:shd w:val="clear" w:color="auto" w:fill="auto"/>
          </w:tcPr>
          <w:p w14:paraId="5A1C38F1"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sz w:val="24"/>
                <w:szCs w:val="24"/>
              </w:rPr>
            </w:pPr>
            <w:r w:rsidRPr="007A3E30">
              <w:rPr>
                <w:rFonts w:ascii="Book Antiqua" w:hAnsi="Book Antiqua"/>
                <w:b/>
                <w:bCs/>
                <w:sz w:val="24"/>
                <w:szCs w:val="24"/>
              </w:rPr>
              <w:t>4</w:t>
            </w:r>
          </w:p>
        </w:tc>
        <w:tc>
          <w:tcPr>
            <w:tcW w:w="650" w:type="pct"/>
            <w:tcBorders>
              <w:top w:val="single" w:sz="4" w:space="0" w:color="auto"/>
              <w:bottom w:val="single" w:sz="4" w:space="0" w:color="auto"/>
            </w:tcBorders>
            <w:shd w:val="clear" w:color="auto" w:fill="auto"/>
          </w:tcPr>
          <w:p w14:paraId="07C15563"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sz w:val="24"/>
                <w:szCs w:val="24"/>
              </w:rPr>
            </w:pPr>
            <w:r w:rsidRPr="007A3E30">
              <w:rPr>
                <w:rFonts w:ascii="Book Antiqua" w:hAnsi="Book Antiqua"/>
                <w:b/>
                <w:bCs/>
                <w:sz w:val="24"/>
                <w:szCs w:val="24"/>
              </w:rPr>
              <w:t>5</w:t>
            </w:r>
          </w:p>
        </w:tc>
        <w:tc>
          <w:tcPr>
            <w:tcW w:w="684" w:type="pct"/>
            <w:vMerge/>
            <w:tcBorders>
              <w:bottom w:val="single" w:sz="4" w:space="0" w:color="auto"/>
            </w:tcBorders>
            <w:shd w:val="clear" w:color="auto" w:fill="auto"/>
          </w:tcPr>
          <w:p w14:paraId="1EF576A8"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sz w:val="24"/>
                <w:szCs w:val="24"/>
              </w:rPr>
            </w:pPr>
          </w:p>
        </w:tc>
      </w:tr>
      <w:tr w:rsidR="000E444E" w:rsidRPr="007A3E30" w14:paraId="6C00E78B" w14:textId="77777777" w:rsidTr="000540F1">
        <w:tc>
          <w:tcPr>
            <w:cnfStyle w:val="001000000000" w:firstRow="0" w:lastRow="0" w:firstColumn="1" w:lastColumn="0" w:oddVBand="0" w:evenVBand="0" w:oddHBand="0" w:evenHBand="0" w:firstRowFirstColumn="0" w:firstRowLastColumn="0" w:lastRowFirstColumn="0" w:lastRowLastColumn="0"/>
            <w:tcW w:w="1064" w:type="pct"/>
            <w:tcBorders>
              <w:top w:val="single" w:sz="4" w:space="0" w:color="auto"/>
            </w:tcBorders>
            <w:shd w:val="clear" w:color="auto" w:fill="auto"/>
          </w:tcPr>
          <w:p w14:paraId="2A3EF8C7" w14:textId="77777777" w:rsidR="000E444E" w:rsidRPr="007A3E30" w:rsidRDefault="000E444E" w:rsidP="000540F1">
            <w:pPr>
              <w:pStyle w:val="Text"/>
              <w:keepNext w:val="0"/>
              <w:keepLines w:val="0"/>
              <w:widowControl w:val="0"/>
              <w:spacing w:before="0" w:after="0" w:line="360" w:lineRule="auto"/>
              <w:jc w:val="both"/>
              <w:rPr>
                <w:rFonts w:ascii="Book Antiqua" w:hAnsi="Book Antiqua"/>
                <w:b/>
                <w:bCs/>
                <w:sz w:val="24"/>
                <w:szCs w:val="24"/>
              </w:rPr>
            </w:pPr>
            <w:r w:rsidRPr="007A3E30">
              <w:rPr>
                <w:rFonts w:ascii="Book Antiqua" w:hAnsi="Book Antiqua"/>
                <w:b/>
                <w:bCs/>
                <w:sz w:val="24"/>
                <w:szCs w:val="24"/>
              </w:rPr>
              <w:t>Sweden</w:t>
            </w:r>
          </w:p>
        </w:tc>
        <w:tc>
          <w:tcPr>
            <w:tcW w:w="650" w:type="pct"/>
            <w:tcBorders>
              <w:top w:val="single" w:sz="4" w:space="0" w:color="auto"/>
            </w:tcBorders>
            <w:shd w:val="clear" w:color="auto" w:fill="auto"/>
          </w:tcPr>
          <w:p w14:paraId="4CDAA8DC"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650" w:type="pct"/>
            <w:tcBorders>
              <w:top w:val="single" w:sz="4" w:space="0" w:color="auto"/>
            </w:tcBorders>
            <w:shd w:val="clear" w:color="auto" w:fill="auto"/>
          </w:tcPr>
          <w:p w14:paraId="7B8CCD18"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650" w:type="pct"/>
            <w:tcBorders>
              <w:top w:val="single" w:sz="4" w:space="0" w:color="auto"/>
            </w:tcBorders>
            <w:shd w:val="clear" w:color="auto" w:fill="auto"/>
          </w:tcPr>
          <w:p w14:paraId="63A5155E"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650" w:type="pct"/>
            <w:tcBorders>
              <w:top w:val="single" w:sz="4" w:space="0" w:color="auto"/>
            </w:tcBorders>
            <w:shd w:val="clear" w:color="auto" w:fill="auto"/>
          </w:tcPr>
          <w:p w14:paraId="4F319688"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650" w:type="pct"/>
            <w:tcBorders>
              <w:top w:val="single" w:sz="4" w:space="0" w:color="auto"/>
            </w:tcBorders>
            <w:shd w:val="clear" w:color="auto" w:fill="auto"/>
          </w:tcPr>
          <w:p w14:paraId="3C68C203"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684" w:type="pct"/>
            <w:tcBorders>
              <w:top w:val="single" w:sz="4" w:space="0" w:color="auto"/>
            </w:tcBorders>
            <w:shd w:val="clear" w:color="auto" w:fill="auto"/>
          </w:tcPr>
          <w:p w14:paraId="19E7C86E"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0E444E" w:rsidRPr="007A3E30" w14:paraId="3FC8C388" w14:textId="77777777" w:rsidTr="000540F1">
        <w:tc>
          <w:tcPr>
            <w:cnfStyle w:val="001000000000" w:firstRow="0" w:lastRow="0" w:firstColumn="1" w:lastColumn="0" w:oddVBand="0" w:evenVBand="0" w:oddHBand="0" w:evenHBand="0" w:firstRowFirstColumn="0" w:firstRowLastColumn="0" w:lastRowFirstColumn="0" w:lastRowLastColumn="0"/>
            <w:tcW w:w="1064" w:type="pct"/>
            <w:tcBorders>
              <w:top w:val="single" w:sz="4" w:space="0" w:color="auto"/>
            </w:tcBorders>
            <w:shd w:val="clear" w:color="auto" w:fill="auto"/>
          </w:tcPr>
          <w:p w14:paraId="79BFB98D"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lang w:eastAsia="zh-CN"/>
              </w:rPr>
            </w:pPr>
            <w:r w:rsidRPr="007A3E30">
              <w:rPr>
                <w:rFonts w:ascii="Book Antiqua" w:hAnsi="Book Antiqua"/>
                <w:sz w:val="24"/>
                <w:szCs w:val="24"/>
              </w:rPr>
              <w:t xml:space="preserve">Total treatment-eligible patients, </w:t>
            </w:r>
            <w:r w:rsidRPr="007A3E30">
              <w:rPr>
                <w:rFonts w:ascii="Book Antiqua" w:hAnsi="Book Antiqua"/>
                <w:i/>
                <w:sz w:val="24"/>
                <w:szCs w:val="24"/>
              </w:rPr>
              <w:t>n</w:t>
            </w:r>
            <w:r w:rsidR="000540F1" w:rsidRPr="007A3E30">
              <w:rPr>
                <w:rFonts w:ascii="Book Antiqua" w:hAnsi="Book Antiqua"/>
                <w:sz w:val="24"/>
                <w:szCs w:val="24"/>
                <w:vertAlign w:val="superscript"/>
                <w:lang w:eastAsia="zh-CN"/>
              </w:rPr>
              <w:t>1</w:t>
            </w:r>
          </w:p>
        </w:tc>
        <w:tc>
          <w:tcPr>
            <w:tcW w:w="650" w:type="pct"/>
            <w:tcBorders>
              <w:top w:val="single" w:sz="4" w:space="0" w:color="auto"/>
            </w:tcBorders>
            <w:shd w:val="clear" w:color="auto" w:fill="auto"/>
          </w:tcPr>
          <w:p w14:paraId="4B3E5261"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158</w:t>
            </w:r>
          </w:p>
        </w:tc>
        <w:tc>
          <w:tcPr>
            <w:tcW w:w="650" w:type="pct"/>
            <w:tcBorders>
              <w:top w:val="single" w:sz="4" w:space="0" w:color="auto"/>
            </w:tcBorders>
            <w:shd w:val="clear" w:color="auto" w:fill="auto"/>
          </w:tcPr>
          <w:p w14:paraId="30EB2C54"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158</w:t>
            </w:r>
          </w:p>
        </w:tc>
        <w:tc>
          <w:tcPr>
            <w:tcW w:w="650" w:type="pct"/>
            <w:tcBorders>
              <w:top w:val="single" w:sz="4" w:space="0" w:color="auto"/>
            </w:tcBorders>
            <w:shd w:val="clear" w:color="auto" w:fill="auto"/>
          </w:tcPr>
          <w:p w14:paraId="49106B3B"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158</w:t>
            </w:r>
          </w:p>
        </w:tc>
        <w:tc>
          <w:tcPr>
            <w:tcW w:w="650" w:type="pct"/>
            <w:tcBorders>
              <w:top w:val="single" w:sz="4" w:space="0" w:color="auto"/>
            </w:tcBorders>
            <w:shd w:val="clear" w:color="auto" w:fill="auto"/>
          </w:tcPr>
          <w:p w14:paraId="15EE92AC"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158</w:t>
            </w:r>
          </w:p>
        </w:tc>
        <w:tc>
          <w:tcPr>
            <w:tcW w:w="650" w:type="pct"/>
            <w:tcBorders>
              <w:top w:val="single" w:sz="4" w:space="0" w:color="auto"/>
            </w:tcBorders>
            <w:shd w:val="clear" w:color="auto" w:fill="auto"/>
          </w:tcPr>
          <w:p w14:paraId="7C7D9AF6"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158</w:t>
            </w:r>
          </w:p>
        </w:tc>
        <w:tc>
          <w:tcPr>
            <w:tcW w:w="684" w:type="pct"/>
            <w:tcBorders>
              <w:top w:val="single" w:sz="4" w:space="0" w:color="auto"/>
            </w:tcBorders>
            <w:shd w:val="clear" w:color="auto" w:fill="auto"/>
          </w:tcPr>
          <w:p w14:paraId="79AEBE55"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w:t>
            </w:r>
          </w:p>
        </w:tc>
      </w:tr>
      <w:tr w:rsidR="000E444E" w:rsidRPr="007A3E30" w14:paraId="2A713C58" w14:textId="77777777" w:rsidTr="000540F1">
        <w:tc>
          <w:tcPr>
            <w:cnfStyle w:val="001000000000" w:firstRow="0" w:lastRow="0" w:firstColumn="1" w:lastColumn="0" w:oddVBand="0" w:evenVBand="0" w:oddHBand="0" w:evenHBand="0" w:firstRowFirstColumn="0" w:firstRowLastColumn="0" w:lastRowFirstColumn="0" w:lastRowLastColumn="0"/>
            <w:tcW w:w="1064" w:type="pct"/>
            <w:shd w:val="clear" w:color="auto" w:fill="auto"/>
          </w:tcPr>
          <w:p w14:paraId="14020D9A"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lang w:eastAsia="zh-CN"/>
              </w:rPr>
            </w:pPr>
            <w:r w:rsidRPr="007A3E30">
              <w:rPr>
                <w:rFonts w:ascii="Book Antiqua" w:hAnsi="Book Antiqua"/>
                <w:sz w:val="24"/>
                <w:szCs w:val="24"/>
              </w:rPr>
              <w:t xml:space="preserve">Projected market share for </w:t>
            </w:r>
            <w:r w:rsidRPr="007A3E30">
              <w:rPr>
                <w:rFonts w:ascii="Book Antiqua" w:hAnsi="Book Antiqua"/>
                <w:sz w:val="24"/>
                <w:szCs w:val="24"/>
                <w:vertAlign w:val="superscript"/>
              </w:rPr>
              <w:t>177</w:t>
            </w:r>
            <w:r w:rsidRPr="007A3E30">
              <w:rPr>
                <w:rFonts w:ascii="Book Antiqua" w:hAnsi="Book Antiqua"/>
                <w:sz w:val="24"/>
                <w:szCs w:val="24"/>
              </w:rPr>
              <w:t>Lu-Dotatate, %</w:t>
            </w:r>
            <w:r w:rsidR="000540F1" w:rsidRPr="007A3E30">
              <w:rPr>
                <w:rFonts w:ascii="Book Antiqua" w:hAnsi="Book Antiqua"/>
                <w:sz w:val="24"/>
                <w:szCs w:val="24"/>
                <w:vertAlign w:val="superscript"/>
                <w:lang w:eastAsia="zh-CN"/>
              </w:rPr>
              <w:t>2</w:t>
            </w:r>
          </w:p>
        </w:tc>
        <w:tc>
          <w:tcPr>
            <w:tcW w:w="650" w:type="pct"/>
            <w:shd w:val="clear" w:color="auto" w:fill="auto"/>
          </w:tcPr>
          <w:p w14:paraId="2DD09494"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30</w:t>
            </w:r>
          </w:p>
        </w:tc>
        <w:tc>
          <w:tcPr>
            <w:tcW w:w="650" w:type="pct"/>
            <w:shd w:val="clear" w:color="auto" w:fill="auto"/>
          </w:tcPr>
          <w:p w14:paraId="35E0BE1E"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60</w:t>
            </w:r>
          </w:p>
        </w:tc>
        <w:tc>
          <w:tcPr>
            <w:tcW w:w="650" w:type="pct"/>
            <w:shd w:val="clear" w:color="auto" w:fill="auto"/>
          </w:tcPr>
          <w:p w14:paraId="09EA6243"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80</w:t>
            </w:r>
          </w:p>
        </w:tc>
        <w:tc>
          <w:tcPr>
            <w:tcW w:w="650" w:type="pct"/>
            <w:shd w:val="clear" w:color="auto" w:fill="auto"/>
          </w:tcPr>
          <w:p w14:paraId="7FC86440"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90</w:t>
            </w:r>
          </w:p>
        </w:tc>
        <w:tc>
          <w:tcPr>
            <w:tcW w:w="650" w:type="pct"/>
            <w:shd w:val="clear" w:color="auto" w:fill="auto"/>
          </w:tcPr>
          <w:p w14:paraId="45BAE921"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90</w:t>
            </w:r>
          </w:p>
        </w:tc>
        <w:tc>
          <w:tcPr>
            <w:tcW w:w="684" w:type="pct"/>
            <w:shd w:val="clear" w:color="auto" w:fill="auto"/>
          </w:tcPr>
          <w:p w14:paraId="2E8E76D3"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hAnsi="Book Antiqua"/>
                <w:sz w:val="24"/>
                <w:szCs w:val="24"/>
              </w:rPr>
              <w:t>―</w:t>
            </w:r>
          </w:p>
        </w:tc>
      </w:tr>
      <w:tr w:rsidR="000E444E" w:rsidRPr="007A3E30" w14:paraId="6418E976" w14:textId="77777777" w:rsidTr="000540F1">
        <w:tc>
          <w:tcPr>
            <w:cnfStyle w:val="001000000000" w:firstRow="0" w:lastRow="0" w:firstColumn="1" w:lastColumn="0" w:oddVBand="0" w:evenVBand="0" w:oddHBand="0" w:evenHBand="0" w:firstRowFirstColumn="0" w:firstRowLastColumn="0" w:lastRowFirstColumn="0" w:lastRowLastColumn="0"/>
            <w:tcW w:w="1064" w:type="pct"/>
            <w:shd w:val="clear" w:color="auto" w:fill="auto"/>
          </w:tcPr>
          <w:p w14:paraId="5524BE94"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 xml:space="preserve">Total cost if </w:t>
            </w:r>
            <w:r w:rsidRPr="007A3E30">
              <w:rPr>
                <w:rFonts w:ascii="Book Antiqua" w:hAnsi="Book Antiqua"/>
                <w:sz w:val="24"/>
                <w:szCs w:val="24"/>
                <w:vertAlign w:val="superscript"/>
              </w:rPr>
              <w:t>177</w:t>
            </w:r>
            <w:r w:rsidRPr="007A3E30">
              <w:rPr>
                <w:rFonts w:ascii="Book Antiqua" w:hAnsi="Book Antiqua"/>
                <w:sz w:val="24"/>
                <w:szCs w:val="24"/>
              </w:rPr>
              <w:t>Lu-Dotatate adopted, SEK</w:t>
            </w:r>
          </w:p>
        </w:tc>
        <w:tc>
          <w:tcPr>
            <w:tcW w:w="650" w:type="pct"/>
            <w:shd w:val="clear" w:color="auto" w:fill="auto"/>
          </w:tcPr>
          <w:p w14:paraId="7DB01FF5" w14:textId="77777777" w:rsidR="000E444E" w:rsidRPr="007A3E30" w:rsidRDefault="000540F1"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eastAsia="Times New Roman" w:hAnsi="Book Antiqua" w:cs="Arial"/>
                <w:bCs/>
                <w:sz w:val="24"/>
                <w:szCs w:val="24"/>
                <w:lang w:val="en-GB"/>
              </w:rPr>
              <w:t>85610</w:t>
            </w:r>
            <w:r w:rsidR="000E444E" w:rsidRPr="007A3E30">
              <w:rPr>
                <w:rFonts w:ascii="Book Antiqua" w:eastAsia="Times New Roman" w:hAnsi="Book Antiqua" w:cs="Arial"/>
                <w:bCs/>
                <w:sz w:val="24"/>
                <w:szCs w:val="24"/>
                <w:lang w:val="en-GB"/>
              </w:rPr>
              <w:t>153</w:t>
            </w:r>
          </w:p>
        </w:tc>
        <w:tc>
          <w:tcPr>
            <w:tcW w:w="650" w:type="pct"/>
            <w:shd w:val="clear" w:color="auto" w:fill="auto"/>
          </w:tcPr>
          <w:p w14:paraId="68C7054B" w14:textId="77777777" w:rsidR="000E444E" w:rsidRPr="007A3E30" w:rsidRDefault="000540F1"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eastAsia="Times New Roman" w:hAnsi="Book Antiqua" w:cs="Arial"/>
                <w:bCs/>
                <w:sz w:val="24"/>
                <w:szCs w:val="24"/>
                <w:lang w:val="en-GB"/>
              </w:rPr>
              <w:t>102881</w:t>
            </w:r>
            <w:r w:rsidR="000E444E" w:rsidRPr="007A3E30">
              <w:rPr>
                <w:rFonts w:ascii="Book Antiqua" w:eastAsia="Times New Roman" w:hAnsi="Book Antiqua" w:cs="Arial"/>
                <w:bCs/>
                <w:sz w:val="24"/>
                <w:szCs w:val="24"/>
                <w:lang w:val="en-GB"/>
              </w:rPr>
              <w:t>530</w:t>
            </w:r>
          </w:p>
        </w:tc>
        <w:tc>
          <w:tcPr>
            <w:tcW w:w="650" w:type="pct"/>
            <w:shd w:val="clear" w:color="auto" w:fill="auto"/>
          </w:tcPr>
          <w:p w14:paraId="362301DD" w14:textId="77777777" w:rsidR="000E444E" w:rsidRPr="007A3E30" w:rsidRDefault="000540F1"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eastAsia="Times New Roman" w:hAnsi="Book Antiqua" w:cs="Arial"/>
                <w:bCs/>
                <w:sz w:val="24"/>
                <w:szCs w:val="24"/>
                <w:lang w:val="en-GB"/>
              </w:rPr>
              <w:t>114640</w:t>
            </w:r>
            <w:r w:rsidR="000E444E" w:rsidRPr="007A3E30">
              <w:rPr>
                <w:rFonts w:ascii="Book Antiqua" w:eastAsia="Times New Roman" w:hAnsi="Book Antiqua" w:cs="Arial"/>
                <w:bCs/>
                <w:sz w:val="24"/>
                <w:szCs w:val="24"/>
                <w:lang w:val="en-GB"/>
              </w:rPr>
              <w:t>765</w:t>
            </w:r>
          </w:p>
        </w:tc>
        <w:tc>
          <w:tcPr>
            <w:tcW w:w="650" w:type="pct"/>
            <w:shd w:val="clear" w:color="auto" w:fill="auto"/>
          </w:tcPr>
          <w:p w14:paraId="780B392C" w14:textId="77777777" w:rsidR="000E444E" w:rsidRPr="007A3E30" w:rsidRDefault="000540F1"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eastAsia="Times New Roman" w:hAnsi="Book Antiqua" w:cs="Arial"/>
                <w:bCs/>
                <w:sz w:val="24"/>
                <w:szCs w:val="24"/>
                <w:lang w:val="en-GB"/>
              </w:rPr>
              <w:t>120520</w:t>
            </w:r>
            <w:r w:rsidR="000E444E" w:rsidRPr="007A3E30">
              <w:rPr>
                <w:rFonts w:ascii="Book Antiqua" w:eastAsia="Times New Roman" w:hAnsi="Book Antiqua" w:cs="Arial"/>
                <w:bCs/>
                <w:sz w:val="24"/>
                <w:szCs w:val="24"/>
                <w:lang w:val="en-GB"/>
              </w:rPr>
              <w:t>382</w:t>
            </w:r>
          </w:p>
        </w:tc>
        <w:tc>
          <w:tcPr>
            <w:tcW w:w="650" w:type="pct"/>
            <w:shd w:val="clear" w:color="auto" w:fill="auto"/>
          </w:tcPr>
          <w:p w14:paraId="619D4E89" w14:textId="77777777" w:rsidR="000E444E" w:rsidRPr="007A3E30" w:rsidRDefault="000540F1"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eastAsia="Times New Roman" w:hAnsi="Book Antiqua" w:cs="Arial"/>
                <w:bCs/>
                <w:sz w:val="24"/>
                <w:szCs w:val="24"/>
                <w:lang w:val="en-GB"/>
              </w:rPr>
              <w:t>120520</w:t>
            </w:r>
            <w:r w:rsidR="000E444E" w:rsidRPr="007A3E30">
              <w:rPr>
                <w:rFonts w:ascii="Book Antiqua" w:eastAsia="Times New Roman" w:hAnsi="Book Antiqua" w:cs="Arial"/>
                <w:bCs/>
                <w:sz w:val="24"/>
                <w:szCs w:val="24"/>
                <w:lang w:val="en-GB"/>
              </w:rPr>
              <w:t>382</w:t>
            </w:r>
          </w:p>
        </w:tc>
        <w:tc>
          <w:tcPr>
            <w:tcW w:w="684" w:type="pct"/>
            <w:shd w:val="clear" w:color="auto" w:fill="auto"/>
          </w:tcPr>
          <w:p w14:paraId="6ADAB9DB" w14:textId="77777777" w:rsidR="000E444E" w:rsidRPr="007A3E30" w:rsidRDefault="000540F1"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r w:rsidRPr="007A3E30">
              <w:rPr>
                <w:rFonts w:ascii="Book Antiqua" w:eastAsia="Times New Roman" w:hAnsi="Book Antiqua" w:cs="Arial"/>
                <w:bCs/>
                <w:sz w:val="24"/>
                <w:szCs w:val="24"/>
                <w:lang w:val="en-GB"/>
              </w:rPr>
              <w:t>544173</w:t>
            </w:r>
            <w:r w:rsidR="000E444E" w:rsidRPr="007A3E30">
              <w:rPr>
                <w:rFonts w:ascii="Book Antiqua" w:eastAsia="Times New Roman" w:hAnsi="Book Antiqua" w:cs="Arial"/>
                <w:bCs/>
                <w:sz w:val="24"/>
                <w:szCs w:val="24"/>
                <w:lang w:val="en-GB"/>
              </w:rPr>
              <w:t>212</w:t>
            </w:r>
          </w:p>
        </w:tc>
      </w:tr>
      <w:tr w:rsidR="000E444E" w:rsidRPr="007A3E30" w14:paraId="406A51DA" w14:textId="77777777" w:rsidTr="000540F1">
        <w:tc>
          <w:tcPr>
            <w:cnfStyle w:val="001000000000" w:firstRow="0" w:lastRow="0" w:firstColumn="1" w:lastColumn="0" w:oddVBand="0" w:evenVBand="0" w:oddHBand="0" w:evenHBand="0" w:firstRowFirstColumn="0" w:firstRowLastColumn="0" w:lastRowFirstColumn="0" w:lastRowLastColumn="0"/>
            <w:tcW w:w="1064" w:type="pct"/>
            <w:shd w:val="clear" w:color="auto" w:fill="auto"/>
          </w:tcPr>
          <w:p w14:paraId="2AC14B14"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 xml:space="preserve">Total cost if </w:t>
            </w:r>
            <w:r w:rsidRPr="007A3E30">
              <w:rPr>
                <w:rFonts w:ascii="Book Antiqua" w:hAnsi="Book Antiqua"/>
                <w:sz w:val="24"/>
                <w:szCs w:val="24"/>
                <w:vertAlign w:val="superscript"/>
              </w:rPr>
              <w:t>177</w:t>
            </w:r>
            <w:r w:rsidRPr="007A3E30">
              <w:rPr>
                <w:rFonts w:ascii="Book Antiqua" w:hAnsi="Book Antiqua"/>
                <w:sz w:val="24"/>
                <w:szCs w:val="24"/>
              </w:rPr>
              <w:t>Lu-Dotatate not adopted, SEK</w:t>
            </w:r>
          </w:p>
        </w:tc>
        <w:tc>
          <w:tcPr>
            <w:tcW w:w="650" w:type="pct"/>
            <w:shd w:val="clear" w:color="auto" w:fill="auto"/>
          </w:tcPr>
          <w:p w14:paraId="546A17BB" w14:textId="77777777" w:rsidR="000E444E" w:rsidRPr="007A3E30" w:rsidRDefault="000540F1"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eastAsia="Times New Roman" w:hAnsi="Book Antiqua" w:cs="Arial"/>
                <w:bCs/>
                <w:sz w:val="24"/>
                <w:szCs w:val="24"/>
                <w:lang w:val="en-GB"/>
              </w:rPr>
              <w:t>68338</w:t>
            </w:r>
            <w:r w:rsidR="000E444E" w:rsidRPr="007A3E30">
              <w:rPr>
                <w:rFonts w:ascii="Book Antiqua" w:eastAsia="Times New Roman" w:hAnsi="Book Antiqua" w:cs="Arial"/>
                <w:bCs/>
                <w:sz w:val="24"/>
                <w:szCs w:val="24"/>
                <w:lang w:val="en-GB"/>
              </w:rPr>
              <w:t>777</w:t>
            </w:r>
          </w:p>
        </w:tc>
        <w:tc>
          <w:tcPr>
            <w:tcW w:w="650" w:type="pct"/>
            <w:shd w:val="clear" w:color="auto" w:fill="auto"/>
          </w:tcPr>
          <w:p w14:paraId="051D3622" w14:textId="77777777" w:rsidR="000E444E" w:rsidRPr="007A3E30" w:rsidRDefault="000540F1"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eastAsia="Times New Roman" w:hAnsi="Book Antiqua" w:cs="Arial"/>
                <w:bCs/>
                <w:sz w:val="24"/>
                <w:szCs w:val="24"/>
                <w:lang w:val="en-GB"/>
              </w:rPr>
              <w:t>68338</w:t>
            </w:r>
            <w:r w:rsidR="000E444E" w:rsidRPr="007A3E30">
              <w:rPr>
                <w:rFonts w:ascii="Book Antiqua" w:eastAsia="Times New Roman" w:hAnsi="Book Antiqua" w:cs="Arial"/>
                <w:bCs/>
                <w:sz w:val="24"/>
                <w:szCs w:val="24"/>
                <w:lang w:val="en-GB"/>
              </w:rPr>
              <w:t>777</w:t>
            </w:r>
          </w:p>
        </w:tc>
        <w:tc>
          <w:tcPr>
            <w:tcW w:w="650" w:type="pct"/>
            <w:shd w:val="clear" w:color="auto" w:fill="auto"/>
          </w:tcPr>
          <w:p w14:paraId="4CB2579F" w14:textId="77777777" w:rsidR="000E444E" w:rsidRPr="007A3E30" w:rsidRDefault="000540F1"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eastAsia="Times New Roman" w:hAnsi="Book Antiqua" w:cs="Arial"/>
                <w:bCs/>
                <w:sz w:val="24"/>
                <w:szCs w:val="24"/>
                <w:lang w:val="en-GB"/>
              </w:rPr>
              <w:t>68338</w:t>
            </w:r>
            <w:r w:rsidR="000E444E" w:rsidRPr="007A3E30">
              <w:rPr>
                <w:rFonts w:ascii="Book Antiqua" w:eastAsia="Times New Roman" w:hAnsi="Book Antiqua" w:cs="Arial"/>
                <w:bCs/>
                <w:sz w:val="24"/>
                <w:szCs w:val="24"/>
                <w:lang w:val="en-GB"/>
              </w:rPr>
              <w:t>777</w:t>
            </w:r>
          </w:p>
        </w:tc>
        <w:tc>
          <w:tcPr>
            <w:tcW w:w="650" w:type="pct"/>
            <w:shd w:val="clear" w:color="auto" w:fill="auto"/>
          </w:tcPr>
          <w:p w14:paraId="70D83B1C" w14:textId="77777777" w:rsidR="000E444E" w:rsidRPr="007A3E30" w:rsidRDefault="000540F1"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eastAsia="Times New Roman" w:hAnsi="Book Antiqua" w:cs="Arial"/>
                <w:bCs/>
                <w:sz w:val="24"/>
                <w:szCs w:val="24"/>
                <w:lang w:val="en-GB"/>
              </w:rPr>
              <w:t>68338</w:t>
            </w:r>
            <w:r w:rsidR="000E444E" w:rsidRPr="007A3E30">
              <w:rPr>
                <w:rFonts w:ascii="Book Antiqua" w:eastAsia="Times New Roman" w:hAnsi="Book Antiqua" w:cs="Arial"/>
                <w:bCs/>
                <w:sz w:val="24"/>
                <w:szCs w:val="24"/>
                <w:lang w:val="en-GB"/>
              </w:rPr>
              <w:t>777</w:t>
            </w:r>
          </w:p>
        </w:tc>
        <w:tc>
          <w:tcPr>
            <w:tcW w:w="650" w:type="pct"/>
            <w:shd w:val="clear" w:color="auto" w:fill="auto"/>
          </w:tcPr>
          <w:p w14:paraId="3260A4E6" w14:textId="77777777" w:rsidR="000E444E" w:rsidRPr="007A3E30" w:rsidRDefault="000540F1"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eastAsia="Times New Roman" w:hAnsi="Book Antiqua" w:cs="Arial"/>
                <w:bCs/>
                <w:sz w:val="24"/>
                <w:szCs w:val="24"/>
                <w:lang w:val="en-GB"/>
              </w:rPr>
              <w:t>68338</w:t>
            </w:r>
            <w:r w:rsidR="000E444E" w:rsidRPr="007A3E30">
              <w:rPr>
                <w:rFonts w:ascii="Book Antiqua" w:eastAsia="Times New Roman" w:hAnsi="Book Antiqua" w:cs="Arial"/>
                <w:bCs/>
                <w:sz w:val="24"/>
                <w:szCs w:val="24"/>
                <w:lang w:val="en-GB"/>
              </w:rPr>
              <w:t>777</w:t>
            </w:r>
          </w:p>
        </w:tc>
        <w:tc>
          <w:tcPr>
            <w:tcW w:w="684" w:type="pct"/>
            <w:shd w:val="clear" w:color="auto" w:fill="auto"/>
          </w:tcPr>
          <w:p w14:paraId="40A2CB9E" w14:textId="77777777" w:rsidR="000E444E" w:rsidRPr="007A3E30" w:rsidRDefault="000540F1"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r w:rsidRPr="007A3E30">
              <w:rPr>
                <w:rFonts w:ascii="Book Antiqua" w:eastAsia="Times New Roman" w:hAnsi="Book Antiqua" w:cs="Arial"/>
                <w:bCs/>
                <w:sz w:val="24"/>
                <w:szCs w:val="24"/>
                <w:lang w:val="en-GB"/>
              </w:rPr>
              <w:t>341693</w:t>
            </w:r>
            <w:r w:rsidR="000E444E" w:rsidRPr="007A3E30">
              <w:rPr>
                <w:rFonts w:ascii="Book Antiqua" w:eastAsia="Times New Roman" w:hAnsi="Book Antiqua" w:cs="Arial"/>
                <w:bCs/>
                <w:sz w:val="24"/>
                <w:szCs w:val="24"/>
                <w:lang w:val="en-GB"/>
              </w:rPr>
              <w:t>885</w:t>
            </w:r>
          </w:p>
        </w:tc>
      </w:tr>
      <w:tr w:rsidR="000E444E" w:rsidRPr="007A3E30" w14:paraId="2A988B87" w14:textId="77777777" w:rsidTr="0001290C">
        <w:tc>
          <w:tcPr>
            <w:cnfStyle w:val="001000000000" w:firstRow="0" w:lastRow="0" w:firstColumn="1" w:lastColumn="0" w:oddVBand="0" w:evenVBand="0" w:oddHBand="0" w:evenHBand="0" w:firstRowFirstColumn="0" w:firstRowLastColumn="0" w:lastRowFirstColumn="0" w:lastRowLastColumn="0"/>
            <w:tcW w:w="1064" w:type="pct"/>
            <w:tcBorders>
              <w:bottom w:val="nil"/>
            </w:tcBorders>
            <w:shd w:val="clear" w:color="auto" w:fill="auto"/>
          </w:tcPr>
          <w:p w14:paraId="49D2EFC9"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Budget impact, SEK</w:t>
            </w:r>
          </w:p>
        </w:tc>
        <w:tc>
          <w:tcPr>
            <w:tcW w:w="650" w:type="pct"/>
            <w:tcBorders>
              <w:bottom w:val="nil"/>
            </w:tcBorders>
            <w:shd w:val="clear" w:color="auto" w:fill="auto"/>
          </w:tcPr>
          <w:p w14:paraId="3C45D8D2" w14:textId="77777777" w:rsidR="000E444E" w:rsidRPr="007A3E30" w:rsidRDefault="000540F1"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eastAsia="Times New Roman" w:hAnsi="Book Antiqua" w:cs="Arial"/>
                <w:bCs/>
                <w:sz w:val="24"/>
                <w:szCs w:val="24"/>
                <w:lang w:val="en-GB"/>
              </w:rPr>
              <w:t>17271</w:t>
            </w:r>
            <w:r w:rsidR="000E444E" w:rsidRPr="007A3E30">
              <w:rPr>
                <w:rFonts w:ascii="Book Antiqua" w:eastAsia="Times New Roman" w:hAnsi="Book Antiqua" w:cs="Arial"/>
                <w:bCs/>
                <w:sz w:val="24"/>
                <w:szCs w:val="24"/>
                <w:lang w:val="en-GB"/>
              </w:rPr>
              <w:t>376</w:t>
            </w:r>
          </w:p>
        </w:tc>
        <w:tc>
          <w:tcPr>
            <w:tcW w:w="650" w:type="pct"/>
            <w:tcBorders>
              <w:bottom w:val="nil"/>
            </w:tcBorders>
            <w:shd w:val="clear" w:color="auto" w:fill="auto"/>
          </w:tcPr>
          <w:p w14:paraId="5E9BD238" w14:textId="77777777" w:rsidR="000E444E" w:rsidRPr="007A3E30" w:rsidRDefault="000540F1"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eastAsia="Times New Roman" w:hAnsi="Book Antiqua" w:cs="Arial"/>
                <w:bCs/>
                <w:sz w:val="24"/>
                <w:szCs w:val="24"/>
                <w:lang w:val="en-GB"/>
              </w:rPr>
              <w:t>34542</w:t>
            </w:r>
            <w:r w:rsidR="000E444E" w:rsidRPr="007A3E30">
              <w:rPr>
                <w:rFonts w:ascii="Book Antiqua" w:eastAsia="Times New Roman" w:hAnsi="Book Antiqua" w:cs="Arial"/>
                <w:bCs/>
                <w:sz w:val="24"/>
                <w:szCs w:val="24"/>
                <w:lang w:val="en-GB"/>
              </w:rPr>
              <w:t>753</w:t>
            </w:r>
          </w:p>
        </w:tc>
        <w:tc>
          <w:tcPr>
            <w:tcW w:w="650" w:type="pct"/>
            <w:tcBorders>
              <w:bottom w:val="nil"/>
            </w:tcBorders>
            <w:shd w:val="clear" w:color="auto" w:fill="auto"/>
          </w:tcPr>
          <w:p w14:paraId="1ADC97B2" w14:textId="77777777" w:rsidR="000E444E" w:rsidRPr="007A3E30" w:rsidRDefault="000540F1"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eastAsia="Times New Roman" w:hAnsi="Book Antiqua" w:cs="Arial"/>
                <w:bCs/>
                <w:sz w:val="24"/>
                <w:szCs w:val="24"/>
                <w:lang w:val="en-GB"/>
              </w:rPr>
              <w:t>46301</w:t>
            </w:r>
            <w:r w:rsidR="000E444E" w:rsidRPr="007A3E30">
              <w:rPr>
                <w:rFonts w:ascii="Book Antiqua" w:eastAsia="Times New Roman" w:hAnsi="Book Antiqua" w:cs="Arial"/>
                <w:bCs/>
                <w:sz w:val="24"/>
                <w:szCs w:val="24"/>
                <w:lang w:val="en-GB"/>
              </w:rPr>
              <w:t>988</w:t>
            </w:r>
          </w:p>
        </w:tc>
        <w:tc>
          <w:tcPr>
            <w:tcW w:w="650" w:type="pct"/>
            <w:tcBorders>
              <w:bottom w:val="nil"/>
            </w:tcBorders>
            <w:shd w:val="clear" w:color="auto" w:fill="auto"/>
          </w:tcPr>
          <w:p w14:paraId="1BB449FA" w14:textId="77777777" w:rsidR="000E444E" w:rsidRPr="007A3E30" w:rsidRDefault="000540F1"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eastAsia="Times New Roman" w:hAnsi="Book Antiqua" w:cs="Arial"/>
                <w:bCs/>
                <w:sz w:val="24"/>
                <w:szCs w:val="24"/>
                <w:lang w:val="en-GB"/>
              </w:rPr>
              <w:t>52181</w:t>
            </w:r>
            <w:r w:rsidR="000E444E" w:rsidRPr="007A3E30">
              <w:rPr>
                <w:rFonts w:ascii="Book Antiqua" w:eastAsia="Times New Roman" w:hAnsi="Book Antiqua" w:cs="Arial"/>
                <w:bCs/>
                <w:sz w:val="24"/>
                <w:szCs w:val="24"/>
                <w:lang w:val="en-GB"/>
              </w:rPr>
              <w:t>605</w:t>
            </w:r>
          </w:p>
        </w:tc>
        <w:tc>
          <w:tcPr>
            <w:tcW w:w="650" w:type="pct"/>
            <w:tcBorders>
              <w:bottom w:val="nil"/>
            </w:tcBorders>
            <w:shd w:val="clear" w:color="auto" w:fill="auto"/>
          </w:tcPr>
          <w:p w14:paraId="6E86CC24" w14:textId="77777777" w:rsidR="000E444E" w:rsidRPr="007A3E30" w:rsidRDefault="000540F1"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A3E30">
              <w:rPr>
                <w:rFonts w:ascii="Book Antiqua" w:eastAsia="Times New Roman" w:hAnsi="Book Antiqua" w:cs="Arial"/>
                <w:bCs/>
                <w:sz w:val="24"/>
                <w:szCs w:val="24"/>
                <w:lang w:val="en-GB"/>
              </w:rPr>
              <w:t>52181</w:t>
            </w:r>
            <w:r w:rsidR="000E444E" w:rsidRPr="007A3E30">
              <w:rPr>
                <w:rFonts w:ascii="Book Antiqua" w:eastAsia="Times New Roman" w:hAnsi="Book Antiqua" w:cs="Arial"/>
                <w:bCs/>
                <w:sz w:val="24"/>
                <w:szCs w:val="24"/>
                <w:lang w:val="en-GB"/>
              </w:rPr>
              <w:t>605</w:t>
            </w:r>
          </w:p>
        </w:tc>
        <w:tc>
          <w:tcPr>
            <w:tcW w:w="684" w:type="pct"/>
            <w:tcBorders>
              <w:bottom w:val="nil"/>
            </w:tcBorders>
            <w:shd w:val="clear" w:color="auto" w:fill="auto"/>
          </w:tcPr>
          <w:p w14:paraId="4452767E" w14:textId="77777777" w:rsidR="000E444E" w:rsidRPr="007A3E30" w:rsidRDefault="000540F1"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r w:rsidRPr="007A3E30">
              <w:rPr>
                <w:rFonts w:ascii="Book Antiqua" w:eastAsia="Times New Roman" w:hAnsi="Book Antiqua" w:cs="Arial"/>
                <w:bCs/>
                <w:sz w:val="24"/>
                <w:szCs w:val="24"/>
                <w:lang w:val="en-GB"/>
              </w:rPr>
              <w:t>202479</w:t>
            </w:r>
            <w:r w:rsidR="000E444E" w:rsidRPr="007A3E30">
              <w:rPr>
                <w:rFonts w:ascii="Book Antiqua" w:eastAsia="Times New Roman" w:hAnsi="Book Antiqua" w:cs="Arial"/>
                <w:bCs/>
                <w:sz w:val="24"/>
                <w:szCs w:val="24"/>
                <w:lang w:val="en-GB"/>
              </w:rPr>
              <w:t>327</w:t>
            </w:r>
          </w:p>
        </w:tc>
      </w:tr>
      <w:tr w:rsidR="000E444E" w:rsidRPr="007A3E30" w14:paraId="034E261E" w14:textId="77777777" w:rsidTr="0001290C">
        <w:tc>
          <w:tcPr>
            <w:cnfStyle w:val="001000000000" w:firstRow="0" w:lastRow="0" w:firstColumn="1" w:lastColumn="0" w:oddVBand="0" w:evenVBand="0" w:oddHBand="0" w:evenHBand="0" w:firstRowFirstColumn="0" w:firstRowLastColumn="0" w:lastRowFirstColumn="0" w:lastRowLastColumn="0"/>
            <w:tcW w:w="1064" w:type="pct"/>
            <w:tcBorders>
              <w:top w:val="nil"/>
              <w:bottom w:val="nil"/>
            </w:tcBorders>
            <w:shd w:val="clear" w:color="auto" w:fill="auto"/>
          </w:tcPr>
          <w:p w14:paraId="392D8605" w14:textId="77777777" w:rsidR="000E444E" w:rsidRPr="007A3E30" w:rsidRDefault="000E444E" w:rsidP="000540F1">
            <w:pPr>
              <w:pStyle w:val="Text"/>
              <w:keepNext w:val="0"/>
              <w:keepLines w:val="0"/>
              <w:widowControl w:val="0"/>
              <w:spacing w:before="0" w:after="0" w:line="360" w:lineRule="auto"/>
              <w:jc w:val="both"/>
              <w:rPr>
                <w:rFonts w:ascii="Book Antiqua" w:hAnsi="Book Antiqua"/>
                <w:b/>
                <w:bCs/>
                <w:sz w:val="24"/>
                <w:szCs w:val="24"/>
              </w:rPr>
            </w:pPr>
            <w:r w:rsidRPr="007A3E30">
              <w:rPr>
                <w:rFonts w:ascii="Book Antiqua" w:hAnsi="Book Antiqua"/>
                <w:b/>
                <w:bCs/>
                <w:sz w:val="24"/>
                <w:szCs w:val="24"/>
              </w:rPr>
              <w:t>Norway</w:t>
            </w:r>
          </w:p>
        </w:tc>
        <w:tc>
          <w:tcPr>
            <w:tcW w:w="650" w:type="pct"/>
            <w:tcBorders>
              <w:top w:val="nil"/>
              <w:bottom w:val="nil"/>
            </w:tcBorders>
            <w:shd w:val="clear" w:color="auto" w:fill="auto"/>
          </w:tcPr>
          <w:p w14:paraId="227B4EB3"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p>
        </w:tc>
        <w:tc>
          <w:tcPr>
            <w:tcW w:w="650" w:type="pct"/>
            <w:tcBorders>
              <w:top w:val="nil"/>
              <w:bottom w:val="nil"/>
            </w:tcBorders>
            <w:shd w:val="clear" w:color="auto" w:fill="auto"/>
          </w:tcPr>
          <w:p w14:paraId="6F86FD8B"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p>
        </w:tc>
        <w:tc>
          <w:tcPr>
            <w:tcW w:w="650" w:type="pct"/>
            <w:tcBorders>
              <w:top w:val="nil"/>
              <w:bottom w:val="nil"/>
            </w:tcBorders>
            <w:shd w:val="clear" w:color="auto" w:fill="auto"/>
          </w:tcPr>
          <w:p w14:paraId="28B9B981"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p>
        </w:tc>
        <w:tc>
          <w:tcPr>
            <w:tcW w:w="650" w:type="pct"/>
            <w:tcBorders>
              <w:top w:val="nil"/>
              <w:bottom w:val="nil"/>
            </w:tcBorders>
            <w:shd w:val="clear" w:color="auto" w:fill="auto"/>
          </w:tcPr>
          <w:p w14:paraId="780E5503"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p>
        </w:tc>
        <w:tc>
          <w:tcPr>
            <w:tcW w:w="650" w:type="pct"/>
            <w:tcBorders>
              <w:top w:val="nil"/>
              <w:bottom w:val="nil"/>
            </w:tcBorders>
            <w:shd w:val="clear" w:color="auto" w:fill="auto"/>
          </w:tcPr>
          <w:p w14:paraId="58E05B69"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p>
        </w:tc>
        <w:tc>
          <w:tcPr>
            <w:tcW w:w="684" w:type="pct"/>
            <w:tcBorders>
              <w:top w:val="nil"/>
              <w:bottom w:val="nil"/>
            </w:tcBorders>
            <w:shd w:val="clear" w:color="auto" w:fill="auto"/>
          </w:tcPr>
          <w:p w14:paraId="321FA6C8"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p>
        </w:tc>
      </w:tr>
      <w:tr w:rsidR="000E444E" w:rsidRPr="007A3E30" w14:paraId="1098EB6A" w14:textId="77777777" w:rsidTr="0001290C">
        <w:tc>
          <w:tcPr>
            <w:cnfStyle w:val="001000000000" w:firstRow="0" w:lastRow="0" w:firstColumn="1" w:lastColumn="0" w:oddVBand="0" w:evenVBand="0" w:oddHBand="0" w:evenHBand="0" w:firstRowFirstColumn="0" w:firstRowLastColumn="0" w:lastRowFirstColumn="0" w:lastRowLastColumn="0"/>
            <w:tcW w:w="1064" w:type="pct"/>
            <w:tcBorders>
              <w:top w:val="nil"/>
            </w:tcBorders>
            <w:shd w:val="clear" w:color="auto" w:fill="auto"/>
          </w:tcPr>
          <w:p w14:paraId="6819101B" w14:textId="77777777" w:rsidR="000E444E" w:rsidRPr="007A3E30" w:rsidRDefault="000E444E" w:rsidP="000540F1">
            <w:pPr>
              <w:pStyle w:val="Text"/>
              <w:keepNext w:val="0"/>
              <w:keepLines w:val="0"/>
              <w:widowControl w:val="0"/>
              <w:spacing w:before="0" w:after="0" w:line="360" w:lineRule="auto"/>
              <w:jc w:val="both"/>
              <w:rPr>
                <w:rFonts w:ascii="Book Antiqua" w:hAnsi="Book Antiqua"/>
                <w:b/>
                <w:bCs/>
                <w:sz w:val="24"/>
                <w:szCs w:val="24"/>
                <w:lang w:eastAsia="zh-CN"/>
              </w:rPr>
            </w:pPr>
            <w:r w:rsidRPr="007A3E30">
              <w:rPr>
                <w:rFonts w:ascii="Book Antiqua" w:hAnsi="Book Antiqua"/>
                <w:sz w:val="24"/>
                <w:szCs w:val="24"/>
              </w:rPr>
              <w:t>Total treatment-eligible patients, n</w:t>
            </w:r>
            <w:r w:rsidR="000540F1" w:rsidRPr="007A3E30">
              <w:rPr>
                <w:rFonts w:ascii="Book Antiqua" w:hAnsi="Book Antiqua"/>
                <w:sz w:val="24"/>
                <w:szCs w:val="24"/>
                <w:vertAlign w:val="superscript"/>
                <w:lang w:eastAsia="zh-CN"/>
              </w:rPr>
              <w:t>1</w:t>
            </w:r>
          </w:p>
        </w:tc>
        <w:tc>
          <w:tcPr>
            <w:tcW w:w="650" w:type="pct"/>
            <w:tcBorders>
              <w:top w:val="nil"/>
            </w:tcBorders>
            <w:shd w:val="clear" w:color="auto" w:fill="auto"/>
          </w:tcPr>
          <w:p w14:paraId="248BD965"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r w:rsidRPr="007A3E30">
              <w:rPr>
                <w:rFonts w:ascii="Book Antiqua" w:eastAsia="Times New Roman" w:hAnsi="Book Antiqua" w:cs="Arial"/>
                <w:bCs/>
                <w:sz w:val="24"/>
                <w:szCs w:val="24"/>
                <w:lang w:val="en-GB"/>
              </w:rPr>
              <w:t>100</w:t>
            </w:r>
          </w:p>
        </w:tc>
        <w:tc>
          <w:tcPr>
            <w:tcW w:w="650" w:type="pct"/>
            <w:tcBorders>
              <w:top w:val="nil"/>
            </w:tcBorders>
            <w:shd w:val="clear" w:color="auto" w:fill="auto"/>
          </w:tcPr>
          <w:p w14:paraId="241FAC4B"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r w:rsidRPr="007A3E30">
              <w:rPr>
                <w:rFonts w:ascii="Book Antiqua" w:eastAsia="Times New Roman" w:hAnsi="Book Antiqua" w:cs="Arial"/>
                <w:bCs/>
                <w:sz w:val="24"/>
                <w:szCs w:val="24"/>
                <w:lang w:val="en-GB"/>
              </w:rPr>
              <w:t>100</w:t>
            </w:r>
          </w:p>
        </w:tc>
        <w:tc>
          <w:tcPr>
            <w:tcW w:w="650" w:type="pct"/>
            <w:tcBorders>
              <w:top w:val="nil"/>
            </w:tcBorders>
            <w:shd w:val="clear" w:color="auto" w:fill="auto"/>
          </w:tcPr>
          <w:p w14:paraId="6E21805A"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r w:rsidRPr="007A3E30">
              <w:rPr>
                <w:rFonts w:ascii="Book Antiqua" w:eastAsia="Times New Roman" w:hAnsi="Book Antiqua" w:cs="Arial"/>
                <w:bCs/>
                <w:sz w:val="24"/>
                <w:szCs w:val="24"/>
                <w:lang w:val="en-GB"/>
              </w:rPr>
              <w:t>100</w:t>
            </w:r>
          </w:p>
        </w:tc>
        <w:tc>
          <w:tcPr>
            <w:tcW w:w="650" w:type="pct"/>
            <w:tcBorders>
              <w:top w:val="nil"/>
            </w:tcBorders>
            <w:shd w:val="clear" w:color="auto" w:fill="auto"/>
          </w:tcPr>
          <w:p w14:paraId="1645E500"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r w:rsidRPr="007A3E30">
              <w:rPr>
                <w:rFonts w:ascii="Book Antiqua" w:eastAsia="Times New Roman" w:hAnsi="Book Antiqua" w:cs="Arial"/>
                <w:bCs/>
                <w:sz w:val="24"/>
                <w:szCs w:val="24"/>
                <w:lang w:val="en-GB"/>
              </w:rPr>
              <w:t>100</w:t>
            </w:r>
          </w:p>
        </w:tc>
        <w:tc>
          <w:tcPr>
            <w:tcW w:w="650" w:type="pct"/>
            <w:tcBorders>
              <w:top w:val="nil"/>
            </w:tcBorders>
            <w:shd w:val="clear" w:color="auto" w:fill="auto"/>
          </w:tcPr>
          <w:p w14:paraId="126EDE7C"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r w:rsidRPr="007A3E30">
              <w:rPr>
                <w:rFonts w:ascii="Book Antiqua" w:eastAsia="Times New Roman" w:hAnsi="Book Antiqua" w:cs="Arial"/>
                <w:bCs/>
                <w:sz w:val="24"/>
                <w:szCs w:val="24"/>
                <w:lang w:val="en-GB"/>
              </w:rPr>
              <w:t>100</w:t>
            </w:r>
          </w:p>
        </w:tc>
        <w:tc>
          <w:tcPr>
            <w:tcW w:w="684" w:type="pct"/>
            <w:tcBorders>
              <w:top w:val="nil"/>
            </w:tcBorders>
            <w:shd w:val="clear" w:color="auto" w:fill="auto"/>
          </w:tcPr>
          <w:p w14:paraId="4259F857"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r w:rsidRPr="007A3E30">
              <w:rPr>
                <w:rFonts w:ascii="Book Antiqua" w:hAnsi="Book Antiqua"/>
                <w:sz w:val="24"/>
                <w:szCs w:val="24"/>
              </w:rPr>
              <w:t>―</w:t>
            </w:r>
          </w:p>
        </w:tc>
      </w:tr>
      <w:tr w:rsidR="000E444E" w:rsidRPr="007A3E30" w14:paraId="0B4BC85F" w14:textId="77777777" w:rsidTr="000540F1">
        <w:tc>
          <w:tcPr>
            <w:cnfStyle w:val="001000000000" w:firstRow="0" w:lastRow="0" w:firstColumn="1" w:lastColumn="0" w:oddVBand="0" w:evenVBand="0" w:oddHBand="0" w:evenHBand="0" w:firstRowFirstColumn="0" w:firstRowLastColumn="0" w:lastRowFirstColumn="0" w:lastRowLastColumn="0"/>
            <w:tcW w:w="1064" w:type="pct"/>
            <w:shd w:val="clear" w:color="auto" w:fill="auto"/>
          </w:tcPr>
          <w:p w14:paraId="558BF1C3" w14:textId="77777777" w:rsidR="000E444E" w:rsidRPr="007A3E30" w:rsidRDefault="000E444E" w:rsidP="000540F1">
            <w:pPr>
              <w:pStyle w:val="Text"/>
              <w:keepNext w:val="0"/>
              <w:keepLines w:val="0"/>
              <w:widowControl w:val="0"/>
              <w:spacing w:before="0" w:after="0" w:line="360" w:lineRule="auto"/>
              <w:jc w:val="both"/>
              <w:rPr>
                <w:rFonts w:ascii="Book Antiqua" w:hAnsi="Book Antiqua"/>
                <w:b/>
                <w:bCs/>
                <w:sz w:val="24"/>
                <w:szCs w:val="24"/>
                <w:lang w:eastAsia="zh-CN"/>
              </w:rPr>
            </w:pPr>
            <w:r w:rsidRPr="007A3E30">
              <w:rPr>
                <w:rFonts w:ascii="Book Antiqua" w:hAnsi="Book Antiqua"/>
                <w:sz w:val="24"/>
                <w:szCs w:val="24"/>
              </w:rPr>
              <w:t xml:space="preserve">Projected market share for </w:t>
            </w:r>
            <w:r w:rsidRPr="007A3E30">
              <w:rPr>
                <w:rFonts w:ascii="Book Antiqua" w:hAnsi="Book Antiqua"/>
                <w:sz w:val="24"/>
                <w:szCs w:val="24"/>
                <w:vertAlign w:val="superscript"/>
              </w:rPr>
              <w:t>177</w:t>
            </w:r>
            <w:r w:rsidRPr="007A3E30">
              <w:rPr>
                <w:rFonts w:ascii="Book Antiqua" w:hAnsi="Book Antiqua"/>
                <w:sz w:val="24"/>
                <w:szCs w:val="24"/>
              </w:rPr>
              <w:t>Lu-Dotatate, %</w:t>
            </w:r>
            <w:r w:rsidR="000540F1" w:rsidRPr="007A3E30">
              <w:rPr>
                <w:rFonts w:ascii="Book Antiqua" w:hAnsi="Book Antiqua"/>
                <w:sz w:val="24"/>
                <w:szCs w:val="24"/>
                <w:vertAlign w:val="superscript"/>
                <w:lang w:eastAsia="zh-CN"/>
              </w:rPr>
              <w:t>2</w:t>
            </w:r>
          </w:p>
        </w:tc>
        <w:tc>
          <w:tcPr>
            <w:tcW w:w="650" w:type="pct"/>
            <w:shd w:val="clear" w:color="auto" w:fill="auto"/>
          </w:tcPr>
          <w:p w14:paraId="74C69EC7"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r w:rsidRPr="007A3E30">
              <w:rPr>
                <w:rFonts w:ascii="Book Antiqua" w:eastAsia="Times New Roman" w:hAnsi="Book Antiqua" w:cs="Arial"/>
                <w:bCs/>
                <w:sz w:val="24"/>
                <w:szCs w:val="24"/>
                <w:lang w:val="en-GB"/>
              </w:rPr>
              <w:t>50</w:t>
            </w:r>
          </w:p>
        </w:tc>
        <w:tc>
          <w:tcPr>
            <w:tcW w:w="650" w:type="pct"/>
            <w:shd w:val="clear" w:color="auto" w:fill="auto"/>
          </w:tcPr>
          <w:p w14:paraId="02C62970"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r w:rsidRPr="007A3E30">
              <w:rPr>
                <w:rFonts w:ascii="Book Antiqua" w:eastAsia="Times New Roman" w:hAnsi="Book Antiqua" w:cs="Arial"/>
                <w:bCs/>
                <w:sz w:val="24"/>
                <w:szCs w:val="24"/>
                <w:lang w:val="en-GB"/>
              </w:rPr>
              <w:t>50</w:t>
            </w:r>
          </w:p>
        </w:tc>
        <w:tc>
          <w:tcPr>
            <w:tcW w:w="650" w:type="pct"/>
            <w:shd w:val="clear" w:color="auto" w:fill="auto"/>
          </w:tcPr>
          <w:p w14:paraId="07306BF5"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r w:rsidRPr="007A3E30">
              <w:rPr>
                <w:rFonts w:ascii="Book Antiqua" w:eastAsia="Times New Roman" w:hAnsi="Book Antiqua" w:cs="Arial"/>
                <w:bCs/>
                <w:sz w:val="24"/>
                <w:szCs w:val="24"/>
                <w:lang w:val="en-GB"/>
              </w:rPr>
              <w:t>50</w:t>
            </w:r>
          </w:p>
        </w:tc>
        <w:tc>
          <w:tcPr>
            <w:tcW w:w="650" w:type="pct"/>
            <w:shd w:val="clear" w:color="auto" w:fill="auto"/>
          </w:tcPr>
          <w:p w14:paraId="67AA474F"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r w:rsidRPr="007A3E30">
              <w:rPr>
                <w:rFonts w:ascii="Book Antiqua" w:eastAsia="Times New Roman" w:hAnsi="Book Antiqua" w:cs="Arial"/>
                <w:bCs/>
                <w:sz w:val="24"/>
                <w:szCs w:val="24"/>
                <w:lang w:val="en-GB"/>
              </w:rPr>
              <w:t>50</w:t>
            </w:r>
          </w:p>
        </w:tc>
        <w:tc>
          <w:tcPr>
            <w:tcW w:w="650" w:type="pct"/>
            <w:shd w:val="clear" w:color="auto" w:fill="auto"/>
          </w:tcPr>
          <w:p w14:paraId="0A7E801A"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r w:rsidRPr="007A3E30">
              <w:rPr>
                <w:rFonts w:ascii="Book Antiqua" w:eastAsia="Times New Roman" w:hAnsi="Book Antiqua" w:cs="Arial"/>
                <w:bCs/>
                <w:sz w:val="24"/>
                <w:szCs w:val="24"/>
                <w:lang w:val="en-GB"/>
              </w:rPr>
              <w:t>50</w:t>
            </w:r>
          </w:p>
        </w:tc>
        <w:tc>
          <w:tcPr>
            <w:tcW w:w="684" w:type="pct"/>
            <w:shd w:val="clear" w:color="auto" w:fill="auto"/>
          </w:tcPr>
          <w:p w14:paraId="32052AE8" w14:textId="77777777" w:rsidR="000E444E" w:rsidRPr="007A3E30" w:rsidRDefault="000E444E"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r w:rsidRPr="007A3E30">
              <w:rPr>
                <w:rFonts w:ascii="Book Antiqua" w:hAnsi="Book Antiqua"/>
                <w:sz w:val="24"/>
                <w:szCs w:val="24"/>
              </w:rPr>
              <w:t>―</w:t>
            </w:r>
          </w:p>
        </w:tc>
      </w:tr>
      <w:tr w:rsidR="000E444E" w:rsidRPr="007A3E30" w14:paraId="18887995" w14:textId="77777777" w:rsidTr="000540F1">
        <w:tc>
          <w:tcPr>
            <w:cnfStyle w:val="001000000000" w:firstRow="0" w:lastRow="0" w:firstColumn="1" w:lastColumn="0" w:oddVBand="0" w:evenVBand="0" w:oddHBand="0" w:evenHBand="0" w:firstRowFirstColumn="0" w:firstRowLastColumn="0" w:lastRowFirstColumn="0" w:lastRowLastColumn="0"/>
            <w:tcW w:w="1064" w:type="pct"/>
            <w:shd w:val="clear" w:color="auto" w:fill="auto"/>
          </w:tcPr>
          <w:p w14:paraId="75529FED" w14:textId="77777777" w:rsidR="000E444E" w:rsidRPr="007A3E30" w:rsidRDefault="000E444E" w:rsidP="000540F1">
            <w:pPr>
              <w:pStyle w:val="Text"/>
              <w:keepNext w:val="0"/>
              <w:keepLines w:val="0"/>
              <w:widowControl w:val="0"/>
              <w:spacing w:before="0" w:after="0" w:line="360" w:lineRule="auto"/>
              <w:jc w:val="both"/>
              <w:rPr>
                <w:rFonts w:ascii="Book Antiqua" w:hAnsi="Book Antiqua"/>
                <w:b/>
                <w:bCs/>
                <w:sz w:val="24"/>
                <w:szCs w:val="24"/>
              </w:rPr>
            </w:pPr>
            <w:r w:rsidRPr="007A3E30">
              <w:rPr>
                <w:rFonts w:ascii="Book Antiqua" w:hAnsi="Book Antiqua"/>
                <w:sz w:val="24"/>
                <w:szCs w:val="24"/>
              </w:rPr>
              <w:t xml:space="preserve">Total cost if </w:t>
            </w:r>
            <w:r w:rsidRPr="007A3E30">
              <w:rPr>
                <w:rFonts w:ascii="Book Antiqua" w:hAnsi="Book Antiqua"/>
                <w:sz w:val="24"/>
                <w:szCs w:val="24"/>
                <w:vertAlign w:val="superscript"/>
              </w:rPr>
              <w:t>177</w:t>
            </w:r>
            <w:r w:rsidRPr="007A3E30">
              <w:rPr>
                <w:rFonts w:ascii="Book Antiqua" w:hAnsi="Book Antiqua"/>
                <w:sz w:val="24"/>
                <w:szCs w:val="24"/>
              </w:rPr>
              <w:t>Lu-Dotatate adopted, NOK</w:t>
            </w:r>
          </w:p>
        </w:tc>
        <w:tc>
          <w:tcPr>
            <w:tcW w:w="650" w:type="pct"/>
            <w:shd w:val="clear" w:color="auto" w:fill="auto"/>
          </w:tcPr>
          <w:p w14:paraId="7DCE48DF" w14:textId="77777777" w:rsidR="000E444E" w:rsidRPr="007A3E30" w:rsidRDefault="000540F1"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r w:rsidRPr="007A3E30">
              <w:rPr>
                <w:rFonts w:ascii="Book Antiqua" w:eastAsia="Times New Roman" w:hAnsi="Book Antiqua" w:cs="Arial"/>
                <w:bCs/>
                <w:sz w:val="24"/>
                <w:szCs w:val="24"/>
                <w:lang w:val="en-GB"/>
              </w:rPr>
              <w:t>67920</w:t>
            </w:r>
            <w:r w:rsidR="000E444E" w:rsidRPr="007A3E30">
              <w:rPr>
                <w:rFonts w:ascii="Book Antiqua" w:eastAsia="Times New Roman" w:hAnsi="Book Antiqua" w:cs="Arial"/>
                <w:bCs/>
                <w:sz w:val="24"/>
                <w:szCs w:val="24"/>
                <w:lang w:val="en-GB"/>
              </w:rPr>
              <w:t>975</w:t>
            </w:r>
          </w:p>
        </w:tc>
        <w:tc>
          <w:tcPr>
            <w:tcW w:w="650" w:type="pct"/>
            <w:shd w:val="clear" w:color="auto" w:fill="auto"/>
          </w:tcPr>
          <w:p w14:paraId="6DCE83ED" w14:textId="77777777" w:rsidR="000E444E" w:rsidRPr="007A3E30" w:rsidRDefault="000540F1"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r w:rsidRPr="007A3E30">
              <w:rPr>
                <w:rFonts w:ascii="Book Antiqua" w:eastAsia="Times New Roman" w:hAnsi="Book Antiqua" w:cs="Arial"/>
                <w:bCs/>
                <w:sz w:val="24"/>
                <w:szCs w:val="24"/>
                <w:lang w:val="en-GB"/>
              </w:rPr>
              <w:t>67920</w:t>
            </w:r>
            <w:r w:rsidR="000E444E" w:rsidRPr="007A3E30">
              <w:rPr>
                <w:rFonts w:ascii="Book Antiqua" w:eastAsia="Times New Roman" w:hAnsi="Book Antiqua" w:cs="Arial"/>
                <w:bCs/>
                <w:sz w:val="24"/>
                <w:szCs w:val="24"/>
                <w:lang w:val="en-GB"/>
              </w:rPr>
              <w:t>975</w:t>
            </w:r>
          </w:p>
        </w:tc>
        <w:tc>
          <w:tcPr>
            <w:tcW w:w="650" w:type="pct"/>
            <w:shd w:val="clear" w:color="auto" w:fill="auto"/>
          </w:tcPr>
          <w:p w14:paraId="26A8111D" w14:textId="77777777" w:rsidR="000E444E" w:rsidRPr="007A3E30" w:rsidRDefault="000540F1"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r w:rsidRPr="007A3E30">
              <w:rPr>
                <w:rFonts w:ascii="Book Antiqua" w:eastAsia="Times New Roman" w:hAnsi="Book Antiqua" w:cs="Arial"/>
                <w:bCs/>
                <w:sz w:val="24"/>
                <w:szCs w:val="24"/>
                <w:lang w:val="en-GB"/>
              </w:rPr>
              <w:t>67920</w:t>
            </w:r>
            <w:r w:rsidR="000E444E" w:rsidRPr="007A3E30">
              <w:rPr>
                <w:rFonts w:ascii="Book Antiqua" w:eastAsia="Times New Roman" w:hAnsi="Book Antiqua" w:cs="Arial"/>
                <w:bCs/>
                <w:sz w:val="24"/>
                <w:szCs w:val="24"/>
                <w:lang w:val="en-GB"/>
              </w:rPr>
              <w:t>975</w:t>
            </w:r>
          </w:p>
        </w:tc>
        <w:tc>
          <w:tcPr>
            <w:tcW w:w="650" w:type="pct"/>
            <w:shd w:val="clear" w:color="auto" w:fill="auto"/>
          </w:tcPr>
          <w:p w14:paraId="18A53C4F" w14:textId="77777777" w:rsidR="000E444E" w:rsidRPr="007A3E30" w:rsidRDefault="000540F1"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r w:rsidRPr="007A3E30">
              <w:rPr>
                <w:rFonts w:ascii="Book Antiqua" w:eastAsia="Times New Roman" w:hAnsi="Book Antiqua" w:cs="Arial"/>
                <w:bCs/>
                <w:sz w:val="24"/>
                <w:szCs w:val="24"/>
                <w:lang w:val="en-GB"/>
              </w:rPr>
              <w:t>67920</w:t>
            </w:r>
            <w:r w:rsidR="000E444E" w:rsidRPr="007A3E30">
              <w:rPr>
                <w:rFonts w:ascii="Book Antiqua" w:eastAsia="Times New Roman" w:hAnsi="Book Antiqua" w:cs="Arial"/>
                <w:bCs/>
                <w:sz w:val="24"/>
                <w:szCs w:val="24"/>
                <w:lang w:val="en-GB"/>
              </w:rPr>
              <w:t>975</w:t>
            </w:r>
          </w:p>
        </w:tc>
        <w:tc>
          <w:tcPr>
            <w:tcW w:w="650" w:type="pct"/>
            <w:shd w:val="clear" w:color="auto" w:fill="auto"/>
          </w:tcPr>
          <w:p w14:paraId="16077413" w14:textId="77777777" w:rsidR="000E444E" w:rsidRPr="007A3E30" w:rsidRDefault="000540F1"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r w:rsidRPr="007A3E30">
              <w:rPr>
                <w:rFonts w:ascii="Book Antiqua" w:eastAsia="Times New Roman" w:hAnsi="Book Antiqua" w:cs="Arial"/>
                <w:bCs/>
                <w:sz w:val="24"/>
                <w:szCs w:val="24"/>
                <w:lang w:val="en-GB"/>
              </w:rPr>
              <w:t>67920</w:t>
            </w:r>
            <w:r w:rsidR="000E444E" w:rsidRPr="007A3E30">
              <w:rPr>
                <w:rFonts w:ascii="Book Antiqua" w:eastAsia="Times New Roman" w:hAnsi="Book Antiqua" w:cs="Arial"/>
                <w:bCs/>
                <w:sz w:val="24"/>
                <w:szCs w:val="24"/>
                <w:lang w:val="en-GB"/>
              </w:rPr>
              <w:t>975</w:t>
            </w:r>
          </w:p>
        </w:tc>
        <w:tc>
          <w:tcPr>
            <w:tcW w:w="684" w:type="pct"/>
            <w:shd w:val="clear" w:color="auto" w:fill="auto"/>
          </w:tcPr>
          <w:p w14:paraId="36FCBA6B" w14:textId="77777777" w:rsidR="000E444E" w:rsidRPr="007A3E30" w:rsidRDefault="000540F1"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r w:rsidRPr="007A3E30">
              <w:rPr>
                <w:rFonts w:ascii="Book Antiqua" w:eastAsia="Times New Roman" w:hAnsi="Book Antiqua" w:cs="Arial"/>
                <w:bCs/>
                <w:sz w:val="24"/>
                <w:szCs w:val="24"/>
                <w:lang w:val="en-GB"/>
              </w:rPr>
              <w:t>339604</w:t>
            </w:r>
            <w:r w:rsidR="000E444E" w:rsidRPr="007A3E30">
              <w:rPr>
                <w:rFonts w:ascii="Book Antiqua" w:eastAsia="Times New Roman" w:hAnsi="Book Antiqua" w:cs="Arial"/>
                <w:bCs/>
                <w:sz w:val="24"/>
                <w:szCs w:val="24"/>
                <w:lang w:val="en-GB"/>
              </w:rPr>
              <w:t>875</w:t>
            </w:r>
          </w:p>
        </w:tc>
      </w:tr>
      <w:tr w:rsidR="000E444E" w:rsidRPr="007A3E30" w14:paraId="551F3B51" w14:textId="77777777" w:rsidTr="000540F1">
        <w:tc>
          <w:tcPr>
            <w:cnfStyle w:val="001000000000" w:firstRow="0" w:lastRow="0" w:firstColumn="1" w:lastColumn="0" w:oddVBand="0" w:evenVBand="0" w:oddHBand="0" w:evenHBand="0" w:firstRowFirstColumn="0" w:firstRowLastColumn="0" w:lastRowFirstColumn="0" w:lastRowLastColumn="0"/>
            <w:tcW w:w="1064" w:type="pct"/>
            <w:shd w:val="clear" w:color="auto" w:fill="auto"/>
          </w:tcPr>
          <w:p w14:paraId="46AD1362"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 xml:space="preserve">Total cost if </w:t>
            </w:r>
            <w:r w:rsidRPr="007A3E30">
              <w:rPr>
                <w:rFonts w:ascii="Book Antiqua" w:hAnsi="Book Antiqua"/>
                <w:sz w:val="24"/>
                <w:szCs w:val="24"/>
                <w:vertAlign w:val="superscript"/>
              </w:rPr>
              <w:t>177</w:t>
            </w:r>
            <w:r w:rsidRPr="007A3E30">
              <w:rPr>
                <w:rFonts w:ascii="Book Antiqua" w:hAnsi="Book Antiqua"/>
                <w:sz w:val="24"/>
                <w:szCs w:val="24"/>
              </w:rPr>
              <w:t>Lu-Dotatate not adopted, NOK</w:t>
            </w:r>
          </w:p>
        </w:tc>
        <w:tc>
          <w:tcPr>
            <w:tcW w:w="650" w:type="pct"/>
            <w:shd w:val="clear" w:color="auto" w:fill="auto"/>
          </w:tcPr>
          <w:p w14:paraId="78CD70AA" w14:textId="77777777" w:rsidR="000E444E" w:rsidRPr="007A3E30" w:rsidRDefault="000540F1"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r w:rsidRPr="007A3E30">
              <w:rPr>
                <w:rFonts w:ascii="Book Antiqua" w:eastAsia="Times New Roman" w:hAnsi="Book Antiqua" w:cs="Arial"/>
                <w:bCs/>
                <w:sz w:val="24"/>
                <w:szCs w:val="24"/>
                <w:lang w:val="en-GB"/>
              </w:rPr>
              <w:t>44438</w:t>
            </w:r>
            <w:r w:rsidR="000E444E" w:rsidRPr="007A3E30">
              <w:rPr>
                <w:rFonts w:ascii="Book Antiqua" w:eastAsia="Times New Roman" w:hAnsi="Book Antiqua" w:cs="Arial"/>
                <w:bCs/>
                <w:sz w:val="24"/>
                <w:szCs w:val="24"/>
                <w:lang w:val="en-GB"/>
              </w:rPr>
              <w:t>750</w:t>
            </w:r>
          </w:p>
        </w:tc>
        <w:tc>
          <w:tcPr>
            <w:tcW w:w="650" w:type="pct"/>
            <w:shd w:val="clear" w:color="auto" w:fill="auto"/>
          </w:tcPr>
          <w:p w14:paraId="7C681055" w14:textId="77777777" w:rsidR="000E444E" w:rsidRPr="007A3E30" w:rsidRDefault="000540F1"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r w:rsidRPr="007A3E30">
              <w:rPr>
                <w:rFonts w:ascii="Book Antiqua" w:eastAsia="Times New Roman" w:hAnsi="Book Antiqua" w:cs="Arial"/>
                <w:bCs/>
                <w:sz w:val="24"/>
                <w:szCs w:val="24"/>
                <w:lang w:val="en-GB"/>
              </w:rPr>
              <w:t>44</w:t>
            </w:r>
            <w:r w:rsidR="000E444E" w:rsidRPr="007A3E30">
              <w:rPr>
                <w:rFonts w:ascii="Book Antiqua" w:eastAsia="Times New Roman" w:hAnsi="Book Antiqua" w:cs="Arial"/>
                <w:bCs/>
                <w:sz w:val="24"/>
                <w:szCs w:val="24"/>
                <w:lang w:val="en-GB"/>
              </w:rPr>
              <w:t>438750</w:t>
            </w:r>
          </w:p>
        </w:tc>
        <w:tc>
          <w:tcPr>
            <w:tcW w:w="650" w:type="pct"/>
            <w:shd w:val="clear" w:color="auto" w:fill="auto"/>
          </w:tcPr>
          <w:p w14:paraId="3F478058" w14:textId="77777777" w:rsidR="000E444E" w:rsidRPr="007A3E30" w:rsidRDefault="000540F1"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r w:rsidRPr="007A3E30">
              <w:rPr>
                <w:rFonts w:ascii="Book Antiqua" w:eastAsia="Times New Roman" w:hAnsi="Book Antiqua" w:cs="Arial"/>
                <w:bCs/>
                <w:sz w:val="24"/>
                <w:szCs w:val="24"/>
                <w:lang w:val="en-GB"/>
              </w:rPr>
              <w:t>44</w:t>
            </w:r>
            <w:r w:rsidR="000E444E" w:rsidRPr="007A3E30">
              <w:rPr>
                <w:rFonts w:ascii="Book Antiqua" w:eastAsia="Times New Roman" w:hAnsi="Book Antiqua" w:cs="Arial"/>
                <w:bCs/>
                <w:sz w:val="24"/>
                <w:szCs w:val="24"/>
                <w:lang w:val="en-GB"/>
              </w:rPr>
              <w:t>438750</w:t>
            </w:r>
          </w:p>
        </w:tc>
        <w:tc>
          <w:tcPr>
            <w:tcW w:w="650" w:type="pct"/>
            <w:shd w:val="clear" w:color="auto" w:fill="auto"/>
          </w:tcPr>
          <w:p w14:paraId="3513865D" w14:textId="77777777" w:rsidR="000E444E" w:rsidRPr="007A3E30" w:rsidRDefault="000540F1"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r w:rsidRPr="007A3E30">
              <w:rPr>
                <w:rFonts w:ascii="Book Antiqua" w:eastAsia="Times New Roman" w:hAnsi="Book Antiqua" w:cs="Arial"/>
                <w:bCs/>
                <w:sz w:val="24"/>
                <w:szCs w:val="24"/>
                <w:lang w:val="en-GB"/>
              </w:rPr>
              <w:t>44438</w:t>
            </w:r>
            <w:r w:rsidR="000E444E" w:rsidRPr="007A3E30">
              <w:rPr>
                <w:rFonts w:ascii="Book Antiqua" w:eastAsia="Times New Roman" w:hAnsi="Book Antiqua" w:cs="Arial"/>
                <w:bCs/>
                <w:sz w:val="24"/>
                <w:szCs w:val="24"/>
                <w:lang w:val="en-GB"/>
              </w:rPr>
              <w:t>750</w:t>
            </w:r>
          </w:p>
        </w:tc>
        <w:tc>
          <w:tcPr>
            <w:tcW w:w="650" w:type="pct"/>
            <w:shd w:val="clear" w:color="auto" w:fill="auto"/>
          </w:tcPr>
          <w:p w14:paraId="491661D2" w14:textId="77777777" w:rsidR="000E444E" w:rsidRPr="007A3E30" w:rsidRDefault="000540F1"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r w:rsidRPr="007A3E30">
              <w:rPr>
                <w:rFonts w:ascii="Book Antiqua" w:eastAsia="Times New Roman" w:hAnsi="Book Antiqua" w:cs="Arial"/>
                <w:bCs/>
                <w:sz w:val="24"/>
                <w:szCs w:val="24"/>
                <w:lang w:val="en-GB"/>
              </w:rPr>
              <w:t>44438</w:t>
            </w:r>
            <w:r w:rsidR="000E444E" w:rsidRPr="007A3E30">
              <w:rPr>
                <w:rFonts w:ascii="Book Antiqua" w:eastAsia="Times New Roman" w:hAnsi="Book Antiqua" w:cs="Arial"/>
                <w:bCs/>
                <w:sz w:val="24"/>
                <w:szCs w:val="24"/>
                <w:lang w:val="en-GB"/>
              </w:rPr>
              <w:t>750</w:t>
            </w:r>
          </w:p>
        </w:tc>
        <w:tc>
          <w:tcPr>
            <w:tcW w:w="684" w:type="pct"/>
            <w:shd w:val="clear" w:color="auto" w:fill="auto"/>
          </w:tcPr>
          <w:p w14:paraId="7AB38C6D" w14:textId="77777777" w:rsidR="000E444E" w:rsidRPr="007A3E30" w:rsidRDefault="000540F1"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r w:rsidRPr="007A3E30">
              <w:rPr>
                <w:rFonts w:ascii="Book Antiqua" w:eastAsia="Times New Roman" w:hAnsi="Book Antiqua" w:cs="Arial"/>
                <w:bCs/>
                <w:sz w:val="24"/>
                <w:szCs w:val="24"/>
                <w:lang w:val="en-GB"/>
              </w:rPr>
              <w:t>222193</w:t>
            </w:r>
            <w:r w:rsidR="000E444E" w:rsidRPr="007A3E30">
              <w:rPr>
                <w:rFonts w:ascii="Book Antiqua" w:eastAsia="Times New Roman" w:hAnsi="Book Antiqua" w:cs="Arial"/>
                <w:bCs/>
                <w:sz w:val="24"/>
                <w:szCs w:val="24"/>
                <w:lang w:val="en-GB"/>
              </w:rPr>
              <w:t>750</w:t>
            </w:r>
          </w:p>
        </w:tc>
      </w:tr>
      <w:tr w:rsidR="000E444E" w:rsidRPr="007A3E30" w14:paraId="182E2844" w14:textId="77777777" w:rsidTr="000540F1">
        <w:tc>
          <w:tcPr>
            <w:cnfStyle w:val="001000000000" w:firstRow="0" w:lastRow="0" w:firstColumn="1" w:lastColumn="0" w:oddVBand="0" w:evenVBand="0" w:oddHBand="0" w:evenHBand="0" w:firstRowFirstColumn="0" w:firstRowLastColumn="0" w:lastRowFirstColumn="0" w:lastRowLastColumn="0"/>
            <w:tcW w:w="1064" w:type="pct"/>
            <w:tcBorders>
              <w:bottom w:val="single" w:sz="4" w:space="0" w:color="auto"/>
            </w:tcBorders>
            <w:shd w:val="clear" w:color="auto" w:fill="auto"/>
          </w:tcPr>
          <w:p w14:paraId="2A3366DF" w14:textId="77777777" w:rsidR="000E444E" w:rsidRPr="007A3E30" w:rsidRDefault="000E444E" w:rsidP="000540F1">
            <w:pPr>
              <w:pStyle w:val="Text"/>
              <w:keepNext w:val="0"/>
              <w:keepLines w:val="0"/>
              <w:widowControl w:val="0"/>
              <w:spacing w:before="0" w:after="0" w:line="360" w:lineRule="auto"/>
              <w:jc w:val="both"/>
              <w:rPr>
                <w:rFonts w:ascii="Book Antiqua" w:hAnsi="Book Antiqua"/>
                <w:sz w:val="24"/>
                <w:szCs w:val="24"/>
              </w:rPr>
            </w:pPr>
            <w:r w:rsidRPr="007A3E30">
              <w:rPr>
                <w:rFonts w:ascii="Book Antiqua" w:hAnsi="Book Antiqua"/>
                <w:sz w:val="24"/>
                <w:szCs w:val="24"/>
              </w:rPr>
              <w:t>Budget impact, NOK</w:t>
            </w:r>
          </w:p>
        </w:tc>
        <w:tc>
          <w:tcPr>
            <w:tcW w:w="650" w:type="pct"/>
            <w:tcBorders>
              <w:bottom w:val="single" w:sz="4" w:space="0" w:color="auto"/>
            </w:tcBorders>
            <w:shd w:val="clear" w:color="auto" w:fill="auto"/>
          </w:tcPr>
          <w:p w14:paraId="10FE47B1" w14:textId="77777777" w:rsidR="000E444E" w:rsidRPr="007A3E30" w:rsidRDefault="000540F1"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r w:rsidRPr="007A3E30">
              <w:rPr>
                <w:rFonts w:ascii="Book Antiqua" w:eastAsia="Times New Roman" w:hAnsi="Book Antiqua" w:cs="Arial"/>
                <w:bCs/>
                <w:sz w:val="24"/>
                <w:szCs w:val="24"/>
                <w:lang w:val="en-GB"/>
              </w:rPr>
              <w:t xml:space="preserve"> 23482</w:t>
            </w:r>
            <w:r w:rsidR="000E444E" w:rsidRPr="007A3E30">
              <w:rPr>
                <w:rFonts w:ascii="Book Antiqua" w:eastAsia="Times New Roman" w:hAnsi="Book Antiqua" w:cs="Arial"/>
                <w:bCs/>
                <w:sz w:val="24"/>
                <w:szCs w:val="24"/>
                <w:lang w:val="en-GB"/>
              </w:rPr>
              <w:t>225</w:t>
            </w:r>
          </w:p>
        </w:tc>
        <w:tc>
          <w:tcPr>
            <w:tcW w:w="650" w:type="pct"/>
            <w:tcBorders>
              <w:bottom w:val="single" w:sz="4" w:space="0" w:color="auto"/>
            </w:tcBorders>
            <w:shd w:val="clear" w:color="auto" w:fill="auto"/>
          </w:tcPr>
          <w:p w14:paraId="0610FA24" w14:textId="77777777" w:rsidR="000E444E" w:rsidRPr="007A3E30" w:rsidRDefault="000540F1"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r w:rsidRPr="007A3E30">
              <w:rPr>
                <w:rFonts w:ascii="Book Antiqua" w:eastAsia="Times New Roman" w:hAnsi="Book Antiqua" w:cs="Arial"/>
                <w:bCs/>
                <w:sz w:val="24"/>
                <w:szCs w:val="24"/>
                <w:lang w:val="en-GB"/>
              </w:rPr>
              <w:t>23482</w:t>
            </w:r>
            <w:r w:rsidR="000E444E" w:rsidRPr="007A3E30">
              <w:rPr>
                <w:rFonts w:ascii="Book Antiqua" w:eastAsia="Times New Roman" w:hAnsi="Book Antiqua" w:cs="Arial"/>
                <w:bCs/>
                <w:sz w:val="24"/>
                <w:szCs w:val="24"/>
                <w:lang w:val="en-GB"/>
              </w:rPr>
              <w:t>225</w:t>
            </w:r>
          </w:p>
        </w:tc>
        <w:tc>
          <w:tcPr>
            <w:tcW w:w="650" w:type="pct"/>
            <w:tcBorders>
              <w:bottom w:val="single" w:sz="4" w:space="0" w:color="auto"/>
            </w:tcBorders>
            <w:shd w:val="clear" w:color="auto" w:fill="auto"/>
          </w:tcPr>
          <w:p w14:paraId="5458EA54" w14:textId="77777777" w:rsidR="000E444E" w:rsidRPr="007A3E30" w:rsidRDefault="000540F1"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r w:rsidRPr="007A3E30">
              <w:rPr>
                <w:rFonts w:ascii="Book Antiqua" w:eastAsia="Times New Roman" w:hAnsi="Book Antiqua" w:cs="Arial"/>
                <w:bCs/>
                <w:sz w:val="24"/>
                <w:szCs w:val="24"/>
                <w:lang w:val="en-GB"/>
              </w:rPr>
              <w:t>23482</w:t>
            </w:r>
            <w:r w:rsidR="000E444E" w:rsidRPr="007A3E30">
              <w:rPr>
                <w:rFonts w:ascii="Book Antiqua" w:eastAsia="Times New Roman" w:hAnsi="Book Antiqua" w:cs="Arial"/>
                <w:bCs/>
                <w:sz w:val="24"/>
                <w:szCs w:val="24"/>
                <w:lang w:val="en-GB"/>
              </w:rPr>
              <w:t>225</w:t>
            </w:r>
          </w:p>
        </w:tc>
        <w:tc>
          <w:tcPr>
            <w:tcW w:w="650" w:type="pct"/>
            <w:tcBorders>
              <w:bottom w:val="single" w:sz="4" w:space="0" w:color="auto"/>
            </w:tcBorders>
            <w:shd w:val="clear" w:color="auto" w:fill="auto"/>
          </w:tcPr>
          <w:p w14:paraId="72227BA5" w14:textId="77777777" w:rsidR="000E444E" w:rsidRPr="007A3E30" w:rsidRDefault="000540F1"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r w:rsidRPr="007A3E30">
              <w:rPr>
                <w:rFonts w:ascii="Book Antiqua" w:eastAsia="Times New Roman" w:hAnsi="Book Antiqua" w:cs="Arial"/>
                <w:bCs/>
                <w:sz w:val="24"/>
                <w:szCs w:val="24"/>
                <w:lang w:val="en-GB"/>
              </w:rPr>
              <w:t>23482</w:t>
            </w:r>
            <w:r w:rsidR="000E444E" w:rsidRPr="007A3E30">
              <w:rPr>
                <w:rFonts w:ascii="Book Antiqua" w:eastAsia="Times New Roman" w:hAnsi="Book Antiqua" w:cs="Arial"/>
                <w:bCs/>
                <w:sz w:val="24"/>
                <w:szCs w:val="24"/>
                <w:lang w:val="en-GB"/>
              </w:rPr>
              <w:t>225</w:t>
            </w:r>
          </w:p>
        </w:tc>
        <w:tc>
          <w:tcPr>
            <w:tcW w:w="650" w:type="pct"/>
            <w:tcBorders>
              <w:bottom w:val="single" w:sz="4" w:space="0" w:color="auto"/>
            </w:tcBorders>
            <w:shd w:val="clear" w:color="auto" w:fill="auto"/>
          </w:tcPr>
          <w:p w14:paraId="2FEE4EB2" w14:textId="77777777" w:rsidR="000E444E" w:rsidRPr="007A3E30" w:rsidRDefault="000540F1"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r w:rsidRPr="007A3E30">
              <w:rPr>
                <w:rFonts w:ascii="Book Antiqua" w:eastAsia="Times New Roman" w:hAnsi="Book Antiqua" w:cs="Arial"/>
                <w:bCs/>
                <w:sz w:val="24"/>
                <w:szCs w:val="24"/>
                <w:lang w:val="en-GB"/>
              </w:rPr>
              <w:t>23</w:t>
            </w:r>
            <w:r w:rsidR="000E444E" w:rsidRPr="007A3E30">
              <w:rPr>
                <w:rFonts w:ascii="Book Antiqua" w:eastAsia="Times New Roman" w:hAnsi="Book Antiqua" w:cs="Arial"/>
                <w:bCs/>
                <w:sz w:val="24"/>
                <w:szCs w:val="24"/>
                <w:lang w:val="en-GB"/>
              </w:rPr>
              <w:t>482225</w:t>
            </w:r>
          </w:p>
        </w:tc>
        <w:tc>
          <w:tcPr>
            <w:tcW w:w="684" w:type="pct"/>
            <w:tcBorders>
              <w:bottom w:val="single" w:sz="4" w:space="0" w:color="auto"/>
            </w:tcBorders>
            <w:shd w:val="clear" w:color="auto" w:fill="auto"/>
          </w:tcPr>
          <w:p w14:paraId="644DCFEA" w14:textId="77777777" w:rsidR="000E444E" w:rsidRPr="007A3E30" w:rsidRDefault="000540F1" w:rsidP="000540F1">
            <w:pPr>
              <w:pStyle w:val="Text"/>
              <w:keepNext w:val="0"/>
              <w:keepLines w:val="0"/>
              <w:widowControl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val="en-GB"/>
              </w:rPr>
            </w:pPr>
            <w:r w:rsidRPr="007A3E30">
              <w:rPr>
                <w:rFonts w:ascii="Book Antiqua" w:eastAsia="Times New Roman" w:hAnsi="Book Antiqua" w:cs="Arial"/>
                <w:bCs/>
                <w:sz w:val="24"/>
                <w:szCs w:val="24"/>
                <w:lang w:val="en-GB"/>
              </w:rPr>
              <w:t>117411</w:t>
            </w:r>
            <w:r w:rsidR="000E444E" w:rsidRPr="007A3E30">
              <w:rPr>
                <w:rFonts w:ascii="Book Antiqua" w:eastAsia="Times New Roman" w:hAnsi="Book Antiqua" w:cs="Arial"/>
                <w:bCs/>
                <w:sz w:val="24"/>
                <w:szCs w:val="24"/>
                <w:lang w:val="en-GB"/>
              </w:rPr>
              <w:t>125</w:t>
            </w:r>
          </w:p>
        </w:tc>
      </w:tr>
    </w:tbl>
    <w:p w14:paraId="03AD2455" w14:textId="77777777" w:rsidR="0001290C" w:rsidRDefault="000540F1" w:rsidP="00FE7E4E">
      <w:pPr>
        <w:pStyle w:val="Footnote"/>
        <w:widowControl w:val="0"/>
        <w:spacing w:before="0" w:after="0" w:line="360" w:lineRule="auto"/>
        <w:jc w:val="both"/>
        <w:rPr>
          <w:rFonts w:ascii="Book Antiqua" w:hAnsi="Book Antiqua"/>
          <w:sz w:val="24"/>
          <w:szCs w:val="24"/>
          <w:lang w:eastAsia="zh-CN"/>
        </w:rPr>
      </w:pPr>
      <w:r w:rsidRPr="007A3E30">
        <w:rPr>
          <w:rFonts w:ascii="Book Antiqua" w:hAnsi="Book Antiqua"/>
          <w:sz w:val="24"/>
          <w:szCs w:val="24"/>
          <w:vertAlign w:val="superscript"/>
          <w:lang w:eastAsia="zh-CN"/>
        </w:rPr>
        <w:t>1</w:t>
      </w:r>
      <w:r w:rsidR="000E444E" w:rsidRPr="007A3E30">
        <w:rPr>
          <w:rFonts w:ascii="Book Antiqua" w:hAnsi="Book Antiqua"/>
          <w:sz w:val="24"/>
          <w:szCs w:val="24"/>
        </w:rPr>
        <w:t>Number of patients annually with metastatic GEP-NEPs based on an esti</w:t>
      </w:r>
      <w:r w:rsidRPr="007A3E30">
        <w:rPr>
          <w:rFonts w:ascii="Book Antiqua" w:hAnsi="Book Antiqua"/>
          <w:sz w:val="24"/>
          <w:szCs w:val="24"/>
        </w:rPr>
        <w:t>mated incidence of 5.25 per 100</w:t>
      </w:r>
      <w:r w:rsidR="000E444E" w:rsidRPr="007A3E30">
        <w:rPr>
          <w:rFonts w:ascii="Book Antiqua" w:hAnsi="Book Antiqua"/>
          <w:sz w:val="24"/>
          <w:szCs w:val="24"/>
        </w:rPr>
        <w:t xml:space="preserve">000 population (Oberg </w:t>
      </w:r>
      <w:r w:rsidR="00305DB9" w:rsidRPr="007A3E30">
        <w:rPr>
          <w:rFonts w:ascii="Book Antiqua" w:hAnsi="Book Antiqua"/>
          <w:i/>
          <w:sz w:val="24"/>
          <w:szCs w:val="24"/>
        </w:rPr>
        <w:t>et al</w:t>
      </w:r>
      <w:r w:rsidRPr="007A3E30">
        <w:rPr>
          <w:rFonts w:ascii="Book Antiqua" w:hAnsi="Book Antiqua"/>
          <w:sz w:val="24"/>
          <w:szCs w:val="24"/>
          <w:vertAlign w:val="superscript"/>
        </w:rPr>
        <w:t>[4]</w:t>
      </w:r>
      <w:r w:rsidR="0056526B" w:rsidRPr="007A3E30">
        <w:rPr>
          <w:rFonts w:ascii="Book Antiqua" w:hAnsi="Book Antiqua"/>
          <w:sz w:val="24"/>
          <w:szCs w:val="24"/>
        </w:rPr>
        <w:t>,</w:t>
      </w:r>
      <w:r w:rsidR="000E444E" w:rsidRPr="007A3E30">
        <w:rPr>
          <w:rFonts w:ascii="Book Antiqua" w:hAnsi="Book Antiqua"/>
          <w:sz w:val="24"/>
          <w:szCs w:val="24"/>
        </w:rPr>
        <w:t xml:space="preserve"> 2012) (40% of patients with GEP-NETs assumed to have metastases) and population estimates from national statistics agencies</w:t>
      </w:r>
      <w:r w:rsidRPr="007A3E30">
        <w:rPr>
          <w:rFonts w:ascii="Book Antiqua" w:hAnsi="Book Antiqua"/>
          <w:sz w:val="24"/>
          <w:szCs w:val="24"/>
          <w:lang w:eastAsia="zh-CN"/>
        </w:rPr>
        <w:t>.</w:t>
      </w:r>
    </w:p>
    <w:p w14:paraId="4035B00E" w14:textId="2457834F" w:rsidR="00A77B3E" w:rsidRPr="00FE7E4E" w:rsidRDefault="000540F1" w:rsidP="00FE7E4E">
      <w:pPr>
        <w:pStyle w:val="Footnote"/>
        <w:widowControl w:val="0"/>
        <w:spacing w:before="0" w:after="0" w:line="360" w:lineRule="auto"/>
        <w:jc w:val="both"/>
        <w:rPr>
          <w:rFonts w:ascii="Book Antiqua" w:hAnsi="Book Antiqua"/>
          <w:sz w:val="24"/>
          <w:szCs w:val="24"/>
          <w:lang w:eastAsia="zh-CN"/>
        </w:rPr>
      </w:pPr>
      <w:r w:rsidRPr="007A3E30">
        <w:rPr>
          <w:rFonts w:ascii="Book Antiqua" w:hAnsi="Book Antiqua"/>
          <w:sz w:val="24"/>
          <w:szCs w:val="24"/>
          <w:lang w:eastAsia="zh-CN"/>
        </w:rPr>
        <w:t xml:space="preserve"> </w:t>
      </w:r>
      <w:r w:rsidRPr="007A3E30">
        <w:rPr>
          <w:rFonts w:ascii="Book Antiqua" w:hAnsi="Book Antiqua"/>
          <w:sz w:val="24"/>
          <w:szCs w:val="24"/>
          <w:vertAlign w:val="superscript"/>
          <w:lang w:eastAsia="zh-CN"/>
        </w:rPr>
        <w:t>2</w:t>
      </w:r>
      <w:r w:rsidR="000E444E" w:rsidRPr="007A3E30">
        <w:rPr>
          <w:rFonts w:ascii="Book Antiqua" w:hAnsi="Book Antiqua"/>
          <w:sz w:val="24"/>
          <w:szCs w:val="24"/>
        </w:rPr>
        <w:t>Assumes that all other eligible patients are treated with everolimus</w:t>
      </w:r>
      <w:r w:rsidRPr="007A3E30">
        <w:rPr>
          <w:rFonts w:ascii="Book Antiqua" w:hAnsi="Book Antiqua"/>
          <w:sz w:val="24"/>
          <w:szCs w:val="24"/>
          <w:lang w:eastAsia="zh-CN"/>
        </w:rPr>
        <w:t>.</w:t>
      </w:r>
      <w:r w:rsidRPr="000540F1">
        <w:rPr>
          <w:rFonts w:ascii="Book Antiqua" w:hAnsi="Book Antiqua"/>
          <w:sz w:val="24"/>
          <w:szCs w:val="24"/>
          <w:lang w:eastAsia="zh-CN"/>
        </w:rPr>
        <w:t xml:space="preserve"> </w:t>
      </w:r>
    </w:p>
    <w:sectPr w:rsidR="00A77B3E" w:rsidRPr="00FE7E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3F375" w14:textId="77777777" w:rsidR="00CA0A7B" w:rsidRDefault="00CA0A7B" w:rsidP="00111EBA">
      <w:r>
        <w:separator/>
      </w:r>
    </w:p>
  </w:endnote>
  <w:endnote w:type="continuationSeparator" w:id="0">
    <w:p w14:paraId="08C38294" w14:textId="77777777" w:rsidR="00CA0A7B" w:rsidRDefault="00CA0A7B" w:rsidP="0011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Futura Bk">
    <w:altName w:val="Segoe UI"/>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053758"/>
      <w:docPartObj>
        <w:docPartGallery w:val="Page Numbers (Bottom of Page)"/>
        <w:docPartUnique/>
      </w:docPartObj>
    </w:sdtPr>
    <w:sdtEndPr/>
    <w:sdtContent>
      <w:sdt>
        <w:sdtPr>
          <w:id w:val="98381352"/>
          <w:docPartObj>
            <w:docPartGallery w:val="Page Numbers (Top of Page)"/>
            <w:docPartUnique/>
          </w:docPartObj>
        </w:sdtPr>
        <w:sdtEndPr/>
        <w:sdtContent>
          <w:p w14:paraId="4E783538" w14:textId="7E31AEE0" w:rsidR="00E872BE" w:rsidRDefault="00E872BE" w:rsidP="00E872BE">
            <w:pPr>
              <w:pStyle w:val="a4"/>
              <w:jc w:val="right"/>
            </w:pPr>
            <w:r w:rsidRPr="00E872BE">
              <w:rPr>
                <w:rFonts w:ascii="Book Antiqua" w:hAnsi="Book Antiqua"/>
                <w:sz w:val="24"/>
                <w:szCs w:val="24"/>
                <w:lang w:val="zh-CN" w:eastAsia="zh-CN"/>
              </w:rPr>
              <w:t xml:space="preserve"> </w:t>
            </w:r>
            <w:r w:rsidRPr="00E872BE">
              <w:rPr>
                <w:rFonts w:ascii="Book Antiqua" w:hAnsi="Book Antiqua"/>
                <w:b/>
                <w:bCs/>
                <w:sz w:val="24"/>
                <w:szCs w:val="24"/>
              </w:rPr>
              <w:fldChar w:fldCharType="begin"/>
            </w:r>
            <w:r w:rsidRPr="00E872BE">
              <w:rPr>
                <w:rFonts w:ascii="Book Antiqua" w:hAnsi="Book Antiqua"/>
                <w:b/>
                <w:bCs/>
                <w:sz w:val="24"/>
                <w:szCs w:val="24"/>
              </w:rPr>
              <w:instrText>PAGE</w:instrText>
            </w:r>
            <w:r w:rsidRPr="00E872BE">
              <w:rPr>
                <w:rFonts w:ascii="Book Antiqua" w:hAnsi="Book Antiqua"/>
                <w:b/>
                <w:bCs/>
                <w:sz w:val="24"/>
                <w:szCs w:val="24"/>
              </w:rPr>
              <w:fldChar w:fldCharType="separate"/>
            </w:r>
            <w:r w:rsidR="00CA0A7B">
              <w:rPr>
                <w:rFonts w:ascii="Book Antiqua" w:hAnsi="Book Antiqua"/>
                <w:b/>
                <w:bCs/>
                <w:noProof/>
                <w:sz w:val="24"/>
                <w:szCs w:val="24"/>
              </w:rPr>
              <w:t>1</w:t>
            </w:r>
            <w:r w:rsidRPr="00E872BE">
              <w:rPr>
                <w:rFonts w:ascii="Book Antiqua" w:hAnsi="Book Antiqua"/>
                <w:b/>
                <w:bCs/>
                <w:sz w:val="24"/>
                <w:szCs w:val="24"/>
              </w:rPr>
              <w:fldChar w:fldCharType="end"/>
            </w:r>
            <w:r w:rsidRPr="00E872BE">
              <w:rPr>
                <w:rFonts w:ascii="Book Antiqua" w:hAnsi="Book Antiqua"/>
                <w:sz w:val="24"/>
                <w:szCs w:val="24"/>
                <w:lang w:val="zh-CN" w:eastAsia="zh-CN"/>
              </w:rPr>
              <w:t xml:space="preserve"> / </w:t>
            </w:r>
            <w:r w:rsidRPr="00E872BE">
              <w:rPr>
                <w:rFonts w:ascii="Book Antiqua" w:hAnsi="Book Antiqua"/>
                <w:b/>
                <w:bCs/>
                <w:sz w:val="24"/>
                <w:szCs w:val="24"/>
              </w:rPr>
              <w:fldChar w:fldCharType="begin"/>
            </w:r>
            <w:r w:rsidRPr="00E872BE">
              <w:rPr>
                <w:rFonts w:ascii="Book Antiqua" w:hAnsi="Book Antiqua"/>
                <w:b/>
                <w:bCs/>
                <w:sz w:val="24"/>
                <w:szCs w:val="24"/>
              </w:rPr>
              <w:instrText>NUMPAGES</w:instrText>
            </w:r>
            <w:r w:rsidRPr="00E872BE">
              <w:rPr>
                <w:rFonts w:ascii="Book Antiqua" w:hAnsi="Book Antiqua"/>
                <w:b/>
                <w:bCs/>
                <w:sz w:val="24"/>
                <w:szCs w:val="24"/>
              </w:rPr>
              <w:fldChar w:fldCharType="separate"/>
            </w:r>
            <w:r w:rsidR="00CA0A7B">
              <w:rPr>
                <w:rFonts w:ascii="Book Antiqua" w:hAnsi="Book Antiqua"/>
                <w:b/>
                <w:bCs/>
                <w:noProof/>
                <w:sz w:val="24"/>
                <w:szCs w:val="24"/>
              </w:rPr>
              <w:t>1</w:t>
            </w:r>
            <w:r w:rsidRPr="00E872BE">
              <w:rPr>
                <w:rFonts w:ascii="Book Antiqua" w:hAnsi="Book Antiqua"/>
                <w:b/>
                <w:bCs/>
                <w:sz w:val="24"/>
                <w:szCs w:val="24"/>
              </w:rPr>
              <w:fldChar w:fldCharType="end"/>
            </w:r>
          </w:p>
        </w:sdtContent>
      </w:sdt>
    </w:sdtContent>
  </w:sdt>
  <w:p w14:paraId="12A76955" w14:textId="77777777" w:rsidR="00E872BE" w:rsidRDefault="00E872B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552768"/>
      <w:docPartObj>
        <w:docPartGallery w:val="Page Numbers (Bottom of Page)"/>
        <w:docPartUnique/>
      </w:docPartObj>
    </w:sdtPr>
    <w:sdtEndPr>
      <w:rPr>
        <w:rFonts w:ascii="Book Antiqua" w:hAnsi="Book Antiqua"/>
        <w:sz w:val="24"/>
        <w:szCs w:val="24"/>
      </w:rPr>
    </w:sdtEndPr>
    <w:sdtContent>
      <w:sdt>
        <w:sdtPr>
          <w:id w:val="833415505"/>
          <w:docPartObj>
            <w:docPartGallery w:val="Page Numbers (Top of Page)"/>
            <w:docPartUnique/>
          </w:docPartObj>
        </w:sdtPr>
        <w:sdtEndPr>
          <w:rPr>
            <w:rFonts w:ascii="Book Antiqua" w:hAnsi="Book Antiqua"/>
            <w:sz w:val="24"/>
            <w:szCs w:val="24"/>
          </w:rPr>
        </w:sdtEndPr>
        <w:sdtContent>
          <w:p w14:paraId="5AF0C20B" w14:textId="77777777" w:rsidR="009D3CEE" w:rsidRPr="000540F1" w:rsidRDefault="009D3CEE" w:rsidP="000540F1">
            <w:pPr>
              <w:pStyle w:val="a4"/>
              <w:jc w:val="right"/>
              <w:rPr>
                <w:rFonts w:ascii="Book Antiqua" w:hAnsi="Book Antiqua"/>
                <w:sz w:val="24"/>
                <w:szCs w:val="24"/>
              </w:rPr>
            </w:pPr>
            <w:r w:rsidRPr="000540F1">
              <w:rPr>
                <w:rFonts w:ascii="Book Antiqua" w:hAnsi="Book Antiqua"/>
                <w:sz w:val="24"/>
                <w:szCs w:val="24"/>
                <w:lang w:val="zh-CN" w:eastAsia="zh-CN"/>
              </w:rPr>
              <w:t xml:space="preserve"> </w:t>
            </w:r>
            <w:r w:rsidRPr="000540F1">
              <w:rPr>
                <w:rFonts w:ascii="Book Antiqua" w:hAnsi="Book Antiqua"/>
                <w:b/>
                <w:bCs/>
                <w:sz w:val="24"/>
                <w:szCs w:val="24"/>
              </w:rPr>
              <w:fldChar w:fldCharType="begin"/>
            </w:r>
            <w:r w:rsidRPr="000540F1">
              <w:rPr>
                <w:rFonts w:ascii="Book Antiqua" w:hAnsi="Book Antiqua"/>
                <w:b/>
                <w:bCs/>
                <w:sz w:val="24"/>
                <w:szCs w:val="24"/>
              </w:rPr>
              <w:instrText>PAGE</w:instrText>
            </w:r>
            <w:r w:rsidRPr="000540F1">
              <w:rPr>
                <w:rFonts w:ascii="Book Antiqua" w:hAnsi="Book Antiqua"/>
                <w:b/>
                <w:bCs/>
                <w:sz w:val="24"/>
                <w:szCs w:val="24"/>
              </w:rPr>
              <w:fldChar w:fldCharType="separate"/>
            </w:r>
            <w:r w:rsidR="00E24960">
              <w:rPr>
                <w:rFonts w:ascii="Book Antiqua" w:hAnsi="Book Antiqua"/>
                <w:b/>
                <w:bCs/>
                <w:noProof/>
                <w:sz w:val="24"/>
                <w:szCs w:val="24"/>
              </w:rPr>
              <w:t>28</w:t>
            </w:r>
            <w:r w:rsidRPr="000540F1">
              <w:rPr>
                <w:rFonts w:ascii="Book Antiqua" w:hAnsi="Book Antiqua"/>
                <w:b/>
                <w:bCs/>
                <w:sz w:val="24"/>
                <w:szCs w:val="24"/>
              </w:rPr>
              <w:fldChar w:fldCharType="end"/>
            </w:r>
            <w:r w:rsidRPr="000540F1">
              <w:rPr>
                <w:rFonts w:ascii="Book Antiqua" w:hAnsi="Book Antiqua"/>
                <w:sz w:val="24"/>
                <w:szCs w:val="24"/>
                <w:lang w:val="zh-CN" w:eastAsia="zh-CN"/>
              </w:rPr>
              <w:t xml:space="preserve"> / </w:t>
            </w:r>
            <w:r w:rsidRPr="000540F1">
              <w:rPr>
                <w:rFonts w:ascii="Book Antiqua" w:hAnsi="Book Antiqua"/>
                <w:b/>
                <w:bCs/>
                <w:sz w:val="24"/>
                <w:szCs w:val="24"/>
              </w:rPr>
              <w:fldChar w:fldCharType="begin"/>
            </w:r>
            <w:r w:rsidRPr="000540F1">
              <w:rPr>
                <w:rFonts w:ascii="Book Antiqua" w:hAnsi="Book Antiqua"/>
                <w:b/>
                <w:bCs/>
                <w:sz w:val="24"/>
                <w:szCs w:val="24"/>
              </w:rPr>
              <w:instrText>NUMPAGES</w:instrText>
            </w:r>
            <w:r w:rsidRPr="000540F1">
              <w:rPr>
                <w:rFonts w:ascii="Book Antiqua" w:hAnsi="Book Antiqua"/>
                <w:b/>
                <w:bCs/>
                <w:sz w:val="24"/>
                <w:szCs w:val="24"/>
              </w:rPr>
              <w:fldChar w:fldCharType="separate"/>
            </w:r>
            <w:r w:rsidR="00E24960">
              <w:rPr>
                <w:rFonts w:ascii="Book Antiqua" w:hAnsi="Book Antiqua"/>
                <w:b/>
                <w:bCs/>
                <w:noProof/>
                <w:sz w:val="24"/>
                <w:szCs w:val="24"/>
              </w:rPr>
              <w:t>34</w:t>
            </w:r>
            <w:r w:rsidRPr="000540F1">
              <w:rPr>
                <w:rFonts w:ascii="Book Antiqua" w:hAnsi="Book Antiqua"/>
                <w:b/>
                <w:bCs/>
                <w:sz w:val="24"/>
                <w:szCs w:val="24"/>
              </w:rPr>
              <w:fldChar w:fldCharType="end"/>
            </w:r>
          </w:p>
        </w:sdtContent>
      </w:sdt>
    </w:sdtContent>
  </w:sdt>
  <w:p w14:paraId="61511448" w14:textId="77777777" w:rsidR="009D3CEE" w:rsidRPr="00304372" w:rsidRDefault="009D3CEE" w:rsidP="001772C9">
    <w:pPr>
      <w:pStyle w:val="a4"/>
      <w:jc w:val="right"/>
      <w:rPr>
        <w:rFonts w:ascii="Futura Bk" w:hAnsi="Futura Bk"/>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DB74E" w14:textId="77777777" w:rsidR="009D3CEE" w:rsidRPr="006A08BA" w:rsidRDefault="009D3CEE" w:rsidP="001772C9">
    <w:pPr>
      <w:pStyle w:val="a4"/>
      <w:jc w:val="right"/>
      <w:rPr>
        <w:color w:val="FFFFFF"/>
        <w:lang w:eastAsia="zh-TW"/>
      </w:rPr>
    </w:pPr>
    <w:r w:rsidRPr="006A08BA">
      <w:rPr>
        <w:color w:val="FFFFFF"/>
        <w:lang w:eastAsia="zh-T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637B8" w14:textId="77777777" w:rsidR="00CA0A7B" w:rsidRDefault="00CA0A7B" w:rsidP="00111EBA">
      <w:r>
        <w:separator/>
      </w:r>
    </w:p>
  </w:footnote>
  <w:footnote w:type="continuationSeparator" w:id="0">
    <w:p w14:paraId="1A622341" w14:textId="77777777" w:rsidR="00CA0A7B" w:rsidRDefault="00CA0A7B" w:rsidP="00111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437F"/>
    <w:multiLevelType w:val="hybridMultilevel"/>
    <w:tmpl w:val="4D5071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DED"/>
    <w:rsid w:val="00005085"/>
    <w:rsid w:val="00006EC4"/>
    <w:rsid w:val="0001290C"/>
    <w:rsid w:val="000201FE"/>
    <w:rsid w:val="0002135A"/>
    <w:rsid w:val="000540F1"/>
    <w:rsid w:val="000A1CB2"/>
    <w:rsid w:val="000E1271"/>
    <w:rsid w:val="000E444E"/>
    <w:rsid w:val="00111EBA"/>
    <w:rsid w:val="001772C9"/>
    <w:rsid w:val="00184E9B"/>
    <w:rsid w:val="00195A09"/>
    <w:rsid w:val="002219C0"/>
    <w:rsid w:val="00221EDC"/>
    <w:rsid w:val="00255D8D"/>
    <w:rsid w:val="00262A89"/>
    <w:rsid w:val="00267D72"/>
    <w:rsid w:val="0027068F"/>
    <w:rsid w:val="0029216A"/>
    <w:rsid w:val="002B01AF"/>
    <w:rsid w:val="002D17D7"/>
    <w:rsid w:val="002F5E87"/>
    <w:rsid w:val="00305DB9"/>
    <w:rsid w:val="00324386"/>
    <w:rsid w:val="0032440F"/>
    <w:rsid w:val="00326E1D"/>
    <w:rsid w:val="00335AFF"/>
    <w:rsid w:val="00383991"/>
    <w:rsid w:val="003B7A0C"/>
    <w:rsid w:val="003C3ED8"/>
    <w:rsid w:val="003D35BA"/>
    <w:rsid w:val="003F7153"/>
    <w:rsid w:val="004059EB"/>
    <w:rsid w:val="00411063"/>
    <w:rsid w:val="00423EB9"/>
    <w:rsid w:val="00446319"/>
    <w:rsid w:val="0046576E"/>
    <w:rsid w:val="00484488"/>
    <w:rsid w:val="005100C6"/>
    <w:rsid w:val="0052140C"/>
    <w:rsid w:val="005245C3"/>
    <w:rsid w:val="00527655"/>
    <w:rsid w:val="00545C99"/>
    <w:rsid w:val="0056526B"/>
    <w:rsid w:val="005721C2"/>
    <w:rsid w:val="00581A61"/>
    <w:rsid w:val="005B14E5"/>
    <w:rsid w:val="005C3727"/>
    <w:rsid w:val="006235B7"/>
    <w:rsid w:val="0067263C"/>
    <w:rsid w:val="006862D2"/>
    <w:rsid w:val="006C3727"/>
    <w:rsid w:val="00706B54"/>
    <w:rsid w:val="007A1CB5"/>
    <w:rsid w:val="007A3E30"/>
    <w:rsid w:val="007D6E58"/>
    <w:rsid w:val="0082710C"/>
    <w:rsid w:val="00827FFD"/>
    <w:rsid w:val="0086763B"/>
    <w:rsid w:val="008B72AE"/>
    <w:rsid w:val="008D2869"/>
    <w:rsid w:val="008D708E"/>
    <w:rsid w:val="008F24FB"/>
    <w:rsid w:val="00937E26"/>
    <w:rsid w:val="009411F0"/>
    <w:rsid w:val="00964EC7"/>
    <w:rsid w:val="009B51BE"/>
    <w:rsid w:val="009D3CEE"/>
    <w:rsid w:val="009F3719"/>
    <w:rsid w:val="00A202D7"/>
    <w:rsid w:val="00A5590C"/>
    <w:rsid w:val="00A7665B"/>
    <w:rsid w:val="00A77B3E"/>
    <w:rsid w:val="00AA1024"/>
    <w:rsid w:val="00AD64FF"/>
    <w:rsid w:val="00B23833"/>
    <w:rsid w:val="00B326C4"/>
    <w:rsid w:val="00B47E25"/>
    <w:rsid w:val="00B77692"/>
    <w:rsid w:val="00BA23B0"/>
    <w:rsid w:val="00BC63C5"/>
    <w:rsid w:val="00BD50C9"/>
    <w:rsid w:val="00BE1CB6"/>
    <w:rsid w:val="00C219FE"/>
    <w:rsid w:val="00C61E55"/>
    <w:rsid w:val="00CA0A7B"/>
    <w:rsid w:val="00CA2A55"/>
    <w:rsid w:val="00CD092E"/>
    <w:rsid w:val="00CE5290"/>
    <w:rsid w:val="00D1244A"/>
    <w:rsid w:val="00D372A5"/>
    <w:rsid w:val="00D5600C"/>
    <w:rsid w:val="00D76D30"/>
    <w:rsid w:val="00D87C27"/>
    <w:rsid w:val="00DC3622"/>
    <w:rsid w:val="00DD287A"/>
    <w:rsid w:val="00DF3BEC"/>
    <w:rsid w:val="00E24960"/>
    <w:rsid w:val="00E36424"/>
    <w:rsid w:val="00E533FA"/>
    <w:rsid w:val="00E62816"/>
    <w:rsid w:val="00E7670D"/>
    <w:rsid w:val="00E83D64"/>
    <w:rsid w:val="00E872BE"/>
    <w:rsid w:val="00EB134F"/>
    <w:rsid w:val="00EF0A0D"/>
    <w:rsid w:val="00F047D1"/>
    <w:rsid w:val="00F22639"/>
    <w:rsid w:val="00F54A68"/>
    <w:rsid w:val="00F94E1F"/>
    <w:rsid w:val="00FD2162"/>
    <w:rsid w:val="00FE7E4E"/>
    <w:rsid w:val="00FF4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2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uiPriority="35"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11E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11EBA"/>
    <w:rPr>
      <w:sz w:val="18"/>
      <w:szCs w:val="18"/>
    </w:rPr>
  </w:style>
  <w:style w:type="paragraph" w:styleId="a4">
    <w:name w:val="footer"/>
    <w:basedOn w:val="a"/>
    <w:link w:val="Char0"/>
    <w:uiPriority w:val="99"/>
    <w:rsid w:val="00111EBA"/>
    <w:pPr>
      <w:tabs>
        <w:tab w:val="center" w:pos="4153"/>
        <w:tab w:val="right" w:pos="8306"/>
      </w:tabs>
      <w:snapToGrid w:val="0"/>
    </w:pPr>
    <w:rPr>
      <w:sz w:val="18"/>
      <w:szCs w:val="18"/>
    </w:rPr>
  </w:style>
  <w:style w:type="character" w:customStyle="1" w:styleId="Char0">
    <w:name w:val="页脚 Char"/>
    <w:basedOn w:val="a0"/>
    <w:link w:val="a4"/>
    <w:uiPriority w:val="99"/>
    <w:rsid w:val="00111EBA"/>
    <w:rPr>
      <w:sz w:val="18"/>
      <w:szCs w:val="18"/>
    </w:rPr>
  </w:style>
  <w:style w:type="character" w:styleId="a5">
    <w:name w:val="annotation reference"/>
    <w:uiPriority w:val="99"/>
    <w:qFormat/>
    <w:rsid w:val="00E36424"/>
    <w:rPr>
      <w:sz w:val="21"/>
      <w:szCs w:val="21"/>
    </w:rPr>
  </w:style>
  <w:style w:type="paragraph" w:styleId="a6">
    <w:name w:val="annotation text"/>
    <w:basedOn w:val="a"/>
    <w:link w:val="Char1"/>
    <w:uiPriority w:val="99"/>
    <w:qFormat/>
    <w:rsid w:val="00E36424"/>
    <w:pPr>
      <w:widowControl w:val="0"/>
    </w:pPr>
    <w:rPr>
      <w:rFonts w:eastAsia="宋体"/>
      <w:kern w:val="2"/>
      <w:sz w:val="21"/>
      <w:szCs w:val="20"/>
      <w:lang w:eastAsia="zh-CN"/>
    </w:rPr>
  </w:style>
  <w:style w:type="character" w:customStyle="1" w:styleId="Char1">
    <w:name w:val="批注文字 Char"/>
    <w:basedOn w:val="a0"/>
    <w:link w:val="a6"/>
    <w:uiPriority w:val="99"/>
    <w:rsid w:val="00E36424"/>
    <w:rPr>
      <w:rFonts w:eastAsia="宋体"/>
      <w:kern w:val="2"/>
      <w:sz w:val="21"/>
      <w:lang w:eastAsia="zh-CN"/>
    </w:rPr>
  </w:style>
  <w:style w:type="paragraph" w:customStyle="1" w:styleId="BodyA">
    <w:name w:val="Body A"/>
    <w:rsid w:val="00E36424"/>
    <w:pPr>
      <w:pBdr>
        <w:top w:val="nil"/>
        <w:left w:val="nil"/>
        <w:bottom w:val="nil"/>
        <w:right w:val="nil"/>
        <w:between w:val="nil"/>
        <w:bar w:val="nil"/>
      </w:pBdr>
    </w:pPr>
    <w:rPr>
      <w:rFonts w:ascii="Calibri" w:eastAsia="Calibri" w:hAnsi="Calibri" w:cs="Calibri"/>
      <w:color w:val="000000"/>
      <w:sz w:val="22"/>
      <w:szCs w:val="22"/>
      <w:u w:color="000000"/>
      <w:bdr w:val="nil"/>
      <w:lang w:eastAsia="en-AU"/>
    </w:rPr>
  </w:style>
  <w:style w:type="paragraph" w:styleId="a7">
    <w:name w:val="Balloon Text"/>
    <w:basedOn w:val="a"/>
    <w:link w:val="Char2"/>
    <w:rsid w:val="00E36424"/>
    <w:rPr>
      <w:sz w:val="18"/>
      <w:szCs w:val="18"/>
    </w:rPr>
  </w:style>
  <w:style w:type="character" w:customStyle="1" w:styleId="Char2">
    <w:name w:val="批注框文本 Char"/>
    <w:basedOn w:val="a0"/>
    <w:link w:val="a7"/>
    <w:rsid w:val="00E36424"/>
    <w:rPr>
      <w:sz w:val="18"/>
      <w:szCs w:val="18"/>
    </w:rPr>
  </w:style>
  <w:style w:type="paragraph" w:styleId="a8">
    <w:name w:val="annotation subject"/>
    <w:basedOn w:val="a6"/>
    <w:next w:val="a6"/>
    <w:link w:val="Char3"/>
    <w:rsid w:val="00E36424"/>
    <w:pPr>
      <w:widowControl/>
    </w:pPr>
    <w:rPr>
      <w:rFonts w:eastAsiaTheme="minorEastAsia"/>
      <w:b/>
      <w:bCs/>
      <w:kern w:val="0"/>
      <w:sz w:val="24"/>
      <w:szCs w:val="24"/>
      <w:lang w:eastAsia="en-US"/>
    </w:rPr>
  </w:style>
  <w:style w:type="character" w:customStyle="1" w:styleId="Char3">
    <w:name w:val="批注主题 Char"/>
    <w:basedOn w:val="Char1"/>
    <w:link w:val="a8"/>
    <w:rsid w:val="00E36424"/>
    <w:rPr>
      <w:rFonts w:eastAsia="宋体"/>
      <w:b/>
      <w:bCs/>
      <w:kern w:val="2"/>
      <w:sz w:val="24"/>
      <w:szCs w:val="24"/>
      <w:lang w:eastAsia="zh-CN"/>
    </w:rPr>
  </w:style>
  <w:style w:type="paragraph" w:customStyle="1" w:styleId="Text">
    <w:name w:val="Text"/>
    <w:basedOn w:val="a"/>
    <w:qFormat/>
    <w:rsid w:val="000E444E"/>
    <w:pPr>
      <w:spacing w:after="120" w:line="480" w:lineRule="auto"/>
    </w:pPr>
    <w:rPr>
      <w:rFonts w:ascii="Futura Bk" w:hAnsi="Futura Bk"/>
      <w:sz w:val="20"/>
      <w:szCs w:val="20"/>
    </w:rPr>
  </w:style>
  <w:style w:type="paragraph" w:styleId="a9">
    <w:name w:val="caption"/>
    <w:basedOn w:val="Text"/>
    <w:next w:val="Text"/>
    <w:uiPriority w:val="35"/>
    <w:qFormat/>
    <w:rsid w:val="000E444E"/>
    <w:pPr>
      <w:keepNext/>
      <w:keepLines/>
      <w:ind w:left="1418" w:hanging="1418"/>
    </w:pPr>
    <w:rPr>
      <w:b/>
    </w:rPr>
  </w:style>
  <w:style w:type="paragraph" w:customStyle="1" w:styleId="Tabletext">
    <w:name w:val="Table text"/>
    <w:basedOn w:val="Text"/>
    <w:qFormat/>
    <w:rsid w:val="000E444E"/>
    <w:pPr>
      <w:spacing w:before="80" w:after="80" w:line="240" w:lineRule="auto"/>
    </w:pPr>
    <w:rPr>
      <w:rFonts w:eastAsia="Times New Roman"/>
      <w:szCs w:val="18"/>
    </w:rPr>
  </w:style>
  <w:style w:type="paragraph" w:customStyle="1" w:styleId="Footnote">
    <w:name w:val="Footnote"/>
    <w:basedOn w:val="Text"/>
    <w:qFormat/>
    <w:rsid w:val="000E444E"/>
    <w:pPr>
      <w:spacing w:before="60"/>
    </w:pPr>
    <w:rPr>
      <w:sz w:val="18"/>
    </w:rPr>
  </w:style>
  <w:style w:type="table" w:customStyle="1" w:styleId="OssianReportTable">
    <w:name w:val="Ossian Report Table"/>
    <w:basedOn w:val="a1"/>
    <w:uiPriority w:val="99"/>
    <w:rsid w:val="000E444E"/>
    <w:pPr>
      <w:keepNext/>
      <w:keepLines/>
      <w:spacing w:before="60" w:after="60"/>
      <w:jc w:val="center"/>
    </w:pPr>
    <w:rPr>
      <w:rFonts w:ascii="Futura Bk" w:hAnsi="Futura Bk"/>
    </w:rPr>
    <w:tblPr>
      <w:tblBorders>
        <w:top w:val="single" w:sz="6" w:space="0" w:color="auto"/>
        <w:bottom w:val="single" w:sz="6" w:space="0" w:color="auto"/>
      </w:tblBorders>
    </w:tblPr>
    <w:tcPr>
      <w:vAlign w:val="center"/>
    </w:tcPr>
    <w:tblStylePr w:type="firstRow">
      <w:pPr>
        <w:jc w:val="center"/>
      </w:pPr>
      <w:rPr>
        <w:rFonts w:ascii="Futura Bk" w:hAnsi="Futura Bk"/>
        <w:b/>
        <w:sz w:val="20"/>
      </w:rPr>
      <w:tblPr/>
      <w:tcPr>
        <w:tcBorders>
          <w:bottom w:val="single" w:sz="4" w:space="0" w:color="auto"/>
        </w:tcBorders>
        <w:shd w:val="clear" w:color="auto" w:fill="D9D9D9"/>
      </w:tcPr>
    </w:tblStylePr>
    <w:tblStylePr w:type="firstCol">
      <w:pPr>
        <w:wordWrap/>
        <w:jc w:val="left"/>
      </w:pPr>
      <w:rPr>
        <w:rFonts w:ascii="Futura Bk" w:hAnsi="Futura Bk"/>
        <w:b w:val="0"/>
        <w:sz w:val="20"/>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uiPriority="35"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11E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11EBA"/>
    <w:rPr>
      <w:sz w:val="18"/>
      <w:szCs w:val="18"/>
    </w:rPr>
  </w:style>
  <w:style w:type="paragraph" w:styleId="a4">
    <w:name w:val="footer"/>
    <w:basedOn w:val="a"/>
    <w:link w:val="Char0"/>
    <w:uiPriority w:val="99"/>
    <w:rsid w:val="00111EBA"/>
    <w:pPr>
      <w:tabs>
        <w:tab w:val="center" w:pos="4153"/>
        <w:tab w:val="right" w:pos="8306"/>
      </w:tabs>
      <w:snapToGrid w:val="0"/>
    </w:pPr>
    <w:rPr>
      <w:sz w:val="18"/>
      <w:szCs w:val="18"/>
    </w:rPr>
  </w:style>
  <w:style w:type="character" w:customStyle="1" w:styleId="Char0">
    <w:name w:val="页脚 Char"/>
    <w:basedOn w:val="a0"/>
    <w:link w:val="a4"/>
    <w:uiPriority w:val="99"/>
    <w:rsid w:val="00111EBA"/>
    <w:rPr>
      <w:sz w:val="18"/>
      <w:szCs w:val="18"/>
    </w:rPr>
  </w:style>
  <w:style w:type="character" w:styleId="a5">
    <w:name w:val="annotation reference"/>
    <w:uiPriority w:val="99"/>
    <w:qFormat/>
    <w:rsid w:val="00E36424"/>
    <w:rPr>
      <w:sz w:val="21"/>
      <w:szCs w:val="21"/>
    </w:rPr>
  </w:style>
  <w:style w:type="paragraph" w:styleId="a6">
    <w:name w:val="annotation text"/>
    <w:basedOn w:val="a"/>
    <w:link w:val="Char1"/>
    <w:uiPriority w:val="99"/>
    <w:qFormat/>
    <w:rsid w:val="00E36424"/>
    <w:pPr>
      <w:widowControl w:val="0"/>
    </w:pPr>
    <w:rPr>
      <w:rFonts w:eastAsia="宋体"/>
      <w:kern w:val="2"/>
      <w:sz w:val="21"/>
      <w:szCs w:val="20"/>
      <w:lang w:eastAsia="zh-CN"/>
    </w:rPr>
  </w:style>
  <w:style w:type="character" w:customStyle="1" w:styleId="Char1">
    <w:name w:val="批注文字 Char"/>
    <w:basedOn w:val="a0"/>
    <w:link w:val="a6"/>
    <w:uiPriority w:val="99"/>
    <w:rsid w:val="00E36424"/>
    <w:rPr>
      <w:rFonts w:eastAsia="宋体"/>
      <w:kern w:val="2"/>
      <w:sz w:val="21"/>
      <w:lang w:eastAsia="zh-CN"/>
    </w:rPr>
  </w:style>
  <w:style w:type="paragraph" w:customStyle="1" w:styleId="BodyA">
    <w:name w:val="Body A"/>
    <w:rsid w:val="00E36424"/>
    <w:pPr>
      <w:pBdr>
        <w:top w:val="nil"/>
        <w:left w:val="nil"/>
        <w:bottom w:val="nil"/>
        <w:right w:val="nil"/>
        <w:between w:val="nil"/>
        <w:bar w:val="nil"/>
      </w:pBdr>
    </w:pPr>
    <w:rPr>
      <w:rFonts w:ascii="Calibri" w:eastAsia="Calibri" w:hAnsi="Calibri" w:cs="Calibri"/>
      <w:color w:val="000000"/>
      <w:sz w:val="22"/>
      <w:szCs w:val="22"/>
      <w:u w:color="000000"/>
      <w:bdr w:val="nil"/>
      <w:lang w:eastAsia="en-AU"/>
    </w:rPr>
  </w:style>
  <w:style w:type="paragraph" w:styleId="a7">
    <w:name w:val="Balloon Text"/>
    <w:basedOn w:val="a"/>
    <w:link w:val="Char2"/>
    <w:rsid w:val="00E36424"/>
    <w:rPr>
      <w:sz w:val="18"/>
      <w:szCs w:val="18"/>
    </w:rPr>
  </w:style>
  <w:style w:type="character" w:customStyle="1" w:styleId="Char2">
    <w:name w:val="批注框文本 Char"/>
    <w:basedOn w:val="a0"/>
    <w:link w:val="a7"/>
    <w:rsid w:val="00E36424"/>
    <w:rPr>
      <w:sz w:val="18"/>
      <w:szCs w:val="18"/>
    </w:rPr>
  </w:style>
  <w:style w:type="paragraph" w:styleId="a8">
    <w:name w:val="annotation subject"/>
    <w:basedOn w:val="a6"/>
    <w:next w:val="a6"/>
    <w:link w:val="Char3"/>
    <w:rsid w:val="00E36424"/>
    <w:pPr>
      <w:widowControl/>
    </w:pPr>
    <w:rPr>
      <w:rFonts w:eastAsiaTheme="minorEastAsia"/>
      <w:b/>
      <w:bCs/>
      <w:kern w:val="0"/>
      <w:sz w:val="24"/>
      <w:szCs w:val="24"/>
      <w:lang w:eastAsia="en-US"/>
    </w:rPr>
  </w:style>
  <w:style w:type="character" w:customStyle="1" w:styleId="Char3">
    <w:name w:val="批注主题 Char"/>
    <w:basedOn w:val="Char1"/>
    <w:link w:val="a8"/>
    <w:rsid w:val="00E36424"/>
    <w:rPr>
      <w:rFonts w:eastAsia="宋体"/>
      <w:b/>
      <w:bCs/>
      <w:kern w:val="2"/>
      <w:sz w:val="24"/>
      <w:szCs w:val="24"/>
      <w:lang w:eastAsia="zh-CN"/>
    </w:rPr>
  </w:style>
  <w:style w:type="paragraph" w:customStyle="1" w:styleId="Text">
    <w:name w:val="Text"/>
    <w:basedOn w:val="a"/>
    <w:qFormat/>
    <w:rsid w:val="000E444E"/>
    <w:pPr>
      <w:spacing w:after="120" w:line="480" w:lineRule="auto"/>
    </w:pPr>
    <w:rPr>
      <w:rFonts w:ascii="Futura Bk" w:hAnsi="Futura Bk"/>
      <w:sz w:val="20"/>
      <w:szCs w:val="20"/>
    </w:rPr>
  </w:style>
  <w:style w:type="paragraph" w:styleId="a9">
    <w:name w:val="caption"/>
    <w:basedOn w:val="Text"/>
    <w:next w:val="Text"/>
    <w:uiPriority w:val="35"/>
    <w:qFormat/>
    <w:rsid w:val="000E444E"/>
    <w:pPr>
      <w:keepNext/>
      <w:keepLines/>
      <w:ind w:left="1418" w:hanging="1418"/>
    </w:pPr>
    <w:rPr>
      <w:b/>
    </w:rPr>
  </w:style>
  <w:style w:type="paragraph" w:customStyle="1" w:styleId="Tabletext">
    <w:name w:val="Table text"/>
    <w:basedOn w:val="Text"/>
    <w:qFormat/>
    <w:rsid w:val="000E444E"/>
    <w:pPr>
      <w:spacing w:before="80" w:after="80" w:line="240" w:lineRule="auto"/>
    </w:pPr>
    <w:rPr>
      <w:rFonts w:eastAsia="Times New Roman"/>
      <w:szCs w:val="18"/>
    </w:rPr>
  </w:style>
  <w:style w:type="paragraph" w:customStyle="1" w:styleId="Footnote">
    <w:name w:val="Footnote"/>
    <w:basedOn w:val="Text"/>
    <w:qFormat/>
    <w:rsid w:val="000E444E"/>
    <w:pPr>
      <w:spacing w:before="60"/>
    </w:pPr>
    <w:rPr>
      <w:sz w:val="18"/>
    </w:rPr>
  </w:style>
  <w:style w:type="table" w:customStyle="1" w:styleId="OssianReportTable">
    <w:name w:val="Ossian Report Table"/>
    <w:basedOn w:val="a1"/>
    <w:uiPriority w:val="99"/>
    <w:rsid w:val="000E444E"/>
    <w:pPr>
      <w:keepNext/>
      <w:keepLines/>
      <w:spacing w:before="60" w:after="60"/>
      <w:jc w:val="center"/>
    </w:pPr>
    <w:rPr>
      <w:rFonts w:ascii="Futura Bk" w:hAnsi="Futura Bk"/>
    </w:rPr>
    <w:tblPr>
      <w:tblBorders>
        <w:top w:val="single" w:sz="6" w:space="0" w:color="auto"/>
        <w:bottom w:val="single" w:sz="6" w:space="0" w:color="auto"/>
      </w:tblBorders>
    </w:tblPr>
    <w:tcPr>
      <w:vAlign w:val="center"/>
    </w:tcPr>
    <w:tblStylePr w:type="firstRow">
      <w:pPr>
        <w:jc w:val="center"/>
      </w:pPr>
      <w:rPr>
        <w:rFonts w:ascii="Futura Bk" w:hAnsi="Futura Bk"/>
        <w:b/>
        <w:sz w:val="20"/>
      </w:rPr>
      <w:tblPr/>
      <w:tcPr>
        <w:tcBorders>
          <w:bottom w:val="single" w:sz="4" w:space="0" w:color="auto"/>
        </w:tcBorders>
        <w:shd w:val="clear" w:color="auto" w:fill="D9D9D9"/>
      </w:tcPr>
    </w:tblStylePr>
    <w:tblStylePr w:type="firstCol">
      <w:pPr>
        <w:wordWrap/>
        <w:jc w:val="left"/>
      </w:pPr>
      <w:rPr>
        <w:rFonts w:ascii="Futura Bk" w:hAnsi="Futura Bk"/>
        <w:b w:val="0"/>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34</Pages>
  <Words>7884</Words>
  <Characters>44942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Ossian3</dc:creator>
  <cp:lastModifiedBy>liujihong2008@qq.con</cp:lastModifiedBy>
  <cp:revision>15</cp:revision>
  <dcterms:created xsi:type="dcterms:W3CDTF">2020-09-25T03:45:00Z</dcterms:created>
  <dcterms:modified xsi:type="dcterms:W3CDTF">2020-10-22T07:03:00Z</dcterms:modified>
</cp:coreProperties>
</file>