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A3FF8" w14:textId="77777777" w:rsidR="00A77B3E" w:rsidRDefault="00F34D7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7B04E9C7" w14:textId="77777777" w:rsidR="00A77B3E" w:rsidRDefault="00F34D7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58182</w:t>
      </w:r>
    </w:p>
    <w:p w14:paraId="06896B96" w14:textId="77777777" w:rsidR="00A77B3E" w:rsidRDefault="00F34D7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60F1095F" w14:textId="77777777" w:rsidR="00A77B3E" w:rsidRDefault="00A77B3E">
      <w:pPr>
        <w:spacing w:line="360" w:lineRule="auto"/>
        <w:jc w:val="both"/>
      </w:pPr>
    </w:p>
    <w:p w14:paraId="1A015DFA" w14:textId="4CA280C4" w:rsidR="00A77B3E" w:rsidRDefault="00F34D76">
      <w:pPr>
        <w:spacing w:line="360" w:lineRule="auto"/>
        <w:jc w:val="both"/>
      </w:pPr>
      <w:proofErr w:type="spellStart"/>
      <w:r>
        <w:rPr>
          <w:rFonts w:ascii="Book Antiqua" w:eastAsia="Book Antiqua" w:hAnsi="Book Antiqua" w:cs="Book Antiqua"/>
          <w:b/>
          <w:color w:val="000000"/>
        </w:rPr>
        <w:t>Transradial</w:t>
      </w:r>
      <w:proofErr w:type="spellEnd"/>
      <w:r>
        <w:rPr>
          <w:rFonts w:ascii="Book Antiqua" w:eastAsia="Book Antiqua" w:hAnsi="Book Antiqua" w:cs="Book Antiqua"/>
          <w:b/>
          <w:color w:val="000000"/>
        </w:rPr>
        <w:t xml:space="preserve"> </w:t>
      </w:r>
      <w:r>
        <w:rPr>
          <w:rFonts w:ascii="Book Antiqua" w:eastAsia="Book Antiqua" w:hAnsi="Book Antiqua" w:cs="Book Antiqua"/>
          <w:b/>
          <w:i/>
          <w:iCs/>
          <w:color w:val="000000"/>
        </w:rPr>
        <w:t>vs</w:t>
      </w:r>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transfemoral</w:t>
      </w:r>
      <w:proofErr w:type="spellEnd"/>
      <w:r>
        <w:rPr>
          <w:rFonts w:ascii="Book Antiqua" w:eastAsia="Book Antiqua" w:hAnsi="Book Antiqua" w:cs="Book Antiqua"/>
          <w:b/>
          <w:color w:val="000000"/>
        </w:rPr>
        <w:t xml:space="preserve"> secondary access outcomes in </w:t>
      </w:r>
      <w:bookmarkStart w:id="0" w:name="_Hlk54690257"/>
      <w:proofErr w:type="spellStart"/>
      <w:r w:rsidR="007670C6" w:rsidRPr="007670C6">
        <w:rPr>
          <w:rFonts w:ascii="Book Antiqua" w:eastAsia="Book Antiqua" w:hAnsi="Book Antiqua" w:cs="Book Antiqua"/>
          <w:b/>
          <w:color w:val="000000"/>
        </w:rPr>
        <w:t>transcatheter</w:t>
      </w:r>
      <w:proofErr w:type="spellEnd"/>
      <w:r w:rsidR="007670C6" w:rsidRPr="007670C6">
        <w:rPr>
          <w:rFonts w:ascii="Book Antiqua" w:eastAsia="Book Antiqua" w:hAnsi="Book Antiqua" w:cs="Book Antiqua"/>
          <w:b/>
          <w:color w:val="000000"/>
        </w:rPr>
        <w:t xml:space="preserve"> aortic valve implantation</w:t>
      </w:r>
      <w:r w:rsidR="007670C6">
        <w:rPr>
          <w:rFonts w:ascii="Book Antiqua" w:eastAsia="Book Antiqua" w:hAnsi="Book Antiqua" w:cs="Book Antiqua"/>
          <w:b/>
          <w:color w:val="000000"/>
        </w:rPr>
        <w:t>:</w:t>
      </w:r>
      <w:bookmarkEnd w:id="0"/>
      <w:r>
        <w:rPr>
          <w:rFonts w:ascii="Book Antiqua" w:eastAsia="Book Antiqua" w:hAnsi="Book Antiqua" w:cs="Book Antiqua"/>
          <w:b/>
          <w:color w:val="000000"/>
        </w:rPr>
        <w:t xml:space="preserve"> A systematic review and meta-analysis</w:t>
      </w:r>
    </w:p>
    <w:p w14:paraId="417EF8D7" w14:textId="77777777" w:rsidR="00A77B3E" w:rsidRDefault="00A77B3E">
      <w:pPr>
        <w:spacing w:line="360" w:lineRule="auto"/>
        <w:jc w:val="both"/>
      </w:pPr>
    </w:p>
    <w:p w14:paraId="3F1D32B6" w14:textId="68B8AADE" w:rsidR="00A77B3E" w:rsidRDefault="007670C6">
      <w:pPr>
        <w:spacing w:line="360" w:lineRule="auto"/>
        <w:jc w:val="both"/>
      </w:pPr>
      <w:proofErr w:type="spellStart"/>
      <w:r>
        <w:rPr>
          <w:rFonts w:ascii="Book Antiqua" w:eastAsia="Book Antiqua" w:hAnsi="Book Antiqua" w:cs="Book Antiqua"/>
          <w:color w:val="000000"/>
        </w:rPr>
        <w:t>Radhakrishnan</w:t>
      </w:r>
      <w:proofErr w:type="spellEnd"/>
      <w:r>
        <w:rPr>
          <w:rFonts w:ascii="Book Antiqua" w:eastAsia="Book Antiqua" w:hAnsi="Book Antiqua" w:cs="Book Antiqua"/>
          <w:color w:val="000000"/>
        </w:rPr>
        <w:t xml:space="preserve"> SL </w:t>
      </w:r>
      <w:r w:rsidRPr="006D65D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34D76">
        <w:rPr>
          <w:rFonts w:ascii="Book Antiqua" w:eastAsia="Book Antiqua" w:hAnsi="Book Antiqua" w:cs="Book Antiqua"/>
          <w:color w:val="000000"/>
        </w:rPr>
        <w:t xml:space="preserve">TF </w:t>
      </w:r>
      <w:r w:rsidR="00F34D76">
        <w:rPr>
          <w:rFonts w:ascii="Book Antiqua" w:eastAsia="Book Antiqua" w:hAnsi="Book Antiqua" w:cs="Book Antiqua"/>
          <w:i/>
          <w:iCs/>
          <w:color w:val="000000"/>
        </w:rPr>
        <w:t>vs</w:t>
      </w:r>
      <w:r w:rsidR="00F34D76">
        <w:rPr>
          <w:rFonts w:ascii="Book Antiqua" w:eastAsia="Book Antiqua" w:hAnsi="Book Antiqua" w:cs="Book Antiqua"/>
          <w:color w:val="000000"/>
        </w:rPr>
        <w:t xml:space="preserve"> TR secondary access TAVI outcomes</w:t>
      </w:r>
    </w:p>
    <w:p w14:paraId="5E2F4B74" w14:textId="77777777" w:rsidR="00A77B3E" w:rsidRDefault="00A77B3E">
      <w:pPr>
        <w:spacing w:line="360" w:lineRule="auto"/>
        <w:jc w:val="both"/>
      </w:pPr>
    </w:p>
    <w:p w14:paraId="576E8B17" w14:textId="4C9B048B" w:rsidR="00A77B3E" w:rsidRDefault="00F34D76" w:rsidP="00FD0BB4">
      <w:pPr>
        <w:tabs>
          <w:tab w:val="left" w:pos="5347"/>
        </w:tabs>
        <w:spacing w:line="360" w:lineRule="auto"/>
        <w:jc w:val="both"/>
      </w:pPr>
      <w:r>
        <w:rPr>
          <w:rFonts w:ascii="Book Antiqua" w:eastAsia="Book Antiqua" w:hAnsi="Book Antiqua" w:cs="Book Antiqua"/>
          <w:color w:val="000000"/>
        </w:rPr>
        <w:t>Sh</w:t>
      </w:r>
      <w:r w:rsidR="00784F99">
        <w:rPr>
          <w:rFonts w:ascii="Book Antiqua" w:eastAsia="Book Antiqua" w:hAnsi="Book Antiqua" w:cs="Book Antiqua"/>
          <w:color w:val="000000"/>
        </w:rPr>
        <w:t xml:space="preserve">ree </w:t>
      </w:r>
      <w:proofErr w:type="spellStart"/>
      <w:r w:rsidR="00784F99">
        <w:rPr>
          <w:rFonts w:ascii="Book Antiqua" w:eastAsia="Book Antiqua" w:hAnsi="Book Antiqua" w:cs="Book Antiqua"/>
          <w:color w:val="000000"/>
        </w:rPr>
        <w:t>Lata</w:t>
      </w:r>
      <w:proofErr w:type="spellEnd"/>
      <w:r w:rsidR="00784F99">
        <w:rPr>
          <w:rFonts w:ascii="Book Antiqua" w:eastAsia="Book Antiqua" w:hAnsi="Book Antiqua" w:cs="Book Antiqua"/>
          <w:color w:val="000000"/>
        </w:rPr>
        <w:t xml:space="preserve"> </w:t>
      </w:r>
      <w:proofErr w:type="spellStart"/>
      <w:r w:rsidR="00784F99">
        <w:rPr>
          <w:rFonts w:ascii="Book Antiqua" w:eastAsia="Book Antiqua" w:hAnsi="Book Antiqua" w:cs="Book Antiqua"/>
          <w:color w:val="000000"/>
        </w:rPr>
        <w:t>Radhakrishnan</w:t>
      </w:r>
      <w:proofErr w:type="spellEnd"/>
      <w:r w:rsidR="00784F99">
        <w:rPr>
          <w:rFonts w:ascii="Book Antiqua" w:eastAsia="Book Antiqua" w:hAnsi="Book Antiqua" w:cs="Book Antiqua"/>
          <w:color w:val="000000"/>
        </w:rPr>
        <w:t xml:space="preserve">, </w:t>
      </w:r>
      <w:proofErr w:type="spellStart"/>
      <w:r w:rsidR="00784F99">
        <w:rPr>
          <w:rFonts w:ascii="Book Antiqua" w:eastAsia="Book Antiqua" w:hAnsi="Book Antiqua" w:cs="Book Antiqua"/>
          <w:color w:val="000000"/>
        </w:rPr>
        <w:t>Kalon</w:t>
      </w:r>
      <w:proofErr w:type="spellEnd"/>
      <w:r w:rsidR="00784F99">
        <w:rPr>
          <w:rFonts w:ascii="Book Antiqua" w:eastAsia="Book Antiqua" w:hAnsi="Book Antiqua" w:cs="Book Antiqua"/>
          <w:color w:val="000000"/>
        </w:rPr>
        <w:t xml:space="preserve"> K</w:t>
      </w:r>
      <w:r>
        <w:rPr>
          <w:rFonts w:ascii="Book Antiqua" w:eastAsia="Book Antiqua" w:hAnsi="Book Antiqua" w:cs="Book Antiqua"/>
          <w:color w:val="000000"/>
        </w:rPr>
        <w:t>L Ho</w:t>
      </w:r>
      <w:r w:rsidR="00FD0BB4">
        <w:rPr>
          <w:rFonts w:ascii="Book Antiqua" w:eastAsia="Book Antiqua" w:hAnsi="Book Antiqua" w:cs="Book Antiqua"/>
          <w:color w:val="000000"/>
        </w:rPr>
        <w:tab/>
      </w:r>
    </w:p>
    <w:p w14:paraId="46DAC50D" w14:textId="77777777" w:rsidR="00A77B3E" w:rsidRDefault="00A77B3E">
      <w:pPr>
        <w:spacing w:line="360" w:lineRule="auto"/>
        <w:jc w:val="both"/>
      </w:pPr>
    </w:p>
    <w:p w14:paraId="51C65971" w14:textId="77777777" w:rsidR="00A77B3E" w:rsidRDefault="00F34D76">
      <w:pPr>
        <w:spacing w:line="360" w:lineRule="auto"/>
        <w:jc w:val="both"/>
      </w:pPr>
      <w:r>
        <w:rPr>
          <w:rFonts w:ascii="Book Antiqua" w:eastAsia="Book Antiqua" w:hAnsi="Book Antiqua" w:cs="Book Antiqua"/>
          <w:b/>
          <w:bCs/>
          <w:color w:val="000000"/>
        </w:rPr>
        <w:t xml:space="preserve">Shree </w:t>
      </w:r>
      <w:proofErr w:type="spellStart"/>
      <w:r>
        <w:rPr>
          <w:rFonts w:ascii="Book Antiqua" w:eastAsia="Book Antiqua" w:hAnsi="Book Antiqua" w:cs="Book Antiqua"/>
          <w:b/>
          <w:bCs/>
          <w:color w:val="000000"/>
        </w:rPr>
        <w:t>Lata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Radhakrishnan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General Medicine, Department of Medicine, Beth Israel Deaconess Medical Center, Boston, MA 02215, United States</w:t>
      </w:r>
    </w:p>
    <w:p w14:paraId="41621619" w14:textId="77777777" w:rsidR="00A77B3E" w:rsidRDefault="00A77B3E">
      <w:pPr>
        <w:spacing w:line="360" w:lineRule="auto"/>
        <w:jc w:val="both"/>
      </w:pPr>
    </w:p>
    <w:p w14:paraId="6AF692F3" w14:textId="0BD0D807" w:rsidR="00A77B3E" w:rsidRDefault="00784F99">
      <w:pPr>
        <w:spacing w:line="360" w:lineRule="auto"/>
        <w:jc w:val="both"/>
      </w:pPr>
      <w:proofErr w:type="spellStart"/>
      <w:r>
        <w:rPr>
          <w:rFonts w:ascii="Book Antiqua" w:eastAsia="Book Antiqua" w:hAnsi="Book Antiqua" w:cs="Book Antiqua"/>
          <w:b/>
          <w:bCs/>
          <w:color w:val="000000"/>
        </w:rPr>
        <w:t>Kalon</w:t>
      </w:r>
      <w:proofErr w:type="spellEnd"/>
      <w:r>
        <w:rPr>
          <w:rFonts w:ascii="Book Antiqua" w:eastAsia="Book Antiqua" w:hAnsi="Book Antiqua" w:cs="Book Antiqua"/>
          <w:b/>
          <w:bCs/>
          <w:color w:val="000000"/>
        </w:rPr>
        <w:t xml:space="preserve"> K</w:t>
      </w:r>
      <w:r w:rsidR="00F34D76">
        <w:rPr>
          <w:rFonts w:ascii="Book Antiqua" w:eastAsia="Book Antiqua" w:hAnsi="Book Antiqua" w:cs="Book Antiqua"/>
          <w:b/>
          <w:bCs/>
          <w:color w:val="000000"/>
        </w:rPr>
        <w:t xml:space="preserve">L Ho, </w:t>
      </w:r>
      <w:r w:rsidR="00F34D76">
        <w:rPr>
          <w:rFonts w:ascii="Book Antiqua" w:eastAsia="Book Antiqua" w:hAnsi="Book Antiqua" w:cs="Book Antiqua"/>
          <w:color w:val="000000"/>
        </w:rPr>
        <w:t>Division of Cardiovascular Medicine, Department of Medicine, Beth Israel Deaconess Medical Center, Boston, MA 02215, United States</w:t>
      </w:r>
    </w:p>
    <w:p w14:paraId="10705444" w14:textId="77777777" w:rsidR="00A77B3E" w:rsidRDefault="00A77B3E">
      <w:pPr>
        <w:spacing w:line="360" w:lineRule="auto"/>
        <w:jc w:val="both"/>
      </w:pPr>
    </w:p>
    <w:p w14:paraId="2CD84CB5" w14:textId="4A9D264B" w:rsidR="00A77B3E" w:rsidRDefault="00F34D76">
      <w:pPr>
        <w:spacing w:line="360" w:lineRule="auto"/>
        <w:jc w:val="both"/>
      </w:pPr>
      <w:r>
        <w:rPr>
          <w:rFonts w:ascii="Book Antiqua" w:eastAsia="Book Antiqua" w:hAnsi="Book Antiqua" w:cs="Book Antiqua"/>
          <w:b/>
          <w:bCs/>
          <w:color w:val="000000"/>
          <w:szCs w:val="22"/>
        </w:rPr>
        <w:t xml:space="preserve">Author contributions: </w:t>
      </w:r>
      <w:proofErr w:type="spellStart"/>
      <w:r w:rsidRPr="00032A6D">
        <w:rPr>
          <w:rFonts w:ascii="Book Antiqua" w:eastAsia="Book Antiqua" w:hAnsi="Book Antiqua" w:cs="Book Antiqua"/>
          <w:color w:val="000000"/>
          <w:szCs w:val="21"/>
        </w:rPr>
        <w:t>Radhakrishnan</w:t>
      </w:r>
      <w:proofErr w:type="spellEnd"/>
      <w:r w:rsidR="007670C6" w:rsidRPr="00032A6D">
        <w:rPr>
          <w:rFonts w:ascii="Book Antiqua" w:eastAsia="Book Antiqua" w:hAnsi="Book Antiqua" w:cs="Book Antiqua"/>
          <w:color w:val="000000"/>
          <w:szCs w:val="21"/>
        </w:rPr>
        <w:t xml:space="preserve"> SL completed conceptualization, methodology and formal analys</w:t>
      </w:r>
      <w:r w:rsidRPr="00032A6D">
        <w:rPr>
          <w:rFonts w:ascii="Book Antiqua" w:eastAsia="Book Antiqua" w:hAnsi="Book Antiqua" w:cs="Book Antiqua"/>
          <w:color w:val="000000"/>
          <w:szCs w:val="21"/>
        </w:rPr>
        <w:t xml:space="preserve">is, </w:t>
      </w:r>
      <w:r w:rsidR="007670C6" w:rsidRPr="00032A6D">
        <w:rPr>
          <w:rFonts w:ascii="Book Antiqua" w:eastAsia="Book Antiqua" w:hAnsi="Book Antiqua" w:cs="Book Antiqua"/>
          <w:color w:val="000000"/>
          <w:szCs w:val="21"/>
        </w:rPr>
        <w:t>wrote original d</w:t>
      </w:r>
      <w:r w:rsidRPr="00032A6D">
        <w:rPr>
          <w:rFonts w:ascii="Book Antiqua" w:eastAsia="Book Antiqua" w:hAnsi="Book Antiqua" w:cs="Book Antiqua"/>
          <w:color w:val="000000"/>
          <w:szCs w:val="21"/>
        </w:rPr>
        <w:t>raft,</w:t>
      </w:r>
      <w:r w:rsidR="007670C6" w:rsidRPr="00032A6D">
        <w:rPr>
          <w:rFonts w:ascii="Book Antiqua" w:eastAsia="Book Antiqua" w:hAnsi="Book Antiqua" w:cs="Book Antiqua"/>
          <w:color w:val="000000"/>
          <w:szCs w:val="21"/>
        </w:rPr>
        <w:t xml:space="preserve"> reviewed and edited the manuscript; </w:t>
      </w:r>
      <w:r w:rsidRPr="00032A6D">
        <w:rPr>
          <w:rFonts w:ascii="Book Antiqua" w:eastAsia="Book Antiqua" w:hAnsi="Book Antiqua" w:cs="Book Antiqua"/>
          <w:color w:val="000000"/>
          <w:szCs w:val="21"/>
        </w:rPr>
        <w:t>Ho</w:t>
      </w:r>
      <w:r w:rsidR="007670C6" w:rsidRPr="00032A6D">
        <w:rPr>
          <w:rFonts w:ascii="Book Antiqua" w:eastAsia="Book Antiqua" w:hAnsi="Book Antiqua" w:cs="Book Antiqua"/>
          <w:color w:val="000000"/>
          <w:szCs w:val="21"/>
        </w:rPr>
        <w:t xml:space="preserve"> KKL</w:t>
      </w:r>
      <w:r w:rsidRPr="00032A6D">
        <w:rPr>
          <w:rFonts w:ascii="Book Antiqua" w:eastAsia="Book Antiqua" w:hAnsi="Book Antiqua" w:cs="Book Antiqua"/>
          <w:color w:val="000000"/>
          <w:szCs w:val="21"/>
        </w:rPr>
        <w:t xml:space="preserve"> </w:t>
      </w:r>
      <w:r w:rsidR="007670C6" w:rsidRPr="00032A6D">
        <w:rPr>
          <w:rFonts w:ascii="Book Antiqua" w:eastAsia="Book Antiqua" w:hAnsi="Book Antiqua" w:cs="Book Antiqua"/>
          <w:color w:val="000000"/>
          <w:szCs w:val="21"/>
        </w:rPr>
        <w:t>provided r</w:t>
      </w:r>
      <w:r w:rsidR="007670C6">
        <w:rPr>
          <w:rFonts w:ascii="Book Antiqua" w:eastAsia="Book Antiqua" w:hAnsi="Book Antiqua" w:cs="Book Antiqua"/>
          <w:color w:val="000000"/>
          <w:szCs w:val="21"/>
        </w:rPr>
        <w:t>esources and supervision, reviewed and edited the m</w:t>
      </w:r>
      <w:r w:rsidR="007670C6" w:rsidRPr="007670C6">
        <w:rPr>
          <w:rFonts w:ascii="Book Antiqua" w:eastAsia="Book Antiqua" w:hAnsi="Book Antiqua" w:cs="Book Antiqua"/>
          <w:color w:val="000000"/>
          <w:szCs w:val="21"/>
        </w:rPr>
        <w:t>anuscript</w:t>
      </w:r>
      <w:r w:rsidR="007670C6">
        <w:rPr>
          <w:rFonts w:ascii="Book Antiqua" w:eastAsia="Book Antiqua" w:hAnsi="Book Antiqua" w:cs="Book Antiqua"/>
          <w:color w:val="000000"/>
          <w:szCs w:val="21"/>
        </w:rPr>
        <w:t>.</w:t>
      </w:r>
    </w:p>
    <w:p w14:paraId="010373A8" w14:textId="77777777" w:rsidR="00A77B3E" w:rsidRDefault="00A77B3E">
      <w:pPr>
        <w:spacing w:line="360" w:lineRule="auto"/>
        <w:jc w:val="both"/>
      </w:pPr>
    </w:p>
    <w:p w14:paraId="7C789479" w14:textId="4854A928" w:rsidR="00A77B3E" w:rsidRDefault="00F34D76">
      <w:pPr>
        <w:spacing w:line="360" w:lineRule="auto"/>
        <w:jc w:val="both"/>
      </w:pPr>
      <w:r>
        <w:rPr>
          <w:rFonts w:ascii="Book Antiqua" w:eastAsia="Book Antiqua" w:hAnsi="Book Antiqua" w:cs="Book Antiqua"/>
          <w:b/>
          <w:bCs/>
          <w:color w:val="000000"/>
        </w:rPr>
        <w:t xml:space="preserve">Corresponding author: Shree </w:t>
      </w:r>
      <w:proofErr w:type="spellStart"/>
      <w:r>
        <w:rPr>
          <w:rFonts w:ascii="Book Antiqua" w:eastAsia="Book Antiqua" w:hAnsi="Book Antiqua" w:cs="Book Antiqua"/>
          <w:b/>
          <w:bCs/>
          <w:color w:val="000000"/>
        </w:rPr>
        <w:t>Lata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Radhakrishnan</w:t>
      </w:r>
      <w:proofErr w:type="spellEnd"/>
      <w:r>
        <w:rPr>
          <w:rFonts w:ascii="Book Antiqua" w:eastAsia="Book Antiqua" w:hAnsi="Book Antiqua" w:cs="Book Antiqua"/>
          <w:b/>
          <w:bCs/>
          <w:color w:val="000000"/>
        </w:rPr>
        <w:t xml:space="preserve">, MD, </w:t>
      </w:r>
      <w:r>
        <w:rPr>
          <w:rFonts w:ascii="Book Antiqua" w:eastAsia="Book Antiqua" w:hAnsi="Book Antiqua" w:cs="Book Antiqua"/>
          <w:color w:val="000000"/>
        </w:rPr>
        <w:t>Division of General Medicine, Department of Medicine, Beth Israel Deaconess Medical Center, 330 Brookline Avenue W Span 210, Boston, MA 02215, United States. sradhak1@bidmc.harvard.edu</w:t>
      </w:r>
    </w:p>
    <w:p w14:paraId="38E4D8C0" w14:textId="77777777" w:rsidR="00A77B3E" w:rsidRDefault="00A77B3E">
      <w:pPr>
        <w:spacing w:line="360" w:lineRule="auto"/>
        <w:jc w:val="both"/>
      </w:pPr>
    </w:p>
    <w:p w14:paraId="3E5C0741" w14:textId="77777777" w:rsidR="00A77B3E" w:rsidRDefault="00F34D7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21, 2020</w:t>
      </w:r>
    </w:p>
    <w:p w14:paraId="6B8F29B8" w14:textId="77777777" w:rsidR="00A77B3E" w:rsidRDefault="00F34D7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21, 2020</w:t>
      </w:r>
    </w:p>
    <w:p w14:paraId="6E406144" w14:textId="46E2B17F" w:rsidR="00A77B3E" w:rsidRDefault="00F34D76">
      <w:pPr>
        <w:spacing w:line="360" w:lineRule="auto"/>
        <w:jc w:val="both"/>
      </w:pPr>
      <w:r>
        <w:rPr>
          <w:rFonts w:ascii="Book Antiqua" w:eastAsia="Book Antiqua" w:hAnsi="Book Antiqua" w:cs="Book Antiqua"/>
          <w:b/>
          <w:bCs/>
          <w:color w:val="000000"/>
        </w:rPr>
        <w:t xml:space="preserve">Accepted: </w:t>
      </w:r>
      <w:r w:rsidR="008758E3">
        <w:rPr>
          <w:rFonts w:ascii="Book Antiqua" w:eastAsia="Book Antiqua" w:hAnsi="Book Antiqua" w:cs="Book Antiqua"/>
          <w:color w:val="000000"/>
        </w:rPr>
        <w:t>October 30, 2020</w:t>
      </w:r>
    </w:p>
    <w:p w14:paraId="36E05D6C" w14:textId="2874F67B" w:rsidR="00A77B3E" w:rsidRPr="00507271" w:rsidRDefault="00F34D76">
      <w:pPr>
        <w:spacing w:line="360" w:lineRule="auto"/>
        <w:jc w:val="both"/>
        <w:rPr>
          <w:lang w:eastAsia="zh-CN"/>
        </w:rPr>
      </w:pPr>
      <w:r>
        <w:rPr>
          <w:rFonts w:ascii="Book Antiqua" w:eastAsia="Book Antiqua" w:hAnsi="Book Antiqua" w:cs="Book Antiqua"/>
          <w:b/>
          <w:bCs/>
          <w:color w:val="000000"/>
        </w:rPr>
        <w:t xml:space="preserve">Published online: </w:t>
      </w:r>
      <w:r w:rsidR="00507271" w:rsidRPr="00507271">
        <w:rPr>
          <w:rFonts w:ascii="Book Antiqua" w:hAnsi="Book Antiqua" w:cs="Book Antiqua" w:hint="eastAsia"/>
          <w:bCs/>
          <w:color w:val="000000"/>
          <w:lang w:eastAsia="zh-CN"/>
        </w:rPr>
        <w:t>November 26, 2020</w:t>
      </w:r>
    </w:p>
    <w:p w14:paraId="586CCB7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0C6FFF4" w14:textId="77777777" w:rsidR="00A77B3E" w:rsidRDefault="00F34D76">
      <w:pPr>
        <w:spacing w:line="360" w:lineRule="auto"/>
        <w:jc w:val="both"/>
      </w:pPr>
      <w:r>
        <w:rPr>
          <w:rFonts w:ascii="Book Antiqua" w:eastAsia="Book Antiqua" w:hAnsi="Book Antiqua" w:cs="Book Antiqua"/>
          <w:b/>
          <w:color w:val="000000"/>
        </w:rPr>
        <w:lastRenderedPageBreak/>
        <w:t>Abstract</w:t>
      </w:r>
    </w:p>
    <w:p w14:paraId="4D561E6A" w14:textId="77777777" w:rsidR="00A77B3E" w:rsidRDefault="00F34D76">
      <w:pPr>
        <w:spacing w:line="360" w:lineRule="auto"/>
        <w:jc w:val="both"/>
      </w:pPr>
      <w:r>
        <w:rPr>
          <w:rFonts w:ascii="Book Antiqua" w:eastAsia="Book Antiqua" w:hAnsi="Book Antiqua" w:cs="Book Antiqua"/>
          <w:color w:val="000000"/>
        </w:rPr>
        <w:t>BACKGROUND</w:t>
      </w:r>
    </w:p>
    <w:p w14:paraId="7BD99C20" w14:textId="77777777" w:rsidR="00A77B3E" w:rsidRDefault="00F34D76">
      <w:pPr>
        <w:spacing w:line="360" w:lineRule="auto"/>
        <w:jc w:val="both"/>
      </w:pPr>
      <w:r>
        <w:rPr>
          <w:rFonts w:ascii="Book Antiqua" w:eastAsia="Book Antiqua" w:hAnsi="Book Antiqua" w:cs="Book Antiqua"/>
          <w:color w:val="000000"/>
          <w:szCs w:val="22"/>
        </w:rPr>
        <w:t xml:space="preserve">Complications of </w:t>
      </w:r>
      <w:proofErr w:type="spellStart"/>
      <w:r>
        <w:rPr>
          <w:rFonts w:ascii="Book Antiqua" w:eastAsia="Book Antiqua" w:hAnsi="Book Antiqua" w:cs="Book Antiqua"/>
          <w:color w:val="000000"/>
          <w:szCs w:val="22"/>
        </w:rPr>
        <w:t>transcatheter</w:t>
      </w:r>
      <w:proofErr w:type="spellEnd"/>
      <w:r>
        <w:rPr>
          <w:rFonts w:ascii="Book Antiqua" w:eastAsia="Book Antiqua" w:hAnsi="Book Antiqua" w:cs="Book Antiqua"/>
          <w:color w:val="000000"/>
          <w:szCs w:val="22"/>
        </w:rPr>
        <w:t xml:space="preserve"> aortic valve implantation (TAVI) procedures include bleeding, vascular complications, and strokes. These complications are often associated with the type of access used. The two types of access in TAVI procedures are primary and secondary. The main use of the primary access is for valve delivery, while secondary access is used for angiography and hemodynamic monitoring. While there are many options for primary access, those for secondary access are </w:t>
      </w:r>
      <w:proofErr w:type="spellStart"/>
      <w:r>
        <w:rPr>
          <w:rFonts w:ascii="Book Antiqua" w:eastAsia="Book Antiqua" w:hAnsi="Book Antiqua" w:cs="Book Antiqua"/>
          <w:color w:val="000000"/>
          <w:szCs w:val="22"/>
        </w:rPr>
        <w:t>transfemoral</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transradial</w:t>
      </w:r>
      <w:proofErr w:type="spellEnd"/>
      <w:r>
        <w:rPr>
          <w:rFonts w:ascii="Book Antiqua" w:eastAsia="Book Antiqua" w:hAnsi="Book Antiqua" w:cs="Book Antiqua"/>
          <w:color w:val="000000"/>
          <w:szCs w:val="22"/>
        </w:rPr>
        <w:t>. </w:t>
      </w:r>
    </w:p>
    <w:p w14:paraId="66476CBC" w14:textId="77777777" w:rsidR="00A77B3E" w:rsidRDefault="00A77B3E">
      <w:pPr>
        <w:spacing w:line="360" w:lineRule="auto"/>
        <w:jc w:val="both"/>
      </w:pPr>
    </w:p>
    <w:p w14:paraId="5D2364E7" w14:textId="77777777" w:rsidR="00A77B3E" w:rsidRDefault="00F34D76">
      <w:pPr>
        <w:spacing w:line="360" w:lineRule="auto"/>
        <w:jc w:val="both"/>
      </w:pPr>
      <w:r>
        <w:rPr>
          <w:rFonts w:ascii="Book Antiqua" w:eastAsia="Book Antiqua" w:hAnsi="Book Antiqua" w:cs="Book Antiqua"/>
          <w:color w:val="000000"/>
        </w:rPr>
        <w:t>AIM</w:t>
      </w:r>
    </w:p>
    <w:p w14:paraId="31E2CE61" w14:textId="789A6675" w:rsidR="00A77B3E" w:rsidRDefault="00034CD7">
      <w:pPr>
        <w:spacing w:line="360" w:lineRule="auto"/>
        <w:jc w:val="both"/>
      </w:pPr>
      <w:r>
        <w:rPr>
          <w:rFonts w:ascii="Book Antiqua" w:eastAsia="Book Antiqua" w:hAnsi="Book Antiqua" w:cs="Book Antiqua"/>
          <w:color w:val="000000"/>
          <w:szCs w:val="22"/>
        </w:rPr>
        <w:t>T</w:t>
      </w:r>
      <w:r w:rsidR="00F34D76">
        <w:rPr>
          <w:rFonts w:ascii="Book Antiqua" w:eastAsia="Book Antiqua" w:hAnsi="Book Antiqua" w:cs="Book Antiqua"/>
          <w:color w:val="000000"/>
          <w:szCs w:val="22"/>
        </w:rPr>
        <w:t xml:space="preserve">o compare outcomes between </w:t>
      </w:r>
      <w:proofErr w:type="spellStart"/>
      <w:r w:rsidR="00F34D76">
        <w:rPr>
          <w:rFonts w:ascii="Book Antiqua" w:eastAsia="Book Antiqua" w:hAnsi="Book Antiqua" w:cs="Book Antiqua"/>
          <w:color w:val="000000"/>
          <w:szCs w:val="22"/>
        </w:rPr>
        <w:t>transradial</w:t>
      </w:r>
      <w:proofErr w:type="spellEnd"/>
      <w:r w:rsidR="00F34D76">
        <w:rPr>
          <w:rFonts w:ascii="Book Antiqua" w:eastAsia="Book Antiqua" w:hAnsi="Book Antiqua" w:cs="Book Antiqua"/>
          <w:color w:val="000000"/>
          <w:szCs w:val="22"/>
        </w:rPr>
        <w:t xml:space="preserve"> </w:t>
      </w:r>
      <w:r w:rsidR="00F34D76">
        <w:rPr>
          <w:rFonts w:ascii="Book Antiqua" w:eastAsia="Book Antiqua" w:hAnsi="Book Antiqua" w:cs="Book Antiqua"/>
          <w:i/>
          <w:iCs/>
          <w:color w:val="000000"/>
          <w:szCs w:val="22"/>
        </w:rPr>
        <w:t>vs</w:t>
      </w:r>
      <w:r w:rsidR="00F34D76">
        <w:rPr>
          <w:rFonts w:ascii="Book Antiqua" w:eastAsia="Book Antiqua" w:hAnsi="Book Antiqua" w:cs="Book Antiqua"/>
          <w:color w:val="000000"/>
          <w:szCs w:val="22"/>
        </w:rPr>
        <w:t xml:space="preserve"> </w:t>
      </w:r>
      <w:proofErr w:type="spellStart"/>
      <w:r w:rsidR="00F34D76">
        <w:rPr>
          <w:rFonts w:ascii="Book Antiqua" w:eastAsia="Book Antiqua" w:hAnsi="Book Antiqua" w:cs="Book Antiqua"/>
          <w:color w:val="000000"/>
          <w:szCs w:val="22"/>
        </w:rPr>
        <w:t>transfemoral</w:t>
      </w:r>
      <w:proofErr w:type="spellEnd"/>
      <w:r w:rsidR="00F34D76">
        <w:rPr>
          <w:rFonts w:ascii="Book Antiqua" w:eastAsia="Book Antiqua" w:hAnsi="Book Antiqua" w:cs="Book Antiqua"/>
          <w:color w:val="000000"/>
          <w:szCs w:val="22"/>
        </w:rPr>
        <w:t xml:space="preserve"> secondary access</w:t>
      </w:r>
      <w:r w:rsidR="00C64EAD">
        <w:rPr>
          <w:rFonts w:ascii="Book Antiqua" w:eastAsia="Book Antiqua" w:hAnsi="Book Antiqua" w:cs="Book Antiqua"/>
          <w:color w:val="000000"/>
          <w:szCs w:val="22"/>
        </w:rPr>
        <w:t xml:space="preserve"> (</w:t>
      </w:r>
      <w:r w:rsidR="00C64EAD">
        <w:rPr>
          <w:rFonts w:ascii="Book Antiqua" w:eastAsia="Book Antiqua" w:hAnsi="Book Antiqua" w:cs="Book Antiqua"/>
          <w:color w:val="000000"/>
          <w:szCs w:val="22"/>
          <w:shd w:val="clear" w:color="auto" w:fill="FFFFFF"/>
        </w:rPr>
        <w:t>TFSA</w:t>
      </w:r>
      <w:r w:rsidR="00C64EAD">
        <w:rPr>
          <w:rFonts w:ascii="Book Antiqua" w:eastAsia="Book Antiqua" w:hAnsi="Book Antiqua" w:cs="Book Antiqua"/>
          <w:color w:val="000000"/>
          <w:szCs w:val="22"/>
        </w:rPr>
        <w:t>)</w:t>
      </w:r>
      <w:r w:rsidR="00F34D76">
        <w:rPr>
          <w:rFonts w:ascii="Book Antiqua" w:eastAsia="Book Antiqua" w:hAnsi="Book Antiqua" w:cs="Book Antiqua"/>
          <w:color w:val="000000"/>
          <w:szCs w:val="22"/>
        </w:rPr>
        <w:t>.</w:t>
      </w:r>
    </w:p>
    <w:p w14:paraId="65143E9F" w14:textId="77777777" w:rsidR="00A77B3E" w:rsidRDefault="00A77B3E">
      <w:pPr>
        <w:spacing w:line="360" w:lineRule="auto"/>
        <w:jc w:val="both"/>
      </w:pPr>
    </w:p>
    <w:p w14:paraId="54B33C5E" w14:textId="77777777" w:rsidR="00A77B3E" w:rsidRDefault="00F34D76">
      <w:pPr>
        <w:spacing w:line="360" w:lineRule="auto"/>
        <w:jc w:val="both"/>
      </w:pPr>
      <w:r>
        <w:rPr>
          <w:rFonts w:ascii="Book Antiqua" w:eastAsia="Book Antiqua" w:hAnsi="Book Antiqua" w:cs="Book Antiqua"/>
          <w:color w:val="000000"/>
        </w:rPr>
        <w:t>METHODS</w:t>
      </w:r>
    </w:p>
    <w:p w14:paraId="7B1FBD7C" w14:textId="56598D44" w:rsidR="00A77B3E" w:rsidRDefault="00F34D76">
      <w:pPr>
        <w:spacing w:line="360" w:lineRule="auto"/>
        <w:jc w:val="both"/>
      </w:pPr>
      <w:r>
        <w:rPr>
          <w:rFonts w:ascii="Book Antiqua" w:eastAsia="Book Antiqua" w:hAnsi="Book Antiqua" w:cs="Book Antiqua"/>
          <w:color w:val="000000"/>
          <w:szCs w:val="22"/>
        </w:rPr>
        <w:t>A systematic search was conducted using major databases (EMBASE, PubMed, Cochrane Central, Google Scholar), which resulted in 5 studies that met the criteria for study selection. Outcomes of interest were 30-d rates each of major/</w:t>
      </w:r>
      <w:r w:rsidR="00044D1A">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ife-threatening bleeding, vascular complications, strokes, and mortality. All 5 studies were observational. Only adjusted or matched data were used when available in this meta-analysis. </w:t>
      </w:r>
    </w:p>
    <w:p w14:paraId="0BB52800" w14:textId="77777777" w:rsidR="00A77B3E" w:rsidRDefault="00A77B3E">
      <w:pPr>
        <w:spacing w:line="360" w:lineRule="auto"/>
        <w:jc w:val="both"/>
      </w:pPr>
    </w:p>
    <w:p w14:paraId="3FCC357B" w14:textId="77777777" w:rsidR="00A77B3E" w:rsidRDefault="00F34D76">
      <w:pPr>
        <w:spacing w:line="360" w:lineRule="auto"/>
        <w:jc w:val="both"/>
      </w:pPr>
      <w:r>
        <w:rPr>
          <w:rFonts w:ascii="Book Antiqua" w:eastAsia="Book Antiqua" w:hAnsi="Book Antiqua" w:cs="Book Antiqua"/>
          <w:color w:val="000000"/>
        </w:rPr>
        <w:t>RESULTS</w:t>
      </w:r>
    </w:p>
    <w:p w14:paraId="182C9357" w14:textId="0590857B" w:rsidR="00A77B3E" w:rsidRDefault="00F34D76">
      <w:pPr>
        <w:spacing w:line="360" w:lineRule="auto"/>
        <w:jc w:val="both"/>
      </w:pPr>
      <w:r>
        <w:rPr>
          <w:rFonts w:ascii="Book Antiqua" w:eastAsia="Book Antiqua" w:hAnsi="Book Antiqua" w:cs="Book Antiqua"/>
          <w:color w:val="000000"/>
          <w:szCs w:val="22"/>
        </w:rPr>
        <w:t xml:space="preserve">A total of </w:t>
      </w:r>
      <w:r>
        <w:rPr>
          <w:rFonts w:ascii="Book Antiqua" w:eastAsia="Book Antiqua" w:hAnsi="Book Antiqua" w:cs="Book Antiqua"/>
          <w:color w:val="000000"/>
          <w:szCs w:val="22"/>
          <w:shd w:val="clear" w:color="auto" w:fill="FFFFFF"/>
        </w:rPr>
        <w:t xml:space="preserve">5065 patients underwent TAVI, with 1453 patients (28.7%) having undergone </w:t>
      </w:r>
      <w:proofErr w:type="spellStart"/>
      <w:r>
        <w:rPr>
          <w:rFonts w:ascii="Book Antiqua" w:eastAsia="Book Antiqua" w:hAnsi="Book Antiqua" w:cs="Book Antiqua"/>
          <w:color w:val="000000"/>
          <w:szCs w:val="22"/>
          <w:shd w:val="clear" w:color="auto" w:fill="FFFFFF"/>
        </w:rPr>
        <w:t>transradial</w:t>
      </w:r>
      <w:proofErr w:type="spellEnd"/>
      <w:r>
        <w:rPr>
          <w:rFonts w:ascii="Book Antiqua" w:eastAsia="Book Antiqua" w:hAnsi="Book Antiqua" w:cs="Book Antiqua"/>
          <w:color w:val="000000"/>
          <w:szCs w:val="22"/>
          <w:shd w:val="clear" w:color="auto" w:fill="FFFFFF"/>
        </w:rPr>
        <w:t xml:space="preserve"> secondary access (TRSA) and 3612 patients (71.3%) </w:t>
      </w:r>
      <w:proofErr w:type="gramStart"/>
      <w:r>
        <w:rPr>
          <w:rFonts w:ascii="Book Antiqua" w:eastAsia="Book Antiqua" w:hAnsi="Book Antiqua" w:cs="Book Antiqua"/>
          <w:color w:val="000000"/>
          <w:szCs w:val="22"/>
          <w:shd w:val="clear" w:color="auto" w:fill="FFFFFF"/>
        </w:rPr>
        <w:t>TFSA.</w:t>
      </w:r>
      <w:proofErr w:type="gramEnd"/>
      <w:r>
        <w:rPr>
          <w:rFonts w:ascii="Book Antiqua" w:eastAsia="Book Antiqua" w:hAnsi="Book Antiqua" w:cs="Book Antiqua"/>
          <w:color w:val="000000"/>
          <w:szCs w:val="22"/>
          <w:shd w:val="clear" w:color="auto" w:fill="FFFFFF"/>
        </w:rPr>
        <w:t xml:space="preserve"> Irrespective of the site of primary access, </w:t>
      </w:r>
      <w:r>
        <w:rPr>
          <w:rFonts w:ascii="Book Antiqua" w:eastAsia="Book Antiqua" w:hAnsi="Book Antiqua" w:cs="Book Antiqua"/>
          <w:color w:val="000000"/>
          <w:szCs w:val="22"/>
        </w:rPr>
        <w:t>the odds of having major or life-threatening bleeding were 60% lower in the TRSA group than the TFSA group (</w:t>
      </w:r>
      <w:r w:rsidR="00034CD7" w:rsidRPr="006D65DA">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0.00001)</w:t>
      </w:r>
      <w:r>
        <w:rPr>
          <w:rFonts w:ascii="Book Antiqua" w:eastAsia="Book Antiqua" w:hAnsi="Book Antiqua" w:cs="Book Antiqua"/>
          <w:color w:val="000000"/>
          <w:szCs w:val="22"/>
          <w:shd w:val="clear" w:color="auto" w:fill="FFFFFF"/>
        </w:rPr>
        <w:t>. The odds of having major vascular complications were 52% lower in the TRSA group (</w:t>
      </w:r>
      <w:r w:rsidR="00034CD7" w:rsidRPr="00034CD7">
        <w:rPr>
          <w:rFonts w:ascii="Book Antiqua" w:eastAsia="Book Antiqua" w:hAnsi="Book Antiqua" w:cs="Book Antiqua"/>
          <w:i/>
          <w:iCs/>
          <w:color w:val="000000"/>
          <w:szCs w:val="22"/>
          <w:shd w:val="clear" w:color="auto" w:fill="FFFFFF"/>
        </w:rPr>
        <w:t>P</w:t>
      </w:r>
      <w:r>
        <w:rPr>
          <w:rFonts w:ascii="Book Antiqua" w:eastAsia="Book Antiqua" w:hAnsi="Book Antiqua" w:cs="Book Antiqua"/>
          <w:color w:val="000000"/>
          <w:szCs w:val="22"/>
          <w:shd w:val="clear" w:color="auto" w:fill="FFFFFF"/>
        </w:rPr>
        <w:t xml:space="preserve"> &lt; 0.0001) with no difference in minor vascular complications between the 2 groups. Similarly, the odds of </w:t>
      </w:r>
      <w:r>
        <w:rPr>
          <w:rFonts w:ascii="Book Antiqua" w:eastAsia="Book Antiqua" w:hAnsi="Book Antiqua" w:cs="Book Antiqua"/>
          <w:color w:val="000000"/>
          <w:szCs w:val="22"/>
          <w:shd w:val="clear" w:color="auto" w:fill="FFFFFF"/>
        </w:rPr>
        <w:lastRenderedPageBreak/>
        <w:t>mortality in 30-d after the procedure were 41%</w:t>
      </w:r>
      <w:r>
        <w:rPr>
          <w:rFonts w:ascii="Book Antiqua" w:eastAsia="Book Antiqua" w:hAnsi="Book Antiqua" w:cs="Book Antiqua"/>
          <w:color w:val="000000"/>
          <w:szCs w:val="22"/>
        </w:rPr>
        <w:t xml:space="preserve"> lower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0.006) and the odds of stroke were 54% lower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in the TRSA group than the TFSA group.</w:t>
      </w:r>
    </w:p>
    <w:p w14:paraId="011D3A6A" w14:textId="77777777" w:rsidR="00A77B3E" w:rsidRDefault="00A77B3E">
      <w:pPr>
        <w:spacing w:line="360" w:lineRule="auto"/>
        <w:jc w:val="both"/>
      </w:pPr>
    </w:p>
    <w:p w14:paraId="5956A4C3" w14:textId="77777777" w:rsidR="00A77B3E" w:rsidRDefault="00F34D76">
      <w:pPr>
        <w:spacing w:line="360" w:lineRule="auto"/>
        <w:jc w:val="both"/>
      </w:pPr>
      <w:r>
        <w:rPr>
          <w:rFonts w:ascii="Book Antiqua" w:eastAsia="Book Antiqua" w:hAnsi="Book Antiqua" w:cs="Book Antiqua"/>
          <w:color w:val="000000"/>
        </w:rPr>
        <w:t>CONCLUSION</w:t>
      </w:r>
    </w:p>
    <w:p w14:paraId="6BFBA5C7" w14:textId="77777777" w:rsidR="00A77B3E" w:rsidRDefault="00F34D76">
      <w:pPr>
        <w:spacing w:line="360" w:lineRule="auto"/>
        <w:jc w:val="both"/>
      </w:pPr>
      <w:r>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transradial</w:t>
      </w:r>
      <w:proofErr w:type="spellEnd"/>
      <w:r>
        <w:rPr>
          <w:rFonts w:ascii="Book Antiqua" w:eastAsia="Book Antiqua" w:hAnsi="Book Antiqua" w:cs="Book Antiqua"/>
          <w:color w:val="000000"/>
          <w:szCs w:val="22"/>
        </w:rPr>
        <w:t xml:space="preserve"> secondary approach appears to be a safer alternative to the </w:t>
      </w:r>
      <w:proofErr w:type="spellStart"/>
      <w:r>
        <w:rPr>
          <w:rFonts w:ascii="Book Antiqua" w:eastAsia="Book Antiqua" w:hAnsi="Book Antiqua" w:cs="Book Antiqua"/>
          <w:color w:val="000000"/>
          <w:szCs w:val="22"/>
        </w:rPr>
        <w:t>transfemoral</w:t>
      </w:r>
      <w:proofErr w:type="spellEnd"/>
      <w:r>
        <w:rPr>
          <w:rFonts w:ascii="Book Antiqua" w:eastAsia="Book Antiqua" w:hAnsi="Book Antiqua" w:cs="Book Antiqua"/>
          <w:color w:val="000000"/>
          <w:szCs w:val="22"/>
        </w:rPr>
        <w:t xml:space="preserve"> secondary approach in TAVI procedures. </w:t>
      </w:r>
    </w:p>
    <w:p w14:paraId="3013BFE6" w14:textId="77777777" w:rsidR="00A77B3E" w:rsidRDefault="00A77B3E">
      <w:pPr>
        <w:spacing w:line="360" w:lineRule="auto"/>
        <w:jc w:val="both"/>
      </w:pPr>
    </w:p>
    <w:p w14:paraId="00B5B718" w14:textId="614E2F99" w:rsidR="00A77B3E" w:rsidRDefault="00F34D76">
      <w:pPr>
        <w:spacing w:line="360" w:lineRule="auto"/>
        <w:jc w:val="both"/>
      </w:pPr>
      <w:r>
        <w:rPr>
          <w:rFonts w:ascii="Book Antiqua" w:eastAsia="Book Antiqua" w:hAnsi="Book Antiqua" w:cs="Book Antiqua"/>
          <w:b/>
          <w:bCs/>
          <w:color w:val="000000"/>
        </w:rPr>
        <w:t xml:space="preserve">Key Words: </w:t>
      </w:r>
      <w:proofErr w:type="spellStart"/>
      <w:r w:rsidR="00034CD7">
        <w:rPr>
          <w:rFonts w:ascii="Book Antiqua" w:eastAsia="Book Antiqua" w:hAnsi="Book Antiqua" w:cs="Book Antiqua"/>
          <w:color w:val="000000"/>
          <w:szCs w:val="22"/>
        </w:rPr>
        <w:t>Transcatheter</w:t>
      </w:r>
      <w:proofErr w:type="spellEnd"/>
      <w:r w:rsidR="00034CD7">
        <w:rPr>
          <w:rFonts w:ascii="Book Antiqua" w:eastAsia="Book Antiqua" w:hAnsi="Book Antiqua" w:cs="Book Antiqua"/>
          <w:color w:val="000000"/>
          <w:szCs w:val="22"/>
        </w:rPr>
        <w:t xml:space="preserve"> aortic valve implantation</w:t>
      </w:r>
      <w:r>
        <w:rPr>
          <w:rFonts w:ascii="Book Antiqua" w:eastAsia="Book Antiqua" w:hAnsi="Book Antiqua" w:cs="Book Antiqua"/>
          <w:color w:val="000000"/>
        </w:rPr>
        <w:t xml:space="preserve">; </w:t>
      </w:r>
      <w:r w:rsidR="00034CD7">
        <w:rPr>
          <w:rFonts w:ascii="Book Antiqua" w:eastAsia="Book Antiqua" w:hAnsi="Book Antiqua" w:cs="Book Antiqua"/>
          <w:color w:val="000000"/>
        </w:rPr>
        <w:t>M</w:t>
      </w:r>
      <w:r>
        <w:rPr>
          <w:rFonts w:ascii="Book Antiqua" w:eastAsia="Book Antiqua" w:hAnsi="Book Antiqua" w:cs="Book Antiqua"/>
          <w:color w:val="000000"/>
        </w:rPr>
        <w:t xml:space="preserve">eta-analysis; </w:t>
      </w:r>
      <w:r w:rsidR="00034CD7">
        <w:rPr>
          <w:rFonts w:ascii="Book Antiqua" w:eastAsia="Book Antiqua" w:hAnsi="Book Antiqua" w:cs="Book Antiqua"/>
          <w:color w:val="000000"/>
        </w:rPr>
        <w:t>F</w:t>
      </w:r>
      <w:r>
        <w:rPr>
          <w:rFonts w:ascii="Book Antiqua" w:eastAsia="Book Antiqua" w:hAnsi="Book Antiqua" w:cs="Book Antiqua"/>
          <w:color w:val="000000"/>
        </w:rPr>
        <w:t xml:space="preserve">emoral access; </w:t>
      </w:r>
      <w:r w:rsidR="00034CD7">
        <w:rPr>
          <w:rFonts w:ascii="Book Antiqua" w:eastAsia="Book Antiqua" w:hAnsi="Book Antiqua" w:cs="Book Antiqua"/>
          <w:color w:val="000000"/>
        </w:rPr>
        <w:t>R</w:t>
      </w:r>
      <w:r>
        <w:rPr>
          <w:rFonts w:ascii="Book Antiqua" w:eastAsia="Book Antiqua" w:hAnsi="Book Antiqua" w:cs="Book Antiqua"/>
          <w:color w:val="000000"/>
        </w:rPr>
        <w:t xml:space="preserve">adial access; </w:t>
      </w:r>
      <w:r w:rsidR="00034CD7">
        <w:rPr>
          <w:rFonts w:ascii="Book Antiqua" w:eastAsia="Book Antiqua" w:hAnsi="Book Antiqua" w:cs="Book Antiqua"/>
          <w:color w:val="000000"/>
        </w:rPr>
        <w:t>S</w:t>
      </w:r>
      <w:r>
        <w:rPr>
          <w:rFonts w:ascii="Book Antiqua" w:eastAsia="Book Antiqua" w:hAnsi="Book Antiqua" w:cs="Book Antiqua"/>
          <w:color w:val="000000"/>
        </w:rPr>
        <w:t xml:space="preserve">econdary access; </w:t>
      </w:r>
      <w:proofErr w:type="spellStart"/>
      <w:r w:rsidR="00034CD7">
        <w:rPr>
          <w:rFonts w:ascii="Book Antiqua" w:eastAsia="Book Antiqua" w:hAnsi="Book Antiqua" w:cs="Book Antiqua"/>
          <w:color w:val="000000"/>
        </w:rPr>
        <w:t>T</w:t>
      </w:r>
      <w:r w:rsidR="00034CD7" w:rsidRPr="00034CD7">
        <w:rPr>
          <w:rFonts w:ascii="Book Antiqua" w:eastAsia="Book Antiqua" w:hAnsi="Book Antiqua" w:cs="Book Antiqua"/>
          <w:color w:val="000000"/>
        </w:rPr>
        <w:t>ranscatheter</w:t>
      </w:r>
      <w:proofErr w:type="spellEnd"/>
      <w:r w:rsidR="00034CD7" w:rsidRPr="00034CD7">
        <w:rPr>
          <w:rFonts w:ascii="Book Antiqua" w:eastAsia="Book Antiqua" w:hAnsi="Book Antiqua" w:cs="Book Antiqua"/>
          <w:color w:val="000000"/>
        </w:rPr>
        <w:t xml:space="preserve"> aortic valve replacement</w:t>
      </w:r>
    </w:p>
    <w:p w14:paraId="563DD3B5" w14:textId="77777777" w:rsidR="00A77B3E" w:rsidRDefault="00A77B3E">
      <w:pPr>
        <w:spacing w:line="360" w:lineRule="auto"/>
        <w:jc w:val="both"/>
      </w:pPr>
    </w:p>
    <w:p w14:paraId="5262C12B" w14:textId="511EFF76" w:rsidR="006B4C17" w:rsidRDefault="00D621EA">
      <w:pPr>
        <w:spacing w:line="360" w:lineRule="auto"/>
        <w:jc w:val="both"/>
        <w:rPr>
          <w:rFonts w:ascii="Book Antiqua" w:hAnsi="Book Antiqua" w:cs="Book Antiqua" w:hint="eastAsia"/>
          <w:color w:val="000000"/>
          <w:lang w:eastAsia="zh-CN"/>
        </w:rPr>
      </w:pPr>
      <w:r w:rsidRPr="00D621EA">
        <w:rPr>
          <w:rFonts w:ascii="Book Antiqua" w:hAnsi="Book Antiqua" w:cs="Book Antiqua" w:hint="eastAsia"/>
          <w:b/>
          <w:color w:val="000000"/>
          <w:lang w:eastAsia="zh-CN"/>
        </w:rPr>
        <w:t xml:space="preserve">Citation: </w:t>
      </w:r>
      <w:proofErr w:type="spellStart"/>
      <w:r w:rsidR="00F34D76">
        <w:rPr>
          <w:rFonts w:ascii="Book Antiqua" w:eastAsia="Book Antiqua" w:hAnsi="Book Antiqua" w:cs="Book Antiqua"/>
          <w:color w:val="000000"/>
        </w:rPr>
        <w:t>Radhakrishnan</w:t>
      </w:r>
      <w:proofErr w:type="spellEnd"/>
      <w:r w:rsidR="00F34D76">
        <w:rPr>
          <w:rFonts w:ascii="Book Antiqua" w:eastAsia="Book Antiqua" w:hAnsi="Book Antiqua" w:cs="Book Antiqua"/>
          <w:color w:val="000000"/>
        </w:rPr>
        <w:t xml:space="preserve"> SL, Ho KKL. </w:t>
      </w:r>
      <w:proofErr w:type="spellStart"/>
      <w:r w:rsidR="00F34D76">
        <w:rPr>
          <w:rFonts w:ascii="Book Antiqua" w:eastAsia="Book Antiqua" w:hAnsi="Book Antiqua" w:cs="Book Antiqua"/>
          <w:color w:val="000000"/>
        </w:rPr>
        <w:t>Transradial</w:t>
      </w:r>
      <w:proofErr w:type="spellEnd"/>
      <w:r w:rsidR="00F34D76">
        <w:rPr>
          <w:rFonts w:ascii="Book Antiqua" w:eastAsia="Book Antiqua" w:hAnsi="Book Antiqua" w:cs="Book Antiqua"/>
          <w:color w:val="000000"/>
        </w:rPr>
        <w:t xml:space="preserve"> </w:t>
      </w:r>
      <w:r w:rsidR="00F34D76">
        <w:rPr>
          <w:rFonts w:ascii="Book Antiqua" w:eastAsia="Book Antiqua" w:hAnsi="Book Antiqua" w:cs="Book Antiqua"/>
          <w:i/>
          <w:iCs/>
          <w:color w:val="000000"/>
        </w:rPr>
        <w:t>vs</w:t>
      </w:r>
      <w:r w:rsidR="00F34D76">
        <w:rPr>
          <w:rFonts w:ascii="Book Antiqua" w:eastAsia="Book Antiqua" w:hAnsi="Book Antiqua" w:cs="Book Antiqua"/>
          <w:color w:val="000000"/>
        </w:rPr>
        <w:t xml:space="preserve"> </w:t>
      </w:r>
      <w:proofErr w:type="spellStart"/>
      <w:r w:rsidR="00F34D76">
        <w:rPr>
          <w:rFonts w:ascii="Book Antiqua" w:eastAsia="Book Antiqua" w:hAnsi="Book Antiqua" w:cs="Book Antiqua"/>
          <w:color w:val="000000"/>
        </w:rPr>
        <w:t>transfemoral</w:t>
      </w:r>
      <w:proofErr w:type="spellEnd"/>
      <w:r w:rsidR="00F34D76">
        <w:rPr>
          <w:rFonts w:ascii="Book Antiqua" w:eastAsia="Book Antiqua" w:hAnsi="Book Antiqua" w:cs="Book Antiqua"/>
          <w:color w:val="000000"/>
        </w:rPr>
        <w:t xml:space="preserve"> secondary access outcomes in </w:t>
      </w:r>
      <w:proofErr w:type="spellStart"/>
      <w:r w:rsidR="007670C6" w:rsidRPr="006D65DA">
        <w:rPr>
          <w:rFonts w:ascii="Book Antiqua" w:eastAsia="Book Antiqua" w:hAnsi="Book Antiqua" w:cs="Book Antiqua"/>
          <w:bCs/>
          <w:color w:val="000000"/>
        </w:rPr>
        <w:t>transcatheter</w:t>
      </w:r>
      <w:proofErr w:type="spellEnd"/>
      <w:r w:rsidR="007670C6" w:rsidRPr="006D65DA">
        <w:rPr>
          <w:rFonts w:ascii="Book Antiqua" w:eastAsia="Book Antiqua" w:hAnsi="Book Antiqua" w:cs="Book Antiqua"/>
          <w:bCs/>
          <w:color w:val="000000"/>
        </w:rPr>
        <w:t xml:space="preserve"> aortic valve implantation:</w:t>
      </w:r>
      <w:r w:rsidR="00F34D76">
        <w:rPr>
          <w:rFonts w:ascii="Book Antiqua" w:eastAsia="Book Antiqua" w:hAnsi="Book Antiqua" w:cs="Book Antiqua"/>
          <w:color w:val="000000"/>
        </w:rPr>
        <w:t xml:space="preserve"> A systematic review and meta-analysis. </w:t>
      </w:r>
      <w:r w:rsidR="00F34D76">
        <w:rPr>
          <w:rFonts w:ascii="Book Antiqua" w:eastAsia="Book Antiqua" w:hAnsi="Book Antiqua" w:cs="Book Antiqua"/>
          <w:i/>
          <w:iCs/>
          <w:color w:val="000000"/>
        </w:rPr>
        <w:t xml:space="preserve">World J </w:t>
      </w:r>
      <w:proofErr w:type="spellStart"/>
      <w:r w:rsidR="00F34D76">
        <w:rPr>
          <w:rFonts w:ascii="Book Antiqua" w:eastAsia="Book Antiqua" w:hAnsi="Book Antiqua" w:cs="Book Antiqua"/>
          <w:i/>
          <w:iCs/>
          <w:color w:val="000000"/>
        </w:rPr>
        <w:t>Cardiol</w:t>
      </w:r>
      <w:proofErr w:type="spellEnd"/>
      <w:r w:rsidR="00F34D76">
        <w:rPr>
          <w:rFonts w:ascii="Book Antiqua" w:eastAsia="Book Antiqua" w:hAnsi="Book Antiqua" w:cs="Book Antiqua"/>
          <w:color w:val="000000"/>
        </w:rPr>
        <w:t xml:space="preserve"> 2020; </w:t>
      </w:r>
      <w:r w:rsidR="006B4C17">
        <w:rPr>
          <w:rFonts w:ascii="Book Antiqua" w:eastAsia="Book Antiqua" w:hAnsi="Book Antiqua" w:cs="Book Antiqua"/>
          <w:color w:val="000000"/>
        </w:rPr>
        <w:t xml:space="preserve">12(11): </w:t>
      </w:r>
      <w:r w:rsidR="006B4C17">
        <w:rPr>
          <w:rFonts w:ascii="Book Antiqua" w:hAnsi="Book Antiqua" w:cs="Book Antiqua" w:hint="eastAsia"/>
          <w:color w:val="000000"/>
          <w:lang w:eastAsia="zh-CN"/>
        </w:rPr>
        <w:t>571</w:t>
      </w:r>
      <w:r w:rsidR="00FB3015" w:rsidRPr="00FB3015">
        <w:rPr>
          <w:rFonts w:ascii="Book Antiqua" w:eastAsia="Book Antiqua" w:hAnsi="Book Antiqua" w:cs="Book Antiqua"/>
          <w:color w:val="000000"/>
        </w:rPr>
        <w:t>-</w:t>
      </w:r>
      <w:r w:rsidR="006B4C17">
        <w:rPr>
          <w:rFonts w:ascii="Book Antiqua" w:hAnsi="Book Antiqua" w:cs="Book Antiqua" w:hint="eastAsia"/>
          <w:color w:val="000000"/>
          <w:lang w:eastAsia="zh-CN"/>
        </w:rPr>
        <w:t>583</w:t>
      </w:r>
      <w:r w:rsidR="00FB3015" w:rsidRPr="00FB3015">
        <w:rPr>
          <w:rFonts w:ascii="Book Antiqua" w:eastAsia="Book Antiqua" w:hAnsi="Book Antiqua" w:cs="Book Antiqua"/>
          <w:color w:val="000000"/>
        </w:rPr>
        <w:t xml:space="preserve">  </w:t>
      </w:r>
    </w:p>
    <w:p w14:paraId="689C2242" w14:textId="2DFB4166" w:rsidR="006B4C17" w:rsidRDefault="00FB3015">
      <w:pPr>
        <w:spacing w:line="360" w:lineRule="auto"/>
        <w:jc w:val="both"/>
        <w:rPr>
          <w:rFonts w:ascii="Book Antiqua" w:hAnsi="Book Antiqua" w:cs="Book Antiqua" w:hint="eastAsia"/>
          <w:color w:val="000000"/>
          <w:lang w:eastAsia="zh-CN"/>
        </w:rPr>
      </w:pPr>
      <w:r w:rsidRPr="00FB3015">
        <w:rPr>
          <w:rFonts w:ascii="Book Antiqua" w:eastAsia="Book Antiqua" w:hAnsi="Book Antiqua" w:cs="Book Antiqua"/>
          <w:color w:val="000000"/>
        </w:rPr>
        <w:t>URL: https://www.wjgnet.com/1949-8462/full/v12/i11/</w:t>
      </w:r>
      <w:r w:rsidR="006B4C17">
        <w:rPr>
          <w:rFonts w:ascii="Book Antiqua" w:hAnsi="Book Antiqua" w:cs="Book Antiqua" w:hint="eastAsia"/>
          <w:color w:val="000000"/>
          <w:lang w:eastAsia="zh-CN"/>
        </w:rPr>
        <w:t>571</w:t>
      </w:r>
      <w:r w:rsidRPr="00FB3015">
        <w:rPr>
          <w:rFonts w:ascii="Book Antiqua" w:eastAsia="Book Antiqua" w:hAnsi="Book Antiqua" w:cs="Book Antiqua"/>
          <w:color w:val="000000"/>
        </w:rPr>
        <w:t xml:space="preserve">.htm  </w:t>
      </w:r>
    </w:p>
    <w:p w14:paraId="1CEFA53E" w14:textId="0498C9F4" w:rsidR="00A77B3E" w:rsidRPr="006B4C17" w:rsidRDefault="00FB3015">
      <w:pPr>
        <w:spacing w:line="360" w:lineRule="auto"/>
        <w:jc w:val="both"/>
        <w:rPr>
          <w:rFonts w:hint="eastAsia"/>
          <w:lang w:eastAsia="zh-CN"/>
        </w:rPr>
      </w:pPr>
      <w:r w:rsidRPr="00FB3015">
        <w:rPr>
          <w:rFonts w:ascii="Book Antiqua" w:eastAsia="Book Antiqua" w:hAnsi="Book Antiqua" w:cs="Book Antiqua"/>
          <w:color w:val="000000"/>
        </w:rPr>
        <w:t>DOI: https://dx.doi.org/10.4330/wjc.v12.i11.</w:t>
      </w:r>
      <w:r w:rsidR="006B4C17">
        <w:rPr>
          <w:rFonts w:ascii="Book Antiqua" w:hAnsi="Book Antiqua" w:cs="Book Antiqua" w:hint="eastAsia"/>
          <w:color w:val="000000"/>
          <w:lang w:eastAsia="zh-CN"/>
        </w:rPr>
        <w:t>571</w:t>
      </w:r>
      <w:bookmarkStart w:id="1" w:name="_GoBack"/>
      <w:bookmarkEnd w:id="1"/>
    </w:p>
    <w:p w14:paraId="30A2FC56" w14:textId="77777777" w:rsidR="00A77B3E" w:rsidRDefault="00A77B3E">
      <w:pPr>
        <w:spacing w:line="360" w:lineRule="auto"/>
        <w:jc w:val="both"/>
      </w:pPr>
    </w:p>
    <w:p w14:paraId="4B353998" w14:textId="7FE2C8FD" w:rsidR="004078C5" w:rsidRDefault="00F34D76">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aortic valve implantation (TAVI) procedures can result in complications due to secondary access site. This meta-analysis looks into 5 observational studies that compared outcomes in TAVI related to secondary access. The outcomes included 30-d bleeding, vascular complications, strokes</w:t>
      </w:r>
      <w:r w:rsidR="00777A33">
        <w:rPr>
          <w:rFonts w:ascii="Book Antiqua" w:eastAsia="Book Antiqua" w:hAnsi="Book Antiqua" w:cs="Book Antiqua"/>
          <w:color w:val="000000"/>
        </w:rPr>
        <w:t>,</w:t>
      </w:r>
      <w:r>
        <w:rPr>
          <w:rFonts w:ascii="Book Antiqua" w:eastAsia="Book Antiqua" w:hAnsi="Book Antiqua" w:cs="Book Antiqua"/>
          <w:color w:val="000000"/>
        </w:rPr>
        <w:t xml:space="preserve"> and mortality. </w:t>
      </w:r>
      <w:proofErr w:type="gramStart"/>
      <w:r>
        <w:rPr>
          <w:rFonts w:ascii="Book Antiqua" w:eastAsia="Book Antiqua" w:hAnsi="Book Antiqua" w:cs="Book Antiqua"/>
          <w:color w:val="000000"/>
        </w:rPr>
        <w:t xml:space="preserve">Meta-analysis showed decreased odds of outcomes when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secondary access was used over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w:t>
      </w:r>
      <w:proofErr w:type="gramEnd"/>
    </w:p>
    <w:p w14:paraId="5C23AAC4" w14:textId="60D0F433" w:rsidR="00A77B3E" w:rsidRDefault="00034CD7">
      <w:pPr>
        <w:spacing w:line="360" w:lineRule="auto"/>
        <w:jc w:val="both"/>
      </w:pPr>
      <w:r>
        <w:br w:type="page"/>
      </w:r>
      <w:r w:rsidR="00F34D76">
        <w:rPr>
          <w:rFonts w:ascii="Book Antiqua" w:eastAsia="Book Antiqua" w:hAnsi="Book Antiqua" w:cs="Book Antiqua"/>
          <w:b/>
          <w:caps/>
          <w:color w:val="000000"/>
          <w:u w:val="single"/>
        </w:rPr>
        <w:lastRenderedPageBreak/>
        <w:t>INTRODUCTION</w:t>
      </w:r>
    </w:p>
    <w:p w14:paraId="5F5B0D40" w14:textId="70A57CD1" w:rsidR="00A77B3E" w:rsidRDefault="00F34D76">
      <w:pPr>
        <w:spacing w:line="360" w:lineRule="auto"/>
        <w:jc w:val="both"/>
      </w:pPr>
      <w:r>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transcatheter</w:t>
      </w:r>
      <w:proofErr w:type="spellEnd"/>
      <w:r>
        <w:rPr>
          <w:rFonts w:ascii="Book Antiqua" w:eastAsia="Book Antiqua" w:hAnsi="Book Antiqua" w:cs="Book Antiqua"/>
          <w:color w:val="000000"/>
          <w:szCs w:val="22"/>
        </w:rPr>
        <w:t xml:space="preserve"> aortic valve implantation (TAVI) procedure is a promising alternative to surgical aortic valve replacement in patients with aortic stenosis.</w:t>
      </w:r>
      <w:r>
        <w:rPr>
          <w:rFonts w:ascii="Book Antiqua" w:eastAsia="Book Antiqua" w:hAnsi="Book Antiqua" w:cs="Book Antiqua"/>
          <w:color w:val="000000"/>
          <w:szCs w:val="22"/>
          <w:shd w:val="clear" w:color="auto" w:fill="FFFFFF"/>
        </w:rPr>
        <w:t xml:space="preserve"> As with any procedure, TAVI is not without complications. Bleeding, vascular complications</w:t>
      </w:r>
      <w:r w:rsidR="007951FF">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and strok</w:t>
      </w:r>
      <w:r>
        <w:rPr>
          <w:rFonts w:ascii="Book Antiqua" w:eastAsia="Book Antiqua" w:hAnsi="Book Antiqua" w:cs="Book Antiqua"/>
          <w:color w:val="000000"/>
          <w:szCs w:val="22"/>
        </w:rPr>
        <w:t xml:space="preserve">es are some of the most common adverse events associated with TAVI. These complications are often associated with the type of access used in the procedure. </w:t>
      </w:r>
    </w:p>
    <w:p w14:paraId="10A64AF2" w14:textId="57192CF6" w:rsidR="00A77B3E" w:rsidRDefault="00F34D76" w:rsidP="00034CD7">
      <w:pPr>
        <w:spacing w:line="360" w:lineRule="auto"/>
        <w:ind w:firstLineChars="100" w:firstLine="240"/>
        <w:jc w:val="both"/>
      </w:pPr>
      <w:r>
        <w:rPr>
          <w:rFonts w:ascii="Book Antiqua" w:eastAsia="Book Antiqua" w:hAnsi="Book Antiqua" w:cs="Book Antiqua"/>
          <w:color w:val="000000"/>
          <w:szCs w:val="22"/>
        </w:rPr>
        <w:t>TAVI utili</w:t>
      </w:r>
      <w:r>
        <w:rPr>
          <w:rFonts w:ascii="Book Antiqua" w:eastAsia="Book Antiqua" w:hAnsi="Book Antiqua" w:cs="Book Antiqua"/>
          <w:color w:val="000000"/>
          <w:szCs w:val="22"/>
          <w:shd w:val="clear" w:color="auto" w:fill="FFFFFF"/>
        </w:rPr>
        <w:t>zes two vascular access sites</w:t>
      </w:r>
      <w:r w:rsidR="00034CD7" w:rsidRPr="008D1AA7">
        <w:rPr>
          <w:rFonts w:ascii="Book Antiqua" w:eastAsia="Book Antiqua" w:hAnsi="Book Antiqua" w:cs="Book Antiqua"/>
          <w:bCs/>
          <w:color w:val="000000"/>
        </w:rPr>
        <w:t>—</w:t>
      </w:r>
      <w:r>
        <w:rPr>
          <w:rFonts w:ascii="Book Antiqua" w:eastAsia="Book Antiqua" w:hAnsi="Book Antiqua" w:cs="Book Antiqua"/>
          <w:color w:val="000000"/>
          <w:szCs w:val="22"/>
          <w:shd w:val="clear" w:color="auto" w:fill="FFFFFF"/>
        </w:rPr>
        <w:t>primary and secondary. Th</w:t>
      </w:r>
      <w:r>
        <w:rPr>
          <w:rFonts w:ascii="Book Antiqua" w:eastAsia="Book Antiqua" w:hAnsi="Book Antiqua" w:cs="Book Antiqua"/>
          <w:color w:val="000000"/>
        </w:rPr>
        <w:t xml:space="preserve">e valve itself is delivered through the primary access site, while the secondary access site is used for the introduction of catheters for angiography, aiding in device placement, and obtaining invasive hemodynamic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Options for primary access include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transaortic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transapical</w:t>
      </w:r>
      <w:proofErr w:type="spellEnd"/>
      <w:r>
        <w:rPr>
          <w:rFonts w:ascii="Book Antiqua" w:eastAsia="Book Antiqua" w:hAnsi="Book Antiqua" w:cs="Book Antiqua"/>
          <w:color w:val="000000"/>
        </w:rPr>
        <w:t xml:space="preserve">, and subclavian, among others, out of which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has been the most popular. The two main sites used for secondary access are the contralateral femoral artery and either radial artery. Historically, the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site was chosen as the preferred secondary access site.  However, during recent years,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site has shown promising results with lower complication rates. There are a handful of studies, mostly with relatively small sample sizes, directly comparing outcomes in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(TF) and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(TR) access </w:t>
      </w:r>
      <w:proofErr w:type="gramStart"/>
      <w:r>
        <w:rPr>
          <w:rFonts w:ascii="Book Antiqua" w:eastAsia="Book Antiqua" w:hAnsi="Book Antiqua" w:cs="Book Antiqua"/>
          <w:color w:val="000000"/>
        </w:rPr>
        <w:t>sites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These studies have suggested that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site for secondary access has better outcomes than the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site for bleeding and vascular complications. The aim of this review is to pool data from available relevant studies to compare outcomes between TR and TF secondary accesses. </w:t>
      </w:r>
    </w:p>
    <w:p w14:paraId="5695DC16" w14:textId="77777777" w:rsidR="00A77B3E" w:rsidRDefault="00A77B3E">
      <w:pPr>
        <w:spacing w:line="360" w:lineRule="auto"/>
        <w:jc w:val="both"/>
      </w:pPr>
    </w:p>
    <w:p w14:paraId="4E291E58" w14:textId="77777777" w:rsidR="00A77B3E" w:rsidRDefault="00F34D76">
      <w:pPr>
        <w:spacing w:line="360" w:lineRule="auto"/>
        <w:jc w:val="both"/>
      </w:pPr>
      <w:r>
        <w:rPr>
          <w:rFonts w:ascii="Book Antiqua" w:eastAsia="Book Antiqua" w:hAnsi="Book Antiqua" w:cs="Book Antiqua"/>
          <w:b/>
          <w:caps/>
          <w:color w:val="000000"/>
          <w:u w:val="single"/>
        </w:rPr>
        <w:t>MATERIALS AND METHODS</w:t>
      </w:r>
    </w:p>
    <w:p w14:paraId="1A7DF475" w14:textId="2D1FE0CD" w:rsidR="00A77B3E" w:rsidRPr="00034CD7" w:rsidRDefault="00034CD7">
      <w:pPr>
        <w:spacing w:line="360" w:lineRule="auto"/>
        <w:jc w:val="both"/>
        <w:rPr>
          <w:i/>
          <w:iCs/>
        </w:rPr>
      </w:pPr>
      <w:r w:rsidRPr="00034CD7">
        <w:rPr>
          <w:rFonts w:ascii="Book Antiqua" w:eastAsia="Book Antiqua" w:hAnsi="Book Antiqua" w:cs="Book Antiqua"/>
          <w:b/>
          <w:bCs/>
          <w:i/>
          <w:iCs/>
          <w:color w:val="000000"/>
          <w:szCs w:val="22"/>
        </w:rPr>
        <w:t>Search strategy</w:t>
      </w:r>
    </w:p>
    <w:p w14:paraId="6D17E1DA" w14:textId="1CAE07AB" w:rsidR="00A77B3E" w:rsidRDefault="00F34D76">
      <w:pPr>
        <w:spacing w:line="360" w:lineRule="auto"/>
        <w:jc w:val="both"/>
      </w:pPr>
      <w:r>
        <w:rPr>
          <w:rFonts w:ascii="Book Antiqua" w:eastAsia="Book Antiqua" w:hAnsi="Book Antiqua" w:cs="Book Antiqua"/>
          <w:color w:val="000000"/>
          <w:szCs w:val="22"/>
        </w:rPr>
        <w:t>This study was registered on PROSPERO on May 7, 2020, and the meta-analysis was conducted using PRISMA guidelines. A comprehensive literature search was conducted through June 10, 2020 using PubMed, EMBASE, Google Scholar</w:t>
      </w:r>
      <w:r w:rsidR="007951F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Cochrane databases. Search words included “</w:t>
      </w:r>
      <w:proofErr w:type="spellStart"/>
      <w:r>
        <w:rPr>
          <w:rFonts w:ascii="Book Antiqua" w:eastAsia="Book Antiqua" w:hAnsi="Book Antiqua" w:cs="Book Antiqua"/>
          <w:color w:val="000000"/>
          <w:szCs w:val="22"/>
        </w:rPr>
        <w:t>transfemoral</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transradial</w:t>
      </w:r>
      <w:proofErr w:type="spellEnd"/>
      <w:r>
        <w:rPr>
          <w:rFonts w:ascii="Book Antiqua" w:eastAsia="Book Antiqua" w:hAnsi="Book Antiqua" w:cs="Book Antiqua"/>
          <w:color w:val="000000"/>
          <w:szCs w:val="22"/>
        </w:rPr>
        <w:t xml:space="preserve"> secondary access</w:t>
      </w:r>
      <w:r w:rsidR="00C64E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w:t>
      </w:r>
      <w:proofErr w:type="spellStart"/>
      <w:r>
        <w:rPr>
          <w:rFonts w:ascii="Book Antiqua" w:eastAsia="Book Antiqua" w:hAnsi="Book Antiqua" w:cs="Book Antiqua"/>
          <w:color w:val="000000"/>
          <w:szCs w:val="22"/>
        </w:rPr>
        <w:t>transcatheter</w:t>
      </w:r>
      <w:proofErr w:type="spellEnd"/>
      <w:r>
        <w:rPr>
          <w:rFonts w:ascii="Book Antiqua" w:eastAsia="Book Antiqua" w:hAnsi="Book Antiqua" w:cs="Book Antiqua"/>
          <w:color w:val="000000"/>
          <w:szCs w:val="22"/>
        </w:rPr>
        <w:t xml:space="preserve"> aortic valve replacement” and “radial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femoral secondary access in </w:t>
      </w:r>
      <w:r>
        <w:rPr>
          <w:rFonts w:ascii="Book Antiqua" w:eastAsia="Book Antiqua" w:hAnsi="Book Antiqua" w:cs="Book Antiqua"/>
          <w:color w:val="000000"/>
          <w:szCs w:val="22"/>
        </w:rPr>
        <w:lastRenderedPageBreak/>
        <w:t>TAVI</w:t>
      </w:r>
      <w:r w:rsidR="007951FF">
        <w:rPr>
          <w:rFonts w:ascii="Book Antiqua" w:eastAsia="Book Antiqua" w:hAnsi="Book Antiqua" w:cs="Book Antiqua"/>
          <w:color w:val="000000"/>
          <w:szCs w:val="22"/>
        </w:rPr>
        <w:t>.</w:t>
      </w:r>
      <w:r w:rsidR="006D65D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Literature search was conducted independently by two investigators (</w:t>
      </w:r>
      <w:proofErr w:type="spellStart"/>
      <w:r w:rsidR="00707612">
        <w:rPr>
          <w:rFonts w:ascii="Book Antiqua" w:eastAsia="Book Antiqua" w:hAnsi="Book Antiqua" w:cs="Book Antiqua"/>
          <w:color w:val="000000"/>
        </w:rPr>
        <w:t>Radhakrishnan</w:t>
      </w:r>
      <w:proofErr w:type="spellEnd"/>
      <w:r w:rsidR="00707612">
        <w:rPr>
          <w:rFonts w:ascii="Book Antiqua" w:eastAsia="Book Antiqua" w:hAnsi="Book Antiqua" w:cs="Book Antiqua"/>
          <w:color w:val="000000"/>
        </w:rPr>
        <w:t xml:space="preserve"> SL</w:t>
      </w:r>
      <w:r>
        <w:rPr>
          <w:rFonts w:ascii="Book Antiqua" w:eastAsia="Book Antiqua" w:hAnsi="Book Antiqua" w:cs="Book Antiqua"/>
          <w:color w:val="000000"/>
          <w:szCs w:val="22"/>
        </w:rPr>
        <w:t xml:space="preserve"> and </w:t>
      </w:r>
      <w:proofErr w:type="spellStart"/>
      <w:r w:rsidR="00707612">
        <w:rPr>
          <w:rFonts w:ascii="Book Antiqua" w:eastAsia="Book Antiqua" w:hAnsi="Book Antiqua" w:cs="Book Antiqua"/>
          <w:color w:val="000000"/>
          <w:szCs w:val="22"/>
        </w:rPr>
        <w:t>Darmoch</w:t>
      </w:r>
      <w:proofErr w:type="spellEnd"/>
      <w:r w:rsidR="007076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w:t>
      </w:r>
      <w:r w:rsidR="00034CD7" w:rsidRPr="008D1AA7">
        <w:rPr>
          <w:rFonts w:ascii="Book Antiqua" w:eastAsia="Book Antiqua" w:hAnsi="Book Antiqua" w:cs="Book Antiqua"/>
          <w:bCs/>
          <w:color w:val="000000"/>
        </w:rPr>
        <w:t>—</w:t>
      </w:r>
      <w:r>
        <w:rPr>
          <w:rFonts w:ascii="Book Antiqua" w:eastAsia="Book Antiqua" w:hAnsi="Book Antiqua" w:cs="Book Antiqua"/>
          <w:color w:val="000000"/>
          <w:szCs w:val="22"/>
        </w:rPr>
        <w:t>see acknowledg</w:t>
      </w:r>
      <w:r w:rsidR="00707612">
        <w:rPr>
          <w:rFonts w:ascii="Book Antiqua" w:eastAsia="Book Antiqua" w:hAnsi="Book Antiqua" w:cs="Book Antiqua"/>
          <w:color w:val="000000"/>
          <w:szCs w:val="22"/>
        </w:rPr>
        <w:t>e</w:t>
      </w:r>
      <w:r>
        <w:rPr>
          <w:rFonts w:ascii="Book Antiqua" w:eastAsia="Book Antiqua" w:hAnsi="Book Antiqua" w:cs="Book Antiqua"/>
          <w:color w:val="000000"/>
          <w:szCs w:val="22"/>
        </w:rPr>
        <w:t>ment) using the above search strategy.  There was uniform agreement between both investigators on what studies to include and exclude, resulting in a kappa correlation of 1. </w:t>
      </w:r>
    </w:p>
    <w:p w14:paraId="48404E9F" w14:textId="77777777" w:rsidR="00A77B3E" w:rsidRDefault="00A77B3E">
      <w:pPr>
        <w:spacing w:line="360" w:lineRule="auto"/>
        <w:jc w:val="both"/>
      </w:pPr>
    </w:p>
    <w:p w14:paraId="66150F4A" w14:textId="7ECD4529" w:rsidR="00A77B3E" w:rsidRPr="006D65DA" w:rsidRDefault="00707612">
      <w:pPr>
        <w:spacing w:line="360" w:lineRule="auto"/>
        <w:jc w:val="both"/>
        <w:rPr>
          <w:i/>
          <w:iCs/>
        </w:rPr>
      </w:pPr>
      <w:r w:rsidRPr="006D65DA">
        <w:rPr>
          <w:rFonts w:ascii="Book Antiqua" w:eastAsia="Book Antiqua" w:hAnsi="Book Antiqua" w:cs="Book Antiqua"/>
          <w:b/>
          <w:bCs/>
          <w:i/>
          <w:iCs/>
          <w:color w:val="000000"/>
          <w:szCs w:val="22"/>
        </w:rPr>
        <w:t>Inclusion criteria</w:t>
      </w:r>
    </w:p>
    <w:p w14:paraId="50F86871" w14:textId="5F708355" w:rsidR="00A77B3E" w:rsidRDefault="00F34D76">
      <w:pPr>
        <w:spacing w:line="360" w:lineRule="auto"/>
        <w:jc w:val="both"/>
      </w:pPr>
      <w:r>
        <w:rPr>
          <w:rFonts w:ascii="Book Antiqua" w:eastAsia="Book Antiqua" w:hAnsi="Book Antiqua" w:cs="Book Antiqua"/>
          <w:color w:val="000000"/>
          <w:szCs w:val="22"/>
        </w:rPr>
        <w:t xml:space="preserve">All observational or experimental trials which aimed at comparing data related to secondary access in patients who underwent TAVI were considered in this review, irrespective of primary access. We included studies if they reported data comparing outcomes between </w:t>
      </w:r>
      <w:proofErr w:type="spellStart"/>
      <w:r>
        <w:rPr>
          <w:rFonts w:ascii="Book Antiqua" w:eastAsia="Book Antiqua" w:hAnsi="Book Antiqua" w:cs="Book Antiqua"/>
          <w:color w:val="000000"/>
          <w:szCs w:val="22"/>
        </w:rPr>
        <w:t>transradial</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transfemoral</w:t>
      </w:r>
      <w:proofErr w:type="spellEnd"/>
      <w:r>
        <w:rPr>
          <w:rFonts w:ascii="Book Antiqua" w:eastAsia="Book Antiqua" w:hAnsi="Book Antiqua" w:cs="Book Antiqua"/>
          <w:color w:val="000000"/>
          <w:szCs w:val="22"/>
        </w:rPr>
        <w:t xml:space="preserve"> secondary </w:t>
      </w:r>
      <w:r w:rsidR="00C64EAD">
        <w:rPr>
          <w:rFonts w:ascii="Book Antiqua" w:eastAsia="Book Antiqua" w:hAnsi="Book Antiqua" w:cs="Book Antiqua"/>
          <w:color w:val="000000"/>
          <w:szCs w:val="22"/>
        </w:rPr>
        <w:t>access</w:t>
      </w:r>
      <w:r>
        <w:rPr>
          <w:rFonts w:ascii="Book Antiqua" w:eastAsia="Book Antiqua" w:hAnsi="Book Antiqua" w:cs="Book Antiqua"/>
          <w:color w:val="000000"/>
          <w:szCs w:val="22"/>
        </w:rPr>
        <w:t>. Studies considered had to include tables comparing demographics and other baseline characteristics and outcomes. The outcomes considered for the purpose of this review were 30-d all-cause mortality, 30-d stroke, 30-d bleeding complications</w:t>
      </w:r>
      <w:r w:rsidR="007951F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30-d vascular complications. Studies were included if they reported at least one of the four outcomes in the format desired (comparing TR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TF).</w:t>
      </w:r>
    </w:p>
    <w:p w14:paraId="64CB99BB" w14:textId="77777777" w:rsidR="00A77B3E" w:rsidRDefault="00A77B3E">
      <w:pPr>
        <w:spacing w:line="360" w:lineRule="auto"/>
        <w:jc w:val="both"/>
      </w:pPr>
    </w:p>
    <w:p w14:paraId="71D57D3D" w14:textId="589B99EA" w:rsidR="00A77B3E" w:rsidRDefault="00F34D76">
      <w:pPr>
        <w:spacing w:line="360" w:lineRule="auto"/>
        <w:jc w:val="both"/>
      </w:pPr>
      <w:r w:rsidRPr="006D65DA">
        <w:rPr>
          <w:rFonts w:ascii="Book Antiqua" w:eastAsia="Book Antiqua" w:hAnsi="Book Antiqua" w:cs="Book Antiqua"/>
          <w:b/>
          <w:bCs/>
          <w:i/>
          <w:iCs/>
          <w:color w:val="000000"/>
          <w:szCs w:val="22"/>
        </w:rPr>
        <w:t>Exclusion criteria</w:t>
      </w:r>
    </w:p>
    <w:p w14:paraId="263272FD" w14:textId="738906AA" w:rsidR="00A77B3E" w:rsidRDefault="00F34D76">
      <w:pPr>
        <w:spacing w:line="360" w:lineRule="auto"/>
        <w:jc w:val="both"/>
      </w:pPr>
      <w:r>
        <w:rPr>
          <w:rFonts w:ascii="Book Antiqua" w:eastAsia="Book Antiqua" w:hAnsi="Book Antiqua" w:cs="Book Antiqua"/>
          <w:color w:val="000000"/>
          <w:szCs w:val="22"/>
        </w:rPr>
        <w:t>Studies that did not meet inclusion criteria based on title were excluded. Studies that did not report data specifically related to secondary access in TAVI procedures in the format desired were also excluded. Letters to the editor, abstracts</w:t>
      </w:r>
      <w:r w:rsidR="00B35F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posters were excluded. </w:t>
      </w:r>
    </w:p>
    <w:p w14:paraId="7872280D" w14:textId="77777777" w:rsidR="00A77B3E" w:rsidRDefault="00A77B3E">
      <w:pPr>
        <w:spacing w:line="360" w:lineRule="auto"/>
        <w:jc w:val="both"/>
      </w:pPr>
    </w:p>
    <w:p w14:paraId="4E777A40" w14:textId="3A994DF2" w:rsidR="00A77B3E" w:rsidRPr="006D65DA" w:rsidRDefault="00707612">
      <w:pPr>
        <w:spacing w:line="360" w:lineRule="auto"/>
        <w:jc w:val="both"/>
        <w:rPr>
          <w:i/>
          <w:iCs/>
        </w:rPr>
      </w:pPr>
      <w:r w:rsidRPr="006D65DA">
        <w:rPr>
          <w:rFonts w:ascii="Book Antiqua" w:eastAsia="Book Antiqua" w:hAnsi="Book Antiqua" w:cs="Book Antiqua"/>
          <w:b/>
          <w:bCs/>
          <w:i/>
          <w:iCs/>
          <w:color w:val="000000"/>
          <w:szCs w:val="22"/>
        </w:rPr>
        <w:t>Statistical analysis</w:t>
      </w:r>
    </w:p>
    <w:p w14:paraId="5899C915" w14:textId="20307D10" w:rsidR="00A77B3E" w:rsidRDefault="00F34D76">
      <w:pPr>
        <w:spacing w:line="360" w:lineRule="auto"/>
        <w:jc w:val="both"/>
      </w:pPr>
      <w:r>
        <w:rPr>
          <w:rFonts w:ascii="Book Antiqua" w:eastAsia="Book Antiqua" w:hAnsi="Book Antiqua" w:cs="Book Antiqua"/>
          <w:color w:val="000000"/>
          <w:szCs w:val="22"/>
        </w:rPr>
        <w:t xml:space="preserve">Statistical analysis was performed using Review Manager 5.3. Subgroup analysis was only done if data were reported in at least four studies to increase confidence in the findings. The test statistic calculated in this meta-analysis was the odds ratio. A random-effect model was chosen over a fixed-effect model since the underlying population in each study was thought to be different. Heterogeneity was determined by the </w:t>
      </w:r>
      <w:r w:rsidRPr="006D65DA">
        <w:rPr>
          <w:rFonts w:ascii="Book Antiqua" w:eastAsia="Book Antiqua" w:hAnsi="Book Antiqua" w:cs="Book Antiqua"/>
          <w:i/>
          <w:iCs/>
          <w:color w:val="000000"/>
          <w:szCs w:val="22"/>
        </w:rPr>
        <w:t>I</w:t>
      </w:r>
      <w:r w:rsidRPr="006D65DA">
        <w:rPr>
          <w:rFonts w:ascii="Book Antiqua" w:eastAsia="Book Antiqua" w:hAnsi="Book Antiqua" w:cs="Book Antiqua"/>
          <w:i/>
          <w:iCs/>
          <w:color w:val="000000"/>
          <w:szCs w:val="28"/>
          <w:vertAlign w:val="superscript"/>
        </w:rPr>
        <w:t>2</w:t>
      </w:r>
      <w:r>
        <w:rPr>
          <w:rFonts w:ascii="Book Antiqua" w:eastAsia="Book Antiqua" w:hAnsi="Book Antiqua" w:cs="Book Antiqua"/>
          <w:color w:val="000000"/>
          <w:szCs w:val="22"/>
        </w:rPr>
        <w:t xml:space="preserve"> value to describe the percentage of variability due to heterogeneity rather than </w:t>
      </w:r>
      <w:r>
        <w:rPr>
          <w:rFonts w:ascii="Book Antiqua" w:eastAsia="Book Antiqua" w:hAnsi="Book Antiqua" w:cs="Book Antiqua"/>
          <w:color w:val="000000"/>
          <w:szCs w:val="22"/>
        </w:rPr>
        <w:lastRenderedPageBreak/>
        <w:t>due to sampling bias. The higher the I</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value, the higher the heterogeneity. That is, an </w:t>
      </w:r>
      <w:r w:rsidRPr="006D65DA">
        <w:rPr>
          <w:rFonts w:ascii="Book Antiqua" w:eastAsia="Book Antiqua" w:hAnsi="Book Antiqua" w:cs="Book Antiqua"/>
          <w:i/>
          <w:iCs/>
          <w:color w:val="000000"/>
          <w:szCs w:val="22"/>
        </w:rPr>
        <w:t>I</w:t>
      </w:r>
      <w:r w:rsidRPr="006D65DA">
        <w:rPr>
          <w:rFonts w:ascii="Book Antiqua" w:eastAsia="Book Antiqua" w:hAnsi="Book Antiqua" w:cs="Book Antiqua"/>
          <w:i/>
          <w:iCs/>
          <w:color w:val="000000"/>
          <w:szCs w:val="28"/>
          <w:vertAlign w:val="superscript"/>
        </w:rPr>
        <w:t>2</w:t>
      </w:r>
      <w:r>
        <w:rPr>
          <w:rFonts w:ascii="Book Antiqua" w:eastAsia="Book Antiqua" w:hAnsi="Book Antiqua" w:cs="Book Antiqua"/>
          <w:color w:val="000000"/>
          <w:szCs w:val="22"/>
        </w:rPr>
        <w:t xml:space="preserve"> of &lt;</w:t>
      </w:r>
      <w:r w:rsidR="007076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50% indicates more similarity between studies. A </w:t>
      </w:r>
      <w:r w:rsidR="00707612" w:rsidRPr="006D65DA">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of 0.05 or less was considered to be significant for all test statistics. Funnel plots were created to assess for evidence of bias and to determine heterogeneity. Results are expressed as mean ± standard deviation, with 95% confidence intervals for odds ratio denoted by square brackets.</w:t>
      </w:r>
    </w:p>
    <w:p w14:paraId="1EC410AF" w14:textId="77777777" w:rsidR="00A77B3E" w:rsidRDefault="00A77B3E">
      <w:pPr>
        <w:spacing w:line="360" w:lineRule="auto"/>
        <w:jc w:val="both"/>
      </w:pPr>
    </w:p>
    <w:p w14:paraId="62C0CC2F" w14:textId="77777777" w:rsidR="00A77B3E" w:rsidRDefault="00F34D76">
      <w:pPr>
        <w:spacing w:line="360" w:lineRule="auto"/>
        <w:jc w:val="both"/>
      </w:pPr>
      <w:r>
        <w:rPr>
          <w:rFonts w:ascii="Book Antiqua" w:eastAsia="Book Antiqua" w:hAnsi="Book Antiqua" w:cs="Book Antiqua"/>
          <w:b/>
          <w:caps/>
          <w:color w:val="000000"/>
          <w:u w:val="single"/>
        </w:rPr>
        <w:t>RESULTS</w:t>
      </w:r>
    </w:p>
    <w:p w14:paraId="19661346" w14:textId="03E15455" w:rsidR="00A77B3E" w:rsidRPr="006D65DA" w:rsidRDefault="00F34D76">
      <w:pPr>
        <w:spacing w:line="360" w:lineRule="auto"/>
        <w:jc w:val="both"/>
        <w:rPr>
          <w:i/>
          <w:iCs/>
        </w:rPr>
      </w:pPr>
      <w:r w:rsidRPr="006D65DA">
        <w:rPr>
          <w:rFonts w:ascii="Book Antiqua" w:eastAsia="Book Antiqua" w:hAnsi="Book Antiqua" w:cs="Book Antiqua"/>
          <w:b/>
          <w:bCs/>
          <w:i/>
          <w:iCs/>
          <w:color w:val="000000"/>
          <w:szCs w:val="22"/>
        </w:rPr>
        <w:t xml:space="preserve">Identification of </w:t>
      </w:r>
      <w:r w:rsidR="00707612" w:rsidRPr="006D65DA">
        <w:rPr>
          <w:rFonts w:ascii="Book Antiqua" w:eastAsia="Book Antiqua" w:hAnsi="Book Antiqua" w:cs="Book Antiqua"/>
          <w:b/>
          <w:bCs/>
          <w:i/>
          <w:iCs/>
          <w:color w:val="000000"/>
          <w:szCs w:val="22"/>
        </w:rPr>
        <w:t>eligible stu</w:t>
      </w:r>
      <w:r w:rsidRPr="006D65DA">
        <w:rPr>
          <w:rFonts w:ascii="Book Antiqua" w:eastAsia="Book Antiqua" w:hAnsi="Book Antiqua" w:cs="Book Antiqua"/>
          <w:b/>
          <w:bCs/>
          <w:i/>
          <w:iCs/>
          <w:color w:val="000000"/>
          <w:szCs w:val="22"/>
        </w:rPr>
        <w:t>dies</w:t>
      </w:r>
    </w:p>
    <w:p w14:paraId="7BFE22FE" w14:textId="7E74EA1D" w:rsidR="00A77B3E" w:rsidRDefault="00F34D76">
      <w:pPr>
        <w:spacing w:line="360" w:lineRule="auto"/>
        <w:jc w:val="both"/>
      </w:pPr>
      <w:r>
        <w:rPr>
          <w:rFonts w:ascii="Book Antiqua" w:eastAsia="Book Antiqua" w:hAnsi="Book Antiqua" w:cs="Book Antiqua"/>
          <w:color w:val="000000"/>
          <w:szCs w:val="22"/>
        </w:rPr>
        <w:t xml:space="preserve">Using the search strategy described above resulted in 2701 articles (2690 from Google scholar, 5 from PubMed, 5 from </w:t>
      </w:r>
      <w:proofErr w:type="spellStart"/>
      <w:r>
        <w:rPr>
          <w:rFonts w:ascii="Book Antiqua" w:eastAsia="Book Antiqua" w:hAnsi="Book Antiqua" w:cs="Book Antiqua"/>
          <w:color w:val="000000"/>
          <w:szCs w:val="22"/>
        </w:rPr>
        <w:t>Embase</w:t>
      </w:r>
      <w:proofErr w:type="spellEnd"/>
      <w:r w:rsidR="00B35F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1 from Cochrane Central). Of these, 2690 articles were excluded after title and/or abstract review</w:t>
      </w:r>
      <w:r w:rsidR="00B35F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1 trial was still in process and unpublished. Each of the remaining 10 articles was reviewed in full. Of these, 2 </w:t>
      </w:r>
      <w:r w:rsidR="00707612">
        <w:rPr>
          <w:rFonts w:ascii="Book Antiqua" w:eastAsia="Book Antiqua" w:hAnsi="Book Antiqua" w:cs="Book Antiqua"/>
          <w:color w:val="000000"/>
          <w:szCs w:val="22"/>
        </w:rPr>
        <w:t>le</w:t>
      </w:r>
      <w:r>
        <w:rPr>
          <w:rFonts w:ascii="Book Antiqua" w:eastAsia="Book Antiqua" w:hAnsi="Book Antiqua" w:cs="Book Antiqua"/>
          <w:color w:val="000000"/>
          <w:szCs w:val="22"/>
        </w:rPr>
        <w:t>tters, 1 poster</w:t>
      </w:r>
      <w:r w:rsidR="00B35F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w:t>
      </w:r>
      <w:proofErr w:type="gramStart"/>
      <w:r>
        <w:rPr>
          <w:rFonts w:ascii="Book Antiqua" w:eastAsia="Book Antiqua" w:hAnsi="Book Antiqua" w:cs="Book Antiqua"/>
          <w:color w:val="000000"/>
          <w:szCs w:val="22"/>
        </w:rPr>
        <w:t>1 duplication</w:t>
      </w:r>
      <w:proofErr w:type="gramEnd"/>
      <w:r>
        <w:rPr>
          <w:rFonts w:ascii="Book Antiqua" w:eastAsia="Book Antiqua" w:hAnsi="Book Antiqua" w:cs="Book Antiqua"/>
          <w:color w:val="000000"/>
          <w:szCs w:val="22"/>
        </w:rPr>
        <w:t xml:space="preserve"> were excluded. Although a study by Wynne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07612" w:rsidRPr="006D65DA">
        <w:rPr>
          <w:rFonts w:ascii="Book Antiqua" w:eastAsia="Book Antiqua" w:hAnsi="Book Antiqua" w:cs="Book Antiqua"/>
          <w:color w:val="000000"/>
          <w:szCs w:val="22"/>
          <w:vertAlign w:val="superscript"/>
        </w:rPr>
        <w:t>[</w:t>
      </w:r>
      <w:proofErr w:type="gramEnd"/>
      <w:r w:rsidR="00707612" w:rsidRPr="006D65DA">
        <w:rPr>
          <w:rFonts w:ascii="Book Antiqua" w:eastAsia="Book Antiqua" w:hAnsi="Book Antiqua" w:cs="Book Antiqua"/>
          <w:color w:val="000000"/>
          <w:szCs w:val="22"/>
          <w:vertAlign w:val="superscript"/>
        </w:rPr>
        <w:t>1]</w:t>
      </w:r>
      <w:r>
        <w:rPr>
          <w:rFonts w:ascii="Book Antiqua" w:eastAsia="Book Antiqua" w:hAnsi="Book Antiqua" w:cs="Book Antiqua"/>
          <w:color w:val="000000"/>
        </w:rPr>
        <w:t xml:space="preserve"> was an observational study which focused on the topic of interest, results reported were not dichotomized based on the type of secondary access</w:t>
      </w:r>
      <w:r w:rsidR="00B35F9E">
        <w:rPr>
          <w:rFonts w:ascii="Book Antiqua" w:eastAsia="Book Antiqua" w:hAnsi="Book Antiqua" w:cs="Book Antiqua"/>
          <w:color w:val="000000"/>
        </w:rPr>
        <w:t xml:space="preserve"> and</w:t>
      </w:r>
      <w:r>
        <w:rPr>
          <w:rFonts w:ascii="Book Antiqua" w:eastAsia="Book Antiqua" w:hAnsi="Book Antiqua" w:cs="Book Antiqua"/>
          <w:color w:val="000000"/>
        </w:rPr>
        <w:t xml:space="preserve"> hence excluded from the meta-analysis</w:t>
      </w:r>
      <w:r w:rsidR="00707612">
        <w:rPr>
          <w:rFonts w:ascii="Book Antiqua" w:eastAsia="Book Antiqua" w:hAnsi="Book Antiqua" w:cs="Book Antiqua"/>
          <w:color w:val="000000"/>
        </w:rPr>
        <w:t xml:space="preserve">. </w:t>
      </w:r>
      <w:r>
        <w:rPr>
          <w:rFonts w:ascii="Book Antiqua" w:eastAsia="Book Antiqua" w:hAnsi="Book Antiqua" w:cs="Book Antiqua"/>
          <w:color w:val="000000"/>
        </w:rPr>
        <w:t>Five remaining studies were included in the meta-</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Detailed results of the search strategy are outlined in Figure 1. </w:t>
      </w:r>
    </w:p>
    <w:p w14:paraId="5F915DD0" w14:textId="77777777" w:rsidR="00A77B3E" w:rsidRDefault="00A77B3E">
      <w:pPr>
        <w:spacing w:line="360" w:lineRule="auto"/>
        <w:jc w:val="both"/>
      </w:pPr>
    </w:p>
    <w:p w14:paraId="66C8D1FF" w14:textId="77777777" w:rsidR="00A77B3E" w:rsidRPr="006D65DA" w:rsidRDefault="00F34D76">
      <w:pPr>
        <w:spacing w:line="360" w:lineRule="auto"/>
        <w:jc w:val="both"/>
        <w:rPr>
          <w:i/>
          <w:iCs/>
        </w:rPr>
      </w:pPr>
      <w:r w:rsidRPr="006D65DA">
        <w:rPr>
          <w:rFonts w:ascii="Book Antiqua" w:eastAsia="Book Antiqua" w:hAnsi="Book Antiqua" w:cs="Book Antiqua"/>
          <w:b/>
          <w:bCs/>
          <w:i/>
          <w:iCs/>
          <w:color w:val="000000"/>
          <w:szCs w:val="22"/>
        </w:rPr>
        <w:t>Study characteristics</w:t>
      </w:r>
    </w:p>
    <w:p w14:paraId="412D10E2" w14:textId="2BECB849" w:rsidR="00A77B3E" w:rsidRDefault="00F34D76">
      <w:pPr>
        <w:spacing w:line="360" w:lineRule="auto"/>
        <w:jc w:val="both"/>
      </w:pPr>
      <w:r>
        <w:rPr>
          <w:rFonts w:ascii="Book Antiqua" w:eastAsia="Book Antiqua" w:hAnsi="Book Antiqua" w:cs="Book Antiqua"/>
          <w:color w:val="000000"/>
          <w:szCs w:val="22"/>
        </w:rPr>
        <w:t>All 5 studies included were observational cohort studies. Definitions of bleeding and vascular events were based on Valve Academic Research Consortium</w:t>
      </w:r>
      <w:r w:rsidR="0070761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 (VARC-2) criteria in 4 studies and the original VARC criteria in 1 study (Curran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07612" w:rsidRPr="006D65DA">
        <w:rPr>
          <w:rFonts w:ascii="Book Antiqua" w:eastAsia="Book Antiqua" w:hAnsi="Book Antiqua" w:cs="Book Antiqua"/>
          <w:color w:val="000000"/>
          <w:szCs w:val="22"/>
          <w:vertAlign w:val="superscript"/>
        </w:rPr>
        <w:t>[</w:t>
      </w:r>
      <w:proofErr w:type="gramEnd"/>
      <w:r w:rsidR="00707612" w:rsidRPr="006D65DA">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 xml:space="preserve">).  All studies provided outcomes comparing </w:t>
      </w:r>
      <w:proofErr w:type="spellStart"/>
      <w:r w:rsidR="008E65CE">
        <w:rPr>
          <w:rFonts w:ascii="Book Antiqua" w:eastAsia="Book Antiqua" w:hAnsi="Book Antiqua" w:cs="Book Antiqua"/>
          <w:color w:val="000000"/>
          <w:szCs w:val="22"/>
          <w:shd w:val="clear" w:color="auto" w:fill="FFFFFF"/>
        </w:rPr>
        <w:t>transradial</w:t>
      </w:r>
      <w:proofErr w:type="spellEnd"/>
      <w:r w:rsidR="008E65CE">
        <w:rPr>
          <w:rFonts w:ascii="Book Antiqua" w:eastAsia="Book Antiqua" w:hAnsi="Book Antiqua" w:cs="Book Antiqua"/>
          <w:color w:val="000000"/>
          <w:szCs w:val="22"/>
          <w:shd w:val="clear" w:color="auto" w:fill="FFFFFF"/>
        </w:rPr>
        <w:t xml:space="preserve"> secondary access</w:t>
      </w:r>
      <w:r w:rsidR="008E65C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TRSA</w:t>
      </w:r>
      <w:r w:rsidR="008E65C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with </w:t>
      </w:r>
      <w:proofErr w:type="spellStart"/>
      <w:r w:rsidR="008E65CE">
        <w:rPr>
          <w:rFonts w:ascii="Book Antiqua" w:eastAsia="Book Antiqua" w:hAnsi="Book Antiqua" w:cs="Book Antiqua"/>
          <w:color w:val="000000"/>
          <w:szCs w:val="22"/>
        </w:rPr>
        <w:t>transfemoral</w:t>
      </w:r>
      <w:proofErr w:type="spellEnd"/>
      <w:r w:rsidR="008E65CE">
        <w:rPr>
          <w:rFonts w:ascii="Book Antiqua" w:eastAsia="Book Antiqua" w:hAnsi="Book Antiqua" w:cs="Book Antiqua"/>
          <w:color w:val="000000"/>
          <w:szCs w:val="22"/>
        </w:rPr>
        <w:t xml:space="preserve"> secondary access (</w:t>
      </w:r>
      <w:r>
        <w:rPr>
          <w:rFonts w:ascii="Book Antiqua" w:eastAsia="Book Antiqua" w:hAnsi="Book Antiqua" w:cs="Book Antiqua"/>
          <w:color w:val="000000"/>
          <w:szCs w:val="22"/>
        </w:rPr>
        <w:t>TFSA</w:t>
      </w:r>
      <w:r w:rsidR="008E65C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primary access was solely femoral in 2 studies (Fernandez-Lopez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07612" w:rsidRPr="000D025D">
        <w:rPr>
          <w:rFonts w:ascii="Book Antiqua" w:eastAsia="Book Antiqua" w:hAnsi="Book Antiqua" w:cs="Book Antiqua"/>
          <w:color w:val="000000"/>
          <w:szCs w:val="22"/>
          <w:vertAlign w:val="superscript"/>
        </w:rPr>
        <w:t>[</w:t>
      </w:r>
      <w:proofErr w:type="gramEnd"/>
      <w:r w:rsidR="00707612">
        <w:rPr>
          <w:rFonts w:ascii="Book Antiqua" w:eastAsia="Book Antiqua" w:hAnsi="Book Antiqua" w:cs="Book Antiqua"/>
          <w:color w:val="000000"/>
          <w:szCs w:val="22"/>
          <w:vertAlign w:val="superscript"/>
        </w:rPr>
        <w:t>6</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Curran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 xml:space="preserve">).  Allende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4</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Jackson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5</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data on all primary accesses (APA, </w:t>
      </w:r>
      <w:r w:rsidRPr="006D65DA">
        <w:rPr>
          <w:rFonts w:ascii="Book Antiqua" w:eastAsia="Book Antiqua" w:hAnsi="Book Antiqua" w:cs="Book Antiqua"/>
          <w:i/>
          <w:iCs/>
          <w:color w:val="000000"/>
          <w:szCs w:val="22"/>
        </w:rPr>
        <w:t>i.e.</w:t>
      </w:r>
      <w:r w:rsidR="0070761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femoral and non-femoral primary accesses) with distinction in comparative outcomes based on </w:t>
      </w:r>
      <w:proofErr w:type="spellStart"/>
      <w:r>
        <w:rPr>
          <w:rFonts w:ascii="Book Antiqua" w:eastAsia="Book Antiqua" w:hAnsi="Book Antiqua" w:cs="Book Antiqua"/>
          <w:color w:val="000000"/>
          <w:szCs w:val="22"/>
        </w:rPr>
        <w:t>transfemoral</w:t>
      </w:r>
      <w:proofErr w:type="spellEnd"/>
      <w:r>
        <w:rPr>
          <w:rFonts w:ascii="Book Antiqua" w:eastAsia="Book Antiqua" w:hAnsi="Book Antiqua" w:cs="Book Antiqua"/>
          <w:color w:val="000000"/>
          <w:szCs w:val="22"/>
        </w:rPr>
        <w:t xml:space="preserve"> primary access (TFPA)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non-</w:t>
      </w:r>
      <w:r w:rsidR="00BC2D91">
        <w:rPr>
          <w:rFonts w:ascii="Book Antiqua" w:eastAsia="Book Antiqua" w:hAnsi="Book Antiqua" w:cs="Book Antiqua"/>
          <w:color w:val="000000"/>
          <w:szCs w:val="22"/>
        </w:rPr>
        <w:t>TFPA</w:t>
      </w:r>
      <w:r>
        <w:rPr>
          <w:rFonts w:ascii="Book Antiqua" w:eastAsia="Book Antiqua" w:hAnsi="Book Antiqua" w:cs="Book Antiqua"/>
          <w:color w:val="000000"/>
          <w:szCs w:val="22"/>
        </w:rPr>
        <w:t xml:space="preserve">. In </w:t>
      </w:r>
      <w:proofErr w:type="spellStart"/>
      <w:r>
        <w:rPr>
          <w:rFonts w:ascii="Book Antiqua" w:eastAsia="Book Antiqua" w:hAnsi="Book Antiqua" w:cs="Book Antiqua"/>
          <w:color w:val="000000"/>
          <w:szCs w:val="22"/>
        </w:rPr>
        <w:t>Junquera</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07612" w:rsidRPr="000D025D">
        <w:rPr>
          <w:rFonts w:ascii="Book Antiqua" w:eastAsia="Book Antiqua" w:hAnsi="Book Antiqua" w:cs="Book Antiqua"/>
          <w:color w:val="000000"/>
          <w:szCs w:val="22"/>
          <w:vertAlign w:val="superscript"/>
        </w:rPr>
        <w:t>[</w:t>
      </w:r>
      <w:proofErr w:type="gramEnd"/>
      <w:r w:rsidR="00707612">
        <w:rPr>
          <w:rFonts w:ascii="Book Antiqua" w:eastAsia="Book Antiqua" w:hAnsi="Book Antiqua" w:cs="Book Antiqua"/>
          <w:color w:val="000000"/>
          <w:szCs w:val="22"/>
          <w:vertAlign w:val="superscript"/>
        </w:rPr>
        <w:t>2</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study included APA subjects. </w:t>
      </w:r>
      <w:r>
        <w:rPr>
          <w:rFonts w:ascii="Book Antiqua" w:eastAsia="Book Antiqua" w:hAnsi="Book Antiqua" w:cs="Book Antiqua"/>
          <w:color w:val="000000"/>
          <w:szCs w:val="22"/>
        </w:rPr>
        <w:lastRenderedPageBreak/>
        <w:t xml:space="preserve">However, it did not separately provide comparative data on TFPA subjects. Due to the lack of uniformity in the type of primary access, most of the analyses in the study mainly focused on APA. The 2 studies that reported only TFPA outcomes were considered as APA for practical purposes. A separate analysis was also done for TFPA alone, thus excluding </w:t>
      </w:r>
      <w:proofErr w:type="spellStart"/>
      <w:r>
        <w:rPr>
          <w:rFonts w:ascii="Book Antiqua" w:eastAsia="Book Antiqua" w:hAnsi="Book Antiqua" w:cs="Book Antiqua"/>
          <w:color w:val="000000"/>
          <w:szCs w:val="22"/>
        </w:rPr>
        <w:t>Junquera</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07612" w:rsidRPr="000D025D">
        <w:rPr>
          <w:rFonts w:ascii="Book Antiqua" w:eastAsia="Book Antiqua" w:hAnsi="Book Antiqua" w:cs="Book Antiqua"/>
          <w:color w:val="000000"/>
          <w:szCs w:val="22"/>
          <w:vertAlign w:val="superscript"/>
        </w:rPr>
        <w:t>[</w:t>
      </w:r>
      <w:proofErr w:type="gramEnd"/>
      <w:r w:rsidR="00707612">
        <w:rPr>
          <w:rFonts w:ascii="Book Antiqua" w:eastAsia="Book Antiqua" w:hAnsi="Book Antiqua" w:cs="Book Antiqua"/>
          <w:color w:val="000000"/>
          <w:szCs w:val="22"/>
          <w:vertAlign w:val="superscript"/>
        </w:rPr>
        <w:t>2</w:t>
      </w:r>
      <w:r w:rsidR="00707612" w:rsidRPr="000D025D">
        <w:rPr>
          <w:rFonts w:ascii="Book Antiqua" w:eastAsia="Book Antiqua" w:hAnsi="Book Antiqua" w:cs="Book Antiqua"/>
          <w:color w:val="000000"/>
          <w:szCs w:val="22"/>
          <w:vertAlign w:val="superscript"/>
        </w:rPr>
        <w:t>]</w:t>
      </w:r>
      <w:r w:rsidR="00B35F9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Relevant study characteristics are outlined in </w:t>
      </w:r>
      <w:r w:rsidR="00C64EAD">
        <w:rPr>
          <w:rFonts w:ascii="Book Antiqua" w:eastAsia="Book Antiqua" w:hAnsi="Book Antiqua" w:cs="Book Antiqua"/>
          <w:color w:val="000000"/>
          <w:szCs w:val="22"/>
        </w:rPr>
        <w:t>Table</w:t>
      </w:r>
      <w:r>
        <w:rPr>
          <w:rFonts w:ascii="Book Antiqua" w:eastAsia="Book Antiqua" w:hAnsi="Book Antiqua" w:cs="Book Antiqua"/>
          <w:color w:val="000000"/>
          <w:szCs w:val="22"/>
        </w:rPr>
        <w:t xml:space="preserve"> 1. </w:t>
      </w:r>
    </w:p>
    <w:p w14:paraId="4A8DC558" w14:textId="4A5D8875" w:rsidR="00A77B3E" w:rsidRDefault="00F34D76" w:rsidP="00707612">
      <w:pPr>
        <w:spacing w:line="360" w:lineRule="auto"/>
        <w:ind w:firstLineChars="100" w:firstLine="240"/>
        <w:jc w:val="both"/>
      </w:pPr>
      <w:r>
        <w:rPr>
          <w:rFonts w:ascii="Book Antiqua" w:eastAsia="Book Antiqua" w:hAnsi="Book Antiqua" w:cs="Book Antiqua"/>
          <w:color w:val="000000"/>
          <w:szCs w:val="22"/>
        </w:rPr>
        <w:t xml:space="preserve">Of the 5 studies, risk adjustment in some manner was reported in 3 of 5 studies. When available, matched/adjusted scores were used; however, if no adjustment or matching was reported, the study was still included in this review. Allende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07612" w:rsidRPr="000D025D">
        <w:rPr>
          <w:rFonts w:ascii="Book Antiqua" w:eastAsia="Book Antiqua" w:hAnsi="Book Antiqua" w:cs="Book Antiqua"/>
          <w:color w:val="000000"/>
          <w:szCs w:val="22"/>
          <w:vertAlign w:val="superscript"/>
        </w:rPr>
        <w:t>[</w:t>
      </w:r>
      <w:proofErr w:type="gramEnd"/>
      <w:r w:rsidR="00707612">
        <w:rPr>
          <w:rFonts w:ascii="Book Antiqua" w:eastAsia="Book Antiqua" w:hAnsi="Book Antiqua" w:cs="Book Antiqua"/>
          <w:color w:val="000000"/>
          <w:szCs w:val="22"/>
          <w:vertAlign w:val="superscript"/>
        </w:rPr>
        <w:t>4</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adjusted data for differences in gender and peripheral disease. Fernandez-Lopez </w:t>
      </w:r>
      <w:r w:rsidRPr="006D65DA">
        <w:rPr>
          <w:rFonts w:ascii="Book Antiqua" w:eastAsia="Book Antiqua" w:hAnsi="Book Antiqua" w:cs="Book Antiqua"/>
          <w:i/>
          <w:iCs/>
          <w:color w:val="000000"/>
          <w:szCs w:val="22"/>
        </w:rPr>
        <w:t xml:space="preserve">et </w:t>
      </w:r>
      <w:proofErr w:type="gramStart"/>
      <w:r w:rsidRPr="006D65DA">
        <w:rPr>
          <w:rFonts w:ascii="Book Antiqua" w:eastAsia="Book Antiqua" w:hAnsi="Book Antiqua" w:cs="Book Antiqua"/>
          <w:i/>
          <w:iCs/>
          <w:color w:val="000000"/>
          <w:szCs w:val="22"/>
        </w:rPr>
        <w:t>al</w:t>
      </w:r>
      <w:r w:rsidR="00707612" w:rsidRPr="000D025D">
        <w:rPr>
          <w:rFonts w:ascii="Book Antiqua" w:eastAsia="Book Antiqua" w:hAnsi="Book Antiqua" w:cs="Book Antiqua"/>
          <w:color w:val="000000"/>
          <w:szCs w:val="22"/>
          <w:vertAlign w:val="superscript"/>
        </w:rPr>
        <w:t>[</w:t>
      </w:r>
      <w:proofErr w:type="gramEnd"/>
      <w:r w:rsidR="00707612">
        <w:rPr>
          <w:rFonts w:ascii="Book Antiqua" w:eastAsia="Book Antiqua" w:hAnsi="Book Antiqua" w:cs="Book Antiqua"/>
          <w:color w:val="000000"/>
          <w:szCs w:val="22"/>
          <w:vertAlign w:val="superscript"/>
        </w:rPr>
        <w:t>6</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that results were adjusted for age, </w:t>
      </w:r>
      <w:proofErr w:type="spellStart"/>
      <w:r>
        <w:rPr>
          <w:rFonts w:ascii="Book Antiqua" w:eastAsia="Book Antiqua" w:hAnsi="Book Antiqua" w:cs="Book Antiqua"/>
          <w:color w:val="000000"/>
          <w:szCs w:val="22"/>
        </w:rPr>
        <w:t>Euroscore</w:t>
      </w:r>
      <w:proofErr w:type="spellEnd"/>
      <w:r>
        <w:rPr>
          <w:rFonts w:ascii="Book Antiqua" w:eastAsia="Book Antiqua" w:hAnsi="Book Antiqua" w:cs="Book Antiqua"/>
          <w:color w:val="000000"/>
          <w:szCs w:val="22"/>
        </w:rPr>
        <w:t xml:space="preserve">, body mass index, New York Heart Association (NYHA) functional class, type and size of valve. </w:t>
      </w:r>
      <w:proofErr w:type="spellStart"/>
      <w:r>
        <w:rPr>
          <w:rFonts w:ascii="Book Antiqua" w:eastAsia="Book Antiqua" w:hAnsi="Book Antiqua" w:cs="Book Antiqua"/>
          <w:color w:val="000000"/>
          <w:szCs w:val="22"/>
        </w:rPr>
        <w:t>Junquera</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07612" w:rsidRPr="000D025D">
        <w:rPr>
          <w:rFonts w:ascii="Book Antiqua" w:eastAsia="Book Antiqua" w:hAnsi="Book Antiqua" w:cs="Book Antiqua"/>
          <w:color w:val="000000"/>
          <w:szCs w:val="22"/>
          <w:vertAlign w:val="superscript"/>
        </w:rPr>
        <w:t>[</w:t>
      </w:r>
      <w:proofErr w:type="gramEnd"/>
      <w:r w:rsidR="00707612">
        <w:rPr>
          <w:rFonts w:ascii="Book Antiqua" w:eastAsia="Book Antiqua" w:hAnsi="Book Antiqua" w:cs="Book Antiqua"/>
          <w:color w:val="000000"/>
          <w:szCs w:val="22"/>
          <w:vertAlign w:val="superscript"/>
        </w:rPr>
        <w:t>2</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both overall unadjusted data and propensity score-matched data. Jackson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07612" w:rsidRPr="000D025D">
        <w:rPr>
          <w:rFonts w:ascii="Book Antiqua" w:eastAsia="Book Antiqua" w:hAnsi="Book Antiqua" w:cs="Book Antiqua"/>
          <w:color w:val="000000"/>
          <w:szCs w:val="22"/>
          <w:vertAlign w:val="superscript"/>
        </w:rPr>
        <w:t>[</w:t>
      </w:r>
      <w:proofErr w:type="gramEnd"/>
      <w:r w:rsidR="00707612">
        <w:rPr>
          <w:rFonts w:ascii="Book Antiqua" w:eastAsia="Book Antiqua" w:hAnsi="Book Antiqua" w:cs="Book Antiqua"/>
          <w:color w:val="000000"/>
          <w:szCs w:val="22"/>
          <w:vertAlign w:val="superscript"/>
        </w:rPr>
        <w:t>5</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Curran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 xml:space="preserve"> did not report having performed specific risk adjustment or matching. </w:t>
      </w:r>
    </w:p>
    <w:p w14:paraId="010539E0" w14:textId="5E76EE83" w:rsidR="00A77B3E" w:rsidRDefault="00F34D76" w:rsidP="00707612">
      <w:pPr>
        <w:spacing w:line="360" w:lineRule="auto"/>
        <w:ind w:firstLineChars="100" w:firstLine="240"/>
        <w:jc w:val="both"/>
      </w:pPr>
      <w:r>
        <w:rPr>
          <w:rFonts w:ascii="Book Antiqua" w:eastAsia="Book Antiqua" w:hAnsi="Book Antiqua" w:cs="Book Antiqua"/>
          <w:color w:val="000000"/>
          <w:szCs w:val="22"/>
        </w:rPr>
        <w:t xml:space="preserve">In </w:t>
      </w:r>
      <w:proofErr w:type="spellStart"/>
      <w:r>
        <w:rPr>
          <w:rFonts w:ascii="Book Antiqua" w:eastAsia="Book Antiqua" w:hAnsi="Book Antiqua" w:cs="Book Antiqua"/>
          <w:color w:val="000000"/>
          <w:szCs w:val="22"/>
        </w:rPr>
        <w:t>Junquera</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707612" w:rsidRPr="000D025D">
        <w:rPr>
          <w:rFonts w:ascii="Book Antiqua" w:eastAsia="Book Antiqua" w:hAnsi="Book Antiqua" w:cs="Book Antiqua"/>
          <w:color w:val="000000"/>
          <w:szCs w:val="22"/>
          <w:vertAlign w:val="superscript"/>
        </w:rPr>
        <w:t>[</w:t>
      </w:r>
      <w:proofErr w:type="gramEnd"/>
      <w:r w:rsidR="00707612">
        <w:rPr>
          <w:rFonts w:ascii="Book Antiqua" w:eastAsia="Book Antiqua" w:hAnsi="Book Antiqua" w:cs="Book Antiqua"/>
          <w:color w:val="000000"/>
          <w:szCs w:val="22"/>
          <w:vertAlign w:val="superscript"/>
        </w:rPr>
        <w:t>2</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both unadjusted as well as propensity score-matched data were reported. For the purpose of this study, only propensity score-matched data was included. </w:t>
      </w:r>
    </w:p>
    <w:p w14:paraId="4089E7B8" w14:textId="77777777" w:rsidR="00A77B3E" w:rsidRDefault="00A77B3E">
      <w:pPr>
        <w:spacing w:line="360" w:lineRule="auto"/>
        <w:jc w:val="both"/>
      </w:pPr>
    </w:p>
    <w:p w14:paraId="058B512B" w14:textId="3CB7C439" w:rsidR="00A77B3E" w:rsidRDefault="00F34D76">
      <w:pPr>
        <w:spacing w:line="360" w:lineRule="auto"/>
        <w:jc w:val="both"/>
      </w:pPr>
      <w:r w:rsidRPr="006D65DA">
        <w:rPr>
          <w:rFonts w:ascii="Book Antiqua" w:eastAsia="Book Antiqua" w:hAnsi="Book Antiqua" w:cs="Book Antiqua"/>
          <w:b/>
          <w:bCs/>
          <w:i/>
          <w:iCs/>
          <w:color w:val="000000"/>
          <w:szCs w:val="22"/>
          <w:shd w:val="clear" w:color="auto" w:fill="FFFFFF"/>
        </w:rPr>
        <w:t>Study results</w:t>
      </w:r>
    </w:p>
    <w:p w14:paraId="4CB59CF6" w14:textId="7F5EE3E8" w:rsidR="00A77B3E" w:rsidRDefault="00F34D76">
      <w:pPr>
        <w:spacing w:line="360" w:lineRule="auto"/>
        <w:jc w:val="both"/>
      </w:pPr>
      <w:r>
        <w:rPr>
          <w:rFonts w:ascii="Book Antiqua" w:eastAsia="Book Antiqua" w:hAnsi="Book Antiqua" w:cs="Book Antiqua"/>
          <w:color w:val="000000"/>
          <w:szCs w:val="22"/>
          <w:shd w:val="clear" w:color="auto" w:fill="FFFFFF"/>
        </w:rPr>
        <w:t xml:space="preserve">A total of 5065 patients underwent TAVI inclusive of APA, with 1453 patients (28.7%) having </w:t>
      </w:r>
      <w:r w:rsidR="00C64EAD">
        <w:rPr>
          <w:rFonts w:ascii="Book Antiqua" w:eastAsia="Book Antiqua" w:hAnsi="Book Antiqua" w:cs="Book Antiqua"/>
          <w:color w:val="000000"/>
          <w:szCs w:val="22"/>
          <w:shd w:val="clear" w:color="auto" w:fill="FFFFFF"/>
        </w:rPr>
        <w:t>TRSA</w:t>
      </w:r>
      <w:r>
        <w:rPr>
          <w:rFonts w:ascii="Book Antiqua" w:eastAsia="Book Antiqua" w:hAnsi="Book Antiqua" w:cs="Book Antiqua"/>
          <w:color w:val="000000"/>
          <w:szCs w:val="22"/>
          <w:shd w:val="clear" w:color="auto" w:fill="FFFFFF"/>
        </w:rPr>
        <w:t xml:space="preserve"> and 3612 patients (71.3%) having </w:t>
      </w:r>
      <w:r w:rsidR="00C64EAD">
        <w:rPr>
          <w:rFonts w:ascii="Book Antiqua" w:eastAsia="Book Antiqua" w:hAnsi="Book Antiqua" w:cs="Book Antiqua"/>
          <w:color w:val="000000"/>
          <w:szCs w:val="22"/>
          <w:shd w:val="clear" w:color="auto" w:fill="FFFFFF"/>
        </w:rPr>
        <w:t>TFSA</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rPr>
        <w:t>A secondary analysis was conducted in patients that underwent TAVI with TFPA. Four out of 5 studies qualified for the TFPA sub-group analysis. The total population of this cohort was 898 patients, out of which 496 patients (55.2%) underwent TRSA and 402 (44.8%) patients underwent TFSA</w:t>
      </w:r>
      <w:r>
        <w:rPr>
          <w:rFonts w:ascii="Book Antiqua" w:eastAsia="Book Antiqua" w:hAnsi="Book Antiqua" w:cs="Book Antiqua"/>
          <w:color w:val="000000"/>
          <w:szCs w:val="22"/>
          <w:shd w:val="clear" w:color="auto" w:fill="FFFFFF"/>
        </w:rPr>
        <w:t xml:space="preserve">. </w:t>
      </w:r>
    </w:p>
    <w:p w14:paraId="10C9B1A7" w14:textId="1C4337EC" w:rsidR="00A77B3E" w:rsidRDefault="00F34D76" w:rsidP="00C64EAD">
      <w:pPr>
        <w:spacing w:line="360" w:lineRule="auto"/>
        <w:ind w:firstLineChars="100" w:firstLine="240"/>
        <w:jc w:val="both"/>
      </w:pPr>
      <w:r>
        <w:rPr>
          <w:rFonts w:ascii="Book Antiqua" w:eastAsia="Book Antiqua" w:hAnsi="Book Antiqua" w:cs="Book Antiqua"/>
          <w:color w:val="000000"/>
          <w:szCs w:val="22"/>
        </w:rPr>
        <w:t xml:space="preserve">Baseline demographics in each study are compared in </w:t>
      </w:r>
      <w:r w:rsidR="00C64EAD">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able 2. The mean age of the study population was 81.1 ± 7.2 in the TFSA group and 81.3 ± 7.1 in the TRSA group. Forty six percent (46%) were males in the TFSA group and 53% in the TRSA group. </w:t>
      </w:r>
      <w:r>
        <w:rPr>
          <w:rFonts w:ascii="Book Antiqua" w:eastAsia="Book Antiqua" w:hAnsi="Book Antiqua" w:cs="Book Antiqua"/>
          <w:color w:val="000000"/>
          <w:szCs w:val="22"/>
        </w:rPr>
        <w:lastRenderedPageBreak/>
        <w:t xml:space="preserve">Atrial fibrillation was present in 26% of subjects in the TFSA group and 28% in the TRSA group. The mean STS-PROM score was 6.4 in the TFSA group and 6.0 in the TRSA group. </w:t>
      </w:r>
    </w:p>
    <w:p w14:paraId="24B10BA4" w14:textId="77777777" w:rsidR="00A77B3E" w:rsidRDefault="00A77B3E">
      <w:pPr>
        <w:spacing w:line="360" w:lineRule="auto"/>
        <w:jc w:val="both"/>
      </w:pPr>
    </w:p>
    <w:p w14:paraId="3718605B" w14:textId="6DA3E462" w:rsidR="00A77B3E" w:rsidRPr="006D65DA" w:rsidRDefault="00F34D76">
      <w:pPr>
        <w:spacing w:line="360" w:lineRule="auto"/>
        <w:jc w:val="both"/>
        <w:rPr>
          <w:i/>
          <w:iCs/>
        </w:rPr>
      </w:pPr>
      <w:r w:rsidRPr="006D65DA">
        <w:rPr>
          <w:rFonts w:ascii="Book Antiqua" w:eastAsia="Book Antiqua" w:hAnsi="Book Antiqua" w:cs="Book Antiqua"/>
          <w:b/>
          <w:bCs/>
          <w:i/>
          <w:iCs/>
          <w:color w:val="000000"/>
          <w:szCs w:val="22"/>
        </w:rPr>
        <w:t>Results of APA procedures</w:t>
      </w:r>
    </w:p>
    <w:p w14:paraId="3D354B5D" w14:textId="2366AB96" w:rsidR="00A77B3E" w:rsidRDefault="00F34D76">
      <w:pPr>
        <w:spacing w:line="360" w:lineRule="auto"/>
        <w:jc w:val="both"/>
        <w:rPr>
          <w:rFonts w:ascii="Book Antiqua" w:eastAsia="Book Antiqua" w:hAnsi="Book Antiqua" w:cs="Book Antiqua"/>
          <w:color w:val="000000"/>
          <w:szCs w:val="22"/>
          <w:shd w:val="clear" w:color="auto" w:fill="FFFFFF"/>
        </w:rPr>
      </w:pPr>
      <w:r w:rsidRPr="006D65DA">
        <w:rPr>
          <w:rFonts w:ascii="Book Antiqua" w:eastAsia="Book Antiqua" w:hAnsi="Book Antiqua" w:cs="Book Antiqua"/>
          <w:b/>
          <w:bCs/>
          <w:color w:val="000000"/>
          <w:szCs w:val="22"/>
        </w:rPr>
        <w:t>All-cause mortality:</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When </w:t>
      </w:r>
      <w:r w:rsidR="00C64EAD">
        <w:rPr>
          <w:rFonts w:ascii="Book Antiqua" w:eastAsia="Book Antiqua" w:hAnsi="Book Antiqua" w:cs="Book Antiqua"/>
          <w:color w:val="000000"/>
        </w:rPr>
        <w:t>APA</w:t>
      </w:r>
      <w:r>
        <w:rPr>
          <w:rFonts w:ascii="Book Antiqua" w:eastAsia="Book Antiqua" w:hAnsi="Book Antiqua" w:cs="Book Antiqua"/>
          <w:color w:val="000000"/>
        </w:rPr>
        <w:t xml:space="preserve">-TAVI procedures were considered, the 30-d all-cause mortality rate was 2.6% in the TRSA group and 4.4% in the TFSA group, </w:t>
      </w:r>
      <w:r w:rsidR="00577CFB">
        <w:rPr>
          <w:rFonts w:ascii="Book Antiqua" w:eastAsia="Book Antiqua" w:hAnsi="Book Antiqua" w:cs="Book Antiqua"/>
          <w:color w:val="000000"/>
        </w:rPr>
        <w:t>odds ratio (</w:t>
      </w:r>
      <w:r>
        <w:rPr>
          <w:rFonts w:ascii="Book Antiqua" w:eastAsia="Book Antiqua" w:hAnsi="Book Antiqua" w:cs="Book Antiqua"/>
          <w:color w:val="000000"/>
        </w:rPr>
        <w:t>OR</w:t>
      </w:r>
      <w:r w:rsidR="00577CFB">
        <w:rPr>
          <w:rFonts w:ascii="Book Antiqua" w:eastAsia="Book Antiqua" w:hAnsi="Book Antiqua" w:cs="Book Antiqua"/>
          <w:color w:val="000000"/>
        </w:rPr>
        <w:t>)</w:t>
      </w:r>
      <w:r>
        <w:rPr>
          <w:rFonts w:ascii="Book Antiqua" w:eastAsia="Book Antiqua" w:hAnsi="Book Antiqua" w:cs="Book Antiqua"/>
          <w:color w:val="000000"/>
        </w:rPr>
        <w:t xml:space="preserve"> 0.59 [0.41, 0.86] (</w:t>
      </w:r>
      <w:r>
        <w:rPr>
          <w:rFonts w:ascii="Book Antiqua" w:eastAsia="Book Antiqua" w:hAnsi="Book Antiqua" w:cs="Book Antiqua"/>
          <w:i/>
          <w:iCs/>
          <w:color w:val="000000"/>
          <w:szCs w:val="22"/>
          <w:shd w:val="clear" w:color="auto" w:fill="FFFFFF"/>
        </w:rPr>
        <w:t>P</w:t>
      </w:r>
      <w:r>
        <w:rPr>
          <w:rFonts w:ascii="Book Antiqua" w:eastAsia="Book Antiqua" w:hAnsi="Book Antiqua" w:cs="Book Antiqua"/>
          <w:color w:val="000000"/>
          <w:szCs w:val="22"/>
          <w:shd w:val="clear" w:color="auto" w:fill="FFFFFF"/>
        </w:rPr>
        <w:t xml:space="preserve"> = 0.006, </w:t>
      </w:r>
      <w:r w:rsidRPr="00584051">
        <w:rPr>
          <w:rFonts w:ascii="Book Antiqua" w:eastAsia="Book Antiqua" w:hAnsi="Book Antiqua" w:cs="Book Antiqua"/>
          <w:color w:val="000000"/>
          <w:szCs w:val="22"/>
          <w:shd w:val="clear" w:color="auto" w:fill="FFFFFF"/>
        </w:rPr>
        <w:t>Figure</w:t>
      </w:r>
      <w:r>
        <w:rPr>
          <w:rFonts w:ascii="Book Antiqua" w:eastAsia="Book Antiqua" w:hAnsi="Book Antiqua" w:cs="Book Antiqua"/>
          <w:color w:val="000000"/>
          <w:szCs w:val="22"/>
          <w:shd w:val="clear" w:color="auto" w:fill="FFFFFF"/>
        </w:rPr>
        <w:t xml:space="preserve"> 2</w:t>
      </w:r>
      <w:r w:rsidR="00584051">
        <w:rPr>
          <w:rFonts w:ascii="Book Antiqua" w:eastAsia="Book Antiqua" w:hAnsi="Book Antiqua" w:cs="Book Antiqua"/>
          <w:color w:val="000000"/>
          <w:szCs w:val="22"/>
          <w:shd w:val="clear" w:color="auto" w:fill="FFFFFF"/>
        </w:rPr>
        <w:t>A</w:t>
      </w:r>
      <w:r>
        <w:rPr>
          <w:rFonts w:ascii="Book Antiqua" w:eastAsia="Book Antiqua" w:hAnsi="Book Antiqua" w:cs="Book Antiqua"/>
          <w:color w:val="000000"/>
          <w:szCs w:val="22"/>
          <w:shd w:val="clear" w:color="auto" w:fill="FFFFFF"/>
        </w:rPr>
        <w:t>).</w:t>
      </w:r>
    </w:p>
    <w:p w14:paraId="356E7616" w14:textId="77777777" w:rsidR="00C64EAD" w:rsidRDefault="00C64EAD">
      <w:pPr>
        <w:spacing w:line="360" w:lineRule="auto"/>
        <w:jc w:val="both"/>
      </w:pPr>
    </w:p>
    <w:p w14:paraId="4099137D" w14:textId="48FFCBA1" w:rsidR="00A77B3E" w:rsidRDefault="00F34D76">
      <w:pPr>
        <w:spacing w:line="360" w:lineRule="auto"/>
        <w:jc w:val="both"/>
        <w:rPr>
          <w:rFonts w:ascii="Book Antiqua" w:eastAsia="Book Antiqua" w:hAnsi="Book Antiqua" w:cs="Book Antiqua"/>
          <w:color w:val="000000"/>
          <w:szCs w:val="22"/>
        </w:rPr>
      </w:pPr>
      <w:r w:rsidRPr="006D65DA">
        <w:rPr>
          <w:rFonts w:ascii="Book Antiqua" w:eastAsia="Book Antiqua" w:hAnsi="Book Antiqua" w:cs="Book Antiqua"/>
          <w:b/>
          <w:bCs/>
          <w:color w:val="000000"/>
          <w:szCs w:val="22"/>
        </w:rPr>
        <w:t>Stroke</w:t>
      </w:r>
      <w:r w:rsidRPr="006D65DA">
        <w:rPr>
          <w:rFonts w:ascii="Book Antiqua" w:eastAsia="Book Antiqua" w:hAnsi="Book Antiqua" w:cs="Book Antiqua"/>
          <w:b/>
          <w:bCs/>
          <w:color w:val="000000"/>
        </w:rPr>
        <w:t xml:space="preserve">: </w:t>
      </w:r>
      <w:r>
        <w:rPr>
          <w:rFonts w:ascii="Book Antiqua" w:eastAsia="Book Antiqua" w:hAnsi="Book Antiqua" w:cs="Book Antiqua"/>
          <w:color w:val="000000"/>
        </w:rPr>
        <w:t>The 30-d stroke rate was 1.5% in the TRSA group and 3.2% in the TFSA group, OR 0.45 [0.29, 0.74]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Figure 2</w:t>
      </w:r>
      <w:r w:rsidR="00584051">
        <w:rPr>
          <w:rFonts w:ascii="Book Antiqua" w:eastAsia="Book Antiqua" w:hAnsi="Book Antiqua" w:cs="Book Antiqua"/>
          <w:color w:val="000000"/>
          <w:szCs w:val="22"/>
        </w:rPr>
        <w:t>B</w:t>
      </w:r>
      <w:r>
        <w:rPr>
          <w:rFonts w:ascii="Book Antiqua" w:eastAsia="Book Antiqua" w:hAnsi="Book Antiqua" w:cs="Book Antiqua"/>
          <w:color w:val="000000"/>
          <w:szCs w:val="22"/>
        </w:rPr>
        <w:t>).</w:t>
      </w:r>
    </w:p>
    <w:p w14:paraId="1F38F54D" w14:textId="77777777" w:rsidR="009A2D1D" w:rsidRPr="006D65DA" w:rsidRDefault="009A2D1D">
      <w:pPr>
        <w:spacing w:line="360" w:lineRule="auto"/>
        <w:jc w:val="both"/>
        <w:rPr>
          <w:b/>
          <w:bCs/>
        </w:rPr>
      </w:pPr>
    </w:p>
    <w:p w14:paraId="0E9C6CA6" w14:textId="1616FDA3" w:rsidR="00A77B3E" w:rsidRDefault="00F34D76">
      <w:pPr>
        <w:spacing w:line="360" w:lineRule="auto"/>
        <w:jc w:val="both"/>
        <w:rPr>
          <w:rFonts w:ascii="Book Antiqua" w:eastAsia="Book Antiqua" w:hAnsi="Book Antiqua" w:cs="Book Antiqua"/>
          <w:color w:val="000000"/>
        </w:rPr>
      </w:pPr>
      <w:r w:rsidRPr="006D65DA">
        <w:rPr>
          <w:rFonts w:ascii="Book Antiqua" w:eastAsia="Book Antiqua" w:hAnsi="Book Antiqua" w:cs="Book Antiqua"/>
          <w:b/>
          <w:bCs/>
          <w:color w:val="000000"/>
          <w:szCs w:val="22"/>
        </w:rPr>
        <w:t xml:space="preserve">Bleeding complications: </w:t>
      </w:r>
      <w:r>
        <w:rPr>
          <w:rFonts w:ascii="Book Antiqua" w:eastAsia="Book Antiqua" w:hAnsi="Book Antiqua" w:cs="Book Antiqua"/>
          <w:color w:val="000000"/>
        </w:rPr>
        <w:t>The incidence of major and life-threatening bleeding complications by 30 d post-TAVI was 3.4% in TRSA patients and 6.3% in TFSA, OR 0.40 [0.28, 0.56] (</w:t>
      </w:r>
      <w:r w:rsidR="009A2D1D" w:rsidRPr="009A2D1D">
        <w:rPr>
          <w:rFonts w:ascii="Book Antiqua" w:eastAsia="Book Antiqua" w:hAnsi="Book Antiqua" w:cs="Book Antiqua"/>
          <w:i/>
          <w:iCs/>
          <w:color w:val="000000"/>
        </w:rPr>
        <w:t>P</w:t>
      </w:r>
      <w:r>
        <w:rPr>
          <w:rFonts w:ascii="Book Antiqua" w:eastAsia="Book Antiqua" w:hAnsi="Book Antiqua" w:cs="Book Antiqua"/>
          <w:color w:val="000000"/>
        </w:rPr>
        <w:t xml:space="preserve"> &lt; 0.00001, Figure 2</w:t>
      </w:r>
      <w:r w:rsidR="009A2D1D">
        <w:rPr>
          <w:rFonts w:ascii="Book Antiqua" w:eastAsia="Book Antiqua" w:hAnsi="Book Antiqua" w:cs="Book Antiqua"/>
          <w:color w:val="000000"/>
        </w:rPr>
        <w:t>C</w:t>
      </w:r>
      <w:r>
        <w:rPr>
          <w:rFonts w:ascii="Book Antiqua" w:eastAsia="Book Antiqua" w:hAnsi="Book Antiqua" w:cs="Book Antiqua"/>
          <w:color w:val="000000"/>
        </w:rPr>
        <w:t>).</w:t>
      </w:r>
    </w:p>
    <w:p w14:paraId="4160C0A7" w14:textId="77777777" w:rsidR="009A2D1D" w:rsidRDefault="009A2D1D">
      <w:pPr>
        <w:spacing w:line="360" w:lineRule="auto"/>
        <w:jc w:val="both"/>
      </w:pPr>
    </w:p>
    <w:p w14:paraId="14D6B5D5" w14:textId="0DE7FCF2" w:rsidR="00A77B3E" w:rsidRDefault="00F34D76">
      <w:pPr>
        <w:spacing w:line="360" w:lineRule="auto"/>
        <w:jc w:val="both"/>
      </w:pPr>
      <w:r w:rsidRPr="006D65DA">
        <w:rPr>
          <w:rFonts w:ascii="Book Antiqua" w:eastAsia="Book Antiqua" w:hAnsi="Book Antiqua" w:cs="Book Antiqua"/>
          <w:b/>
          <w:bCs/>
          <w:color w:val="000000"/>
          <w:szCs w:val="22"/>
        </w:rPr>
        <w:t xml:space="preserve">Vascular complications: </w:t>
      </w:r>
      <w:r>
        <w:rPr>
          <w:rFonts w:ascii="Book Antiqua" w:eastAsia="Book Antiqua" w:hAnsi="Book Antiqua" w:cs="Book Antiqua"/>
          <w:color w:val="000000"/>
        </w:rPr>
        <w:t>Major vascular complications by 30 d post-TAVI were seen in 2.8% of TRSA patients and 5.9% in TFSA, OR 0.48 [0.33, 0.69] (</w:t>
      </w:r>
      <w:r w:rsidR="009A2D1D" w:rsidRPr="009A2D1D">
        <w:rPr>
          <w:rFonts w:ascii="Book Antiqua" w:eastAsia="Book Antiqua" w:hAnsi="Book Antiqua" w:cs="Book Antiqua"/>
          <w:i/>
          <w:iCs/>
          <w:color w:val="000000"/>
        </w:rPr>
        <w:t>P</w:t>
      </w:r>
      <w:r>
        <w:rPr>
          <w:rFonts w:ascii="Book Antiqua" w:eastAsia="Book Antiqua" w:hAnsi="Book Antiqua" w:cs="Book Antiqua"/>
          <w:color w:val="000000"/>
        </w:rPr>
        <w:t xml:space="preserve"> &lt; 0.0001, Figure 2</w:t>
      </w:r>
      <w:r w:rsidR="009A2D1D">
        <w:rPr>
          <w:rFonts w:ascii="Book Antiqua" w:eastAsia="Book Antiqua" w:hAnsi="Book Antiqua" w:cs="Book Antiqua"/>
          <w:color w:val="000000"/>
        </w:rPr>
        <w:t>D</w:t>
      </w:r>
      <w:r>
        <w:rPr>
          <w:rFonts w:ascii="Book Antiqua" w:eastAsia="Book Antiqua" w:hAnsi="Book Antiqua" w:cs="Book Antiqua"/>
          <w:color w:val="000000"/>
        </w:rPr>
        <w:t>).  The incidence of 30-d minor vascular complications was 11.7% in TRSA patients and 12.4% in TFSA, OR 0.92 [0.75, 1.12]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0.41, Figure 2</w:t>
      </w:r>
      <w:r w:rsidR="009A2D1D">
        <w:rPr>
          <w:rFonts w:ascii="Book Antiqua" w:eastAsia="Book Antiqua" w:hAnsi="Book Antiqua" w:cs="Book Antiqua"/>
          <w:color w:val="000000"/>
          <w:szCs w:val="22"/>
        </w:rPr>
        <w:t>E</w:t>
      </w:r>
      <w:r>
        <w:rPr>
          <w:rFonts w:ascii="Book Antiqua" w:eastAsia="Book Antiqua" w:hAnsi="Book Antiqua" w:cs="Book Antiqua"/>
          <w:color w:val="000000"/>
          <w:szCs w:val="22"/>
        </w:rPr>
        <w:t>).</w:t>
      </w:r>
    </w:p>
    <w:p w14:paraId="54083461" w14:textId="75501E88" w:rsidR="00A77B3E" w:rsidRDefault="00F34D76" w:rsidP="009A2D1D">
      <w:pPr>
        <w:spacing w:line="360" w:lineRule="auto"/>
        <w:ind w:firstLineChars="100" w:firstLine="240"/>
        <w:jc w:val="both"/>
      </w:pPr>
      <w:r>
        <w:rPr>
          <w:rFonts w:ascii="Book Antiqua" w:eastAsia="Book Antiqua" w:hAnsi="Book Antiqua" w:cs="Book Antiqua"/>
          <w:color w:val="000000"/>
          <w:szCs w:val="22"/>
        </w:rPr>
        <w:t xml:space="preserve">Figure </w:t>
      </w:r>
      <w:r w:rsidR="00584051">
        <w:rPr>
          <w:rFonts w:ascii="Book Antiqua" w:eastAsia="Book Antiqua" w:hAnsi="Book Antiqua" w:cs="Book Antiqua"/>
          <w:color w:val="000000"/>
          <w:szCs w:val="22"/>
        </w:rPr>
        <w:t xml:space="preserve">3 </w:t>
      </w:r>
      <w:r>
        <w:rPr>
          <w:rFonts w:ascii="Book Antiqua" w:eastAsia="Book Antiqua" w:hAnsi="Book Antiqua" w:cs="Book Antiqua"/>
          <w:color w:val="000000"/>
          <w:szCs w:val="22"/>
        </w:rPr>
        <w:t xml:space="preserve">shows funnel plots for the main outcomes. The plots were symmetric, and all studies lie within the triangular region, close to the mean, without outliers. This indicates minimal heterogeneity in this review. Figure </w:t>
      </w:r>
      <w:r w:rsidR="00584051">
        <w:rPr>
          <w:rFonts w:ascii="Book Antiqua" w:eastAsia="Book Antiqua" w:hAnsi="Book Antiqua" w:cs="Book Antiqua"/>
          <w:color w:val="000000"/>
          <w:szCs w:val="22"/>
        </w:rPr>
        <w:t xml:space="preserve">4 </w:t>
      </w:r>
      <w:r>
        <w:rPr>
          <w:rFonts w:ascii="Book Antiqua" w:eastAsia="Book Antiqua" w:hAnsi="Book Antiqua" w:cs="Book Antiqua"/>
          <w:color w:val="000000"/>
          <w:szCs w:val="22"/>
        </w:rPr>
        <w:t xml:space="preserve">shows traffic light plots of the domain-level judgements for each individual result to assess risk of bias. </w:t>
      </w:r>
    </w:p>
    <w:p w14:paraId="59CE59BC" w14:textId="77777777" w:rsidR="00A77B3E" w:rsidRDefault="00A77B3E">
      <w:pPr>
        <w:spacing w:line="360" w:lineRule="auto"/>
        <w:jc w:val="both"/>
      </w:pPr>
    </w:p>
    <w:p w14:paraId="5C555BBC" w14:textId="5FFD83CB" w:rsidR="00A77B3E" w:rsidRPr="006D65DA" w:rsidRDefault="00F34D76">
      <w:pPr>
        <w:spacing w:line="360" w:lineRule="auto"/>
        <w:jc w:val="both"/>
        <w:rPr>
          <w:i/>
          <w:iCs/>
        </w:rPr>
      </w:pPr>
      <w:r w:rsidRPr="006D65DA">
        <w:rPr>
          <w:rFonts w:ascii="Book Antiqua" w:eastAsia="Book Antiqua" w:hAnsi="Book Antiqua" w:cs="Book Antiqua"/>
          <w:b/>
          <w:bCs/>
          <w:i/>
          <w:iCs/>
          <w:color w:val="000000"/>
          <w:szCs w:val="22"/>
        </w:rPr>
        <w:t>Results of TFPA procedures</w:t>
      </w:r>
    </w:p>
    <w:p w14:paraId="51AD1E5A" w14:textId="5CC7EB1D" w:rsidR="00A77B3E" w:rsidRDefault="00F34D76">
      <w:pPr>
        <w:spacing w:line="360" w:lineRule="auto"/>
        <w:jc w:val="both"/>
        <w:rPr>
          <w:rFonts w:ascii="Book Antiqua" w:eastAsia="Book Antiqua" w:hAnsi="Book Antiqua" w:cs="Book Antiqua"/>
          <w:color w:val="000000"/>
          <w:szCs w:val="22"/>
        </w:rPr>
      </w:pPr>
      <w:r w:rsidRPr="006D65DA">
        <w:rPr>
          <w:rFonts w:ascii="Book Antiqua" w:eastAsia="Book Antiqua" w:hAnsi="Book Antiqua" w:cs="Book Antiqua"/>
          <w:b/>
          <w:bCs/>
          <w:color w:val="000000"/>
          <w:szCs w:val="22"/>
        </w:rPr>
        <w:t>All-cause mortality</w:t>
      </w:r>
      <w:r w:rsidRPr="006D65DA">
        <w:rPr>
          <w:rFonts w:ascii="Book Antiqua" w:eastAsia="Book Antiqua" w:hAnsi="Book Antiqua" w:cs="Book Antiqua"/>
          <w:b/>
          <w:bCs/>
          <w:color w:val="000000"/>
        </w:rPr>
        <w:t xml:space="preserve">: </w:t>
      </w:r>
      <w:r>
        <w:rPr>
          <w:rFonts w:ascii="Book Antiqua" w:eastAsia="Book Antiqua" w:hAnsi="Book Antiqua" w:cs="Book Antiqua"/>
          <w:color w:val="000000"/>
        </w:rPr>
        <w:t>The 30-d all-cause mortality rate was 2.8% in the TRSA group and 4.7% in the TFSA group, OR 0.62 [0.31, 1.26]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0.19, Figure </w:t>
      </w:r>
      <w:r w:rsidR="00584051">
        <w:rPr>
          <w:rFonts w:ascii="Book Antiqua" w:eastAsia="Book Antiqua" w:hAnsi="Book Antiqua" w:cs="Book Antiqua"/>
          <w:color w:val="000000"/>
          <w:szCs w:val="22"/>
        </w:rPr>
        <w:t>5A</w:t>
      </w:r>
      <w:r>
        <w:rPr>
          <w:rFonts w:ascii="Book Antiqua" w:eastAsia="Book Antiqua" w:hAnsi="Book Antiqua" w:cs="Book Antiqua"/>
          <w:color w:val="000000"/>
          <w:szCs w:val="22"/>
        </w:rPr>
        <w:t>).</w:t>
      </w:r>
    </w:p>
    <w:p w14:paraId="5889BC42" w14:textId="77777777" w:rsidR="009A2D1D" w:rsidRDefault="009A2D1D">
      <w:pPr>
        <w:spacing w:line="360" w:lineRule="auto"/>
        <w:jc w:val="both"/>
      </w:pPr>
    </w:p>
    <w:p w14:paraId="7972417A" w14:textId="437F2A15" w:rsidR="00A77B3E" w:rsidRDefault="00F34D76">
      <w:pPr>
        <w:spacing w:line="360" w:lineRule="auto"/>
        <w:jc w:val="both"/>
        <w:rPr>
          <w:rFonts w:ascii="Book Antiqua" w:eastAsia="Book Antiqua" w:hAnsi="Book Antiqua" w:cs="Book Antiqua"/>
          <w:color w:val="000000"/>
          <w:szCs w:val="22"/>
        </w:rPr>
      </w:pPr>
      <w:r w:rsidRPr="006D65DA">
        <w:rPr>
          <w:rFonts w:ascii="Book Antiqua" w:eastAsia="Book Antiqua" w:hAnsi="Book Antiqua" w:cs="Book Antiqua"/>
          <w:b/>
          <w:bCs/>
          <w:color w:val="000000"/>
          <w:szCs w:val="22"/>
        </w:rPr>
        <w:lastRenderedPageBreak/>
        <w:t>Stroke</w:t>
      </w:r>
      <w:r w:rsidRPr="006D65DA">
        <w:rPr>
          <w:rFonts w:ascii="Book Antiqua" w:eastAsia="Book Antiqua" w:hAnsi="Book Antiqua" w:cs="Book Antiqua"/>
          <w:b/>
          <w:bCs/>
          <w:color w:val="000000"/>
        </w:rPr>
        <w:t>:</w:t>
      </w:r>
      <w:r>
        <w:rPr>
          <w:rFonts w:ascii="Book Antiqua" w:eastAsia="Book Antiqua" w:hAnsi="Book Antiqua" w:cs="Book Antiqua"/>
          <w:color w:val="000000"/>
        </w:rPr>
        <w:t xml:space="preserve"> The 30-d stroke rate was 1.2% in the TRSA group and 4.2% in the TFSA group, OR 0.31 [0.12, 0.77]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 Figure </w:t>
      </w:r>
      <w:r w:rsidR="00584051">
        <w:rPr>
          <w:rFonts w:ascii="Book Antiqua" w:eastAsia="Book Antiqua" w:hAnsi="Book Antiqua" w:cs="Book Antiqua"/>
          <w:color w:val="000000"/>
          <w:szCs w:val="22"/>
        </w:rPr>
        <w:t>5B</w:t>
      </w:r>
      <w:r>
        <w:rPr>
          <w:rFonts w:ascii="Book Antiqua" w:eastAsia="Book Antiqua" w:hAnsi="Book Antiqua" w:cs="Book Antiqua"/>
          <w:color w:val="000000"/>
          <w:szCs w:val="22"/>
        </w:rPr>
        <w:t>).</w:t>
      </w:r>
    </w:p>
    <w:p w14:paraId="27520359" w14:textId="77777777" w:rsidR="009A2D1D" w:rsidRDefault="009A2D1D">
      <w:pPr>
        <w:spacing w:line="360" w:lineRule="auto"/>
        <w:jc w:val="both"/>
      </w:pPr>
    </w:p>
    <w:p w14:paraId="2F46DCE8" w14:textId="5AD417B8" w:rsidR="00A77B3E" w:rsidRDefault="00F34D76">
      <w:pPr>
        <w:spacing w:line="360" w:lineRule="auto"/>
        <w:jc w:val="both"/>
        <w:rPr>
          <w:rFonts w:ascii="Book Antiqua" w:eastAsia="Book Antiqua" w:hAnsi="Book Antiqua" w:cs="Book Antiqua"/>
          <w:color w:val="000000"/>
          <w:szCs w:val="22"/>
        </w:rPr>
      </w:pPr>
      <w:r w:rsidRPr="006D65DA">
        <w:rPr>
          <w:rFonts w:ascii="Book Antiqua" w:eastAsia="Book Antiqua" w:hAnsi="Book Antiqua" w:cs="Book Antiqua"/>
          <w:b/>
          <w:bCs/>
          <w:color w:val="000000"/>
          <w:szCs w:val="22"/>
        </w:rPr>
        <w:t>Bleeding complications</w:t>
      </w:r>
      <w:r w:rsidRPr="006D65DA">
        <w:rPr>
          <w:rFonts w:ascii="Book Antiqua" w:eastAsia="Book Antiqua" w:hAnsi="Book Antiqua" w:cs="Book Antiqua"/>
          <w:b/>
          <w:bCs/>
          <w:color w:val="000000"/>
        </w:rPr>
        <w:t>:</w:t>
      </w:r>
      <w:r>
        <w:rPr>
          <w:rFonts w:ascii="Book Antiqua" w:eastAsia="Book Antiqua" w:hAnsi="Book Antiqua" w:cs="Book Antiqua"/>
          <w:color w:val="000000"/>
        </w:rPr>
        <w:t xml:space="preserve"> In patients who had </w:t>
      </w:r>
      <w:r w:rsidR="00BC2D91">
        <w:rPr>
          <w:rFonts w:ascii="Book Antiqua" w:eastAsia="Book Antiqua" w:hAnsi="Book Antiqua" w:cs="Book Antiqua"/>
          <w:color w:val="000000"/>
          <w:szCs w:val="22"/>
        </w:rPr>
        <w:t>TFPA</w:t>
      </w:r>
      <w:r>
        <w:rPr>
          <w:rFonts w:ascii="Book Antiqua" w:eastAsia="Book Antiqua" w:hAnsi="Book Antiqua" w:cs="Book Antiqua"/>
          <w:color w:val="000000"/>
        </w:rPr>
        <w:t xml:space="preserve"> during their TAVI, major/Life-threatening bleeding complications were seen by 30 d in 6.3% of TRSA patients and 11.2% in TFSA, OR 0.52 [0.32, 0.85]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0.008, Figure </w:t>
      </w:r>
      <w:r w:rsidR="00584051">
        <w:rPr>
          <w:rFonts w:ascii="Book Antiqua" w:eastAsia="Book Antiqua" w:hAnsi="Book Antiqua" w:cs="Book Antiqua"/>
          <w:color w:val="000000"/>
          <w:szCs w:val="22"/>
        </w:rPr>
        <w:t>5C</w:t>
      </w:r>
      <w:r>
        <w:rPr>
          <w:rFonts w:ascii="Book Antiqua" w:eastAsia="Book Antiqua" w:hAnsi="Book Antiqua" w:cs="Book Antiqua"/>
          <w:color w:val="000000"/>
          <w:szCs w:val="22"/>
        </w:rPr>
        <w:t>).</w:t>
      </w:r>
    </w:p>
    <w:p w14:paraId="2416133D" w14:textId="77777777" w:rsidR="009A2D1D" w:rsidRDefault="009A2D1D">
      <w:pPr>
        <w:spacing w:line="360" w:lineRule="auto"/>
        <w:jc w:val="both"/>
      </w:pPr>
    </w:p>
    <w:p w14:paraId="4C958639" w14:textId="77777777" w:rsidR="00A77B3E" w:rsidRDefault="00F34D76">
      <w:pPr>
        <w:spacing w:line="360" w:lineRule="auto"/>
        <w:jc w:val="both"/>
      </w:pPr>
      <w:r w:rsidRPr="006D65DA">
        <w:rPr>
          <w:rFonts w:ascii="Book Antiqua" w:eastAsia="Book Antiqua" w:hAnsi="Book Antiqua" w:cs="Book Antiqua"/>
          <w:b/>
          <w:bCs/>
          <w:color w:val="000000"/>
          <w:szCs w:val="22"/>
        </w:rPr>
        <w:t xml:space="preserve">Vascular complications: </w:t>
      </w:r>
      <w:r>
        <w:rPr>
          <w:rFonts w:ascii="Book Antiqua" w:eastAsia="Book Antiqua" w:hAnsi="Book Antiqua" w:cs="Book Antiqua"/>
          <w:color w:val="000000"/>
          <w:szCs w:val="22"/>
        </w:rPr>
        <w:t>This was not analyzed for the TFPA group, as only 3 out of 5 studies reported on this outcome in the TFPA group.</w:t>
      </w:r>
    </w:p>
    <w:p w14:paraId="1F4B1FA9" w14:textId="77777777" w:rsidR="00A77B3E" w:rsidRDefault="00A77B3E">
      <w:pPr>
        <w:spacing w:line="360" w:lineRule="auto"/>
        <w:jc w:val="both"/>
      </w:pPr>
    </w:p>
    <w:p w14:paraId="200A5FE7" w14:textId="77777777" w:rsidR="00A77B3E" w:rsidRDefault="00F34D76">
      <w:pPr>
        <w:spacing w:line="360" w:lineRule="auto"/>
        <w:jc w:val="both"/>
      </w:pPr>
      <w:r>
        <w:rPr>
          <w:rFonts w:ascii="Book Antiqua" w:eastAsia="Book Antiqua" w:hAnsi="Book Antiqua" w:cs="Book Antiqua"/>
          <w:b/>
          <w:caps/>
          <w:color w:val="000000"/>
          <w:u w:val="single"/>
        </w:rPr>
        <w:t>DISCUSSION</w:t>
      </w:r>
    </w:p>
    <w:p w14:paraId="490DDBA9" w14:textId="3F569882" w:rsidR="00A77B3E" w:rsidRPr="006D65DA" w:rsidRDefault="009A2D1D">
      <w:pPr>
        <w:spacing w:line="360" w:lineRule="auto"/>
        <w:jc w:val="both"/>
        <w:rPr>
          <w:i/>
          <w:iCs/>
        </w:rPr>
      </w:pPr>
      <w:r w:rsidRPr="006D65DA">
        <w:rPr>
          <w:rFonts w:ascii="Book Antiqua" w:eastAsia="Book Antiqua" w:hAnsi="Book Antiqua" w:cs="Book Antiqua"/>
          <w:b/>
          <w:bCs/>
          <w:i/>
          <w:iCs/>
          <w:color w:val="000000"/>
          <w:szCs w:val="22"/>
        </w:rPr>
        <w:t>Main findings</w:t>
      </w:r>
    </w:p>
    <w:p w14:paraId="33B0CBD2" w14:textId="527815D3" w:rsidR="00A77B3E" w:rsidRDefault="00F34D76">
      <w:pPr>
        <w:spacing w:line="360" w:lineRule="auto"/>
        <w:jc w:val="both"/>
      </w:pPr>
      <w:r>
        <w:rPr>
          <w:rFonts w:ascii="Book Antiqua" w:eastAsia="Book Antiqua" w:hAnsi="Book Antiqua" w:cs="Book Antiqua"/>
          <w:color w:val="000000"/>
          <w:szCs w:val="22"/>
        </w:rPr>
        <w:t xml:space="preserve">In this meta-analysis, we found that patients who underwent TRSA had significantly lower odds than those with TFSA of developing 30-d mortality, stroke, bleeding, and major vascular complications. When APA site procedures were considered, </w:t>
      </w:r>
      <w:r>
        <w:rPr>
          <w:rFonts w:ascii="Book Antiqua" w:eastAsia="Book Antiqua" w:hAnsi="Book Antiqua" w:cs="Book Antiqua"/>
          <w:color w:val="000000"/>
          <w:szCs w:val="22"/>
          <w:shd w:val="clear" w:color="auto" w:fill="FFFFFF"/>
        </w:rPr>
        <w:t>the odds of mortality up to 30 d after the procedure were found to be 41%</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lower,</w:t>
      </w:r>
      <w:proofErr w:type="gramEnd"/>
      <w:r>
        <w:rPr>
          <w:rFonts w:ascii="Book Antiqua" w:eastAsia="Book Antiqua" w:hAnsi="Book Antiqua" w:cs="Book Antiqua"/>
          <w:color w:val="000000"/>
          <w:szCs w:val="22"/>
        </w:rPr>
        <w:t xml:space="preserve"> and the odds of 30-d stroke 54% lower in the TRSA group than the TFSA group. Similarly, the odds of having major or life-threatening bleeding were 60% lower in the TRSA group than the TFSA group</w:t>
      </w:r>
      <w:r>
        <w:rPr>
          <w:rFonts w:ascii="Book Antiqua" w:eastAsia="Book Antiqua" w:hAnsi="Book Antiqua" w:cs="Book Antiqua"/>
          <w:color w:val="000000"/>
          <w:szCs w:val="22"/>
          <w:shd w:val="clear" w:color="auto" w:fill="FFFFFF"/>
        </w:rPr>
        <w:t xml:space="preserve">. The odds of having major vascular complications were 52% lower in the TRSA group. </w:t>
      </w:r>
      <w:r>
        <w:rPr>
          <w:rFonts w:ascii="Book Antiqua" w:eastAsia="Book Antiqua" w:hAnsi="Book Antiqua" w:cs="Book Antiqua"/>
          <w:color w:val="000000"/>
        </w:rPr>
        <w:t xml:space="preserve">Our findings are consistent with previously published </w:t>
      </w:r>
      <w:proofErr w:type="gramStart"/>
      <w:r>
        <w:rPr>
          <w:rFonts w:ascii="Book Antiqua" w:eastAsia="Book Antiqua" w:hAnsi="Book Antiqua" w:cs="Book Antiqua"/>
          <w:color w:val="000000"/>
        </w:rPr>
        <w:t>data</w:t>
      </w:r>
      <w:r w:rsidR="009A2D1D" w:rsidRPr="006D65DA">
        <w:rPr>
          <w:rFonts w:ascii="Book Antiqua" w:eastAsia="Book Antiqua" w:hAnsi="Book Antiqua" w:cs="Book Antiqua"/>
          <w:color w:val="000000"/>
          <w:vertAlign w:val="superscript"/>
        </w:rPr>
        <w:t>[</w:t>
      </w:r>
      <w:proofErr w:type="gramEnd"/>
      <w:r w:rsidR="00E4226E">
        <w:rPr>
          <w:rFonts w:ascii="Book Antiqua" w:eastAsia="Book Antiqua" w:hAnsi="Book Antiqua" w:cs="Book Antiqua"/>
          <w:color w:val="000000"/>
          <w:vertAlign w:val="superscript"/>
        </w:rPr>
        <w:t>1-10</w:t>
      </w:r>
      <w:r w:rsidR="009A2D1D" w:rsidRPr="006D65D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have also reported that </w:t>
      </w:r>
      <w:r w:rsidR="00C64EAD">
        <w:rPr>
          <w:rFonts w:ascii="Book Antiqua" w:eastAsia="Book Antiqua" w:hAnsi="Book Antiqua" w:cs="Book Antiqua"/>
          <w:color w:val="000000"/>
          <w:szCs w:val="22"/>
          <w:shd w:val="clear" w:color="auto" w:fill="FFFFFF"/>
        </w:rPr>
        <w:t>TRSA</w:t>
      </w:r>
      <w:r>
        <w:rPr>
          <w:rFonts w:ascii="Book Antiqua" w:eastAsia="Book Antiqua" w:hAnsi="Book Antiqua" w:cs="Book Antiqua"/>
          <w:color w:val="000000"/>
        </w:rPr>
        <w:t xml:space="preserve"> has lower odds of complications. </w:t>
      </w:r>
    </w:p>
    <w:p w14:paraId="1C8AAD3E" w14:textId="7F93D54C" w:rsidR="00A77B3E" w:rsidRDefault="00F34D76" w:rsidP="009A2D1D">
      <w:pPr>
        <w:spacing w:line="360" w:lineRule="auto"/>
        <w:ind w:firstLineChars="100" w:firstLine="240"/>
        <w:jc w:val="both"/>
      </w:pPr>
      <w:r>
        <w:rPr>
          <w:rFonts w:ascii="Book Antiqua" w:eastAsia="Book Antiqua" w:hAnsi="Book Antiqua" w:cs="Book Antiqua"/>
          <w:color w:val="000000"/>
          <w:szCs w:val="22"/>
        </w:rPr>
        <w:t>When TFPA alone was considered, there was no significant difference in 30-d mortality between the TRSA and TFSA groups as opposed to the APA group which showed a significant decrease in mortality in the TRSA group. The absolute mortality rates and odds ratio in the APA and TFPA cohorts were, however, comparable. This discrepancy in statistical significance can be attributed to the smaller sample size in the TFPA group. There were significantly lower odds of having a stroke or major/</w:t>
      </w:r>
      <w:r w:rsidR="009A2D1D">
        <w:rPr>
          <w:rFonts w:ascii="Book Antiqua" w:eastAsia="Book Antiqua" w:hAnsi="Book Antiqua" w:cs="Book Antiqua"/>
          <w:color w:val="000000"/>
          <w:szCs w:val="22"/>
        </w:rPr>
        <w:t>li</w:t>
      </w:r>
      <w:r>
        <w:rPr>
          <w:rFonts w:ascii="Book Antiqua" w:eastAsia="Book Antiqua" w:hAnsi="Book Antiqua" w:cs="Book Antiqua"/>
          <w:color w:val="000000"/>
          <w:szCs w:val="22"/>
        </w:rPr>
        <w:t xml:space="preserve">fe-threatening bleeding in the TRSA group compared with the TFSA group in the TFPA cohort. </w:t>
      </w:r>
    </w:p>
    <w:p w14:paraId="17891C70" w14:textId="0C935A12" w:rsidR="00A77B3E" w:rsidRDefault="00F34D76" w:rsidP="009A2D1D">
      <w:pPr>
        <w:spacing w:line="360" w:lineRule="auto"/>
        <w:ind w:firstLineChars="100" w:firstLine="240"/>
        <w:jc w:val="both"/>
      </w:pPr>
      <w:r>
        <w:rPr>
          <w:rFonts w:ascii="Book Antiqua" w:eastAsia="Book Antiqua" w:hAnsi="Book Antiqua" w:cs="Book Antiqua"/>
          <w:color w:val="000000"/>
        </w:rPr>
        <w:lastRenderedPageBreak/>
        <w:t xml:space="preserve">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access has some advantages over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access. For one,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site is more easily compressible in case of bleeding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sidR="00E4226E">
        <w:rPr>
          <w:rFonts w:ascii="Book Antiqua" w:eastAsia="Book Antiqua" w:hAnsi="Book Antiqua" w:cs="Book Antiqua"/>
          <w:color w:val="000000"/>
          <w:vertAlign w:val="superscript"/>
        </w:rPr>
        <w:t>11-</w:t>
      </w:r>
      <w:r w:rsidR="009B22D4">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also avoids the need to puncture both femoral </w:t>
      </w:r>
      <w:proofErr w:type="gramStart"/>
      <w:r>
        <w:rPr>
          <w:rFonts w:ascii="Book Antiqua" w:eastAsia="Book Antiqua" w:hAnsi="Book Antiqua" w:cs="Book Antiqua"/>
          <w:color w:val="000000"/>
        </w:rPr>
        <w:t>arteries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These advantages could lead to improved rates of vascular complications when compared with femoral secondary access. The disadvantage of radial access is that it does not allow the use of other interventional </w:t>
      </w:r>
      <w:proofErr w:type="gramStart"/>
      <w:r>
        <w:rPr>
          <w:rFonts w:ascii="Book Antiqua" w:eastAsia="Book Antiqua" w:hAnsi="Book Antiqua" w:cs="Book Antiqua"/>
          <w:color w:val="000000"/>
        </w:rPr>
        <w:t>devices</w:t>
      </w:r>
      <w:r>
        <w:rPr>
          <w:rFonts w:ascii="Book Antiqua" w:eastAsia="Book Antiqua" w:hAnsi="Book Antiqua" w:cs="Book Antiqua"/>
          <w:color w:val="000000"/>
          <w:vertAlign w:val="superscript"/>
        </w:rPr>
        <w:t>[</w:t>
      </w:r>
      <w:proofErr w:type="gramEnd"/>
      <w:r w:rsidR="00E4226E">
        <w:rPr>
          <w:rFonts w:ascii="Book Antiqua" w:eastAsia="Book Antiqua" w:hAnsi="Book Antiqua" w:cs="Book Antiqua"/>
          <w:color w:val="000000"/>
          <w:vertAlign w:val="superscript"/>
        </w:rPr>
        <w:t>11</w:t>
      </w:r>
      <w:r w:rsidR="009B22D4">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Some other challenges include difficulty navigating in case of anatomical variations and the possibility of developing radial artery occlusion with larger catheter diameters.</w:t>
      </w:r>
    </w:p>
    <w:p w14:paraId="6D0E4A3B" w14:textId="49724F50" w:rsidR="00A77B3E" w:rsidRDefault="00F34D76" w:rsidP="009A2D1D">
      <w:pPr>
        <w:spacing w:line="360" w:lineRule="auto"/>
        <w:ind w:firstLineChars="100" w:firstLine="240"/>
        <w:jc w:val="both"/>
      </w:pPr>
      <w:r>
        <w:rPr>
          <w:rFonts w:ascii="Book Antiqua" w:eastAsia="Book Antiqua" w:hAnsi="Book Antiqua" w:cs="Book Antiqua"/>
          <w:color w:val="000000"/>
          <w:szCs w:val="22"/>
        </w:rPr>
        <w:t>This review has several limitations. One major limitation of this meta-analysis is that all studies included were non-randomized. No randomized studies on this topic have been published yet. Hence there is high risk for selection bias. Risk adjustment or propensity score-matching was done in some studies. Two studies did not report on risk adjustment or matching in their study, hence there is a possibility of differences in their study populations. Moreover, unmeasured confounders cannot be accounted for. To improve confidence in the results, subgroup analysis was done only if data were reported in at least four studies. On another note, there was no uniformity in the type of primary access among studies. Few studies reported outcomes in the TFPA subgroup. This was a small fraction of the overall study population and results were mostly similar to APA results. Lastly, the presence of a learning curve should be considered, with the assumption that complication rates improve with experience. Due to the novelty of the procedure when initially adapted in some of these studies, one could assume that complications were more likely to occur in the early phase of implementing this procedure. In experienced operators, complication rates would likely be lower. This could skew the study results accordingly, especially if radial secondary access was adopted later in institutional experience.</w:t>
      </w:r>
    </w:p>
    <w:p w14:paraId="5842A256" w14:textId="77777777" w:rsidR="00A77B3E" w:rsidRDefault="00A77B3E">
      <w:pPr>
        <w:spacing w:line="360" w:lineRule="auto"/>
        <w:jc w:val="both"/>
      </w:pPr>
    </w:p>
    <w:p w14:paraId="0F5A9330" w14:textId="77777777" w:rsidR="00A77B3E" w:rsidRDefault="00F34D76">
      <w:pPr>
        <w:spacing w:line="360" w:lineRule="auto"/>
        <w:jc w:val="both"/>
      </w:pPr>
      <w:r>
        <w:rPr>
          <w:rFonts w:ascii="Book Antiqua" w:eastAsia="Book Antiqua" w:hAnsi="Book Antiqua" w:cs="Book Antiqua"/>
          <w:b/>
          <w:caps/>
          <w:color w:val="000000"/>
          <w:u w:val="single"/>
        </w:rPr>
        <w:t>CONCLUSION</w:t>
      </w:r>
    </w:p>
    <w:p w14:paraId="20CD5907" w14:textId="29111EA5" w:rsidR="00A77B3E" w:rsidRDefault="00F34D76">
      <w:pPr>
        <w:spacing w:line="360" w:lineRule="auto"/>
        <w:jc w:val="both"/>
      </w:pPr>
      <w:r>
        <w:rPr>
          <w:rFonts w:ascii="Book Antiqua" w:eastAsia="Book Antiqua" w:hAnsi="Book Antiqua" w:cs="Book Antiqua"/>
          <w:color w:val="000000"/>
          <w:szCs w:val="22"/>
        </w:rPr>
        <w:t xml:space="preserve">In patients undergoing </w:t>
      </w:r>
      <w:proofErr w:type="spellStart"/>
      <w:r>
        <w:rPr>
          <w:rFonts w:ascii="Book Antiqua" w:eastAsia="Book Antiqua" w:hAnsi="Book Antiqua" w:cs="Book Antiqua"/>
          <w:color w:val="000000"/>
          <w:szCs w:val="22"/>
        </w:rPr>
        <w:t>transcatheter</w:t>
      </w:r>
      <w:proofErr w:type="spellEnd"/>
      <w:r>
        <w:rPr>
          <w:rFonts w:ascii="Book Antiqua" w:eastAsia="Book Antiqua" w:hAnsi="Book Antiqua" w:cs="Book Antiqua"/>
          <w:color w:val="000000"/>
          <w:szCs w:val="22"/>
        </w:rPr>
        <w:t xml:space="preserve"> aortic valve implantation (TAVI), irrespective of primary access, those who underwent TRSA had lower complication rates than those </w:t>
      </w:r>
      <w:r>
        <w:rPr>
          <w:rFonts w:ascii="Book Antiqua" w:eastAsia="Book Antiqua" w:hAnsi="Book Antiqua" w:cs="Book Antiqua"/>
          <w:color w:val="000000"/>
          <w:szCs w:val="22"/>
        </w:rPr>
        <w:lastRenderedPageBreak/>
        <w:t xml:space="preserve">who underwent TFSA. In the absence of contraindications, a </w:t>
      </w:r>
      <w:proofErr w:type="spellStart"/>
      <w:r>
        <w:rPr>
          <w:rFonts w:ascii="Book Antiqua" w:eastAsia="Book Antiqua" w:hAnsi="Book Antiqua" w:cs="Book Antiqua"/>
          <w:color w:val="000000"/>
          <w:szCs w:val="22"/>
        </w:rPr>
        <w:t>transradial</w:t>
      </w:r>
      <w:proofErr w:type="spellEnd"/>
      <w:r>
        <w:rPr>
          <w:rFonts w:ascii="Book Antiqua" w:eastAsia="Book Antiqua" w:hAnsi="Book Antiqua" w:cs="Book Antiqua"/>
          <w:color w:val="000000"/>
          <w:szCs w:val="22"/>
        </w:rPr>
        <w:t xml:space="preserve"> approach for secondary access seems preferable in TAVI procedures. Confirmation by randomized controlled studies of TAVI procedures stratified by primary access site would be useful to adjust for primary access while comparing secondary access-related outcomes.</w:t>
      </w:r>
    </w:p>
    <w:p w14:paraId="00DD2B0D" w14:textId="77777777" w:rsidR="00A77B3E" w:rsidRDefault="00A77B3E">
      <w:pPr>
        <w:spacing w:line="360" w:lineRule="auto"/>
        <w:jc w:val="both"/>
      </w:pPr>
    </w:p>
    <w:p w14:paraId="3FC94C77" w14:textId="77777777" w:rsidR="00A77B3E" w:rsidRDefault="00F34D76">
      <w:pPr>
        <w:spacing w:line="360" w:lineRule="auto"/>
        <w:jc w:val="both"/>
      </w:pPr>
      <w:r>
        <w:rPr>
          <w:rFonts w:ascii="Book Antiqua" w:eastAsia="Book Antiqua" w:hAnsi="Book Antiqua" w:cs="Book Antiqua"/>
          <w:b/>
          <w:caps/>
          <w:color w:val="000000"/>
          <w:u w:val="single"/>
        </w:rPr>
        <w:t>ARTICLE HIGHLIGHTS</w:t>
      </w:r>
    </w:p>
    <w:p w14:paraId="28875AA8" w14:textId="77777777" w:rsidR="00A77B3E" w:rsidRDefault="00F34D76">
      <w:pPr>
        <w:spacing w:line="360" w:lineRule="auto"/>
        <w:jc w:val="both"/>
      </w:pPr>
      <w:r>
        <w:rPr>
          <w:rFonts w:ascii="Book Antiqua" w:eastAsia="Book Antiqua" w:hAnsi="Book Antiqua" w:cs="Book Antiqua"/>
          <w:b/>
          <w:i/>
          <w:color w:val="000000"/>
        </w:rPr>
        <w:t>Research background</w:t>
      </w:r>
    </w:p>
    <w:p w14:paraId="6BADB3C6" w14:textId="15EF96D4" w:rsidR="00A77B3E" w:rsidRDefault="00F34D76">
      <w:pPr>
        <w:spacing w:line="360" w:lineRule="auto"/>
        <w:jc w:val="both"/>
      </w:pPr>
      <w:r>
        <w:rPr>
          <w:rFonts w:ascii="Book Antiqua" w:eastAsia="Book Antiqua" w:hAnsi="Book Antiqua" w:cs="Book Antiqua"/>
          <w:color w:val="000000"/>
          <w:szCs w:val="22"/>
        </w:rPr>
        <w:t xml:space="preserve">Complications of </w:t>
      </w:r>
      <w:proofErr w:type="spellStart"/>
      <w:r>
        <w:rPr>
          <w:rFonts w:ascii="Book Antiqua" w:eastAsia="Book Antiqua" w:hAnsi="Book Antiqua" w:cs="Book Antiqua"/>
          <w:color w:val="000000"/>
          <w:szCs w:val="22"/>
        </w:rPr>
        <w:t>transcatheter</w:t>
      </w:r>
      <w:proofErr w:type="spellEnd"/>
      <w:r>
        <w:rPr>
          <w:rFonts w:ascii="Book Antiqua" w:eastAsia="Book Antiqua" w:hAnsi="Book Antiqua" w:cs="Book Antiqua"/>
          <w:color w:val="000000"/>
          <w:szCs w:val="22"/>
        </w:rPr>
        <w:t xml:space="preserve"> aortic valve implantation (TAVI) procedures include bleeding, vascular complications, and strokes. These complications are often associated with the type of access used. Access can be primary or secondary. Few studies have been published on the effect of secondary access on outcomes.</w:t>
      </w:r>
    </w:p>
    <w:p w14:paraId="01D69D7B" w14:textId="77777777" w:rsidR="00A77B3E" w:rsidRDefault="00A77B3E">
      <w:pPr>
        <w:spacing w:line="360" w:lineRule="auto"/>
        <w:jc w:val="both"/>
      </w:pPr>
    </w:p>
    <w:p w14:paraId="2164368D" w14:textId="77777777" w:rsidR="00A77B3E" w:rsidRDefault="00F34D76">
      <w:pPr>
        <w:spacing w:line="360" w:lineRule="auto"/>
        <w:jc w:val="both"/>
      </w:pPr>
      <w:r>
        <w:rPr>
          <w:rFonts w:ascii="Book Antiqua" w:eastAsia="Book Antiqua" w:hAnsi="Book Antiqua" w:cs="Book Antiqua"/>
          <w:b/>
          <w:i/>
          <w:color w:val="000000"/>
        </w:rPr>
        <w:t>Research motivation</w:t>
      </w:r>
    </w:p>
    <w:p w14:paraId="1C8D81EA" w14:textId="2379EFD3" w:rsidR="00A77B3E" w:rsidRDefault="00F34D76">
      <w:pPr>
        <w:spacing w:line="360" w:lineRule="auto"/>
        <w:jc w:val="both"/>
      </w:pPr>
      <w:r>
        <w:rPr>
          <w:rFonts w:ascii="Book Antiqua" w:eastAsia="Book Antiqua" w:hAnsi="Book Antiqua" w:cs="Book Antiqua"/>
          <w:color w:val="000000"/>
          <w:szCs w:val="22"/>
        </w:rPr>
        <w:t xml:space="preserve">The objective of this meta-analysis is to investigate if </w:t>
      </w:r>
      <w:proofErr w:type="spellStart"/>
      <w:r>
        <w:rPr>
          <w:rFonts w:ascii="Book Antiqua" w:eastAsia="Book Antiqua" w:hAnsi="Book Antiqua" w:cs="Book Antiqua"/>
          <w:color w:val="000000"/>
          <w:szCs w:val="22"/>
        </w:rPr>
        <w:t>transradial</w:t>
      </w:r>
      <w:proofErr w:type="spellEnd"/>
      <w:r>
        <w:rPr>
          <w:rFonts w:ascii="Book Antiqua" w:eastAsia="Book Antiqua" w:hAnsi="Book Antiqua" w:cs="Book Antiqua"/>
          <w:color w:val="000000"/>
          <w:szCs w:val="22"/>
        </w:rPr>
        <w:t xml:space="preserve"> secondary access </w:t>
      </w:r>
      <w:r w:rsidR="00C64EAD">
        <w:rPr>
          <w:rFonts w:ascii="Book Antiqua" w:eastAsia="Book Antiqua" w:hAnsi="Book Antiqua" w:cs="Book Antiqua"/>
          <w:color w:val="000000"/>
          <w:szCs w:val="22"/>
        </w:rPr>
        <w:t>(</w:t>
      </w:r>
      <w:r w:rsidR="00C64EAD">
        <w:rPr>
          <w:rFonts w:ascii="Book Antiqua" w:eastAsia="Book Antiqua" w:hAnsi="Book Antiqua" w:cs="Book Antiqua"/>
          <w:color w:val="000000"/>
          <w:szCs w:val="22"/>
          <w:shd w:val="clear" w:color="auto" w:fill="FFFFFF"/>
        </w:rPr>
        <w:t>TRSA</w:t>
      </w:r>
      <w:r w:rsidR="00C64E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has fewer complications than </w:t>
      </w:r>
      <w:proofErr w:type="spellStart"/>
      <w:r>
        <w:rPr>
          <w:rFonts w:ascii="Book Antiqua" w:eastAsia="Book Antiqua" w:hAnsi="Book Antiqua" w:cs="Book Antiqua"/>
          <w:color w:val="000000"/>
          <w:szCs w:val="22"/>
        </w:rPr>
        <w:t>transfemoral</w:t>
      </w:r>
      <w:proofErr w:type="spellEnd"/>
      <w:r>
        <w:rPr>
          <w:rFonts w:ascii="Book Antiqua" w:eastAsia="Book Antiqua" w:hAnsi="Book Antiqua" w:cs="Book Antiqua"/>
          <w:color w:val="000000"/>
          <w:szCs w:val="22"/>
        </w:rPr>
        <w:t xml:space="preserve"> or vice versa, with the hope of reducing complications in TAVI procedures related to access.</w:t>
      </w:r>
    </w:p>
    <w:p w14:paraId="7BBDAB72" w14:textId="77777777" w:rsidR="00A77B3E" w:rsidRDefault="00A77B3E">
      <w:pPr>
        <w:spacing w:line="360" w:lineRule="auto"/>
        <w:jc w:val="both"/>
      </w:pPr>
    </w:p>
    <w:p w14:paraId="36673285" w14:textId="77777777" w:rsidR="00A77B3E" w:rsidRDefault="00F34D76">
      <w:pPr>
        <w:spacing w:line="360" w:lineRule="auto"/>
        <w:jc w:val="both"/>
      </w:pPr>
      <w:r>
        <w:rPr>
          <w:rFonts w:ascii="Book Antiqua" w:eastAsia="Book Antiqua" w:hAnsi="Book Antiqua" w:cs="Book Antiqua"/>
          <w:b/>
          <w:i/>
          <w:color w:val="000000"/>
        </w:rPr>
        <w:t>Research objectives</w:t>
      </w:r>
    </w:p>
    <w:p w14:paraId="3009E6C5" w14:textId="43B12402" w:rsidR="00A77B3E" w:rsidRDefault="00F34D76">
      <w:pPr>
        <w:spacing w:line="360" w:lineRule="auto"/>
        <w:jc w:val="both"/>
      </w:pPr>
      <w:r>
        <w:rPr>
          <w:rFonts w:ascii="Book Antiqua" w:eastAsia="Book Antiqua" w:hAnsi="Book Antiqua" w:cs="Book Antiqua"/>
          <w:color w:val="000000"/>
          <w:szCs w:val="22"/>
        </w:rPr>
        <w:t xml:space="preserve">This systematic review aims to compare outcomes between </w:t>
      </w:r>
      <w:proofErr w:type="spellStart"/>
      <w:r>
        <w:rPr>
          <w:rFonts w:ascii="Book Antiqua" w:eastAsia="Book Antiqua" w:hAnsi="Book Antiqua" w:cs="Book Antiqua"/>
          <w:color w:val="000000"/>
          <w:szCs w:val="22"/>
        </w:rPr>
        <w:t>transradial</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transfemoral</w:t>
      </w:r>
      <w:proofErr w:type="spellEnd"/>
      <w:r>
        <w:rPr>
          <w:rFonts w:ascii="Book Antiqua" w:eastAsia="Book Antiqua" w:hAnsi="Book Antiqua" w:cs="Book Antiqua"/>
          <w:color w:val="000000"/>
          <w:szCs w:val="22"/>
        </w:rPr>
        <w:t xml:space="preserve"> secondary access</w:t>
      </w:r>
      <w:r w:rsidR="00C64EAD">
        <w:rPr>
          <w:rFonts w:ascii="Book Antiqua" w:eastAsia="Book Antiqua" w:hAnsi="Book Antiqua" w:cs="Book Antiqua"/>
          <w:color w:val="000000"/>
          <w:szCs w:val="22"/>
        </w:rPr>
        <w:t xml:space="preserve"> (</w:t>
      </w:r>
      <w:r w:rsidR="00C64EAD">
        <w:rPr>
          <w:rFonts w:ascii="Book Antiqua" w:eastAsia="Book Antiqua" w:hAnsi="Book Antiqua" w:cs="Book Antiqua"/>
          <w:color w:val="000000"/>
          <w:szCs w:val="22"/>
          <w:shd w:val="clear" w:color="auto" w:fill="FFFFFF"/>
        </w:rPr>
        <w:t>TFSA)</w:t>
      </w:r>
      <w:r>
        <w:rPr>
          <w:rFonts w:ascii="Book Antiqua" w:eastAsia="Book Antiqua" w:hAnsi="Book Antiqua" w:cs="Book Antiqua"/>
          <w:color w:val="000000"/>
          <w:szCs w:val="22"/>
        </w:rPr>
        <w:t>.</w:t>
      </w:r>
    </w:p>
    <w:p w14:paraId="06E6CDDD" w14:textId="77777777" w:rsidR="00A77B3E" w:rsidRDefault="00A77B3E">
      <w:pPr>
        <w:spacing w:line="360" w:lineRule="auto"/>
        <w:jc w:val="both"/>
      </w:pPr>
    </w:p>
    <w:p w14:paraId="5F7456E6" w14:textId="77777777" w:rsidR="00A77B3E" w:rsidRDefault="00F34D76">
      <w:pPr>
        <w:spacing w:line="360" w:lineRule="auto"/>
        <w:jc w:val="both"/>
      </w:pPr>
      <w:r>
        <w:rPr>
          <w:rFonts w:ascii="Book Antiqua" w:eastAsia="Book Antiqua" w:hAnsi="Book Antiqua" w:cs="Book Antiqua"/>
          <w:b/>
          <w:i/>
          <w:color w:val="000000"/>
        </w:rPr>
        <w:t>Research methods</w:t>
      </w:r>
    </w:p>
    <w:p w14:paraId="0D369790" w14:textId="10D15FA2" w:rsidR="00A77B3E" w:rsidRDefault="00F34D76">
      <w:pPr>
        <w:spacing w:line="360" w:lineRule="auto"/>
        <w:jc w:val="both"/>
      </w:pPr>
      <w:r>
        <w:rPr>
          <w:rFonts w:ascii="Book Antiqua" w:eastAsia="Book Antiqua" w:hAnsi="Book Antiqua" w:cs="Book Antiqua"/>
          <w:color w:val="000000"/>
          <w:szCs w:val="22"/>
        </w:rPr>
        <w:t>A systematic search was conducted using major databases (EMBASE, PubMed, Cochrane Central, Google Scholar), which resulted in 5 studies that met criteria for study selection. Outcomes of interest were 30-d rates each of major/</w:t>
      </w:r>
      <w:r w:rsidR="00044D1A">
        <w:rPr>
          <w:rFonts w:ascii="Book Antiqua" w:eastAsia="Book Antiqua" w:hAnsi="Book Antiqua" w:cs="Book Antiqua"/>
          <w:color w:val="000000"/>
          <w:szCs w:val="22"/>
        </w:rPr>
        <w:t>l</w:t>
      </w:r>
      <w:r>
        <w:rPr>
          <w:rFonts w:ascii="Book Antiqua" w:eastAsia="Book Antiqua" w:hAnsi="Book Antiqua" w:cs="Book Antiqua"/>
          <w:color w:val="000000"/>
          <w:szCs w:val="22"/>
        </w:rPr>
        <w:t>ife-threatening bleeding, vascular complications, strokes, and mortality. All 5 studies were observational. Adjusted or matched data were used if reported.</w:t>
      </w:r>
    </w:p>
    <w:p w14:paraId="02613945" w14:textId="77777777" w:rsidR="00A77B3E" w:rsidRDefault="00A77B3E">
      <w:pPr>
        <w:spacing w:line="360" w:lineRule="auto"/>
        <w:jc w:val="both"/>
      </w:pPr>
    </w:p>
    <w:p w14:paraId="66DECA41" w14:textId="77777777" w:rsidR="00A77B3E" w:rsidRDefault="00F34D76">
      <w:pPr>
        <w:spacing w:line="360" w:lineRule="auto"/>
        <w:jc w:val="both"/>
      </w:pPr>
      <w:r>
        <w:rPr>
          <w:rFonts w:ascii="Book Antiqua" w:eastAsia="Book Antiqua" w:hAnsi="Book Antiqua" w:cs="Book Antiqua"/>
          <w:b/>
          <w:i/>
          <w:color w:val="000000"/>
        </w:rPr>
        <w:t>Research results</w:t>
      </w:r>
    </w:p>
    <w:p w14:paraId="0C0216AE" w14:textId="7DF0DE11" w:rsidR="00A77B3E" w:rsidRDefault="00F34D76">
      <w:pPr>
        <w:spacing w:line="360" w:lineRule="auto"/>
        <w:jc w:val="both"/>
      </w:pPr>
      <w:r>
        <w:rPr>
          <w:rFonts w:ascii="Book Antiqua" w:eastAsia="Book Antiqua" w:hAnsi="Book Antiqua" w:cs="Book Antiqua"/>
          <w:color w:val="000000"/>
          <w:szCs w:val="22"/>
        </w:rPr>
        <w:lastRenderedPageBreak/>
        <w:t xml:space="preserve">A total of </w:t>
      </w:r>
      <w:r>
        <w:rPr>
          <w:rFonts w:ascii="Book Antiqua" w:eastAsia="Book Antiqua" w:hAnsi="Book Antiqua" w:cs="Book Antiqua"/>
          <w:color w:val="000000"/>
          <w:szCs w:val="22"/>
          <w:shd w:val="clear" w:color="auto" w:fill="FFFFFF"/>
        </w:rPr>
        <w:t xml:space="preserve">5065 patients underwent TAVI, with 1453 patients (28.7%) having undergone TRSA and 3612 patients (71.3%) </w:t>
      </w:r>
      <w:proofErr w:type="gramStart"/>
      <w:r>
        <w:rPr>
          <w:rFonts w:ascii="Book Antiqua" w:eastAsia="Book Antiqua" w:hAnsi="Book Antiqua" w:cs="Book Antiqua"/>
          <w:color w:val="000000"/>
          <w:szCs w:val="22"/>
          <w:shd w:val="clear" w:color="auto" w:fill="FFFFFF"/>
        </w:rPr>
        <w:t>TFSA.</w:t>
      </w:r>
      <w:proofErr w:type="gramEnd"/>
      <w:r>
        <w:rPr>
          <w:rFonts w:ascii="Book Antiqua" w:eastAsia="Book Antiqua" w:hAnsi="Book Antiqua" w:cs="Book Antiqua"/>
          <w:color w:val="000000"/>
          <w:szCs w:val="22"/>
          <w:shd w:val="clear" w:color="auto" w:fill="FFFFFF"/>
        </w:rPr>
        <w:t xml:space="preserve"> Irrespective of the site of primary access, </w:t>
      </w:r>
      <w:r>
        <w:rPr>
          <w:rFonts w:ascii="Book Antiqua" w:eastAsia="Book Antiqua" w:hAnsi="Book Antiqua" w:cs="Book Antiqua"/>
          <w:color w:val="000000"/>
          <w:szCs w:val="22"/>
        </w:rPr>
        <w:t>the odds of having major or life-threatening bleeding were 60% lower in the TRSA group than the TFSA group (</w:t>
      </w:r>
      <w:r w:rsidR="00044D1A" w:rsidRPr="006D65DA">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0.00001)</w:t>
      </w:r>
      <w:r>
        <w:rPr>
          <w:rFonts w:ascii="Book Antiqua" w:eastAsia="Book Antiqua" w:hAnsi="Book Antiqua" w:cs="Book Antiqua"/>
          <w:color w:val="000000"/>
          <w:szCs w:val="22"/>
          <w:shd w:val="clear" w:color="auto" w:fill="FFFFFF"/>
        </w:rPr>
        <w:t>. The odds of having major vascular complications were 52% lower in the TRSA group (</w:t>
      </w:r>
      <w:r w:rsidR="00044D1A" w:rsidRPr="006D65DA">
        <w:rPr>
          <w:rFonts w:ascii="Book Antiqua" w:eastAsia="Book Antiqua" w:hAnsi="Book Antiqua" w:cs="Book Antiqua"/>
          <w:i/>
          <w:iCs/>
          <w:color w:val="000000"/>
          <w:szCs w:val="22"/>
          <w:shd w:val="clear" w:color="auto" w:fill="FFFFFF"/>
        </w:rPr>
        <w:t>P</w:t>
      </w:r>
      <w:r>
        <w:rPr>
          <w:rFonts w:ascii="Book Antiqua" w:eastAsia="Book Antiqua" w:hAnsi="Book Antiqua" w:cs="Book Antiqua"/>
          <w:color w:val="000000"/>
          <w:szCs w:val="22"/>
          <w:shd w:val="clear" w:color="auto" w:fill="FFFFFF"/>
        </w:rPr>
        <w:t xml:space="preserve"> &lt; 0.0001) with no difference in minor vascular complications between the 2 groups. Similarly, the odds of mortality in 30d after the procedure were 41%</w:t>
      </w:r>
      <w:r>
        <w:rPr>
          <w:rFonts w:ascii="Book Antiqua" w:eastAsia="Book Antiqua" w:hAnsi="Book Antiqua" w:cs="Book Antiqua"/>
          <w:color w:val="000000"/>
          <w:szCs w:val="22"/>
        </w:rPr>
        <w:t xml:space="preserve"> lower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0.006) and the odds of stroke were 54% lower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in the TRSA group than the TFSA group.</w:t>
      </w:r>
    </w:p>
    <w:p w14:paraId="472CCD61" w14:textId="77777777" w:rsidR="00A77B3E" w:rsidRDefault="00A77B3E">
      <w:pPr>
        <w:spacing w:line="360" w:lineRule="auto"/>
        <w:jc w:val="both"/>
      </w:pPr>
    </w:p>
    <w:p w14:paraId="1CCFD69C" w14:textId="77777777" w:rsidR="00A77B3E" w:rsidRDefault="00F34D76">
      <w:pPr>
        <w:spacing w:line="360" w:lineRule="auto"/>
        <w:jc w:val="both"/>
      </w:pPr>
      <w:r>
        <w:rPr>
          <w:rFonts w:ascii="Book Antiqua" w:eastAsia="Book Antiqua" w:hAnsi="Book Antiqua" w:cs="Book Antiqua"/>
          <w:b/>
          <w:i/>
          <w:color w:val="000000"/>
        </w:rPr>
        <w:t>Research conclusions</w:t>
      </w:r>
    </w:p>
    <w:p w14:paraId="6C68E660" w14:textId="1C84342E" w:rsidR="00A77B3E" w:rsidRDefault="00C64EAD">
      <w:pPr>
        <w:spacing w:line="360" w:lineRule="auto"/>
        <w:jc w:val="both"/>
      </w:pPr>
      <w:r>
        <w:rPr>
          <w:rFonts w:ascii="Book Antiqua" w:eastAsia="Book Antiqua" w:hAnsi="Book Antiqua" w:cs="Book Antiqua"/>
          <w:color w:val="000000"/>
          <w:szCs w:val="22"/>
          <w:shd w:val="clear" w:color="auto" w:fill="FFFFFF"/>
        </w:rPr>
        <w:t>TRSA</w:t>
      </w:r>
      <w:r w:rsidR="00F34D76">
        <w:rPr>
          <w:rFonts w:ascii="Book Antiqua" w:eastAsia="Book Antiqua" w:hAnsi="Book Antiqua" w:cs="Book Antiqua"/>
          <w:color w:val="000000"/>
          <w:szCs w:val="22"/>
        </w:rPr>
        <w:t xml:space="preserve"> appears to be a safer alternative to the </w:t>
      </w:r>
      <w:r w:rsidR="003E3254">
        <w:rPr>
          <w:rFonts w:ascii="Book Antiqua" w:eastAsia="Book Antiqua" w:hAnsi="Book Antiqua" w:cs="Book Antiqua"/>
          <w:color w:val="000000"/>
          <w:szCs w:val="22"/>
        </w:rPr>
        <w:t>TFSA</w:t>
      </w:r>
      <w:r w:rsidR="00F34D76">
        <w:rPr>
          <w:rFonts w:ascii="Book Antiqua" w:eastAsia="Book Antiqua" w:hAnsi="Book Antiqua" w:cs="Book Antiqua"/>
          <w:color w:val="000000"/>
          <w:szCs w:val="22"/>
        </w:rPr>
        <w:t xml:space="preserve"> in TAVI procedures.</w:t>
      </w:r>
    </w:p>
    <w:p w14:paraId="0F5AEA90" w14:textId="77777777" w:rsidR="00A77B3E" w:rsidRDefault="00A77B3E">
      <w:pPr>
        <w:spacing w:line="360" w:lineRule="auto"/>
        <w:jc w:val="both"/>
      </w:pPr>
    </w:p>
    <w:p w14:paraId="2DE54931" w14:textId="77777777" w:rsidR="00A77B3E" w:rsidRDefault="00F34D76">
      <w:pPr>
        <w:spacing w:line="360" w:lineRule="auto"/>
        <w:jc w:val="both"/>
      </w:pPr>
      <w:r>
        <w:rPr>
          <w:rFonts w:ascii="Book Antiqua" w:eastAsia="Book Antiqua" w:hAnsi="Book Antiqua" w:cs="Book Antiqua"/>
          <w:b/>
          <w:i/>
          <w:color w:val="000000"/>
        </w:rPr>
        <w:t>Research perspectives</w:t>
      </w:r>
    </w:p>
    <w:p w14:paraId="50359D17" w14:textId="77777777" w:rsidR="00A77B3E" w:rsidRDefault="00F34D76">
      <w:pPr>
        <w:spacing w:line="360" w:lineRule="auto"/>
        <w:jc w:val="both"/>
      </w:pPr>
      <w:r>
        <w:rPr>
          <w:rFonts w:ascii="Book Antiqua" w:eastAsia="Book Antiqua" w:hAnsi="Book Antiqua" w:cs="Book Antiqua"/>
          <w:color w:val="000000"/>
          <w:szCs w:val="22"/>
        </w:rPr>
        <w:t xml:space="preserve">Our findings need to be confirmed in randomized clinical trials, which should minimize selection bias and both measured and unmeasured confounding. </w:t>
      </w:r>
    </w:p>
    <w:p w14:paraId="33D84F5A" w14:textId="77777777" w:rsidR="00A77B3E" w:rsidRDefault="00A77B3E">
      <w:pPr>
        <w:spacing w:line="360" w:lineRule="auto"/>
        <w:jc w:val="both"/>
      </w:pPr>
    </w:p>
    <w:p w14:paraId="0C68FAED" w14:textId="77777777" w:rsidR="00A77B3E" w:rsidRDefault="00F34D76">
      <w:pPr>
        <w:spacing w:line="360" w:lineRule="auto"/>
        <w:jc w:val="both"/>
      </w:pPr>
      <w:r>
        <w:rPr>
          <w:rFonts w:ascii="Book Antiqua" w:eastAsia="Book Antiqua" w:hAnsi="Book Antiqua" w:cs="Book Antiqua"/>
          <w:b/>
          <w:caps/>
          <w:color w:val="000000"/>
          <w:u w:val="single"/>
        </w:rPr>
        <w:t>ACKNOWLEDGEMENTS</w:t>
      </w:r>
    </w:p>
    <w:p w14:paraId="326F17A9" w14:textId="06B23DA8" w:rsidR="00A77B3E" w:rsidRDefault="00F34D76">
      <w:pPr>
        <w:spacing w:line="360" w:lineRule="auto"/>
        <w:jc w:val="both"/>
      </w:pPr>
      <w:r>
        <w:rPr>
          <w:rFonts w:ascii="Book Antiqua" w:eastAsia="Book Antiqua" w:hAnsi="Book Antiqua" w:cs="Book Antiqua"/>
          <w:color w:val="000000"/>
          <w:szCs w:val="22"/>
        </w:rPr>
        <w:t xml:space="preserve">The authors are grateful for the assistance of </w:t>
      </w:r>
      <w:proofErr w:type="spellStart"/>
      <w:r>
        <w:rPr>
          <w:rFonts w:ascii="Book Antiqua" w:eastAsia="Book Antiqua" w:hAnsi="Book Antiqua" w:cs="Book Antiqua"/>
          <w:color w:val="000000"/>
          <w:szCs w:val="22"/>
        </w:rPr>
        <w:t>Darmoch</w:t>
      </w:r>
      <w:proofErr w:type="spellEnd"/>
      <w:r w:rsidR="00044D1A">
        <w:rPr>
          <w:rFonts w:ascii="Book Antiqua" w:eastAsia="Book Antiqua" w:hAnsi="Book Antiqua" w:cs="Book Antiqua"/>
          <w:color w:val="000000"/>
          <w:szCs w:val="22"/>
        </w:rPr>
        <w:t xml:space="preserve"> F</w:t>
      </w:r>
      <w:r>
        <w:rPr>
          <w:rFonts w:ascii="Book Antiqua" w:eastAsia="Book Antiqua" w:hAnsi="Book Antiqua" w:cs="Book Antiqua"/>
          <w:color w:val="000000"/>
          <w:szCs w:val="22"/>
        </w:rPr>
        <w:t>, MD, in conducting the literature search.</w:t>
      </w:r>
    </w:p>
    <w:p w14:paraId="6AEB85C2" w14:textId="77777777" w:rsidR="00A77B3E" w:rsidRDefault="00A77B3E">
      <w:pPr>
        <w:spacing w:line="360" w:lineRule="auto"/>
        <w:jc w:val="both"/>
      </w:pPr>
    </w:p>
    <w:p w14:paraId="68775BBC" w14:textId="77777777" w:rsidR="00A77B3E" w:rsidRDefault="00F34D76">
      <w:pPr>
        <w:spacing w:line="360" w:lineRule="auto"/>
        <w:jc w:val="both"/>
      </w:pPr>
      <w:r>
        <w:rPr>
          <w:rFonts w:ascii="Book Antiqua" w:eastAsia="Book Antiqua" w:hAnsi="Book Antiqua" w:cs="Book Antiqua"/>
          <w:b/>
          <w:color w:val="000000"/>
        </w:rPr>
        <w:t>REFERENCES</w:t>
      </w:r>
    </w:p>
    <w:p w14:paraId="460729AB" w14:textId="77777777" w:rsidR="00A77B3E" w:rsidRDefault="00F34D7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Wynne DG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Rampat</w:t>
      </w:r>
      <w:proofErr w:type="spellEnd"/>
      <w:r>
        <w:rPr>
          <w:rFonts w:ascii="Book Antiqua" w:eastAsia="Book Antiqua" w:hAnsi="Book Antiqua" w:cs="Book Antiqua"/>
          <w:color w:val="000000"/>
        </w:rPr>
        <w:t xml:space="preserve"> R, Trivedi U, de </w:t>
      </w:r>
      <w:proofErr w:type="spellStart"/>
      <w:r>
        <w:rPr>
          <w:rFonts w:ascii="Book Antiqua" w:eastAsia="Book Antiqua" w:hAnsi="Book Antiqua" w:cs="Book Antiqua"/>
          <w:color w:val="000000"/>
        </w:rPr>
        <w:t>Belder</w:t>
      </w:r>
      <w:proofErr w:type="spellEnd"/>
      <w:r>
        <w:rPr>
          <w:rFonts w:ascii="Book Antiqua" w:eastAsia="Book Antiqua" w:hAnsi="Book Antiqua" w:cs="Book Antiqua"/>
          <w:color w:val="000000"/>
        </w:rPr>
        <w:t xml:space="preserve"> A, Hill A, Hutchinson N, </w:t>
      </w:r>
      <w:proofErr w:type="spellStart"/>
      <w:r>
        <w:rPr>
          <w:rFonts w:ascii="Book Antiqua" w:eastAsia="Book Antiqua" w:hAnsi="Book Antiqua" w:cs="Book Antiqua"/>
          <w:color w:val="000000"/>
        </w:rPr>
        <w:t>Hildick</w:t>
      </w:r>
      <w:proofErr w:type="spellEnd"/>
      <w:r>
        <w:rPr>
          <w:rFonts w:ascii="Book Antiqua" w:eastAsia="Book Antiqua" w:hAnsi="Book Antiqua" w:cs="Book Antiqua"/>
          <w:color w:val="000000"/>
        </w:rPr>
        <w:t xml:space="preserve">-Smith D.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Secondary Arterial Access for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Aortic Valve Implantation: Experience and Limitations. </w:t>
      </w:r>
      <w:r>
        <w:rPr>
          <w:rFonts w:ascii="Book Antiqua" w:eastAsia="Book Antiqua" w:hAnsi="Book Antiqua" w:cs="Book Antiqua"/>
          <w:i/>
          <w:iCs/>
          <w:color w:val="000000"/>
        </w:rPr>
        <w:t xml:space="preserve">Heart Lung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682-685 [PMID: 25637250 DOI: 10.1016/j.hlc.2014.12.011]</w:t>
      </w:r>
    </w:p>
    <w:p w14:paraId="1BD64DF4" w14:textId="77777777" w:rsidR="00A77B3E" w:rsidRDefault="00F34D7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Junquera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Urena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Muñoz-Garcia A, </w:t>
      </w:r>
      <w:proofErr w:type="spellStart"/>
      <w:r>
        <w:rPr>
          <w:rFonts w:ascii="Book Antiqua" w:eastAsia="Book Antiqua" w:hAnsi="Book Antiqua" w:cs="Book Antiqua"/>
          <w:color w:val="000000"/>
        </w:rPr>
        <w:t>Nombela</w:t>
      </w:r>
      <w:proofErr w:type="spellEnd"/>
      <w:r>
        <w:rPr>
          <w:rFonts w:ascii="Book Antiqua" w:eastAsia="Book Antiqua" w:hAnsi="Book Antiqua" w:cs="Book Antiqua"/>
          <w:color w:val="000000"/>
        </w:rPr>
        <w:t xml:space="preserve">-Franco L, </w:t>
      </w:r>
      <w:proofErr w:type="spellStart"/>
      <w:r>
        <w:rPr>
          <w:rFonts w:ascii="Book Antiqua" w:eastAsia="Book Antiqua" w:hAnsi="Book Antiqua" w:cs="Book Antiqua"/>
          <w:color w:val="000000"/>
        </w:rPr>
        <w:t>Faurie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Veiga</w:t>
      </w:r>
      <w:proofErr w:type="spellEnd"/>
      <w:r>
        <w:rPr>
          <w:rFonts w:ascii="Book Antiqua" w:eastAsia="Book Antiqua" w:hAnsi="Book Antiqua" w:cs="Book Antiqua"/>
          <w:color w:val="000000"/>
        </w:rPr>
        <w:t xml:space="preserve">-Fernandez G, </w:t>
      </w:r>
      <w:proofErr w:type="spellStart"/>
      <w:r>
        <w:rPr>
          <w:rFonts w:ascii="Book Antiqua" w:eastAsia="Book Antiqua" w:hAnsi="Book Antiqua" w:cs="Book Antiqua"/>
          <w:color w:val="000000"/>
        </w:rPr>
        <w:t>Alperi</w:t>
      </w:r>
      <w:proofErr w:type="spellEnd"/>
      <w:r>
        <w:rPr>
          <w:rFonts w:ascii="Book Antiqua" w:eastAsia="Book Antiqua" w:hAnsi="Book Antiqua" w:cs="Book Antiqua"/>
          <w:color w:val="000000"/>
        </w:rPr>
        <w:t xml:space="preserve"> A, Serra V,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A, Fischer Q, </w:t>
      </w:r>
      <w:proofErr w:type="spellStart"/>
      <w:r>
        <w:rPr>
          <w:rFonts w:ascii="Book Antiqua" w:eastAsia="Book Antiqua" w:hAnsi="Book Antiqua" w:cs="Book Antiqua"/>
          <w:color w:val="000000"/>
        </w:rPr>
        <w:t>Himbert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Mangieri</w:t>
      </w:r>
      <w:proofErr w:type="spellEnd"/>
      <w:r>
        <w:rPr>
          <w:rFonts w:ascii="Book Antiqua" w:eastAsia="Book Antiqua" w:hAnsi="Book Antiqua" w:cs="Book Antiqua"/>
          <w:color w:val="000000"/>
        </w:rPr>
        <w:t xml:space="preserve"> A, Colombo A, Muñoz-</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E, Vera-</w:t>
      </w:r>
      <w:proofErr w:type="spellStart"/>
      <w:r>
        <w:rPr>
          <w:rFonts w:ascii="Book Antiqua" w:eastAsia="Book Antiqua" w:hAnsi="Book Antiqua" w:cs="Book Antiqua"/>
          <w:color w:val="000000"/>
        </w:rPr>
        <w:t>Urquiza</w:t>
      </w:r>
      <w:proofErr w:type="spellEnd"/>
      <w:r>
        <w:rPr>
          <w:rFonts w:ascii="Book Antiqua" w:eastAsia="Book Antiqua" w:hAnsi="Book Antiqua" w:cs="Book Antiqua"/>
          <w:color w:val="000000"/>
        </w:rPr>
        <w:t xml:space="preserve"> R, Jiménez-</w:t>
      </w:r>
      <w:proofErr w:type="spellStart"/>
      <w:r>
        <w:rPr>
          <w:rFonts w:ascii="Book Antiqua" w:eastAsia="Book Antiqua" w:hAnsi="Book Antiqua" w:cs="Book Antiqua"/>
          <w:color w:val="000000"/>
        </w:rPr>
        <w:t>Quevedo</w:t>
      </w:r>
      <w:proofErr w:type="spellEnd"/>
      <w:r>
        <w:rPr>
          <w:rFonts w:ascii="Book Antiqua" w:eastAsia="Book Antiqua" w:hAnsi="Book Antiqua" w:cs="Book Antiqua"/>
          <w:color w:val="000000"/>
        </w:rPr>
        <w:t xml:space="preserve"> P, de la Torre JM, </w:t>
      </w:r>
      <w:proofErr w:type="spellStart"/>
      <w:r>
        <w:rPr>
          <w:rFonts w:ascii="Book Antiqua" w:eastAsia="Book Antiqua" w:hAnsi="Book Antiqua" w:cs="Book Antiqua"/>
          <w:color w:val="000000"/>
        </w:rPr>
        <w:t>Pascual</w:t>
      </w:r>
      <w:proofErr w:type="spellEnd"/>
      <w:r>
        <w:rPr>
          <w:rFonts w:ascii="Book Antiqua" w:eastAsia="Book Antiqua" w:hAnsi="Book Antiqua" w:cs="Book Antiqua"/>
          <w:color w:val="000000"/>
        </w:rPr>
        <w:t xml:space="preserve"> I, Garcia Del Blanco B, </w:t>
      </w:r>
      <w:proofErr w:type="spellStart"/>
      <w:r>
        <w:rPr>
          <w:rFonts w:ascii="Book Antiqua" w:eastAsia="Book Antiqua" w:hAnsi="Book Antiqua" w:cs="Book Antiqua"/>
          <w:color w:val="000000"/>
        </w:rPr>
        <w:t>Sabaté</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Mohammadi</w:t>
      </w:r>
      <w:proofErr w:type="spellEnd"/>
      <w:r>
        <w:rPr>
          <w:rFonts w:ascii="Book Antiqua" w:eastAsia="Book Antiqua" w:hAnsi="Book Antiqua" w:cs="Book Antiqua"/>
          <w:color w:val="000000"/>
        </w:rPr>
        <w:t xml:space="preserve"> S, Freitas-</w:t>
      </w:r>
      <w:proofErr w:type="spellStart"/>
      <w:r>
        <w:rPr>
          <w:rFonts w:ascii="Book Antiqua" w:eastAsia="Book Antiqua" w:hAnsi="Book Antiqua" w:cs="Book Antiqua"/>
          <w:color w:val="000000"/>
        </w:rPr>
        <w:t>Ferraz</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Guimarães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L, Couture T, </w:t>
      </w:r>
      <w:proofErr w:type="spellStart"/>
      <w:r>
        <w:rPr>
          <w:rFonts w:ascii="Book Antiqua" w:eastAsia="Book Antiqua" w:hAnsi="Book Antiqua" w:cs="Book Antiqua"/>
          <w:color w:val="000000"/>
        </w:rPr>
        <w:t>Côté</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Rodés-Cabau</w:t>
      </w:r>
      <w:proofErr w:type="spellEnd"/>
      <w:r>
        <w:rPr>
          <w:rFonts w:ascii="Book Antiqua" w:eastAsia="Book Antiqua" w:hAnsi="Book Antiqua" w:cs="Book Antiqua"/>
          <w:color w:val="000000"/>
        </w:rPr>
        <w:t xml:space="preserve"> J. Comparison of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Versus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Secondary Access in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Aortic Valve Replacement.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e008609 [PMID: 32089002 DOI: 10.1161/CIRCINTERVENTIONS.119.008609]</w:t>
      </w:r>
    </w:p>
    <w:p w14:paraId="07795266" w14:textId="77777777" w:rsidR="00A77B3E" w:rsidRDefault="00F34D7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Curran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Chieffo</w:t>
      </w:r>
      <w:proofErr w:type="spellEnd"/>
      <w:r>
        <w:rPr>
          <w:rFonts w:ascii="Book Antiqua" w:eastAsia="Book Antiqua" w:hAnsi="Book Antiqua" w:cs="Book Antiqua"/>
          <w:color w:val="000000"/>
        </w:rPr>
        <w:t xml:space="preserve"> A, Buchanan GL, </w:t>
      </w:r>
      <w:proofErr w:type="spellStart"/>
      <w:r>
        <w:rPr>
          <w:rFonts w:ascii="Book Antiqua" w:eastAsia="Book Antiqua" w:hAnsi="Book Antiqua" w:cs="Book Antiqua"/>
          <w:color w:val="000000"/>
        </w:rPr>
        <w:t>Bernelli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Montorfano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Maisano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Maccagni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Carlino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Figini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Cioni</w:t>
      </w:r>
      <w:proofErr w:type="spellEnd"/>
      <w:r>
        <w:rPr>
          <w:rFonts w:ascii="Book Antiqua" w:eastAsia="Book Antiqua" w:hAnsi="Book Antiqua" w:cs="Book Antiqua"/>
          <w:color w:val="000000"/>
        </w:rPr>
        <w:t xml:space="preserve"> M, La Canna G, </w:t>
      </w:r>
      <w:proofErr w:type="spellStart"/>
      <w:r>
        <w:rPr>
          <w:rFonts w:ascii="Book Antiqua" w:eastAsia="Book Antiqua" w:hAnsi="Book Antiqua" w:cs="Book Antiqua"/>
          <w:color w:val="000000"/>
        </w:rPr>
        <w:t>Covello</w:t>
      </w:r>
      <w:proofErr w:type="spellEnd"/>
      <w:r>
        <w:rPr>
          <w:rFonts w:ascii="Book Antiqua" w:eastAsia="Book Antiqua" w:hAnsi="Book Antiqua" w:cs="Book Antiqua"/>
          <w:color w:val="000000"/>
        </w:rPr>
        <w:t xml:space="preserve"> RD, Franco A, </w:t>
      </w:r>
      <w:proofErr w:type="spellStart"/>
      <w:r>
        <w:rPr>
          <w:rFonts w:ascii="Book Antiqua" w:eastAsia="Book Antiqua" w:hAnsi="Book Antiqua" w:cs="Book Antiqua"/>
          <w:color w:val="000000"/>
        </w:rPr>
        <w:t>Gerli</w:t>
      </w:r>
      <w:proofErr w:type="spellEnd"/>
      <w:r>
        <w:rPr>
          <w:rFonts w:ascii="Book Antiqua" w:eastAsia="Book Antiqua" w:hAnsi="Book Antiqua" w:cs="Book Antiqua"/>
          <w:color w:val="000000"/>
        </w:rPr>
        <w:t xml:space="preserve"> C, Alfieri O, Colombo A. A comparison of the femoral and radial crossover techniques for vascular access management in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aortic valve implantation: the Milan experience.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156-161 [PMID: 23475626 DOI: 10.1002/ccd.24913]</w:t>
      </w:r>
    </w:p>
    <w:p w14:paraId="545AD4D7" w14:textId="5A36FC3C" w:rsidR="00A77B3E" w:rsidRDefault="00F34D7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Allende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Urena</w:t>
      </w:r>
      <w:proofErr w:type="spellEnd"/>
      <w:r>
        <w:rPr>
          <w:rFonts w:ascii="Book Antiqua" w:eastAsia="Book Antiqua" w:hAnsi="Book Antiqua" w:cs="Book Antiqua"/>
          <w:color w:val="000000"/>
        </w:rPr>
        <w:t xml:space="preserve"> M, Cordoba JG, Ribeiro HB, </w:t>
      </w:r>
      <w:proofErr w:type="spellStart"/>
      <w:r>
        <w:rPr>
          <w:rFonts w:ascii="Book Antiqua" w:eastAsia="Book Antiqua" w:hAnsi="Book Antiqua" w:cs="Book Antiqua"/>
          <w:color w:val="000000"/>
        </w:rPr>
        <w:t>Amat</w:t>
      </w:r>
      <w:proofErr w:type="spellEnd"/>
      <w:r>
        <w:rPr>
          <w:rFonts w:ascii="Book Antiqua" w:eastAsia="Book Antiqua" w:hAnsi="Book Antiqua" w:cs="Book Antiqua"/>
          <w:color w:val="000000"/>
        </w:rPr>
        <w:t xml:space="preserve">-Santos I, </w:t>
      </w:r>
      <w:proofErr w:type="spellStart"/>
      <w:r>
        <w:rPr>
          <w:rFonts w:ascii="Book Antiqua" w:eastAsia="Book Antiqua" w:hAnsi="Book Antiqua" w:cs="Book Antiqua"/>
          <w:color w:val="000000"/>
        </w:rPr>
        <w:t>DeLarochellière</w:t>
      </w:r>
      <w:proofErr w:type="spellEnd"/>
      <w:r>
        <w:rPr>
          <w:rFonts w:ascii="Book Antiqua" w:eastAsia="Book Antiqua" w:hAnsi="Book Antiqua" w:cs="Book Antiqua"/>
          <w:color w:val="000000"/>
        </w:rPr>
        <w:t xml:space="preserve"> R, Paradis JM, Doyle D, </w:t>
      </w:r>
      <w:proofErr w:type="spellStart"/>
      <w:r>
        <w:rPr>
          <w:rFonts w:ascii="Book Antiqua" w:eastAsia="Book Antiqua" w:hAnsi="Book Antiqua" w:cs="Book Antiqua"/>
          <w:color w:val="000000"/>
        </w:rPr>
        <w:t>Mohammadi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Côté</w:t>
      </w:r>
      <w:proofErr w:type="spellEnd"/>
      <w:r>
        <w:rPr>
          <w:rFonts w:ascii="Book Antiqua" w:eastAsia="Book Antiqua" w:hAnsi="Book Antiqua" w:cs="Book Antiqua"/>
          <w:color w:val="000000"/>
        </w:rPr>
        <w:t xml:space="preserve"> M, Abdul-Jawad O, Del </w:t>
      </w:r>
      <w:proofErr w:type="spellStart"/>
      <w:r>
        <w:rPr>
          <w:rFonts w:ascii="Book Antiqua" w:eastAsia="Book Antiqua" w:hAnsi="Book Antiqua" w:cs="Book Antiqua"/>
          <w:color w:val="000000"/>
        </w:rPr>
        <w:t>Trigo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Ortas</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Laflamme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Laflamme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DeLarochellière</w:t>
      </w:r>
      <w:proofErr w:type="spellEnd"/>
      <w:r>
        <w:rPr>
          <w:rFonts w:ascii="Book Antiqua" w:eastAsia="Book Antiqua" w:hAnsi="Book Antiqua" w:cs="Book Antiqua"/>
          <w:color w:val="000000"/>
        </w:rPr>
        <w:t xml:space="preserve"> H, Dumont E, </w:t>
      </w:r>
      <w:proofErr w:type="spellStart"/>
      <w:r>
        <w:rPr>
          <w:rFonts w:ascii="Book Antiqua" w:eastAsia="Book Antiqua" w:hAnsi="Book Antiqua" w:cs="Book Antiqua"/>
          <w:color w:val="000000"/>
        </w:rPr>
        <w:t>Rodés-Cabau</w:t>
      </w:r>
      <w:proofErr w:type="spellEnd"/>
      <w:r>
        <w:rPr>
          <w:rFonts w:ascii="Book Antiqua" w:eastAsia="Book Antiqua" w:hAnsi="Book Antiqua" w:cs="Book Antiqua"/>
          <w:color w:val="000000"/>
        </w:rPr>
        <w:t xml:space="preserve"> J. Impact of the use of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w:t>
      </w:r>
      <w:r w:rsidR="00824834">
        <w:rPr>
          <w:rFonts w:ascii="Book Antiqua" w:eastAsia="Book Antiqua" w:hAnsi="Book Antiqua" w:cs="Book Antiqua"/>
          <w:color w:val="000000"/>
        </w:rPr>
        <w:t>versus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approach as secondary access in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aortic valve implantation procedures.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114</w:t>
      </w:r>
      <w:r>
        <w:rPr>
          <w:rFonts w:ascii="Book Antiqua" w:eastAsia="Book Antiqua" w:hAnsi="Book Antiqua" w:cs="Book Antiqua"/>
          <w:color w:val="000000"/>
        </w:rPr>
        <w:t>: 1729-1734 [PMID: 25439451 DOI: 10.1016/j.amjcard.2014.09.009]</w:t>
      </w:r>
    </w:p>
    <w:p w14:paraId="3BA42861" w14:textId="77777777" w:rsidR="00A77B3E" w:rsidRDefault="00F34D7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Jackson MWP</w:t>
      </w:r>
      <w:r>
        <w:rPr>
          <w:rFonts w:ascii="Book Antiqua" w:eastAsia="Book Antiqua" w:hAnsi="Book Antiqua" w:cs="Book Antiqua"/>
          <w:color w:val="000000"/>
        </w:rPr>
        <w:t xml:space="preserve">, Muir DF, de </w:t>
      </w:r>
      <w:proofErr w:type="spellStart"/>
      <w:r>
        <w:rPr>
          <w:rFonts w:ascii="Book Antiqua" w:eastAsia="Book Antiqua" w:hAnsi="Book Antiqua" w:cs="Book Antiqua"/>
          <w:color w:val="000000"/>
        </w:rPr>
        <w:t>Belder</w:t>
      </w:r>
      <w:proofErr w:type="spellEnd"/>
      <w:r>
        <w:rPr>
          <w:rFonts w:ascii="Book Antiqua" w:eastAsia="Book Antiqua" w:hAnsi="Book Antiqua" w:cs="Book Antiqua"/>
          <w:color w:val="000000"/>
        </w:rPr>
        <w:t xml:space="preserve"> MA, Palmer S, Owens WA, Goodwin A, Hayat U, Williams PD.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Secondary Access to Guide Valve Implantation and Manage Peripheral Vascular Complications During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Aortic Valve Implantation. </w:t>
      </w:r>
      <w:r>
        <w:rPr>
          <w:rFonts w:ascii="Book Antiqua" w:eastAsia="Book Antiqua" w:hAnsi="Book Antiqua" w:cs="Book Antiqua"/>
          <w:i/>
          <w:iCs/>
          <w:color w:val="000000"/>
        </w:rPr>
        <w:t xml:space="preserve">Heart Lung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637-646 [PMID: 29685717 DOI: 10.1016/j.hlc.2018.02.025]</w:t>
      </w:r>
    </w:p>
    <w:p w14:paraId="23ADD6C6" w14:textId="48A6E888" w:rsidR="00A77B3E" w:rsidRDefault="00F34D7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Fernandez-Lopez L</w:t>
      </w:r>
      <w:r>
        <w:rPr>
          <w:rFonts w:ascii="Book Antiqua" w:eastAsia="Book Antiqua" w:hAnsi="Book Antiqua" w:cs="Book Antiqua"/>
          <w:color w:val="000000"/>
        </w:rPr>
        <w:t xml:space="preserve">, Chevalier B, </w:t>
      </w:r>
      <w:proofErr w:type="spellStart"/>
      <w:r>
        <w:rPr>
          <w:rFonts w:ascii="Book Antiqua" w:eastAsia="Book Antiqua" w:hAnsi="Book Antiqua" w:cs="Book Antiqua"/>
          <w:color w:val="000000"/>
        </w:rPr>
        <w:t>Lefèvre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Spaziano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Unterseeh</w:t>
      </w:r>
      <w:proofErr w:type="spellEnd"/>
      <w:r>
        <w:rPr>
          <w:rFonts w:ascii="Book Antiqua" w:eastAsia="Book Antiqua" w:hAnsi="Book Antiqua" w:cs="Book Antiqua"/>
          <w:color w:val="000000"/>
        </w:rPr>
        <w:t xml:space="preserve"> T, Champagne S, </w:t>
      </w:r>
      <w:proofErr w:type="spellStart"/>
      <w:r>
        <w:rPr>
          <w:rFonts w:ascii="Book Antiqua" w:eastAsia="Book Antiqua" w:hAnsi="Book Antiqua" w:cs="Book Antiqua"/>
          <w:color w:val="000000"/>
        </w:rPr>
        <w:t>Benamer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Sanguineti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Garot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Hovasse</w:t>
      </w:r>
      <w:proofErr w:type="spellEnd"/>
      <w:r>
        <w:rPr>
          <w:rFonts w:ascii="Book Antiqua" w:eastAsia="Book Antiqua" w:hAnsi="Book Antiqua" w:cs="Book Antiqua"/>
          <w:color w:val="000000"/>
        </w:rPr>
        <w:t xml:space="preserve"> T. Implementation of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as an alternative vascular access for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aortic valve replacement guidance: Experience from a high-volume center.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93</w:t>
      </w:r>
      <w:r>
        <w:rPr>
          <w:rFonts w:ascii="Book Antiqua" w:eastAsia="Book Antiqua" w:hAnsi="Book Antiqua" w:cs="Book Antiqua"/>
          <w:color w:val="000000"/>
        </w:rPr>
        <w:t>: 1367-1373 [PMID: 30536569 DOI: 10.1002/ccd.28024]</w:t>
      </w:r>
    </w:p>
    <w:p w14:paraId="41C033BD" w14:textId="396844C3" w:rsidR="00E4226E" w:rsidRDefault="00E4226E" w:rsidP="00E4226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Cortese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Rigattieri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Aranzulla</w:t>
      </w:r>
      <w:proofErr w:type="spellEnd"/>
      <w:r>
        <w:rPr>
          <w:rFonts w:ascii="Book Antiqua" w:eastAsia="Book Antiqua" w:hAnsi="Book Antiqua" w:cs="Book Antiqua"/>
          <w:color w:val="000000"/>
        </w:rPr>
        <w:t xml:space="preserve"> TC, Russo F,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Burzotta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Agostoni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Ielasi</w:t>
      </w:r>
      <w:proofErr w:type="spellEnd"/>
      <w:r>
        <w:rPr>
          <w:rFonts w:ascii="Book Antiqua" w:eastAsia="Book Antiqua" w:hAnsi="Book Antiqua" w:cs="Book Antiqua"/>
          <w:color w:val="000000"/>
        </w:rPr>
        <w:t xml:space="preserve"> A, Tarantino F, </w:t>
      </w:r>
      <w:proofErr w:type="spellStart"/>
      <w:r>
        <w:rPr>
          <w:rFonts w:ascii="Book Antiqua" w:eastAsia="Book Antiqua" w:hAnsi="Book Antiqua" w:cs="Book Antiqua"/>
          <w:color w:val="000000"/>
        </w:rPr>
        <w:t>Sticchi</w:t>
      </w:r>
      <w:proofErr w:type="spellEnd"/>
      <w:r>
        <w:rPr>
          <w:rFonts w:ascii="Book Antiqua" w:eastAsia="Book Antiqua" w:hAnsi="Book Antiqua" w:cs="Book Antiqua"/>
          <w:color w:val="000000"/>
        </w:rPr>
        <w:t xml:space="preserve"> A, Di Palma G, de </w:t>
      </w:r>
      <w:proofErr w:type="spellStart"/>
      <w:r>
        <w:rPr>
          <w:rFonts w:ascii="Book Antiqua" w:eastAsia="Book Antiqua" w:hAnsi="Book Antiqua" w:cs="Book Antiqua"/>
          <w:color w:val="000000"/>
        </w:rPr>
        <w:t>Benedictis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Boccaletti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Miccoli</w:t>
      </w:r>
      <w:proofErr w:type="spellEnd"/>
      <w:r>
        <w:rPr>
          <w:rFonts w:ascii="Book Antiqua" w:eastAsia="Book Antiqua" w:hAnsi="Book Antiqua" w:cs="Book Antiqua"/>
          <w:color w:val="000000"/>
        </w:rPr>
        <w:t xml:space="preserve"> R, Valsecchi O, Colombo A.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ancillary approach in complex structural, coronary, and peripheral interventions. Results from the multicenter </w:t>
      </w:r>
      <w:r>
        <w:rPr>
          <w:rFonts w:ascii="Book Antiqua" w:eastAsia="Book Antiqua" w:hAnsi="Book Antiqua" w:cs="Book Antiqua"/>
          <w:color w:val="000000"/>
        </w:rPr>
        <w:lastRenderedPageBreak/>
        <w:t xml:space="preserve">ancillary registry: A study of the Italian Radial Club.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97-102 [PMID: 28463463 DOI: 10.1002/ccd.27087]</w:t>
      </w:r>
    </w:p>
    <w:p w14:paraId="058DB96C" w14:textId="7022C374" w:rsidR="00E4226E" w:rsidRDefault="00E4226E" w:rsidP="00E4226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Jhand</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Apala</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Dhawan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Katta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Aronow</w:t>
      </w:r>
      <w:proofErr w:type="spellEnd"/>
      <w:r>
        <w:rPr>
          <w:rFonts w:ascii="Book Antiqua" w:eastAsia="Book Antiqua" w:hAnsi="Book Antiqua" w:cs="Book Antiqua"/>
          <w:color w:val="000000"/>
        </w:rPr>
        <w:t xml:space="preserve"> HD, Daniels MJ, Porter TR, </w:t>
      </w:r>
      <w:proofErr w:type="spellStart"/>
      <w:r>
        <w:rPr>
          <w:rFonts w:ascii="Book Antiqua" w:eastAsia="Book Antiqua" w:hAnsi="Book Antiqua" w:cs="Book Antiqua"/>
          <w:color w:val="000000"/>
        </w:rPr>
        <w:t>Altin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Goldsweig</w:t>
      </w:r>
      <w:proofErr w:type="spellEnd"/>
      <w:r>
        <w:rPr>
          <w:rFonts w:ascii="Book Antiqua" w:eastAsia="Book Antiqua" w:hAnsi="Book Antiqua" w:cs="Book Antiqua"/>
          <w:color w:val="000000"/>
        </w:rPr>
        <w:t xml:space="preserve"> AM. Meta-analysis Comparing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Versus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Secondary Access in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Aortic Valve Implantation.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74-81 [PMID: 32718554 DOI: 10.1016/j.amjcard.2020.06.032]</w:t>
      </w:r>
    </w:p>
    <w:p w14:paraId="290F1CF5" w14:textId="00B13873" w:rsidR="00E4226E" w:rsidRDefault="00E4226E" w:rsidP="00E4226E">
      <w:pPr>
        <w:spacing w:line="360" w:lineRule="auto"/>
        <w:jc w:val="both"/>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Félix-Oliveira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Campante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Teles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Mesquita</w:t>
      </w:r>
      <w:proofErr w:type="spellEnd"/>
      <w:r>
        <w:rPr>
          <w:rFonts w:ascii="Book Antiqua" w:eastAsia="Book Antiqua" w:hAnsi="Book Antiqua" w:cs="Book Antiqua"/>
          <w:color w:val="000000"/>
        </w:rPr>
        <w:t xml:space="preserve"> Gabriel H, de </w:t>
      </w:r>
      <w:proofErr w:type="spellStart"/>
      <w:r>
        <w:rPr>
          <w:rFonts w:ascii="Book Antiqua" w:eastAsia="Book Antiqua" w:hAnsi="Book Antiqua" w:cs="Book Antiqua"/>
          <w:color w:val="000000"/>
        </w:rPr>
        <w:t>Araújo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Gonçalves</w:t>
      </w:r>
      <w:proofErr w:type="spellEnd"/>
      <w:r>
        <w:rPr>
          <w:rFonts w:ascii="Book Antiqua" w:eastAsia="Book Antiqua" w:hAnsi="Book Antiqua" w:cs="Book Antiqua"/>
          <w:color w:val="000000"/>
        </w:rPr>
        <w:t xml:space="preserve"> P, de Sousa Almeida M.</w:t>
      </w:r>
      <w:proofErr w:type="gramEnd"/>
      <w:r>
        <w:rPr>
          <w:rFonts w:ascii="Book Antiqua" w:eastAsia="Book Antiqua" w:hAnsi="Book Antiqua" w:cs="Book Antiqua"/>
          <w:color w:val="000000"/>
        </w:rPr>
        <w:t xml:space="preserve"> The Spotlight Is on Secondary Access for TAVR: Radial Versus Femoral Revisited. </w:t>
      </w:r>
      <w:r>
        <w:rPr>
          <w:rFonts w:ascii="Book Antiqua" w:eastAsia="Book Antiqua" w:hAnsi="Book Antiqua" w:cs="Book Antiqua"/>
          <w:i/>
          <w:iCs/>
          <w:color w:val="000000"/>
        </w:rPr>
        <w:t xml:space="preserve">JACC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655 [PMID: 32139224 DOI: 10.1016/j.jcin.2019.12.021]</w:t>
      </w:r>
    </w:p>
    <w:p w14:paraId="43D6A9BC" w14:textId="29CF3845" w:rsidR="00E4226E" w:rsidRDefault="00E4226E" w:rsidP="00E4226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Bazarbashi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Gad MM, </w:t>
      </w:r>
      <w:proofErr w:type="spellStart"/>
      <w:r>
        <w:rPr>
          <w:rFonts w:ascii="Book Antiqua" w:eastAsia="Book Antiqua" w:hAnsi="Book Antiqua" w:cs="Book Antiqua"/>
          <w:color w:val="000000"/>
        </w:rPr>
        <w:t>Saad</w:t>
      </w:r>
      <w:proofErr w:type="spellEnd"/>
      <w:r>
        <w:rPr>
          <w:rFonts w:ascii="Book Antiqua" w:eastAsia="Book Antiqua" w:hAnsi="Book Antiqua" w:cs="Book Antiqua"/>
          <w:color w:val="000000"/>
        </w:rPr>
        <w:t xml:space="preserve"> AM, Mick SL, Reed GW,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Svensson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Navia</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Tuzcu</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Krishnaswamy</w:t>
      </w:r>
      <w:proofErr w:type="spellEnd"/>
      <w:r>
        <w:rPr>
          <w:rFonts w:ascii="Book Antiqua" w:eastAsia="Book Antiqua" w:hAnsi="Book Antiqua" w:cs="Book Antiqua"/>
          <w:color w:val="000000"/>
        </w:rPr>
        <w:t xml:space="preserve"> A, Kapadia S. Reply: The Spotlight Is on Secondary Access for TAVR: Radial Versus Femoral Revisited. </w:t>
      </w:r>
      <w:r>
        <w:rPr>
          <w:rFonts w:ascii="Book Antiqua" w:eastAsia="Book Antiqua" w:hAnsi="Book Antiqua" w:cs="Book Antiqua"/>
          <w:i/>
          <w:iCs/>
          <w:color w:val="000000"/>
        </w:rPr>
        <w:t xml:space="preserve">JACC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655-656 [PMID: 32139225 DOI: 10.1016/j.jcin.2020.01.208]</w:t>
      </w:r>
    </w:p>
    <w:p w14:paraId="5F1532FC" w14:textId="0DAE7428" w:rsidR="00A77B3E" w:rsidRDefault="00E4226E">
      <w:pPr>
        <w:spacing w:line="360" w:lineRule="auto"/>
        <w:jc w:val="both"/>
      </w:pPr>
      <w:r>
        <w:rPr>
          <w:rFonts w:ascii="Book Antiqua" w:eastAsia="Book Antiqua" w:hAnsi="Book Antiqua" w:cs="Book Antiqua"/>
          <w:color w:val="000000"/>
        </w:rPr>
        <w:t xml:space="preserve">11 </w:t>
      </w:r>
      <w:proofErr w:type="spellStart"/>
      <w:r w:rsidR="00F34D76">
        <w:rPr>
          <w:rFonts w:ascii="Book Antiqua" w:eastAsia="Book Antiqua" w:hAnsi="Book Antiqua" w:cs="Book Antiqua"/>
          <w:b/>
          <w:bCs/>
          <w:color w:val="000000"/>
        </w:rPr>
        <w:t>Sallam</w:t>
      </w:r>
      <w:proofErr w:type="spellEnd"/>
      <w:r w:rsidR="00F34D76">
        <w:rPr>
          <w:rFonts w:ascii="Book Antiqua" w:eastAsia="Book Antiqua" w:hAnsi="Book Antiqua" w:cs="Book Antiqua"/>
          <w:b/>
          <w:bCs/>
          <w:color w:val="000000"/>
        </w:rPr>
        <w:t xml:space="preserve"> M</w:t>
      </w:r>
      <w:r w:rsidR="00F34D76">
        <w:rPr>
          <w:rFonts w:ascii="Book Antiqua" w:eastAsia="Book Antiqua" w:hAnsi="Book Antiqua" w:cs="Book Antiqua"/>
          <w:color w:val="000000"/>
        </w:rPr>
        <w:t>, Al-</w:t>
      </w:r>
      <w:proofErr w:type="spellStart"/>
      <w:r w:rsidR="00F34D76">
        <w:rPr>
          <w:rFonts w:ascii="Book Antiqua" w:eastAsia="Book Antiqua" w:hAnsi="Book Antiqua" w:cs="Book Antiqua"/>
          <w:color w:val="000000"/>
        </w:rPr>
        <w:t>Hadi</w:t>
      </w:r>
      <w:proofErr w:type="spellEnd"/>
      <w:r w:rsidR="00F34D76">
        <w:rPr>
          <w:rFonts w:ascii="Book Antiqua" w:eastAsia="Book Antiqua" w:hAnsi="Book Antiqua" w:cs="Book Antiqua"/>
          <w:color w:val="000000"/>
        </w:rPr>
        <w:t xml:space="preserve"> H, </w:t>
      </w:r>
      <w:proofErr w:type="spellStart"/>
      <w:r w:rsidR="00F34D76">
        <w:rPr>
          <w:rFonts w:ascii="Book Antiqua" w:eastAsia="Book Antiqua" w:hAnsi="Book Antiqua" w:cs="Book Antiqua"/>
          <w:color w:val="000000"/>
        </w:rPr>
        <w:t>Rathinasekar</w:t>
      </w:r>
      <w:proofErr w:type="spellEnd"/>
      <w:r w:rsidR="00F34D76">
        <w:rPr>
          <w:rFonts w:ascii="Book Antiqua" w:eastAsia="Book Antiqua" w:hAnsi="Book Antiqua" w:cs="Book Antiqua"/>
          <w:color w:val="000000"/>
        </w:rPr>
        <w:t xml:space="preserve"> S, </w:t>
      </w:r>
      <w:proofErr w:type="spellStart"/>
      <w:r w:rsidR="00F34D76">
        <w:rPr>
          <w:rFonts w:ascii="Book Antiqua" w:eastAsia="Book Antiqua" w:hAnsi="Book Antiqua" w:cs="Book Antiqua"/>
          <w:color w:val="000000"/>
        </w:rPr>
        <w:t>Chandy</w:t>
      </w:r>
      <w:proofErr w:type="spellEnd"/>
      <w:r w:rsidR="00F34D76">
        <w:rPr>
          <w:rFonts w:ascii="Book Antiqua" w:eastAsia="Book Antiqua" w:hAnsi="Book Antiqua" w:cs="Book Antiqua"/>
          <w:color w:val="000000"/>
        </w:rPr>
        <w:t xml:space="preserve"> S. Comparative study of the radial and femoral artery approaches for diagnostic coronary angiography. </w:t>
      </w:r>
      <w:r w:rsidR="00F34D76">
        <w:rPr>
          <w:rFonts w:ascii="Book Antiqua" w:eastAsia="Book Antiqua" w:hAnsi="Book Antiqua" w:cs="Book Antiqua"/>
          <w:i/>
          <w:iCs/>
          <w:color w:val="000000"/>
        </w:rPr>
        <w:t xml:space="preserve">Sultan </w:t>
      </w:r>
      <w:proofErr w:type="spellStart"/>
      <w:r w:rsidR="00F34D76">
        <w:rPr>
          <w:rFonts w:ascii="Book Antiqua" w:eastAsia="Book Antiqua" w:hAnsi="Book Antiqua" w:cs="Book Antiqua"/>
          <w:i/>
          <w:iCs/>
          <w:color w:val="000000"/>
        </w:rPr>
        <w:t>Qaboos</w:t>
      </w:r>
      <w:proofErr w:type="spellEnd"/>
      <w:r w:rsidR="00F34D76">
        <w:rPr>
          <w:rFonts w:ascii="Book Antiqua" w:eastAsia="Book Antiqua" w:hAnsi="Book Antiqua" w:cs="Book Antiqua"/>
          <w:i/>
          <w:iCs/>
          <w:color w:val="000000"/>
        </w:rPr>
        <w:t xml:space="preserve"> </w:t>
      </w:r>
      <w:proofErr w:type="spellStart"/>
      <w:r w:rsidR="00F34D76">
        <w:rPr>
          <w:rFonts w:ascii="Book Antiqua" w:eastAsia="Book Antiqua" w:hAnsi="Book Antiqua" w:cs="Book Antiqua"/>
          <w:i/>
          <w:iCs/>
          <w:color w:val="000000"/>
        </w:rPr>
        <w:t>Univ</w:t>
      </w:r>
      <w:proofErr w:type="spellEnd"/>
      <w:r w:rsidR="00F34D76">
        <w:rPr>
          <w:rFonts w:ascii="Book Antiqua" w:eastAsia="Book Antiqua" w:hAnsi="Book Antiqua" w:cs="Book Antiqua"/>
          <w:i/>
          <w:iCs/>
          <w:color w:val="000000"/>
        </w:rPr>
        <w:t xml:space="preserve"> Med J</w:t>
      </w:r>
      <w:r w:rsidR="00F34D76">
        <w:rPr>
          <w:rFonts w:ascii="Book Antiqua" w:eastAsia="Book Antiqua" w:hAnsi="Book Antiqua" w:cs="Book Antiqua"/>
          <w:color w:val="000000"/>
        </w:rPr>
        <w:t xml:space="preserve"> 2009; </w:t>
      </w:r>
      <w:r w:rsidR="00F34D76">
        <w:rPr>
          <w:rFonts w:ascii="Book Antiqua" w:eastAsia="Book Antiqua" w:hAnsi="Book Antiqua" w:cs="Book Antiqua"/>
          <w:b/>
          <w:bCs/>
          <w:color w:val="000000"/>
        </w:rPr>
        <w:t>9</w:t>
      </w:r>
      <w:r w:rsidR="00F34D76">
        <w:rPr>
          <w:rFonts w:ascii="Book Antiqua" w:eastAsia="Book Antiqua" w:hAnsi="Book Antiqua" w:cs="Book Antiqua"/>
          <w:color w:val="000000"/>
        </w:rPr>
        <w:t>: 272-278 [PMID: 21509310]</w:t>
      </w:r>
    </w:p>
    <w:p w14:paraId="4B51CB35" w14:textId="78AACD46" w:rsidR="00A77B3E" w:rsidRDefault="00E4226E">
      <w:pPr>
        <w:spacing w:line="360" w:lineRule="auto"/>
        <w:jc w:val="both"/>
      </w:pPr>
      <w:r>
        <w:rPr>
          <w:rFonts w:ascii="Book Antiqua" w:eastAsia="Book Antiqua" w:hAnsi="Book Antiqua" w:cs="Book Antiqua"/>
          <w:color w:val="000000"/>
        </w:rPr>
        <w:t xml:space="preserve">12 </w:t>
      </w:r>
      <w:r w:rsidR="00F34D76">
        <w:rPr>
          <w:rFonts w:ascii="Book Antiqua" w:eastAsia="Book Antiqua" w:hAnsi="Book Antiqua" w:cs="Book Antiqua"/>
          <w:b/>
          <w:bCs/>
          <w:color w:val="000000"/>
        </w:rPr>
        <w:t>Buchanan GL</w:t>
      </w:r>
      <w:r w:rsidR="00F34D76">
        <w:rPr>
          <w:rFonts w:ascii="Book Antiqua" w:eastAsia="Book Antiqua" w:hAnsi="Book Antiqua" w:cs="Book Antiqua"/>
          <w:color w:val="000000"/>
        </w:rPr>
        <w:t xml:space="preserve">, </w:t>
      </w:r>
      <w:proofErr w:type="spellStart"/>
      <w:r w:rsidR="00F34D76">
        <w:rPr>
          <w:rFonts w:ascii="Book Antiqua" w:eastAsia="Book Antiqua" w:hAnsi="Book Antiqua" w:cs="Book Antiqua"/>
          <w:color w:val="000000"/>
        </w:rPr>
        <w:t>Chieffo</w:t>
      </w:r>
      <w:proofErr w:type="spellEnd"/>
      <w:r w:rsidR="00F34D76">
        <w:rPr>
          <w:rFonts w:ascii="Book Antiqua" w:eastAsia="Book Antiqua" w:hAnsi="Book Antiqua" w:cs="Book Antiqua"/>
          <w:color w:val="000000"/>
        </w:rPr>
        <w:t xml:space="preserve"> A, </w:t>
      </w:r>
      <w:proofErr w:type="spellStart"/>
      <w:r w:rsidR="00F34D76">
        <w:rPr>
          <w:rFonts w:ascii="Book Antiqua" w:eastAsia="Book Antiqua" w:hAnsi="Book Antiqua" w:cs="Book Antiqua"/>
          <w:color w:val="000000"/>
        </w:rPr>
        <w:t>Montorfano</w:t>
      </w:r>
      <w:proofErr w:type="spellEnd"/>
      <w:r w:rsidR="00F34D76">
        <w:rPr>
          <w:rFonts w:ascii="Book Antiqua" w:eastAsia="Book Antiqua" w:hAnsi="Book Antiqua" w:cs="Book Antiqua"/>
          <w:color w:val="000000"/>
        </w:rPr>
        <w:t xml:space="preserve"> M, </w:t>
      </w:r>
      <w:proofErr w:type="spellStart"/>
      <w:r w:rsidR="00F34D76">
        <w:rPr>
          <w:rFonts w:ascii="Book Antiqua" w:eastAsia="Book Antiqua" w:hAnsi="Book Antiqua" w:cs="Book Antiqua"/>
          <w:color w:val="000000"/>
        </w:rPr>
        <w:t>Maccagni</w:t>
      </w:r>
      <w:proofErr w:type="spellEnd"/>
      <w:r w:rsidR="00F34D76">
        <w:rPr>
          <w:rFonts w:ascii="Book Antiqua" w:eastAsia="Book Antiqua" w:hAnsi="Book Antiqua" w:cs="Book Antiqua"/>
          <w:color w:val="000000"/>
        </w:rPr>
        <w:t xml:space="preserve"> D, </w:t>
      </w:r>
      <w:proofErr w:type="spellStart"/>
      <w:r w:rsidR="00F34D76">
        <w:rPr>
          <w:rFonts w:ascii="Book Antiqua" w:eastAsia="Book Antiqua" w:hAnsi="Book Antiqua" w:cs="Book Antiqua"/>
          <w:color w:val="000000"/>
        </w:rPr>
        <w:t>Maisano</w:t>
      </w:r>
      <w:proofErr w:type="spellEnd"/>
      <w:r w:rsidR="00F34D76">
        <w:rPr>
          <w:rFonts w:ascii="Book Antiqua" w:eastAsia="Book Antiqua" w:hAnsi="Book Antiqua" w:cs="Book Antiqua"/>
          <w:color w:val="000000"/>
        </w:rPr>
        <w:t xml:space="preserve"> F, </w:t>
      </w:r>
      <w:proofErr w:type="spellStart"/>
      <w:r w:rsidR="00F34D76">
        <w:rPr>
          <w:rFonts w:ascii="Book Antiqua" w:eastAsia="Book Antiqua" w:hAnsi="Book Antiqua" w:cs="Book Antiqua"/>
          <w:color w:val="000000"/>
        </w:rPr>
        <w:t>Latib</w:t>
      </w:r>
      <w:proofErr w:type="spellEnd"/>
      <w:r w:rsidR="00F34D76">
        <w:rPr>
          <w:rFonts w:ascii="Book Antiqua" w:eastAsia="Book Antiqua" w:hAnsi="Book Antiqua" w:cs="Book Antiqua"/>
          <w:color w:val="000000"/>
        </w:rPr>
        <w:t xml:space="preserve"> A, </w:t>
      </w:r>
      <w:proofErr w:type="spellStart"/>
      <w:r w:rsidR="00F34D76">
        <w:rPr>
          <w:rFonts w:ascii="Book Antiqua" w:eastAsia="Book Antiqua" w:hAnsi="Book Antiqua" w:cs="Book Antiqua"/>
          <w:color w:val="000000"/>
        </w:rPr>
        <w:t>Covello</w:t>
      </w:r>
      <w:proofErr w:type="spellEnd"/>
      <w:r w:rsidR="00F34D76">
        <w:rPr>
          <w:rFonts w:ascii="Book Antiqua" w:eastAsia="Book Antiqua" w:hAnsi="Book Antiqua" w:cs="Book Antiqua"/>
          <w:color w:val="000000"/>
        </w:rPr>
        <w:t xml:space="preserve"> RD, </w:t>
      </w:r>
      <w:proofErr w:type="spellStart"/>
      <w:r w:rsidR="00F34D76">
        <w:rPr>
          <w:rFonts w:ascii="Book Antiqua" w:eastAsia="Book Antiqua" w:hAnsi="Book Antiqua" w:cs="Book Antiqua"/>
          <w:color w:val="000000"/>
        </w:rPr>
        <w:t>Grimaldi</w:t>
      </w:r>
      <w:proofErr w:type="spellEnd"/>
      <w:r w:rsidR="00F34D76">
        <w:rPr>
          <w:rFonts w:ascii="Book Antiqua" w:eastAsia="Book Antiqua" w:hAnsi="Book Antiqua" w:cs="Book Antiqua"/>
          <w:color w:val="000000"/>
        </w:rPr>
        <w:t xml:space="preserve"> A, Alfieri O, Colombo A. </w:t>
      </w:r>
      <w:proofErr w:type="gramStart"/>
      <w:r w:rsidR="00F34D76">
        <w:rPr>
          <w:rFonts w:ascii="Book Antiqua" w:eastAsia="Book Antiqua" w:hAnsi="Book Antiqua" w:cs="Book Antiqua"/>
          <w:color w:val="000000"/>
        </w:rPr>
        <w:t xml:space="preserve">A "modified crossover technique" for vascular access management in high-risk patients undergoing </w:t>
      </w:r>
      <w:proofErr w:type="spellStart"/>
      <w:r w:rsidR="00F34D76">
        <w:rPr>
          <w:rFonts w:ascii="Book Antiqua" w:eastAsia="Book Antiqua" w:hAnsi="Book Antiqua" w:cs="Book Antiqua"/>
          <w:color w:val="000000"/>
        </w:rPr>
        <w:t>transfemoral</w:t>
      </w:r>
      <w:proofErr w:type="spellEnd"/>
      <w:r w:rsidR="00F34D76">
        <w:rPr>
          <w:rFonts w:ascii="Book Antiqua" w:eastAsia="Book Antiqua" w:hAnsi="Book Antiqua" w:cs="Book Antiqua"/>
          <w:color w:val="000000"/>
        </w:rPr>
        <w:t xml:space="preserve"> </w:t>
      </w:r>
      <w:proofErr w:type="spellStart"/>
      <w:r w:rsidR="00F34D76">
        <w:rPr>
          <w:rFonts w:ascii="Book Antiqua" w:eastAsia="Book Antiqua" w:hAnsi="Book Antiqua" w:cs="Book Antiqua"/>
          <w:color w:val="000000"/>
        </w:rPr>
        <w:t>transcatheter</w:t>
      </w:r>
      <w:proofErr w:type="spellEnd"/>
      <w:r w:rsidR="00F34D76">
        <w:rPr>
          <w:rFonts w:ascii="Book Antiqua" w:eastAsia="Book Antiqua" w:hAnsi="Book Antiqua" w:cs="Book Antiqua"/>
          <w:color w:val="000000"/>
        </w:rPr>
        <w:t xml:space="preserve"> aortic valve implantation.</w:t>
      </w:r>
      <w:proofErr w:type="gramEnd"/>
      <w:r w:rsidR="00F34D76">
        <w:rPr>
          <w:rFonts w:ascii="Book Antiqua" w:eastAsia="Book Antiqua" w:hAnsi="Book Antiqua" w:cs="Book Antiqua"/>
          <w:color w:val="000000"/>
        </w:rPr>
        <w:t xml:space="preserve"> </w:t>
      </w:r>
      <w:r w:rsidR="00F34D76">
        <w:rPr>
          <w:rFonts w:ascii="Book Antiqua" w:eastAsia="Book Antiqua" w:hAnsi="Book Antiqua" w:cs="Book Antiqua"/>
          <w:i/>
          <w:iCs/>
          <w:color w:val="000000"/>
        </w:rPr>
        <w:t xml:space="preserve">Catheter </w:t>
      </w:r>
      <w:proofErr w:type="spellStart"/>
      <w:r w:rsidR="00F34D76">
        <w:rPr>
          <w:rFonts w:ascii="Book Antiqua" w:eastAsia="Book Antiqua" w:hAnsi="Book Antiqua" w:cs="Book Antiqua"/>
          <w:i/>
          <w:iCs/>
          <w:color w:val="000000"/>
        </w:rPr>
        <w:t>Cardiovasc</w:t>
      </w:r>
      <w:proofErr w:type="spellEnd"/>
      <w:r w:rsidR="00F34D76">
        <w:rPr>
          <w:rFonts w:ascii="Book Antiqua" w:eastAsia="Book Antiqua" w:hAnsi="Book Antiqua" w:cs="Book Antiqua"/>
          <w:i/>
          <w:iCs/>
          <w:color w:val="000000"/>
        </w:rPr>
        <w:t xml:space="preserve"> </w:t>
      </w:r>
      <w:proofErr w:type="spellStart"/>
      <w:r w:rsidR="00F34D76">
        <w:rPr>
          <w:rFonts w:ascii="Book Antiqua" w:eastAsia="Book Antiqua" w:hAnsi="Book Antiqua" w:cs="Book Antiqua"/>
          <w:i/>
          <w:iCs/>
          <w:color w:val="000000"/>
        </w:rPr>
        <w:t>Interv</w:t>
      </w:r>
      <w:proofErr w:type="spellEnd"/>
      <w:r w:rsidR="00F34D76">
        <w:rPr>
          <w:rFonts w:ascii="Book Antiqua" w:eastAsia="Book Antiqua" w:hAnsi="Book Antiqua" w:cs="Book Antiqua"/>
          <w:color w:val="000000"/>
        </w:rPr>
        <w:t xml:space="preserve"> 2013; </w:t>
      </w:r>
      <w:r w:rsidR="00F34D76">
        <w:rPr>
          <w:rFonts w:ascii="Book Antiqua" w:eastAsia="Book Antiqua" w:hAnsi="Book Antiqua" w:cs="Book Antiqua"/>
          <w:b/>
          <w:bCs/>
          <w:color w:val="000000"/>
        </w:rPr>
        <w:t>81</w:t>
      </w:r>
      <w:r w:rsidR="00F34D76">
        <w:rPr>
          <w:rFonts w:ascii="Book Antiqua" w:eastAsia="Book Antiqua" w:hAnsi="Book Antiqua" w:cs="Book Antiqua"/>
          <w:color w:val="000000"/>
        </w:rPr>
        <w:t>: 579-583 [PMID: 22511470 DOI: 10.1002/ccd.24380]</w:t>
      </w:r>
    </w:p>
    <w:p w14:paraId="3B27AAE4" w14:textId="77777777" w:rsidR="00A77B3E" w:rsidRDefault="00F34D76">
      <w:pPr>
        <w:spacing w:line="360" w:lineRule="auto"/>
        <w:jc w:val="both"/>
      </w:pPr>
      <w:proofErr w:type="gramStart"/>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Ranasinghe</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Peter K, </w:t>
      </w:r>
      <w:proofErr w:type="spellStart"/>
      <w:r>
        <w:rPr>
          <w:rFonts w:ascii="Book Antiqua" w:eastAsia="Book Antiqua" w:hAnsi="Book Antiqua" w:cs="Book Antiqua"/>
          <w:color w:val="000000"/>
        </w:rPr>
        <w:t>McFadyen</w:t>
      </w:r>
      <w:proofErr w:type="spellEnd"/>
      <w:r>
        <w:rPr>
          <w:rFonts w:ascii="Book Antiqua" w:eastAsia="Book Antiqua" w:hAnsi="Book Antiqua" w:cs="Book Antiqua"/>
          <w:color w:val="000000"/>
        </w:rPr>
        <w:t xml:space="preserve"> JD.</w:t>
      </w:r>
      <w:proofErr w:type="gramEnd"/>
      <w:r>
        <w:rPr>
          <w:rFonts w:ascii="Book Antiqua" w:eastAsia="Book Antiqua" w:hAnsi="Book Antiqua" w:cs="Book Antiqua"/>
          <w:color w:val="000000"/>
        </w:rPr>
        <w:t xml:space="preserve"> Thromboembolic and Bleeding Complications in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Aortic Valve Implantation: Insights on Mechanisms, Prophylaxis and Therapy.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30823621 DOI: 10.3390/jcm8020280]</w:t>
      </w:r>
    </w:p>
    <w:p w14:paraId="7BD3B11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33D850B" w14:textId="77777777" w:rsidR="00A77B3E" w:rsidRDefault="00F34D76">
      <w:pPr>
        <w:spacing w:line="360" w:lineRule="auto"/>
        <w:jc w:val="both"/>
      </w:pPr>
      <w:r>
        <w:rPr>
          <w:rFonts w:ascii="Book Antiqua" w:eastAsia="Book Antiqua" w:hAnsi="Book Antiqua" w:cs="Book Antiqua"/>
          <w:b/>
          <w:color w:val="000000"/>
        </w:rPr>
        <w:lastRenderedPageBreak/>
        <w:t>Footnotes</w:t>
      </w:r>
    </w:p>
    <w:p w14:paraId="6A25A7C6" w14:textId="77777777" w:rsidR="00A77B3E" w:rsidRDefault="00F34D7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All of the authors report that they have no conflicts of interest to disclose related to this research.</w:t>
      </w:r>
    </w:p>
    <w:p w14:paraId="41A23A4A" w14:textId="77777777" w:rsidR="00A77B3E" w:rsidRDefault="00A77B3E">
      <w:pPr>
        <w:spacing w:line="360" w:lineRule="auto"/>
        <w:jc w:val="both"/>
      </w:pPr>
    </w:p>
    <w:p w14:paraId="07A2EDD2" w14:textId="77777777" w:rsidR="00A77B3E" w:rsidRDefault="00F34D76">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108A48F7" w14:textId="77777777" w:rsidR="00A77B3E" w:rsidRDefault="00A77B3E">
      <w:pPr>
        <w:spacing w:line="360" w:lineRule="auto"/>
        <w:jc w:val="both"/>
      </w:pPr>
    </w:p>
    <w:p w14:paraId="241DDDA2" w14:textId="77777777" w:rsidR="00A77B3E" w:rsidRDefault="00F34D7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CC68A5" w14:textId="77777777" w:rsidR="00A77B3E" w:rsidRDefault="00A77B3E">
      <w:pPr>
        <w:spacing w:line="360" w:lineRule="auto"/>
        <w:jc w:val="both"/>
      </w:pPr>
    </w:p>
    <w:p w14:paraId="44D73EC9" w14:textId="1B1DE69D" w:rsidR="00A77B3E" w:rsidRDefault="00F34D7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7670C6">
        <w:rPr>
          <w:rFonts w:ascii="Book Antiqua" w:eastAsia="Book Antiqua" w:hAnsi="Book Antiqua" w:cs="Book Antiqua"/>
          <w:color w:val="000000"/>
        </w:rPr>
        <w:t>d man</w:t>
      </w:r>
      <w:r>
        <w:rPr>
          <w:rFonts w:ascii="Book Antiqua" w:eastAsia="Book Antiqua" w:hAnsi="Book Antiqua" w:cs="Book Antiqua"/>
          <w:color w:val="000000"/>
        </w:rPr>
        <w:t>uscript</w:t>
      </w:r>
    </w:p>
    <w:p w14:paraId="10906B61" w14:textId="77777777" w:rsidR="00A77B3E" w:rsidRDefault="00A77B3E">
      <w:pPr>
        <w:spacing w:line="360" w:lineRule="auto"/>
        <w:jc w:val="both"/>
      </w:pPr>
    </w:p>
    <w:p w14:paraId="0F743139" w14:textId="77777777" w:rsidR="00A77B3E" w:rsidRDefault="00F34D7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21, 2020</w:t>
      </w:r>
    </w:p>
    <w:p w14:paraId="77910808" w14:textId="77777777" w:rsidR="00A77B3E" w:rsidRDefault="00F34D7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5, 2020</w:t>
      </w:r>
    </w:p>
    <w:p w14:paraId="11EE212E" w14:textId="3D5A05A0" w:rsidR="00A77B3E" w:rsidRDefault="00F34D76">
      <w:pPr>
        <w:spacing w:line="360" w:lineRule="auto"/>
        <w:jc w:val="both"/>
      </w:pPr>
      <w:r>
        <w:rPr>
          <w:rFonts w:ascii="Book Antiqua" w:eastAsia="Book Antiqua" w:hAnsi="Book Antiqua" w:cs="Book Antiqua"/>
          <w:b/>
          <w:color w:val="000000"/>
        </w:rPr>
        <w:t xml:space="preserve">Article in press: </w:t>
      </w:r>
      <w:r w:rsidR="00507271">
        <w:rPr>
          <w:rFonts w:ascii="Book Antiqua" w:eastAsia="Book Antiqua" w:hAnsi="Book Antiqua" w:cs="Book Antiqua"/>
          <w:color w:val="000000"/>
        </w:rPr>
        <w:t>October 30, 2020</w:t>
      </w:r>
    </w:p>
    <w:p w14:paraId="777BA85E" w14:textId="77777777" w:rsidR="00A77B3E" w:rsidRDefault="00A77B3E">
      <w:pPr>
        <w:spacing w:line="360" w:lineRule="auto"/>
        <w:jc w:val="both"/>
      </w:pPr>
    </w:p>
    <w:p w14:paraId="5DF70300" w14:textId="758A75F6" w:rsidR="00A77B3E" w:rsidRDefault="00F34D76">
      <w:pPr>
        <w:spacing w:line="360" w:lineRule="auto"/>
        <w:jc w:val="both"/>
      </w:pPr>
      <w:r>
        <w:rPr>
          <w:rFonts w:ascii="Book Antiqua" w:eastAsia="Book Antiqua" w:hAnsi="Book Antiqua" w:cs="Book Antiqua"/>
          <w:b/>
          <w:color w:val="000000"/>
        </w:rPr>
        <w:t xml:space="preserve">Specialty type: </w:t>
      </w:r>
      <w:r w:rsidR="007670C6" w:rsidRPr="00E700C2">
        <w:rPr>
          <w:rFonts w:ascii="Book Antiqua" w:eastAsia="微软雅黑" w:hAnsi="Book Antiqua" w:cs="宋体"/>
        </w:rPr>
        <w:t>Cardiac and cardiovascular systems</w:t>
      </w:r>
    </w:p>
    <w:p w14:paraId="683B03B8" w14:textId="77777777" w:rsidR="00A77B3E" w:rsidRDefault="00F34D7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3B0A9930" w14:textId="77777777" w:rsidR="00A77B3E" w:rsidRDefault="00F34D76">
      <w:pPr>
        <w:spacing w:line="360" w:lineRule="auto"/>
        <w:jc w:val="both"/>
      </w:pPr>
      <w:r>
        <w:rPr>
          <w:rFonts w:ascii="Book Antiqua" w:eastAsia="Book Antiqua" w:hAnsi="Book Antiqua" w:cs="Book Antiqua"/>
          <w:b/>
          <w:color w:val="000000"/>
        </w:rPr>
        <w:t>Peer-review report’s scientific quality classification</w:t>
      </w:r>
    </w:p>
    <w:p w14:paraId="20A39D22" w14:textId="77777777" w:rsidR="00A77B3E" w:rsidRDefault="00F34D7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3FCFDAE6" w14:textId="77777777" w:rsidR="00A77B3E" w:rsidRDefault="00F34D76">
      <w:pPr>
        <w:spacing w:line="360" w:lineRule="auto"/>
        <w:jc w:val="both"/>
      </w:pPr>
      <w:r>
        <w:rPr>
          <w:rFonts w:ascii="Book Antiqua" w:eastAsia="Book Antiqua" w:hAnsi="Book Antiqua" w:cs="Book Antiqua"/>
          <w:color w:val="000000"/>
        </w:rPr>
        <w:t>Grade B (Very good): 0</w:t>
      </w:r>
    </w:p>
    <w:p w14:paraId="240D7037" w14:textId="77777777" w:rsidR="00A77B3E" w:rsidRDefault="00F34D76">
      <w:pPr>
        <w:spacing w:line="360" w:lineRule="auto"/>
        <w:jc w:val="both"/>
      </w:pPr>
      <w:r>
        <w:rPr>
          <w:rFonts w:ascii="Book Antiqua" w:eastAsia="Book Antiqua" w:hAnsi="Book Antiqua" w:cs="Book Antiqua"/>
          <w:color w:val="000000"/>
        </w:rPr>
        <w:t>Grade C (Good): C, C</w:t>
      </w:r>
    </w:p>
    <w:p w14:paraId="3296AC79" w14:textId="77777777" w:rsidR="00A77B3E" w:rsidRDefault="00F34D76">
      <w:pPr>
        <w:spacing w:line="360" w:lineRule="auto"/>
        <w:jc w:val="both"/>
      </w:pPr>
      <w:r>
        <w:rPr>
          <w:rFonts w:ascii="Book Antiqua" w:eastAsia="Book Antiqua" w:hAnsi="Book Antiqua" w:cs="Book Antiqua"/>
          <w:color w:val="000000"/>
        </w:rPr>
        <w:t>Grade D (Fair): D</w:t>
      </w:r>
    </w:p>
    <w:p w14:paraId="5963642A" w14:textId="77777777" w:rsidR="00A77B3E" w:rsidRDefault="00F34D76">
      <w:pPr>
        <w:spacing w:line="360" w:lineRule="auto"/>
        <w:jc w:val="both"/>
      </w:pPr>
      <w:r>
        <w:rPr>
          <w:rFonts w:ascii="Book Antiqua" w:eastAsia="Book Antiqua" w:hAnsi="Book Antiqua" w:cs="Book Antiqua"/>
          <w:color w:val="000000"/>
        </w:rPr>
        <w:t>Grade E (Poor): 0</w:t>
      </w:r>
    </w:p>
    <w:p w14:paraId="550680AA" w14:textId="77777777" w:rsidR="00A77B3E" w:rsidRDefault="00A77B3E">
      <w:pPr>
        <w:spacing w:line="360" w:lineRule="auto"/>
        <w:jc w:val="both"/>
      </w:pPr>
    </w:p>
    <w:p w14:paraId="0DC5D455" w14:textId="77777777" w:rsidR="00507271" w:rsidRPr="00507271" w:rsidRDefault="00F34D7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Barik</w:t>
      </w:r>
      <w:proofErr w:type="spellEnd"/>
      <w:r>
        <w:rPr>
          <w:rFonts w:ascii="Book Antiqua" w:eastAsia="Book Antiqua" w:hAnsi="Book Antiqua" w:cs="Book Antiqua"/>
          <w:color w:val="000000"/>
        </w:rPr>
        <w:t xml:space="preserve"> R, Tung TH, </w:t>
      </w:r>
      <w:proofErr w:type="spellStart"/>
      <w:r>
        <w:rPr>
          <w:rFonts w:ascii="Book Antiqua" w:eastAsia="Book Antiqua" w:hAnsi="Book Antiqua" w:cs="Book Antiqua"/>
          <w:color w:val="000000"/>
        </w:rPr>
        <w:t>Vermeersch</w:t>
      </w:r>
      <w:proofErr w:type="spellEnd"/>
      <w:r>
        <w:rPr>
          <w:rFonts w:ascii="Book Antiqua" w:eastAsia="Book Antiqua" w:hAnsi="Book Antiqua" w:cs="Book Antiqua"/>
          <w:color w:val="000000"/>
        </w:rPr>
        <w:t xml:space="preserve"> P</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507271" w:rsidRPr="0050727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507271">
        <w:rPr>
          <w:rFonts w:ascii="Book Antiqua" w:hAnsi="Book Antiqua" w:cs="Book Antiqua" w:hint="eastAsia"/>
          <w:b/>
          <w:color w:val="000000"/>
          <w:lang w:eastAsia="zh-CN"/>
        </w:rPr>
        <w:t xml:space="preserve"> </w:t>
      </w:r>
      <w:r w:rsidR="00507271" w:rsidRPr="00507271">
        <w:rPr>
          <w:rFonts w:ascii="Book Antiqua" w:hAnsi="Book Antiqua" w:cs="Book Antiqua" w:hint="eastAsia"/>
          <w:color w:val="000000"/>
          <w:lang w:eastAsia="zh-CN"/>
        </w:rPr>
        <w:t>Li JH</w:t>
      </w:r>
    </w:p>
    <w:p w14:paraId="7582D8B0" w14:textId="796F8B48" w:rsidR="00A77B3E" w:rsidRDefault="00F34D7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F9029F1" w14:textId="72014BF5" w:rsidR="00584051" w:rsidRDefault="00F34D76">
      <w:pPr>
        <w:spacing w:line="360" w:lineRule="auto"/>
        <w:jc w:val="both"/>
        <w:rPr>
          <w:noProof/>
        </w:rPr>
      </w:pPr>
      <w:r>
        <w:rPr>
          <w:rFonts w:ascii="Book Antiqua" w:eastAsia="Book Antiqua" w:hAnsi="Book Antiqua" w:cs="Book Antiqua"/>
          <w:b/>
          <w:color w:val="000000"/>
        </w:rPr>
        <w:lastRenderedPageBreak/>
        <w:t>Figure Legends</w:t>
      </w:r>
    </w:p>
    <w:p w14:paraId="56D0E582" w14:textId="6EE186A8" w:rsidR="00BB0271" w:rsidRPr="009A495E" w:rsidRDefault="00BB0271">
      <w:pPr>
        <w:spacing w:line="360" w:lineRule="auto"/>
        <w:jc w:val="both"/>
        <w:rPr>
          <w:rFonts w:ascii="Book Antiqua" w:eastAsia="Book Antiqua" w:hAnsi="Book Antiqua" w:cs="Book Antiqua"/>
          <w:b/>
          <w:color w:val="000000"/>
        </w:rPr>
      </w:pPr>
      <w:r w:rsidRPr="003E3254">
        <w:rPr>
          <w:noProof/>
          <w:lang w:eastAsia="zh-CN"/>
        </w:rPr>
        <w:drawing>
          <wp:inline distT="0" distB="0" distL="0" distR="0" wp14:anchorId="5CF7DE4E" wp14:editId="296CE6AF">
            <wp:extent cx="4572000" cy="3200400"/>
            <wp:effectExtent l="19050" t="0" r="19050" b="19050"/>
            <wp:docPr id="2" name="Diagram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7E85E8E-2765-4A46-8895-97D9C1DFAD6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69FC5B7" w14:textId="63FC0339" w:rsidR="00584051" w:rsidRDefault="00F34D76">
      <w:pPr>
        <w:spacing w:line="360" w:lineRule="auto"/>
        <w:jc w:val="both"/>
        <w:rPr>
          <w:rFonts w:ascii="Book Antiqua" w:eastAsia="Book Antiqua" w:hAnsi="Book Antiqua" w:cs="Book Antiqua"/>
          <w:b/>
          <w:bCs/>
          <w:color w:val="000000"/>
        </w:rPr>
      </w:pPr>
      <w:r w:rsidRPr="00584051">
        <w:rPr>
          <w:rFonts w:ascii="Book Antiqua" w:eastAsia="Book Antiqua" w:hAnsi="Book Antiqua" w:cs="Book Antiqua"/>
          <w:b/>
          <w:bCs/>
          <w:color w:val="000000"/>
        </w:rPr>
        <w:t>Figure 1 Flowchart outlining search strategy and article-selection process.</w:t>
      </w:r>
    </w:p>
    <w:p w14:paraId="62AEB8FF" w14:textId="4EE936ED" w:rsidR="00A77B3E" w:rsidRDefault="0058405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7329C">
        <w:rPr>
          <w:noProof/>
          <w:lang w:eastAsia="zh-CN"/>
        </w:rPr>
        <w:lastRenderedPageBreak/>
        <w:drawing>
          <wp:inline distT="0" distB="0" distL="0" distR="0" wp14:anchorId="63ED0706" wp14:editId="0D67274A">
            <wp:extent cx="5049186" cy="484054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3871" cy="4845033"/>
                    </a:xfrm>
                    <a:prstGeom prst="rect">
                      <a:avLst/>
                    </a:prstGeom>
                  </pic:spPr>
                </pic:pic>
              </a:graphicData>
            </a:graphic>
          </wp:inline>
        </w:drawing>
      </w:r>
    </w:p>
    <w:p w14:paraId="52BD2BDF" w14:textId="731815BD" w:rsidR="002E71AC" w:rsidRPr="00584051" w:rsidRDefault="002E71AC">
      <w:pPr>
        <w:spacing w:line="360" w:lineRule="auto"/>
        <w:jc w:val="both"/>
        <w:rPr>
          <w:b/>
          <w:bCs/>
        </w:rPr>
      </w:pPr>
      <w:r>
        <w:rPr>
          <w:noProof/>
          <w:lang w:eastAsia="zh-CN"/>
        </w:rPr>
        <w:drawing>
          <wp:inline distT="0" distB="0" distL="0" distR="0" wp14:anchorId="7E06E76C" wp14:editId="529C0350">
            <wp:extent cx="4993268" cy="29607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7971" cy="2963540"/>
                    </a:xfrm>
                    <a:prstGeom prst="rect">
                      <a:avLst/>
                    </a:prstGeom>
                  </pic:spPr>
                </pic:pic>
              </a:graphicData>
            </a:graphic>
          </wp:inline>
        </w:drawing>
      </w:r>
    </w:p>
    <w:p w14:paraId="4A70F31E" w14:textId="7CEEBCE1" w:rsidR="0057329C" w:rsidRDefault="00F34D76">
      <w:pPr>
        <w:spacing w:line="360" w:lineRule="auto"/>
        <w:jc w:val="both"/>
        <w:rPr>
          <w:rFonts w:ascii="Book Antiqua" w:eastAsia="Book Antiqua" w:hAnsi="Book Antiqua" w:cs="Book Antiqua"/>
          <w:color w:val="000000"/>
          <w:szCs w:val="22"/>
        </w:rPr>
      </w:pPr>
      <w:r w:rsidRPr="00584051">
        <w:rPr>
          <w:rFonts w:ascii="Book Antiqua" w:eastAsia="Book Antiqua" w:hAnsi="Book Antiqua" w:cs="Book Antiqua"/>
          <w:b/>
          <w:bCs/>
          <w:color w:val="000000"/>
        </w:rPr>
        <w:lastRenderedPageBreak/>
        <w:t>Fig</w:t>
      </w:r>
      <w:r w:rsidR="00584051" w:rsidRPr="00584051">
        <w:rPr>
          <w:rFonts w:ascii="Book Antiqua" w:eastAsia="Book Antiqua" w:hAnsi="Book Antiqua" w:cs="Book Antiqua"/>
          <w:b/>
          <w:bCs/>
          <w:color w:val="000000"/>
        </w:rPr>
        <w:t>ure</w:t>
      </w:r>
      <w:r w:rsidRPr="00584051">
        <w:rPr>
          <w:rFonts w:ascii="Book Antiqua" w:eastAsia="Book Antiqua" w:hAnsi="Book Antiqua" w:cs="Book Antiqua"/>
          <w:b/>
          <w:bCs/>
          <w:color w:val="000000"/>
        </w:rPr>
        <w:t xml:space="preserve"> 2 Forest</w:t>
      </w:r>
      <w:r w:rsidR="00584051" w:rsidRPr="00584051">
        <w:rPr>
          <w:rFonts w:ascii="Book Antiqua" w:eastAsia="Book Antiqua" w:hAnsi="Book Antiqua" w:cs="Book Antiqua"/>
          <w:b/>
          <w:bCs/>
          <w:color w:val="000000"/>
        </w:rPr>
        <w:t xml:space="preserve"> plots for all primary access outco</w:t>
      </w:r>
      <w:r w:rsidRPr="00584051">
        <w:rPr>
          <w:rFonts w:ascii="Book Antiqua" w:eastAsia="Book Antiqua" w:hAnsi="Book Antiqua" w:cs="Book Antiqua"/>
          <w:b/>
          <w:bCs/>
          <w:color w:val="000000"/>
        </w:rPr>
        <w:t>mes.</w:t>
      </w:r>
      <w:r w:rsidR="00584051">
        <w:rPr>
          <w:rFonts w:ascii="Book Antiqua" w:eastAsia="Book Antiqua" w:hAnsi="Book Antiqua" w:cs="Book Antiqua"/>
          <w:b/>
          <w:bCs/>
          <w:color w:val="000000"/>
        </w:rPr>
        <w:t xml:space="preserve"> </w:t>
      </w:r>
      <w:proofErr w:type="spellStart"/>
      <w:proofErr w:type="gramStart"/>
      <w:r w:rsidR="00584051" w:rsidRPr="00584051">
        <w:rPr>
          <w:rFonts w:ascii="Book Antiqua" w:eastAsia="Book Antiqua" w:hAnsi="Book Antiqua" w:cs="Book Antiqua"/>
          <w:color w:val="000000"/>
        </w:rPr>
        <w:t>Transradial</w:t>
      </w:r>
      <w:proofErr w:type="spellEnd"/>
      <w:r w:rsidR="00584051" w:rsidRPr="00584051">
        <w:rPr>
          <w:rFonts w:ascii="Book Antiqua" w:eastAsia="Book Antiqua" w:hAnsi="Book Antiqua" w:cs="Book Antiqua"/>
          <w:color w:val="000000"/>
        </w:rPr>
        <w:t xml:space="preserve"> </w:t>
      </w:r>
      <w:r w:rsidR="00584051" w:rsidRPr="00584051">
        <w:rPr>
          <w:rFonts w:ascii="Book Antiqua" w:eastAsia="Book Antiqua" w:hAnsi="Book Antiqua" w:cs="Book Antiqua"/>
          <w:i/>
          <w:iCs/>
          <w:color w:val="000000"/>
        </w:rPr>
        <w:t>vs</w:t>
      </w:r>
      <w:r w:rsidR="00584051" w:rsidRPr="00584051">
        <w:rPr>
          <w:rFonts w:ascii="Book Antiqua" w:eastAsia="Book Antiqua" w:hAnsi="Book Antiqua" w:cs="Book Antiqua"/>
          <w:color w:val="000000"/>
        </w:rPr>
        <w:t xml:space="preserve"> </w:t>
      </w:r>
      <w:proofErr w:type="spellStart"/>
      <w:r w:rsidR="00584051" w:rsidRPr="00584051">
        <w:rPr>
          <w:rFonts w:ascii="Book Antiqua" w:eastAsia="Book Antiqua" w:hAnsi="Book Antiqua" w:cs="Book Antiqua"/>
          <w:color w:val="000000"/>
        </w:rPr>
        <w:t>transfemoral</w:t>
      </w:r>
      <w:proofErr w:type="spellEnd"/>
      <w:r w:rsidR="00584051" w:rsidRPr="00584051">
        <w:rPr>
          <w:rFonts w:ascii="Book Antiqua" w:eastAsia="Book Antiqua" w:hAnsi="Book Antiqua" w:cs="Book Antiqua"/>
          <w:color w:val="000000"/>
        </w:rPr>
        <w:t xml:space="preserve"> secondary access</w:t>
      </w:r>
      <w:r w:rsidR="00584051">
        <w:rPr>
          <w:rFonts w:ascii="Book Antiqua" w:eastAsia="Book Antiqua" w:hAnsi="Book Antiqua" w:cs="Book Antiqua"/>
          <w:color w:val="000000"/>
        </w:rPr>
        <w:t>.</w:t>
      </w:r>
      <w:proofErr w:type="gramEnd"/>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A</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all-cause mortality</w:t>
      </w:r>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B</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stroke/</w:t>
      </w:r>
      <w:r w:rsidR="00602D3D">
        <w:rPr>
          <w:rFonts w:ascii="Book Antiqua" w:eastAsia="Book Antiqua" w:hAnsi="Book Antiqua" w:cs="Book Antiqua"/>
          <w:color w:val="000000"/>
        </w:rPr>
        <w:t>transient ischemic attack</w:t>
      </w:r>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C</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major/life threatening bleeding complications</w:t>
      </w:r>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D</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major vascular complications</w:t>
      </w:r>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E</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minor vascular complications</w:t>
      </w:r>
      <w:r w:rsidR="00584051">
        <w:rPr>
          <w:rFonts w:ascii="Book Antiqua" w:eastAsia="Book Antiqua" w:hAnsi="Book Antiqua" w:cs="Book Antiqua"/>
          <w:color w:val="000000"/>
        </w:rPr>
        <w:t xml:space="preserve">. CI: </w:t>
      </w:r>
      <w:r w:rsidR="00584051">
        <w:rPr>
          <w:rFonts w:ascii="Book Antiqua" w:eastAsia="Book Antiqua" w:hAnsi="Book Antiqua" w:cs="Book Antiqua"/>
          <w:color w:val="000000"/>
          <w:szCs w:val="22"/>
        </w:rPr>
        <w:t>Confidence interval</w:t>
      </w:r>
      <w:r w:rsidR="0057329C">
        <w:rPr>
          <w:rFonts w:ascii="Book Antiqua" w:eastAsia="Book Antiqua" w:hAnsi="Book Antiqua" w:cs="Book Antiqua"/>
          <w:color w:val="000000"/>
          <w:szCs w:val="22"/>
        </w:rPr>
        <w:t>.</w:t>
      </w:r>
    </w:p>
    <w:p w14:paraId="3BD82DBF" w14:textId="77777777" w:rsidR="0057329C" w:rsidRDefault="0057329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Pr>
          <w:noProof/>
          <w:lang w:eastAsia="zh-CN"/>
        </w:rPr>
        <w:lastRenderedPageBreak/>
        <w:drawing>
          <wp:inline distT="0" distB="0" distL="0" distR="0" wp14:anchorId="53710488" wp14:editId="68AC16AE">
            <wp:extent cx="2703074" cy="187978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8641" cy="1911477"/>
                    </a:xfrm>
                    <a:prstGeom prst="rect">
                      <a:avLst/>
                    </a:prstGeom>
                  </pic:spPr>
                </pic:pic>
              </a:graphicData>
            </a:graphic>
          </wp:inline>
        </w:drawing>
      </w:r>
    </w:p>
    <w:p w14:paraId="781E04F9" w14:textId="58B53C53" w:rsidR="00A77B3E" w:rsidRDefault="0057329C">
      <w:pPr>
        <w:spacing w:line="360" w:lineRule="auto"/>
        <w:jc w:val="both"/>
        <w:rPr>
          <w:rFonts w:ascii="Book Antiqua" w:eastAsia="Book Antiqua" w:hAnsi="Book Antiqua" w:cs="Book Antiqua"/>
          <w:color w:val="000000"/>
          <w:szCs w:val="22"/>
        </w:rPr>
      </w:pPr>
      <w:r>
        <w:rPr>
          <w:noProof/>
          <w:lang w:eastAsia="zh-CN"/>
        </w:rPr>
        <w:drawing>
          <wp:inline distT="0" distB="0" distL="0" distR="0" wp14:anchorId="43EC9526" wp14:editId="46A93C99">
            <wp:extent cx="2665017" cy="193283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6920" cy="1948724"/>
                    </a:xfrm>
                    <a:prstGeom prst="rect">
                      <a:avLst/>
                    </a:prstGeom>
                  </pic:spPr>
                </pic:pic>
              </a:graphicData>
            </a:graphic>
          </wp:inline>
        </w:drawing>
      </w:r>
    </w:p>
    <w:p w14:paraId="25F23A59" w14:textId="77777777" w:rsidR="0057329C" w:rsidRDefault="0057329C">
      <w:pPr>
        <w:spacing w:line="360" w:lineRule="auto"/>
        <w:jc w:val="both"/>
        <w:rPr>
          <w:rFonts w:ascii="Book Antiqua" w:eastAsia="Book Antiqua" w:hAnsi="Book Antiqua" w:cs="Book Antiqua"/>
          <w:color w:val="000000"/>
          <w:szCs w:val="22"/>
        </w:rPr>
      </w:pPr>
      <w:r>
        <w:rPr>
          <w:noProof/>
          <w:lang w:eastAsia="zh-CN"/>
        </w:rPr>
        <w:drawing>
          <wp:inline distT="0" distB="0" distL="0" distR="0" wp14:anchorId="39E1897A" wp14:editId="37E10A17">
            <wp:extent cx="2836543" cy="190358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2212" cy="1934232"/>
                    </a:xfrm>
                    <a:prstGeom prst="rect">
                      <a:avLst/>
                    </a:prstGeom>
                  </pic:spPr>
                </pic:pic>
              </a:graphicData>
            </a:graphic>
          </wp:inline>
        </w:drawing>
      </w:r>
    </w:p>
    <w:p w14:paraId="7405BC73" w14:textId="2C2BC35B" w:rsidR="0057329C" w:rsidRDefault="0057329C">
      <w:pPr>
        <w:spacing w:line="360" w:lineRule="auto"/>
        <w:jc w:val="both"/>
        <w:rPr>
          <w:rFonts w:ascii="Book Antiqua" w:eastAsia="Book Antiqua" w:hAnsi="Book Antiqua" w:cs="Book Antiqua"/>
          <w:color w:val="000000"/>
          <w:szCs w:val="22"/>
        </w:rPr>
      </w:pPr>
      <w:r>
        <w:rPr>
          <w:noProof/>
          <w:lang w:eastAsia="zh-CN"/>
        </w:rPr>
        <w:drawing>
          <wp:inline distT="0" distB="0" distL="0" distR="0" wp14:anchorId="0C87393B" wp14:editId="009D377E">
            <wp:extent cx="2746599" cy="191807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5884" cy="1945513"/>
                    </a:xfrm>
                    <a:prstGeom prst="rect">
                      <a:avLst/>
                    </a:prstGeom>
                  </pic:spPr>
                </pic:pic>
              </a:graphicData>
            </a:graphic>
          </wp:inline>
        </w:drawing>
      </w:r>
    </w:p>
    <w:p w14:paraId="711FEDCD" w14:textId="05C5DEC3" w:rsidR="0057329C" w:rsidRPr="0057329C" w:rsidRDefault="0057329C">
      <w:pPr>
        <w:spacing w:line="360" w:lineRule="auto"/>
        <w:jc w:val="both"/>
        <w:rPr>
          <w:rFonts w:ascii="Book Antiqua" w:hAnsi="Book Antiqua" w:cs="Book Antiqua"/>
          <w:color w:val="000000"/>
          <w:szCs w:val="22"/>
          <w:lang w:eastAsia="zh-CN"/>
        </w:rPr>
      </w:pPr>
      <w:r w:rsidRPr="0057329C">
        <w:rPr>
          <w:rFonts w:ascii="Book Antiqua" w:hAnsi="Book Antiqua" w:cs="Book Antiqua" w:hint="eastAsia"/>
          <w:b/>
          <w:bCs/>
          <w:color w:val="000000"/>
          <w:szCs w:val="22"/>
          <w:lang w:eastAsia="zh-CN"/>
        </w:rPr>
        <w:lastRenderedPageBreak/>
        <w:t>F</w:t>
      </w:r>
      <w:r w:rsidRPr="0057329C">
        <w:rPr>
          <w:rFonts w:ascii="Book Antiqua" w:eastAsia="Book Antiqua" w:hAnsi="Book Antiqua" w:cs="Book Antiqua"/>
          <w:b/>
          <w:bCs/>
          <w:color w:val="000000"/>
        </w:rPr>
        <w:t xml:space="preserve">igure 3 Funnel plot for all primary </w:t>
      </w:r>
      <w:r w:rsidRPr="00584051">
        <w:rPr>
          <w:rFonts w:ascii="Book Antiqua" w:eastAsia="Book Antiqua" w:hAnsi="Book Antiqua" w:cs="Book Antiqua"/>
          <w:b/>
          <w:bCs/>
          <w:color w:val="000000"/>
        </w:rPr>
        <w:t>access outcomes.</w:t>
      </w:r>
      <w:r>
        <w:rPr>
          <w:rFonts w:ascii="Book Antiqua" w:eastAsia="Book Antiqua" w:hAnsi="Book Antiqua" w:cs="Book Antiqua"/>
          <w:color w:val="000000"/>
        </w:rPr>
        <w:t xml:space="preserve"> </w:t>
      </w:r>
      <w:proofErr w:type="spellStart"/>
      <w:proofErr w:type="gramStart"/>
      <w:r w:rsidRPr="00584051">
        <w:rPr>
          <w:rFonts w:ascii="Book Antiqua" w:eastAsia="Book Antiqua" w:hAnsi="Book Antiqua" w:cs="Book Antiqua"/>
          <w:color w:val="000000"/>
        </w:rPr>
        <w:t>Transradial</w:t>
      </w:r>
      <w:proofErr w:type="spellEnd"/>
      <w:r w:rsidRPr="00584051">
        <w:rPr>
          <w:rFonts w:ascii="Book Antiqua" w:eastAsia="Book Antiqua" w:hAnsi="Book Antiqua" w:cs="Book Antiqua"/>
          <w:color w:val="000000"/>
        </w:rPr>
        <w:t xml:space="preserve"> </w:t>
      </w:r>
      <w:r w:rsidRPr="00584051">
        <w:rPr>
          <w:rFonts w:ascii="Book Antiqua" w:eastAsia="Book Antiqua" w:hAnsi="Book Antiqua" w:cs="Book Antiqua"/>
          <w:i/>
          <w:iCs/>
          <w:color w:val="000000"/>
        </w:rPr>
        <w:t>vs</w:t>
      </w:r>
      <w:r w:rsidRPr="00584051">
        <w:rPr>
          <w:rFonts w:ascii="Book Antiqua" w:eastAsia="Book Antiqua" w:hAnsi="Book Antiqua" w:cs="Book Antiqua"/>
          <w:color w:val="000000"/>
        </w:rPr>
        <w:t xml:space="preserve"> </w:t>
      </w:r>
      <w:proofErr w:type="spellStart"/>
      <w:r w:rsidRPr="00584051">
        <w:rPr>
          <w:rFonts w:ascii="Book Antiqua" w:eastAsia="Book Antiqua" w:hAnsi="Book Antiqua" w:cs="Book Antiqua"/>
          <w:color w:val="000000"/>
        </w:rPr>
        <w:t>transfemoral</w:t>
      </w:r>
      <w:proofErr w:type="spellEnd"/>
      <w:r>
        <w:rPr>
          <w:rFonts w:ascii="Book Antiqua" w:eastAsia="Book Antiqua" w:hAnsi="Book Antiqua" w:cs="Book Antiqua"/>
          <w:color w:val="000000"/>
          <w:szCs w:val="21"/>
        </w:rPr>
        <w:t xml:space="preserve"> secondary access.</w:t>
      </w:r>
      <w:proofErr w:type="gramEnd"/>
      <w:r>
        <w:rPr>
          <w:rFonts w:ascii="Book Antiqua" w:eastAsia="Book Antiqua" w:hAnsi="Book Antiqua" w:cs="Book Antiqua"/>
          <w:color w:val="000000"/>
          <w:szCs w:val="21"/>
        </w:rPr>
        <w:t xml:space="preserve"> A: 30-d all-cause mortality; B: 30-d stroke/</w:t>
      </w:r>
      <w:r w:rsidR="00602D3D">
        <w:rPr>
          <w:rFonts w:ascii="Book Antiqua" w:eastAsia="Book Antiqua" w:hAnsi="Book Antiqua" w:cs="Book Antiqua"/>
          <w:color w:val="000000"/>
        </w:rPr>
        <w:t>transient ischemic attack</w:t>
      </w:r>
      <w:r>
        <w:rPr>
          <w:rFonts w:ascii="Book Antiqua" w:eastAsia="Book Antiqua" w:hAnsi="Book Antiqua" w:cs="Book Antiqua"/>
          <w:color w:val="000000"/>
          <w:szCs w:val="21"/>
        </w:rPr>
        <w:t xml:space="preserve">; C: 30-d major/life threatening bleeding complications; D: 30-d major vascular complications. OR: </w:t>
      </w:r>
      <w:r>
        <w:rPr>
          <w:rFonts w:ascii="Book Antiqua" w:eastAsia="Book Antiqua" w:hAnsi="Book Antiqua" w:cs="Book Antiqua"/>
          <w:color w:val="000000"/>
          <w:szCs w:val="22"/>
        </w:rPr>
        <w:t>Odds ratio.</w:t>
      </w:r>
    </w:p>
    <w:p w14:paraId="0EF5AA28" w14:textId="175672C0" w:rsidR="0057329C" w:rsidRPr="00584051" w:rsidRDefault="0057329C">
      <w:pPr>
        <w:spacing w:line="360" w:lineRule="auto"/>
        <w:jc w:val="both"/>
      </w:pPr>
      <w:r>
        <w:br w:type="page"/>
      </w:r>
      <w:r>
        <w:rPr>
          <w:noProof/>
          <w:lang w:eastAsia="zh-CN"/>
        </w:rPr>
        <w:lastRenderedPageBreak/>
        <w:drawing>
          <wp:inline distT="0" distB="0" distL="0" distR="0" wp14:anchorId="6A7CDE6E" wp14:editId="114BE96A">
            <wp:extent cx="5301141" cy="33868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5779" cy="3389803"/>
                    </a:xfrm>
                    <a:prstGeom prst="rect">
                      <a:avLst/>
                    </a:prstGeom>
                  </pic:spPr>
                </pic:pic>
              </a:graphicData>
            </a:graphic>
          </wp:inline>
        </w:drawing>
      </w:r>
    </w:p>
    <w:p w14:paraId="47686EBF" w14:textId="3D5EA1BD" w:rsidR="0057329C" w:rsidRDefault="00F34D76">
      <w:pPr>
        <w:spacing w:line="360" w:lineRule="auto"/>
        <w:jc w:val="both"/>
        <w:rPr>
          <w:rFonts w:ascii="Book Antiqua" w:eastAsia="Book Antiqua" w:hAnsi="Book Antiqua" w:cs="Book Antiqua"/>
          <w:b/>
          <w:bCs/>
          <w:color w:val="000000"/>
          <w:szCs w:val="21"/>
        </w:rPr>
      </w:pPr>
      <w:r w:rsidRPr="0057329C">
        <w:rPr>
          <w:rFonts w:ascii="Book Antiqua" w:eastAsia="Book Antiqua" w:hAnsi="Book Antiqua" w:cs="Book Antiqua"/>
          <w:b/>
          <w:bCs/>
          <w:color w:val="000000"/>
          <w:szCs w:val="21"/>
        </w:rPr>
        <w:t xml:space="preserve">Figure </w:t>
      </w:r>
      <w:r w:rsidR="0057329C" w:rsidRPr="0057329C">
        <w:rPr>
          <w:rFonts w:ascii="Book Antiqua" w:eastAsia="Book Antiqua" w:hAnsi="Book Antiqua" w:cs="Book Antiqua"/>
          <w:b/>
          <w:bCs/>
          <w:color w:val="000000"/>
          <w:szCs w:val="21"/>
        </w:rPr>
        <w:t>4</w:t>
      </w:r>
      <w:r w:rsidRPr="0057329C">
        <w:rPr>
          <w:rFonts w:ascii="Book Antiqua" w:eastAsia="Book Antiqua" w:hAnsi="Book Antiqua" w:cs="Book Antiqua"/>
          <w:b/>
          <w:bCs/>
          <w:color w:val="000000"/>
          <w:szCs w:val="21"/>
        </w:rPr>
        <w:t xml:space="preserve"> Traffic light plots of the domain-level judgements for each individual result to assess risk of bias</w:t>
      </w:r>
      <w:r w:rsidR="0057329C">
        <w:rPr>
          <w:rFonts w:ascii="Book Antiqua" w:eastAsia="Book Antiqua" w:hAnsi="Book Antiqua" w:cs="Book Antiqua"/>
          <w:b/>
          <w:bCs/>
          <w:color w:val="000000"/>
          <w:szCs w:val="21"/>
        </w:rPr>
        <w:t>.</w:t>
      </w:r>
    </w:p>
    <w:p w14:paraId="30BC2831" w14:textId="340E8352" w:rsidR="00A77B3E" w:rsidRPr="0057329C" w:rsidRDefault="0057329C">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r w:rsidR="00EE6F59">
        <w:rPr>
          <w:noProof/>
          <w:lang w:eastAsia="zh-CN"/>
        </w:rPr>
        <w:lastRenderedPageBreak/>
        <w:drawing>
          <wp:inline distT="0" distB="0" distL="0" distR="0" wp14:anchorId="2BD0A234" wp14:editId="2D222E99">
            <wp:extent cx="5943600" cy="52139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13985"/>
                    </a:xfrm>
                    <a:prstGeom prst="rect">
                      <a:avLst/>
                    </a:prstGeom>
                  </pic:spPr>
                </pic:pic>
              </a:graphicData>
            </a:graphic>
          </wp:inline>
        </w:drawing>
      </w:r>
    </w:p>
    <w:p w14:paraId="7E509A5B" w14:textId="6993A0F4" w:rsidR="00F34D76" w:rsidRDefault="0057329C">
      <w:pPr>
        <w:spacing w:line="360" w:lineRule="auto"/>
        <w:jc w:val="both"/>
        <w:rPr>
          <w:rFonts w:ascii="Book Antiqua" w:eastAsia="Book Antiqua" w:hAnsi="Book Antiqua" w:cs="Book Antiqua"/>
          <w:color w:val="000000"/>
          <w:szCs w:val="22"/>
        </w:rPr>
      </w:pPr>
      <w:r w:rsidRPr="0057329C">
        <w:rPr>
          <w:rFonts w:ascii="Book Antiqua" w:eastAsia="Book Antiqua" w:hAnsi="Book Antiqua" w:cs="Book Antiqua"/>
          <w:b/>
          <w:bCs/>
          <w:color w:val="000000"/>
        </w:rPr>
        <w:t xml:space="preserve">Figure 5 Forest plots for </w:t>
      </w:r>
      <w:proofErr w:type="gramStart"/>
      <w:r w:rsidRPr="0057329C">
        <w:rPr>
          <w:rFonts w:ascii="Book Antiqua" w:eastAsia="Book Antiqua" w:hAnsi="Book Antiqua" w:cs="Book Antiqua"/>
          <w:b/>
          <w:bCs/>
          <w:color w:val="000000"/>
        </w:rPr>
        <w:t>trans</w:t>
      </w:r>
      <w:proofErr w:type="gramEnd"/>
      <w:r w:rsidRPr="0057329C">
        <w:rPr>
          <w:rFonts w:ascii="Book Antiqua" w:eastAsia="Book Antiqua" w:hAnsi="Book Antiqua" w:cs="Book Antiqua"/>
          <w:b/>
          <w:bCs/>
          <w:color w:val="000000"/>
        </w:rPr>
        <w:t xml:space="preserve"> femoral primary access outcomes. </w:t>
      </w:r>
      <w:r w:rsidRPr="0057329C">
        <w:rPr>
          <w:rFonts w:ascii="Book Antiqua" w:eastAsia="Book Antiqua" w:hAnsi="Book Antiqua" w:cs="Book Antiqua"/>
          <w:color w:val="000000"/>
        </w:rPr>
        <w:t>A:</w:t>
      </w:r>
      <w:r>
        <w:rPr>
          <w:rFonts w:ascii="Book Antiqua" w:eastAsia="Book Antiqua" w:hAnsi="Book Antiqua" w:cs="Book Antiqua"/>
          <w:color w:val="000000"/>
        </w:rPr>
        <w:t xml:space="preserve"> </w:t>
      </w:r>
      <w:proofErr w:type="spellStart"/>
      <w:r w:rsidRPr="0057329C">
        <w:rPr>
          <w:rFonts w:ascii="Book Antiqua" w:eastAsia="Book Antiqua" w:hAnsi="Book Antiqua" w:cs="Book Antiqua"/>
          <w:color w:val="000000"/>
        </w:rPr>
        <w:t>Transfemoral</w:t>
      </w:r>
      <w:proofErr w:type="spellEnd"/>
      <w:r w:rsidRPr="0057329C">
        <w:rPr>
          <w:rFonts w:ascii="Book Antiqua" w:eastAsia="Book Antiqua" w:hAnsi="Book Antiqua" w:cs="Book Antiqua"/>
          <w:color w:val="000000"/>
        </w:rPr>
        <w:t xml:space="preserve"> primary access (TFPA) 30-d all-cause mortality</w:t>
      </w:r>
      <w:r w:rsidR="00EE6F59">
        <w:rPr>
          <w:rFonts w:ascii="Book Antiqua" w:eastAsia="Book Antiqua" w:hAnsi="Book Antiqua" w:cs="Book Antiqua"/>
          <w:color w:val="000000"/>
        </w:rPr>
        <w:t xml:space="preserve">; B: </w:t>
      </w:r>
      <w:r w:rsidR="00EE6F59" w:rsidRPr="00EE6F59">
        <w:rPr>
          <w:rFonts w:ascii="Book Antiqua" w:eastAsia="Book Antiqua" w:hAnsi="Book Antiqua" w:cs="Book Antiqua"/>
          <w:color w:val="000000"/>
        </w:rPr>
        <w:t>TFPA 30-d stroke</w:t>
      </w:r>
      <w:r w:rsidR="00EE6F59">
        <w:rPr>
          <w:rFonts w:ascii="Book Antiqua" w:eastAsia="Book Antiqua" w:hAnsi="Book Antiqua" w:cs="Book Antiqua"/>
          <w:color w:val="000000"/>
        </w:rPr>
        <w:t xml:space="preserve">; C: </w:t>
      </w:r>
      <w:r w:rsidR="00EE6F59" w:rsidRPr="00EE6F59">
        <w:rPr>
          <w:rFonts w:ascii="Book Antiqua" w:eastAsia="Book Antiqua" w:hAnsi="Book Antiqua" w:cs="Book Antiqua"/>
          <w:color w:val="000000"/>
        </w:rPr>
        <w:t>TFPA 30-d major/life threatening bleeding complications</w:t>
      </w:r>
      <w:r w:rsidR="00EE6F59">
        <w:rPr>
          <w:rFonts w:ascii="Book Antiqua" w:eastAsia="Book Antiqua" w:hAnsi="Book Antiqua" w:cs="Book Antiqua"/>
          <w:color w:val="000000"/>
        </w:rPr>
        <w:t xml:space="preserve">. CI: </w:t>
      </w:r>
      <w:r w:rsidR="00EE6F59">
        <w:rPr>
          <w:rFonts w:ascii="Book Antiqua" w:eastAsia="Book Antiqua" w:hAnsi="Book Antiqua" w:cs="Book Antiqua"/>
          <w:color w:val="000000"/>
          <w:szCs w:val="22"/>
        </w:rPr>
        <w:t>Confidence interval.</w:t>
      </w:r>
    </w:p>
    <w:p w14:paraId="59558A77" w14:textId="77777777" w:rsidR="00FA442F" w:rsidRDefault="00F34D76">
      <w:pPr>
        <w:spacing w:line="360" w:lineRule="auto"/>
        <w:jc w:val="both"/>
        <w:rPr>
          <w:rFonts w:ascii="Book Antiqua" w:eastAsia="Book Antiqua" w:hAnsi="Book Antiqua" w:cs="Book Antiqua"/>
          <w:color w:val="000000"/>
          <w:szCs w:val="22"/>
        </w:rPr>
        <w:sectPr w:rsidR="00FA442F">
          <w:pgSz w:w="12240" w:h="15840"/>
          <w:pgMar w:top="1440" w:right="1440" w:bottom="1440" w:left="1440" w:header="720" w:footer="720" w:gutter="0"/>
          <w:cols w:space="720"/>
          <w:docGrid w:linePitch="360"/>
        </w:sectPr>
      </w:pPr>
      <w:r>
        <w:rPr>
          <w:rFonts w:ascii="Book Antiqua" w:eastAsia="Book Antiqua" w:hAnsi="Book Antiqua" w:cs="Book Antiqua"/>
          <w:color w:val="000000"/>
          <w:szCs w:val="22"/>
        </w:rPr>
        <w:br w:type="page"/>
      </w:r>
    </w:p>
    <w:p w14:paraId="66A52BF1" w14:textId="0210CB57" w:rsidR="0057329C" w:rsidRPr="00A73D3C" w:rsidRDefault="00F34D76" w:rsidP="00FA442F">
      <w:pPr>
        <w:spacing w:line="360" w:lineRule="auto"/>
        <w:jc w:val="both"/>
        <w:rPr>
          <w:rFonts w:ascii="Book Antiqua" w:eastAsia="Book Antiqua" w:hAnsi="Book Antiqua" w:cs="Book Antiqua"/>
          <w:b/>
          <w:bCs/>
          <w:color w:val="000000"/>
          <w:szCs w:val="22"/>
        </w:rPr>
      </w:pPr>
      <w:r w:rsidRPr="00A73D3C">
        <w:rPr>
          <w:rFonts w:ascii="Book Antiqua" w:eastAsia="Arial" w:hAnsi="Book Antiqua" w:cstheme="majorHAnsi"/>
          <w:b/>
          <w:bCs/>
          <w:color w:val="000000"/>
          <w:shd w:val="clear" w:color="auto" w:fill="FFFFFF"/>
        </w:rPr>
        <w:lastRenderedPageBreak/>
        <w:t>Table 1 Characteristics and procedure details of included studies</w:t>
      </w:r>
    </w:p>
    <w:tbl>
      <w:tblPr>
        <w:tblW w:w="11964" w:type="dxa"/>
        <w:tblInd w:w="93" w:type="dxa"/>
        <w:tblLook w:val="04A0" w:firstRow="1" w:lastRow="0" w:firstColumn="1" w:lastColumn="0" w:noHBand="0" w:noVBand="1"/>
      </w:tblPr>
      <w:tblGrid>
        <w:gridCol w:w="2093"/>
        <w:gridCol w:w="2319"/>
        <w:gridCol w:w="1924"/>
        <w:gridCol w:w="1876"/>
        <w:gridCol w:w="1876"/>
        <w:gridCol w:w="1876"/>
      </w:tblGrid>
      <w:tr w:rsidR="00363CAD" w:rsidRPr="00363CAD" w14:paraId="2AF0EB99" w14:textId="77777777" w:rsidTr="00363CAD">
        <w:trPr>
          <w:trHeight w:val="1050"/>
        </w:trPr>
        <w:tc>
          <w:tcPr>
            <w:tcW w:w="2093" w:type="dxa"/>
            <w:tcBorders>
              <w:top w:val="single" w:sz="4" w:space="0" w:color="auto"/>
              <w:left w:val="nil"/>
              <w:bottom w:val="single" w:sz="4" w:space="0" w:color="auto"/>
              <w:right w:val="nil"/>
            </w:tcBorders>
            <w:shd w:val="clear" w:color="000000" w:fill="FFFFFF"/>
            <w:vAlign w:val="center"/>
            <w:hideMark/>
          </w:tcPr>
          <w:p w14:paraId="4566E7E3" w14:textId="6F80EE94" w:rsidR="00363CAD" w:rsidRPr="00363CAD" w:rsidRDefault="00363CAD" w:rsidP="00FA442F">
            <w:pPr>
              <w:spacing w:line="360" w:lineRule="auto"/>
              <w:jc w:val="both"/>
              <w:rPr>
                <w:rFonts w:ascii="Book Antiqua" w:eastAsia="宋体" w:hAnsi="Book Antiqua" w:cs="宋体"/>
                <w:b/>
                <w:bCs/>
                <w:color w:val="000000"/>
                <w:lang w:eastAsia="zh-CN"/>
              </w:rPr>
            </w:pPr>
          </w:p>
        </w:tc>
        <w:tc>
          <w:tcPr>
            <w:tcW w:w="2319" w:type="dxa"/>
            <w:tcBorders>
              <w:top w:val="single" w:sz="4" w:space="0" w:color="auto"/>
              <w:left w:val="nil"/>
              <w:bottom w:val="single" w:sz="4" w:space="0" w:color="auto"/>
              <w:right w:val="nil"/>
            </w:tcBorders>
            <w:shd w:val="clear" w:color="000000" w:fill="FFFFFF"/>
            <w:vAlign w:val="center"/>
            <w:hideMark/>
          </w:tcPr>
          <w:p w14:paraId="17DACB68" w14:textId="77777777" w:rsidR="00363CAD" w:rsidRPr="00363CAD" w:rsidRDefault="00363CAD" w:rsidP="00FA442F">
            <w:pPr>
              <w:spacing w:line="360" w:lineRule="auto"/>
              <w:jc w:val="both"/>
              <w:rPr>
                <w:rFonts w:ascii="Book Antiqua" w:eastAsia="宋体" w:hAnsi="Book Antiqua" w:cs="宋体"/>
                <w:b/>
                <w:bCs/>
                <w:color w:val="000000"/>
                <w:lang w:eastAsia="zh-CN"/>
              </w:rPr>
            </w:pPr>
            <w:proofErr w:type="spellStart"/>
            <w:r w:rsidRPr="00363CAD">
              <w:rPr>
                <w:rFonts w:ascii="Book Antiqua" w:eastAsia="宋体" w:hAnsi="Book Antiqua" w:cs="宋体"/>
                <w:b/>
                <w:bCs/>
                <w:color w:val="000000"/>
                <w:lang w:eastAsia="zh-CN"/>
              </w:rPr>
              <w:t>Junquera</w:t>
            </w:r>
            <w:proofErr w:type="spellEnd"/>
            <w:r w:rsidRPr="00363CAD">
              <w:rPr>
                <w:rFonts w:ascii="Book Antiqua" w:eastAsia="宋体" w:hAnsi="Book Antiqua" w:cs="宋体"/>
                <w:b/>
                <w:bCs/>
                <w:color w:val="000000"/>
                <w:lang w:eastAsia="zh-CN"/>
              </w:rPr>
              <w:t xml:space="preserve"> </w:t>
            </w:r>
            <w:r w:rsidRPr="00363CAD">
              <w:rPr>
                <w:rFonts w:ascii="Book Antiqua" w:eastAsia="宋体" w:hAnsi="Book Antiqua" w:cs="宋体"/>
                <w:b/>
                <w:bCs/>
                <w:i/>
                <w:iCs/>
                <w:color w:val="000000"/>
                <w:lang w:eastAsia="zh-CN"/>
              </w:rPr>
              <w:t>et al</w:t>
            </w:r>
            <w:r w:rsidRPr="00363CAD">
              <w:rPr>
                <w:rFonts w:ascii="Book Antiqua" w:eastAsia="宋体" w:hAnsi="Book Antiqua" w:cs="宋体"/>
                <w:b/>
                <w:bCs/>
                <w:color w:val="000000"/>
                <w:vertAlign w:val="superscript"/>
                <w:lang w:eastAsia="zh-CN"/>
              </w:rPr>
              <w:t>[2]</w:t>
            </w:r>
          </w:p>
        </w:tc>
        <w:tc>
          <w:tcPr>
            <w:tcW w:w="1924" w:type="dxa"/>
            <w:tcBorders>
              <w:top w:val="single" w:sz="4" w:space="0" w:color="auto"/>
              <w:left w:val="nil"/>
              <w:bottom w:val="single" w:sz="4" w:space="0" w:color="auto"/>
              <w:right w:val="nil"/>
            </w:tcBorders>
            <w:shd w:val="clear" w:color="000000" w:fill="FFFFFF"/>
            <w:vAlign w:val="center"/>
            <w:hideMark/>
          </w:tcPr>
          <w:p w14:paraId="3FBA0363" w14:textId="77777777" w:rsidR="00363CAD" w:rsidRPr="00363CAD" w:rsidRDefault="00363CAD" w:rsidP="00FA442F">
            <w:pPr>
              <w:spacing w:line="360" w:lineRule="auto"/>
              <w:jc w:val="both"/>
              <w:rPr>
                <w:rFonts w:ascii="Book Antiqua" w:eastAsia="宋体" w:hAnsi="Book Antiqua" w:cs="宋体"/>
                <w:b/>
                <w:bCs/>
                <w:color w:val="000000"/>
                <w:lang w:eastAsia="zh-CN"/>
              </w:rPr>
            </w:pPr>
            <w:r w:rsidRPr="00363CAD">
              <w:rPr>
                <w:rFonts w:ascii="Book Antiqua" w:eastAsia="宋体" w:hAnsi="Book Antiqua" w:cs="宋体"/>
                <w:b/>
                <w:bCs/>
                <w:color w:val="000000"/>
                <w:lang w:eastAsia="zh-CN"/>
              </w:rPr>
              <w:t xml:space="preserve">Fernandez-Lopez </w:t>
            </w:r>
            <w:r w:rsidRPr="00363CAD">
              <w:rPr>
                <w:rFonts w:ascii="Book Antiqua" w:eastAsia="宋体" w:hAnsi="Book Antiqua" w:cs="宋体"/>
                <w:b/>
                <w:bCs/>
                <w:i/>
                <w:iCs/>
                <w:color w:val="000000"/>
                <w:lang w:eastAsia="zh-CN"/>
              </w:rPr>
              <w:t>et al</w:t>
            </w:r>
            <w:r w:rsidRPr="00363CAD">
              <w:rPr>
                <w:rFonts w:ascii="Book Antiqua" w:eastAsia="宋体" w:hAnsi="Book Antiqua" w:cs="宋体"/>
                <w:b/>
                <w:bCs/>
                <w:color w:val="000000"/>
                <w:vertAlign w:val="superscript"/>
                <w:lang w:eastAsia="zh-CN"/>
              </w:rPr>
              <w:t>[6]</w:t>
            </w:r>
          </w:p>
        </w:tc>
        <w:tc>
          <w:tcPr>
            <w:tcW w:w="1876" w:type="dxa"/>
            <w:tcBorders>
              <w:top w:val="single" w:sz="4" w:space="0" w:color="auto"/>
              <w:left w:val="nil"/>
              <w:bottom w:val="single" w:sz="4" w:space="0" w:color="auto"/>
              <w:right w:val="nil"/>
            </w:tcBorders>
            <w:shd w:val="clear" w:color="000000" w:fill="FFFFFF"/>
            <w:vAlign w:val="center"/>
            <w:hideMark/>
          </w:tcPr>
          <w:p w14:paraId="5E20C60E" w14:textId="77777777" w:rsidR="00363CAD" w:rsidRPr="00363CAD" w:rsidRDefault="00363CAD" w:rsidP="00FA442F">
            <w:pPr>
              <w:spacing w:line="360" w:lineRule="auto"/>
              <w:jc w:val="both"/>
              <w:rPr>
                <w:rFonts w:ascii="Book Antiqua" w:eastAsia="宋体" w:hAnsi="Book Antiqua" w:cs="宋体"/>
                <w:b/>
                <w:bCs/>
                <w:color w:val="000000"/>
                <w:lang w:eastAsia="zh-CN"/>
              </w:rPr>
            </w:pPr>
            <w:r w:rsidRPr="00363CAD">
              <w:rPr>
                <w:rFonts w:ascii="Book Antiqua" w:eastAsia="宋体" w:hAnsi="Book Antiqua" w:cs="宋体"/>
                <w:b/>
                <w:bCs/>
                <w:color w:val="000000"/>
                <w:lang w:eastAsia="zh-CN"/>
              </w:rPr>
              <w:t xml:space="preserve">Jackson </w:t>
            </w:r>
            <w:r w:rsidRPr="00363CAD">
              <w:rPr>
                <w:rFonts w:ascii="Book Antiqua" w:eastAsia="宋体" w:hAnsi="Book Antiqua" w:cs="宋体"/>
                <w:b/>
                <w:bCs/>
                <w:i/>
                <w:iCs/>
                <w:color w:val="000000"/>
                <w:lang w:eastAsia="zh-CN"/>
              </w:rPr>
              <w:t>et al</w:t>
            </w:r>
            <w:r w:rsidRPr="00363CAD">
              <w:rPr>
                <w:rFonts w:ascii="Book Antiqua" w:eastAsia="宋体" w:hAnsi="Book Antiqua" w:cs="宋体"/>
                <w:b/>
                <w:bCs/>
                <w:color w:val="000000"/>
                <w:vertAlign w:val="superscript"/>
                <w:lang w:eastAsia="zh-CN"/>
              </w:rPr>
              <w:t>[5]</w:t>
            </w:r>
            <w:r w:rsidRPr="00363CAD">
              <w:rPr>
                <w:rFonts w:ascii="Book Antiqua" w:eastAsia="宋体" w:hAnsi="Book Antiqua" w:cs="宋体"/>
                <w:b/>
                <w:bCs/>
                <w:color w:val="000000"/>
                <w:lang w:eastAsia="zh-CN"/>
              </w:rPr>
              <w:t xml:space="preserve"> </w:t>
            </w:r>
          </w:p>
        </w:tc>
        <w:tc>
          <w:tcPr>
            <w:tcW w:w="1876" w:type="dxa"/>
            <w:tcBorders>
              <w:top w:val="single" w:sz="4" w:space="0" w:color="auto"/>
              <w:left w:val="nil"/>
              <w:bottom w:val="single" w:sz="4" w:space="0" w:color="auto"/>
              <w:right w:val="nil"/>
            </w:tcBorders>
            <w:shd w:val="clear" w:color="000000" w:fill="FFFFFF"/>
            <w:vAlign w:val="center"/>
            <w:hideMark/>
          </w:tcPr>
          <w:p w14:paraId="2A5ADFCD" w14:textId="77777777" w:rsidR="00363CAD" w:rsidRPr="00363CAD" w:rsidRDefault="00363CAD" w:rsidP="00FA442F">
            <w:pPr>
              <w:spacing w:line="360" w:lineRule="auto"/>
              <w:jc w:val="both"/>
              <w:rPr>
                <w:rFonts w:ascii="Book Antiqua" w:eastAsia="宋体" w:hAnsi="Book Antiqua" w:cs="宋体"/>
                <w:b/>
                <w:bCs/>
                <w:color w:val="000000"/>
                <w:lang w:eastAsia="zh-CN"/>
              </w:rPr>
            </w:pPr>
            <w:r w:rsidRPr="00363CAD">
              <w:rPr>
                <w:rFonts w:ascii="Book Antiqua" w:eastAsia="宋体" w:hAnsi="Book Antiqua" w:cs="宋体"/>
                <w:b/>
                <w:bCs/>
                <w:color w:val="000000"/>
                <w:lang w:eastAsia="zh-CN"/>
              </w:rPr>
              <w:t xml:space="preserve">Allende </w:t>
            </w:r>
            <w:r w:rsidRPr="00363CAD">
              <w:rPr>
                <w:rFonts w:ascii="Book Antiqua" w:eastAsia="宋体" w:hAnsi="Book Antiqua" w:cs="宋体"/>
                <w:b/>
                <w:bCs/>
                <w:i/>
                <w:iCs/>
                <w:color w:val="000000"/>
                <w:lang w:eastAsia="zh-CN"/>
              </w:rPr>
              <w:t>et al</w:t>
            </w:r>
            <w:r w:rsidRPr="00363CAD">
              <w:rPr>
                <w:rFonts w:ascii="Book Antiqua" w:eastAsia="宋体" w:hAnsi="Book Antiqua" w:cs="宋体"/>
                <w:b/>
                <w:bCs/>
                <w:color w:val="000000"/>
                <w:vertAlign w:val="superscript"/>
                <w:lang w:eastAsia="zh-CN"/>
              </w:rPr>
              <w:t>[4]</w:t>
            </w:r>
          </w:p>
        </w:tc>
        <w:tc>
          <w:tcPr>
            <w:tcW w:w="1876" w:type="dxa"/>
            <w:tcBorders>
              <w:top w:val="single" w:sz="4" w:space="0" w:color="auto"/>
              <w:left w:val="nil"/>
              <w:bottom w:val="single" w:sz="4" w:space="0" w:color="auto"/>
              <w:right w:val="nil"/>
            </w:tcBorders>
            <w:shd w:val="clear" w:color="000000" w:fill="FFFFFF"/>
            <w:vAlign w:val="center"/>
            <w:hideMark/>
          </w:tcPr>
          <w:p w14:paraId="7B4897B5" w14:textId="77777777" w:rsidR="00363CAD" w:rsidRPr="00363CAD" w:rsidRDefault="00363CAD" w:rsidP="00FA442F">
            <w:pPr>
              <w:spacing w:line="360" w:lineRule="auto"/>
              <w:jc w:val="both"/>
              <w:rPr>
                <w:rFonts w:ascii="Book Antiqua" w:eastAsia="宋体" w:hAnsi="Book Antiqua" w:cs="宋体"/>
                <w:b/>
                <w:bCs/>
                <w:color w:val="000000"/>
                <w:lang w:eastAsia="zh-CN"/>
              </w:rPr>
            </w:pPr>
            <w:r w:rsidRPr="00363CAD">
              <w:rPr>
                <w:rFonts w:ascii="Book Antiqua" w:eastAsia="宋体" w:hAnsi="Book Antiqua" w:cs="宋体"/>
                <w:b/>
                <w:bCs/>
                <w:color w:val="000000"/>
                <w:lang w:eastAsia="zh-CN"/>
              </w:rPr>
              <w:t xml:space="preserve">Curran </w:t>
            </w:r>
            <w:r w:rsidRPr="00363CAD">
              <w:rPr>
                <w:rFonts w:ascii="Book Antiqua" w:eastAsia="宋体" w:hAnsi="Book Antiqua" w:cs="宋体"/>
                <w:b/>
                <w:bCs/>
                <w:i/>
                <w:iCs/>
                <w:color w:val="000000"/>
                <w:lang w:eastAsia="zh-CN"/>
              </w:rPr>
              <w:t>et al</w:t>
            </w:r>
            <w:r w:rsidRPr="00363CAD">
              <w:rPr>
                <w:rFonts w:ascii="Book Antiqua" w:eastAsia="宋体" w:hAnsi="Book Antiqua" w:cs="宋体"/>
                <w:b/>
                <w:bCs/>
                <w:color w:val="000000"/>
                <w:vertAlign w:val="superscript"/>
                <w:lang w:eastAsia="zh-CN"/>
              </w:rPr>
              <w:t>[3]</w:t>
            </w:r>
          </w:p>
        </w:tc>
      </w:tr>
      <w:tr w:rsidR="00363CAD" w:rsidRPr="00363CAD" w14:paraId="5918E544" w14:textId="77777777" w:rsidTr="00363CAD">
        <w:trPr>
          <w:trHeight w:val="630"/>
        </w:trPr>
        <w:tc>
          <w:tcPr>
            <w:tcW w:w="2093" w:type="dxa"/>
            <w:tcBorders>
              <w:top w:val="nil"/>
              <w:left w:val="nil"/>
              <w:bottom w:val="nil"/>
              <w:right w:val="nil"/>
            </w:tcBorders>
            <w:shd w:val="clear" w:color="000000" w:fill="FFFFFF"/>
            <w:vAlign w:val="center"/>
            <w:hideMark/>
          </w:tcPr>
          <w:p w14:paraId="778B152F"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Study details</w:t>
            </w:r>
          </w:p>
        </w:tc>
        <w:tc>
          <w:tcPr>
            <w:tcW w:w="2319" w:type="dxa"/>
            <w:tcBorders>
              <w:top w:val="nil"/>
              <w:left w:val="nil"/>
              <w:bottom w:val="nil"/>
              <w:right w:val="nil"/>
            </w:tcBorders>
            <w:shd w:val="clear" w:color="000000" w:fill="FFFFFF"/>
            <w:vAlign w:val="center"/>
            <w:hideMark/>
          </w:tcPr>
          <w:p w14:paraId="2DB8ACA7" w14:textId="404D9D4D" w:rsidR="00363CAD" w:rsidRPr="00363CAD" w:rsidRDefault="00363CAD" w:rsidP="00FA442F">
            <w:pPr>
              <w:spacing w:line="360" w:lineRule="auto"/>
              <w:jc w:val="both"/>
              <w:rPr>
                <w:rFonts w:ascii="Book Antiqua" w:eastAsia="宋体" w:hAnsi="Book Antiqua" w:cs="宋体"/>
                <w:b/>
                <w:bCs/>
                <w:color w:val="000000"/>
                <w:lang w:eastAsia="zh-CN"/>
              </w:rPr>
            </w:pPr>
          </w:p>
        </w:tc>
        <w:tc>
          <w:tcPr>
            <w:tcW w:w="1924" w:type="dxa"/>
            <w:tcBorders>
              <w:top w:val="nil"/>
              <w:left w:val="nil"/>
              <w:bottom w:val="nil"/>
              <w:right w:val="nil"/>
            </w:tcBorders>
            <w:shd w:val="clear" w:color="000000" w:fill="FFFFFF"/>
            <w:vAlign w:val="center"/>
            <w:hideMark/>
          </w:tcPr>
          <w:p w14:paraId="20C450D2" w14:textId="7C985E46" w:rsidR="00363CAD" w:rsidRPr="00363CAD" w:rsidRDefault="00363CAD" w:rsidP="00FA442F">
            <w:pPr>
              <w:spacing w:line="360" w:lineRule="auto"/>
              <w:jc w:val="both"/>
              <w:rPr>
                <w:rFonts w:ascii="Book Antiqua" w:eastAsia="宋体" w:hAnsi="Book Antiqua" w:cs="宋体"/>
                <w:b/>
                <w:bCs/>
                <w:color w:val="000000"/>
                <w:lang w:eastAsia="zh-CN"/>
              </w:rPr>
            </w:pPr>
          </w:p>
        </w:tc>
        <w:tc>
          <w:tcPr>
            <w:tcW w:w="1876" w:type="dxa"/>
            <w:tcBorders>
              <w:top w:val="nil"/>
              <w:left w:val="nil"/>
              <w:bottom w:val="nil"/>
              <w:right w:val="nil"/>
            </w:tcBorders>
            <w:shd w:val="clear" w:color="000000" w:fill="FFFFFF"/>
            <w:vAlign w:val="center"/>
            <w:hideMark/>
          </w:tcPr>
          <w:p w14:paraId="265D4D13" w14:textId="7C659252" w:rsidR="00363CAD" w:rsidRPr="00363CAD" w:rsidRDefault="00363CAD" w:rsidP="00FA442F">
            <w:pPr>
              <w:spacing w:line="360" w:lineRule="auto"/>
              <w:jc w:val="both"/>
              <w:rPr>
                <w:rFonts w:ascii="Book Antiqua" w:eastAsia="宋体" w:hAnsi="Book Antiqua" w:cs="宋体"/>
                <w:b/>
                <w:bCs/>
                <w:color w:val="000000"/>
                <w:lang w:eastAsia="zh-CN"/>
              </w:rPr>
            </w:pPr>
          </w:p>
        </w:tc>
        <w:tc>
          <w:tcPr>
            <w:tcW w:w="1876" w:type="dxa"/>
            <w:tcBorders>
              <w:top w:val="nil"/>
              <w:left w:val="nil"/>
              <w:bottom w:val="nil"/>
              <w:right w:val="nil"/>
            </w:tcBorders>
            <w:shd w:val="clear" w:color="000000" w:fill="FFFFFF"/>
            <w:vAlign w:val="center"/>
            <w:hideMark/>
          </w:tcPr>
          <w:p w14:paraId="6462A200" w14:textId="5FAB4D65" w:rsidR="00363CAD" w:rsidRPr="00363CAD" w:rsidRDefault="00363CAD" w:rsidP="00FA442F">
            <w:pPr>
              <w:spacing w:line="360" w:lineRule="auto"/>
              <w:jc w:val="both"/>
              <w:rPr>
                <w:rFonts w:ascii="Book Antiqua" w:eastAsia="宋体" w:hAnsi="Book Antiqua" w:cs="宋体"/>
                <w:b/>
                <w:bCs/>
                <w:color w:val="000000"/>
                <w:lang w:eastAsia="zh-CN"/>
              </w:rPr>
            </w:pPr>
          </w:p>
        </w:tc>
        <w:tc>
          <w:tcPr>
            <w:tcW w:w="1876" w:type="dxa"/>
            <w:tcBorders>
              <w:top w:val="nil"/>
              <w:left w:val="nil"/>
              <w:bottom w:val="nil"/>
              <w:right w:val="nil"/>
            </w:tcBorders>
            <w:shd w:val="clear" w:color="000000" w:fill="FFFFFF"/>
            <w:vAlign w:val="center"/>
            <w:hideMark/>
          </w:tcPr>
          <w:p w14:paraId="36EDBA82" w14:textId="49C51467" w:rsidR="00363CAD" w:rsidRPr="00363CAD" w:rsidRDefault="00363CAD" w:rsidP="00FA442F">
            <w:pPr>
              <w:spacing w:line="360" w:lineRule="auto"/>
              <w:jc w:val="both"/>
              <w:rPr>
                <w:rFonts w:ascii="Book Antiqua" w:eastAsia="宋体" w:hAnsi="Book Antiqua" w:cs="宋体"/>
                <w:b/>
                <w:bCs/>
                <w:color w:val="000000"/>
                <w:lang w:eastAsia="zh-CN"/>
              </w:rPr>
            </w:pPr>
          </w:p>
        </w:tc>
      </w:tr>
      <w:tr w:rsidR="00363CAD" w:rsidRPr="00363CAD" w14:paraId="7E979488" w14:textId="77777777" w:rsidTr="00363CAD">
        <w:trPr>
          <w:trHeight w:val="945"/>
        </w:trPr>
        <w:tc>
          <w:tcPr>
            <w:tcW w:w="2093" w:type="dxa"/>
            <w:tcBorders>
              <w:top w:val="nil"/>
              <w:left w:val="nil"/>
              <w:bottom w:val="nil"/>
              <w:right w:val="nil"/>
            </w:tcBorders>
            <w:shd w:val="clear" w:color="000000" w:fill="FFFFFF"/>
            <w:vAlign w:val="center"/>
            <w:hideMark/>
          </w:tcPr>
          <w:p w14:paraId="2B204BF4"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Year of publication</w:t>
            </w:r>
          </w:p>
        </w:tc>
        <w:tc>
          <w:tcPr>
            <w:tcW w:w="2319" w:type="dxa"/>
            <w:tcBorders>
              <w:top w:val="nil"/>
              <w:left w:val="nil"/>
              <w:bottom w:val="nil"/>
              <w:right w:val="nil"/>
            </w:tcBorders>
            <w:shd w:val="clear" w:color="000000" w:fill="FFFFFF"/>
            <w:vAlign w:val="center"/>
            <w:hideMark/>
          </w:tcPr>
          <w:p w14:paraId="110E98D9"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2020</w:t>
            </w:r>
          </w:p>
        </w:tc>
        <w:tc>
          <w:tcPr>
            <w:tcW w:w="1924" w:type="dxa"/>
            <w:tcBorders>
              <w:top w:val="nil"/>
              <w:left w:val="nil"/>
              <w:bottom w:val="nil"/>
              <w:right w:val="nil"/>
            </w:tcBorders>
            <w:shd w:val="clear" w:color="000000" w:fill="FFFFFF"/>
            <w:vAlign w:val="center"/>
            <w:hideMark/>
          </w:tcPr>
          <w:p w14:paraId="780A8210"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2018</w:t>
            </w:r>
          </w:p>
        </w:tc>
        <w:tc>
          <w:tcPr>
            <w:tcW w:w="1876" w:type="dxa"/>
            <w:tcBorders>
              <w:top w:val="nil"/>
              <w:left w:val="nil"/>
              <w:bottom w:val="nil"/>
              <w:right w:val="nil"/>
            </w:tcBorders>
            <w:shd w:val="clear" w:color="000000" w:fill="FFFFFF"/>
            <w:vAlign w:val="center"/>
            <w:hideMark/>
          </w:tcPr>
          <w:p w14:paraId="462C99B9"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2018</w:t>
            </w:r>
          </w:p>
        </w:tc>
        <w:tc>
          <w:tcPr>
            <w:tcW w:w="1876" w:type="dxa"/>
            <w:tcBorders>
              <w:top w:val="nil"/>
              <w:left w:val="nil"/>
              <w:bottom w:val="nil"/>
              <w:right w:val="nil"/>
            </w:tcBorders>
            <w:shd w:val="clear" w:color="000000" w:fill="FFFFFF"/>
            <w:vAlign w:val="center"/>
            <w:hideMark/>
          </w:tcPr>
          <w:p w14:paraId="38121610"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2014</w:t>
            </w:r>
          </w:p>
        </w:tc>
        <w:tc>
          <w:tcPr>
            <w:tcW w:w="1876" w:type="dxa"/>
            <w:tcBorders>
              <w:top w:val="nil"/>
              <w:left w:val="nil"/>
              <w:bottom w:val="nil"/>
              <w:right w:val="nil"/>
            </w:tcBorders>
            <w:shd w:val="clear" w:color="000000" w:fill="FFFFFF"/>
            <w:vAlign w:val="center"/>
            <w:hideMark/>
          </w:tcPr>
          <w:p w14:paraId="28E54512"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2014</w:t>
            </w:r>
          </w:p>
        </w:tc>
      </w:tr>
      <w:tr w:rsidR="00363CAD" w:rsidRPr="00363CAD" w14:paraId="147DBA55" w14:textId="77777777" w:rsidTr="00363CAD">
        <w:trPr>
          <w:trHeight w:val="1260"/>
        </w:trPr>
        <w:tc>
          <w:tcPr>
            <w:tcW w:w="2093" w:type="dxa"/>
            <w:tcBorders>
              <w:top w:val="nil"/>
              <w:left w:val="nil"/>
              <w:bottom w:val="nil"/>
              <w:right w:val="nil"/>
            </w:tcBorders>
            <w:shd w:val="clear" w:color="000000" w:fill="FFFFFF"/>
            <w:vAlign w:val="center"/>
            <w:hideMark/>
          </w:tcPr>
          <w:p w14:paraId="182A332C"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Country of origin</w:t>
            </w:r>
          </w:p>
        </w:tc>
        <w:tc>
          <w:tcPr>
            <w:tcW w:w="2319" w:type="dxa"/>
            <w:tcBorders>
              <w:top w:val="nil"/>
              <w:left w:val="nil"/>
              <w:bottom w:val="nil"/>
              <w:right w:val="nil"/>
            </w:tcBorders>
            <w:shd w:val="clear" w:color="000000" w:fill="FFFFFF"/>
            <w:vAlign w:val="center"/>
            <w:hideMark/>
          </w:tcPr>
          <w:p w14:paraId="25F9EBF0"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Multinational (Canada, Europe)</w:t>
            </w:r>
          </w:p>
        </w:tc>
        <w:tc>
          <w:tcPr>
            <w:tcW w:w="1924" w:type="dxa"/>
            <w:tcBorders>
              <w:top w:val="nil"/>
              <w:left w:val="nil"/>
              <w:bottom w:val="nil"/>
              <w:right w:val="nil"/>
            </w:tcBorders>
            <w:shd w:val="clear" w:color="000000" w:fill="FFFFFF"/>
            <w:vAlign w:val="center"/>
            <w:hideMark/>
          </w:tcPr>
          <w:p w14:paraId="7FDD1E91"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France</w:t>
            </w:r>
          </w:p>
        </w:tc>
        <w:tc>
          <w:tcPr>
            <w:tcW w:w="1876" w:type="dxa"/>
            <w:tcBorders>
              <w:top w:val="nil"/>
              <w:left w:val="nil"/>
              <w:bottom w:val="nil"/>
              <w:right w:val="nil"/>
            </w:tcBorders>
            <w:shd w:val="clear" w:color="000000" w:fill="FFFFFF"/>
            <w:vAlign w:val="center"/>
            <w:hideMark/>
          </w:tcPr>
          <w:p w14:paraId="60EA8C59"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The United Kingdom</w:t>
            </w:r>
          </w:p>
        </w:tc>
        <w:tc>
          <w:tcPr>
            <w:tcW w:w="1876" w:type="dxa"/>
            <w:tcBorders>
              <w:top w:val="nil"/>
              <w:left w:val="nil"/>
              <w:bottom w:val="nil"/>
              <w:right w:val="nil"/>
            </w:tcBorders>
            <w:shd w:val="clear" w:color="000000" w:fill="FFFFFF"/>
            <w:vAlign w:val="center"/>
            <w:hideMark/>
          </w:tcPr>
          <w:p w14:paraId="21170CEC"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Canada</w:t>
            </w:r>
          </w:p>
        </w:tc>
        <w:tc>
          <w:tcPr>
            <w:tcW w:w="1876" w:type="dxa"/>
            <w:tcBorders>
              <w:top w:val="nil"/>
              <w:left w:val="nil"/>
              <w:bottom w:val="nil"/>
              <w:right w:val="nil"/>
            </w:tcBorders>
            <w:shd w:val="clear" w:color="000000" w:fill="FFFFFF"/>
            <w:vAlign w:val="center"/>
            <w:hideMark/>
          </w:tcPr>
          <w:p w14:paraId="0C57845E"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Italy</w:t>
            </w:r>
          </w:p>
        </w:tc>
      </w:tr>
      <w:tr w:rsidR="00363CAD" w:rsidRPr="00363CAD" w14:paraId="5F1362EA" w14:textId="77777777" w:rsidTr="00363CAD">
        <w:trPr>
          <w:trHeight w:val="945"/>
        </w:trPr>
        <w:tc>
          <w:tcPr>
            <w:tcW w:w="2093" w:type="dxa"/>
            <w:tcBorders>
              <w:top w:val="nil"/>
              <w:left w:val="nil"/>
              <w:bottom w:val="nil"/>
              <w:right w:val="nil"/>
            </w:tcBorders>
            <w:shd w:val="clear" w:color="000000" w:fill="FFFFFF"/>
            <w:vAlign w:val="center"/>
            <w:hideMark/>
          </w:tcPr>
          <w:p w14:paraId="3661FA7D"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Number of centers</w:t>
            </w:r>
          </w:p>
        </w:tc>
        <w:tc>
          <w:tcPr>
            <w:tcW w:w="2319" w:type="dxa"/>
            <w:tcBorders>
              <w:top w:val="nil"/>
              <w:left w:val="nil"/>
              <w:bottom w:val="nil"/>
              <w:right w:val="nil"/>
            </w:tcBorders>
            <w:shd w:val="clear" w:color="000000" w:fill="FFFFFF"/>
            <w:vAlign w:val="center"/>
            <w:hideMark/>
          </w:tcPr>
          <w:p w14:paraId="67D35C4F"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Multicenter</w:t>
            </w:r>
          </w:p>
        </w:tc>
        <w:tc>
          <w:tcPr>
            <w:tcW w:w="1924" w:type="dxa"/>
            <w:tcBorders>
              <w:top w:val="nil"/>
              <w:left w:val="nil"/>
              <w:bottom w:val="nil"/>
              <w:right w:val="nil"/>
            </w:tcBorders>
            <w:shd w:val="clear" w:color="000000" w:fill="FFFFFF"/>
            <w:vAlign w:val="center"/>
            <w:hideMark/>
          </w:tcPr>
          <w:p w14:paraId="328926CE"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Single center</w:t>
            </w:r>
          </w:p>
        </w:tc>
        <w:tc>
          <w:tcPr>
            <w:tcW w:w="1876" w:type="dxa"/>
            <w:tcBorders>
              <w:top w:val="nil"/>
              <w:left w:val="nil"/>
              <w:bottom w:val="nil"/>
              <w:right w:val="nil"/>
            </w:tcBorders>
            <w:shd w:val="clear" w:color="000000" w:fill="FFFFFF"/>
            <w:vAlign w:val="center"/>
            <w:hideMark/>
          </w:tcPr>
          <w:p w14:paraId="52A27A16"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Single center</w:t>
            </w:r>
          </w:p>
        </w:tc>
        <w:tc>
          <w:tcPr>
            <w:tcW w:w="1876" w:type="dxa"/>
            <w:tcBorders>
              <w:top w:val="nil"/>
              <w:left w:val="nil"/>
              <w:bottom w:val="nil"/>
              <w:right w:val="nil"/>
            </w:tcBorders>
            <w:shd w:val="clear" w:color="000000" w:fill="FFFFFF"/>
            <w:vAlign w:val="center"/>
            <w:hideMark/>
          </w:tcPr>
          <w:p w14:paraId="3E32823F"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Single center</w:t>
            </w:r>
          </w:p>
        </w:tc>
        <w:tc>
          <w:tcPr>
            <w:tcW w:w="1876" w:type="dxa"/>
            <w:tcBorders>
              <w:top w:val="nil"/>
              <w:left w:val="nil"/>
              <w:bottom w:val="nil"/>
              <w:right w:val="nil"/>
            </w:tcBorders>
            <w:shd w:val="clear" w:color="000000" w:fill="FFFFFF"/>
            <w:vAlign w:val="center"/>
            <w:hideMark/>
          </w:tcPr>
          <w:p w14:paraId="32BB8613"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Single center</w:t>
            </w:r>
          </w:p>
        </w:tc>
      </w:tr>
      <w:tr w:rsidR="00363CAD" w:rsidRPr="00363CAD" w14:paraId="6F2855C2" w14:textId="77777777" w:rsidTr="00363CAD">
        <w:trPr>
          <w:trHeight w:val="1575"/>
        </w:trPr>
        <w:tc>
          <w:tcPr>
            <w:tcW w:w="2093" w:type="dxa"/>
            <w:tcBorders>
              <w:top w:val="nil"/>
              <w:left w:val="nil"/>
              <w:bottom w:val="nil"/>
              <w:right w:val="nil"/>
            </w:tcBorders>
            <w:shd w:val="clear" w:color="000000" w:fill="FFFFFF"/>
            <w:vAlign w:val="center"/>
            <w:hideMark/>
          </w:tcPr>
          <w:p w14:paraId="05C686F3"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Study design</w:t>
            </w:r>
          </w:p>
        </w:tc>
        <w:tc>
          <w:tcPr>
            <w:tcW w:w="2319" w:type="dxa"/>
            <w:tcBorders>
              <w:top w:val="nil"/>
              <w:left w:val="nil"/>
              <w:bottom w:val="nil"/>
              <w:right w:val="nil"/>
            </w:tcBorders>
            <w:shd w:val="clear" w:color="000000" w:fill="FFFFFF"/>
            <w:vAlign w:val="center"/>
            <w:hideMark/>
          </w:tcPr>
          <w:p w14:paraId="2C33C6E2"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Retrospective and prospective cohort study</w:t>
            </w:r>
          </w:p>
        </w:tc>
        <w:tc>
          <w:tcPr>
            <w:tcW w:w="1924" w:type="dxa"/>
            <w:tcBorders>
              <w:top w:val="nil"/>
              <w:left w:val="nil"/>
              <w:bottom w:val="nil"/>
              <w:right w:val="nil"/>
            </w:tcBorders>
            <w:shd w:val="clear" w:color="000000" w:fill="FFFFFF"/>
            <w:vAlign w:val="center"/>
            <w:hideMark/>
          </w:tcPr>
          <w:p w14:paraId="5961A531"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Retrospective and prospective cohort study</w:t>
            </w:r>
          </w:p>
        </w:tc>
        <w:tc>
          <w:tcPr>
            <w:tcW w:w="1876" w:type="dxa"/>
            <w:tcBorders>
              <w:top w:val="nil"/>
              <w:left w:val="nil"/>
              <w:bottom w:val="nil"/>
              <w:right w:val="nil"/>
            </w:tcBorders>
            <w:shd w:val="clear" w:color="000000" w:fill="FFFFFF"/>
            <w:vAlign w:val="center"/>
            <w:hideMark/>
          </w:tcPr>
          <w:p w14:paraId="120B2185"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Retrospective cohort study</w:t>
            </w:r>
          </w:p>
        </w:tc>
        <w:tc>
          <w:tcPr>
            <w:tcW w:w="1876" w:type="dxa"/>
            <w:tcBorders>
              <w:top w:val="nil"/>
              <w:left w:val="nil"/>
              <w:bottom w:val="nil"/>
              <w:right w:val="nil"/>
            </w:tcBorders>
            <w:shd w:val="clear" w:color="000000" w:fill="FFFFFF"/>
            <w:vAlign w:val="center"/>
            <w:hideMark/>
          </w:tcPr>
          <w:p w14:paraId="5011A130"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Retrospective cohort study</w:t>
            </w:r>
          </w:p>
        </w:tc>
        <w:tc>
          <w:tcPr>
            <w:tcW w:w="1876" w:type="dxa"/>
            <w:tcBorders>
              <w:top w:val="nil"/>
              <w:left w:val="nil"/>
              <w:bottom w:val="nil"/>
              <w:right w:val="nil"/>
            </w:tcBorders>
            <w:shd w:val="clear" w:color="000000" w:fill="FFFFFF"/>
            <w:vAlign w:val="center"/>
            <w:hideMark/>
          </w:tcPr>
          <w:p w14:paraId="4F619F47"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Retrospective cohort study</w:t>
            </w:r>
          </w:p>
        </w:tc>
      </w:tr>
      <w:tr w:rsidR="00363CAD" w:rsidRPr="00363CAD" w14:paraId="5D17AC40" w14:textId="77777777" w:rsidTr="00363CAD">
        <w:trPr>
          <w:trHeight w:val="8190"/>
        </w:trPr>
        <w:tc>
          <w:tcPr>
            <w:tcW w:w="2093" w:type="dxa"/>
            <w:tcBorders>
              <w:top w:val="nil"/>
              <w:left w:val="nil"/>
              <w:bottom w:val="nil"/>
              <w:right w:val="nil"/>
            </w:tcBorders>
            <w:shd w:val="clear" w:color="000000" w:fill="FFFFFF"/>
            <w:vAlign w:val="center"/>
            <w:hideMark/>
          </w:tcPr>
          <w:p w14:paraId="796EF40D"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lastRenderedPageBreak/>
              <w:t>Study subjects</w:t>
            </w:r>
          </w:p>
        </w:tc>
        <w:tc>
          <w:tcPr>
            <w:tcW w:w="2319" w:type="dxa"/>
            <w:tcBorders>
              <w:top w:val="nil"/>
              <w:left w:val="nil"/>
              <w:bottom w:val="nil"/>
              <w:right w:val="nil"/>
            </w:tcBorders>
            <w:shd w:val="clear" w:color="000000" w:fill="FFFFFF"/>
            <w:vAlign w:val="center"/>
            <w:hideMark/>
          </w:tcPr>
          <w:p w14:paraId="30958B3D"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A total of 4949 patients who underwent TAVI between 2007 and 2018 in 10 tertiary centers were included. Selection of secondary access was up to the heart team. 3906 subjects had matched outcomes</w:t>
            </w:r>
          </w:p>
        </w:tc>
        <w:tc>
          <w:tcPr>
            <w:tcW w:w="1924" w:type="dxa"/>
            <w:tcBorders>
              <w:top w:val="nil"/>
              <w:left w:val="nil"/>
              <w:bottom w:val="nil"/>
              <w:right w:val="nil"/>
            </w:tcBorders>
            <w:shd w:val="clear" w:color="000000" w:fill="FFFFFF"/>
            <w:vAlign w:val="center"/>
            <w:hideMark/>
          </w:tcPr>
          <w:p w14:paraId="740B6804"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Retrospective cohort of 194 patients underwent TFSA TAVI between Sept 2015 and Apr 2016. Prospective cohort of 217 pts underwent TRSA TAVI between April 2016 and May 2017</w:t>
            </w:r>
          </w:p>
        </w:tc>
        <w:tc>
          <w:tcPr>
            <w:tcW w:w="1876" w:type="dxa"/>
            <w:tcBorders>
              <w:top w:val="nil"/>
              <w:left w:val="nil"/>
              <w:bottom w:val="nil"/>
              <w:right w:val="nil"/>
            </w:tcBorders>
            <w:shd w:val="clear" w:color="000000" w:fill="FFFFFF"/>
            <w:vAlign w:val="center"/>
            <w:hideMark/>
          </w:tcPr>
          <w:p w14:paraId="74A25EE1"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All consecutive TAVI cases between May 2015 and June 2017 included. Default TRSA used for all non-TF TAVIs from Jan 2016. Prior to this, secondary access was selected based on clinical grounds</w:t>
            </w:r>
          </w:p>
        </w:tc>
        <w:tc>
          <w:tcPr>
            <w:tcW w:w="1876" w:type="dxa"/>
            <w:tcBorders>
              <w:top w:val="nil"/>
              <w:left w:val="nil"/>
              <w:bottom w:val="nil"/>
              <w:right w:val="nil"/>
            </w:tcBorders>
            <w:shd w:val="clear" w:color="000000" w:fill="FFFFFF"/>
            <w:vAlign w:val="center"/>
            <w:hideMark/>
          </w:tcPr>
          <w:p w14:paraId="141EE07E"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Consecutive patients who underwent TAVI from 2007 to 2014 enrolled. From May 2007-Jan 2013, TFSA was chosen. From Jan 2013 onwards, TRSA was chosen in TFPA TAVI and some non-TFPA TAVI</w:t>
            </w:r>
          </w:p>
        </w:tc>
        <w:tc>
          <w:tcPr>
            <w:tcW w:w="1876" w:type="dxa"/>
            <w:tcBorders>
              <w:top w:val="nil"/>
              <w:left w:val="nil"/>
              <w:bottom w:val="nil"/>
              <w:right w:val="nil"/>
            </w:tcBorders>
            <w:shd w:val="clear" w:color="000000" w:fill="FFFFFF"/>
            <w:vAlign w:val="center"/>
            <w:hideMark/>
          </w:tcPr>
          <w:p w14:paraId="7F96F3E6"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A total of 87 consecutive patients who underwent TFPA TAVI between June 2011 and March 2012 were included in the study. The first 46 TRSA candidates and 41 TFSA candidates were considered</w:t>
            </w:r>
          </w:p>
        </w:tc>
      </w:tr>
      <w:tr w:rsidR="00363CAD" w:rsidRPr="00363CAD" w14:paraId="57A0D950" w14:textId="77777777" w:rsidTr="00363CAD">
        <w:trPr>
          <w:trHeight w:val="630"/>
        </w:trPr>
        <w:tc>
          <w:tcPr>
            <w:tcW w:w="2093" w:type="dxa"/>
            <w:tcBorders>
              <w:top w:val="nil"/>
              <w:left w:val="nil"/>
              <w:bottom w:val="nil"/>
              <w:right w:val="nil"/>
            </w:tcBorders>
            <w:shd w:val="clear" w:color="000000" w:fill="FFFFFF"/>
            <w:vAlign w:val="center"/>
            <w:hideMark/>
          </w:tcPr>
          <w:p w14:paraId="7037EA17"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Primary access</w:t>
            </w:r>
          </w:p>
        </w:tc>
        <w:tc>
          <w:tcPr>
            <w:tcW w:w="2319" w:type="dxa"/>
            <w:tcBorders>
              <w:top w:val="nil"/>
              <w:left w:val="nil"/>
              <w:bottom w:val="nil"/>
              <w:right w:val="nil"/>
            </w:tcBorders>
            <w:shd w:val="clear" w:color="000000" w:fill="FFFFFF"/>
            <w:vAlign w:val="center"/>
            <w:hideMark/>
          </w:tcPr>
          <w:p w14:paraId="2C1C6234"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TF + non-TF</w:t>
            </w:r>
          </w:p>
        </w:tc>
        <w:tc>
          <w:tcPr>
            <w:tcW w:w="1924" w:type="dxa"/>
            <w:tcBorders>
              <w:top w:val="nil"/>
              <w:left w:val="nil"/>
              <w:bottom w:val="nil"/>
              <w:right w:val="nil"/>
            </w:tcBorders>
            <w:shd w:val="clear" w:color="000000" w:fill="FFFFFF"/>
            <w:vAlign w:val="center"/>
            <w:hideMark/>
          </w:tcPr>
          <w:p w14:paraId="57F0234E"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TF only</w:t>
            </w:r>
          </w:p>
        </w:tc>
        <w:tc>
          <w:tcPr>
            <w:tcW w:w="1876" w:type="dxa"/>
            <w:tcBorders>
              <w:top w:val="nil"/>
              <w:left w:val="nil"/>
              <w:bottom w:val="nil"/>
              <w:right w:val="nil"/>
            </w:tcBorders>
            <w:shd w:val="clear" w:color="000000" w:fill="FFFFFF"/>
            <w:vAlign w:val="center"/>
            <w:hideMark/>
          </w:tcPr>
          <w:p w14:paraId="32874CF1"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TF + non-TF</w:t>
            </w:r>
          </w:p>
        </w:tc>
        <w:tc>
          <w:tcPr>
            <w:tcW w:w="1876" w:type="dxa"/>
            <w:tcBorders>
              <w:top w:val="nil"/>
              <w:left w:val="nil"/>
              <w:bottom w:val="nil"/>
              <w:right w:val="nil"/>
            </w:tcBorders>
            <w:shd w:val="clear" w:color="000000" w:fill="FFFFFF"/>
            <w:vAlign w:val="center"/>
            <w:hideMark/>
          </w:tcPr>
          <w:p w14:paraId="0B9F78B8"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TF + non-TF</w:t>
            </w:r>
          </w:p>
        </w:tc>
        <w:tc>
          <w:tcPr>
            <w:tcW w:w="1876" w:type="dxa"/>
            <w:tcBorders>
              <w:top w:val="nil"/>
              <w:left w:val="nil"/>
              <w:bottom w:val="nil"/>
              <w:right w:val="nil"/>
            </w:tcBorders>
            <w:shd w:val="clear" w:color="000000" w:fill="FFFFFF"/>
            <w:vAlign w:val="center"/>
            <w:hideMark/>
          </w:tcPr>
          <w:p w14:paraId="7FE6E309"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TF only</w:t>
            </w:r>
          </w:p>
        </w:tc>
      </w:tr>
      <w:tr w:rsidR="00363CAD" w:rsidRPr="00363CAD" w14:paraId="5C451369" w14:textId="77777777" w:rsidTr="00363CAD">
        <w:trPr>
          <w:trHeight w:val="3150"/>
        </w:trPr>
        <w:tc>
          <w:tcPr>
            <w:tcW w:w="2093" w:type="dxa"/>
            <w:tcBorders>
              <w:top w:val="nil"/>
              <w:left w:val="nil"/>
              <w:bottom w:val="nil"/>
              <w:right w:val="nil"/>
            </w:tcBorders>
            <w:shd w:val="clear" w:color="000000" w:fill="FFFFFF"/>
            <w:vAlign w:val="center"/>
            <w:hideMark/>
          </w:tcPr>
          <w:p w14:paraId="50BDB471"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lastRenderedPageBreak/>
              <w:t>Total No. of study subjects (APA) with matched or adjusted data if available</w:t>
            </w:r>
          </w:p>
        </w:tc>
        <w:tc>
          <w:tcPr>
            <w:tcW w:w="2319" w:type="dxa"/>
            <w:tcBorders>
              <w:top w:val="nil"/>
              <w:left w:val="nil"/>
              <w:bottom w:val="nil"/>
              <w:right w:val="nil"/>
            </w:tcBorders>
            <w:shd w:val="clear" w:color="000000" w:fill="FFFFFF"/>
            <w:vAlign w:val="center"/>
            <w:hideMark/>
          </w:tcPr>
          <w:p w14:paraId="18C03FD9"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3906 (TRSA = 928, TFSA = 2978)</w:t>
            </w:r>
          </w:p>
        </w:tc>
        <w:tc>
          <w:tcPr>
            <w:tcW w:w="1924" w:type="dxa"/>
            <w:tcBorders>
              <w:top w:val="nil"/>
              <w:left w:val="nil"/>
              <w:bottom w:val="nil"/>
              <w:right w:val="nil"/>
            </w:tcBorders>
            <w:shd w:val="clear" w:color="000000" w:fill="FFFFFF"/>
            <w:vAlign w:val="center"/>
            <w:hideMark/>
          </w:tcPr>
          <w:p w14:paraId="225E37C8"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411 (TRSA = 217, TFSA = 194)</w:t>
            </w:r>
          </w:p>
        </w:tc>
        <w:tc>
          <w:tcPr>
            <w:tcW w:w="1876" w:type="dxa"/>
            <w:tcBorders>
              <w:top w:val="nil"/>
              <w:left w:val="nil"/>
              <w:bottom w:val="nil"/>
              <w:right w:val="nil"/>
            </w:tcBorders>
            <w:shd w:val="clear" w:color="000000" w:fill="FFFFFF"/>
            <w:vAlign w:val="center"/>
            <w:hideMark/>
          </w:tcPr>
          <w:p w14:paraId="138EC63B"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199 (TRSA = 135, TFSA = 64)</w:t>
            </w:r>
          </w:p>
        </w:tc>
        <w:tc>
          <w:tcPr>
            <w:tcW w:w="1876" w:type="dxa"/>
            <w:tcBorders>
              <w:top w:val="nil"/>
              <w:left w:val="nil"/>
              <w:bottom w:val="nil"/>
              <w:right w:val="nil"/>
            </w:tcBorders>
            <w:shd w:val="clear" w:color="000000" w:fill="FFFFFF"/>
            <w:vAlign w:val="center"/>
            <w:hideMark/>
          </w:tcPr>
          <w:p w14:paraId="67577F5A"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462 (TRSA = 127, TFSA = 335) </w:t>
            </w:r>
          </w:p>
        </w:tc>
        <w:tc>
          <w:tcPr>
            <w:tcW w:w="1876" w:type="dxa"/>
            <w:tcBorders>
              <w:top w:val="nil"/>
              <w:left w:val="nil"/>
              <w:bottom w:val="nil"/>
              <w:right w:val="nil"/>
            </w:tcBorders>
            <w:shd w:val="clear" w:color="000000" w:fill="FFFFFF"/>
            <w:vAlign w:val="center"/>
            <w:hideMark/>
          </w:tcPr>
          <w:p w14:paraId="22BD8932"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87 (TRSA = 46, TFSA = 41)</w:t>
            </w:r>
          </w:p>
        </w:tc>
      </w:tr>
      <w:tr w:rsidR="00363CAD" w:rsidRPr="00363CAD" w14:paraId="4F7ED138" w14:textId="77777777" w:rsidTr="00363CAD">
        <w:trPr>
          <w:trHeight w:val="2835"/>
        </w:trPr>
        <w:tc>
          <w:tcPr>
            <w:tcW w:w="2093" w:type="dxa"/>
            <w:tcBorders>
              <w:top w:val="nil"/>
              <w:left w:val="nil"/>
              <w:bottom w:val="nil"/>
              <w:right w:val="nil"/>
            </w:tcBorders>
            <w:shd w:val="clear" w:color="000000" w:fill="FFFFFF"/>
            <w:vAlign w:val="center"/>
            <w:hideMark/>
          </w:tcPr>
          <w:p w14:paraId="61069196"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Total No. of study subjects (TFPA) with matched or adjusted data</w:t>
            </w:r>
          </w:p>
        </w:tc>
        <w:tc>
          <w:tcPr>
            <w:tcW w:w="2319" w:type="dxa"/>
            <w:tcBorders>
              <w:top w:val="nil"/>
              <w:left w:val="nil"/>
              <w:bottom w:val="nil"/>
              <w:right w:val="nil"/>
            </w:tcBorders>
            <w:shd w:val="clear" w:color="000000" w:fill="FFFFFF"/>
            <w:vAlign w:val="center"/>
            <w:hideMark/>
          </w:tcPr>
          <w:p w14:paraId="540C1DA7"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NA</w:t>
            </w:r>
          </w:p>
        </w:tc>
        <w:tc>
          <w:tcPr>
            <w:tcW w:w="1924" w:type="dxa"/>
            <w:tcBorders>
              <w:top w:val="nil"/>
              <w:left w:val="nil"/>
              <w:bottom w:val="nil"/>
              <w:right w:val="nil"/>
            </w:tcBorders>
            <w:shd w:val="clear" w:color="000000" w:fill="FFFFFF"/>
            <w:vAlign w:val="center"/>
            <w:hideMark/>
          </w:tcPr>
          <w:p w14:paraId="6FDA7AAA"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411 (TRSA = 217, TFSA = 194)</w:t>
            </w:r>
          </w:p>
        </w:tc>
        <w:tc>
          <w:tcPr>
            <w:tcW w:w="1876" w:type="dxa"/>
            <w:tcBorders>
              <w:top w:val="nil"/>
              <w:left w:val="nil"/>
              <w:bottom w:val="nil"/>
              <w:right w:val="nil"/>
            </w:tcBorders>
            <w:shd w:val="clear" w:color="000000" w:fill="FFFFFF"/>
            <w:vAlign w:val="center"/>
            <w:hideMark/>
          </w:tcPr>
          <w:p w14:paraId="2BA0B449"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179 (TRSA = 115, TFSA = 64)</w:t>
            </w:r>
          </w:p>
        </w:tc>
        <w:tc>
          <w:tcPr>
            <w:tcW w:w="1876" w:type="dxa"/>
            <w:tcBorders>
              <w:top w:val="nil"/>
              <w:left w:val="nil"/>
              <w:bottom w:val="nil"/>
              <w:right w:val="nil"/>
            </w:tcBorders>
            <w:shd w:val="clear" w:color="000000" w:fill="FFFFFF"/>
            <w:vAlign w:val="center"/>
            <w:hideMark/>
          </w:tcPr>
          <w:p w14:paraId="4F3116FB"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221 (TRSA = 118, TFSA = 103) </w:t>
            </w:r>
          </w:p>
        </w:tc>
        <w:tc>
          <w:tcPr>
            <w:tcW w:w="1876" w:type="dxa"/>
            <w:tcBorders>
              <w:top w:val="nil"/>
              <w:left w:val="nil"/>
              <w:bottom w:val="nil"/>
              <w:right w:val="nil"/>
            </w:tcBorders>
            <w:shd w:val="clear" w:color="000000" w:fill="FFFFFF"/>
            <w:vAlign w:val="center"/>
            <w:hideMark/>
          </w:tcPr>
          <w:p w14:paraId="294B7972" w14:textId="77777777" w:rsidR="00363CAD" w:rsidRPr="00363CAD" w:rsidRDefault="00363CAD" w:rsidP="00FA442F">
            <w:pPr>
              <w:spacing w:line="360" w:lineRule="auto"/>
              <w:jc w:val="both"/>
              <w:rPr>
                <w:rFonts w:ascii="Book Antiqua" w:eastAsia="宋体" w:hAnsi="Book Antiqua" w:cs="宋体"/>
                <w:color w:val="000000"/>
                <w:lang w:eastAsia="zh-CN"/>
              </w:rPr>
            </w:pPr>
            <w:r w:rsidRPr="00363CAD">
              <w:rPr>
                <w:rFonts w:ascii="Book Antiqua" w:eastAsia="宋体" w:hAnsi="Book Antiqua" w:cs="宋体"/>
                <w:color w:val="000000"/>
                <w:lang w:eastAsia="zh-CN"/>
              </w:rPr>
              <w:t>87 (TRSA = 46, TFSA = 41)</w:t>
            </w:r>
          </w:p>
        </w:tc>
      </w:tr>
      <w:tr w:rsidR="00363CAD" w:rsidRPr="00363CAD" w14:paraId="0601CD2A" w14:textId="77777777" w:rsidTr="00363CAD">
        <w:trPr>
          <w:trHeight w:val="1260"/>
        </w:trPr>
        <w:tc>
          <w:tcPr>
            <w:tcW w:w="2093" w:type="dxa"/>
            <w:tcBorders>
              <w:top w:val="nil"/>
              <w:left w:val="nil"/>
              <w:bottom w:val="nil"/>
              <w:right w:val="nil"/>
            </w:tcBorders>
            <w:shd w:val="clear" w:color="000000" w:fill="FFFFFF"/>
            <w:vAlign w:val="center"/>
            <w:hideMark/>
          </w:tcPr>
          <w:p w14:paraId="4F2D4422" w14:textId="77777777" w:rsidR="00363CAD" w:rsidRPr="00363CAD" w:rsidRDefault="00363CAD" w:rsidP="00FA442F">
            <w:pPr>
              <w:spacing w:line="360" w:lineRule="auto"/>
              <w:ind w:firstLineChars="100" w:firstLine="240"/>
              <w:rPr>
                <w:rFonts w:ascii="Book Antiqua" w:eastAsia="宋体" w:hAnsi="Book Antiqua" w:cs="宋体"/>
                <w:color w:val="000000"/>
                <w:lang w:eastAsia="zh-CN"/>
              </w:rPr>
            </w:pPr>
            <w:r w:rsidRPr="00363CAD">
              <w:rPr>
                <w:rFonts w:ascii="Book Antiqua" w:eastAsia="宋体" w:hAnsi="Book Antiqua" w:cs="宋体"/>
                <w:color w:val="000000"/>
                <w:lang w:eastAsia="zh-CN"/>
              </w:rPr>
              <w:t>Definition of bleeding and vascular events</w:t>
            </w:r>
          </w:p>
        </w:tc>
        <w:tc>
          <w:tcPr>
            <w:tcW w:w="2319" w:type="dxa"/>
            <w:tcBorders>
              <w:top w:val="nil"/>
              <w:left w:val="nil"/>
              <w:bottom w:val="nil"/>
              <w:right w:val="nil"/>
            </w:tcBorders>
            <w:shd w:val="clear" w:color="000000" w:fill="FFFFFF"/>
            <w:vAlign w:val="center"/>
            <w:hideMark/>
          </w:tcPr>
          <w:p w14:paraId="169BB0AF"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VARC-2 criteria</w:t>
            </w:r>
          </w:p>
        </w:tc>
        <w:tc>
          <w:tcPr>
            <w:tcW w:w="1924" w:type="dxa"/>
            <w:tcBorders>
              <w:top w:val="nil"/>
              <w:left w:val="nil"/>
              <w:bottom w:val="nil"/>
              <w:right w:val="nil"/>
            </w:tcBorders>
            <w:shd w:val="clear" w:color="000000" w:fill="FFFFFF"/>
            <w:vAlign w:val="center"/>
            <w:hideMark/>
          </w:tcPr>
          <w:p w14:paraId="6DD5E55D"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VARC-2 criteria</w:t>
            </w:r>
          </w:p>
        </w:tc>
        <w:tc>
          <w:tcPr>
            <w:tcW w:w="1876" w:type="dxa"/>
            <w:tcBorders>
              <w:top w:val="nil"/>
              <w:left w:val="nil"/>
              <w:bottom w:val="nil"/>
              <w:right w:val="nil"/>
            </w:tcBorders>
            <w:shd w:val="clear" w:color="000000" w:fill="FFFFFF"/>
            <w:vAlign w:val="center"/>
            <w:hideMark/>
          </w:tcPr>
          <w:p w14:paraId="41CD1F0A"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VARC-2 criteria</w:t>
            </w:r>
          </w:p>
        </w:tc>
        <w:tc>
          <w:tcPr>
            <w:tcW w:w="1876" w:type="dxa"/>
            <w:tcBorders>
              <w:top w:val="nil"/>
              <w:left w:val="nil"/>
              <w:bottom w:val="nil"/>
              <w:right w:val="nil"/>
            </w:tcBorders>
            <w:shd w:val="clear" w:color="000000" w:fill="FFFFFF"/>
            <w:vAlign w:val="center"/>
            <w:hideMark/>
          </w:tcPr>
          <w:p w14:paraId="752C9F04"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VARC-2 criteria</w:t>
            </w:r>
          </w:p>
        </w:tc>
        <w:tc>
          <w:tcPr>
            <w:tcW w:w="1876" w:type="dxa"/>
            <w:tcBorders>
              <w:top w:val="nil"/>
              <w:left w:val="nil"/>
              <w:bottom w:val="nil"/>
              <w:right w:val="nil"/>
            </w:tcBorders>
            <w:shd w:val="clear" w:color="000000" w:fill="FFFFFF"/>
            <w:vAlign w:val="center"/>
            <w:hideMark/>
          </w:tcPr>
          <w:p w14:paraId="4BDD5B3B"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Original VARC criteria</w:t>
            </w:r>
          </w:p>
        </w:tc>
      </w:tr>
      <w:tr w:rsidR="00363CAD" w:rsidRPr="00363CAD" w14:paraId="29F2BBEC" w14:textId="77777777" w:rsidTr="00363CAD">
        <w:trPr>
          <w:trHeight w:val="6030"/>
        </w:trPr>
        <w:tc>
          <w:tcPr>
            <w:tcW w:w="2093" w:type="dxa"/>
            <w:tcBorders>
              <w:top w:val="nil"/>
              <w:left w:val="nil"/>
              <w:bottom w:val="nil"/>
              <w:right w:val="nil"/>
            </w:tcBorders>
            <w:shd w:val="clear" w:color="000000" w:fill="FFFFFF"/>
            <w:vAlign w:val="center"/>
            <w:hideMark/>
          </w:tcPr>
          <w:p w14:paraId="0E2878DC" w14:textId="77777777" w:rsidR="00363CAD" w:rsidRPr="00363CAD" w:rsidRDefault="00363CAD" w:rsidP="00FA442F">
            <w:pPr>
              <w:spacing w:line="360" w:lineRule="auto"/>
              <w:ind w:firstLineChars="100" w:firstLine="240"/>
              <w:rPr>
                <w:rFonts w:ascii="Book Antiqua" w:eastAsia="宋体" w:hAnsi="Book Antiqua" w:cs="宋体"/>
                <w:color w:val="000000"/>
                <w:lang w:eastAsia="zh-CN"/>
              </w:rPr>
            </w:pPr>
            <w:r w:rsidRPr="00363CAD">
              <w:rPr>
                <w:rFonts w:ascii="Book Antiqua" w:eastAsia="宋体" w:hAnsi="Book Antiqua" w:cs="宋体"/>
                <w:color w:val="000000"/>
                <w:lang w:eastAsia="zh-CN"/>
              </w:rPr>
              <w:lastRenderedPageBreak/>
              <w:t>Limitations of study</w:t>
            </w:r>
          </w:p>
        </w:tc>
        <w:tc>
          <w:tcPr>
            <w:tcW w:w="2319" w:type="dxa"/>
            <w:tcBorders>
              <w:top w:val="nil"/>
              <w:left w:val="nil"/>
              <w:bottom w:val="nil"/>
              <w:right w:val="nil"/>
            </w:tcBorders>
            <w:shd w:val="clear" w:color="000000" w:fill="FFFFFF"/>
            <w:vAlign w:val="center"/>
            <w:hideMark/>
          </w:tcPr>
          <w:p w14:paraId="41B15707"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Nonrandomized study</w:t>
            </w:r>
          </w:p>
        </w:tc>
        <w:tc>
          <w:tcPr>
            <w:tcW w:w="1924" w:type="dxa"/>
            <w:tcBorders>
              <w:top w:val="nil"/>
              <w:left w:val="nil"/>
              <w:bottom w:val="nil"/>
              <w:right w:val="nil"/>
            </w:tcBorders>
            <w:shd w:val="clear" w:color="000000" w:fill="FFFFFF"/>
            <w:vAlign w:val="center"/>
            <w:hideMark/>
          </w:tcPr>
          <w:p w14:paraId="4B648FD8"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(1) Non-randomized study; (2) Relatively small sample size; (3) TFSA technique was novel resulting in a learning curve</w:t>
            </w:r>
          </w:p>
        </w:tc>
        <w:tc>
          <w:tcPr>
            <w:tcW w:w="1876" w:type="dxa"/>
            <w:tcBorders>
              <w:top w:val="nil"/>
              <w:left w:val="nil"/>
              <w:bottom w:val="nil"/>
              <w:right w:val="nil"/>
            </w:tcBorders>
            <w:shd w:val="clear" w:color="000000" w:fill="FFFFFF"/>
            <w:vAlign w:val="center"/>
            <w:hideMark/>
          </w:tcPr>
          <w:p w14:paraId="6BEF2550"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(1) Non-randomized study; (2) Relatively small sample size; (3) Unclear if there was a difference in the populations (risk adjustment not reported)</w:t>
            </w:r>
          </w:p>
        </w:tc>
        <w:tc>
          <w:tcPr>
            <w:tcW w:w="1876" w:type="dxa"/>
            <w:tcBorders>
              <w:top w:val="nil"/>
              <w:left w:val="nil"/>
              <w:bottom w:val="nil"/>
              <w:right w:val="nil"/>
            </w:tcBorders>
            <w:shd w:val="clear" w:color="000000" w:fill="FFFFFF"/>
            <w:vAlign w:val="center"/>
            <w:hideMark/>
          </w:tcPr>
          <w:p w14:paraId="507751B7"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(1) Non-randomized study; (2) Relatively small sample size; (3) Low use of percutaneous closure devices (13%) for obtaining hemostasis in TFSA</w:t>
            </w:r>
          </w:p>
        </w:tc>
        <w:tc>
          <w:tcPr>
            <w:tcW w:w="1876" w:type="dxa"/>
            <w:tcBorders>
              <w:top w:val="nil"/>
              <w:left w:val="nil"/>
              <w:bottom w:val="nil"/>
              <w:right w:val="nil"/>
            </w:tcBorders>
            <w:shd w:val="clear" w:color="000000" w:fill="FFFFFF"/>
            <w:vAlign w:val="center"/>
            <w:hideMark/>
          </w:tcPr>
          <w:p w14:paraId="0C86C9A7"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(1) Non-randomized study; (2) Relatively small sample size; (3) TFSA technique was novel resulting in a learning curve</w:t>
            </w:r>
          </w:p>
        </w:tc>
      </w:tr>
      <w:tr w:rsidR="00363CAD" w:rsidRPr="00363CAD" w14:paraId="17B43AC0" w14:textId="77777777" w:rsidTr="00363CAD">
        <w:trPr>
          <w:trHeight w:val="2205"/>
        </w:trPr>
        <w:tc>
          <w:tcPr>
            <w:tcW w:w="2093" w:type="dxa"/>
            <w:tcBorders>
              <w:top w:val="nil"/>
              <w:left w:val="nil"/>
              <w:bottom w:val="nil"/>
              <w:right w:val="nil"/>
            </w:tcBorders>
            <w:shd w:val="clear" w:color="000000" w:fill="FFFFFF"/>
            <w:vAlign w:val="center"/>
            <w:hideMark/>
          </w:tcPr>
          <w:p w14:paraId="602025AC" w14:textId="77777777" w:rsidR="00363CAD" w:rsidRPr="00363CAD" w:rsidRDefault="00363CAD" w:rsidP="00FA442F">
            <w:pPr>
              <w:spacing w:line="360" w:lineRule="auto"/>
              <w:ind w:firstLineChars="100" w:firstLine="240"/>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Was risk-adjustment done? </w:t>
            </w:r>
          </w:p>
        </w:tc>
        <w:tc>
          <w:tcPr>
            <w:tcW w:w="2319" w:type="dxa"/>
            <w:tcBorders>
              <w:top w:val="nil"/>
              <w:left w:val="nil"/>
              <w:bottom w:val="nil"/>
              <w:right w:val="nil"/>
            </w:tcBorders>
            <w:shd w:val="clear" w:color="000000" w:fill="FFFFFF"/>
            <w:vAlign w:val="center"/>
            <w:hideMark/>
          </w:tcPr>
          <w:p w14:paraId="4C5228A0"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Both unadjusted and propensity score-matched data available</w:t>
            </w:r>
          </w:p>
        </w:tc>
        <w:tc>
          <w:tcPr>
            <w:tcW w:w="1924" w:type="dxa"/>
            <w:tcBorders>
              <w:top w:val="nil"/>
              <w:left w:val="nil"/>
              <w:bottom w:val="nil"/>
              <w:right w:val="nil"/>
            </w:tcBorders>
            <w:shd w:val="clear" w:color="000000" w:fill="FFFFFF"/>
            <w:vAlign w:val="center"/>
            <w:hideMark/>
          </w:tcPr>
          <w:p w14:paraId="06ED669C"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Adjusted for age, </w:t>
            </w:r>
            <w:proofErr w:type="spellStart"/>
            <w:r w:rsidRPr="00363CAD">
              <w:rPr>
                <w:rFonts w:ascii="Book Antiqua" w:eastAsia="宋体" w:hAnsi="Book Antiqua" w:cs="宋体"/>
                <w:color w:val="000000"/>
                <w:lang w:eastAsia="zh-CN"/>
              </w:rPr>
              <w:t>Euroscore</w:t>
            </w:r>
            <w:proofErr w:type="spellEnd"/>
            <w:r w:rsidRPr="00363CAD">
              <w:rPr>
                <w:rFonts w:ascii="Book Antiqua" w:eastAsia="宋体" w:hAnsi="Book Antiqua" w:cs="宋体"/>
                <w:color w:val="000000"/>
                <w:lang w:eastAsia="zh-CN"/>
              </w:rPr>
              <w:t xml:space="preserve">, BMI, NYHA class, type, and size of valve  </w:t>
            </w:r>
          </w:p>
        </w:tc>
        <w:tc>
          <w:tcPr>
            <w:tcW w:w="1876" w:type="dxa"/>
            <w:tcBorders>
              <w:top w:val="nil"/>
              <w:left w:val="nil"/>
              <w:bottom w:val="nil"/>
              <w:right w:val="nil"/>
            </w:tcBorders>
            <w:shd w:val="clear" w:color="000000" w:fill="FFFFFF"/>
            <w:vAlign w:val="center"/>
            <w:hideMark/>
          </w:tcPr>
          <w:p w14:paraId="5C861209"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Not reported</w:t>
            </w:r>
          </w:p>
        </w:tc>
        <w:tc>
          <w:tcPr>
            <w:tcW w:w="1876" w:type="dxa"/>
            <w:tcBorders>
              <w:top w:val="nil"/>
              <w:left w:val="nil"/>
              <w:bottom w:val="nil"/>
              <w:right w:val="nil"/>
            </w:tcBorders>
            <w:shd w:val="clear" w:color="000000" w:fill="FFFFFF"/>
            <w:vAlign w:val="center"/>
            <w:hideMark/>
          </w:tcPr>
          <w:p w14:paraId="1E6ED949"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Adjusted for gender and peripheral disease</w:t>
            </w:r>
          </w:p>
        </w:tc>
        <w:tc>
          <w:tcPr>
            <w:tcW w:w="1876" w:type="dxa"/>
            <w:tcBorders>
              <w:top w:val="nil"/>
              <w:left w:val="nil"/>
              <w:bottom w:val="nil"/>
              <w:right w:val="nil"/>
            </w:tcBorders>
            <w:shd w:val="clear" w:color="000000" w:fill="FFFFFF"/>
            <w:vAlign w:val="center"/>
            <w:hideMark/>
          </w:tcPr>
          <w:p w14:paraId="1D927C38"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Not reported</w:t>
            </w:r>
          </w:p>
        </w:tc>
      </w:tr>
      <w:tr w:rsidR="00363CAD" w:rsidRPr="00363CAD" w14:paraId="2D255558" w14:textId="77777777" w:rsidTr="00363CAD">
        <w:trPr>
          <w:trHeight w:val="630"/>
        </w:trPr>
        <w:tc>
          <w:tcPr>
            <w:tcW w:w="2093" w:type="dxa"/>
            <w:tcBorders>
              <w:top w:val="nil"/>
              <w:left w:val="nil"/>
              <w:bottom w:val="nil"/>
              <w:right w:val="nil"/>
            </w:tcBorders>
            <w:shd w:val="clear" w:color="000000" w:fill="FFFFFF"/>
            <w:vAlign w:val="center"/>
            <w:hideMark/>
          </w:tcPr>
          <w:p w14:paraId="783E9962"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TAVI Procedure </w:t>
            </w:r>
            <w:r w:rsidRPr="00363CAD">
              <w:rPr>
                <w:rFonts w:ascii="Book Antiqua" w:eastAsia="宋体" w:hAnsi="Book Antiqua" w:cs="宋体"/>
                <w:color w:val="000000"/>
                <w:lang w:eastAsia="zh-CN"/>
              </w:rPr>
              <w:lastRenderedPageBreak/>
              <w:t>details</w:t>
            </w:r>
          </w:p>
        </w:tc>
        <w:tc>
          <w:tcPr>
            <w:tcW w:w="2319" w:type="dxa"/>
            <w:tcBorders>
              <w:top w:val="nil"/>
              <w:left w:val="nil"/>
              <w:bottom w:val="nil"/>
              <w:right w:val="nil"/>
            </w:tcBorders>
            <w:shd w:val="clear" w:color="000000" w:fill="FFFFFF"/>
            <w:vAlign w:val="center"/>
            <w:hideMark/>
          </w:tcPr>
          <w:p w14:paraId="148F494D" w14:textId="6A4B08F7" w:rsidR="00363CAD" w:rsidRPr="00363CAD" w:rsidRDefault="00363CAD" w:rsidP="00FA442F">
            <w:pPr>
              <w:spacing w:line="360" w:lineRule="auto"/>
              <w:rPr>
                <w:rFonts w:ascii="Book Antiqua" w:eastAsia="宋体" w:hAnsi="Book Antiqua" w:cs="宋体"/>
                <w:color w:val="000000"/>
                <w:lang w:eastAsia="zh-CN"/>
              </w:rPr>
            </w:pPr>
            <w:r>
              <w:rPr>
                <w:rFonts w:ascii="Book Antiqua" w:eastAsia="宋体" w:hAnsi="Book Antiqua" w:cs="宋体" w:hint="eastAsia"/>
                <w:color w:val="000000"/>
                <w:lang w:eastAsia="zh-CN"/>
              </w:rPr>
              <w:lastRenderedPageBreak/>
              <w:t xml:space="preserve"> </w:t>
            </w:r>
          </w:p>
        </w:tc>
        <w:tc>
          <w:tcPr>
            <w:tcW w:w="1924" w:type="dxa"/>
            <w:tcBorders>
              <w:top w:val="nil"/>
              <w:left w:val="nil"/>
              <w:bottom w:val="nil"/>
              <w:right w:val="nil"/>
            </w:tcBorders>
            <w:shd w:val="clear" w:color="000000" w:fill="FFFFFF"/>
            <w:vAlign w:val="center"/>
            <w:hideMark/>
          </w:tcPr>
          <w:p w14:paraId="57FBDCD2" w14:textId="3062378F" w:rsidR="00363CAD" w:rsidRPr="00363CAD" w:rsidRDefault="00363CAD" w:rsidP="00FA442F">
            <w:pPr>
              <w:spacing w:line="360" w:lineRule="auto"/>
              <w:rPr>
                <w:rFonts w:ascii="Book Antiqua" w:eastAsia="宋体" w:hAnsi="Book Antiqua" w:cs="宋体"/>
                <w:color w:val="000000"/>
                <w:lang w:eastAsia="zh-CN"/>
              </w:rPr>
            </w:pPr>
          </w:p>
        </w:tc>
        <w:tc>
          <w:tcPr>
            <w:tcW w:w="1876" w:type="dxa"/>
            <w:tcBorders>
              <w:top w:val="nil"/>
              <w:left w:val="nil"/>
              <w:bottom w:val="nil"/>
              <w:right w:val="nil"/>
            </w:tcBorders>
            <w:shd w:val="clear" w:color="000000" w:fill="FFFFFF"/>
            <w:vAlign w:val="center"/>
            <w:hideMark/>
          </w:tcPr>
          <w:p w14:paraId="745359EC" w14:textId="42FA25F1" w:rsidR="00363CAD" w:rsidRPr="00363CAD" w:rsidRDefault="00363CAD" w:rsidP="00FA442F">
            <w:pPr>
              <w:spacing w:line="360" w:lineRule="auto"/>
              <w:rPr>
                <w:rFonts w:ascii="Book Antiqua" w:eastAsia="宋体" w:hAnsi="Book Antiqua" w:cs="宋体"/>
                <w:color w:val="000000"/>
                <w:lang w:eastAsia="zh-CN"/>
              </w:rPr>
            </w:pPr>
          </w:p>
        </w:tc>
        <w:tc>
          <w:tcPr>
            <w:tcW w:w="1876" w:type="dxa"/>
            <w:tcBorders>
              <w:top w:val="nil"/>
              <w:left w:val="nil"/>
              <w:bottom w:val="nil"/>
              <w:right w:val="nil"/>
            </w:tcBorders>
            <w:shd w:val="clear" w:color="000000" w:fill="FFFFFF"/>
            <w:vAlign w:val="center"/>
            <w:hideMark/>
          </w:tcPr>
          <w:p w14:paraId="3CADB9AE" w14:textId="118E62D9" w:rsidR="00363CAD" w:rsidRPr="00363CAD" w:rsidRDefault="00363CAD" w:rsidP="00FA442F">
            <w:pPr>
              <w:spacing w:line="360" w:lineRule="auto"/>
              <w:rPr>
                <w:rFonts w:ascii="Book Antiqua" w:eastAsia="宋体" w:hAnsi="Book Antiqua" w:cs="宋体"/>
                <w:color w:val="000000"/>
                <w:lang w:eastAsia="zh-CN"/>
              </w:rPr>
            </w:pPr>
          </w:p>
        </w:tc>
        <w:tc>
          <w:tcPr>
            <w:tcW w:w="1876" w:type="dxa"/>
            <w:tcBorders>
              <w:top w:val="nil"/>
              <w:left w:val="nil"/>
              <w:bottom w:val="nil"/>
              <w:right w:val="nil"/>
            </w:tcBorders>
            <w:shd w:val="clear" w:color="000000" w:fill="FFFFFF"/>
            <w:vAlign w:val="center"/>
            <w:hideMark/>
          </w:tcPr>
          <w:p w14:paraId="6FB9274B" w14:textId="1E72DF93" w:rsidR="00363CAD" w:rsidRPr="00363CAD" w:rsidRDefault="00363CAD" w:rsidP="00FA442F">
            <w:pPr>
              <w:spacing w:line="360" w:lineRule="auto"/>
              <w:rPr>
                <w:rFonts w:ascii="Book Antiqua" w:eastAsia="宋体" w:hAnsi="Book Antiqua" w:cs="宋体"/>
                <w:color w:val="000000"/>
                <w:lang w:eastAsia="zh-CN"/>
              </w:rPr>
            </w:pPr>
          </w:p>
        </w:tc>
      </w:tr>
      <w:tr w:rsidR="00363CAD" w:rsidRPr="00363CAD" w14:paraId="7922DC51" w14:textId="77777777" w:rsidTr="00363CAD">
        <w:trPr>
          <w:trHeight w:val="1935"/>
        </w:trPr>
        <w:tc>
          <w:tcPr>
            <w:tcW w:w="2093" w:type="dxa"/>
            <w:tcBorders>
              <w:top w:val="nil"/>
              <w:left w:val="nil"/>
              <w:bottom w:val="nil"/>
              <w:right w:val="nil"/>
            </w:tcBorders>
            <w:shd w:val="clear" w:color="000000" w:fill="FFFFFF"/>
            <w:vAlign w:val="center"/>
            <w:hideMark/>
          </w:tcPr>
          <w:p w14:paraId="0C47D66E"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lastRenderedPageBreak/>
              <w:t>Hemostasis of PA</w:t>
            </w:r>
          </w:p>
        </w:tc>
        <w:tc>
          <w:tcPr>
            <w:tcW w:w="2319" w:type="dxa"/>
            <w:tcBorders>
              <w:top w:val="nil"/>
              <w:left w:val="nil"/>
              <w:bottom w:val="nil"/>
              <w:right w:val="nil"/>
            </w:tcBorders>
            <w:shd w:val="clear" w:color="000000" w:fill="FFFFFF"/>
            <w:vAlign w:val="center"/>
            <w:hideMark/>
          </w:tcPr>
          <w:p w14:paraId="3AF9FC0C"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TFPA—Percutaneous in 76.3%, surgical </w:t>
            </w:r>
            <w:proofErr w:type="spellStart"/>
            <w:r w:rsidRPr="00363CAD">
              <w:rPr>
                <w:rFonts w:ascii="Book Antiqua" w:eastAsia="宋体" w:hAnsi="Book Antiqua" w:cs="宋体"/>
                <w:color w:val="000000"/>
                <w:lang w:eastAsia="zh-CN"/>
              </w:rPr>
              <w:t>cutdown</w:t>
            </w:r>
            <w:proofErr w:type="spellEnd"/>
            <w:r w:rsidRPr="00363CAD">
              <w:rPr>
                <w:rFonts w:ascii="Book Antiqua" w:eastAsia="宋体" w:hAnsi="Book Antiqua" w:cs="宋体"/>
                <w:color w:val="000000"/>
                <w:lang w:eastAsia="zh-CN"/>
              </w:rPr>
              <w:t xml:space="preserve"> in 23.7%</w:t>
            </w:r>
          </w:p>
        </w:tc>
        <w:tc>
          <w:tcPr>
            <w:tcW w:w="1924" w:type="dxa"/>
            <w:tcBorders>
              <w:top w:val="nil"/>
              <w:left w:val="nil"/>
              <w:bottom w:val="nil"/>
              <w:right w:val="nil"/>
            </w:tcBorders>
            <w:shd w:val="clear" w:color="000000" w:fill="FFFFFF"/>
            <w:vAlign w:val="center"/>
            <w:hideMark/>
          </w:tcPr>
          <w:p w14:paraId="23473A25"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TFPA—</w:t>
            </w:r>
            <w:proofErr w:type="spellStart"/>
            <w:r w:rsidRPr="00363CAD">
              <w:rPr>
                <w:rFonts w:ascii="Book Antiqua" w:eastAsia="宋体" w:hAnsi="Book Antiqua" w:cs="宋体"/>
                <w:color w:val="000000"/>
                <w:lang w:eastAsia="zh-CN"/>
              </w:rPr>
              <w:t>ProGlide</w:t>
            </w:r>
            <w:proofErr w:type="spellEnd"/>
            <w:r w:rsidRPr="00363CAD">
              <w:rPr>
                <w:rFonts w:ascii="Book Antiqua" w:eastAsia="宋体" w:hAnsi="Book Antiqua" w:cs="宋体"/>
                <w:color w:val="000000"/>
                <w:lang w:eastAsia="zh-CN"/>
              </w:rPr>
              <w:t xml:space="preserve"> device</w:t>
            </w:r>
          </w:p>
        </w:tc>
        <w:tc>
          <w:tcPr>
            <w:tcW w:w="1876" w:type="dxa"/>
            <w:tcBorders>
              <w:top w:val="nil"/>
              <w:left w:val="nil"/>
              <w:bottom w:val="nil"/>
              <w:right w:val="nil"/>
            </w:tcBorders>
            <w:shd w:val="clear" w:color="000000" w:fill="FFFFFF"/>
            <w:vAlign w:val="center"/>
            <w:hideMark/>
          </w:tcPr>
          <w:p w14:paraId="7E8E527D"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TFPA—2 </w:t>
            </w:r>
            <w:proofErr w:type="spellStart"/>
            <w:r w:rsidRPr="00363CAD">
              <w:rPr>
                <w:rFonts w:ascii="Book Antiqua" w:eastAsia="宋体" w:hAnsi="Book Antiqua" w:cs="宋体"/>
                <w:color w:val="000000"/>
                <w:lang w:eastAsia="zh-CN"/>
              </w:rPr>
              <w:t>ProGlide</w:t>
            </w:r>
            <w:proofErr w:type="spellEnd"/>
            <w:r w:rsidRPr="00363CAD">
              <w:rPr>
                <w:rFonts w:ascii="Book Antiqua" w:eastAsia="宋体" w:hAnsi="Book Antiqua" w:cs="宋体"/>
                <w:color w:val="000000"/>
                <w:lang w:eastAsia="zh-CN"/>
              </w:rPr>
              <w:t xml:space="preserve"> devices</w:t>
            </w:r>
          </w:p>
        </w:tc>
        <w:tc>
          <w:tcPr>
            <w:tcW w:w="1876" w:type="dxa"/>
            <w:tcBorders>
              <w:top w:val="nil"/>
              <w:left w:val="nil"/>
              <w:bottom w:val="nil"/>
              <w:right w:val="nil"/>
            </w:tcBorders>
            <w:shd w:val="clear" w:color="000000" w:fill="FFFFFF"/>
            <w:vAlign w:val="center"/>
            <w:hideMark/>
          </w:tcPr>
          <w:p w14:paraId="34FF7654"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TFPA—surgical </w:t>
            </w:r>
            <w:proofErr w:type="spellStart"/>
            <w:r w:rsidRPr="00363CAD">
              <w:rPr>
                <w:rFonts w:ascii="Book Antiqua" w:eastAsia="宋体" w:hAnsi="Book Antiqua" w:cs="宋体"/>
                <w:color w:val="000000"/>
                <w:lang w:eastAsia="zh-CN"/>
              </w:rPr>
              <w:t>cutdown</w:t>
            </w:r>
            <w:proofErr w:type="spellEnd"/>
            <w:r w:rsidRPr="00363CAD">
              <w:rPr>
                <w:rFonts w:ascii="Book Antiqua" w:eastAsia="宋体" w:hAnsi="Book Antiqua" w:cs="宋体"/>
                <w:color w:val="000000"/>
                <w:lang w:eastAsia="zh-CN"/>
              </w:rPr>
              <w:t xml:space="preserve"> </w:t>
            </w:r>
          </w:p>
        </w:tc>
        <w:tc>
          <w:tcPr>
            <w:tcW w:w="1876" w:type="dxa"/>
            <w:tcBorders>
              <w:top w:val="nil"/>
              <w:left w:val="nil"/>
              <w:bottom w:val="nil"/>
              <w:right w:val="nil"/>
            </w:tcBorders>
            <w:shd w:val="clear" w:color="000000" w:fill="FFFFFF"/>
            <w:vAlign w:val="center"/>
            <w:hideMark/>
          </w:tcPr>
          <w:p w14:paraId="476B442A"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NA</w:t>
            </w:r>
          </w:p>
        </w:tc>
      </w:tr>
      <w:tr w:rsidR="00363CAD" w:rsidRPr="00363CAD" w14:paraId="7C53020E" w14:textId="77777777" w:rsidTr="00363CAD">
        <w:trPr>
          <w:trHeight w:val="1575"/>
        </w:trPr>
        <w:tc>
          <w:tcPr>
            <w:tcW w:w="2093" w:type="dxa"/>
            <w:tcBorders>
              <w:top w:val="nil"/>
              <w:left w:val="nil"/>
              <w:bottom w:val="nil"/>
              <w:right w:val="nil"/>
            </w:tcBorders>
            <w:shd w:val="clear" w:color="000000" w:fill="FFFFFF"/>
            <w:vAlign w:val="center"/>
            <w:hideMark/>
          </w:tcPr>
          <w:p w14:paraId="496B0031"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Hemostasis of TF secondary access</w:t>
            </w:r>
          </w:p>
        </w:tc>
        <w:tc>
          <w:tcPr>
            <w:tcW w:w="2319" w:type="dxa"/>
            <w:tcBorders>
              <w:top w:val="nil"/>
              <w:left w:val="nil"/>
              <w:bottom w:val="nil"/>
              <w:right w:val="nil"/>
            </w:tcBorders>
            <w:shd w:val="clear" w:color="000000" w:fill="FFFFFF"/>
            <w:vAlign w:val="center"/>
            <w:hideMark/>
          </w:tcPr>
          <w:p w14:paraId="28F33FE1"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Manual compression (24%), </w:t>
            </w:r>
            <w:proofErr w:type="spellStart"/>
            <w:r w:rsidRPr="00363CAD">
              <w:rPr>
                <w:rFonts w:ascii="Book Antiqua" w:eastAsia="宋体" w:hAnsi="Book Antiqua" w:cs="宋体"/>
                <w:color w:val="000000"/>
                <w:lang w:eastAsia="zh-CN"/>
              </w:rPr>
              <w:t>ProGlide</w:t>
            </w:r>
            <w:proofErr w:type="spellEnd"/>
            <w:r w:rsidRPr="00363CAD">
              <w:rPr>
                <w:rFonts w:ascii="Book Antiqua" w:eastAsia="宋体" w:hAnsi="Book Antiqua" w:cs="宋体"/>
                <w:color w:val="000000"/>
                <w:lang w:eastAsia="zh-CN"/>
              </w:rPr>
              <w:t xml:space="preserve"> (39%), </w:t>
            </w:r>
            <w:proofErr w:type="spellStart"/>
            <w:r w:rsidRPr="00363CAD">
              <w:rPr>
                <w:rFonts w:ascii="Book Antiqua" w:eastAsia="宋体" w:hAnsi="Book Antiqua" w:cs="宋体"/>
                <w:color w:val="000000"/>
                <w:lang w:eastAsia="zh-CN"/>
              </w:rPr>
              <w:t>Angio</w:t>
            </w:r>
            <w:proofErr w:type="spellEnd"/>
            <w:r w:rsidRPr="00363CAD">
              <w:rPr>
                <w:rFonts w:ascii="Book Antiqua" w:eastAsia="宋体" w:hAnsi="Book Antiqua" w:cs="宋体"/>
                <w:color w:val="000000"/>
                <w:lang w:eastAsia="zh-CN"/>
              </w:rPr>
              <w:t>-Seal (37%)</w:t>
            </w:r>
          </w:p>
        </w:tc>
        <w:tc>
          <w:tcPr>
            <w:tcW w:w="1924" w:type="dxa"/>
            <w:tcBorders>
              <w:top w:val="nil"/>
              <w:left w:val="nil"/>
              <w:bottom w:val="nil"/>
              <w:right w:val="nil"/>
            </w:tcBorders>
            <w:shd w:val="clear" w:color="000000" w:fill="FFFFFF"/>
            <w:vAlign w:val="center"/>
            <w:hideMark/>
          </w:tcPr>
          <w:p w14:paraId="16E659AE" w14:textId="77777777" w:rsidR="00363CAD" w:rsidRPr="00363CAD" w:rsidRDefault="00363CAD" w:rsidP="00FA442F">
            <w:pPr>
              <w:spacing w:line="360" w:lineRule="auto"/>
              <w:rPr>
                <w:rFonts w:ascii="Book Antiqua" w:eastAsia="宋体" w:hAnsi="Book Antiqua" w:cs="宋体"/>
                <w:color w:val="000000"/>
                <w:lang w:eastAsia="zh-CN"/>
              </w:rPr>
            </w:pPr>
            <w:proofErr w:type="spellStart"/>
            <w:r w:rsidRPr="00363CAD">
              <w:rPr>
                <w:rFonts w:ascii="Book Antiqua" w:eastAsia="宋体" w:hAnsi="Book Antiqua" w:cs="宋体"/>
                <w:color w:val="000000"/>
                <w:lang w:eastAsia="zh-CN"/>
              </w:rPr>
              <w:t>Angio</w:t>
            </w:r>
            <w:proofErr w:type="spellEnd"/>
            <w:r w:rsidRPr="00363CAD">
              <w:rPr>
                <w:rFonts w:ascii="Book Antiqua" w:eastAsia="宋体" w:hAnsi="Book Antiqua" w:cs="宋体"/>
                <w:color w:val="000000"/>
                <w:lang w:eastAsia="zh-CN"/>
              </w:rPr>
              <w:t xml:space="preserve">-Seal or </w:t>
            </w:r>
            <w:proofErr w:type="spellStart"/>
            <w:r w:rsidRPr="00363CAD">
              <w:rPr>
                <w:rFonts w:ascii="Book Antiqua" w:eastAsia="宋体" w:hAnsi="Book Antiqua" w:cs="宋体"/>
                <w:color w:val="000000"/>
                <w:lang w:eastAsia="zh-CN"/>
              </w:rPr>
              <w:t>ProGlide</w:t>
            </w:r>
            <w:proofErr w:type="spellEnd"/>
          </w:p>
        </w:tc>
        <w:tc>
          <w:tcPr>
            <w:tcW w:w="1876" w:type="dxa"/>
            <w:tcBorders>
              <w:top w:val="nil"/>
              <w:left w:val="nil"/>
              <w:bottom w:val="nil"/>
              <w:right w:val="nil"/>
            </w:tcBorders>
            <w:shd w:val="clear" w:color="000000" w:fill="FFFFFF"/>
            <w:vAlign w:val="center"/>
            <w:hideMark/>
          </w:tcPr>
          <w:p w14:paraId="1E0B31DE"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NA</w:t>
            </w:r>
          </w:p>
        </w:tc>
        <w:tc>
          <w:tcPr>
            <w:tcW w:w="1876" w:type="dxa"/>
            <w:tcBorders>
              <w:top w:val="nil"/>
              <w:left w:val="nil"/>
              <w:bottom w:val="nil"/>
              <w:right w:val="nil"/>
            </w:tcBorders>
            <w:shd w:val="clear" w:color="000000" w:fill="FFFFFF"/>
            <w:vAlign w:val="center"/>
            <w:hideMark/>
          </w:tcPr>
          <w:p w14:paraId="2E84DA55"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 xml:space="preserve">Manual compression (87%), </w:t>
            </w:r>
            <w:proofErr w:type="spellStart"/>
            <w:r w:rsidRPr="00363CAD">
              <w:rPr>
                <w:rFonts w:ascii="Book Antiqua" w:eastAsia="宋体" w:hAnsi="Book Antiqua" w:cs="宋体"/>
                <w:color w:val="000000"/>
                <w:lang w:eastAsia="zh-CN"/>
              </w:rPr>
              <w:t>ProGlide</w:t>
            </w:r>
            <w:proofErr w:type="spellEnd"/>
            <w:r w:rsidRPr="00363CAD">
              <w:rPr>
                <w:rFonts w:ascii="Book Antiqua" w:eastAsia="宋体" w:hAnsi="Book Antiqua" w:cs="宋体"/>
                <w:color w:val="000000"/>
                <w:lang w:eastAsia="zh-CN"/>
              </w:rPr>
              <w:t xml:space="preserve"> (8%), </w:t>
            </w:r>
            <w:proofErr w:type="spellStart"/>
            <w:r w:rsidRPr="00363CAD">
              <w:rPr>
                <w:rFonts w:ascii="Book Antiqua" w:eastAsia="宋体" w:hAnsi="Book Antiqua" w:cs="宋体"/>
                <w:color w:val="000000"/>
                <w:lang w:eastAsia="zh-CN"/>
              </w:rPr>
              <w:t>Angio</w:t>
            </w:r>
            <w:proofErr w:type="spellEnd"/>
            <w:r w:rsidRPr="00363CAD">
              <w:rPr>
                <w:rFonts w:ascii="Book Antiqua" w:eastAsia="宋体" w:hAnsi="Book Antiqua" w:cs="宋体"/>
                <w:color w:val="000000"/>
                <w:lang w:eastAsia="zh-CN"/>
              </w:rPr>
              <w:t>-Seal (5%)</w:t>
            </w:r>
          </w:p>
        </w:tc>
        <w:tc>
          <w:tcPr>
            <w:tcW w:w="1876" w:type="dxa"/>
            <w:tcBorders>
              <w:top w:val="nil"/>
              <w:left w:val="nil"/>
              <w:bottom w:val="nil"/>
              <w:right w:val="nil"/>
            </w:tcBorders>
            <w:shd w:val="clear" w:color="000000" w:fill="FFFFFF"/>
            <w:vAlign w:val="center"/>
            <w:hideMark/>
          </w:tcPr>
          <w:p w14:paraId="39B8A9B3"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NA</w:t>
            </w:r>
          </w:p>
        </w:tc>
      </w:tr>
      <w:tr w:rsidR="00363CAD" w:rsidRPr="00363CAD" w14:paraId="16BEE2C0" w14:textId="77777777" w:rsidTr="00363CAD">
        <w:trPr>
          <w:trHeight w:val="1260"/>
        </w:trPr>
        <w:tc>
          <w:tcPr>
            <w:tcW w:w="2093" w:type="dxa"/>
            <w:tcBorders>
              <w:top w:val="nil"/>
              <w:left w:val="nil"/>
              <w:bottom w:val="single" w:sz="4" w:space="0" w:color="auto"/>
              <w:right w:val="nil"/>
            </w:tcBorders>
            <w:shd w:val="clear" w:color="000000" w:fill="FFFFFF"/>
            <w:vAlign w:val="center"/>
            <w:hideMark/>
          </w:tcPr>
          <w:p w14:paraId="1782BE9C"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Post-closure angiography?</w:t>
            </w:r>
          </w:p>
        </w:tc>
        <w:tc>
          <w:tcPr>
            <w:tcW w:w="2319" w:type="dxa"/>
            <w:tcBorders>
              <w:top w:val="nil"/>
              <w:left w:val="nil"/>
              <w:bottom w:val="single" w:sz="4" w:space="0" w:color="auto"/>
              <w:right w:val="nil"/>
            </w:tcBorders>
            <w:shd w:val="clear" w:color="000000" w:fill="FFFFFF"/>
            <w:vAlign w:val="center"/>
            <w:hideMark/>
          </w:tcPr>
          <w:p w14:paraId="0DD73354" w14:textId="37F7BB7B" w:rsidR="00363CAD" w:rsidRPr="00363CAD" w:rsidRDefault="00363CAD" w:rsidP="00FA442F">
            <w:pPr>
              <w:spacing w:line="360" w:lineRule="auto"/>
              <w:rPr>
                <w:rFonts w:ascii="Book Antiqua" w:eastAsia="宋体" w:hAnsi="Book Antiqua" w:cs="宋体"/>
                <w:color w:val="000000"/>
                <w:lang w:eastAsia="zh-CN"/>
              </w:rPr>
            </w:pPr>
          </w:p>
        </w:tc>
        <w:tc>
          <w:tcPr>
            <w:tcW w:w="1924" w:type="dxa"/>
            <w:tcBorders>
              <w:top w:val="nil"/>
              <w:left w:val="nil"/>
              <w:bottom w:val="single" w:sz="4" w:space="0" w:color="auto"/>
              <w:right w:val="nil"/>
            </w:tcBorders>
            <w:shd w:val="clear" w:color="000000" w:fill="FFFFFF"/>
            <w:vAlign w:val="center"/>
            <w:hideMark/>
          </w:tcPr>
          <w:p w14:paraId="13D8CA07" w14:textId="35E0368D" w:rsidR="00363CAD" w:rsidRPr="00363CAD" w:rsidRDefault="00363CAD" w:rsidP="00FA442F">
            <w:pPr>
              <w:spacing w:line="360" w:lineRule="auto"/>
              <w:rPr>
                <w:rFonts w:ascii="Book Antiqua" w:eastAsia="宋体" w:hAnsi="Book Antiqua" w:cs="宋体"/>
                <w:color w:val="000000"/>
                <w:lang w:eastAsia="zh-CN"/>
              </w:rPr>
            </w:pPr>
          </w:p>
        </w:tc>
        <w:tc>
          <w:tcPr>
            <w:tcW w:w="1876" w:type="dxa"/>
            <w:tcBorders>
              <w:top w:val="nil"/>
              <w:left w:val="nil"/>
              <w:bottom w:val="single" w:sz="4" w:space="0" w:color="auto"/>
              <w:right w:val="nil"/>
            </w:tcBorders>
            <w:shd w:val="clear" w:color="000000" w:fill="FFFFFF"/>
            <w:vAlign w:val="center"/>
            <w:hideMark/>
          </w:tcPr>
          <w:p w14:paraId="7ECB1DF8" w14:textId="75998308" w:rsidR="00363CAD" w:rsidRPr="00363CAD" w:rsidRDefault="00363CAD" w:rsidP="00FA442F">
            <w:pPr>
              <w:spacing w:line="360" w:lineRule="auto"/>
              <w:rPr>
                <w:rFonts w:ascii="Book Antiqua" w:eastAsia="宋体" w:hAnsi="Book Antiqua" w:cs="宋体"/>
                <w:color w:val="000000"/>
                <w:lang w:eastAsia="zh-CN"/>
              </w:rPr>
            </w:pPr>
          </w:p>
        </w:tc>
        <w:tc>
          <w:tcPr>
            <w:tcW w:w="1876" w:type="dxa"/>
            <w:tcBorders>
              <w:top w:val="nil"/>
              <w:left w:val="nil"/>
              <w:bottom w:val="single" w:sz="4" w:space="0" w:color="auto"/>
              <w:right w:val="nil"/>
            </w:tcBorders>
            <w:shd w:val="clear" w:color="000000" w:fill="FFFFFF"/>
            <w:vAlign w:val="center"/>
            <w:hideMark/>
          </w:tcPr>
          <w:p w14:paraId="5149B279" w14:textId="1D44B282" w:rsidR="00363CAD" w:rsidRPr="00363CAD" w:rsidRDefault="00363CAD" w:rsidP="00FA442F">
            <w:pPr>
              <w:spacing w:line="360" w:lineRule="auto"/>
              <w:rPr>
                <w:rFonts w:ascii="Book Antiqua" w:eastAsia="宋体" w:hAnsi="Book Antiqua" w:cs="宋体"/>
                <w:color w:val="000000"/>
                <w:lang w:eastAsia="zh-CN"/>
              </w:rPr>
            </w:pPr>
          </w:p>
        </w:tc>
        <w:tc>
          <w:tcPr>
            <w:tcW w:w="1876" w:type="dxa"/>
            <w:tcBorders>
              <w:top w:val="nil"/>
              <w:left w:val="nil"/>
              <w:bottom w:val="single" w:sz="4" w:space="0" w:color="auto"/>
              <w:right w:val="nil"/>
            </w:tcBorders>
            <w:shd w:val="clear" w:color="000000" w:fill="FFFFFF"/>
            <w:vAlign w:val="center"/>
            <w:hideMark/>
          </w:tcPr>
          <w:p w14:paraId="13509DB5" w14:textId="77777777" w:rsidR="00363CAD" w:rsidRPr="00363CAD" w:rsidRDefault="00363CAD" w:rsidP="00FA442F">
            <w:pPr>
              <w:spacing w:line="360" w:lineRule="auto"/>
              <w:rPr>
                <w:rFonts w:ascii="Book Antiqua" w:eastAsia="宋体" w:hAnsi="Book Antiqua" w:cs="宋体"/>
                <w:color w:val="000000"/>
                <w:lang w:eastAsia="zh-CN"/>
              </w:rPr>
            </w:pPr>
            <w:r w:rsidRPr="00363CAD">
              <w:rPr>
                <w:rFonts w:ascii="Book Antiqua" w:eastAsia="宋体" w:hAnsi="Book Antiqua" w:cs="宋体"/>
                <w:color w:val="000000"/>
                <w:lang w:eastAsia="zh-CN"/>
              </w:rPr>
              <w:t>No angiography was performed systematically in TFPA</w:t>
            </w:r>
          </w:p>
        </w:tc>
      </w:tr>
    </w:tbl>
    <w:p w14:paraId="6BE13EC4" w14:textId="77777777" w:rsidR="008E1250" w:rsidRDefault="00694161" w:rsidP="00FA442F">
      <w:pPr>
        <w:spacing w:line="360" w:lineRule="auto"/>
        <w:jc w:val="both"/>
        <w:rPr>
          <w:rFonts w:ascii="Book Antiqua" w:hAnsi="Book Antiqua"/>
          <w:lang w:eastAsia="zh-CN"/>
        </w:rPr>
      </w:pPr>
      <w:r w:rsidRPr="00694161">
        <w:rPr>
          <w:rFonts w:ascii="Book Antiqua" w:hAnsi="Book Antiqua"/>
        </w:rPr>
        <w:t xml:space="preserve">TF: </w:t>
      </w:r>
      <w:proofErr w:type="spellStart"/>
      <w:r w:rsidRPr="00694161">
        <w:rPr>
          <w:rFonts w:ascii="Book Antiqua" w:hAnsi="Book Antiqua"/>
        </w:rPr>
        <w:t>Transfemoral</w:t>
      </w:r>
      <w:proofErr w:type="spellEnd"/>
      <w:r>
        <w:rPr>
          <w:rFonts w:ascii="Book Antiqua" w:hAnsi="Book Antiqua"/>
        </w:rPr>
        <w:t>;</w:t>
      </w:r>
      <w:r w:rsidRPr="00694161">
        <w:rPr>
          <w:rFonts w:ascii="Book Antiqua" w:hAnsi="Book Antiqua"/>
        </w:rPr>
        <w:t xml:space="preserve"> TR: </w:t>
      </w:r>
      <w:proofErr w:type="spellStart"/>
      <w:r w:rsidRPr="00694161">
        <w:rPr>
          <w:rFonts w:ascii="Book Antiqua" w:hAnsi="Book Antiqua"/>
        </w:rPr>
        <w:t>Transradial</w:t>
      </w:r>
      <w:proofErr w:type="spellEnd"/>
      <w:r>
        <w:rPr>
          <w:rFonts w:ascii="Book Antiqua" w:hAnsi="Book Antiqua"/>
        </w:rPr>
        <w:t>;</w:t>
      </w:r>
      <w:r w:rsidRPr="00694161">
        <w:rPr>
          <w:rFonts w:ascii="Book Antiqua" w:hAnsi="Book Antiqua"/>
        </w:rPr>
        <w:t xml:space="preserve"> APA: All primary access</w:t>
      </w:r>
      <w:r>
        <w:rPr>
          <w:rFonts w:ascii="Book Antiqua" w:hAnsi="Book Antiqua"/>
        </w:rPr>
        <w:t>;</w:t>
      </w:r>
      <w:r w:rsidRPr="00694161">
        <w:rPr>
          <w:rFonts w:ascii="Book Antiqua" w:hAnsi="Book Antiqua"/>
        </w:rPr>
        <w:t xml:space="preserve"> TFPA: </w:t>
      </w:r>
      <w:proofErr w:type="spellStart"/>
      <w:r w:rsidRPr="00694161">
        <w:rPr>
          <w:rFonts w:ascii="Book Antiqua" w:hAnsi="Book Antiqua"/>
        </w:rPr>
        <w:t>Transfemoral</w:t>
      </w:r>
      <w:proofErr w:type="spellEnd"/>
      <w:r w:rsidRPr="00694161">
        <w:rPr>
          <w:rFonts w:ascii="Book Antiqua" w:hAnsi="Book Antiqua"/>
        </w:rPr>
        <w:t xml:space="preserve"> primary access</w:t>
      </w:r>
      <w:r>
        <w:rPr>
          <w:rFonts w:ascii="Book Antiqua" w:hAnsi="Book Antiqua"/>
        </w:rPr>
        <w:t>;</w:t>
      </w:r>
      <w:r w:rsidRPr="00694161">
        <w:rPr>
          <w:rFonts w:ascii="Book Antiqua" w:hAnsi="Book Antiqua"/>
        </w:rPr>
        <w:t xml:space="preserve"> TFSA: </w:t>
      </w:r>
      <w:proofErr w:type="spellStart"/>
      <w:r w:rsidRPr="00694161">
        <w:rPr>
          <w:rFonts w:ascii="Book Antiqua" w:hAnsi="Book Antiqua"/>
        </w:rPr>
        <w:t>Transfemoral</w:t>
      </w:r>
      <w:proofErr w:type="spellEnd"/>
      <w:r w:rsidRPr="00694161">
        <w:rPr>
          <w:rFonts w:ascii="Book Antiqua" w:hAnsi="Book Antiqua"/>
        </w:rPr>
        <w:t xml:space="preserve"> secondary access</w:t>
      </w:r>
      <w:r>
        <w:rPr>
          <w:rFonts w:ascii="Book Antiqua" w:hAnsi="Book Antiqua"/>
        </w:rPr>
        <w:t>;</w:t>
      </w:r>
      <w:r w:rsidRPr="00694161">
        <w:rPr>
          <w:rFonts w:ascii="Book Antiqua" w:hAnsi="Book Antiqua"/>
        </w:rPr>
        <w:t xml:space="preserve"> TRSA: </w:t>
      </w:r>
      <w:proofErr w:type="spellStart"/>
      <w:r w:rsidRPr="00694161">
        <w:rPr>
          <w:rFonts w:ascii="Book Antiqua" w:hAnsi="Book Antiqua"/>
        </w:rPr>
        <w:t>Transradial</w:t>
      </w:r>
      <w:proofErr w:type="spellEnd"/>
      <w:r w:rsidRPr="00694161">
        <w:rPr>
          <w:rFonts w:ascii="Book Antiqua" w:hAnsi="Book Antiqua"/>
        </w:rPr>
        <w:t xml:space="preserve"> secondary access</w:t>
      </w:r>
      <w:r>
        <w:rPr>
          <w:rFonts w:ascii="Book Antiqua" w:hAnsi="Book Antiqua"/>
        </w:rPr>
        <w:t>;</w:t>
      </w:r>
      <w:r w:rsidRPr="00694161">
        <w:rPr>
          <w:rFonts w:ascii="Book Antiqua" w:hAnsi="Book Antiqua"/>
        </w:rPr>
        <w:t xml:space="preserve"> TAVI: </w:t>
      </w:r>
      <w:proofErr w:type="spellStart"/>
      <w:r w:rsidRPr="00694161">
        <w:rPr>
          <w:rFonts w:ascii="Book Antiqua" w:hAnsi="Book Antiqua"/>
        </w:rPr>
        <w:t>Transcatheter</w:t>
      </w:r>
      <w:proofErr w:type="spellEnd"/>
      <w:r w:rsidRPr="00694161">
        <w:rPr>
          <w:rFonts w:ascii="Book Antiqua" w:hAnsi="Book Antiqua"/>
        </w:rPr>
        <w:t xml:space="preserve"> aortic valve implantation</w:t>
      </w:r>
      <w:r>
        <w:rPr>
          <w:rFonts w:ascii="Book Antiqua" w:hAnsi="Book Antiqua"/>
        </w:rPr>
        <w:t>;</w:t>
      </w:r>
      <w:r w:rsidRPr="00694161">
        <w:rPr>
          <w:rFonts w:ascii="Book Antiqua" w:hAnsi="Book Antiqua"/>
        </w:rPr>
        <w:t xml:space="preserve"> NYHA: New York Heart Association</w:t>
      </w:r>
      <w:r>
        <w:rPr>
          <w:rFonts w:ascii="Book Antiqua" w:hAnsi="Book Antiqua"/>
        </w:rPr>
        <w:t>;</w:t>
      </w:r>
      <w:r w:rsidRPr="00694161">
        <w:rPr>
          <w:rFonts w:ascii="Book Antiqua" w:hAnsi="Book Antiqua"/>
        </w:rPr>
        <w:t xml:space="preserve"> BMI: Body mass index</w:t>
      </w:r>
      <w:r>
        <w:rPr>
          <w:rFonts w:ascii="Book Antiqua" w:hAnsi="Book Antiqua"/>
        </w:rPr>
        <w:t>;</w:t>
      </w:r>
      <w:r w:rsidRPr="00694161">
        <w:rPr>
          <w:rFonts w:ascii="Book Antiqua" w:hAnsi="Book Antiqua"/>
        </w:rPr>
        <w:t xml:space="preserve"> VARC: Valve Academic Research Consortium</w:t>
      </w:r>
      <w:r>
        <w:rPr>
          <w:rFonts w:ascii="Book Antiqua" w:hAnsi="Book Antiqua"/>
        </w:rPr>
        <w:t>;</w:t>
      </w:r>
      <w:r w:rsidRPr="00694161">
        <w:rPr>
          <w:rFonts w:ascii="Book Antiqua" w:hAnsi="Book Antiqua"/>
        </w:rPr>
        <w:t xml:space="preserve"> NA: Not available.</w:t>
      </w:r>
    </w:p>
    <w:p w14:paraId="5B7AD99C" w14:textId="77777777" w:rsidR="00363CAD" w:rsidRDefault="00363CAD">
      <w:pPr>
        <w:spacing w:line="360" w:lineRule="auto"/>
        <w:jc w:val="both"/>
        <w:rPr>
          <w:rFonts w:ascii="Book Antiqua" w:hAnsi="Book Antiqua"/>
          <w:lang w:eastAsia="zh-CN"/>
        </w:rPr>
      </w:pPr>
    </w:p>
    <w:p w14:paraId="3AAB5F7C" w14:textId="77777777" w:rsidR="00363CAD" w:rsidRDefault="00363CAD">
      <w:pPr>
        <w:spacing w:line="360" w:lineRule="auto"/>
        <w:jc w:val="both"/>
        <w:rPr>
          <w:rFonts w:ascii="Book Antiqua" w:hAnsi="Book Antiqua"/>
          <w:lang w:eastAsia="zh-CN"/>
        </w:rPr>
        <w:sectPr w:rsidR="00363CAD" w:rsidSect="00FA442F">
          <w:pgSz w:w="15840" w:h="12240" w:orient="landscape"/>
          <w:pgMar w:top="1440" w:right="1440" w:bottom="1440" w:left="1440" w:header="720" w:footer="720" w:gutter="0"/>
          <w:cols w:space="720"/>
          <w:docGrid w:linePitch="360"/>
        </w:sectPr>
      </w:pPr>
    </w:p>
    <w:p w14:paraId="1621C7FA" w14:textId="54FFE84E" w:rsidR="00F34D76" w:rsidRDefault="008E1250" w:rsidP="008E1250">
      <w:pPr>
        <w:widowControl w:val="0"/>
        <w:spacing w:line="360" w:lineRule="auto"/>
        <w:jc w:val="both"/>
        <w:rPr>
          <w:rFonts w:ascii="Book Antiqua" w:hAnsi="Book Antiqua"/>
        </w:rPr>
      </w:pPr>
      <w:r w:rsidRPr="0036395F">
        <w:rPr>
          <w:rFonts w:ascii="Book Antiqua" w:hAnsi="Book Antiqua" w:cstheme="majorHAnsi"/>
          <w:b/>
        </w:rPr>
        <w:lastRenderedPageBreak/>
        <w:t>Table 2 Demographic comparison based on secondary access of matched/adjusted data (if available)</w:t>
      </w:r>
    </w:p>
    <w:tbl>
      <w:tblPr>
        <w:tblW w:w="12102" w:type="dxa"/>
        <w:tblInd w:w="93" w:type="dxa"/>
        <w:tblLayout w:type="fixed"/>
        <w:tblLook w:val="04A0" w:firstRow="1" w:lastRow="0" w:firstColumn="1" w:lastColumn="0" w:noHBand="0" w:noVBand="1"/>
      </w:tblPr>
      <w:tblGrid>
        <w:gridCol w:w="2001"/>
        <w:gridCol w:w="1118"/>
        <w:gridCol w:w="989"/>
        <w:gridCol w:w="989"/>
        <w:gridCol w:w="989"/>
        <w:gridCol w:w="951"/>
        <w:gridCol w:w="1092"/>
        <w:gridCol w:w="992"/>
        <w:gridCol w:w="992"/>
        <w:gridCol w:w="993"/>
        <w:gridCol w:w="996"/>
      </w:tblGrid>
      <w:tr w:rsidR="00667385" w:rsidRPr="00667385" w14:paraId="366FDB1B" w14:textId="77777777" w:rsidTr="00667385">
        <w:trPr>
          <w:trHeight w:val="390"/>
        </w:trPr>
        <w:tc>
          <w:tcPr>
            <w:tcW w:w="2001" w:type="dxa"/>
            <w:tcBorders>
              <w:top w:val="single" w:sz="4" w:space="0" w:color="auto"/>
              <w:left w:val="nil"/>
              <w:bottom w:val="nil"/>
              <w:right w:val="nil"/>
            </w:tcBorders>
            <w:shd w:val="clear" w:color="auto" w:fill="auto"/>
            <w:vAlign w:val="center"/>
            <w:hideMark/>
          </w:tcPr>
          <w:p w14:paraId="72BA61C6" w14:textId="637C0FF0" w:rsidR="00667385" w:rsidRPr="00667385" w:rsidRDefault="00667385" w:rsidP="00667385">
            <w:pPr>
              <w:spacing w:line="360" w:lineRule="auto"/>
              <w:rPr>
                <w:rFonts w:ascii="Book Antiqua" w:eastAsia="宋体" w:hAnsi="Book Antiqua" w:cs="宋体"/>
                <w:color w:val="000000"/>
                <w:lang w:eastAsia="zh-CN"/>
              </w:rPr>
            </w:pPr>
          </w:p>
        </w:tc>
        <w:tc>
          <w:tcPr>
            <w:tcW w:w="2107" w:type="dxa"/>
            <w:gridSpan w:val="2"/>
            <w:tcBorders>
              <w:top w:val="single" w:sz="4" w:space="0" w:color="auto"/>
              <w:left w:val="nil"/>
              <w:bottom w:val="nil"/>
              <w:right w:val="nil"/>
            </w:tcBorders>
            <w:shd w:val="clear" w:color="auto" w:fill="auto"/>
            <w:vAlign w:val="center"/>
            <w:hideMark/>
          </w:tcPr>
          <w:p w14:paraId="7345D593" w14:textId="77777777" w:rsidR="00667385" w:rsidRPr="00667385" w:rsidRDefault="00667385" w:rsidP="00667385">
            <w:pPr>
              <w:spacing w:line="360" w:lineRule="auto"/>
              <w:jc w:val="both"/>
              <w:rPr>
                <w:rFonts w:ascii="Book Antiqua" w:eastAsia="宋体" w:hAnsi="Book Antiqua" w:cs="宋体"/>
                <w:b/>
                <w:bCs/>
                <w:color w:val="000000"/>
                <w:lang w:eastAsia="zh-CN"/>
              </w:rPr>
            </w:pPr>
            <w:proofErr w:type="spellStart"/>
            <w:r w:rsidRPr="00667385">
              <w:rPr>
                <w:rFonts w:ascii="Book Antiqua" w:eastAsia="宋体" w:hAnsi="Book Antiqua" w:cs="宋体"/>
                <w:b/>
                <w:bCs/>
                <w:color w:val="000000"/>
                <w:lang w:eastAsia="zh-CN"/>
              </w:rPr>
              <w:t>Junquera</w:t>
            </w:r>
            <w:proofErr w:type="spellEnd"/>
            <w:r w:rsidRPr="00667385">
              <w:rPr>
                <w:rFonts w:ascii="Book Antiqua" w:eastAsia="宋体" w:hAnsi="Book Antiqua" w:cs="宋体"/>
                <w:b/>
                <w:bCs/>
                <w:color w:val="000000"/>
                <w:lang w:eastAsia="zh-CN"/>
              </w:rPr>
              <w:t xml:space="preserve"> </w:t>
            </w:r>
            <w:r w:rsidRPr="00667385">
              <w:rPr>
                <w:rFonts w:ascii="Book Antiqua" w:eastAsia="宋体" w:hAnsi="Book Antiqua" w:cs="宋体"/>
                <w:b/>
                <w:bCs/>
                <w:i/>
                <w:iCs/>
                <w:color w:val="000000"/>
                <w:lang w:eastAsia="zh-CN"/>
              </w:rPr>
              <w:t>et al</w:t>
            </w:r>
            <w:r w:rsidRPr="00667385">
              <w:rPr>
                <w:rFonts w:ascii="Book Antiqua" w:eastAsia="宋体" w:hAnsi="Book Antiqua" w:cs="宋体"/>
                <w:b/>
                <w:bCs/>
                <w:color w:val="000000"/>
                <w:vertAlign w:val="superscript"/>
                <w:lang w:eastAsia="zh-CN"/>
              </w:rPr>
              <w:t>[2]</w:t>
            </w:r>
          </w:p>
        </w:tc>
        <w:tc>
          <w:tcPr>
            <w:tcW w:w="1978" w:type="dxa"/>
            <w:gridSpan w:val="2"/>
            <w:tcBorders>
              <w:top w:val="single" w:sz="4" w:space="0" w:color="auto"/>
              <w:left w:val="nil"/>
              <w:bottom w:val="nil"/>
              <w:right w:val="nil"/>
            </w:tcBorders>
            <w:shd w:val="clear" w:color="auto" w:fill="auto"/>
            <w:vAlign w:val="center"/>
            <w:hideMark/>
          </w:tcPr>
          <w:p w14:paraId="591F50C7"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 xml:space="preserve">Fernandez-Lopez </w:t>
            </w:r>
            <w:r w:rsidRPr="00667385">
              <w:rPr>
                <w:rFonts w:ascii="Book Antiqua" w:eastAsia="宋体" w:hAnsi="Book Antiqua" w:cs="宋体"/>
                <w:b/>
                <w:bCs/>
                <w:i/>
                <w:iCs/>
                <w:color w:val="000000"/>
                <w:lang w:eastAsia="zh-CN"/>
              </w:rPr>
              <w:t>et al</w:t>
            </w:r>
            <w:r w:rsidRPr="00667385">
              <w:rPr>
                <w:rFonts w:ascii="Book Antiqua" w:eastAsia="宋体" w:hAnsi="Book Antiqua" w:cs="宋体"/>
                <w:b/>
                <w:bCs/>
                <w:color w:val="000000"/>
                <w:vertAlign w:val="superscript"/>
                <w:lang w:eastAsia="zh-CN"/>
              </w:rPr>
              <w:t>[6]</w:t>
            </w:r>
          </w:p>
        </w:tc>
        <w:tc>
          <w:tcPr>
            <w:tcW w:w="2043" w:type="dxa"/>
            <w:gridSpan w:val="2"/>
            <w:tcBorders>
              <w:top w:val="single" w:sz="4" w:space="0" w:color="auto"/>
              <w:left w:val="nil"/>
              <w:bottom w:val="nil"/>
              <w:right w:val="nil"/>
            </w:tcBorders>
            <w:shd w:val="clear" w:color="auto" w:fill="auto"/>
            <w:vAlign w:val="center"/>
            <w:hideMark/>
          </w:tcPr>
          <w:p w14:paraId="216ABD2F"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 xml:space="preserve">Jackson </w:t>
            </w:r>
            <w:r w:rsidRPr="00667385">
              <w:rPr>
                <w:rFonts w:ascii="Book Antiqua" w:eastAsia="宋体" w:hAnsi="Book Antiqua" w:cs="宋体"/>
                <w:b/>
                <w:bCs/>
                <w:i/>
                <w:iCs/>
                <w:color w:val="000000"/>
                <w:lang w:eastAsia="zh-CN"/>
              </w:rPr>
              <w:t>et al</w:t>
            </w:r>
            <w:r w:rsidRPr="00667385">
              <w:rPr>
                <w:rFonts w:ascii="Book Antiqua" w:eastAsia="宋体" w:hAnsi="Book Antiqua" w:cs="宋体"/>
                <w:b/>
                <w:bCs/>
                <w:color w:val="000000"/>
                <w:vertAlign w:val="superscript"/>
                <w:lang w:eastAsia="zh-CN"/>
              </w:rPr>
              <w:t>[5]</w:t>
            </w:r>
          </w:p>
        </w:tc>
        <w:tc>
          <w:tcPr>
            <w:tcW w:w="1984" w:type="dxa"/>
            <w:gridSpan w:val="2"/>
            <w:tcBorders>
              <w:top w:val="single" w:sz="4" w:space="0" w:color="auto"/>
              <w:left w:val="nil"/>
              <w:bottom w:val="nil"/>
              <w:right w:val="nil"/>
            </w:tcBorders>
            <w:shd w:val="clear" w:color="auto" w:fill="auto"/>
            <w:vAlign w:val="center"/>
            <w:hideMark/>
          </w:tcPr>
          <w:p w14:paraId="16E87437"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 xml:space="preserve">Allende </w:t>
            </w:r>
            <w:r w:rsidRPr="00667385">
              <w:rPr>
                <w:rFonts w:ascii="Book Antiqua" w:eastAsia="宋体" w:hAnsi="Book Antiqua" w:cs="宋体"/>
                <w:b/>
                <w:bCs/>
                <w:i/>
                <w:iCs/>
                <w:color w:val="000000"/>
                <w:lang w:eastAsia="zh-CN"/>
              </w:rPr>
              <w:t>et al</w:t>
            </w:r>
            <w:r w:rsidRPr="00667385">
              <w:rPr>
                <w:rFonts w:ascii="Book Antiqua" w:eastAsia="宋体" w:hAnsi="Book Antiqua" w:cs="宋体"/>
                <w:b/>
                <w:bCs/>
                <w:color w:val="000000"/>
                <w:vertAlign w:val="superscript"/>
                <w:lang w:eastAsia="zh-CN"/>
              </w:rPr>
              <w:t>[4]</w:t>
            </w:r>
          </w:p>
        </w:tc>
        <w:tc>
          <w:tcPr>
            <w:tcW w:w="1989" w:type="dxa"/>
            <w:gridSpan w:val="2"/>
            <w:tcBorders>
              <w:top w:val="single" w:sz="4" w:space="0" w:color="auto"/>
              <w:left w:val="nil"/>
              <w:bottom w:val="nil"/>
              <w:right w:val="nil"/>
            </w:tcBorders>
            <w:shd w:val="clear" w:color="auto" w:fill="auto"/>
            <w:vAlign w:val="center"/>
            <w:hideMark/>
          </w:tcPr>
          <w:p w14:paraId="6EBF2809" w14:textId="77777777" w:rsidR="00667385" w:rsidRPr="00667385" w:rsidRDefault="00667385" w:rsidP="00667385">
            <w:pPr>
              <w:spacing w:line="360" w:lineRule="auto"/>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 xml:space="preserve">Curran </w:t>
            </w:r>
            <w:r w:rsidRPr="00667385">
              <w:rPr>
                <w:rFonts w:ascii="Book Antiqua" w:eastAsia="宋体" w:hAnsi="Book Antiqua" w:cs="宋体"/>
                <w:b/>
                <w:bCs/>
                <w:i/>
                <w:iCs/>
                <w:color w:val="000000"/>
                <w:lang w:eastAsia="zh-CN"/>
              </w:rPr>
              <w:t>et al</w:t>
            </w:r>
            <w:r w:rsidRPr="00667385">
              <w:rPr>
                <w:rFonts w:ascii="Book Antiqua" w:eastAsia="宋体" w:hAnsi="Book Antiqua" w:cs="宋体"/>
                <w:b/>
                <w:bCs/>
                <w:color w:val="000000"/>
                <w:vertAlign w:val="superscript"/>
                <w:lang w:eastAsia="zh-CN"/>
              </w:rPr>
              <w:t>[3]</w:t>
            </w:r>
          </w:p>
        </w:tc>
      </w:tr>
      <w:tr w:rsidR="00667385" w:rsidRPr="00667385" w14:paraId="29EB0960" w14:textId="77777777" w:rsidTr="00667385">
        <w:trPr>
          <w:trHeight w:val="660"/>
        </w:trPr>
        <w:tc>
          <w:tcPr>
            <w:tcW w:w="2001" w:type="dxa"/>
            <w:tcBorders>
              <w:top w:val="nil"/>
              <w:left w:val="nil"/>
              <w:bottom w:val="single" w:sz="4" w:space="0" w:color="auto"/>
              <w:right w:val="nil"/>
            </w:tcBorders>
            <w:shd w:val="clear" w:color="auto" w:fill="auto"/>
            <w:vAlign w:val="center"/>
            <w:hideMark/>
          </w:tcPr>
          <w:p w14:paraId="7C355B9E" w14:textId="297C6406" w:rsidR="00667385" w:rsidRPr="00667385" w:rsidRDefault="00667385" w:rsidP="00667385">
            <w:pPr>
              <w:spacing w:line="360" w:lineRule="auto"/>
              <w:rPr>
                <w:rFonts w:ascii="Book Antiqua" w:eastAsia="宋体" w:hAnsi="Book Antiqua" w:cs="宋体"/>
                <w:color w:val="000000"/>
                <w:lang w:eastAsia="zh-CN"/>
              </w:rPr>
            </w:pPr>
          </w:p>
        </w:tc>
        <w:tc>
          <w:tcPr>
            <w:tcW w:w="1118" w:type="dxa"/>
            <w:tcBorders>
              <w:top w:val="single" w:sz="4" w:space="0" w:color="auto"/>
              <w:left w:val="nil"/>
              <w:bottom w:val="single" w:sz="4" w:space="0" w:color="auto"/>
              <w:right w:val="nil"/>
            </w:tcBorders>
            <w:shd w:val="clear" w:color="auto" w:fill="auto"/>
            <w:vAlign w:val="center"/>
            <w:hideMark/>
          </w:tcPr>
          <w:p w14:paraId="2608C12C"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TFSA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2978)</w:t>
            </w:r>
          </w:p>
        </w:tc>
        <w:tc>
          <w:tcPr>
            <w:tcW w:w="989" w:type="dxa"/>
            <w:tcBorders>
              <w:top w:val="single" w:sz="4" w:space="0" w:color="auto"/>
              <w:left w:val="nil"/>
              <w:bottom w:val="single" w:sz="4" w:space="0" w:color="auto"/>
              <w:right w:val="nil"/>
            </w:tcBorders>
            <w:shd w:val="clear" w:color="auto" w:fill="auto"/>
            <w:vAlign w:val="center"/>
            <w:hideMark/>
          </w:tcPr>
          <w:p w14:paraId="38E789BB"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TRSA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928)</w:t>
            </w:r>
          </w:p>
        </w:tc>
        <w:tc>
          <w:tcPr>
            <w:tcW w:w="989" w:type="dxa"/>
            <w:tcBorders>
              <w:top w:val="single" w:sz="4" w:space="0" w:color="auto"/>
              <w:left w:val="nil"/>
              <w:bottom w:val="single" w:sz="4" w:space="0" w:color="auto"/>
              <w:right w:val="nil"/>
            </w:tcBorders>
            <w:shd w:val="clear" w:color="auto" w:fill="auto"/>
            <w:vAlign w:val="center"/>
            <w:hideMark/>
          </w:tcPr>
          <w:p w14:paraId="259B8F1F"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 xml:space="preserve">TFSA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194)</w:t>
            </w:r>
          </w:p>
        </w:tc>
        <w:tc>
          <w:tcPr>
            <w:tcW w:w="989" w:type="dxa"/>
            <w:tcBorders>
              <w:top w:val="single" w:sz="4" w:space="0" w:color="auto"/>
              <w:left w:val="nil"/>
              <w:bottom w:val="single" w:sz="4" w:space="0" w:color="auto"/>
              <w:right w:val="nil"/>
            </w:tcBorders>
            <w:shd w:val="clear" w:color="auto" w:fill="auto"/>
            <w:vAlign w:val="center"/>
            <w:hideMark/>
          </w:tcPr>
          <w:p w14:paraId="5BCE56FA"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TRSA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217)</w:t>
            </w:r>
          </w:p>
        </w:tc>
        <w:tc>
          <w:tcPr>
            <w:tcW w:w="951" w:type="dxa"/>
            <w:tcBorders>
              <w:top w:val="single" w:sz="4" w:space="0" w:color="auto"/>
              <w:left w:val="nil"/>
              <w:bottom w:val="single" w:sz="4" w:space="0" w:color="auto"/>
              <w:right w:val="nil"/>
            </w:tcBorders>
            <w:shd w:val="clear" w:color="auto" w:fill="auto"/>
            <w:vAlign w:val="center"/>
            <w:hideMark/>
          </w:tcPr>
          <w:p w14:paraId="15EB8FF0"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TFSA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64)</w:t>
            </w:r>
          </w:p>
        </w:tc>
        <w:tc>
          <w:tcPr>
            <w:tcW w:w="1092" w:type="dxa"/>
            <w:tcBorders>
              <w:top w:val="single" w:sz="4" w:space="0" w:color="auto"/>
              <w:left w:val="nil"/>
              <w:bottom w:val="single" w:sz="4" w:space="0" w:color="auto"/>
              <w:right w:val="nil"/>
            </w:tcBorders>
            <w:shd w:val="clear" w:color="auto" w:fill="auto"/>
            <w:vAlign w:val="center"/>
            <w:hideMark/>
          </w:tcPr>
          <w:p w14:paraId="08FD98DF"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TRSA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135)</w:t>
            </w:r>
          </w:p>
        </w:tc>
        <w:tc>
          <w:tcPr>
            <w:tcW w:w="992" w:type="dxa"/>
            <w:tcBorders>
              <w:top w:val="single" w:sz="4" w:space="0" w:color="auto"/>
              <w:left w:val="nil"/>
              <w:bottom w:val="single" w:sz="4" w:space="0" w:color="auto"/>
              <w:right w:val="nil"/>
            </w:tcBorders>
            <w:shd w:val="clear" w:color="auto" w:fill="auto"/>
            <w:vAlign w:val="center"/>
            <w:hideMark/>
          </w:tcPr>
          <w:p w14:paraId="03DE5CB6"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TFSA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335)</w:t>
            </w:r>
          </w:p>
        </w:tc>
        <w:tc>
          <w:tcPr>
            <w:tcW w:w="992" w:type="dxa"/>
            <w:tcBorders>
              <w:top w:val="single" w:sz="4" w:space="0" w:color="auto"/>
              <w:left w:val="nil"/>
              <w:bottom w:val="single" w:sz="4" w:space="0" w:color="auto"/>
              <w:right w:val="nil"/>
            </w:tcBorders>
            <w:shd w:val="clear" w:color="auto" w:fill="auto"/>
            <w:vAlign w:val="center"/>
            <w:hideMark/>
          </w:tcPr>
          <w:p w14:paraId="0497605A"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TRSA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127)</w:t>
            </w:r>
          </w:p>
        </w:tc>
        <w:tc>
          <w:tcPr>
            <w:tcW w:w="993" w:type="dxa"/>
            <w:tcBorders>
              <w:top w:val="single" w:sz="4" w:space="0" w:color="auto"/>
              <w:left w:val="nil"/>
              <w:bottom w:val="single" w:sz="4" w:space="0" w:color="auto"/>
              <w:right w:val="nil"/>
            </w:tcBorders>
            <w:shd w:val="clear" w:color="auto" w:fill="auto"/>
            <w:vAlign w:val="center"/>
            <w:hideMark/>
          </w:tcPr>
          <w:p w14:paraId="3E5812F2"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TFSA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41)</w:t>
            </w:r>
          </w:p>
        </w:tc>
        <w:tc>
          <w:tcPr>
            <w:tcW w:w="996" w:type="dxa"/>
            <w:tcBorders>
              <w:top w:val="single" w:sz="4" w:space="0" w:color="auto"/>
              <w:left w:val="nil"/>
              <w:bottom w:val="single" w:sz="4" w:space="0" w:color="auto"/>
              <w:right w:val="nil"/>
            </w:tcBorders>
            <w:shd w:val="clear" w:color="auto" w:fill="auto"/>
            <w:vAlign w:val="center"/>
            <w:hideMark/>
          </w:tcPr>
          <w:p w14:paraId="53DB94DF" w14:textId="77777777" w:rsidR="00667385" w:rsidRPr="00667385" w:rsidRDefault="00667385" w:rsidP="00667385">
            <w:pPr>
              <w:spacing w:line="360" w:lineRule="auto"/>
              <w:jc w:val="both"/>
              <w:rPr>
                <w:rFonts w:ascii="Book Antiqua" w:eastAsia="宋体" w:hAnsi="Book Antiqua" w:cs="宋体"/>
                <w:b/>
                <w:bCs/>
                <w:color w:val="000000"/>
                <w:lang w:eastAsia="zh-CN"/>
              </w:rPr>
            </w:pPr>
            <w:r w:rsidRPr="00667385">
              <w:rPr>
                <w:rFonts w:ascii="Book Antiqua" w:eastAsia="宋体" w:hAnsi="Book Antiqua" w:cs="宋体"/>
                <w:b/>
                <w:bCs/>
                <w:color w:val="000000"/>
                <w:lang w:eastAsia="zh-CN"/>
              </w:rPr>
              <w:t>TRSA (</w:t>
            </w:r>
            <w:r w:rsidRPr="00667385">
              <w:rPr>
                <w:rFonts w:ascii="Book Antiqua" w:eastAsia="宋体" w:hAnsi="Book Antiqua" w:cs="宋体"/>
                <w:b/>
                <w:bCs/>
                <w:i/>
                <w:iCs/>
                <w:color w:val="000000"/>
                <w:lang w:eastAsia="zh-CN"/>
              </w:rPr>
              <w:t>n</w:t>
            </w:r>
            <w:r w:rsidRPr="00667385">
              <w:rPr>
                <w:rFonts w:ascii="Book Antiqua" w:eastAsia="宋体" w:hAnsi="Book Antiqua" w:cs="宋体"/>
                <w:b/>
                <w:bCs/>
                <w:color w:val="000000"/>
                <w:lang w:eastAsia="zh-CN"/>
              </w:rPr>
              <w:t xml:space="preserve"> = 46)</w:t>
            </w:r>
          </w:p>
        </w:tc>
      </w:tr>
      <w:tr w:rsidR="00667385" w:rsidRPr="00667385" w14:paraId="2DC6BF52" w14:textId="77777777" w:rsidTr="00667385">
        <w:trPr>
          <w:trHeight w:val="945"/>
        </w:trPr>
        <w:tc>
          <w:tcPr>
            <w:tcW w:w="2001" w:type="dxa"/>
            <w:tcBorders>
              <w:top w:val="nil"/>
              <w:left w:val="nil"/>
              <w:bottom w:val="nil"/>
              <w:right w:val="nil"/>
            </w:tcBorders>
            <w:shd w:val="clear" w:color="auto" w:fill="auto"/>
            <w:vAlign w:val="center"/>
            <w:hideMark/>
          </w:tcPr>
          <w:p w14:paraId="38D383F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Baseline characteristics of patients</w:t>
            </w:r>
          </w:p>
        </w:tc>
        <w:tc>
          <w:tcPr>
            <w:tcW w:w="1118" w:type="dxa"/>
            <w:tcBorders>
              <w:top w:val="nil"/>
              <w:left w:val="nil"/>
              <w:bottom w:val="nil"/>
              <w:right w:val="nil"/>
            </w:tcBorders>
            <w:shd w:val="clear" w:color="auto" w:fill="auto"/>
            <w:vAlign w:val="center"/>
            <w:hideMark/>
          </w:tcPr>
          <w:p w14:paraId="257A5746"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6172E947"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106C2243"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1F6B132C"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51" w:type="dxa"/>
            <w:tcBorders>
              <w:top w:val="nil"/>
              <w:left w:val="nil"/>
              <w:bottom w:val="nil"/>
              <w:right w:val="nil"/>
            </w:tcBorders>
            <w:shd w:val="clear" w:color="auto" w:fill="auto"/>
            <w:vAlign w:val="center"/>
            <w:hideMark/>
          </w:tcPr>
          <w:p w14:paraId="69CB469D"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1092" w:type="dxa"/>
            <w:tcBorders>
              <w:top w:val="nil"/>
              <w:left w:val="nil"/>
              <w:bottom w:val="nil"/>
              <w:right w:val="nil"/>
            </w:tcBorders>
            <w:shd w:val="clear" w:color="auto" w:fill="auto"/>
            <w:vAlign w:val="center"/>
            <w:hideMark/>
          </w:tcPr>
          <w:p w14:paraId="3660E7C0"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2" w:type="dxa"/>
            <w:tcBorders>
              <w:top w:val="nil"/>
              <w:left w:val="nil"/>
              <w:bottom w:val="nil"/>
              <w:right w:val="nil"/>
            </w:tcBorders>
            <w:shd w:val="clear" w:color="auto" w:fill="auto"/>
            <w:vAlign w:val="center"/>
            <w:hideMark/>
          </w:tcPr>
          <w:p w14:paraId="3EA78E1C"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2" w:type="dxa"/>
            <w:tcBorders>
              <w:top w:val="nil"/>
              <w:left w:val="nil"/>
              <w:bottom w:val="nil"/>
              <w:right w:val="nil"/>
            </w:tcBorders>
            <w:shd w:val="clear" w:color="auto" w:fill="auto"/>
            <w:vAlign w:val="center"/>
            <w:hideMark/>
          </w:tcPr>
          <w:p w14:paraId="3D03AE73"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3" w:type="dxa"/>
            <w:tcBorders>
              <w:top w:val="nil"/>
              <w:left w:val="nil"/>
              <w:bottom w:val="nil"/>
              <w:right w:val="nil"/>
            </w:tcBorders>
            <w:shd w:val="clear" w:color="auto" w:fill="auto"/>
            <w:vAlign w:val="center"/>
            <w:hideMark/>
          </w:tcPr>
          <w:p w14:paraId="5148494B"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6" w:type="dxa"/>
            <w:tcBorders>
              <w:top w:val="nil"/>
              <w:left w:val="nil"/>
              <w:bottom w:val="nil"/>
              <w:right w:val="nil"/>
            </w:tcBorders>
            <w:shd w:val="clear" w:color="auto" w:fill="auto"/>
            <w:vAlign w:val="center"/>
            <w:hideMark/>
          </w:tcPr>
          <w:p w14:paraId="5D30A214" w14:textId="77777777" w:rsidR="00667385" w:rsidRPr="00667385" w:rsidRDefault="00667385" w:rsidP="00667385">
            <w:pPr>
              <w:spacing w:line="360" w:lineRule="auto"/>
              <w:jc w:val="both"/>
              <w:rPr>
                <w:rFonts w:ascii="Book Antiqua" w:eastAsia="宋体" w:hAnsi="Book Antiqua" w:cs="宋体"/>
                <w:color w:val="000000"/>
                <w:lang w:eastAsia="zh-CN"/>
              </w:rPr>
            </w:pPr>
          </w:p>
        </w:tc>
      </w:tr>
      <w:tr w:rsidR="00667385" w:rsidRPr="00667385" w14:paraId="730A9D28" w14:textId="77777777" w:rsidTr="00667385">
        <w:trPr>
          <w:trHeight w:val="315"/>
        </w:trPr>
        <w:tc>
          <w:tcPr>
            <w:tcW w:w="2001" w:type="dxa"/>
            <w:tcBorders>
              <w:top w:val="nil"/>
              <w:left w:val="nil"/>
              <w:bottom w:val="nil"/>
              <w:right w:val="nil"/>
            </w:tcBorders>
            <w:shd w:val="clear" w:color="auto" w:fill="auto"/>
            <w:vAlign w:val="center"/>
            <w:hideMark/>
          </w:tcPr>
          <w:p w14:paraId="3CA66F6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Age</w:t>
            </w:r>
          </w:p>
        </w:tc>
        <w:tc>
          <w:tcPr>
            <w:tcW w:w="1118" w:type="dxa"/>
            <w:tcBorders>
              <w:top w:val="nil"/>
              <w:left w:val="nil"/>
              <w:bottom w:val="nil"/>
              <w:right w:val="nil"/>
            </w:tcBorders>
            <w:shd w:val="clear" w:color="auto" w:fill="auto"/>
            <w:vAlign w:val="center"/>
            <w:hideMark/>
          </w:tcPr>
          <w:p w14:paraId="580C884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81 ± 4</w:t>
            </w:r>
          </w:p>
        </w:tc>
        <w:tc>
          <w:tcPr>
            <w:tcW w:w="989" w:type="dxa"/>
            <w:tcBorders>
              <w:top w:val="nil"/>
              <w:left w:val="nil"/>
              <w:bottom w:val="nil"/>
              <w:right w:val="nil"/>
            </w:tcBorders>
            <w:shd w:val="clear" w:color="auto" w:fill="auto"/>
            <w:vAlign w:val="center"/>
            <w:hideMark/>
          </w:tcPr>
          <w:p w14:paraId="73D3E42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81 ± 8</w:t>
            </w:r>
          </w:p>
        </w:tc>
        <w:tc>
          <w:tcPr>
            <w:tcW w:w="989" w:type="dxa"/>
            <w:tcBorders>
              <w:top w:val="nil"/>
              <w:left w:val="nil"/>
              <w:bottom w:val="nil"/>
              <w:right w:val="nil"/>
            </w:tcBorders>
            <w:shd w:val="clear" w:color="auto" w:fill="auto"/>
            <w:vAlign w:val="center"/>
            <w:hideMark/>
          </w:tcPr>
          <w:p w14:paraId="22E585E4"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83 ± 7</w:t>
            </w:r>
          </w:p>
        </w:tc>
        <w:tc>
          <w:tcPr>
            <w:tcW w:w="989" w:type="dxa"/>
            <w:tcBorders>
              <w:top w:val="nil"/>
              <w:left w:val="nil"/>
              <w:bottom w:val="nil"/>
              <w:right w:val="nil"/>
            </w:tcBorders>
            <w:shd w:val="clear" w:color="auto" w:fill="auto"/>
            <w:vAlign w:val="center"/>
            <w:hideMark/>
          </w:tcPr>
          <w:p w14:paraId="5A4E32C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82 ± 6</w:t>
            </w:r>
          </w:p>
        </w:tc>
        <w:tc>
          <w:tcPr>
            <w:tcW w:w="951" w:type="dxa"/>
            <w:tcBorders>
              <w:top w:val="nil"/>
              <w:left w:val="nil"/>
              <w:bottom w:val="nil"/>
              <w:right w:val="nil"/>
            </w:tcBorders>
            <w:shd w:val="clear" w:color="auto" w:fill="auto"/>
            <w:vAlign w:val="center"/>
            <w:hideMark/>
          </w:tcPr>
          <w:p w14:paraId="04FDCF1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82 ± 6</w:t>
            </w:r>
          </w:p>
        </w:tc>
        <w:tc>
          <w:tcPr>
            <w:tcW w:w="1092" w:type="dxa"/>
            <w:tcBorders>
              <w:top w:val="nil"/>
              <w:left w:val="nil"/>
              <w:bottom w:val="nil"/>
              <w:right w:val="nil"/>
            </w:tcBorders>
            <w:shd w:val="clear" w:color="auto" w:fill="auto"/>
            <w:vAlign w:val="center"/>
            <w:hideMark/>
          </w:tcPr>
          <w:p w14:paraId="17FD4E1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82 ± 7</w:t>
            </w:r>
          </w:p>
        </w:tc>
        <w:tc>
          <w:tcPr>
            <w:tcW w:w="992" w:type="dxa"/>
            <w:tcBorders>
              <w:top w:val="nil"/>
              <w:left w:val="nil"/>
              <w:bottom w:val="nil"/>
              <w:right w:val="nil"/>
            </w:tcBorders>
            <w:shd w:val="clear" w:color="auto" w:fill="auto"/>
            <w:vAlign w:val="center"/>
            <w:hideMark/>
          </w:tcPr>
          <w:p w14:paraId="6BA9817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79 ± 8</w:t>
            </w:r>
          </w:p>
        </w:tc>
        <w:tc>
          <w:tcPr>
            <w:tcW w:w="992" w:type="dxa"/>
            <w:tcBorders>
              <w:top w:val="nil"/>
              <w:left w:val="nil"/>
              <w:bottom w:val="nil"/>
              <w:right w:val="nil"/>
            </w:tcBorders>
            <w:shd w:val="clear" w:color="auto" w:fill="auto"/>
            <w:vAlign w:val="center"/>
            <w:hideMark/>
          </w:tcPr>
          <w:p w14:paraId="60D8025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80 ± 9</w:t>
            </w:r>
          </w:p>
        </w:tc>
        <w:tc>
          <w:tcPr>
            <w:tcW w:w="993" w:type="dxa"/>
            <w:tcBorders>
              <w:top w:val="nil"/>
              <w:left w:val="nil"/>
              <w:bottom w:val="nil"/>
              <w:right w:val="nil"/>
            </w:tcBorders>
            <w:shd w:val="clear" w:color="auto" w:fill="auto"/>
            <w:vAlign w:val="center"/>
            <w:hideMark/>
          </w:tcPr>
          <w:p w14:paraId="59DF0DF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80 ± 10</w:t>
            </w:r>
          </w:p>
        </w:tc>
        <w:tc>
          <w:tcPr>
            <w:tcW w:w="996" w:type="dxa"/>
            <w:tcBorders>
              <w:top w:val="nil"/>
              <w:left w:val="nil"/>
              <w:bottom w:val="nil"/>
              <w:right w:val="nil"/>
            </w:tcBorders>
            <w:shd w:val="clear" w:color="auto" w:fill="auto"/>
            <w:vAlign w:val="center"/>
            <w:hideMark/>
          </w:tcPr>
          <w:p w14:paraId="5D286DD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80 ± 5</w:t>
            </w:r>
          </w:p>
        </w:tc>
      </w:tr>
      <w:tr w:rsidR="00667385" w:rsidRPr="00667385" w14:paraId="408975E3" w14:textId="77777777" w:rsidTr="00667385">
        <w:trPr>
          <w:trHeight w:val="315"/>
        </w:trPr>
        <w:tc>
          <w:tcPr>
            <w:tcW w:w="2001" w:type="dxa"/>
            <w:tcBorders>
              <w:top w:val="nil"/>
              <w:left w:val="nil"/>
              <w:bottom w:val="nil"/>
              <w:right w:val="nil"/>
            </w:tcBorders>
            <w:shd w:val="clear" w:color="auto" w:fill="auto"/>
            <w:vAlign w:val="center"/>
            <w:hideMark/>
          </w:tcPr>
          <w:p w14:paraId="793BEF6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%Male</w:t>
            </w:r>
          </w:p>
        </w:tc>
        <w:tc>
          <w:tcPr>
            <w:tcW w:w="1118" w:type="dxa"/>
            <w:tcBorders>
              <w:top w:val="nil"/>
              <w:left w:val="nil"/>
              <w:bottom w:val="nil"/>
              <w:right w:val="nil"/>
            </w:tcBorders>
            <w:shd w:val="clear" w:color="auto" w:fill="auto"/>
            <w:vAlign w:val="center"/>
            <w:hideMark/>
          </w:tcPr>
          <w:p w14:paraId="0B5B530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52.60%</w:t>
            </w:r>
          </w:p>
        </w:tc>
        <w:tc>
          <w:tcPr>
            <w:tcW w:w="989" w:type="dxa"/>
            <w:tcBorders>
              <w:top w:val="nil"/>
              <w:left w:val="nil"/>
              <w:bottom w:val="nil"/>
              <w:right w:val="nil"/>
            </w:tcBorders>
            <w:shd w:val="clear" w:color="auto" w:fill="auto"/>
            <w:vAlign w:val="center"/>
            <w:hideMark/>
          </w:tcPr>
          <w:p w14:paraId="498BFD18"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53.20%</w:t>
            </w:r>
          </w:p>
        </w:tc>
        <w:tc>
          <w:tcPr>
            <w:tcW w:w="989" w:type="dxa"/>
            <w:tcBorders>
              <w:top w:val="nil"/>
              <w:left w:val="nil"/>
              <w:bottom w:val="nil"/>
              <w:right w:val="nil"/>
            </w:tcBorders>
            <w:shd w:val="clear" w:color="auto" w:fill="auto"/>
            <w:vAlign w:val="center"/>
            <w:hideMark/>
          </w:tcPr>
          <w:p w14:paraId="1A79503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44.80%</w:t>
            </w:r>
          </w:p>
        </w:tc>
        <w:tc>
          <w:tcPr>
            <w:tcW w:w="989" w:type="dxa"/>
            <w:tcBorders>
              <w:top w:val="nil"/>
              <w:left w:val="nil"/>
              <w:bottom w:val="nil"/>
              <w:right w:val="nil"/>
            </w:tcBorders>
            <w:shd w:val="clear" w:color="auto" w:fill="auto"/>
            <w:vAlign w:val="center"/>
            <w:hideMark/>
          </w:tcPr>
          <w:p w14:paraId="3B08422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53.50%</w:t>
            </w:r>
          </w:p>
        </w:tc>
        <w:tc>
          <w:tcPr>
            <w:tcW w:w="951" w:type="dxa"/>
            <w:tcBorders>
              <w:top w:val="nil"/>
              <w:left w:val="nil"/>
              <w:bottom w:val="nil"/>
              <w:right w:val="nil"/>
            </w:tcBorders>
            <w:shd w:val="clear" w:color="auto" w:fill="auto"/>
            <w:vAlign w:val="center"/>
            <w:hideMark/>
          </w:tcPr>
          <w:p w14:paraId="46DE8DA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57.00%</w:t>
            </w:r>
          </w:p>
        </w:tc>
        <w:tc>
          <w:tcPr>
            <w:tcW w:w="1092" w:type="dxa"/>
            <w:tcBorders>
              <w:top w:val="nil"/>
              <w:left w:val="nil"/>
              <w:bottom w:val="nil"/>
              <w:right w:val="nil"/>
            </w:tcBorders>
            <w:shd w:val="clear" w:color="auto" w:fill="auto"/>
            <w:vAlign w:val="center"/>
            <w:hideMark/>
          </w:tcPr>
          <w:p w14:paraId="62ED6EC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43.00%</w:t>
            </w:r>
          </w:p>
        </w:tc>
        <w:tc>
          <w:tcPr>
            <w:tcW w:w="992" w:type="dxa"/>
            <w:tcBorders>
              <w:top w:val="nil"/>
              <w:left w:val="nil"/>
              <w:bottom w:val="nil"/>
              <w:right w:val="nil"/>
            </w:tcBorders>
            <w:shd w:val="clear" w:color="auto" w:fill="auto"/>
            <w:vAlign w:val="center"/>
            <w:hideMark/>
          </w:tcPr>
          <w:p w14:paraId="49BF8EB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45.00%</w:t>
            </w:r>
          </w:p>
        </w:tc>
        <w:tc>
          <w:tcPr>
            <w:tcW w:w="992" w:type="dxa"/>
            <w:tcBorders>
              <w:top w:val="nil"/>
              <w:left w:val="nil"/>
              <w:bottom w:val="nil"/>
              <w:right w:val="nil"/>
            </w:tcBorders>
            <w:shd w:val="clear" w:color="auto" w:fill="auto"/>
            <w:vAlign w:val="center"/>
            <w:hideMark/>
          </w:tcPr>
          <w:p w14:paraId="54D34585"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61.00%</w:t>
            </w:r>
          </w:p>
        </w:tc>
        <w:tc>
          <w:tcPr>
            <w:tcW w:w="993" w:type="dxa"/>
            <w:tcBorders>
              <w:top w:val="nil"/>
              <w:left w:val="nil"/>
              <w:bottom w:val="nil"/>
              <w:right w:val="nil"/>
            </w:tcBorders>
            <w:shd w:val="clear" w:color="auto" w:fill="auto"/>
            <w:vAlign w:val="center"/>
            <w:hideMark/>
          </w:tcPr>
          <w:p w14:paraId="481ED1E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31.70%</w:t>
            </w:r>
          </w:p>
        </w:tc>
        <w:tc>
          <w:tcPr>
            <w:tcW w:w="996" w:type="dxa"/>
            <w:tcBorders>
              <w:top w:val="nil"/>
              <w:left w:val="nil"/>
              <w:bottom w:val="nil"/>
              <w:right w:val="nil"/>
            </w:tcBorders>
            <w:shd w:val="clear" w:color="auto" w:fill="auto"/>
            <w:vAlign w:val="center"/>
            <w:hideMark/>
          </w:tcPr>
          <w:p w14:paraId="6166D1B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52.20%</w:t>
            </w:r>
          </w:p>
        </w:tc>
      </w:tr>
      <w:tr w:rsidR="00667385" w:rsidRPr="00667385" w14:paraId="3AA6B262" w14:textId="77777777" w:rsidTr="00667385">
        <w:trPr>
          <w:trHeight w:val="630"/>
        </w:trPr>
        <w:tc>
          <w:tcPr>
            <w:tcW w:w="2001" w:type="dxa"/>
            <w:tcBorders>
              <w:top w:val="nil"/>
              <w:left w:val="nil"/>
              <w:bottom w:val="nil"/>
              <w:right w:val="nil"/>
            </w:tcBorders>
            <w:shd w:val="clear" w:color="auto" w:fill="auto"/>
            <w:vAlign w:val="center"/>
            <w:hideMark/>
          </w:tcPr>
          <w:p w14:paraId="747C55B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Baseline comorbidities</w:t>
            </w:r>
          </w:p>
        </w:tc>
        <w:tc>
          <w:tcPr>
            <w:tcW w:w="1118" w:type="dxa"/>
            <w:tcBorders>
              <w:top w:val="nil"/>
              <w:left w:val="nil"/>
              <w:bottom w:val="nil"/>
              <w:right w:val="nil"/>
            </w:tcBorders>
            <w:shd w:val="clear" w:color="auto" w:fill="auto"/>
            <w:vAlign w:val="center"/>
            <w:hideMark/>
          </w:tcPr>
          <w:p w14:paraId="60F1158F"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1BD5051D"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5631EE2B"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548AD025"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51" w:type="dxa"/>
            <w:tcBorders>
              <w:top w:val="nil"/>
              <w:left w:val="nil"/>
              <w:bottom w:val="nil"/>
              <w:right w:val="nil"/>
            </w:tcBorders>
            <w:shd w:val="clear" w:color="auto" w:fill="auto"/>
            <w:vAlign w:val="center"/>
            <w:hideMark/>
          </w:tcPr>
          <w:p w14:paraId="6C600430"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1092" w:type="dxa"/>
            <w:tcBorders>
              <w:top w:val="nil"/>
              <w:left w:val="nil"/>
              <w:bottom w:val="nil"/>
              <w:right w:val="nil"/>
            </w:tcBorders>
            <w:shd w:val="clear" w:color="auto" w:fill="auto"/>
            <w:vAlign w:val="center"/>
            <w:hideMark/>
          </w:tcPr>
          <w:p w14:paraId="3A8DA318"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2" w:type="dxa"/>
            <w:tcBorders>
              <w:top w:val="nil"/>
              <w:left w:val="nil"/>
              <w:bottom w:val="nil"/>
              <w:right w:val="nil"/>
            </w:tcBorders>
            <w:shd w:val="clear" w:color="auto" w:fill="auto"/>
            <w:vAlign w:val="center"/>
            <w:hideMark/>
          </w:tcPr>
          <w:p w14:paraId="66B69AB8"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2" w:type="dxa"/>
            <w:tcBorders>
              <w:top w:val="nil"/>
              <w:left w:val="nil"/>
              <w:bottom w:val="nil"/>
              <w:right w:val="nil"/>
            </w:tcBorders>
            <w:shd w:val="clear" w:color="auto" w:fill="auto"/>
            <w:vAlign w:val="center"/>
            <w:hideMark/>
          </w:tcPr>
          <w:p w14:paraId="065A7E3B"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3" w:type="dxa"/>
            <w:tcBorders>
              <w:top w:val="nil"/>
              <w:left w:val="nil"/>
              <w:bottom w:val="nil"/>
              <w:right w:val="nil"/>
            </w:tcBorders>
            <w:shd w:val="clear" w:color="auto" w:fill="auto"/>
            <w:vAlign w:val="center"/>
            <w:hideMark/>
          </w:tcPr>
          <w:p w14:paraId="58A95ACC"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6" w:type="dxa"/>
            <w:tcBorders>
              <w:top w:val="nil"/>
              <w:left w:val="nil"/>
              <w:bottom w:val="nil"/>
              <w:right w:val="nil"/>
            </w:tcBorders>
            <w:shd w:val="clear" w:color="auto" w:fill="auto"/>
            <w:vAlign w:val="center"/>
            <w:hideMark/>
          </w:tcPr>
          <w:p w14:paraId="740D3B3E" w14:textId="77777777" w:rsidR="00667385" w:rsidRPr="00667385" w:rsidRDefault="00667385" w:rsidP="00667385">
            <w:pPr>
              <w:spacing w:line="360" w:lineRule="auto"/>
              <w:jc w:val="both"/>
              <w:rPr>
                <w:rFonts w:ascii="Book Antiqua" w:eastAsia="宋体" w:hAnsi="Book Antiqua" w:cs="宋体"/>
                <w:color w:val="000000"/>
                <w:lang w:eastAsia="zh-CN"/>
              </w:rPr>
            </w:pPr>
          </w:p>
        </w:tc>
      </w:tr>
      <w:tr w:rsidR="00667385" w:rsidRPr="00667385" w14:paraId="43081394" w14:textId="77777777" w:rsidTr="00667385">
        <w:trPr>
          <w:trHeight w:val="315"/>
        </w:trPr>
        <w:tc>
          <w:tcPr>
            <w:tcW w:w="2001" w:type="dxa"/>
            <w:tcBorders>
              <w:top w:val="nil"/>
              <w:left w:val="nil"/>
              <w:bottom w:val="nil"/>
              <w:right w:val="nil"/>
            </w:tcBorders>
            <w:shd w:val="clear" w:color="auto" w:fill="auto"/>
            <w:vAlign w:val="center"/>
            <w:hideMark/>
          </w:tcPr>
          <w:p w14:paraId="281632F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Diabetes</w:t>
            </w:r>
          </w:p>
        </w:tc>
        <w:tc>
          <w:tcPr>
            <w:tcW w:w="1118" w:type="dxa"/>
            <w:tcBorders>
              <w:top w:val="nil"/>
              <w:left w:val="nil"/>
              <w:bottom w:val="nil"/>
              <w:right w:val="nil"/>
            </w:tcBorders>
            <w:shd w:val="clear" w:color="auto" w:fill="auto"/>
            <w:vAlign w:val="center"/>
            <w:hideMark/>
          </w:tcPr>
          <w:p w14:paraId="76AF087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26.90%</w:t>
            </w:r>
          </w:p>
        </w:tc>
        <w:tc>
          <w:tcPr>
            <w:tcW w:w="989" w:type="dxa"/>
            <w:tcBorders>
              <w:top w:val="nil"/>
              <w:left w:val="nil"/>
              <w:bottom w:val="nil"/>
              <w:right w:val="nil"/>
            </w:tcBorders>
            <w:shd w:val="clear" w:color="auto" w:fill="auto"/>
            <w:vAlign w:val="center"/>
            <w:hideMark/>
          </w:tcPr>
          <w:p w14:paraId="33E5E24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27.00%</w:t>
            </w:r>
          </w:p>
        </w:tc>
        <w:tc>
          <w:tcPr>
            <w:tcW w:w="989" w:type="dxa"/>
            <w:tcBorders>
              <w:top w:val="nil"/>
              <w:left w:val="nil"/>
              <w:bottom w:val="nil"/>
              <w:right w:val="nil"/>
            </w:tcBorders>
            <w:shd w:val="clear" w:color="auto" w:fill="auto"/>
            <w:vAlign w:val="center"/>
            <w:hideMark/>
          </w:tcPr>
          <w:p w14:paraId="1525A3A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31.40%</w:t>
            </w:r>
          </w:p>
        </w:tc>
        <w:tc>
          <w:tcPr>
            <w:tcW w:w="989" w:type="dxa"/>
            <w:tcBorders>
              <w:top w:val="nil"/>
              <w:left w:val="nil"/>
              <w:bottom w:val="nil"/>
              <w:right w:val="nil"/>
            </w:tcBorders>
            <w:shd w:val="clear" w:color="auto" w:fill="auto"/>
            <w:vAlign w:val="center"/>
            <w:hideMark/>
          </w:tcPr>
          <w:p w14:paraId="6004989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24.40%</w:t>
            </w:r>
          </w:p>
        </w:tc>
        <w:tc>
          <w:tcPr>
            <w:tcW w:w="951" w:type="dxa"/>
            <w:tcBorders>
              <w:top w:val="nil"/>
              <w:left w:val="nil"/>
              <w:bottom w:val="nil"/>
              <w:right w:val="nil"/>
            </w:tcBorders>
            <w:shd w:val="clear" w:color="auto" w:fill="auto"/>
            <w:vAlign w:val="center"/>
            <w:hideMark/>
          </w:tcPr>
          <w:p w14:paraId="2B5F691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20.00%</w:t>
            </w:r>
          </w:p>
        </w:tc>
        <w:tc>
          <w:tcPr>
            <w:tcW w:w="1092" w:type="dxa"/>
            <w:tcBorders>
              <w:top w:val="nil"/>
              <w:left w:val="nil"/>
              <w:bottom w:val="nil"/>
              <w:right w:val="nil"/>
            </w:tcBorders>
            <w:shd w:val="clear" w:color="auto" w:fill="auto"/>
            <w:vAlign w:val="center"/>
            <w:hideMark/>
          </w:tcPr>
          <w:p w14:paraId="064EAD9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20.00%</w:t>
            </w:r>
          </w:p>
        </w:tc>
        <w:tc>
          <w:tcPr>
            <w:tcW w:w="992" w:type="dxa"/>
            <w:tcBorders>
              <w:top w:val="nil"/>
              <w:left w:val="nil"/>
              <w:bottom w:val="nil"/>
              <w:right w:val="nil"/>
            </w:tcBorders>
            <w:shd w:val="clear" w:color="auto" w:fill="auto"/>
            <w:vAlign w:val="center"/>
            <w:hideMark/>
          </w:tcPr>
          <w:p w14:paraId="13650E8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35.00%</w:t>
            </w:r>
          </w:p>
        </w:tc>
        <w:tc>
          <w:tcPr>
            <w:tcW w:w="992" w:type="dxa"/>
            <w:tcBorders>
              <w:top w:val="nil"/>
              <w:left w:val="nil"/>
              <w:bottom w:val="nil"/>
              <w:right w:val="nil"/>
            </w:tcBorders>
            <w:shd w:val="clear" w:color="auto" w:fill="auto"/>
            <w:vAlign w:val="center"/>
            <w:hideMark/>
          </w:tcPr>
          <w:p w14:paraId="26EA569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31.00%</w:t>
            </w:r>
          </w:p>
        </w:tc>
        <w:tc>
          <w:tcPr>
            <w:tcW w:w="993" w:type="dxa"/>
            <w:tcBorders>
              <w:top w:val="nil"/>
              <w:left w:val="nil"/>
              <w:bottom w:val="nil"/>
              <w:right w:val="nil"/>
            </w:tcBorders>
            <w:shd w:val="clear" w:color="auto" w:fill="auto"/>
            <w:vAlign w:val="center"/>
            <w:hideMark/>
          </w:tcPr>
          <w:p w14:paraId="07098028"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30.00%</w:t>
            </w:r>
          </w:p>
        </w:tc>
        <w:tc>
          <w:tcPr>
            <w:tcW w:w="996" w:type="dxa"/>
            <w:tcBorders>
              <w:top w:val="nil"/>
              <w:left w:val="nil"/>
              <w:bottom w:val="nil"/>
              <w:right w:val="nil"/>
            </w:tcBorders>
            <w:shd w:val="clear" w:color="auto" w:fill="auto"/>
            <w:vAlign w:val="center"/>
            <w:hideMark/>
          </w:tcPr>
          <w:p w14:paraId="12863E1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26.10%</w:t>
            </w:r>
          </w:p>
        </w:tc>
      </w:tr>
      <w:tr w:rsidR="00667385" w:rsidRPr="00667385" w14:paraId="6D8244D9" w14:textId="77777777" w:rsidTr="00667385">
        <w:trPr>
          <w:trHeight w:val="315"/>
        </w:trPr>
        <w:tc>
          <w:tcPr>
            <w:tcW w:w="2001" w:type="dxa"/>
            <w:tcBorders>
              <w:top w:val="nil"/>
              <w:left w:val="nil"/>
              <w:bottom w:val="nil"/>
              <w:right w:val="nil"/>
            </w:tcBorders>
            <w:shd w:val="clear" w:color="auto" w:fill="auto"/>
            <w:vAlign w:val="center"/>
            <w:hideMark/>
          </w:tcPr>
          <w:p w14:paraId="27E3E2D8"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HTN</w:t>
            </w:r>
          </w:p>
        </w:tc>
        <w:tc>
          <w:tcPr>
            <w:tcW w:w="1118" w:type="dxa"/>
            <w:tcBorders>
              <w:top w:val="nil"/>
              <w:left w:val="nil"/>
              <w:bottom w:val="nil"/>
              <w:right w:val="nil"/>
            </w:tcBorders>
            <w:shd w:val="clear" w:color="auto" w:fill="auto"/>
            <w:vAlign w:val="center"/>
            <w:hideMark/>
          </w:tcPr>
          <w:p w14:paraId="6C823648"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89" w:type="dxa"/>
            <w:tcBorders>
              <w:top w:val="nil"/>
              <w:left w:val="nil"/>
              <w:bottom w:val="nil"/>
              <w:right w:val="nil"/>
            </w:tcBorders>
            <w:shd w:val="clear" w:color="auto" w:fill="auto"/>
            <w:vAlign w:val="center"/>
            <w:hideMark/>
          </w:tcPr>
          <w:p w14:paraId="5A6962B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89" w:type="dxa"/>
            <w:tcBorders>
              <w:top w:val="nil"/>
              <w:left w:val="nil"/>
              <w:bottom w:val="nil"/>
              <w:right w:val="nil"/>
            </w:tcBorders>
            <w:shd w:val="clear" w:color="auto" w:fill="auto"/>
            <w:vAlign w:val="center"/>
            <w:hideMark/>
          </w:tcPr>
          <w:p w14:paraId="17FDCCC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56.70%</w:t>
            </w:r>
          </w:p>
        </w:tc>
        <w:tc>
          <w:tcPr>
            <w:tcW w:w="989" w:type="dxa"/>
            <w:tcBorders>
              <w:top w:val="nil"/>
              <w:left w:val="nil"/>
              <w:bottom w:val="nil"/>
              <w:right w:val="nil"/>
            </w:tcBorders>
            <w:shd w:val="clear" w:color="auto" w:fill="auto"/>
            <w:vAlign w:val="center"/>
            <w:hideMark/>
          </w:tcPr>
          <w:p w14:paraId="7EA6634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55.30%</w:t>
            </w:r>
          </w:p>
        </w:tc>
        <w:tc>
          <w:tcPr>
            <w:tcW w:w="951" w:type="dxa"/>
            <w:tcBorders>
              <w:top w:val="nil"/>
              <w:left w:val="nil"/>
              <w:bottom w:val="nil"/>
              <w:right w:val="nil"/>
            </w:tcBorders>
            <w:shd w:val="clear" w:color="auto" w:fill="auto"/>
            <w:vAlign w:val="center"/>
            <w:hideMark/>
          </w:tcPr>
          <w:p w14:paraId="503CA63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1092" w:type="dxa"/>
            <w:tcBorders>
              <w:top w:val="nil"/>
              <w:left w:val="nil"/>
              <w:bottom w:val="nil"/>
              <w:right w:val="nil"/>
            </w:tcBorders>
            <w:shd w:val="clear" w:color="auto" w:fill="auto"/>
            <w:vAlign w:val="center"/>
            <w:hideMark/>
          </w:tcPr>
          <w:p w14:paraId="41C06D35"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92" w:type="dxa"/>
            <w:tcBorders>
              <w:top w:val="nil"/>
              <w:left w:val="nil"/>
              <w:bottom w:val="nil"/>
              <w:right w:val="nil"/>
            </w:tcBorders>
            <w:shd w:val="clear" w:color="auto" w:fill="auto"/>
            <w:vAlign w:val="center"/>
            <w:hideMark/>
          </w:tcPr>
          <w:p w14:paraId="0E2A681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88.00%</w:t>
            </w:r>
          </w:p>
        </w:tc>
        <w:tc>
          <w:tcPr>
            <w:tcW w:w="992" w:type="dxa"/>
            <w:tcBorders>
              <w:top w:val="nil"/>
              <w:left w:val="nil"/>
              <w:bottom w:val="nil"/>
              <w:right w:val="nil"/>
            </w:tcBorders>
            <w:shd w:val="clear" w:color="auto" w:fill="auto"/>
            <w:vAlign w:val="center"/>
            <w:hideMark/>
          </w:tcPr>
          <w:p w14:paraId="0BE7178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84.00%</w:t>
            </w:r>
          </w:p>
        </w:tc>
        <w:tc>
          <w:tcPr>
            <w:tcW w:w="993" w:type="dxa"/>
            <w:tcBorders>
              <w:top w:val="nil"/>
              <w:left w:val="nil"/>
              <w:bottom w:val="nil"/>
              <w:right w:val="nil"/>
            </w:tcBorders>
            <w:shd w:val="clear" w:color="auto" w:fill="auto"/>
            <w:vAlign w:val="center"/>
            <w:hideMark/>
          </w:tcPr>
          <w:p w14:paraId="3B7EC7E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92.50%</w:t>
            </w:r>
          </w:p>
        </w:tc>
        <w:tc>
          <w:tcPr>
            <w:tcW w:w="996" w:type="dxa"/>
            <w:tcBorders>
              <w:top w:val="nil"/>
              <w:left w:val="nil"/>
              <w:bottom w:val="nil"/>
              <w:right w:val="nil"/>
            </w:tcBorders>
            <w:shd w:val="clear" w:color="auto" w:fill="auto"/>
            <w:vAlign w:val="center"/>
            <w:hideMark/>
          </w:tcPr>
          <w:p w14:paraId="09C88AD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80.40%</w:t>
            </w:r>
          </w:p>
        </w:tc>
      </w:tr>
      <w:tr w:rsidR="00667385" w:rsidRPr="00667385" w14:paraId="7A091A0A" w14:textId="77777777" w:rsidTr="00667385">
        <w:trPr>
          <w:trHeight w:val="315"/>
        </w:trPr>
        <w:tc>
          <w:tcPr>
            <w:tcW w:w="2001" w:type="dxa"/>
            <w:tcBorders>
              <w:top w:val="nil"/>
              <w:left w:val="nil"/>
              <w:bottom w:val="nil"/>
              <w:right w:val="nil"/>
            </w:tcBorders>
            <w:shd w:val="clear" w:color="auto" w:fill="auto"/>
            <w:vAlign w:val="center"/>
            <w:hideMark/>
          </w:tcPr>
          <w:p w14:paraId="39981944"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CAD</w:t>
            </w:r>
          </w:p>
        </w:tc>
        <w:tc>
          <w:tcPr>
            <w:tcW w:w="1118" w:type="dxa"/>
            <w:tcBorders>
              <w:top w:val="nil"/>
              <w:left w:val="nil"/>
              <w:bottom w:val="nil"/>
              <w:right w:val="nil"/>
            </w:tcBorders>
            <w:shd w:val="clear" w:color="auto" w:fill="auto"/>
            <w:vAlign w:val="center"/>
            <w:hideMark/>
          </w:tcPr>
          <w:p w14:paraId="1B0E16D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51.20%</w:t>
            </w:r>
          </w:p>
        </w:tc>
        <w:tc>
          <w:tcPr>
            <w:tcW w:w="989" w:type="dxa"/>
            <w:tcBorders>
              <w:top w:val="nil"/>
              <w:left w:val="nil"/>
              <w:bottom w:val="nil"/>
              <w:right w:val="nil"/>
            </w:tcBorders>
            <w:shd w:val="clear" w:color="auto" w:fill="auto"/>
            <w:vAlign w:val="center"/>
            <w:hideMark/>
          </w:tcPr>
          <w:p w14:paraId="068F782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50.30%</w:t>
            </w:r>
          </w:p>
        </w:tc>
        <w:tc>
          <w:tcPr>
            <w:tcW w:w="989" w:type="dxa"/>
            <w:tcBorders>
              <w:top w:val="nil"/>
              <w:left w:val="nil"/>
              <w:bottom w:val="nil"/>
              <w:right w:val="nil"/>
            </w:tcBorders>
            <w:shd w:val="clear" w:color="auto" w:fill="auto"/>
            <w:vAlign w:val="center"/>
            <w:hideMark/>
          </w:tcPr>
          <w:p w14:paraId="4901F4B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89" w:type="dxa"/>
            <w:tcBorders>
              <w:top w:val="nil"/>
              <w:left w:val="nil"/>
              <w:bottom w:val="nil"/>
              <w:right w:val="nil"/>
            </w:tcBorders>
            <w:shd w:val="clear" w:color="auto" w:fill="auto"/>
            <w:vAlign w:val="center"/>
            <w:hideMark/>
          </w:tcPr>
          <w:p w14:paraId="6B1519C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51" w:type="dxa"/>
            <w:tcBorders>
              <w:top w:val="nil"/>
              <w:left w:val="nil"/>
              <w:bottom w:val="nil"/>
              <w:right w:val="nil"/>
            </w:tcBorders>
            <w:shd w:val="clear" w:color="auto" w:fill="auto"/>
            <w:vAlign w:val="center"/>
            <w:hideMark/>
          </w:tcPr>
          <w:p w14:paraId="238B656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53.00%</w:t>
            </w:r>
          </w:p>
        </w:tc>
        <w:tc>
          <w:tcPr>
            <w:tcW w:w="1092" w:type="dxa"/>
            <w:tcBorders>
              <w:top w:val="nil"/>
              <w:left w:val="nil"/>
              <w:bottom w:val="nil"/>
              <w:right w:val="nil"/>
            </w:tcBorders>
            <w:shd w:val="clear" w:color="auto" w:fill="auto"/>
            <w:vAlign w:val="center"/>
            <w:hideMark/>
          </w:tcPr>
          <w:p w14:paraId="35BCEB9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52.60%</w:t>
            </w:r>
          </w:p>
        </w:tc>
        <w:tc>
          <w:tcPr>
            <w:tcW w:w="992" w:type="dxa"/>
            <w:tcBorders>
              <w:top w:val="nil"/>
              <w:left w:val="nil"/>
              <w:bottom w:val="nil"/>
              <w:right w:val="nil"/>
            </w:tcBorders>
            <w:shd w:val="clear" w:color="auto" w:fill="auto"/>
            <w:vAlign w:val="center"/>
            <w:hideMark/>
          </w:tcPr>
          <w:p w14:paraId="2BA7DAC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67.00%</w:t>
            </w:r>
          </w:p>
        </w:tc>
        <w:tc>
          <w:tcPr>
            <w:tcW w:w="992" w:type="dxa"/>
            <w:tcBorders>
              <w:top w:val="nil"/>
              <w:left w:val="nil"/>
              <w:bottom w:val="nil"/>
              <w:right w:val="nil"/>
            </w:tcBorders>
            <w:shd w:val="clear" w:color="auto" w:fill="auto"/>
            <w:vAlign w:val="center"/>
            <w:hideMark/>
          </w:tcPr>
          <w:p w14:paraId="6180B79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63.00%</w:t>
            </w:r>
          </w:p>
        </w:tc>
        <w:tc>
          <w:tcPr>
            <w:tcW w:w="993" w:type="dxa"/>
            <w:tcBorders>
              <w:top w:val="nil"/>
              <w:left w:val="nil"/>
              <w:bottom w:val="nil"/>
              <w:right w:val="nil"/>
            </w:tcBorders>
            <w:shd w:val="clear" w:color="auto" w:fill="auto"/>
            <w:vAlign w:val="center"/>
            <w:hideMark/>
          </w:tcPr>
          <w:p w14:paraId="2211128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96" w:type="dxa"/>
            <w:tcBorders>
              <w:top w:val="nil"/>
              <w:left w:val="nil"/>
              <w:bottom w:val="nil"/>
              <w:right w:val="nil"/>
            </w:tcBorders>
            <w:shd w:val="clear" w:color="auto" w:fill="auto"/>
            <w:vAlign w:val="center"/>
            <w:hideMark/>
          </w:tcPr>
          <w:p w14:paraId="03FF73C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r>
      <w:tr w:rsidR="00667385" w:rsidRPr="00667385" w14:paraId="2595895F" w14:textId="77777777" w:rsidTr="00667385">
        <w:trPr>
          <w:trHeight w:val="630"/>
        </w:trPr>
        <w:tc>
          <w:tcPr>
            <w:tcW w:w="2001" w:type="dxa"/>
            <w:tcBorders>
              <w:top w:val="nil"/>
              <w:left w:val="nil"/>
              <w:bottom w:val="nil"/>
              <w:right w:val="nil"/>
            </w:tcBorders>
            <w:shd w:val="clear" w:color="auto" w:fill="auto"/>
            <w:vAlign w:val="center"/>
            <w:hideMark/>
          </w:tcPr>
          <w:p w14:paraId="4A38EAC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Previous CABG</w:t>
            </w:r>
          </w:p>
        </w:tc>
        <w:tc>
          <w:tcPr>
            <w:tcW w:w="1118" w:type="dxa"/>
            <w:tcBorders>
              <w:top w:val="nil"/>
              <w:left w:val="nil"/>
              <w:bottom w:val="nil"/>
              <w:right w:val="nil"/>
            </w:tcBorders>
            <w:shd w:val="clear" w:color="auto" w:fill="auto"/>
            <w:vAlign w:val="center"/>
            <w:hideMark/>
          </w:tcPr>
          <w:p w14:paraId="04943CA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19.80%</w:t>
            </w:r>
          </w:p>
        </w:tc>
        <w:tc>
          <w:tcPr>
            <w:tcW w:w="989" w:type="dxa"/>
            <w:tcBorders>
              <w:top w:val="nil"/>
              <w:left w:val="nil"/>
              <w:bottom w:val="nil"/>
              <w:right w:val="nil"/>
            </w:tcBorders>
            <w:shd w:val="clear" w:color="auto" w:fill="auto"/>
            <w:vAlign w:val="center"/>
            <w:hideMark/>
          </w:tcPr>
          <w:p w14:paraId="45E76A0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19.60%</w:t>
            </w:r>
          </w:p>
        </w:tc>
        <w:tc>
          <w:tcPr>
            <w:tcW w:w="989" w:type="dxa"/>
            <w:tcBorders>
              <w:top w:val="nil"/>
              <w:left w:val="nil"/>
              <w:bottom w:val="nil"/>
              <w:right w:val="nil"/>
            </w:tcBorders>
            <w:shd w:val="clear" w:color="auto" w:fill="auto"/>
            <w:vAlign w:val="center"/>
            <w:hideMark/>
          </w:tcPr>
          <w:p w14:paraId="59DC1B9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4.10%</w:t>
            </w:r>
          </w:p>
        </w:tc>
        <w:tc>
          <w:tcPr>
            <w:tcW w:w="989" w:type="dxa"/>
            <w:tcBorders>
              <w:top w:val="nil"/>
              <w:left w:val="nil"/>
              <w:bottom w:val="nil"/>
              <w:right w:val="nil"/>
            </w:tcBorders>
            <w:shd w:val="clear" w:color="auto" w:fill="auto"/>
            <w:vAlign w:val="center"/>
            <w:hideMark/>
          </w:tcPr>
          <w:p w14:paraId="6C1C13E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6.00%</w:t>
            </w:r>
          </w:p>
        </w:tc>
        <w:tc>
          <w:tcPr>
            <w:tcW w:w="951" w:type="dxa"/>
            <w:tcBorders>
              <w:top w:val="nil"/>
              <w:left w:val="nil"/>
              <w:bottom w:val="nil"/>
              <w:right w:val="nil"/>
            </w:tcBorders>
            <w:shd w:val="clear" w:color="auto" w:fill="auto"/>
            <w:vAlign w:val="center"/>
            <w:hideMark/>
          </w:tcPr>
          <w:p w14:paraId="0C35464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20.00%</w:t>
            </w:r>
          </w:p>
        </w:tc>
        <w:tc>
          <w:tcPr>
            <w:tcW w:w="1092" w:type="dxa"/>
            <w:tcBorders>
              <w:top w:val="nil"/>
              <w:left w:val="nil"/>
              <w:bottom w:val="nil"/>
              <w:right w:val="nil"/>
            </w:tcBorders>
            <w:shd w:val="clear" w:color="auto" w:fill="auto"/>
            <w:vAlign w:val="center"/>
            <w:hideMark/>
          </w:tcPr>
          <w:p w14:paraId="72D63A9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19.30%</w:t>
            </w:r>
          </w:p>
        </w:tc>
        <w:tc>
          <w:tcPr>
            <w:tcW w:w="992" w:type="dxa"/>
            <w:tcBorders>
              <w:top w:val="nil"/>
              <w:left w:val="nil"/>
              <w:bottom w:val="nil"/>
              <w:right w:val="nil"/>
            </w:tcBorders>
            <w:shd w:val="clear" w:color="auto" w:fill="auto"/>
            <w:vAlign w:val="center"/>
            <w:hideMark/>
          </w:tcPr>
          <w:p w14:paraId="1F932F3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39.00%</w:t>
            </w:r>
          </w:p>
        </w:tc>
        <w:tc>
          <w:tcPr>
            <w:tcW w:w="992" w:type="dxa"/>
            <w:tcBorders>
              <w:top w:val="nil"/>
              <w:left w:val="nil"/>
              <w:bottom w:val="nil"/>
              <w:right w:val="nil"/>
            </w:tcBorders>
            <w:shd w:val="clear" w:color="auto" w:fill="auto"/>
            <w:vAlign w:val="center"/>
            <w:hideMark/>
          </w:tcPr>
          <w:p w14:paraId="6C8721D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33.00%</w:t>
            </w:r>
          </w:p>
        </w:tc>
        <w:tc>
          <w:tcPr>
            <w:tcW w:w="993" w:type="dxa"/>
            <w:tcBorders>
              <w:top w:val="nil"/>
              <w:left w:val="nil"/>
              <w:bottom w:val="nil"/>
              <w:right w:val="nil"/>
            </w:tcBorders>
            <w:shd w:val="clear" w:color="auto" w:fill="auto"/>
            <w:vAlign w:val="center"/>
            <w:hideMark/>
          </w:tcPr>
          <w:p w14:paraId="17299B7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17.10%</w:t>
            </w:r>
          </w:p>
        </w:tc>
        <w:tc>
          <w:tcPr>
            <w:tcW w:w="996" w:type="dxa"/>
            <w:tcBorders>
              <w:top w:val="nil"/>
              <w:left w:val="nil"/>
              <w:bottom w:val="nil"/>
              <w:right w:val="nil"/>
            </w:tcBorders>
            <w:shd w:val="clear" w:color="auto" w:fill="auto"/>
            <w:vAlign w:val="center"/>
            <w:hideMark/>
          </w:tcPr>
          <w:p w14:paraId="323E92E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17.40%</w:t>
            </w:r>
          </w:p>
        </w:tc>
      </w:tr>
      <w:tr w:rsidR="00667385" w:rsidRPr="00667385" w14:paraId="40256840" w14:textId="77777777" w:rsidTr="00667385">
        <w:trPr>
          <w:trHeight w:val="315"/>
        </w:trPr>
        <w:tc>
          <w:tcPr>
            <w:tcW w:w="2001" w:type="dxa"/>
            <w:tcBorders>
              <w:top w:val="nil"/>
              <w:left w:val="nil"/>
              <w:bottom w:val="nil"/>
              <w:right w:val="nil"/>
            </w:tcBorders>
            <w:shd w:val="clear" w:color="auto" w:fill="auto"/>
            <w:vAlign w:val="center"/>
            <w:hideMark/>
          </w:tcPr>
          <w:p w14:paraId="74C3CDDC" w14:textId="77777777" w:rsidR="00667385" w:rsidRPr="00667385" w:rsidRDefault="00667385" w:rsidP="00667385">
            <w:pPr>
              <w:spacing w:line="360" w:lineRule="auto"/>
              <w:jc w:val="both"/>
              <w:rPr>
                <w:rFonts w:ascii="Book Antiqua" w:eastAsia="宋体" w:hAnsi="Book Antiqua" w:cs="宋体"/>
                <w:color w:val="000000"/>
                <w:lang w:eastAsia="zh-CN"/>
              </w:rPr>
            </w:pPr>
            <w:proofErr w:type="spellStart"/>
            <w:r w:rsidRPr="00667385">
              <w:rPr>
                <w:rFonts w:ascii="Book Antiqua" w:eastAsia="宋体" w:hAnsi="Book Antiqua" w:cs="宋体"/>
                <w:color w:val="000000"/>
                <w:lang w:eastAsia="zh-CN"/>
              </w:rPr>
              <w:lastRenderedPageBreak/>
              <w:t>AFib</w:t>
            </w:r>
            <w:proofErr w:type="spellEnd"/>
          </w:p>
        </w:tc>
        <w:tc>
          <w:tcPr>
            <w:tcW w:w="1118" w:type="dxa"/>
            <w:tcBorders>
              <w:top w:val="nil"/>
              <w:left w:val="nil"/>
              <w:bottom w:val="nil"/>
              <w:right w:val="nil"/>
            </w:tcBorders>
            <w:shd w:val="clear" w:color="auto" w:fill="auto"/>
            <w:vAlign w:val="center"/>
            <w:hideMark/>
          </w:tcPr>
          <w:p w14:paraId="16BD74A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33.50%</w:t>
            </w:r>
          </w:p>
        </w:tc>
        <w:tc>
          <w:tcPr>
            <w:tcW w:w="989" w:type="dxa"/>
            <w:tcBorders>
              <w:top w:val="nil"/>
              <w:left w:val="nil"/>
              <w:bottom w:val="nil"/>
              <w:right w:val="nil"/>
            </w:tcBorders>
            <w:shd w:val="clear" w:color="auto" w:fill="auto"/>
            <w:vAlign w:val="center"/>
            <w:hideMark/>
          </w:tcPr>
          <w:p w14:paraId="7D30C43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34.70%</w:t>
            </w:r>
          </w:p>
        </w:tc>
        <w:tc>
          <w:tcPr>
            <w:tcW w:w="989" w:type="dxa"/>
            <w:tcBorders>
              <w:top w:val="nil"/>
              <w:left w:val="nil"/>
              <w:bottom w:val="nil"/>
              <w:right w:val="nil"/>
            </w:tcBorders>
            <w:shd w:val="clear" w:color="auto" w:fill="auto"/>
            <w:vAlign w:val="center"/>
            <w:hideMark/>
          </w:tcPr>
          <w:p w14:paraId="52E46FD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27.80%</w:t>
            </w:r>
          </w:p>
        </w:tc>
        <w:tc>
          <w:tcPr>
            <w:tcW w:w="989" w:type="dxa"/>
            <w:tcBorders>
              <w:top w:val="nil"/>
              <w:left w:val="nil"/>
              <w:bottom w:val="nil"/>
              <w:right w:val="nil"/>
            </w:tcBorders>
            <w:shd w:val="clear" w:color="auto" w:fill="auto"/>
            <w:vAlign w:val="center"/>
            <w:hideMark/>
          </w:tcPr>
          <w:p w14:paraId="20A42AC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33.60%</w:t>
            </w:r>
          </w:p>
        </w:tc>
        <w:tc>
          <w:tcPr>
            <w:tcW w:w="951" w:type="dxa"/>
            <w:tcBorders>
              <w:top w:val="nil"/>
              <w:left w:val="nil"/>
              <w:bottom w:val="nil"/>
              <w:right w:val="nil"/>
            </w:tcBorders>
            <w:shd w:val="clear" w:color="auto" w:fill="auto"/>
            <w:vAlign w:val="center"/>
            <w:hideMark/>
          </w:tcPr>
          <w:p w14:paraId="5509142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25.00%</w:t>
            </w:r>
          </w:p>
        </w:tc>
        <w:tc>
          <w:tcPr>
            <w:tcW w:w="1092" w:type="dxa"/>
            <w:tcBorders>
              <w:top w:val="nil"/>
              <w:left w:val="nil"/>
              <w:bottom w:val="nil"/>
              <w:right w:val="nil"/>
            </w:tcBorders>
            <w:shd w:val="clear" w:color="auto" w:fill="auto"/>
            <w:vAlign w:val="center"/>
            <w:hideMark/>
          </w:tcPr>
          <w:p w14:paraId="5857783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25.00%</w:t>
            </w:r>
          </w:p>
        </w:tc>
        <w:tc>
          <w:tcPr>
            <w:tcW w:w="992" w:type="dxa"/>
            <w:tcBorders>
              <w:top w:val="nil"/>
              <w:left w:val="nil"/>
              <w:bottom w:val="nil"/>
              <w:right w:val="nil"/>
            </w:tcBorders>
            <w:shd w:val="clear" w:color="auto" w:fill="auto"/>
            <w:vAlign w:val="center"/>
            <w:hideMark/>
          </w:tcPr>
          <w:p w14:paraId="2EAC5BA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17.00%</w:t>
            </w:r>
          </w:p>
        </w:tc>
        <w:tc>
          <w:tcPr>
            <w:tcW w:w="992" w:type="dxa"/>
            <w:tcBorders>
              <w:top w:val="nil"/>
              <w:left w:val="nil"/>
              <w:bottom w:val="nil"/>
              <w:right w:val="nil"/>
            </w:tcBorders>
            <w:shd w:val="clear" w:color="auto" w:fill="auto"/>
            <w:vAlign w:val="center"/>
            <w:hideMark/>
          </w:tcPr>
          <w:p w14:paraId="2544146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20.00%</w:t>
            </w:r>
          </w:p>
        </w:tc>
        <w:tc>
          <w:tcPr>
            <w:tcW w:w="993" w:type="dxa"/>
            <w:tcBorders>
              <w:top w:val="nil"/>
              <w:left w:val="nil"/>
              <w:bottom w:val="nil"/>
              <w:right w:val="nil"/>
            </w:tcBorders>
            <w:shd w:val="clear" w:color="auto" w:fill="auto"/>
            <w:vAlign w:val="center"/>
            <w:hideMark/>
          </w:tcPr>
          <w:p w14:paraId="3FD01A0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96" w:type="dxa"/>
            <w:tcBorders>
              <w:top w:val="nil"/>
              <w:left w:val="nil"/>
              <w:bottom w:val="nil"/>
              <w:right w:val="nil"/>
            </w:tcBorders>
            <w:shd w:val="clear" w:color="auto" w:fill="auto"/>
            <w:vAlign w:val="center"/>
            <w:hideMark/>
          </w:tcPr>
          <w:p w14:paraId="2D841BA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r>
      <w:tr w:rsidR="00667385" w:rsidRPr="00667385" w14:paraId="7A22F85C" w14:textId="77777777" w:rsidTr="00667385">
        <w:trPr>
          <w:trHeight w:val="315"/>
        </w:trPr>
        <w:tc>
          <w:tcPr>
            <w:tcW w:w="2001" w:type="dxa"/>
            <w:tcBorders>
              <w:top w:val="nil"/>
              <w:left w:val="nil"/>
              <w:bottom w:val="nil"/>
              <w:right w:val="nil"/>
            </w:tcBorders>
            <w:shd w:val="clear" w:color="auto" w:fill="auto"/>
            <w:vAlign w:val="center"/>
            <w:hideMark/>
          </w:tcPr>
          <w:p w14:paraId="761D3AE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PVD</w:t>
            </w:r>
          </w:p>
        </w:tc>
        <w:tc>
          <w:tcPr>
            <w:tcW w:w="1118" w:type="dxa"/>
            <w:tcBorders>
              <w:top w:val="nil"/>
              <w:left w:val="nil"/>
              <w:bottom w:val="nil"/>
              <w:right w:val="nil"/>
            </w:tcBorders>
            <w:shd w:val="clear" w:color="auto" w:fill="auto"/>
            <w:vAlign w:val="center"/>
            <w:hideMark/>
          </w:tcPr>
          <w:p w14:paraId="5A68F5E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16.30%</w:t>
            </w:r>
          </w:p>
        </w:tc>
        <w:tc>
          <w:tcPr>
            <w:tcW w:w="989" w:type="dxa"/>
            <w:tcBorders>
              <w:top w:val="nil"/>
              <w:left w:val="nil"/>
              <w:bottom w:val="nil"/>
              <w:right w:val="nil"/>
            </w:tcBorders>
            <w:shd w:val="clear" w:color="auto" w:fill="auto"/>
            <w:vAlign w:val="center"/>
            <w:hideMark/>
          </w:tcPr>
          <w:p w14:paraId="07AF485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19.20%</w:t>
            </w:r>
          </w:p>
        </w:tc>
        <w:tc>
          <w:tcPr>
            <w:tcW w:w="989" w:type="dxa"/>
            <w:tcBorders>
              <w:top w:val="nil"/>
              <w:left w:val="nil"/>
              <w:bottom w:val="nil"/>
              <w:right w:val="nil"/>
            </w:tcBorders>
            <w:shd w:val="clear" w:color="auto" w:fill="auto"/>
            <w:vAlign w:val="center"/>
            <w:hideMark/>
          </w:tcPr>
          <w:p w14:paraId="6A75D5E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13.40%</w:t>
            </w:r>
          </w:p>
        </w:tc>
        <w:tc>
          <w:tcPr>
            <w:tcW w:w="989" w:type="dxa"/>
            <w:tcBorders>
              <w:top w:val="nil"/>
              <w:left w:val="nil"/>
              <w:bottom w:val="nil"/>
              <w:right w:val="nil"/>
            </w:tcBorders>
            <w:shd w:val="clear" w:color="auto" w:fill="auto"/>
            <w:vAlign w:val="center"/>
            <w:hideMark/>
          </w:tcPr>
          <w:p w14:paraId="459C5C55"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14.30%</w:t>
            </w:r>
          </w:p>
        </w:tc>
        <w:tc>
          <w:tcPr>
            <w:tcW w:w="951" w:type="dxa"/>
            <w:tcBorders>
              <w:top w:val="nil"/>
              <w:left w:val="nil"/>
              <w:bottom w:val="nil"/>
              <w:right w:val="nil"/>
            </w:tcBorders>
            <w:shd w:val="clear" w:color="auto" w:fill="auto"/>
            <w:vAlign w:val="center"/>
            <w:hideMark/>
          </w:tcPr>
          <w:p w14:paraId="1A8EF90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18.00%</w:t>
            </w:r>
          </w:p>
        </w:tc>
        <w:tc>
          <w:tcPr>
            <w:tcW w:w="1092" w:type="dxa"/>
            <w:tcBorders>
              <w:top w:val="nil"/>
              <w:left w:val="nil"/>
              <w:bottom w:val="nil"/>
              <w:right w:val="nil"/>
            </w:tcBorders>
            <w:shd w:val="clear" w:color="auto" w:fill="auto"/>
            <w:vAlign w:val="center"/>
            <w:hideMark/>
          </w:tcPr>
          <w:p w14:paraId="79F54F3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26.70%</w:t>
            </w:r>
          </w:p>
        </w:tc>
        <w:tc>
          <w:tcPr>
            <w:tcW w:w="992" w:type="dxa"/>
            <w:tcBorders>
              <w:top w:val="nil"/>
              <w:left w:val="nil"/>
              <w:bottom w:val="nil"/>
              <w:right w:val="nil"/>
            </w:tcBorders>
            <w:shd w:val="clear" w:color="auto" w:fill="auto"/>
            <w:vAlign w:val="center"/>
            <w:hideMark/>
          </w:tcPr>
          <w:p w14:paraId="52EC2B7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40.00%</w:t>
            </w:r>
          </w:p>
        </w:tc>
        <w:tc>
          <w:tcPr>
            <w:tcW w:w="992" w:type="dxa"/>
            <w:tcBorders>
              <w:top w:val="nil"/>
              <w:left w:val="nil"/>
              <w:bottom w:val="nil"/>
              <w:right w:val="nil"/>
            </w:tcBorders>
            <w:shd w:val="clear" w:color="auto" w:fill="auto"/>
            <w:vAlign w:val="center"/>
            <w:hideMark/>
          </w:tcPr>
          <w:p w14:paraId="494B9F0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24.00%</w:t>
            </w:r>
          </w:p>
        </w:tc>
        <w:tc>
          <w:tcPr>
            <w:tcW w:w="993" w:type="dxa"/>
            <w:tcBorders>
              <w:top w:val="nil"/>
              <w:left w:val="nil"/>
              <w:bottom w:val="nil"/>
              <w:right w:val="nil"/>
            </w:tcBorders>
            <w:shd w:val="clear" w:color="auto" w:fill="auto"/>
            <w:vAlign w:val="center"/>
            <w:hideMark/>
          </w:tcPr>
          <w:p w14:paraId="7521085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96" w:type="dxa"/>
            <w:tcBorders>
              <w:top w:val="nil"/>
              <w:left w:val="nil"/>
              <w:bottom w:val="nil"/>
              <w:right w:val="nil"/>
            </w:tcBorders>
            <w:shd w:val="clear" w:color="auto" w:fill="auto"/>
            <w:vAlign w:val="center"/>
            <w:hideMark/>
          </w:tcPr>
          <w:p w14:paraId="0F48E26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r>
      <w:tr w:rsidR="00667385" w:rsidRPr="00667385" w14:paraId="71FC8967" w14:textId="77777777" w:rsidTr="00667385">
        <w:trPr>
          <w:trHeight w:val="315"/>
        </w:trPr>
        <w:tc>
          <w:tcPr>
            <w:tcW w:w="2001" w:type="dxa"/>
            <w:tcBorders>
              <w:top w:val="nil"/>
              <w:left w:val="nil"/>
              <w:bottom w:val="nil"/>
              <w:right w:val="nil"/>
            </w:tcBorders>
            <w:shd w:val="clear" w:color="auto" w:fill="auto"/>
            <w:vAlign w:val="center"/>
            <w:hideMark/>
          </w:tcPr>
          <w:p w14:paraId="2A9EEB4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Prior CVA</w:t>
            </w:r>
          </w:p>
        </w:tc>
        <w:tc>
          <w:tcPr>
            <w:tcW w:w="1118" w:type="dxa"/>
            <w:tcBorders>
              <w:top w:val="nil"/>
              <w:left w:val="nil"/>
              <w:bottom w:val="nil"/>
              <w:right w:val="nil"/>
            </w:tcBorders>
            <w:shd w:val="clear" w:color="auto" w:fill="auto"/>
            <w:vAlign w:val="center"/>
            <w:hideMark/>
          </w:tcPr>
          <w:p w14:paraId="2DB5581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89" w:type="dxa"/>
            <w:tcBorders>
              <w:top w:val="nil"/>
              <w:left w:val="nil"/>
              <w:bottom w:val="nil"/>
              <w:right w:val="nil"/>
            </w:tcBorders>
            <w:shd w:val="clear" w:color="auto" w:fill="auto"/>
            <w:vAlign w:val="center"/>
            <w:hideMark/>
          </w:tcPr>
          <w:p w14:paraId="21022F6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89" w:type="dxa"/>
            <w:tcBorders>
              <w:top w:val="nil"/>
              <w:left w:val="nil"/>
              <w:bottom w:val="nil"/>
              <w:right w:val="nil"/>
            </w:tcBorders>
            <w:shd w:val="clear" w:color="auto" w:fill="auto"/>
            <w:vAlign w:val="center"/>
            <w:hideMark/>
          </w:tcPr>
          <w:p w14:paraId="6BE10DE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10.30%</w:t>
            </w:r>
          </w:p>
        </w:tc>
        <w:tc>
          <w:tcPr>
            <w:tcW w:w="989" w:type="dxa"/>
            <w:tcBorders>
              <w:top w:val="nil"/>
              <w:left w:val="nil"/>
              <w:bottom w:val="nil"/>
              <w:right w:val="nil"/>
            </w:tcBorders>
            <w:shd w:val="clear" w:color="auto" w:fill="auto"/>
            <w:vAlign w:val="center"/>
            <w:hideMark/>
          </w:tcPr>
          <w:p w14:paraId="33DE68E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10.60%</w:t>
            </w:r>
          </w:p>
        </w:tc>
        <w:tc>
          <w:tcPr>
            <w:tcW w:w="951" w:type="dxa"/>
            <w:tcBorders>
              <w:top w:val="nil"/>
              <w:left w:val="nil"/>
              <w:bottom w:val="nil"/>
              <w:right w:val="nil"/>
            </w:tcBorders>
            <w:shd w:val="clear" w:color="auto" w:fill="auto"/>
            <w:vAlign w:val="center"/>
            <w:hideMark/>
          </w:tcPr>
          <w:p w14:paraId="766C0D0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17.00%</w:t>
            </w:r>
          </w:p>
        </w:tc>
        <w:tc>
          <w:tcPr>
            <w:tcW w:w="1092" w:type="dxa"/>
            <w:tcBorders>
              <w:top w:val="nil"/>
              <w:left w:val="nil"/>
              <w:bottom w:val="nil"/>
              <w:right w:val="nil"/>
            </w:tcBorders>
            <w:shd w:val="clear" w:color="auto" w:fill="auto"/>
            <w:vAlign w:val="center"/>
            <w:hideMark/>
          </w:tcPr>
          <w:p w14:paraId="2A3DE4C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16.30%</w:t>
            </w:r>
          </w:p>
        </w:tc>
        <w:tc>
          <w:tcPr>
            <w:tcW w:w="992" w:type="dxa"/>
            <w:tcBorders>
              <w:top w:val="nil"/>
              <w:left w:val="nil"/>
              <w:bottom w:val="nil"/>
              <w:right w:val="nil"/>
            </w:tcBorders>
            <w:shd w:val="clear" w:color="auto" w:fill="auto"/>
            <w:vAlign w:val="center"/>
            <w:hideMark/>
          </w:tcPr>
          <w:p w14:paraId="237F329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19.00%</w:t>
            </w:r>
          </w:p>
        </w:tc>
        <w:tc>
          <w:tcPr>
            <w:tcW w:w="992" w:type="dxa"/>
            <w:tcBorders>
              <w:top w:val="nil"/>
              <w:left w:val="nil"/>
              <w:bottom w:val="nil"/>
              <w:right w:val="nil"/>
            </w:tcBorders>
            <w:shd w:val="clear" w:color="auto" w:fill="auto"/>
            <w:vAlign w:val="center"/>
            <w:hideMark/>
          </w:tcPr>
          <w:p w14:paraId="61C575F8"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16.00%</w:t>
            </w:r>
          </w:p>
        </w:tc>
        <w:tc>
          <w:tcPr>
            <w:tcW w:w="993" w:type="dxa"/>
            <w:tcBorders>
              <w:top w:val="nil"/>
              <w:left w:val="nil"/>
              <w:bottom w:val="nil"/>
              <w:right w:val="nil"/>
            </w:tcBorders>
            <w:shd w:val="clear" w:color="auto" w:fill="auto"/>
            <w:vAlign w:val="center"/>
            <w:hideMark/>
          </w:tcPr>
          <w:p w14:paraId="6F4B892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96" w:type="dxa"/>
            <w:tcBorders>
              <w:top w:val="nil"/>
              <w:left w:val="nil"/>
              <w:bottom w:val="nil"/>
              <w:right w:val="nil"/>
            </w:tcBorders>
            <w:shd w:val="clear" w:color="auto" w:fill="auto"/>
            <w:vAlign w:val="center"/>
            <w:hideMark/>
          </w:tcPr>
          <w:p w14:paraId="3FD88F4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r>
      <w:tr w:rsidR="00667385" w:rsidRPr="00667385" w14:paraId="32BE39A4" w14:textId="77777777" w:rsidTr="00667385">
        <w:trPr>
          <w:trHeight w:val="1005"/>
        </w:trPr>
        <w:tc>
          <w:tcPr>
            <w:tcW w:w="2001" w:type="dxa"/>
            <w:tcBorders>
              <w:top w:val="nil"/>
              <w:left w:val="nil"/>
              <w:bottom w:val="nil"/>
              <w:right w:val="nil"/>
            </w:tcBorders>
            <w:shd w:val="clear" w:color="auto" w:fill="auto"/>
            <w:vAlign w:val="center"/>
            <w:hideMark/>
          </w:tcPr>
          <w:p w14:paraId="003017A1" w14:textId="77777777" w:rsidR="00667385" w:rsidRPr="00667385" w:rsidRDefault="00667385" w:rsidP="00667385">
            <w:pPr>
              <w:spacing w:line="360" w:lineRule="auto"/>
              <w:jc w:val="both"/>
              <w:rPr>
                <w:rFonts w:ascii="Book Antiqua" w:eastAsia="宋体" w:hAnsi="Book Antiqua" w:cs="宋体"/>
                <w:color w:val="000000"/>
                <w:lang w:eastAsia="zh-CN"/>
              </w:rPr>
            </w:pPr>
            <w:proofErr w:type="spellStart"/>
            <w:r w:rsidRPr="00667385">
              <w:rPr>
                <w:rFonts w:ascii="Book Antiqua" w:eastAsia="宋体" w:hAnsi="Book Antiqua" w:cs="宋体"/>
                <w:color w:val="000000"/>
                <w:lang w:eastAsia="zh-CN"/>
              </w:rPr>
              <w:t>eGFR</w:t>
            </w:r>
            <w:proofErr w:type="spellEnd"/>
            <w:r w:rsidRPr="00667385">
              <w:rPr>
                <w:rFonts w:ascii="Book Antiqua" w:eastAsia="宋体" w:hAnsi="Book Antiqua" w:cs="宋体"/>
                <w:color w:val="000000"/>
                <w:lang w:eastAsia="zh-CN"/>
              </w:rPr>
              <w:t xml:space="preserve"> &lt; 60 mL/min/1.73m</w:t>
            </w:r>
            <w:r w:rsidRPr="00667385">
              <w:rPr>
                <w:rFonts w:ascii="Book Antiqua" w:eastAsia="宋体" w:hAnsi="Book Antiqua" w:cs="宋体"/>
                <w:color w:val="000000"/>
                <w:vertAlign w:val="superscript"/>
                <w:lang w:eastAsia="zh-CN"/>
              </w:rPr>
              <w:t>2</w:t>
            </w:r>
          </w:p>
        </w:tc>
        <w:tc>
          <w:tcPr>
            <w:tcW w:w="1118" w:type="dxa"/>
            <w:tcBorders>
              <w:top w:val="nil"/>
              <w:left w:val="nil"/>
              <w:bottom w:val="nil"/>
              <w:right w:val="nil"/>
            </w:tcBorders>
            <w:shd w:val="clear" w:color="auto" w:fill="auto"/>
            <w:vAlign w:val="center"/>
            <w:hideMark/>
          </w:tcPr>
          <w:p w14:paraId="50071B7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67.60%</w:t>
            </w:r>
          </w:p>
        </w:tc>
        <w:tc>
          <w:tcPr>
            <w:tcW w:w="989" w:type="dxa"/>
            <w:tcBorders>
              <w:top w:val="nil"/>
              <w:left w:val="nil"/>
              <w:bottom w:val="nil"/>
              <w:right w:val="nil"/>
            </w:tcBorders>
            <w:shd w:val="clear" w:color="auto" w:fill="auto"/>
            <w:vAlign w:val="center"/>
            <w:hideMark/>
          </w:tcPr>
          <w:p w14:paraId="3BB62D0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69.40%</w:t>
            </w:r>
          </w:p>
        </w:tc>
        <w:tc>
          <w:tcPr>
            <w:tcW w:w="989" w:type="dxa"/>
            <w:tcBorders>
              <w:top w:val="nil"/>
              <w:left w:val="nil"/>
              <w:bottom w:val="nil"/>
              <w:right w:val="nil"/>
            </w:tcBorders>
            <w:shd w:val="clear" w:color="auto" w:fill="auto"/>
            <w:vAlign w:val="center"/>
            <w:hideMark/>
          </w:tcPr>
          <w:p w14:paraId="56EA4A9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89" w:type="dxa"/>
            <w:tcBorders>
              <w:top w:val="nil"/>
              <w:left w:val="nil"/>
              <w:bottom w:val="nil"/>
              <w:right w:val="nil"/>
            </w:tcBorders>
            <w:shd w:val="clear" w:color="auto" w:fill="auto"/>
            <w:vAlign w:val="center"/>
            <w:hideMark/>
          </w:tcPr>
          <w:p w14:paraId="753D90D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51" w:type="dxa"/>
            <w:tcBorders>
              <w:top w:val="nil"/>
              <w:left w:val="nil"/>
              <w:bottom w:val="nil"/>
              <w:right w:val="nil"/>
            </w:tcBorders>
            <w:shd w:val="clear" w:color="auto" w:fill="auto"/>
            <w:vAlign w:val="center"/>
            <w:hideMark/>
          </w:tcPr>
          <w:p w14:paraId="55EBB66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1092" w:type="dxa"/>
            <w:tcBorders>
              <w:top w:val="nil"/>
              <w:left w:val="nil"/>
              <w:bottom w:val="nil"/>
              <w:right w:val="nil"/>
            </w:tcBorders>
            <w:shd w:val="clear" w:color="auto" w:fill="auto"/>
            <w:vAlign w:val="center"/>
            <w:hideMark/>
          </w:tcPr>
          <w:p w14:paraId="4EC2070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92" w:type="dxa"/>
            <w:tcBorders>
              <w:top w:val="nil"/>
              <w:left w:val="nil"/>
              <w:bottom w:val="nil"/>
              <w:right w:val="nil"/>
            </w:tcBorders>
            <w:shd w:val="clear" w:color="auto" w:fill="auto"/>
            <w:vAlign w:val="center"/>
            <w:hideMark/>
          </w:tcPr>
          <w:p w14:paraId="04938CE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57.00%</w:t>
            </w:r>
          </w:p>
        </w:tc>
        <w:tc>
          <w:tcPr>
            <w:tcW w:w="992" w:type="dxa"/>
            <w:tcBorders>
              <w:top w:val="nil"/>
              <w:left w:val="nil"/>
              <w:bottom w:val="nil"/>
              <w:right w:val="nil"/>
            </w:tcBorders>
            <w:shd w:val="clear" w:color="auto" w:fill="auto"/>
            <w:vAlign w:val="center"/>
            <w:hideMark/>
          </w:tcPr>
          <w:p w14:paraId="2B92389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51.00%</w:t>
            </w:r>
          </w:p>
        </w:tc>
        <w:tc>
          <w:tcPr>
            <w:tcW w:w="993" w:type="dxa"/>
            <w:tcBorders>
              <w:top w:val="nil"/>
              <w:left w:val="nil"/>
              <w:bottom w:val="nil"/>
              <w:right w:val="nil"/>
            </w:tcBorders>
            <w:shd w:val="clear" w:color="auto" w:fill="auto"/>
            <w:vAlign w:val="center"/>
            <w:hideMark/>
          </w:tcPr>
          <w:p w14:paraId="2391C03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96" w:type="dxa"/>
            <w:tcBorders>
              <w:top w:val="nil"/>
              <w:left w:val="nil"/>
              <w:bottom w:val="nil"/>
              <w:right w:val="nil"/>
            </w:tcBorders>
            <w:shd w:val="clear" w:color="auto" w:fill="auto"/>
            <w:vAlign w:val="center"/>
            <w:hideMark/>
          </w:tcPr>
          <w:p w14:paraId="2986C848"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r>
      <w:tr w:rsidR="00667385" w:rsidRPr="00667385" w14:paraId="25D54BB2" w14:textId="77777777" w:rsidTr="00667385">
        <w:trPr>
          <w:trHeight w:val="630"/>
        </w:trPr>
        <w:tc>
          <w:tcPr>
            <w:tcW w:w="2001" w:type="dxa"/>
            <w:tcBorders>
              <w:top w:val="nil"/>
              <w:left w:val="nil"/>
              <w:bottom w:val="nil"/>
              <w:right w:val="nil"/>
            </w:tcBorders>
            <w:shd w:val="clear" w:color="auto" w:fill="auto"/>
            <w:vAlign w:val="center"/>
            <w:hideMark/>
          </w:tcPr>
          <w:p w14:paraId="46B606F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COPD/</w:t>
            </w:r>
            <w:proofErr w:type="spellStart"/>
            <w:r w:rsidRPr="00667385">
              <w:rPr>
                <w:rFonts w:ascii="Book Antiqua" w:eastAsia="宋体" w:hAnsi="Book Antiqua" w:cs="宋体"/>
                <w:color w:val="000000"/>
                <w:lang w:eastAsia="zh-CN"/>
              </w:rPr>
              <w:t>Pul</w:t>
            </w:r>
            <w:proofErr w:type="spellEnd"/>
            <w:r w:rsidRPr="00667385">
              <w:rPr>
                <w:rFonts w:ascii="Book Antiqua" w:eastAsia="宋体" w:hAnsi="Book Antiqua" w:cs="宋体"/>
                <w:color w:val="000000"/>
                <w:lang w:eastAsia="zh-CN"/>
              </w:rPr>
              <w:t xml:space="preserve"> disease</w:t>
            </w:r>
          </w:p>
        </w:tc>
        <w:tc>
          <w:tcPr>
            <w:tcW w:w="1118" w:type="dxa"/>
            <w:tcBorders>
              <w:top w:val="nil"/>
              <w:left w:val="nil"/>
              <w:bottom w:val="nil"/>
              <w:right w:val="nil"/>
            </w:tcBorders>
            <w:shd w:val="clear" w:color="auto" w:fill="auto"/>
            <w:vAlign w:val="center"/>
            <w:hideMark/>
          </w:tcPr>
          <w:p w14:paraId="503723E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21.30%</w:t>
            </w:r>
          </w:p>
        </w:tc>
        <w:tc>
          <w:tcPr>
            <w:tcW w:w="989" w:type="dxa"/>
            <w:tcBorders>
              <w:top w:val="nil"/>
              <w:left w:val="nil"/>
              <w:bottom w:val="nil"/>
              <w:right w:val="nil"/>
            </w:tcBorders>
            <w:shd w:val="clear" w:color="auto" w:fill="auto"/>
            <w:vAlign w:val="center"/>
            <w:hideMark/>
          </w:tcPr>
          <w:p w14:paraId="6E682DE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20.90%</w:t>
            </w:r>
          </w:p>
        </w:tc>
        <w:tc>
          <w:tcPr>
            <w:tcW w:w="989" w:type="dxa"/>
            <w:tcBorders>
              <w:top w:val="nil"/>
              <w:left w:val="nil"/>
              <w:bottom w:val="nil"/>
              <w:right w:val="nil"/>
            </w:tcBorders>
            <w:shd w:val="clear" w:color="auto" w:fill="auto"/>
            <w:vAlign w:val="center"/>
            <w:hideMark/>
          </w:tcPr>
          <w:p w14:paraId="2DB5D57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11.90%</w:t>
            </w:r>
          </w:p>
        </w:tc>
        <w:tc>
          <w:tcPr>
            <w:tcW w:w="989" w:type="dxa"/>
            <w:tcBorders>
              <w:top w:val="nil"/>
              <w:left w:val="nil"/>
              <w:bottom w:val="nil"/>
              <w:right w:val="nil"/>
            </w:tcBorders>
            <w:shd w:val="clear" w:color="auto" w:fill="auto"/>
            <w:vAlign w:val="center"/>
            <w:hideMark/>
          </w:tcPr>
          <w:p w14:paraId="33CB8C0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13.40%</w:t>
            </w:r>
          </w:p>
        </w:tc>
        <w:tc>
          <w:tcPr>
            <w:tcW w:w="951" w:type="dxa"/>
            <w:tcBorders>
              <w:top w:val="nil"/>
              <w:left w:val="nil"/>
              <w:bottom w:val="nil"/>
              <w:right w:val="nil"/>
            </w:tcBorders>
            <w:shd w:val="clear" w:color="auto" w:fill="auto"/>
            <w:vAlign w:val="center"/>
            <w:hideMark/>
          </w:tcPr>
          <w:p w14:paraId="22C6BE4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25.00%</w:t>
            </w:r>
          </w:p>
        </w:tc>
        <w:tc>
          <w:tcPr>
            <w:tcW w:w="1092" w:type="dxa"/>
            <w:tcBorders>
              <w:top w:val="nil"/>
              <w:left w:val="nil"/>
              <w:bottom w:val="nil"/>
              <w:right w:val="nil"/>
            </w:tcBorders>
            <w:shd w:val="clear" w:color="auto" w:fill="auto"/>
            <w:vAlign w:val="center"/>
            <w:hideMark/>
          </w:tcPr>
          <w:p w14:paraId="3D7F9C2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25.90%</w:t>
            </w:r>
          </w:p>
        </w:tc>
        <w:tc>
          <w:tcPr>
            <w:tcW w:w="992" w:type="dxa"/>
            <w:tcBorders>
              <w:top w:val="nil"/>
              <w:left w:val="nil"/>
              <w:bottom w:val="nil"/>
              <w:right w:val="nil"/>
            </w:tcBorders>
            <w:shd w:val="clear" w:color="auto" w:fill="auto"/>
            <w:vAlign w:val="center"/>
            <w:hideMark/>
          </w:tcPr>
          <w:p w14:paraId="6396CB5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29.00%</w:t>
            </w:r>
          </w:p>
        </w:tc>
        <w:tc>
          <w:tcPr>
            <w:tcW w:w="992" w:type="dxa"/>
            <w:tcBorders>
              <w:top w:val="nil"/>
              <w:left w:val="nil"/>
              <w:bottom w:val="nil"/>
              <w:right w:val="nil"/>
            </w:tcBorders>
            <w:shd w:val="clear" w:color="auto" w:fill="auto"/>
            <w:vAlign w:val="center"/>
            <w:hideMark/>
          </w:tcPr>
          <w:p w14:paraId="2B0327B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25.00%</w:t>
            </w:r>
          </w:p>
        </w:tc>
        <w:tc>
          <w:tcPr>
            <w:tcW w:w="993" w:type="dxa"/>
            <w:tcBorders>
              <w:top w:val="nil"/>
              <w:left w:val="nil"/>
              <w:bottom w:val="nil"/>
              <w:right w:val="nil"/>
            </w:tcBorders>
            <w:shd w:val="clear" w:color="auto" w:fill="auto"/>
            <w:vAlign w:val="center"/>
            <w:hideMark/>
          </w:tcPr>
          <w:p w14:paraId="331754E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20.00%</w:t>
            </w:r>
          </w:p>
        </w:tc>
        <w:tc>
          <w:tcPr>
            <w:tcW w:w="996" w:type="dxa"/>
            <w:tcBorders>
              <w:top w:val="nil"/>
              <w:left w:val="nil"/>
              <w:bottom w:val="nil"/>
              <w:right w:val="nil"/>
            </w:tcBorders>
            <w:shd w:val="clear" w:color="auto" w:fill="auto"/>
            <w:vAlign w:val="center"/>
            <w:hideMark/>
          </w:tcPr>
          <w:p w14:paraId="2121B97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13.00%</w:t>
            </w:r>
          </w:p>
        </w:tc>
      </w:tr>
      <w:tr w:rsidR="00667385" w:rsidRPr="00667385" w14:paraId="37259634" w14:textId="77777777" w:rsidTr="00667385">
        <w:trPr>
          <w:trHeight w:val="630"/>
        </w:trPr>
        <w:tc>
          <w:tcPr>
            <w:tcW w:w="2001" w:type="dxa"/>
            <w:tcBorders>
              <w:top w:val="nil"/>
              <w:left w:val="nil"/>
              <w:bottom w:val="nil"/>
              <w:right w:val="nil"/>
            </w:tcBorders>
            <w:shd w:val="clear" w:color="auto" w:fill="auto"/>
            <w:vAlign w:val="center"/>
            <w:hideMark/>
          </w:tcPr>
          <w:p w14:paraId="02C5C55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STS-PROM score</w:t>
            </w:r>
          </w:p>
        </w:tc>
        <w:tc>
          <w:tcPr>
            <w:tcW w:w="1118" w:type="dxa"/>
            <w:tcBorders>
              <w:top w:val="nil"/>
              <w:left w:val="nil"/>
              <w:bottom w:val="nil"/>
              <w:right w:val="nil"/>
            </w:tcBorders>
            <w:shd w:val="clear" w:color="auto" w:fill="auto"/>
            <w:vAlign w:val="center"/>
            <w:hideMark/>
          </w:tcPr>
          <w:p w14:paraId="7830F7C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4.5</w:t>
            </w:r>
          </w:p>
        </w:tc>
        <w:tc>
          <w:tcPr>
            <w:tcW w:w="989" w:type="dxa"/>
            <w:tcBorders>
              <w:top w:val="nil"/>
              <w:left w:val="nil"/>
              <w:bottom w:val="nil"/>
              <w:right w:val="nil"/>
            </w:tcBorders>
            <w:shd w:val="clear" w:color="auto" w:fill="auto"/>
            <w:vAlign w:val="center"/>
            <w:hideMark/>
          </w:tcPr>
          <w:p w14:paraId="099F086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4.7</w:t>
            </w:r>
          </w:p>
        </w:tc>
        <w:tc>
          <w:tcPr>
            <w:tcW w:w="989" w:type="dxa"/>
            <w:tcBorders>
              <w:top w:val="nil"/>
              <w:left w:val="nil"/>
              <w:bottom w:val="nil"/>
              <w:right w:val="nil"/>
            </w:tcBorders>
            <w:shd w:val="clear" w:color="auto" w:fill="auto"/>
            <w:vAlign w:val="center"/>
            <w:hideMark/>
          </w:tcPr>
          <w:p w14:paraId="351155B8"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5.0 ± 3.0</w:t>
            </w:r>
          </w:p>
        </w:tc>
        <w:tc>
          <w:tcPr>
            <w:tcW w:w="989" w:type="dxa"/>
            <w:tcBorders>
              <w:top w:val="nil"/>
              <w:left w:val="nil"/>
              <w:bottom w:val="nil"/>
              <w:right w:val="nil"/>
            </w:tcBorders>
            <w:shd w:val="clear" w:color="auto" w:fill="auto"/>
            <w:vAlign w:val="center"/>
            <w:hideMark/>
          </w:tcPr>
          <w:p w14:paraId="75123D9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4.8 ± 3.6</w:t>
            </w:r>
          </w:p>
        </w:tc>
        <w:tc>
          <w:tcPr>
            <w:tcW w:w="951" w:type="dxa"/>
            <w:tcBorders>
              <w:top w:val="nil"/>
              <w:left w:val="nil"/>
              <w:bottom w:val="nil"/>
              <w:right w:val="nil"/>
            </w:tcBorders>
            <w:shd w:val="clear" w:color="auto" w:fill="auto"/>
            <w:vAlign w:val="center"/>
            <w:hideMark/>
          </w:tcPr>
          <w:p w14:paraId="57D1000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1092" w:type="dxa"/>
            <w:tcBorders>
              <w:top w:val="nil"/>
              <w:left w:val="nil"/>
              <w:bottom w:val="nil"/>
              <w:right w:val="nil"/>
            </w:tcBorders>
            <w:shd w:val="clear" w:color="auto" w:fill="auto"/>
            <w:vAlign w:val="center"/>
            <w:hideMark/>
          </w:tcPr>
          <w:p w14:paraId="07FBCFD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w:t>
            </w:r>
          </w:p>
        </w:tc>
        <w:tc>
          <w:tcPr>
            <w:tcW w:w="992" w:type="dxa"/>
            <w:tcBorders>
              <w:top w:val="nil"/>
              <w:left w:val="nil"/>
              <w:bottom w:val="nil"/>
              <w:right w:val="nil"/>
            </w:tcBorders>
            <w:shd w:val="clear" w:color="auto" w:fill="auto"/>
            <w:vAlign w:val="center"/>
            <w:hideMark/>
          </w:tcPr>
          <w:p w14:paraId="6261FC4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7.1 ± 4.5</w:t>
            </w:r>
          </w:p>
        </w:tc>
        <w:tc>
          <w:tcPr>
            <w:tcW w:w="992" w:type="dxa"/>
            <w:tcBorders>
              <w:top w:val="nil"/>
              <w:left w:val="nil"/>
              <w:bottom w:val="nil"/>
              <w:right w:val="nil"/>
            </w:tcBorders>
            <w:shd w:val="clear" w:color="auto" w:fill="auto"/>
            <w:vAlign w:val="center"/>
            <w:hideMark/>
          </w:tcPr>
          <w:p w14:paraId="6418AD2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7.2 ± 5.0</w:t>
            </w:r>
          </w:p>
        </w:tc>
        <w:tc>
          <w:tcPr>
            <w:tcW w:w="993" w:type="dxa"/>
            <w:tcBorders>
              <w:top w:val="nil"/>
              <w:left w:val="nil"/>
              <w:bottom w:val="nil"/>
              <w:right w:val="nil"/>
            </w:tcBorders>
            <w:shd w:val="clear" w:color="auto" w:fill="auto"/>
            <w:vAlign w:val="center"/>
            <w:hideMark/>
          </w:tcPr>
          <w:p w14:paraId="21B6835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 xml:space="preserve">9.0 ± 7.8 </w:t>
            </w:r>
          </w:p>
        </w:tc>
        <w:tc>
          <w:tcPr>
            <w:tcW w:w="996" w:type="dxa"/>
            <w:tcBorders>
              <w:top w:val="nil"/>
              <w:left w:val="nil"/>
              <w:bottom w:val="nil"/>
              <w:right w:val="nil"/>
            </w:tcBorders>
            <w:shd w:val="clear" w:color="auto" w:fill="auto"/>
            <w:vAlign w:val="center"/>
            <w:hideMark/>
          </w:tcPr>
          <w:p w14:paraId="71D9447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7.2 ± 7.5</w:t>
            </w:r>
          </w:p>
        </w:tc>
      </w:tr>
      <w:tr w:rsidR="00667385" w:rsidRPr="00667385" w14:paraId="484ACCAB" w14:textId="77777777" w:rsidTr="00667385">
        <w:trPr>
          <w:trHeight w:val="315"/>
        </w:trPr>
        <w:tc>
          <w:tcPr>
            <w:tcW w:w="2001" w:type="dxa"/>
            <w:tcBorders>
              <w:top w:val="nil"/>
              <w:left w:val="nil"/>
              <w:bottom w:val="nil"/>
              <w:right w:val="nil"/>
            </w:tcBorders>
            <w:shd w:val="clear" w:color="auto" w:fill="auto"/>
            <w:vAlign w:val="center"/>
            <w:hideMark/>
          </w:tcPr>
          <w:p w14:paraId="3800091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Valve type</w:t>
            </w:r>
          </w:p>
        </w:tc>
        <w:tc>
          <w:tcPr>
            <w:tcW w:w="1118" w:type="dxa"/>
            <w:tcBorders>
              <w:top w:val="nil"/>
              <w:left w:val="nil"/>
              <w:bottom w:val="nil"/>
              <w:right w:val="nil"/>
            </w:tcBorders>
            <w:shd w:val="clear" w:color="auto" w:fill="auto"/>
            <w:vAlign w:val="center"/>
            <w:hideMark/>
          </w:tcPr>
          <w:p w14:paraId="746A1DD5"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26076A18"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057DDBFC"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486D0E0A"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51" w:type="dxa"/>
            <w:tcBorders>
              <w:top w:val="nil"/>
              <w:left w:val="nil"/>
              <w:bottom w:val="nil"/>
              <w:right w:val="nil"/>
            </w:tcBorders>
            <w:shd w:val="clear" w:color="auto" w:fill="auto"/>
            <w:vAlign w:val="center"/>
            <w:hideMark/>
          </w:tcPr>
          <w:p w14:paraId="1AC07804"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1092" w:type="dxa"/>
            <w:tcBorders>
              <w:top w:val="nil"/>
              <w:left w:val="nil"/>
              <w:bottom w:val="nil"/>
              <w:right w:val="nil"/>
            </w:tcBorders>
            <w:shd w:val="clear" w:color="auto" w:fill="auto"/>
            <w:vAlign w:val="center"/>
            <w:hideMark/>
          </w:tcPr>
          <w:p w14:paraId="64C8F7E2"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2" w:type="dxa"/>
            <w:tcBorders>
              <w:top w:val="nil"/>
              <w:left w:val="nil"/>
              <w:bottom w:val="nil"/>
              <w:right w:val="nil"/>
            </w:tcBorders>
            <w:shd w:val="clear" w:color="auto" w:fill="auto"/>
            <w:vAlign w:val="center"/>
            <w:hideMark/>
          </w:tcPr>
          <w:p w14:paraId="0CDA8F6B"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2" w:type="dxa"/>
            <w:tcBorders>
              <w:top w:val="nil"/>
              <w:left w:val="nil"/>
              <w:bottom w:val="nil"/>
              <w:right w:val="nil"/>
            </w:tcBorders>
            <w:shd w:val="clear" w:color="auto" w:fill="auto"/>
            <w:vAlign w:val="center"/>
            <w:hideMark/>
          </w:tcPr>
          <w:p w14:paraId="37BCA814"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3" w:type="dxa"/>
            <w:tcBorders>
              <w:top w:val="nil"/>
              <w:left w:val="nil"/>
              <w:bottom w:val="nil"/>
              <w:right w:val="nil"/>
            </w:tcBorders>
            <w:shd w:val="clear" w:color="auto" w:fill="auto"/>
            <w:vAlign w:val="center"/>
            <w:hideMark/>
          </w:tcPr>
          <w:p w14:paraId="5B88E78C"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6" w:type="dxa"/>
            <w:tcBorders>
              <w:top w:val="nil"/>
              <w:left w:val="nil"/>
              <w:bottom w:val="nil"/>
              <w:right w:val="nil"/>
            </w:tcBorders>
            <w:shd w:val="clear" w:color="auto" w:fill="auto"/>
            <w:vAlign w:val="center"/>
            <w:hideMark/>
          </w:tcPr>
          <w:p w14:paraId="2E27CF5C" w14:textId="77777777" w:rsidR="00667385" w:rsidRPr="00667385" w:rsidRDefault="00667385" w:rsidP="00667385">
            <w:pPr>
              <w:spacing w:line="360" w:lineRule="auto"/>
              <w:jc w:val="both"/>
              <w:rPr>
                <w:rFonts w:ascii="Book Antiqua" w:eastAsia="宋体" w:hAnsi="Book Antiqua" w:cs="宋体"/>
                <w:color w:val="000000"/>
                <w:lang w:eastAsia="zh-CN"/>
              </w:rPr>
            </w:pPr>
          </w:p>
        </w:tc>
      </w:tr>
      <w:tr w:rsidR="00667385" w:rsidRPr="00667385" w14:paraId="6C7F48A1" w14:textId="77777777" w:rsidTr="00667385">
        <w:trPr>
          <w:trHeight w:val="630"/>
        </w:trPr>
        <w:tc>
          <w:tcPr>
            <w:tcW w:w="2001" w:type="dxa"/>
            <w:tcBorders>
              <w:top w:val="nil"/>
              <w:left w:val="nil"/>
              <w:bottom w:val="nil"/>
              <w:right w:val="nil"/>
            </w:tcBorders>
            <w:shd w:val="clear" w:color="auto" w:fill="auto"/>
            <w:vAlign w:val="center"/>
            <w:hideMark/>
          </w:tcPr>
          <w:p w14:paraId="789AAA9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Balloon-expandable</w:t>
            </w:r>
          </w:p>
        </w:tc>
        <w:tc>
          <w:tcPr>
            <w:tcW w:w="1118" w:type="dxa"/>
            <w:tcBorders>
              <w:top w:val="nil"/>
              <w:left w:val="nil"/>
              <w:bottom w:val="nil"/>
              <w:right w:val="nil"/>
            </w:tcBorders>
            <w:shd w:val="clear" w:color="auto" w:fill="auto"/>
            <w:vAlign w:val="center"/>
            <w:hideMark/>
          </w:tcPr>
          <w:p w14:paraId="608E4C7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60.00%</w:t>
            </w:r>
          </w:p>
        </w:tc>
        <w:tc>
          <w:tcPr>
            <w:tcW w:w="989" w:type="dxa"/>
            <w:tcBorders>
              <w:top w:val="nil"/>
              <w:left w:val="nil"/>
              <w:bottom w:val="nil"/>
              <w:right w:val="nil"/>
            </w:tcBorders>
            <w:shd w:val="clear" w:color="auto" w:fill="auto"/>
            <w:vAlign w:val="center"/>
            <w:hideMark/>
          </w:tcPr>
          <w:p w14:paraId="4E18A90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63.50%</w:t>
            </w:r>
          </w:p>
        </w:tc>
        <w:tc>
          <w:tcPr>
            <w:tcW w:w="989" w:type="dxa"/>
            <w:tcBorders>
              <w:top w:val="nil"/>
              <w:left w:val="nil"/>
              <w:bottom w:val="nil"/>
              <w:right w:val="nil"/>
            </w:tcBorders>
            <w:shd w:val="clear" w:color="auto" w:fill="auto"/>
            <w:vAlign w:val="center"/>
            <w:hideMark/>
          </w:tcPr>
          <w:p w14:paraId="2319610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989" w:type="dxa"/>
            <w:tcBorders>
              <w:top w:val="nil"/>
              <w:left w:val="nil"/>
              <w:bottom w:val="nil"/>
              <w:right w:val="nil"/>
            </w:tcBorders>
            <w:shd w:val="clear" w:color="auto" w:fill="auto"/>
            <w:vAlign w:val="center"/>
            <w:hideMark/>
          </w:tcPr>
          <w:p w14:paraId="1FAC7AE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951" w:type="dxa"/>
            <w:tcBorders>
              <w:top w:val="nil"/>
              <w:left w:val="nil"/>
              <w:bottom w:val="nil"/>
              <w:right w:val="nil"/>
            </w:tcBorders>
            <w:shd w:val="clear" w:color="auto" w:fill="auto"/>
            <w:vAlign w:val="center"/>
            <w:hideMark/>
          </w:tcPr>
          <w:p w14:paraId="36F3A13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1092" w:type="dxa"/>
            <w:tcBorders>
              <w:top w:val="nil"/>
              <w:left w:val="nil"/>
              <w:bottom w:val="nil"/>
              <w:right w:val="nil"/>
            </w:tcBorders>
            <w:shd w:val="clear" w:color="auto" w:fill="auto"/>
            <w:vAlign w:val="center"/>
            <w:hideMark/>
          </w:tcPr>
          <w:p w14:paraId="3B7CCF1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992" w:type="dxa"/>
            <w:tcBorders>
              <w:top w:val="nil"/>
              <w:left w:val="nil"/>
              <w:bottom w:val="nil"/>
              <w:right w:val="nil"/>
            </w:tcBorders>
            <w:shd w:val="clear" w:color="auto" w:fill="auto"/>
            <w:vAlign w:val="center"/>
            <w:hideMark/>
          </w:tcPr>
          <w:p w14:paraId="3E22695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96.00%</w:t>
            </w:r>
          </w:p>
        </w:tc>
        <w:tc>
          <w:tcPr>
            <w:tcW w:w="992" w:type="dxa"/>
            <w:tcBorders>
              <w:top w:val="nil"/>
              <w:left w:val="nil"/>
              <w:bottom w:val="nil"/>
              <w:right w:val="nil"/>
            </w:tcBorders>
            <w:shd w:val="clear" w:color="auto" w:fill="auto"/>
            <w:vAlign w:val="center"/>
            <w:hideMark/>
          </w:tcPr>
          <w:p w14:paraId="49303EB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88.00%</w:t>
            </w:r>
          </w:p>
        </w:tc>
        <w:tc>
          <w:tcPr>
            <w:tcW w:w="993" w:type="dxa"/>
            <w:tcBorders>
              <w:top w:val="nil"/>
              <w:left w:val="nil"/>
              <w:bottom w:val="nil"/>
              <w:right w:val="nil"/>
            </w:tcBorders>
            <w:shd w:val="clear" w:color="auto" w:fill="auto"/>
            <w:vAlign w:val="center"/>
            <w:hideMark/>
          </w:tcPr>
          <w:p w14:paraId="5AE1F174"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996" w:type="dxa"/>
            <w:tcBorders>
              <w:top w:val="nil"/>
              <w:left w:val="nil"/>
              <w:bottom w:val="nil"/>
              <w:right w:val="nil"/>
            </w:tcBorders>
            <w:shd w:val="clear" w:color="auto" w:fill="auto"/>
            <w:vAlign w:val="center"/>
            <w:hideMark/>
          </w:tcPr>
          <w:p w14:paraId="28F8D13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r>
      <w:tr w:rsidR="00667385" w:rsidRPr="00667385" w14:paraId="7446126A" w14:textId="77777777" w:rsidTr="00667385">
        <w:trPr>
          <w:trHeight w:val="630"/>
        </w:trPr>
        <w:tc>
          <w:tcPr>
            <w:tcW w:w="2001" w:type="dxa"/>
            <w:tcBorders>
              <w:top w:val="nil"/>
              <w:left w:val="nil"/>
              <w:bottom w:val="nil"/>
              <w:right w:val="nil"/>
            </w:tcBorders>
            <w:shd w:val="clear" w:color="auto" w:fill="auto"/>
            <w:vAlign w:val="center"/>
            <w:hideMark/>
          </w:tcPr>
          <w:p w14:paraId="6A1228E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Self-expandable</w:t>
            </w:r>
          </w:p>
        </w:tc>
        <w:tc>
          <w:tcPr>
            <w:tcW w:w="1118" w:type="dxa"/>
            <w:tcBorders>
              <w:top w:val="nil"/>
              <w:left w:val="nil"/>
              <w:bottom w:val="nil"/>
              <w:right w:val="nil"/>
            </w:tcBorders>
            <w:shd w:val="clear" w:color="auto" w:fill="auto"/>
            <w:vAlign w:val="center"/>
            <w:hideMark/>
          </w:tcPr>
          <w:p w14:paraId="55B8B6E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40.00%</w:t>
            </w:r>
          </w:p>
        </w:tc>
        <w:tc>
          <w:tcPr>
            <w:tcW w:w="989" w:type="dxa"/>
            <w:tcBorders>
              <w:top w:val="nil"/>
              <w:left w:val="nil"/>
              <w:bottom w:val="nil"/>
              <w:right w:val="nil"/>
            </w:tcBorders>
            <w:shd w:val="clear" w:color="auto" w:fill="auto"/>
            <w:vAlign w:val="center"/>
            <w:hideMark/>
          </w:tcPr>
          <w:p w14:paraId="2A4CCB14"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36.50%</w:t>
            </w:r>
          </w:p>
        </w:tc>
        <w:tc>
          <w:tcPr>
            <w:tcW w:w="989" w:type="dxa"/>
            <w:tcBorders>
              <w:top w:val="nil"/>
              <w:left w:val="nil"/>
              <w:bottom w:val="nil"/>
              <w:right w:val="nil"/>
            </w:tcBorders>
            <w:shd w:val="clear" w:color="auto" w:fill="auto"/>
            <w:vAlign w:val="center"/>
            <w:hideMark/>
          </w:tcPr>
          <w:p w14:paraId="5F1782F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989" w:type="dxa"/>
            <w:tcBorders>
              <w:top w:val="nil"/>
              <w:left w:val="nil"/>
              <w:bottom w:val="nil"/>
              <w:right w:val="nil"/>
            </w:tcBorders>
            <w:shd w:val="clear" w:color="auto" w:fill="auto"/>
            <w:vAlign w:val="center"/>
            <w:hideMark/>
          </w:tcPr>
          <w:p w14:paraId="240879F4"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951" w:type="dxa"/>
            <w:tcBorders>
              <w:top w:val="nil"/>
              <w:left w:val="nil"/>
              <w:bottom w:val="nil"/>
              <w:right w:val="nil"/>
            </w:tcBorders>
            <w:shd w:val="clear" w:color="auto" w:fill="auto"/>
            <w:vAlign w:val="center"/>
            <w:hideMark/>
          </w:tcPr>
          <w:p w14:paraId="743B43E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1092" w:type="dxa"/>
            <w:tcBorders>
              <w:top w:val="nil"/>
              <w:left w:val="nil"/>
              <w:bottom w:val="nil"/>
              <w:right w:val="nil"/>
            </w:tcBorders>
            <w:shd w:val="clear" w:color="auto" w:fill="auto"/>
            <w:vAlign w:val="center"/>
            <w:hideMark/>
          </w:tcPr>
          <w:p w14:paraId="20A8F2F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992" w:type="dxa"/>
            <w:tcBorders>
              <w:top w:val="nil"/>
              <w:left w:val="nil"/>
              <w:bottom w:val="nil"/>
              <w:right w:val="nil"/>
            </w:tcBorders>
            <w:shd w:val="clear" w:color="auto" w:fill="auto"/>
            <w:vAlign w:val="center"/>
            <w:hideMark/>
          </w:tcPr>
          <w:p w14:paraId="0C7D1BB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3.00%</w:t>
            </w:r>
          </w:p>
        </w:tc>
        <w:tc>
          <w:tcPr>
            <w:tcW w:w="992" w:type="dxa"/>
            <w:tcBorders>
              <w:top w:val="nil"/>
              <w:left w:val="nil"/>
              <w:bottom w:val="nil"/>
              <w:right w:val="nil"/>
            </w:tcBorders>
            <w:shd w:val="clear" w:color="auto" w:fill="auto"/>
            <w:vAlign w:val="center"/>
            <w:hideMark/>
          </w:tcPr>
          <w:p w14:paraId="369BE66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10.00%</w:t>
            </w:r>
          </w:p>
        </w:tc>
        <w:tc>
          <w:tcPr>
            <w:tcW w:w="993" w:type="dxa"/>
            <w:tcBorders>
              <w:top w:val="nil"/>
              <w:left w:val="nil"/>
              <w:bottom w:val="nil"/>
              <w:right w:val="nil"/>
            </w:tcBorders>
            <w:shd w:val="clear" w:color="auto" w:fill="auto"/>
            <w:vAlign w:val="center"/>
            <w:hideMark/>
          </w:tcPr>
          <w:p w14:paraId="15E22754"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c>
          <w:tcPr>
            <w:tcW w:w="996" w:type="dxa"/>
            <w:tcBorders>
              <w:top w:val="nil"/>
              <w:left w:val="nil"/>
              <w:bottom w:val="nil"/>
              <w:right w:val="nil"/>
            </w:tcBorders>
            <w:shd w:val="clear" w:color="auto" w:fill="auto"/>
            <w:vAlign w:val="center"/>
            <w:hideMark/>
          </w:tcPr>
          <w:p w14:paraId="200B804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NA</w:t>
            </w:r>
          </w:p>
        </w:tc>
      </w:tr>
      <w:tr w:rsidR="00667385" w:rsidRPr="00667385" w14:paraId="4B2F1EE6" w14:textId="77777777" w:rsidTr="00667385">
        <w:trPr>
          <w:trHeight w:val="315"/>
        </w:trPr>
        <w:tc>
          <w:tcPr>
            <w:tcW w:w="2001" w:type="dxa"/>
            <w:tcBorders>
              <w:top w:val="nil"/>
              <w:left w:val="nil"/>
              <w:bottom w:val="nil"/>
              <w:right w:val="nil"/>
            </w:tcBorders>
            <w:shd w:val="clear" w:color="auto" w:fill="auto"/>
            <w:vAlign w:val="center"/>
            <w:hideMark/>
          </w:tcPr>
          <w:p w14:paraId="3F3D63C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 Access</w:t>
            </w:r>
          </w:p>
        </w:tc>
        <w:tc>
          <w:tcPr>
            <w:tcW w:w="1118" w:type="dxa"/>
            <w:tcBorders>
              <w:top w:val="nil"/>
              <w:left w:val="nil"/>
              <w:bottom w:val="nil"/>
              <w:right w:val="nil"/>
            </w:tcBorders>
            <w:shd w:val="clear" w:color="auto" w:fill="auto"/>
            <w:vAlign w:val="center"/>
            <w:hideMark/>
          </w:tcPr>
          <w:p w14:paraId="312A432E"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3D600CC9"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28D74307"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65332C5F"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51" w:type="dxa"/>
            <w:tcBorders>
              <w:top w:val="nil"/>
              <w:left w:val="nil"/>
              <w:bottom w:val="nil"/>
              <w:right w:val="nil"/>
            </w:tcBorders>
            <w:shd w:val="clear" w:color="auto" w:fill="auto"/>
            <w:vAlign w:val="center"/>
            <w:hideMark/>
          </w:tcPr>
          <w:p w14:paraId="773A27A1"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1092" w:type="dxa"/>
            <w:tcBorders>
              <w:top w:val="nil"/>
              <w:left w:val="nil"/>
              <w:bottom w:val="nil"/>
              <w:right w:val="nil"/>
            </w:tcBorders>
            <w:shd w:val="clear" w:color="auto" w:fill="auto"/>
            <w:vAlign w:val="center"/>
            <w:hideMark/>
          </w:tcPr>
          <w:p w14:paraId="0D0F33A4"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2" w:type="dxa"/>
            <w:tcBorders>
              <w:top w:val="nil"/>
              <w:left w:val="nil"/>
              <w:bottom w:val="nil"/>
              <w:right w:val="nil"/>
            </w:tcBorders>
            <w:shd w:val="clear" w:color="auto" w:fill="auto"/>
            <w:vAlign w:val="center"/>
            <w:hideMark/>
          </w:tcPr>
          <w:p w14:paraId="1B3CE07D"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2" w:type="dxa"/>
            <w:tcBorders>
              <w:top w:val="nil"/>
              <w:left w:val="nil"/>
              <w:bottom w:val="nil"/>
              <w:right w:val="nil"/>
            </w:tcBorders>
            <w:shd w:val="clear" w:color="auto" w:fill="auto"/>
            <w:vAlign w:val="center"/>
            <w:hideMark/>
          </w:tcPr>
          <w:p w14:paraId="097CE0F3"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3" w:type="dxa"/>
            <w:tcBorders>
              <w:top w:val="nil"/>
              <w:left w:val="nil"/>
              <w:bottom w:val="nil"/>
              <w:right w:val="nil"/>
            </w:tcBorders>
            <w:shd w:val="clear" w:color="auto" w:fill="auto"/>
            <w:vAlign w:val="center"/>
            <w:hideMark/>
          </w:tcPr>
          <w:p w14:paraId="16CE6CF9"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6" w:type="dxa"/>
            <w:tcBorders>
              <w:top w:val="nil"/>
              <w:left w:val="nil"/>
              <w:bottom w:val="nil"/>
              <w:right w:val="nil"/>
            </w:tcBorders>
            <w:shd w:val="clear" w:color="auto" w:fill="auto"/>
            <w:vAlign w:val="center"/>
            <w:hideMark/>
          </w:tcPr>
          <w:p w14:paraId="083743C2" w14:textId="77777777" w:rsidR="00667385" w:rsidRPr="00667385" w:rsidRDefault="00667385" w:rsidP="00667385">
            <w:pPr>
              <w:spacing w:line="360" w:lineRule="auto"/>
              <w:jc w:val="both"/>
              <w:rPr>
                <w:rFonts w:ascii="Book Antiqua" w:eastAsia="宋体" w:hAnsi="Book Antiqua" w:cs="宋体"/>
                <w:color w:val="000000"/>
                <w:lang w:eastAsia="zh-CN"/>
              </w:rPr>
            </w:pPr>
          </w:p>
        </w:tc>
      </w:tr>
      <w:tr w:rsidR="00667385" w:rsidRPr="00667385" w14:paraId="7C2D2BC1" w14:textId="77777777" w:rsidTr="00667385">
        <w:trPr>
          <w:trHeight w:val="315"/>
        </w:trPr>
        <w:tc>
          <w:tcPr>
            <w:tcW w:w="2001" w:type="dxa"/>
            <w:tcBorders>
              <w:top w:val="nil"/>
              <w:left w:val="nil"/>
              <w:bottom w:val="nil"/>
              <w:right w:val="nil"/>
            </w:tcBorders>
            <w:shd w:val="clear" w:color="auto" w:fill="auto"/>
            <w:vAlign w:val="center"/>
            <w:hideMark/>
          </w:tcPr>
          <w:p w14:paraId="69C14AF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TFPA</w:t>
            </w:r>
          </w:p>
        </w:tc>
        <w:tc>
          <w:tcPr>
            <w:tcW w:w="1118" w:type="dxa"/>
            <w:tcBorders>
              <w:top w:val="nil"/>
              <w:left w:val="nil"/>
              <w:bottom w:val="nil"/>
              <w:right w:val="nil"/>
            </w:tcBorders>
            <w:shd w:val="clear" w:color="auto" w:fill="auto"/>
            <w:vAlign w:val="center"/>
            <w:hideMark/>
          </w:tcPr>
          <w:p w14:paraId="37652D9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88.50%</w:t>
            </w:r>
          </w:p>
        </w:tc>
        <w:tc>
          <w:tcPr>
            <w:tcW w:w="989" w:type="dxa"/>
            <w:tcBorders>
              <w:top w:val="nil"/>
              <w:left w:val="nil"/>
              <w:bottom w:val="nil"/>
              <w:right w:val="nil"/>
            </w:tcBorders>
            <w:shd w:val="clear" w:color="auto" w:fill="auto"/>
            <w:vAlign w:val="center"/>
            <w:hideMark/>
          </w:tcPr>
          <w:p w14:paraId="3F9391A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89.90%</w:t>
            </w:r>
          </w:p>
        </w:tc>
        <w:tc>
          <w:tcPr>
            <w:tcW w:w="989" w:type="dxa"/>
            <w:tcBorders>
              <w:top w:val="nil"/>
              <w:left w:val="nil"/>
              <w:bottom w:val="nil"/>
              <w:right w:val="nil"/>
            </w:tcBorders>
            <w:shd w:val="clear" w:color="auto" w:fill="auto"/>
            <w:vAlign w:val="center"/>
            <w:hideMark/>
          </w:tcPr>
          <w:p w14:paraId="1B46FD7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100%</w:t>
            </w:r>
          </w:p>
        </w:tc>
        <w:tc>
          <w:tcPr>
            <w:tcW w:w="989" w:type="dxa"/>
            <w:tcBorders>
              <w:top w:val="nil"/>
              <w:left w:val="nil"/>
              <w:bottom w:val="nil"/>
              <w:right w:val="nil"/>
            </w:tcBorders>
            <w:shd w:val="clear" w:color="auto" w:fill="auto"/>
            <w:vAlign w:val="center"/>
            <w:hideMark/>
          </w:tcPr>
          <w:p w14:paraId="0D77BE7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100%</w:t>
            </w:r>
          </w:p>
        </w:tc>
        <w:tc>
          <w:tcPr>
            <w:tcW w:w="951" w:type="dxa"/>
            <w:tcBorders>
              <w:top w:val="nil"/>
              <w:left w:val="nil"/>
              <w:bottom w:val="nil"/>
              <w:right w:val="nil"/>
            </w:tcBorders>
            <w:shd w:val="clear" w:color="auto" w:fill="auto"/>
            <w:vAlign w:val="center"/>
            <w:hideMark/>
          </w:tcPr>
          <w:p w14:paraId="45D2A01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100%</w:t>
            </w:r>
          </w:p>
        </w:tc>
        <w:tc>
          <w:tcPr>
            <w:tcW w:w="1092" w:type="dxa"/>
            <w:tcBorders>
              <w:top w:val="nil"/>
              <w:left w:val="nil"/>
              <w:bottom w:val="nil"/>
              <w:right w:val="nil"/>
            </w:tcBorders>
            <w:shd w:val="clear" w:color="auto" w:fill="auto"/>
            <w:vAlign w:val="center"/>
            <w:hideMark/>
          </w:tcPr>
          <w:p w14:paraId="3C54696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85.20%</w:t>
            </w:r>
          </w:p>
        </w:tc>
        <w:tc>
          <w:tcPr>
            <w:tcW w:w="992" w:type="dxa"/>
            <w:tcBorders>
              <w:top w:val="nil"/>
              <w:left w:val="nil"/>
              <w:bottom w:val="nil"/>
              <w:right w:val="nil"/>
            </w:tcBorders>
            <w:shd w:val="clear" w:color="auto" w:fill="auto"/>
            <w:vAlign w:val="center"/>
            <w:hideMark/>
          </w:tcPr>
          <w:p w14:paraId="0D5D30A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30.80%</w:t>
            </w:r>
          </w:p>
        </w:tc>
        <w:tc>
          <w:tcPr>
            <w:tcW w:w="992" w:type="dxa"/>
            <w:tcBorders>
              <w:top w:val="nil"/>
              <w:left w:val="nil"/>
              <w:bottom w:val="nil"/>
              <w:right w:val="nil"/>
            </w:tcBorders>
            <w:shd w:val="clear" w:color="auto" w:fill="auto"/>
            <w:vAlign w:val="center"/>
            <w:hideMark/>
          </w:tcPr>
          <w:p w14:paraId="4B1F1C2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93.00%</w:t>
            </w:r>
          </w:p>
        </w:tc>
        <w:tc>
          <w:tcPr>
            <w:tcW w:w="993" w:type="dxa"/>
            <w:tcBorders>
              <w:top w:val="nil"/>
              <w:left w:val="nil"/>
              <w:bottom w:val="nil"/>
              <w:right w:val="nil"/>
            </w:tcBorders>
            <w:shd w:val="clear" w:color="auto" w:fill="auto"/>
            <w:vAlign w:val="center"/>
            <w:hideMark/>
          </w:tcPr>
          <w:p w14:paraId="0388D114"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100%</w:t>
            </w:r>
          </w:p>
        </w:tc>
        <w:tc>
          <w:tcPr>
            <w:tcW w:w="996" w:type="dxa"/>
            <w:tcBorders>
              <w:top w:val="nil"/>
              <w:left w:val="nil"/>
              <w:bottom w:val="nil"/>
              <w:right w:val="nil"/>
            </w:tcBorders>
            <w:shd w:val="clear" w:color="auto" w:fill="auto"/>
            <w:vAlign w:val="center"/>
            <w:hideMark/>
          </w:tcPr>
          <w:p w14:paraId="32C9A0D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100%</w:t>
            </w:r>
          </w:p>
        </w:tc>
      </w:tr>
      <w:tr w:rsidR="00667385" w:rsidRPr="00667385" w14:paraId="1BB3C245" w14:textId="77777777" w:rsidTr="00667385">
        <w:trPr>
          <w:trHeight w:val="315"/>
        </w:trPr>
        <w:tc>
          <w:tcPr>
            <w:tcW w:w="2001" w:type="dxa"/>
            <w:tcBorders>
              <w:top w:val="nil"/>
              <w:left w:val="nil"/>
              <w:bottom w:val="nil"/>
              <w:right w:val="nil"/>
            </w:tcBorders>
            <w:shd w:val="clear" w:color="auto" w:fill="auto"/>
            <w:vAlign w:val="center"/>
            <w:hideMark/>
          </w:tcPr>
          <w:p w14:paraId="6BF4736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Non-TFPA</w:t>
            </w:r>
          </w:p>
        </w:tc>
        <w:tc>
          <w:tcPr>
            <w:tcW w:w="1118" w:type="dxa"/>
            <w:tcBorders>
              <w:top w:val="nil"/>
              <w:left w:val="nil"/>
              <w:bottom w:val="nil"/>
              <w:right w:val="nil"/>
            </w:tcBorders>
            <w:shd w:val="clear" w:color="auto" w:fill="auto"/>
            <w:vAlign w:val="center"/>
            <w:hideMark/>
          </w:tcPr>
          <w:p w14:paraId="1BFC7D5B"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11.50%</w:t>
            </w:r>
          </w:p>
        </w:tc>
        <w:tc>
          <w:tcPr>
            <w:tcW w:w="989" w:type="dxa"/>
            <w:tcBorders>
              <w:top w:val="nil"/>
              <w:left w:val="nil"/>
              <w:bottom w:val="nil"/>
              <w:right w:val="nil"/>
            </w:tcBorders>
            <w:shd w:val="clear" w:color="auto" w:fill="auto"/>
            <w:vAlign w:val="center"/>
            <w:hideMark/>
          </w:tcPr>
          <w:p w14:paraId="4061C96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10.10%</w:t>
            </w:r>
          </w:p>
        </w:tc>
        <w:tc>
          <w:tcPr>
            <w:tcW w:w="989" w:type="dxa"/>
            <w:tcBorders>
              <w:top w:val="nil"/>
              <w:left w:val="nil"/>
              <w:bottom w:val="nil"/>
              <w:right w:val="nil"/>
            </w:tcBorders>
            <w:shd w:val="clear" w:color="auto" w:fill="auto"/>
            <w:vAlign w:val="center"/>
            <w:hideMark/>
          </w:tcPr>
          <w:p w14:paraId="02792B6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89" w:type="dxa"/>
            <w:tcBorders>
              <w:top w:val="nil"/>
              <w:left w:val="nil"/>
              <w:bottom w:val="nil"/>
              <w:right w:val="nil"/>
            </w:tcBorders>
            <w:shd w:val="clear" w:color="auto" w:fill="auto"/>
            <w:vAlign w:val="center"/>
            <w:hideMark/>
          </w:tcPr>
          <w:p w14:paraId="7D81AE01"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51" w:type="dxa"/>
            <w:tcBorders>
              <w:top w:val="nil"/>
              <w:left w:val="nil"/>
              <w:bottom w:val="nil"/>
              <w:right w:val="nil"/>
            </w:tcBorders>
            <w:shd w:val="clear" w:color="auto" w:fill="auto"/>
            <w:vAlign w:val="center"/>
            <w:hideMark/>
          </w:tcPr>
          <w:p w14:paraId="72FD5C0A"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1092" w:type="dxa"/>
            <w:tcBorders>
              <w:top w:val="nil"/>
              <w:left w:val="nil"/>
              <w:bottom w:val="nil"/>
              <w:right w:val="nil"/>
            </w:tcBorders>
            <w:shd w:val="clear" w:color="auto" w:fill="auto"/>
            <w:vAlign w:val="center"/>
            <w:hideMark/>
          </w:tcPr>
          <w:p w14:paraId="7CC0F02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14.80%</w:t>
            </w:r>
          </w:p>
        </w:tc>
        <w:tc>
          <w:tcPr>
            <w:tcW w:w="992" w:type="dxa"/>
            <w:tcBorders>
              <w:top w:val="nil"/>
              <w:left w:val="nil"/>
              <w:bottom w:val="nil"/>
              <w:right w:val="nil"/>
            </w:tcBorders>
            <w:shd w:val="clear" w:color="auto" w:fill="auto"/>
            <w:vAlign w:val="center"/>
            <w:hideMark/>
          </w:tcPr>
          <w:p w14:paraId="10CAFAF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69.20%</w:t>
            </w:r>
          </w:p>
        </w:tc>
        <w:tc>
          <w:tcPr>
            <w:tcW w:w="992" w:type="dxa"/>
            <w:tcBorders>
              <w:top w:val="nil"/>
              <w:left w:val="nil"/>
              <w:bottom w:val="nil"/>
              <w:right w:val="nil"/>
            </w:tcBorders>
            <w:shd w:val="clear" w:color="auto" w:fill="auto"/>
            <w:vAlign w:val="center"/>
            <w:hideMark/>
          </w:tcPr>
          <w:p w14:paraId="560B9380"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7.00%</w:t>
            </w:r>
          </w:p>
        </w:tc>
        <w:tc>
          <w:tcPr>
            <w:tcW w:w="993" w:type="dxa"/>
            <w:tcBorders>
              <w:top w:val="nil"/>
              <w:left w:val="nil"/>
              <w:bottom w:val="nil"/>
              <w:right w:val="nil"/>
            </w:tcBorders>
            <w:shd w:val="clear" w:color="auto" w:fill="auto"/>
            <w:vAlign w:val="center"/>
            <w:hideMark/>
          </w:tcPr>
          <w:p w14:paraId="15267C4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96" w:type="dxa"/>
            <w:tcBorders>
              <w:top w:val="nil"/>
              <w:left w:val="nil"/>
              <w:bottom w:val="nil"/>
              <w:right w:val="nil"/>
            </w:tcBorders>
            <w:shd w:val="clear" w:color="auto" w:fill="auto"/>
            <w:vAlign w:val="center"/>
            <w:hideMark/>
          </w:tcPr>
          <w:p w14:paraId="007B77E8"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r>
      <w:tr w:rsidR="00667385" w:rsidRPr="00667385" w14:paraId="5E7840D8" w14:textId="77777777" w:rsidTr="00667385">
        <w:trPr>
          <w:trHeight w:val="315"/>
        </w:trPr>
        <w:tc>
          <w:tcPr>
            <w:tcW w:w="2001" w:type="dxa"/>
            <w:tcBorders>
              <w:top w:val="nil"/>
              <w:left w:val="nil"/>
              <w:bottom w:val="nil"/>
              <w:right w:val="nil"/>
            </w:tcBorders>
            <w:shd w:val="clear" w:color="auto" w:fill="auto"/>
            <w:vAlign w:val="center"/>
            <w:hideMark/>
          </w:tcPr>
          <w:p w14:paraId="5A309361" w14:textId="77777777" w:rsidR="00667385" w:rsidRPr="00667385" w:rsidRDefault="00667385" w:rsidP="00667385">
            <w:pPr>
              <w:spacing w:line="360" w:lineRule="auto"/>
              <w:jc w:val="both"/>
              <w:rPr>
                <w:rFonts w:ascii="Book Antiqua" w:eastAsia="宋体" w:hAnsi="Book Antiqua" w:cs="宋体"/>
                <w:color w:val="000000"/>
                <w:lang w:eastAsia="zh-CN"/>
              </w:rPr>
            </w:pPr>
            <w:proofErr w:type="spellStart"/>
            <w:r w:rsidRPr="00667385">
              <w:rPr>
                <w:rFonts w:ascii="Book Antiqua" w:eastAsia="宋体" w:hAnsi="Book Antiqua" w:cs="宋体"/>
                <w:color w:val="000000"/>
                <w:lang w:eastAsia="zh-CN"/>
              </w:rPr>
              <w:t>Transapical</w:t>
            </w:r>
            <w:proofErr w:type="spellEnd"/>
          </w:p>
        </w:tc>
        <w:tc>
          <w:tcPr>
            <w:tcW w:w="2107" w:type="dxa"/>
            <w:gridSpan w:val="2"/>
            <w:tcBorders>
              <w:top w:val="nil"/>
              <w:left w:val="nil"/>
              <w:bottom w:val="nil"/>
              <w:right w:val="nil"/>
            </w:tcBorders>
            <w:shd w:val="clear" w:color="auto" w:fill="auto"/>
            <w:vAlign w:val="center"/>
            <w:hideMark/>
          </w:tcPr>
          <w:p w14:paraId="1492CC11" w14:textId="77777777" w:rsidR="00667385" w:rsidRPr="00667385" w:rsidRDefault="00667385" w:rsidP="00667385">
            <w:pPr>
              <w:spacing w:line="360" w:lineRule="auto"/>
              <w:jc w:val="center"/>
              <w:rPr>
                <w:rFonts w:ascii="Book Antiqua" w:eastAsia="宋体" w:hAnsi="Book Antiqua" w:cs="宋体"/>
                <w:color w:val="000000"/>
                <w:lang w:eastAsia="zh-CN"/>
              </w:rPr>
            </w:pPr>
            <w:r w:rsidRPr="00667385">
              <w:rPr>
                <w:rFonts w:ascii="Book Antiqua" w:eastAsia="宋体" w:hAnsi="Book Antiqua" w:cs="宋体"/>
                <w:color w:val="000000"/>
                <w:lang w:eastAsia="zh-CN"/>
              </w:rPr>
              <w:t>9.10%</w:t>
            </w:r>
          </w:p>
        </w:tc>
        <w:tc>
          <w:tcPr>
            <w:tcW w:w="989" w:type="dxa"/>
            <w:tcBorders>
              <w:top w:val="nil"/>
              <w:left w:val="nil"/>
              <w:bottom w:val="nil"/>
              <w:right w:val="nil"/>
            </w:tcBorders>
            <w:shd w:val="clear" w:color="auto" w:fill="auto"/>
            <w:vAlign w:val="center"/>
            <w:hideMark/>
          </w:tcPr>
          <w:p w14:paraId="5EAB5F8C"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6F7D609D"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51" w:type="dxa"/>
            <w:tcBorders>
              <w:top w:val="nil"/>
              <w:left w:val="nil"/>
              <w:bottom w:val="nil"/>
              <w:right w:val="nil"/>
            </w:tcBorders>
            <w:shd w:val="clear" w:color="auto" w:fill="auto"/>
            <w:vAlign w:val="center"/>
            <w:hideMark/>
          </w:tcPr>
          <w:p w14:paraId="37F0504F"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1092" w:type="dxa"/>
            <w:tcBorders>
              <w:top w:val="nil"/>
              <w:left w:val="nil"/>
              <w:bottom w:val="nil"/>
              <w:right w:val="nil"/>
            </w:tcBorders>
            <w:shd w:val="clear" w:color="auto" w:fill="auto"/>
            <w:vAlign w:val="center"/>
            <w:hideMark/>
          </w:tcPr>
          <w:p w14:paraId="1945C87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3.70%</w:t>
            </w:r>
          </w:p>
        </w:tc>
        <w:tc>
          <w:tcPr>
            <w:tcW w:w="992" w:type="dxa"/>
            <w:tcBorders>
              <w:top w:val="nil"/>
              <w:left w:val="nil"/>
              <w:bottom w:val="nil"/>
              <w:right w:val="nil"/>
            </w:tcBorders>
            <w:shd w:val="clear" w:color="auto" w:fill="auto"/>
            <w:vAlign w:val="center"/>
            <w:hideMark/>
          </w:tcPr>
          <w:p w14:paraId="2528F21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58.20%</w:t>
            </w:r>
          </w:p>
        </w:tc>
        <w:tc>
          <w:tcPr>
            <w:tcW w:w="992" w:type="dxa"/>
            <w:tcBorders>
              <w:top w:val="nil"/>
              <w:left w:val="nil"/>
              <w:bottom w:val="nil"/>
              <w:right w:val="nil"/>
            </w:tcBorders>
            <w:shd w:val="clear" w:color="auto" w:fill="auto"/>
            <w:vAlign w:val="center"/>
            <w:hideMark/>
          </w:tcPr>
          <w:p w14:paraId="2EDC73A3"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6.00%</w:t>
            </w:r>
          </w:p>
        </w:tc>
        <w:tc>
          <w:tcPr>
            <w:tcW w:w="993" w:type="dxa"/>
            <w:tcBorders>
              <w:top w:val="nil"/>
              <w:left w:val="nil"/>
              <w:bottom w:val="nil"/>
              <w:right w:val="nil"/>
            </w:tcBorders>
            <w:shd w:val="clear" w:color="auto" w:fill="auto"/>
            <w:vAlign w:val="center"/>
            <w:hideMark/>
          </w:tcPr>
          <w:p w14:paraId="5A4D03CA"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6" w:type="dxa"/>
            <w:tcBorders>
              <w:top w:val="nil"/>
              <w:left w:val="nil"/>
              <w:bottom w:val="nil"/>
              <w:right w:val="nil"/>
            </w:tcBorders>
            <w:shd w:val="clear" w:color="auto" w:fill="auto"/>
            <w:vAlign w:val="center"/>
            <w:hideMark/>
          </w:tcPr>
          <w:p w14:paraId="57973279" w14:textId="77777777" w:rsidR="00667385" w:rsidRPr="00667385" w:rsidRDefault="00667385" w:rsidP="00667385">
            <w:pPr>
              <w:spacing w:line="360" w:lineRule="auto"/>
              <w:jc w:val="both"/>
              <w:rPr>
                <w:rFonts w:ascii="Book Antiqua" w:eastAsia="宋体" w:hAnsi="Book Antiqua" w:cs="宋体"/>
                <w:color w:val="000000"/>
                <w:lang w:eastAsia="zh-CN"/>
              </w:rPr>
            </w:pPr>
          </w:p>
        </w:tc>
      </w:tr>
      <w:tr w:rsidR="00667385" w:rsidRPr="00667385" w14:paraId="1393995F" w14:textId="77777777" w:rsidTr="00667385">
        <w:trPr>
          <w:trHeight w:val="315"/>
        </w:trPr>
        <w:tc>
          <w:tcPr>
            <w:tcW w:w="2001" w:type="dxa"/>
            <w:tcBorders>
              <w:top w:val="nil"/>
              <w:left w:val="nil"/>
              <w:bottom w:val="nil"/>
              <w:right w:val="nil"/>
            </w:tcBorders>
            <w:shd w:val="clear" w:color="auto" w:fill="auto"/>
            <w:vAlign w:val="center"/>
            <w:hideMark/>
          </w:tcPr>
          <w:p w14:paraId="465C8618" w14:textId="77777777" w:rsidR="00667385" w:rsidRPr="00667385" w:rsidRDefault="00667385" w:rsidP="00667385">
            <w:pPr>
              <w:spacing w:line="360" w:lineRule="auto"/>
              <w:jc w:val="both"/>
              <w:rPr>
                <w:rFonts w:ascii="Book Antiqua" w:eastAsia="宋体" w:hAnsi="Book Antiqua" w:cs="宋体"/>
                <w:color w:val="000000"/>
                <w:lang w:eastAsia="zh-CN"/>
              </w:rPr>
            </w:pPr>
            <w:proofErr w:type="spellStart"/>
            <w:r w:rsidRPr="00667385">
              <w:rPr>
                <w:rFonts w:ascii="Book Antiqua" w:eastAsia="宋体" w:hAnsi="Book Antiqua" w:cs="宋体"/>
                <w:color w:val="000000"/>
                <w:lang w:eastAsia="zh-CN"/>
              </w:rPr>
              <w:lastRenderedPageBreak/>
              <w:t>Transaortic</w:t>
            </w:r>
            <w:proofErr w:type="spellEnd"/>
          </w:p>
        </w:tc>
        <w:tc>
          <w:tcPr>
            <w:tcW w:w="2107" w:type="dxa"/>
            <w:gridSpan w:val="2"/>
            <w:tcBorders>
              <w:top w:val="nil"/>
              <w:left w:val="nil"/>
              <w:bottom w:val="nil"/>
              <w:right w:val="nil"/>
            </w:tcBorders>
            <w:shd w:val="clear" w:color="auto" w:fill="auto"/>
            <w:vAlign w:val="center"/>
            <w:hideMark/>
          </w:tcPr>
          <w:p w14:paraId="66912893" w14:textId="77777777" w:rsidR="00667385" w:rsidRPr="00667385" w:rsidRDefault="00667385" w:rsidP="00667385">
            <w:pPr>
              <w:spacing w:line="360" w:lineRule="auto"/>
              <w:jc w:val="center"/>
              <w:rPr>
                <w:rFonts w:ascii="Book Antiqua" w:eastAsia="宋体" w:hAnsi="Book Antiqua" w:cs="宋体"/>
                <w:color w:val="000000"/>
                <w:lang w:eastAsia="zh-CN"/>
              </w:rPr>
            </w:pPr>
            <w:r w:rsidRPr="00667385">
              <w:rPr>
                <w:rFonts w:ascii="Book Antiqua" w:eastAsia="宋体" w:hAnsi="Book Antiqua" w:cs="宋体"/>
                <w:color w:val="000000"/>
                <w:lang w:eastAsia="zh-CN"/>
              </w:rPr>
              <w:t>1.90%</w:t>
            </w:r>
          </w:p>
        </w:tc>
        <w:tc>
          <w:tcPr>
            <w:tcW w:w="989" w:type="dxa"/>
            <w:tcBorders>
              <w:top w:val="nil"/>
              <w:left w:val="nil"/>
              <w:bottom w:val="nil"/>
              <w:right w:val="nil"/>
            </w:tcBorders>
            <w:shd w:val="clear" w:color="auto" w:fill="auto"/>
            <w:vAlign w:val="center"/>
            <w:hideMark/>
          </w:tcPr>
          <w:p w14:paraId="69CE71C8"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2FEFF274"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51" w:type="dxa"/>
            <w:tcBorders>
              <w:top w:val="nil"/>
              <w:left w:val="nil"/>
              <w:bottom w:val="nil"/>
              <w:right w:val="nil"/>
            </w:tcBorders>
            <w:shd w:val="clear" w:color="auto" w:fill="auto"/>
            <w:vAlign w:val="center"/>
            <w:hideMark/>
          </w:tcPr>
          <w:p w14:paraId="23351C17"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1092" w:type="dxa"/>
            <w:tcBorders>
              <w:top w:val="nil"/>
              <w:left w:val="nil"/>
              <w:bottom w:val="nil"/>
              <w:right w:val="nil"/>
            </w:tcBorders>
            <w:shd w:val="clear" w:color="auto" w:fill="auto"/>
            <w:vAlign w:val="center"/>
            <w:hideMark/>
          </w:tcPr>
          <w:p w14:paraId="478370E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8.80%</w:t>
            </w:r>
          </w:p>
        </w:tc>
        <w:tc>
          <w:tcPr>
            <w:tcW w:w="992" w:type="dxa"/>
            <w:tcBorders>
              <w:top w:val="nil"/>
              <w:left w:val="nil"/>
              <w:bottom w:val="nil"/>
              <w:right w:val="nil"/>
            </w:tcBorders>
            <w:shd w:val="clear" w:color="auto" w:fill="auto"/>
            <w:vAlign w:val="center"/>
            <w:hideMark/>
          </w:tcPr>
          <w:p w14:paraId="1890146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10.70%</w:t>
            </w:r>
          </w:p>
        </w:tc>
        <w:tc>
          <w:tcPr>
            <w:tcW w:w="992" w:type="dxa"/>
            <w:tcBorders>
              <w:top w:val="nil"/>
              <w:left w:val="nil"/>
              <w:bottom w:val="nil"/>
              <w:right w:val="nil"/>
            </w:tcBorders>
            <w:shd w:val="clear" w:color="auto" w:fill="auto"/>
            <w:vAlign w:val="center"/>
            <w:hideMark/>
          </w:tcPr>
          <w:p w14:paraId="6A6AB6BC"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1.00%</w:t>
            </w:r>
          </w:p>
        </w:tc>
        <w:tc>
          <w:tcPr>
            <w:tcW w:w="993" w:type="dxa"/>
            <w:tcBorders>
              <w:top w:val="nil"/>
              <w:left w:val="nil"/>
              <w:bottom w:val="nil"/>
              <w:right w:val="nil"/>
            </w:tcBorders>
            <w:shd w:val="clear" w:color="auto" w:fill="auto"/>
            <w:vAlign w:val="center"/>
            <w:hideMark/>
          </w:tcPr>
          <w:p w14:paraId="1AF140E9"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6" w:type="dxa"/>
            <w:tcBorders>
              <w:top w:val="nil"/>
              <w:left w:val="nil"/>
              <w:bottom w:val="nil"/>
              <w:right w:val="nil"/>
            </w:tcBorders>
            <w:shd w:val="clear" w:color="auto" w:fill="auto"/>
            <w:vAlign w:val="center"/>
            <w:hideMark/>
          </w:tcPr>
          <w:p w14:paraId="3453F2BA" w14:textId="77777777" w:rsidR="00667385" w:rsidRPr="00667385" w:rsidRDefault="00667385" w:rsidP="00667385">
            <w:pPr>
              <w:spacing w:line="360" w:lineRule="auto"/>
              <w:jc w:val="both"/>
              <w:rPr>
                <w:rFonts w:ascii="Book Antiqua" w:eastAsia="宋体" w:hAnsi="Book Antiqua" w:cs="宋体"/>
                <w:color w:val="000000"/>
                <w:lang w:eastAsia="zh-CN"/>
              </w:rPr>
            </w:pPr>
          </w:p>
        </w:tc>
      </w:tr>
      <w:tr w:rsidR="00667385" w:rsidRPr="00667385" w14:paraId="62D85C2A" w14:textId="77777777" w:rsidTr="00667385">
        <w:trPr>
          <w:trHeight w:val="315"/>
        </w:trPr>
        <w:tc>
          <w:tcPr>
            <w:tcW w:w="2001" w:type="dxa"/>
            <w:tcBorders>
              <w:top w:val="nil"/>
              <w:left w:val="nil"/>
              <w:bottom w:val="nil"/>
              <w:right w:val="nil"/>
            </w:tcBorders>
            <w:shd w:val="clear" w:color="auto" w:fill="auto"/>
            <w:vAlign w:val="center"/>
            <w:hideMark/>
          </w:tcPr>
          <w:p w14:paraId="206F9626"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Subclavian</w:t>
            </w:r>
          </w:p>
        </w:tc>
        <w:tc>
          <w:tcPr>
            <w:tcW w:w="2107" w:type="dxa"/>
            <w:gridSpan w:val="2"/>
            <w:tcBorders>
              <w:top w:val="nil"/>
              <w:left w:val="nil"/>
              <w:bottom w:val="nil"/>
              <w:right w:val="nil"/>
            </w:tcBorders>
            <w:shd w:val="clear" w:color="auto" w:fill="auto"/>
            <w:vAlign w:val="center"/>
            <w:hideMark/>
          </w:tcPr>
          <w:p w14:paraId="73DFF1F7" w14:textId="77777777" w:rsidR="00667385" w:rsidRPr="00667385" w:rsidRDefault="00667385" w:rsidP="00667385">
            <w:pPr>
              <w:spacing w:line="360" w:lineRule="auto"/>
              <w:jc w:val="center"/>
              <w:rPr>
                <w:rFonts w:ascii="Book Antiqua" w:eastAsia="宋体" w:hAnsi="Book Antiqua" w:cs="宋体"/>
                <w:color w:val="000000"/>
                <w:lang w:eastAsia="zh-CN"/>
              </w:rPr>
            </w:pPr>
            <w:r w:rsidRPr="00667385">
              <w:rPr>
                <w:rFonts w:ascii="Book Antiqua" w:eastAsia="宋体" w:hAnsi="Book Antiqua" w:cs="宋体"/>
                <w:color w:val="000000"/>
                <w:lang w:eastAsia="zh-CN"/>
              </w:rPr>
              <w:t>1.50%</w:t>
            </w:r>
          </w:p>
        </w:tc>
        <w:tc>
          <w:tcPr>
            <w:tcW w:w="989" w:type="dxa"/>
            <w:tcBorders>
              <w:top w:val="nil"/>
              <w:left w:val="nil"/>
              <w:bottom w:val="nil"/>
              <w:right w:val="nil"/>
            </w:tcBorders>
            <w:shd w:val="clear" w:color="auto" w:fill="auto"/>
            <w:vAlign w:val="center"/>
            <w:hideMark/>
          </w:tcPr>
          <w:p w14:paraId="7152797A"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040B3AFB"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51" w:type="dxa"/>
            <w:tcBorders>
              <w:top w:val="nil"/>
              <w:left w:val="nil"/>
              <w:bottom w:val="nil"/>
              <w:right w:val="nil"/>
            </w:tcBorders>
            <w:shd w:val="clear" w:color="auto" w:fill="auto"/>
            <w:vAlign w:val="center"/>
            <w:hideMark/>
          </w:tcPr>
          <w:p w14:paraId="3DE253D3"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1092" w:type="dxa"/>
            <w:tcBorders>
              <w:top w:val="nil"/>
              <w:left w:val="nil"/>
              <w:bottom w:val="nil"/>
              <w:right w:val="nil"/>
            </w:tcBorders>
            <w:shd w:val="clear" w:color="auto" w:fill="auto"/>
            <w:vAlign w:val="center"/>
            <w:hideMark/>
          </w:tcPr>
          <w:p w14:paraId="2EB698AD"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2.20%</w:t>
            </w:r>
          </w:p>
        </w:tc>
        <w:tc>
          <w:tcPr>
            <w:tcW w:w="992" w:type="dxa"/>
            <w:tcBorders>
              <w:top w:val="nil"/>
              <w:left w:val="nil"/>
              <w:bottom w:val="nil"/>
              <w:right w:val="nil"/>
            </w:tcBorders>
            <w:shd w:val="clear" w:color="auto" w:fill="auto"/>
            <w:vAlign w:val="center"/>
            <w:hideMark/>
          </w:tcPr>
          <w:p w14:paraId="2E0BE23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0.30%</w:t>
            </w:r>
          </w:p>
        </w:tc>
        <w:tc>
          <w:tcPr>
            <w:tcW w:w="992" w:type="dxa"/>
            <w:tcBorders>
              <w:top w:val="nil"/>
              <w:left w:val="nil"/>
              <w:bottom w:val="nil"/>
              <w:right w:val="nil"/>
            </w:tcBorders>
            <w:shd w:val="clear" w:color="auto" w:fill="auto"/>
            <w:vAlign w:val="center"/>
            <w:hideMark/>
          </w:tcPr>
          <w:p w14:paraId="18F228C2"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93" w:type="dxa"/>
            <w:tcBorders>
              <w:top w:val="nil"/>
              <w:left w:val="nil"/>
              <w:bottom w:val="nil"/>
              <w:right w:val="nil"/>
            </w:tcBorders>
            <w:shd w:val="clear" w:color="auto" w:fill="auto"/>
            <w:vAlign w:val="center"/>
            <w:hideMark/>
          </w:tcPr>
          <w:p w14:paraId="1D12469D"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6" w:type="dxa"/>
            <w:tcBorders>
              <w:top w:val="nil"/>
              <w:left w:val="nil"/>
              <w:bottom w:val="nil"/>
              <w:right w:val="nil"/>
            </w:tcBorders>
            <w:shd w:val="clear" w:color="auto" w:fill="auto"/>
            <w:vAlign w:val="center"/>
            <w:hideMark/>
          </w:tcPr>
          <w:p w14:paraId="612BA7FC" w14:textId="77777777" w:rsidR="00667385" w:rsidRPr="00667385" w:rsidRDefault="00667385" w:rsidP="00667385">
            <w:pPr>
              <w:spacing w:line="360" w:lineRule="auto"/>
              <w:jc w:val="both"/>
              <w:rPr>
                <w:rFonts w:ascii="Book Antiqua" w:eastAsia="宋体" w:hAnsi="Book Antiqua" w:cs="宋体"/>
                <w:color w:val="000000"/>
                <w:lang w:eastAsia="zh-CN"/>
              </w:rPr>
            </w:pPr>
          </w:p>
        </w:tc>
      </w:tr>
      <w:tr w:rsidR="00667385" w:rsidRPr="00667385" w14:paraId="5B4B5EC6" w14:textId="77777777" w:rsidTr="00667385">
        <w:trPr>
          <w:trHeight w:val="315"/>
        </w:trPr>
        <w:tc>
          <w:tcPr>
            <w:tcW w:w="2001" w:type="dxa"/>
            <w:tcBorders>
              <w:top w:val="nil"/>
              <w:left w:val="nil"/>
              <w:bottom w:val="nil"/>
              <w:right w:val="nil"/>
            </w:tcBorders>
            <w:shd w:val="clear" w:color="auto" w:fill="auto"/>
            <w:vAlign w:val="center"/>
            <w:hideMark/>
          </w:tcPr>
          <w:p w14:paraId="2154AD7F" w14:textId="77777777" w:rsidR="00667385" w:rsidRPr="00667385" w:rsidRDefault="00667385" w:rsidP="00667385">
            <w:pPr>
              <w:spacing w:line="360" w:lineRule="auto"/>
              <w:jc w:val="both"/>
              <w:rPr>
                <w:rFonts w:ascii="Book Antiqua" w:eastAsia="宋体" w:hAnsi="Book Antiqua" w:cs="宋体"/>
                <w:color w:val="000000"/>
                <w:lang w:eastAsia="zh-CN"/>
              </w:rPr>
            </w:pPr>
            <w:proofErr w:type="spellStart"/>
            <w:r w:rsidRPr="00667385">
              <w:rPr>
                <w:rFonts w:ascii="Book Antiqua" w:eastAsia="宋体" w:hAnsi="Book Antiqua" w:cs="宋体"/>
                <w:color w:val="000000"/>
                <w:lang w:eastAsia="zh-CN"/>
              </w:rPr>
              <w:t>Transcarotid</w:t>
            </w:r>
            <w:proofErr w:type="spellEnd"/>
          </w:p>
        </w:tc>
        <w:tc>
          <w:tcPr>
            <w:tcW w:w="2107" w:type="dxa"/>
            <w:gridSpan w:val="2"/>
            <w:tcBorders>
              <w:top w:val="nil"/>
              <w:left w:val="nil"/>
              <w:bottom w:val="nil"/>
              <w:right w:val="nil"/>
            </w:tcBorders>
            <w:shd w:val="clear" w:color="auto" w:fill="auto"/>
            <w:vAlign w:val="center"/>
            <w:hideMark/>
          </w:tcPr>
          <w:p w14:paraId="4890ACBD" w14:textId="77777777" w:rsidR="00667385" w:rsidRPr="00667385" w:rsidRDefault="00667385" w:rsidP="00667385">
            <w:pPr>
              <w:spacing w:line="360" w:lineRule="auto"/>
              <w:jc w:val="center"/>
              <w:rPr>
                <w:rFonts w:ascii="Book Antiqua" w:eastAsia="宋体" w:hAnsi="Book Antiqua" w:cs="宋体"/>
                <w:color w:val="000000"/>
                <w:lang w:eastAsia="zh-CN"/>
              </w:rPr>
            </w:pPr>
            <w:r w:rsidRPr="00667385">
              <w:rPr>
                <w:rFonts w:ascii="Book Antiqua" w:eastAsia="宋体" w:hAnsi="Book Antiqua" w:cs="宋体"/>
                <w:color w:val="000000"/>
                <w:lang w:eastAsia="zh-CN"/>
              </w:rPr>
              <w:t>4.06%</w:t>
            </w:r>
          </w:p>
        </w:tc>
        <w:tc>
          <w:tcPr>
            <w:tcW w:w="989" w:type="dxa"/>
            <w:tcBorders>
              <w:top w:val="nil"/>
              <w:left w:val="nil"/>
              <w:bottom w:val="nil"/>
              <w:right w:val="nil"/>
            </w:tcBorders>
            <w:shd w:val="clear" w:color="auto" w:fill="auto"/>
            <w:vAlign w:val="center"/>
            <w:hideMark/>
          </w:tcPr>
          <w:p w14:paraId="713FB310"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nil"/>
              <w:right w:val="nil"/>
            </w:tcBorders>
            <w:shd w:val="clear" w:color="auto" w:fill="auto"/>
            <w:vAlign w:val="center"/>
            <w:hideMark/>
          </w:tcPr>
          <w:p w14:paraId="33C555F0"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51" w:type="dxa"/>
            <w:tcBorders>
              <w:top w:val="nil"/>
              <w:left w:val="nil"/>
              <w:bottom w:val="nil"/>
              <w:right w:val="nil"/>
            </w:tcBorders>
            <w:shd w:val="clear" w:color="auto" w:fill="auto"/>
            <w:vAlign w:val="center"/>
            <w:hideMark/>
          </w:tcPr>
          <w:p w14:paraId="347EAC09"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1092" w:type="dxa"/>
            <w:tcBorders>
              <w:top w:val="nil"/>
              <w:left w:val="nil"/>
              <w:bottom w:val="nil"/>
              <w:right w:val="nil"/>
            </w:tcBorders>
            <w:shd w:val="clear" w:color="auto" w:fill="auto"/>
            <w:vAlign w:val="center"/>
            <w:hideMark/>
          </w:tcPr>
          <w:p w14:paraId="7A9A928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92" w:type="dxa"/>
            <w:tcBorders>
              <w:top w:val="nil"/>
              <w:left w:val="nil"/>
              <w:bottom w:val="nil"/>
              <w:right w:val="nil"/>
            </w:tcBorders>
            <w:shd w:val="clear" w:color="auto" w:fill="auto"/>
            <w:vAlign w:val="center"/>
            <w:hideMark/>
          </w:tcPr>
          <w:p w14:paraId="16F5681F"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92" w:type="dxa"/>
            <w:tcBorders>
              <w:top w:val="nil"/>
              <w:left w:val="nil"/>
              <w:bottom w:val="nil"/>
              <w:right w:val="nil"/>
            </w:tcBorders>
            <w:shd w:val="clear" w:color="auto" w:fill="auto"/>
            <w:vAlign w:val="center"/>
            <w:hideMark/>
          </w:tcPr>
          <w:p w14:paraId="5FA81D97"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93" w:type="dxa"/>
            <w:tcBorders>
              <w:top w:val="nil"/>
              <w:left w:val="nil"/>
              <w:bottom w:val="nil"/>
              <w:right w:val="nil"/>
            </w:tcBorders>
            <w:shd w:val="clear" w:color="auto" w:fill="auto"/>
            <w:vAlign w:val="center"/>
            <w:hideMark/>
          </w:tcPr>
          <w:p w14:paraId="4F8409C3" w14:textId="77777777" w:rsidR="00667385" w:rsidRPr="00667385" w:rsidRDefault="00667385" w:rsidP="00667385">
            <w:pPr>
              <w:spacing w:line="360" w:lineRule="auto"/>
              <w:jc w:val="both"/>
              <w:rPr>
                <w:rFonts w:ascii="Book Antiqua" w:eastAsia="宋体" w:hAnsi="Book Antiqua" w:cs="宋体"/>
                <w:color w:val="000000"/>
                <w:lang w:eastAsia="zh-CN"/>
              </w:rPr>
            </w:pPr>
          </w:p>
        </w:tc>
        <w:tc>
          <w:tcPr>
            <w:tcW w:w="996" w:type="dxa"/>
            <w:tcBorders>
              <w:top w:val="nil"/>
              <w:left w:val="nil"/>
              <w:bottom w:val="nil"/>
              <w:right w:val="nil"/>
            </w:tcBorders>
            <w:shd w:val="clear" w:color="auto" w:fill="auto"/>
            <w:vAlign w:val="center"/>
            <w:hideMark/>
          </w:tcPr>
          <w:p w14:paraId="17776ADD" w14:textId="77777777" w:rsidR="00667385" w:rsidRPr="00667385" w:rsidRDefault="00667385" w:rsidP="00667385">
            <w:pPr>
              <w:spacing w:line="360" w:lineRule="auto"/>
              <w:jc w:val="both"/>
              <w:rPr>
                <w:rFonts w:ascii="Book Antiqua" w:eastAsia="宋体" w:hAnsi="Book Antiqua" w:cs="宋体"/>
                <w:color w:val="000000"/>
                <w:lang w:eastAsia="zh-CN"/>
              </w:rPr>
            </w:pPr>
          </w:p>
        </w:tc>
      </w:tr>
      <w:tr w:rsidR="00667385" w:rsidRPr="00667385" w14:paraId="5629A92C" w14:textId="77777777" w:rsidTr="00667385">
        <w:trPr>
          <w:trHeight w:val="315"/>
        </w:trPr>
        <w:tc>
          <w:tcPr>
            <w:tcW w:w="2001" w:type="dxa"/>
            <w:tcBorders>
              <w:top w:val="nil"/>
              <w:left w:val="nil"/>
              <w:bottom w:val="single" w:sz="4" w:space="0" w:color="auto"/>
              <w:right w:val="nil"/>
            </w:tcBorders>
            <w:shd w:val="clear" w:color="auto" w:fill="auto"/>
            <w:vAlign w:val="center"/>
            <w:hideMark/>
          </w:tcPr>
          <w:p w14:paraId="757FBE7F" w14:textId="77777777" w:rsidR="00667385" w:rsidRPr="00667385" w:rsidRDefault="00667385" w:rsidP="00667385">
            <w:pPr>
              <w:spacing w:line="360" w:lineRule="auto"/>
              <w:jc w:val="both"/>
              <w:rPr>
                <w:rFonts w:ascii="Book Antiqua" w:eastAsia="宋体" w:hAnsi="Book Antiqua" w:cs="宋体"/>
                <w:color w:val="000000"/>
                <w:lang w:eastAsia="zh-CN"/>
              </w:rPr>
            </w:pPr>
            <w:proofErr w:type="spellStart"/>
            <w:r w:rsidRPr="00667385">
              <w:rPr>
                <w:rFonts w:ascii="Book Antiqua" w:eastAsia="宋体" w:hAnsi="Book Antiqua" w:cs="宋体"/>
                <w:color w:val="000000"/>
                <w:lang w:eastAsia="zh-CN"/>
              </w:rPr>
              <w:t>Transcaval</w:t>
            </w:r>
            <w:proofErr w:type="spellEnd"/>
          </w:p>
        </w:tc>
        <w:tc>
          <w:tcPr>
            <w:tcW w:w="2107" w:type="dxa"/>
            <w:gridSpan w:val="2"/>
            <w:tcBorders>
              <w:top w:val="nil"/>
              <w:left w:val="nil"/>
              <w:bottom w:val="single" w:sz="4" w:space="0" w:color="auto"/>
              <w:right w:val="nil"/>
            </w:tcBorders>
            <w:shd w:val="clear" w:color="auto" w:fill="auto"/>
            <w:vAlign w:val="center"/>
            <w:hideMark/>
          </w:tcPr>
          <w:p w14:paraId="40BC15E8" w14:textId="77777777" w:rsidR="00667385" w:rsidRPr="00667385" w:rsidRDefault="00667385" w:rsidP="00667385">
            <w:pPr>
              <w:spacing w:line="360" w:lineRule="auto"/>
              <w:jc w:val="center"/>
              <w:rPr>
                <w:rFonts w:ascii="Book Antiqua" w:eastAsia="宋体" w:hAnsi="Book Antiqua" w:cs="宋体"/>
                <w:color w:val="000000"/>
                <w:lang w:eastAsia="zh-CN"/>
              </w:rPr>
            </w:pPr>
            <w:r w:rsidRPr="00667385">
              <w:rPr>
                <w:rFonts w:ascii="Book Antiqua" w:eastAsia="宋体" w:hAnsi="Book Antiqua" w:cs="宋体"/>
                <w:color w:val="000000"/>
                <w:lang w:eastAsia="zh-CN"/>
              </w:rPr>
              <w:t>0.12%</w:t>
            </w:r>
          </w:p>
        </w:tc>
        <w:tc>
          <w:tcPr>
            <w:tcW w:w="989" w:type="dxa"/>
            <w:tcBorders>
              <w:top w:val="nil"/>
              <w:left w:val="nil"/>
              <w:bottom w:val="single" w:sz="4" w:space="0" w:color="auto"/>
              <w:right w:val="nil"/>
            </w:tcBorders>
            <w:shd w:val="clear" w:color="auto" w:fill="auto"/>
            <w:vAlign w:val="center"/>
            <w:hideMark/>
          </w:tcPr>
          <w:p w14:paraId="0AA14438" w14:textId="174BDF38" w:rsidR="00667385" w:rsidRPr="00667385" w:rsidRDefault="00667385" w:rsidP="00667385">
            <w:pPr>
              <w:spacing w:line="360" w:lineRule="auto"/>
              <w:jc w:val="both"/>
              <w:rPr>
                <w:rFonts w:ascii="Book Antiqua" w:eastAsia="宋体" w:hAnsi="Book Antiqua" w:cs="宋体"/>
                <w:color w:val="000000"/>
                <w:lang w:eastAsia="zh-CN"/>
              </w:rPr>
            </w:pPr>
          </w:p>
        </w:tc>
        <w:tc>
          <w:tcPr>
            <w:tcW w:w="989" w:type="dxa"/>
            <w:tcBorders>
              <w:top w:val="nil"/>
              <w:left w:val="nil"/>
              <w:bottom w:val="single" w:sz="4" w:space="0" w:color="auto"/>
              <w:right w:val="nil"/>
            </w:tcBorders>
            <w:shd w:val="clear" w:color="auto" w:fill="auto"/>
            <w:vAlign w:val="center"/>
            <w:hideMark/>
          </w:tcPr>
          <w:p w14:paraId="67C2D123" w14:textId="54BF1FD7" w:rsidR="00667385" w:rsidRPr="00667385" w:rsidRDefault="00667385" w:rsidP="00667385">
            <w:pPr>
              <w:spacing w:line="360" w:lineRule="auto"/>
              <w:jc w:val="both"/>
              <w:rPr>
                <w:rFonts w:ascii="Book Antiqua" w:eastAsia="宋体" w:hAnsi="Book Antiqua" w:cs="宋体"/>
                <w:color w:val="000000"/>
                <w:lang w:eastAsia="zh-CN"/>
              </w:rPr>
            </w:pPr>
          </w:p>
        </w:tc>
        <w:tc>
          <w:tcPr>
            <w:tcW w:w="951" w:type="dxa"/>
            <w:tcBorders>
              <w:top w:val="nil"/>
              <w:left w:val="nil"/>
              <w:bottom w:val="single" w:sz="4" w:space="0" w:color="auto"/>
              <w:right w:val="nil"/>
            </w:tcBorders>
            <w:shd w:val="clear" w:color="auto" w:fill="auto"/>
            <w:vAlign w:val="center"/>
            <w:hideMark/>
          </w:tcPr>
          <w:p w14:paraId="37DE1FC8" w14:textId="4335534C" w:rsidR="00667385" w:rsidRPr="00667385" w:rsidRDefault="00667385" w:rsidP="00667385">
            <w:pPr>
              <w:spacing w:line="360" w:lineRule="auto"/>
              <w:jc w:val="both"/>
              <w:rPr>
                <w:rFonts w:ascii="Book Antiqua" w:eastAsia="宋体" w:hAnsi="Book Antiqua" w:cs="宋体"/>
                <w:color w:val="000000"/>
                <w:lang w:eastAsia="zh-CN"/>
              </w:rPr>
            </w:pPr>
          </w:p>
        </w:tc>
        <w:tc>
          <w:tcPr>
            <w:tcW w:w="1092" w:type="dxa"/>
            <w:tcBorders>
              <w:top w:val="nil"/>
              <w:left w:val="nil"/>
              <w:bottom w:val="single" w:sz="4" w:space="0" w:color="auto"/>
              <w:right w:val="nil"/>
            </w:tcBorders>
            <w:shd w:val="clear" w:color="auto" w:fill="auto"/>
            <w:vAlign w:val="center"/>
            <w:hideMark/>
          </w:tcPr>
          <w:p w14:paraId="5F75FCFE"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92" w:type="dxa"/>
            <w:tcBorders>
              <w:top w:val="nil"/>
              <w:left w:val="nil"/>
              <w:bottom w:val="single" w:sz="4" w:space="0" w:color="auto"/>
              <w:right w:val="nil"/>
            </w:tcBorders>
            <w:shd w:val="clear" w:color="auto" w:fill="auto"/>
            <w:vAlign w:val="center"/>
            <w:hideMark/>
          </w:tcPr>
          <w:p w14:paraId="4C778519"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92" w:type="dxa"/>
            <w:tcBorders>
              <w:top w:val="nil"/>
              <w:left w:val="nil"/>
              <w:bottom w:val="single" w:sz="4" w:space="0" w:color="auto"/>
              <w:right w:val="nil"/>
            </w:tcBorders>
            <w:shd w:val="clear" w:color="auto" w:fill="auto"/>
            <w:vAlign w:val="center"/>
            <w:hideMark/>
          </w:tcPr>
          <w:p w14:paraId="2039EE58" w14:textId="77777777" w:rsidR="00667385" w:rsidRPr="00667385" w:rsidRDefault="00667385" w:rsidP="00667385">
            <w:pPr>
              <w:spacing w:line="360" w:lineRule="auto"/>
              <w:jc w:val="both"/>
              <w:rPr>
                <w:rFonts w:ascii="Book Antiqua" w:eastAsia="宋体" w:hAnsi="Book Antiqua" w:cs="宋体"/>
                <w:color w:val="000000"/>
                <w:lang w:eastAsia="zh-CN"/>
              </w:rPr>
            </w:pPr>
            <w:r w:rsidRPr="00667385">
              <w:rPr>
                <w:rFonts w:ascii="Book Antiqua" w:eastAsia="宋体" w:hAnsi="Book Antiqua" w:cs="宋体"/>
                <w:color w:val="000000"/>
                <w:lang w:eastAsia="zh-CN"/>
              </w:rPr>
              <w:t>0</w:t>
            </w:r>
          </w:p>
        </w:tc>
        <w:tc>
          <w:tcPr>
            <w:tcW w:w="993" w:type="dxa"/>
            <w:tcBorders>
              <w:top w:val="nil"/>
              <w:left w:val="nil"/>
              <w:bottom w:val="single" w:sz="4" w:space="0" w:color="auto"/>
              <w:right w:val="nil"/>
            </w:tcBorders>
            <w:shd w:val="clear" w:color="auto" w:fill="auto"/>
            <w:vAlign w:val="center"/>
            <w:hideMark/>
          </w:tcPr>
          <w:p w14:paraId="69796CC6" w14:textId="6FC95C6E" w:rsidR="00667385" w:rsidRPr="00667385" w:rsidRDefault="00667385" w:rsidP="00667385">
            <w:pPr>
              <w:spacing w:line="360" w:lineRule="auto"/>
              <w:jc w:val="both"/>
              <w:rPr>
                <w:rFonts w:ascii="Book Antiqua" w:eastAsia="宋体" w:hAnsi="Book Antiqua" w:cs="宋体"/>
                <w:color w:val="000000"/>
                <w:lang w:eastAsia="zh-CN"/>
              </w:rPr>
            </w:pPr>
          </w:p>
        </w:tc>
        <w:tc>
          <w:tcPr>
            <w:tcW w:w="996" w:type="dxa"/>
            <w:tcBorders>
              <w:top w:val="nil"/>
              <w:left w:val="nil"/>
              <w:bottom w:val="single" w:sz="4" w:space="0" w:color="auto"/>
              <w:right w:val="nil"/>
            </w:tcBorders>
            <w:shd w:val="clear" w:color="auto" w:fill="auto"/>
            <w:vAlign w:val="center"/>
            <w:hideMark/>
          </w:tcPr>
          <w:p w14:paraId="724EDAB8" w14:textId="1AEBCF4A" w:rsidR="00667385" w:rsidRPr="00667385" w:rsidRDefault="00667385" w:rsidP="00667385">
            <w:pPr>
              <w:spacing w:line="360" w:lineRule="auto"/>
              <w:jc w:val="both"/>
              <w:rPr>
                <w:rFonts w:ascii="Book Antiqua" w:eastAsia="宋体" w:hAnsi="Book Antiqua" w:cs="宋体"/>
                <w:color w:val="000000"/>
                <w:lang w:eastAsia="zh-CN"/>
              </w:rPr>
            </w:pPr>
          </w:p>
        </w:tc>
      </w:tr>
    </w:tbl>
    <w:p w14:paraId="0268ED7C" w14:textId="129AC941" w:rsidR="008E1250" w:rsidRPr="00694161" w:rsidRDefault="008E1250" w:rsidP="008E1250">
      <w:pPr>
        <w:widowControl w:val="0"/>
        <w:spacing w:line="360" w:lineRule="auto"/>
        <w:jc w:val="both"/>
        <w:rPr>
          <w:rFonts w:ascii="Book Antiqua" w:hAnsi="Book Antiqua"/>
        </w:rPr>
      </w:pPr>
      <w:r w:rsidRPr="008E1250">
        <w:rPr>
          <w:rFonts w:ascii="Book Antiqua" w:hAnsi="Book Antiqua"/>
        </w:rPr>
        <w:t xml:space="preserve">TFSA: </w:t>
      </w:r>
      <w:proofErr w:type="spellStart"/>
      <w:r w:rsidRPr="008E1250">
        <w:rPr>
          <w:rFonts w:ascii="Book Antiqua" w:hAnsi="Book Antiqua"/>
        </w:rPr>
        <w:t>Transfemoral</w:t>
      </w:r>
      <w:proofErr w:type="spellEnd"/>
      <w:r w:rsidRPr="008E1250">
        <w:rPr>
          <w:rFonts w:ascii="Book Antiqua" w:hAnsi="Book Antiqua"/>
        </w:rPr>
        <w:t xml:space="preserve"> secondary access</w:t>
      </w:r>
      <w:r w:rsidR="00295B37">
        <w:rPr>
          <w:rFonts w:ascii="Book Antiqua" w:hAnsi="Book Antiqua"/>
        </w:rPr>
        <w:t>;</w:t>
      </w:r>
      <w:r w:rsidRPr="008E1250">
        <w:rPr>
          <w:rFonts w:ascii="Book Antiqua" w:hAnsi="Book Antiqua"/>
        </w:rPr>
        <w:t xml:space="preserve"> TRSA: </w:t>
      </w:r>
      <w:proofErr w:type="spellStart"/>
      <w:r w:rsidRPr="008E1250">
        <w:rPr>
          <w:rFonts w:ascii="Book Antiqua" w:hAnsi="Book Antiqua"/>
        </w:rPr>
        <w:t>Transradial</w:t>
      </w:r>
      <w:proofErr w:type="spellEnd"/>
      <w:r w:rsidRPr="008E1250">
        <w:rPr>
          <w:rFonts w:ascii="Book Antiqua" w:hAnsi="Book Antiqua"/>
        </w:rPr>
        <w:t xml:space="preserve"> secondary access</w:t>
      </w:r>
      <w:r w:rsidR="00295B37">
        <w:rPr>
          <w:rFonts w:ascii="Book Antiqua" w:hAnsi="Book Antiqua"/>
        </w:rPr>
        <w:t>;</w:t>
      </w:r>
      <w:r w:rsidRPr="008E1250">
        <w:rPr>
          <w:rFonts w:ascii="Book Antiqua" w:hAnsi="Book Antiqua"/>
        </w:rPr>
        <w:t xml:space="preserve"> HTN: Hypertension</w:t>
      </w:r>
      <w:r w:rsidR="00295B37">
        <w:rPr>
          <w:rFonts w:ascii="Book Antiqua" w:hAnsi="Book Antiqua"/>
        </w:rPr>
        <w:t>;</w:t>
      </w:r>
      <w:r w:rsidRPr="008E1250">
        <w:rPr>
          <w:rFonts w:ascii="Book Antiqua" w:hAnsi="Book Antiqua"/>
        </w:rPr>
        <w:t xml:space="preserve"> CAD: Coronary artery disease</w:t>
      </w:r>
      <w:r w:rsidR="00295B37">
        <w:rPr>
          <w:rFonts w:ascii="Book Antiqua" w:hAnsi="Book Antiqua"/>
        </w:rPr>
        <w:t>;</w:t>
      </w:r>
      <w:r w:rsidRPr="008E1250">
        <w:rPr>
          <w:rFonts w:ascii="Book Antiqua" w:hAnsi="Book Antiqua"/>
        </w:rPr>
        <w:t xml:space="preserve"> CABG: Coronary artery bypass graft</w:t>
      </w:r>
      <w:r w:rsidR="00295B37">
        <w:rPr>
          <w:rFonts w:ascii="Book Antiqua" w:hAnsi="Book Antiqua"/>
        </w:rPr>
        <w:t>;</w:t>
      </w:r>
      <w:r w:rsidRPr="008E1250">
        <w:rPr>
          <w:rFonts w:ascii="Book Antiqua" w:hAnsi="Book Antiqua"/>
        </w:rPr>
        <w:t xml:space="preserve"> </w:t>
      </w:r>
      <w:proofErr w:type="spellStart"/>
      <w:r w:rsidRPr="008E1250">
        <w:rPr>
          <w:rFonts w:ascii="Book Antiqua" w:hAnsi="Book Antiqua"/>
        </w:rPr>
        <w:t>AFib</w:t>
      </w:r>
      <w:proofErr w:type="spellEnd"/>
      <w:r w:rsidRPr="008E1250">
        <w:rPr>
          <w:rFonts w:ascii="Book Antiqua" w:hAnsi="Book Antiqua"/>
        </w:rPr>
        <w:t>: Atrial fibrillation</w:t>
      </w:r>
      <w:r w:rsidR="00295B37">
        <w:rPr>
          <w:rFonts w:ascii="Book Antiqua" w:hAnsi="Book Antiqua"/>
        </w:rPr>
        <w:t>;</w:t>
      </w:r>
      <w:r w:rsidRPr="008E1250">
        <w:rPr>
          <w:rFonts w:ascii="Book Antiqua" w:hAnsi="Book Antiqua"/>
        </w:rPr>
        <w:t xml:space="preserve"> PVD: Peripheral vascular disease</w:t>
      </w:r>
      <w:r w:rsidR="00295B37">
        <w:rPr>
          <w:rFonts w:ascii="Book Antiqua" w:hAnsi="Book Antiqua"/>
        </w:rPr>
        <w:t>;</w:t>
      </w:r>
      <w:r w:rsidRPr="008E1250">
        <w:rPr>
          <w:rFonts w:ascii="Book Antiqua" w:hAnsi="Book Antiqua"/>
        </w:rPr>
        <w:t xml:space="preserve"> CVA: Cerebrovascular event</w:t>
      </w:r>
      <w:r w:rsidR="00295B37">
        <w:rPr>
          <w:rFonts w:ascii="Book Antiqua" w:hAnsi="Book Antiqua"/>
        </w:rPr>
        <w:t>;</w:t>
      </w:r>
      <w:r w:rsidRPr="008E1250">
        <w:rPr>
          <w:rFonts w:ascii="Book Antiqua" w:hAnsi="Book Antiqua"/>
        </w:rPr>
        <w:t xml:space="preserve"> </w:t>
      </w:r>
      <w:proofErr w:type="spellStart"/>
      <w:r w:rsidRPr="008E1250">
        <w:rPr>
          <w:rFonts w:ascii="Book Antiqua" w:hAnsi="Book Antiqua"/>
        </w:rPr>
        <w:t>eGFR</w:t>
      </w:r>
      <w:proofErr w:type="spellEnd"/>
      <w:r w:rsidRPr="008E1250">
        <w:rPr>
          <w:rFonts w:ascii="Book Antiqua" w:hAnsi="Book Antiqua"/>
        </w:rPr>
        <w:t xml:space="preserve">: </w:t>
      </w:r>
      <w:r w:rsidR="00295B37">
        <w:rPr>
          <w:rFonts w:ascii="Book Antiqua" w:hAnsi="Book Antiqua"/>
        </w:rPr>
        <w:t>E</w:t>
      </w:r>
      <w:r w:rsidRPr="008E1250">
        <w:rPr>
          <w:rFonts w:ascii="Book Antiqua" w:hAnsi="Book Antiqua"/>
        </w:rPr>
        <w:t>stimated glomerular filtration rate</w:t>
      </w:r>
      <w:r w:rsidR="00295B37">
        <w:rPr>
          <w:rFonts w:ascii="Book Antiqua" w:hAnsi="Book Antiqua"/>
        </w:rPr>
        <w:t>;</w:t>
      </w:r>
      <w:r w:rsidRPr="008E1250">
        <w:rPr>
          <w:rFonts w:ascii="Book Antiqua" w:hAnsi="Book Antiqua"/>
        </w:rPr>
        <w:t xml:space="preserve"> COPD: Chronic obstructive pulmonary disease</w:t>
      </w:r>
      <w:r w:rsidR="00295B37">
        <w:rPr>
          <w:rFonts w:ascii="Book Antiqua" w:hAnsi="Book Antiqua"/>
        </w:rPr>
        <w:t>;</w:t>
      </w:r>
      <w:r w:rsidRPr="008E1250">
        <w:rPr>
          <w:rFonts w:ascii="Book Antiqua" w:hAnsi="Book Antiqua"/>
        </w:rPr>
        <w:t xml:space="preserve"> STS-PROM: Society of thoracic surgeons predicted risk of mortality</w:t>
      </w:r>
      <w:r w:rsidR="00295B37">
        <w:rPr>
          <w:rFonts w:ascii="Book Antiqua" w:hAnsi="Book Antiqua"/>
        </w:rPr>
        <w:t>;</w:t>
      </w:r>
      <w:r w:rsidRPr="008E1250">
        <w:rPr>
          <w:rFonts w:ascii="Book Antiqua" w:hAnsi="Book Antiqua"/>
        </w:rPr>
        <w:t xml:space="preserve"> TFPA: </w:t>
      </w:r>
      <w:proofErr w:type="spellStart"/>
      <w:r w:rsidRPr="008E1250">
        <w:rPr>
          <w:rFonts w:ascii="Book Antiqua" w:hAnsi="Book Antiqua"/>
        </w:rPr>
        <w:t>Transfemoral</w:t>
      </w:r>
      <w:proofErr w:type="spellEnd"/>
      <w:r w:rsidRPr="008E1250">
        <w:rPr>
          <w:rFonts w:ascii="Book Antiqua" w:hAnsi="Book Antiqua"/>
        </w:rPr>
        <w:t xml:space="preserve"> primary access.</w:t>
      </w:r>
    </w:p>
    <w:sectPr w:rsidR="008E1250" w:rsidRPr="00694161" w:rsidSect="00FA442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4E665" w14:textId="77777777" w:rsidR="00027093" w:rsidRDefault="00027093" w:rsidP="00C74BFB">
      <w:r>
        <w:separator/>
      </w:r>
    </w:p>
  </w:endnote>
  <w:endnote w:type="continuationSeparator" w:id="0">
    <w:p w14:paraId="3C904F0F" w14:textId="77777777" w:rsidR="00027093" w:rsidRDefault="00027093" w:rsidP="00C74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auto"/>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6465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6771394" w14:textId="154C8C63" w:rsidR="00363CAD" w:rsidRPr="00C74BFB" w:rsidRDefault="00363CAD" w:rsidP="00C74BFB">
            <w:pPr>
              <w:pStyle w:val="a8"/>
              <w:jc w:val="right"/>
              <w:rPr>
                <w:rFonts w:ascii="Book Antiqua" w:hAnsi="Book Antiqua"/>
                <w:sz w:val="24"/>
                <w:szCs w:val="24"/>
              </w:rPr>
            </w:pPr>
            <w:r w:rsidRPr="00C74BFB">
              <w:rPr>
                <w:rFonts w:ascii="Book Antiqua" w:hAnsi="Book Antiqua"/>
                <w:sz w:val="24"/>
                <w:szCs w:val="24"/>
                <w:lang w:val="zh-CN" w:eastAsia="zh-CN"/>
              </w:rPr>
              <w:t xml:space="preserve"> </w:t>
            </w:r>
            <w:r w:rsidRPr="00C74BFB">
              <w:rPr>
                <w:rFonts w:ascii="Book Antiqua" w:hAnsi="Book Antiqua"/>
                <w:sz w:val="24"/>
                <w:szCs w:val="24"/>
              </w:rPr>
              <w:fldChar w:fldCharType="begin"/>
            </w:r>
            <w:r w:rsidRPr="00C74BFB">
              <w:rPr>
                <w:rFonts w:ascii="Book Antiqua" w:hAnsi="Book Antiqua"/>
                <w:sz w:val="24"/>
                <w:szCs w:val="24"/>
              </w:rPr>
              <w:instrText>PAGE</w:instrText>
            </w:r>
            <w:r w:rsidRPr="00C74BFB">
              <w:rPr>
                <w:rFonts w:ascii="Book Antiqua" w:hAnsi="Book Antiqua"/>
                <w:sz w:val="24"/>
                <w:szCs w:val="24"/>
              </w:rPr>
              <w:fldChar w:fldCharType="separate"/>
            </w:r>
            <w:r w:rsidR="006B4C17">
              <w:rPr>
                <w:rFonts w:ascii="Book Antiqua" w:hAnsi="Book Antiqua"/>
                <w:noProof/>
                <w:sz w:val="24"/>
                <w:szCs w:val="24"/>
              </w:rPr>
              <w:t>3</w:t>
            </w:r>
            <w:r w:rsidRPr="00C74BFB">
              <w:rPr>
                <w:rFonts w:ascii="Book Antiqua" w:hAnsi="Book Antiqua"/>
                <w:sz w:val="24"/>
                <w:szCs w:val="24"/>
              </w:rPr>
              <w:fldChar w:fldCharType="end"/>
            </w:r>
            <w:r w:rsidRPr="00C74BFB">
              <w:rPr>
                <w:rFonts w:ascii="Book Antiqua" w:hAnsi="Book Antiqua"/>
                <w:sz w:val="24"/>
                <w:szCs w:val="24"/>
                <w:lang w:val="zh-CN" w:eastAsia="zh-CN"/>
              </w:rPr>
              <w:t xml:space="preserve"> / </w:t>
            </w:r>
            <w:r w:rsidRPr="00C74BFB">
              <w:rPr>
                <w:rFonts w:ascii="Book Antiqua" w:hAnsi="Book Antiqua"/>
                <w:sz w:val="24"/>
                <w:szCs w:val="24"/>
              </w:rPr>
              <w:fldChar w:fldCharType="begin"/>
            </w:r>
            <w:r w:rsidRPr="00C74BFB">
              <w:rPr>
                <w:rFonts w:ascii="Book Antiqua" w:hAnsi="Book Antiqua"/>
                <w:sz w:val="24"/>
                <w:szCs w:val="24"/>
              </w:rPr>
              <w:instrText>NUMPAGES</w:instrText>
            </w:r>
            <w:r w:rsidRPr="00C74BFB">
              <w:rPr>
                <w:rFonts w:ascii="Book Antiqua" w:hAnsi="Book Antiqua"/>
                <w:sz w:val="24"/>
                <w:szCs w:val="24"/>
              </w:rPr>
              <w:fldChar w:fldCharType="separate"/>
            </w:r>
            <w:r w:rsidR="006B4C17">
              <w:rPr>
                <w:rFonts w:ascii="Book Antiqua" w:hAnsi="Book Antiqua"/>
                <w:noProof/>
                <w:sz w:val="24"/>
                <w:szCs w:val="24"/>
              </w:rPr>
              <w:t>31</w:t>
            </w:r>
            <w:r w:rsidRPr="00C74BFB">
              <w:rPr>
                <w:rFonts w:ascii="Book Antiqua" w:hAnsi="Book Antiqua"/>
                <w:sz w:val="24"/>
                <w:szCs w:val="24"/>
              </w:rPr>
              <w:fldChar w:fldCharType="end"/>
            </w:r>
          </w:p>
        </w:sdtContent>
      </w:sdt>
    </w:sdtContent>
  </w:sdt>
  <w:p w14:paraId="27777820" w14:textId="77777777" w:rsidR="00363CAD" w:rsidRDefault="00363CA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290DC" w14:textId="77777777" w:rsidR="00027093" w:rsidRDefault="00027093" w:rsidP="00C74BFB">
      <w:r>
        <w:separator/>
      </w:r>
    </w:p>
  </w:footnote>
  <w:footnote w:type="continuationSeparator" w:id="0">
    <w:p w14:paraId="3A0F12C8" w14:textId="77777777" w:rsidR="00027093" w:rsidRDefault="00027093" w:rsidP="00C74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093"/>
    <w:rsid w:val="00032A6D"/>
    <w:rsid w:val="00034CD7"/>
    <w:rsid w:val="00044D1A"/>
    <w:rsid w:val="000E7ECE"/>
    <w:rsid w:val="0014040F"/>
    <w:rsid w:val="00152FC4"/>
    <w:rsid w:val="00156293"/>
    <w:rsid w:val="00196B52"/>
    <w:rsid w:val="001D19CD"/>
    <w:rsid w:val="00295B37"/>
    <w:rsid w:val="002E71AC"/>
    <w:rsid w:val="003438C9"/>
    <w:rsid w:val="00363CAD"/>
    <w:rsid w:val="003E0190"/>
    <w:rsid w:val="003E3254"/>
    <w:rsid w:val="003F79FC"/>
    <w:rsid w:val="004078C5"/>
    <w:rsid w:val="004928DF"/>
    <w:rsid w:val="004B0576"/>
    <w:rsid w:val="00507271"/>
    <w:rsid w:val="00571F64"/>
    <w:rsid w:val="0057329C"/>
    <w:rsid w:val="00577CFB"/>
    <w:rsid w:val="00584051"/>
    <w:rsid w:val="005D7499"/>
    <w:rsid w:val="00602D3D"/>
    <w:rsid w:val="00667385"/>
    <w:rsid w:val="00694161"/>
    <w:rsid w:val="006B4C17"/>
    <w:rsid w:val="006D65DA"/>
    <w:rsid w:val="006F2517"/>
    <w:rsid w:val="0070366A"/>
    <w:rsid w:val="00707612"/>
    <w:rsid w:val="007670C6"/>
    <w:rsid w:val="00777A33"/>
    <w:rsid w:val="00784F99"/>
    <w:rsid w:val="007951FF"/>
    <w:rsid w:val="007A7802"/>
    <w:rsid w:val="007B1A4D"/>
    <w:rsid w:val="007D4F86"/>
    <w:rsid w:val="007F6292"/>
    <w:rsid w:val="008048B8"/>
    <w:rsid w:val="00824834"/>
    <w:rsid w:val="00864075"/>
    <w:rsid w:val="008758E3"/>
    <w:rsid w:val="00891F6E"/>
    <w:rsid w:val="00891FCF"/>
    <w:rsid w:val="008D36AC"/>
    <w:rsid w:val="008E1250"/>
    <w:rsid w:val="008E65CE"/>
    <w:rsid w:val="008F0864"/>
    <w:rsid w:val="00911341"/>
    <w:rsid w:val="009A2D1D"/>
    <w:rsid w:val="009A495E"/>
    <w:rsid w:val="009B22D4"/>
    <w:rsid w:val="009D3F9B"/>
    <w:rsid w:val="00A1291F"/>
    <w:rsid w:val="00A73D3C"/>
    <w:rsid w:val="00A77B3E"/>
    <w:rsid w:val="00AF397F"/>
    <w:rsid w:val="00B21B00"/>
    <w:rsid w:val="00B35F9E"/>
    <w:rsid w:val="00BA489A"/>
    <w:rsid w:val="00BB0271"/>
    <w:rsid w:val="00BC2D91"/>
    <w:rsid w:val="00BD3AA9"/>
    <w:rsid w:val="00BE05E4"/>
    <w:rsid w:val="00BF3712"/>
    <w:rsid w:val="00C01812"/>
    <w:rsid w:val="00C64EAD"/>
    <w:rsid w:val="00C74BFB"/>
    <w:rsid w:val="00CA2A55"/>
    <w:rsid w:val="00CC242A"/>
    <w:rsid w:val="00D572DC"/>
    <w:rsid w:val="00D621EA"/>
    <w:rsid w:val="00D86787"/>
    <w:rsid w:val="00DE4B9B"/>
    <w:rsid w:val="00E4226E"/>
    <w:rsid w:val="00E9663F"/>
    <w:rsid w:val="00EE6F59"/>
    <w:rsid w:val="00EF28A0"/>
    <w:rsid w:val="00F20B72"/>
    <w:rsid w:val="00F34D76"/>
    <w:rsid w:val="00FA442F"/>
    <w:rsid w:val="00FB3015"/>
    <w:rsid w:val="00FD0BB4"/>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7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670C6"/>
    <w:rPr>
      <w:sz w:val="18"/>
      <w:szCs w:val="18"/>
    </w:rPr>
  </w:style>
  <w:style w:type="character" w:customStyle="1" w:styleId="Char">
    <w:name w:val="批注框文本 Char"/>
    <w:basedOn w:val="a0"/>
    <w:link w:val="a3"/>
    <w:rsid w:val="007670C6"/>
    <w:rPr>
      <w:sz w:val="18"/>
      <w:szCs w:val="18"/>
    </w:rPr>
  </w:style>
  <w:style w:type="character" w:styleId="a4">
    <w:name w:val="annotation reference"/>
    <w:basedOn w:val="a0"/>
    <w:semiHidden/>
    <w:unhideWhenUsed/>
    <w:rsid w:val="008048B8"/>
    <w:rPr>
      <w:sz w:val="21"/>
      <w:szCs w:val="21"/>
    </w:rPr>
  </w:style>
  <w:style w:type="paragraph" w:styleId="a5">
    <w:name w:val="annotation text"/>
    <w:basedOn w:val="a"/>
    <w:link w:val="Char0"/>
    <w:semiHidden/>
    <w:unhideWhenUsed/>
    <w:rsid w:val="008048B8"/>
  </w:style>
  <w:style w:type="character" w:customStyle="1" w:styleId="Char0">
    <w:name w:val="批注文字 Char"/>
    <w:basedOn w:val="a0"/>
    <w:link w:val="a5"/>
    <w:semiHidden/>
    <w:rsid w:val="008048B8"/>
    <w:rPr>
      <w:sz w:val="24"/>
      <w:szCs w:val="24"/>
    </w:rPr>
  </w:style>
  <w:style w:type="paragraph" w:styleId="a6">
    <w:name w:val="annotation subject"/>
    <w:basedOn w:val="a5"/>
    <w:next w:val="a5"/>
    <w:link w:val="Char1"/>
    <w:semiHidden/>
    <w:unhideWhenUsed/>
    <w:rsid w:val="008048B8"/>
    <w:rPr>
      <w:b/>
      <w:bCs/>
    </w:rPr>
  </w:style>
  <w:style w:type="character" w:customStyle="1" w:styleId="Char1">
    <w:name w:val="批注主题 Char"/>
    <w:basedOn w:val="Char0"/>
    <w:link w:val="a6"/>
    <w:semiHidden/>
    <w:rsid w:val="008048B8"/>
    <w:rPr>
      <w:b/>
      <w:bCs/>
      <w:sz w:val="24"/>
      <w:szCs w:val="24"/>
    </w:rPr>
  </w:style>
  <w:style w:type="paragraph" w:styleId="a7">
    <w:name w:val="header"/>
    <w:basedOn w:val="a"/>
    <w:link w:val="Char2"/>
    <w:unhideWhenUsed/>
    <w:rsid w:val="00C74BF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C74BFB"/>
    <w:rPr>
      <w:sz w:val="18"/>
      <w:szCs w:val="18"/>
    </w:rPr>
  </w:style>
  <w:style w:type="paragraph" w:styleId="a8">
    <w:name w:val="footer"/>
    <w:basedOn w:val="a"/>
    <w:link w:val="Char3"/>
    <w:uiPriority w:val="99"/>
    <w:unhideWhenUsed/>
    <w:rsid w:val="00C74BFB"/>
    <w:pPr>
      <w:tabs>
        <w:tab w:val="center" w:pos="4153"/>
        <w:tab w:val="right" w:pos="8306"/>
      </w:tabs>
      <w:snapToGrid w:val="0"/>
    </w:pPr>
    <w:rPr>
      <w:sz w:val="18"/>
      <w:szCs w:val="18"/>
    </w:rPr>
  </w:style>
  <w:style w:type="character" w:customStyle="1" w:styleId="Char3">
    <w:name w:val="页脚 Char"/>
    <w:basedOn w:val="a0"/>
    <w:link w:val="a8"/>
    <w:uiPriority w:val="99"/>
    <w:rsid w:val="00C74BFB"/>
    <w:rPr>
      <w:sz w:val="18"/>
      <w:szCs w:val="18"/>
    </w:rPr>
  </w:style>
  <w:style w:type="paragraph" w:styleId="a9">
    <w:name w:val="Revision"/>
    <w:hidden/>
    <w:uiPriority w:val="99"/>
    <w:semiHidden/>
    <w:rsid w:val="00602D3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670C6"/>
    <w:rPr>
      <w:sz w:val="18"/>
      <w:szCs w:val="18"/>
    </w:rPr>
  </w:style>
  <w:style w:type="character" w:customStyle="1" w:styleId="Char">
    <w:name w:val="批注框文本 Char"/>
    <w:basedOn w:val="a0"/>
    <w:link w:val="a3"/>
    <w:rsid w:val="007670C6"/>
    <w:rPr>
      <w:sz w:val="18"/>
      <w:szCs w:val="18"/>
    </w:rPr>
  </w:style>
  <w:style w:type="character" w:styleId="a4">
    <w:name w:val="annotation reference"/>
    <w:basedOn w:val="a0"/>
    <w:semiHidden/>
    <w:unhideWhenUsed/>
    <w:rsid w:val="008048B8"/>
    <w:rPr>
      <w:sz w:val="21"/>
      <w:szCs w:val="21"/>
    </w:rPr>
  </w:style>
  <w:style w:type="paragraph" w:styleId="a5">
    <w:name w:val="annotation text"/>
    <w:basedOn w:val="a"/>
    <w:link w:val="Char0"/>
    <w:semiHidden/>
    <w:unhideWhenUsed/>
    <w:rsid w:val="008048B8"/>
  </w:style>
  <w:style w:type="character" w:customStyle="1" w:styleId="Char0">
    <w:name w:val="批注文字 Char"/>
    <w:basedOn w:val="a0"/>
    <w:link w:val="a5"/>
    <w:semiHidden/>
    <w:rsid w:val="008048B8"/>
    <w:rPr>
      <w:sz w:val="24"/>
      <w:szCs w:val="24"/>
    </w:rPr>
  </w:style>
  <w:style w:type="paragraph" w:styleId="a6">
    <w:name w:val="annotation subject"/>
    <w:basedOn w:val="a5"/>
    <w:next w:val="a5"/>
    <w:link w:val="Char1"/>
    <w:semiHidden/>
    <w:unhideWhenUsed/>
    <w:rsid w:val="008048B8"/>
    <w:rPr>
      <w:b/>
      <w:bCs/>
    </w:rPr>
  </w:style>
  <w:style w:type="character" w:customStyle="1" w:styleId="Char1">
    <w:name w:val="批注主题 Char"/>
    <w:basedOn w:val="Char0"/>
    <w:link w:val="a6"/>
    <w:semiHidden/>
    <w:rsid w:val="008048B8"/>
    <w:rPr>
      <w:b/>
      <w:bCs/>
      <w:sz w:val="24"/>
      <w:szCs w:val="24"/>
    </w:rPr>
  </w:style>
  <w:style w:type="paragraph" w:styleId="a7">
    <w:name w:val="header"/>
    <w:basedOn w:val="a"/>
    <w:link w:val="Char2"/>
    <w:unhideWhenUsed/>
    <w:rsid w:val="00C74BF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C74BFB"/>
    <w:rPr>
      <w:sz w:val="18"/>
      <w:szCs w:val="18"/>
    </w:rPr>
  </w:style>
  <w:style w:type="paragraph" w:styleId="a8">
    <w:name w:val="footer"/>
    <w:basedOn w:val="a"/>
    <w:link w:val="Char3"/>
    <w:uiPriority w:val="99"/>
    <w:unhideWhenUsed/>
    <w:rsid w:val="00C74BFB"/>
    <w:pPr>
      <w:tabs>
        <w:tab w:val="center" w:pos="4153"/>
        <w:tab w:val="right" w:pos="8306"/>
      </w:tabs>
      <w:snapToGrid w:val="0"/>
    </w:pPr>
    <w:rPr>
      <w:sz w:val="18"/>
      <w:szCs w:val="18"/>
    </w:rPr>
  </w:style>
  <w:style w:type="character" w:customStyle="1" w:styleId="Char3">
    <w:name w:val="页脚 Char"/>
    <w:basedOn w:val="a0"/>
    <w:link w:val="a8"/>
    <w:uiPriority w:val="99"/>
    <w:rsid w:val="00C74BFB"/>
    <w:rPr>
      <w:sz w:val="18"/>
      <w:szCs w:val="18"/>
    </w:rPr>
  </w:style>
  <w:style w:type="paragraph" w:styleId="a9">
    <w:name w:val="Revision"/>
    <w:hidden/>
    <w:uiPriority w:val="99"/>
    <w:semiHidden/>
    <w:rsid w:val="00602D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39282">
      <w:bodyDiv w:val="1"/>
      <w:marLeft w:val="0"/>
      <w:marRight w:val="0"/>
      <w:marTop w:val="0"/>
      <w:marBottom w:val="0"/>
      <w:divBdr>
        <w:top w:val="none" w:sz="0" w:space="0" w:color="auto"/>
        <w:left w:val="none" w:sz="0" w:space="0" w:color="auto"/>
        <w:bottom w:val="none" w:sz="0" w:space="0" w:color="auto"/>
        <w:right w:val="none" w:sz="0" w:space="0" w:color="auto"/>
      </w:divBdr>
    </w:div>
    <w:div w:id="125776730">
      <w:bodyDiv w:val="1"/>
      <w:marLeft w:val="0"/>
      <w:marRight w:val="0"/>
      <w:marTop w:val="0"/>
      <w:marBottom w:val="0"/>
      <w:divBdr>
        <w:top w:val="none" w:sz="0" w:space="0" w:color="auto"/>
        <w:left w:val="none" w:sz="0" w:space="0" w:color="auto"/>
        <w:bottom w:val="none" w:sz="0" w:space="0" w:color="auto"/>
        <w:right w:val="none" w:sz="0" w:space="0" w:color="auto"/>
      </w:divBdr>
    </w:div>
    <w:div w:id="469976060">
      <w:bodyDiv w:val="1"/>
      <w:marLeft w:val="0"/>
      <w:marRight w:val="0"/>
      <w:marTop w:val="0"/>
      <w:marBottom w:val="0"/>
      <w:divBdr>
        <w:top w:val="none" w:sz="0" w:space="0" w:color="auto"/>
        <w:left w:val="none" w:sz="0" w:space="0" w:color="auto"/>
        <w:bottom w:val="none" w:sz="0" w:space="0" w:color="auto"/>
        <w:right w:val="none" w:sz="0" w:space="0" w:color="auto"/>
      </w:divBdr>
    </w:div>
    <w:div w:id="672034120">
      <w:bodyDiv w:val="1"/>
      <w:marLeft w:val="0"/>
      <w:marRight w:val="0"/>
      <w:marTop w:val="0"/>
      <w:marBottom w:val="0"/>
      <w:divBdr>
        <w:top w:val="none" w:sz="0" w:space="0" w:color="auto"/>
        <w:left w:val="none" w:sz="0" w:space="0" w:color="auto"/>
        <w:bottom w:val="none" w:sz="0" w:space="0" w:color="auto"/>
        <w:right w:val="none" w:sz="0" w:space="0" w:color="auto"/>
      </w:divBdr>
      <w:divsChild>
        <w:div w:id="1431391085">
          <w:marLeft w:val="0"/>
          <w:marRight w:val="0"/>
          <w:marTop w:val="0"/>
          <w:marBottom w:val="0"/>
          <w:divBdr>
            <w:top w:val="none" w:sz="0" w:space="0" w:color="auto"/>
            <w:left w:val="none" w:sz="0" w:space="0" w:color="auto"/>
            <w:bottom w:val="none" w:sz="0" w:space="0" w:color="auto"/>
            <w:right w:val="none" w:sz="0" w:space="0" w:color="auto"/>
          </w:divBdr>
        </w:div>
      </w:divsChild>
    </w:div>
    <w:div w:id="714351352">
      <w:bodyDiv w:val="1"/>
      <w:marLeft w:val="0"/>
      <w:marRight w:val="0"/>
      <w:marTop w:val="0"/>
      <w:marBottom w:val="0"/>
      <w:divBdr>
        <w:top w:val="none" w:sz="0" w:space="0" w:color="auto"/>
        <w:left w:val="none" w:sz="0" w:space="0" w:color="auto"/>
        <w:bottom w:val="none" w:sz="0" w:space="0" w:color="auto"/>
        <w:right w:val="none" w:sz="0" w:space="0" w:color="auto"/>
      </w:divBdr>
    </w:div>
    <w:div w:id="735249582">
      <w:bodyDiv w:val="1"/>
      <w:marLeft w:val="0"/>
      <w:marRight w:val="0"/>
      <w:marTop w:val="0"/>
      <w:marBottom w:val="0"/>
      <w:divBdr>
        <w:top w:val="none" w:sz="0" w:space="0" w:color="auto"/>
        <w:left w:val="none" w:sz="0" w:space="0" w:color="auto"/>
        <w:bottom w:val="none" w:sz="0" w:space="0" w:color="auto"/>
        <w:right w:val="none" w:sz="0" w:space="0" w:color="auto"/>
      </w:divBdr>
    </w:div>
    <w:div w:id="842166025">
      <w:bodyDiv w:val="1"/>
      <w:marLeft w:val="0"/>
      <w:marRight w:val="0"/>
      <w:marTop w:val="0"/>
      <w:marBottom w:val="0"/>
      <w:divBdr>
        <w:top w:val="none" w:sz="0" w:space="0" w:color="auto"/>
        <w:left w:val="none" w:sz="0" w:space="0" w:color="auto"/>
        <w:bottom w:val="none" w:sz="0" w:space="0" w:color="auto"/>
        <w:right w:val="none" w:sz="0" w:space="0" w:color="auto"/>
      </w:divBdr>
    </w:div>
    <w:div w:id="1561479271">
      <w:bodyDiv w:val="1"/>
      <w:marLeft w:val="0"/>
      <w:marRight w:val="0"/>
      <w:marTop w:val="0"/>
      <w:marBottom w:val="0"/>
      <w:divBdr>
        <w:top w:val="none" w:sz="0" w:space="0" w:color="auto"/>
        <w:left w:val="none" w:sz="0" w:space="0" w:color="auto"/>
        <w:bottom w:val="none" w:sz="0" w:space="0" w:color="auto"/>
        <w:right w:val="none" w:sz="0" w:space="0" w:color="auto"/>
      </w:divBdr>
    </w:div>
    <w:div w:id="1627810664">
      <w:bodyDiv w:val="1"/>
      <w:marLeft w:val="0"/>
      <w:marRight w:val="0"/>
      <w:marTop w:val="0"/>
      <w:marBottom w:val="0"/>
      <w:divBdr>
        <w:top w:val="none" w:sz="0" w:space="0" w:color="auto"/>
        <w:left w:val="none" w:sz="0" w:space="0" w:color="auto"/>
        <w:bottom w:val="none" w:sz="0" w:space="0" w:color="auto"/>
        <w:right w:val="none" w:sz="0" w:space="0" w:color="auto"/>
      </w:divBdr>
      <w:divsChild>
        <w:div w:id="1121612248">
          <w:marLeft w:val="0"/>
          <w:marRight w:val="0"/>
          <w:marTop w:val="90"/>
          <w:marBottom w:val="90"/>
          <w:divBdr>
            <w:top w:val="none" w:sz="0" w:space="0" w:color="auto"/>
            <w:left w:val="none" w:sz="0" w:space="0" w:color="auto"/>
            <w:bottom w:val="none" w:sz="0" w:space="0" w:color="auto"/>
            <w:right w:val="none" w:sz="0" w:space="0" w:color="auto"/>
          </w:divBdr>
        </w:div>
      </w:divsChild>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microsoft.com/office/2007/relationships/diagramDrawing" Target="diagrams/drawing1.xm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E9F690-F75D-435B-9E27-39EA485FC1D9}"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9430E949-F2E8-49A2-B8E7-1FF3F03CC376}">
      <dgm:prSet phldrT="[Text]"/>
      <dgm:spPr>
        <a:noFill/>
        <a:ln>
          <a:solidFill>
            <a:schemeClr val="tx1"/>
          </a:solidFill>
        </a:ln>
      </dgm:spPr>
      <dgm:t>
        <a:bodyPr/>
        <a:lstStyle/>
        <a:p>
          <a:pPr algn="ctr"/>
          <a:r>
            <a:rPr lang="en-US" dirty="0">
              <a:solidFill>
                <a:sysClr val="windowText" lastClr="000000"/>
              </a:solidFill>
            </a:rPr>
            <a:t>Search results of potentially relevant articles on PubMed (</a:t>
          </a:r>
          <a:r>
            <a:rPr lang="en-US" i="1" dirty="0">
              <a:solidFill>
                <a:sysClr val="windowText" lastClr="000000"/>
              </a:solidFill>
            </a:rPr>
            <a:t>n</a:t>
          </a:r>
          <a:r>
            <a:rPr lang="en-US" dirty="0">
              <a:solidFill>
                <a:sysClr val="windowText" lastClr="000000"/>
              </a:solidFill>
            </a:rPr>
            <a:t> = 5), EMBASE (</a:t>
          </a:r>
          <a:r>
            <a:rPr lang="en-US" i="1" dirty="0">
              <a:solidFill>
                <a:sysClr val="windowText" lastClr="000000"/>
              </a:solidFill>
            </a:rPr>
            <a:t>n</a:t>
          </a:r>
          <a:r>
            <a:rPr lang="en-US" dirty="0">
              <a:solidFill>
                <a:sysClr val="windowText" lastClr="000000"/>
              </a:solidFill>
            </a:rPr>
            <a:t> = 5), Google Scholar (</a:t>
          </a:r>
          <a:r>
            <a:rPr lang="en-US" i="1" dirty="0">
              <a:solidFill>
                <a:sysClr val="windowText" lastClr="000000"/>
              </a:solidFill>
            </a:rPr>
            <a:t>n</a:t>
          </a:r>
          <a:r>
            <a:rPr lang="en-US" dirty="0">
              <a:solidFill>
                <a:sysClr val="windowText" lastClr="000000"/>
              </a:solidFill>
            </a:rPr>
            <a:t> = 2690), Cochrane Central  (</a:t>
          </a:r>
          <a:r>
            <a:rPr lang="en-US" i="1" dirty="0">
              <a:solidFill>
                <a:sysClr val="windowText" lastClr="000000"/>
              </a:solidFill>
            </a:rPr>
            <a:t>n</a:t>
          </a:r>
          <a:r>
            <a:rPr lang="en-US" dirty="0">
              <a:solidFill>
                <a:sysClr val="windowText" lastClr="000000"/>
              </a:solidFill>
            </a:rPr>
            <a:t> = 1). Total 2701 articles.</a:t>
          </a:r>
        </a:p>
      </dgm:t>
    </dgm:pt>
    <dgm:pt modelId="{5C7389EF-F9B8-4ED0-BABF-6C49332C03A8}" type="parTrans" cxnId="{C430657C-5A38-4325-8427-3EB169632395}">
      <dgm:prSet/>
      <dgm:spPr/>
      <dgm:t>
        <a:bodyPr/>
        <a:lstStyle/>
        <a:p>
          <a:endParaRPr lang="en-US"/>
        </a:p>
      </dgm:t>
    </dgm:pt>
    <dgm:pt modelId="{1CDD0270-A472-46C4-8893-0BB7E3A9D922}" type="sibTrans" cxnId="{C430657C-5A38-4325-8427-3EB169632395}">
      <dgm:prSet/>
      <dgm:spPr>
        <a:ln>
          <a:solidFill>
            <a:schemeClr val="tx1">
              <a:alpha val="90000"/>
            </a:schemeClr>
          </a:solidFill>
        </a:ln>
      </dgm:spPr>
      <dgm:t>
        <a:bodyPr/>
        <a:lstStyle/>
        <a:p>
          <a:pPr algn="ctr"/>
          <a:endParaRPr lang="en-US"/>
        </a:p>
      </dgm:t>
    </dgm:pt>
    <dgm:pt modelId="{5CB1DD0C-3AEF-46AA-929A-3CC3AE8621CD}">
      <dgm:prSet phldrT="[Text]"/>
      <dgm:spPr>
        <a:noFill/>
        <a:ln>
          <a:solidFill>
            <a:schemeClr val="tx1"/>
          </a:solidFill>
        </a:ln>
      </dgm:spPr>
      <dgm:t>
        <a:bodyPr/>
        <a:lstStyle/>
        <a:p>
          <a:pPr algn="ctr"/>
          <a:r>
            <a:rPr lang="en-US">
              <a:solidFill>
                <a:sysClr val="windowText" lastClr="000000"/>
              </a:solidFill>
            </a:rPr>
            <a:t>Title review of all articles. </a:t>
          </a:r>
        </a:p>
        <a:p>
          <a:pPr algn="ctr"/>
          <a:r>
            <a:rPr lang="en-US">
              <a:solidFill>
                <a:sysClr val="windowText" lastClr="000000"/>
              </a:solidFill>
            </a:rPr>
            <a:t>Abstract review of relevant articles.</a:t>
          </a:r>
        </a:p>
      </dgm:t>
    </dgm:pt>
    <dgm:pt modelId="{A1136BA0-F4A2-4B1F-AEB0-B5EEEF7BA601}" type="parTrans" cxnId="{3C6AE857-6861-4DE3-AAB0-95BC877A5E04}">
      <dgm:prSet/>
      <dgm:spPr/>
      <dgm:t>
        <a:bodyPr/>
        <a:lstStyle/>
        <a:p>
          <a:endParaRPr lang="en-US"/>
        </a:p>
      </dgm:t>
    </dgm:pt>
    <dgm:pt modelId="{0030FD5A-1921-4785-8EE6-3C86EECD7670}" type="sibTrans" cxnId="{3C6AE857-6861-4DE3-AAB0-95BC877A5E04}">
      <dgm:prSet/>
      <dgm:spPr>
        <a:ln>
          <a:solidFill>
            <a:schemeClr val="tx1">
              <a:alpha val="90000"/>
            </a:schemeClr>
          </a:solidFill>
        </a:ln>
      </dgm:spPr>
      <dgm:t>
        <a:bodyPr/>
        <a:lstStyle/>
        <a:p>
          <a:pPr algn="ctr"/>
          <a:endParaRPr lang="en-US"/>
        </a:p>
      </dgm:t>
    </dgm:pt>
    <dgm:pt modelId="{99E92A54-1ED6-4AA2-9A8B-826B1BE2212A}">
      <dgm:prSet phldrT="[Text]"/>
      <dgm:spPr>
        <a:noFill/>
        <a:ln>
          <a:solidFill>
            <a:schemeClr val="tx1"/>
          </a:solidFill>
        </a:ln>
      </dgm:spPr>
      <dgm:t>
        <a:bodyPr/>
        <a:lstStyle/>
        <a:p>
          <a:pPr algn="ctr"/>
          <a:r>
            <a:rPr lang="en-US" dirty="0">
              <a:solidFill>
                <a:sysClr val="windowText" lastClr="000000"/>
              </a:solidFill>
            </a:rPr>
            <a:t>2690 articles were excluded, as they did not report on topic of interest. </a:t>
          </a:r>
        </a:p>
        <a:p>
          <a:pPr algn="ctr"/>
          <a:r>
            <a:rPr lang="en-US" dirty="0">
              <a:solidFill>
                <a:sysClr val="windowText" lastClr="000000"/>
              </a:solidFill>
            </a:rPr>
            <a:t>1 study was still in process.</a:t>
          </a:r>
        </a:p>
        <a:p>
          <a:pPr algn="ctr"/>
          <a:r>
            <a:rPr lang="en-US" dirty="0">
              <a:solidFill>
                <a:sysClr val="windowText" lastClr="000000"/>
              </a:solidFill>
            </a:rPr>
            <a:t>10 full-length articles were reviewed for relevance. </a:t>
          </a:r>
        </a:p>
      </dgm:t>
    </dgm:pt>
    <dgm:pt modelId="{082CE765-E583-4321-90CF-8D502B24EB3F}" type="parTrans" cxnId="{AFEFA98E-F319-44F7-9086-1CEBE5DB16EF}">
      <dgm:prSet/>
      <dgm:spPr/>
      <dgm:t>
        <a:bodyPr/>
        <a:lstStyle/>
        <a:p>
          <a:endParaRPr lang="en-US"/>
        </a:p>
      </dgm:t>
    </dgm:pt>
    <dgm:pt modelId="{8BF4CF4A-6548-4BD1-A350-E698A8E6796C}" type="sibTrans" cxnId="{AFEFA98E-F319-44F7-9086-1CEBE5DB16EF}">
      <dgm:prSet/>
      <dgm:spPr>
        <a:ln>
          <a:solidFill>
            <a:schemeClr val="tx1">
              <a:alpha val="90000"/>
            </a:schemeClr>
          </a:solidFill>
        </a:ln>
      </dgm:spPr>
      <dgm:t>
        <a:bodyPr/>
        <a:lstStyle/>
        <a:p>
          <a:pPr algn="ctr"/>
          <a:endParaRPr lang="en-US"/>
        </a:p>
      </dgm:t>
    </dgm:pt>
    <dgm:pt modelId="{92A78D21-E02B-4EB1-87F6-5710C6898EB9}">
      <dgm:prSet/>
      <dgm:spPr>
        <a:noFill/>
        <a:ln>
          <a:solidFill>
            <a:schemeClr val="tx1"/>
          </a:solidFill>
        </a:ln>
      </dgm:spPr>
      <dgm:t>
        <a:bodyPr/>
        <a:lstStyle/>
        <a:p>
          <a:pPr algn="ctr"/>
          <a:r>
            <a:rPr lang="en-US" dirty="0">
              <a:solidFill>
                <a:sysClr val="windowText" lastClr="000000"/>
              </a:solidFill>
            </a:rPr>
            <a:t>Two letters, 1 poster, 1 duplicate article excluded. </a:t>
          </a:r>
        </a:p>
        <a:p>
          <a:pPr algn="ctr"/>
          <a:r>
            <a:rPr lang="en-US" dirty="0">
              <a:solidFill>
                <a:sysClr val="windowText" lastClr="000000"/>
              </a:solidFill>
            </a:rPr>
            <a:t>One article did not report outcomes in the format of interest. </a:t>
          </a:r>
        </a:p>
        <a:p>
          <a:pPr algn="ctr"/>
          <a:r>
            <a:rPr lang="en-US" dirty="0">
              <a:solidFill>
                <a:sysClr val="windowText" lastClr="000000"/>
              </a:solidFill>
            </a:rPr>
            <a:t>Total 5 articles excluded. </a:t>
          </a:r>
        </a:p>
      </dgm:t>
    </dgm:pt>
    <dgm:pt modelId="{A2545F3F-902D-4F1C-8183-3FE96E1322A0}" type="parTrans" cxnId="{6D42A895-2B21-4EAD-B42A-7E857D45F9BC}">
      <dgm:prSet/>
      <dgm:spPr/>
      <dgm:t>
        <a:bodyPr/>
        <a:lstStyle/>
        <a:p>
          <a:endParaRPr lang="en-US"/>
        </a:p>
      </dgm:t>
    </dgm:pt>
    <dgm:pt modelId="{9FBA5B9E-1C88-4E94-A63B-74E2C812159C}" type="sibTrans" cxnId="{6D42A895-2B21-4EAD-B42A-7E857D45F9BC}">
      <dgm:prSet/>
      <dgm:spPr>
        <a:ln>
          <a:solidFill>
            <a:schemeClr val="tx1">
              <a:alpha val="90000"/>
            </a:schemeClr>
          </a:solidFill>
        </a:ln>
      </dgm:spPr>
      <dgm:t>
        <a:bodyPr/>
        <a:lstStyle/>
        <a:p>
          <a:pPr algn="ctr"/>
          <a:endParaRPr lang="en-US"/>
        </a:p>
      </dgm:t>
    </dgm:pt>
    <dgm:pt modelId="{C4239DB7-2A51-41AC-B335-AD99FE0C3ECA}">
      <dgm:prSet/>
      <dgm:spPr>
        <a:noFill/>
        <a:ln>
          <a:solidFill>
            <a:schemeClr val="tx1"/>
          </a:solidFill>
        </a:ln>
      </dgm:spPr>
      <dgm:t>
        <a:bodyPr/>
        <a:lstStyle/>
        <a:p>
          <a:pPr algn="ctr"/>
          <a:r>
            <a:rPr lang="en-US" dirty="0">
              <a:solidFill>
                <a:sysClr val="windowText" lastClr="000000"/>
              </a:solidFill>
            </a:rPr>
            <a:t>Five articles were included in the meta-analysis.</a:t>
          </a:r>
        </a:p>
      </dgm:t>
    </dgm:pt>
    <dgm:pt modelId="{06EA5022-2C5D-4788-A5D3-87F1FD43912A}" type="parTrans" cxnId="{C0428160-08BD-44BA-A341-58115FDA94B2}">
      <dgm:prSet/>
      <dgm:spPr/>
      <dgm:t>
        <a:bodyPr/>
        <a:lstStyle/>
        <a:p>
          <a:endParaRPr lang="en-US"/>
        </a:p>
      </dgm:t>
    </dgm:pt>
    <dgm:pt modelId="{49645A89-69A7-44D2-9F1E-25AE67D0E174}" type="sibTrans" cxnId="{C0428160-08BD-44BA-A341-58115FDA94B2}">
      <dgm:prSet/>
      <dgm:spPr/>
      <dgm:t>
        <a:bodyPr/>
        <a:lstStyle/>
        <a:p>
          <a:endParaRPr lang="en-US"/>
        </a:p>
      </dgm:t>
    </dgm:pt>
    <dgm:pt modelId="{ADB07B2F-67C7-433E-8F4C-217896ACC7A6}">
      <dgm:prSet/>
      <dgm:spPr>
        <a:noFill/>
        <a:ln>
          <a:solidFill>
            <a:schemeClr val="tx1"/>
          </a:solidFill>
        </a:ln>
      </dgm:spPr>
      <dgm:t>
        <a:bodyPr/>
        <a:lstStyle/>
        <a:p>
          <a:endParaRPr lang="en-US"/>
        </a:p>
      </dgm:t>
    </dgm:pt>
    <dgm:pt modelId="{7CB46BF7-B646-4F1A-88CA-C5B71F4A5638}" type="parTrans" cxnId="{C03B3A39-84C0-444F-9F8D-65EB1A59DD1A}">
      <dgm:prSet/>
      <dgm:spPr/>
      <dgm:t>
        <a:bodyPr/>
        <a:lstStyle/>
        <a:p>
          <a:endParaRPr lang="en-US"/>
        </a:p>
      </dgm:t>
    </dgm:pt>
    <dgm:pt modelId="{0E0CA720-7159-42F1-802B-DB4AF2CECA6A}" type="sibTrans" cxnId="{C03B3A39-84C0-444F-9F8D-65EB1A59DD1A}">
      <dgm:prSet/>
      <dgm:spPr/>
      <dgm:t>
        <a:bodyPr/>
        <a:lstStyle/>
        <a:p>
          <a:endParaRPr lang="en-US"/>
        </a:p>
      </dgm:t>
    </dgm:pt>
    <dgm:pt modelId="{3E95F486-09E9-43E5-BA6F-F3B92436CC99}" type="pres">
      <dgm:prSet presAssocID="{01E9F690-F75D-435B-9E27-39EA485FC1D9}" presName="outerComposite" presStyleCnt="0">
        <dgm:presLayoutVars>
          <dgm:chMax val="5"/>
          <dgm:dir/>
          <dgm:resizeHandles val="exact"/>
        </dgm:presLayoutVars>
      </dgm:prSet>
      <dgm:spPr/>
      <dgm:t>
        <a:bodyPr/>
        <a:lstStyle/>
        <a:p>
          <a:endParaRPr lang="zh-CN" altLang="en-US"/>
        </a:p>
      </dgm:t>
    </dgm:pt>
    <dgm:pt modelId="{4FD6C63F-F975-4E6F-B25C-2A72C765B33C}" type="pres">
      <dgm:prSet presAssocID="{01E9F690-F75D-435B-9E27-39EA485FC1D9}" presName="dummyMaxCanvas" presStyleCnt="0">
        <dgm:presLayoutVars/>
      </dgm:prSet>
      <dgm:spPr/>
    </dgm:pt>
    <dgm:pt modelId="{C22EBC90-890B-4617-B4B7-2F5056E15AC6}" type="pres">
      <dgm:prSet presAssocID="{01E9F690-F75D-435B-9E27-39EA485FC1D9}" presName="FiveNodes_1" presStyleLbl="node1" presStyleIdx="0" presStyleCnt="5">
        <dgm:presLayoutVars>
          <dgm:bulletEnabled val="1"/>
        </dgm:presLayoutVars>
      </dgm:prSet>
      <dgm:spPr/>
      <dgm:t>
        <a:bodyPr/>
        <a:lstStyle/>
        <a:p>
          <a:endParaRPr lang="zh-CN" altLang="en-US"/>
        </a:p>
      </dgm:t>
    </dgm:pt>
    <dgm:pt modelId="{06970B6B-FB0F-4818-9AB6-37F11C1435F7}" type="pres">
      <dgm:prSet presAssocID="{01E9F690-F75D-435B-9E27-39EA485FC1D9}" presName="FiveNodes_2" presStyleLbl="node1" presStyleIdx="1" presStyleCnt="5">
        <dgm:presLayoutVars>
          <dgm:bulletEnabled val="1"/>
        </dgm:presLayoutVars>
      </dgm:prSet>
      <dgm:spPr/>
      <dgm:t>
        <a:bodyPr/>
        <a:lstStyle/>
        <a:p>
          <a:endParaRPr lang="zh-CN" altLang="en-US"/>
        </a:p>
      </dgm:t>
    </dgm:pt>
    <dgm:pt modelId="{EE048AEB-D175-4DBF-98CA-EA8AAF5C6EF3}" type="pres">
      <dgm:prSet presAssocID="{01E9F690-F75D-435B-9E27-39EA485FC1D9}" presName="FiveNodes_3" presStyleLbl="node1" presStyleIdx="2" presStyleCnt="5">
        <dgm:presLayoutVars>
          <dgm:bulletEnabled val="1"/>
        </dgm:presLayoutVars>
      </dgm:prSet>
      <dgm:spPr/>
      <dgm:t>
        <a:bodyPr/>
        <a:lstStyle/>
        <a:p>
          <a:endParaRPr lang="zh-CN" altLang="en-US"/>
        </a:p>
      </dgm:t>
    </dgm:pt>
    <dgm:pt modelId="{360F1ED7-8FE0-4496-AF8C-A9FC9E409A2F}" type="pres">
      <dgm:prSet presAssocID="{01E9F690-F75D-435B-9E27-39EA485FC1D9}" presName="FiveNodes_4" presStyleLbl="node1" presStyleIdx="3" presStyleCnt="5">
        <dgm:presLayoutVars>
          <dgm:bulletEnabled val="1"/>
        </dgm:presLayoutVars>
      </dgm:prSet>
      <dgm:spPr/>
      <dgm:t>
        <a:bodyPr/>
        <a:lstStyle/>
        <a:p>
          <a:endParaRPr lang="zh-CN" altLang="en-US"/>
        </a:p>
      </dgm:t>
    </dgm:pt>
    <dgm:pt modelId="{415EC69C-C299-474F-9877-A06C9EE5BBC1}" type="pres">
      <dgm:prSet presAssocID="{01E9F690-F75D-435B-9E27-39EA485FC1D9}" presName="FiveNodes_5" presStyleLbl="node1" presStyleIdx="4" presStyleCnt="5">
        <dgm:presLayoutVars>
          <dgm:bulletEnabled val="1"/>
        </dgm:presLayoutVars>
      </dgm:prSet>
      <dgm:spPr/>
      <dgm:t>
        <a:bodyPr/>
        <a:lstStyle/>
        <a:p>
          <a:endParaRPr lang="zh-CN" altLang="en-US"/>
        </a:p>
      </dgm:t>
    </dgm:pt>
    <dgm:pt modelId="{607537A3-B83F-46B2-9301-70BF3B620300}" type="pres">
      <dgm:prSet presAssocID="{01E9F690-F75D-435B-9E27-39EA485FC1D9}" presName="FiveConn_1-2" presStyleLbl="fgAccFollowNode1" presStyleIdx="0" presStyleCnt="4">
        <dgm:presLayoutVars>
          <dgm:bulletEnabled val="1"/>
        </dgm:presLayoutVars>
      </dgm:prSet>
      <dgm:spPr/>
      <dgm:t>
        <a:bodyPr/>
        <a:lstStyle/>
        <a:p>
          <a:endParaRPr lang="zh-CN" altLang="en-US"/>
        </a:p>
      </dgm:t>
    </dgm:pt>
    <dgm:pt modelId="{AE6B6879-6F4F-44F0-BBED-CE7F1C3AB6AE}" type="pres">
      <dgm:prSet presAssocID="{01E9F690-F75D-435B-9E27-39EA485FC1D9}" presName="FiveConn_2-3" presStyleLbl="fgAccFollowNode1" presStyleIdx="1" presStyleCnt="4">
        <dgm:presLayoutVars>
          <dgm:bulletEnabled val="1"/>
        </dgm:presLayoutVars>
      </dgm:prSet>
      <dgm:spPr/>
      <dgm:t>
        <a:bodyPr/>
        <a:lstStyle/>
        <a:p>
          <a:endParaRPr lang="zh-CN" altLang="en-US"/>
        </a:p>
      </dgm:t>
    </dgm:pt>
    <dgm:pt modelId="{B80C03BD-AAD0-4DFD-9DB2-8146429185F7}" type="pres">
      <dgm:prSet presAssocID="{01E9F690-F75D-435B-9E27-39EA485FC1D9}" presName="FiveConn_3-4" presStyleLbl="fgAccFollowNode1" presStyleIdx="2" presStyleCnt="4">
        <dgm:presLayoutVars>
          <dgm:bulletEnabled val="1"/>
        </dgm:presLayoutVars>
      </dgm:prSet>
      <dgm:spPr/>
      <dgm:t>
        <a:bodyPr/>
        <a:lstStyle/>
        <a:p>
          <a:endParaRPr lang="zh-CN" altLang="en-US"/>
        </a:p>
      </dgm:t>
    </dgm:pt>
    <dgm:pt modelId="{6AECF4D1-1DC7-4E5B-905F-9CBC15C9CC40}" type="pres">
      <dgm:prSet presAssocID="{01E9F690-F75D-435B-9E27-39EA485FC1D9}" presName="FiveConn_4-5" presStyleLbl="fgAccFollowNode1" presStyleIdx="3" presStyleCnt="4">
        <dgm:presLayoutVars>
          <dgm:bulletEnabled val="1"/>
        </dgm:presLayoutVars>
      </dgm:prSet>
      <dgm:spPr/>
      <dgm:t>
        <a:bodyPr/>
        <a:lstStyle/>
        <a:p>
          <a:endParaRPr lang="zh-CN" altLang="en-US"/>
        </a:p>
      </dgm:t>
    </dgm:pt>
    <dgm:pt modelId="{5BEFFC8E-BBEE-4AE7-B768-76D092521771}" type="pres">
      <dgm:prSet presAssocID="{01E9F690-F75D-435B-9E27-39EA485FC1D9}" presName="FiveNodes_1_text" presStyleLbl="node1" presStyleIdx="4" presStyleCnt="5">
        <dgm:presLayoutVars>
          <dgm:bulletEnabled val="1"/>
        </dgm:presLayoutVars>
      </dgm:prSet>
      <dgm:spPr/>
      <dgm:t>
        <a:bodyPr/>
        <a:lstStyle/>
        <a:p>
          <a:endParaRPr lang="zh-CN" altLang="en-US"/>
        </a:p>
      </dgm:t>
    </dgm:pt>
    <dgm:pt modelId="{A523D7B2-33B9-47D0-9316-3CAAAB5D3661}" type="pres">
      <dgm:prSet presAssocID="{01E9F690-F75D-435B-9E27-39EA485FC1D9}" presName="FiveNodes_2_text" presStyleLbl="node1" presStyleIdx="4" presStyleCnt="5">
        <dgm:presLayoutVars>
          <dgm:bulletEnabled val="1"/>
        </dgm:presLayoutVars>
      </dgm:prSet>
      <dgm:spPr/>
      <dgm:t>
        <a:bodyPr/>
        <a:lstStyle/>
        <a:p>
          <a:endParaRPr lang="zh-CN" altLang="en-US"/>
        </a:p>
      </dgm:t>
    </dgm:pt>
    <dgm:pt modelId="{FE771EE8-935F-4619-BA3F-F184B3E7E1B6}" type="pres">
      <dgm:prSet presAssocID="{01E9F690-F75D-435B-9E27-39EA485FC1D9}" presName="FiveNodes_3_text" presStyleLbl="node1" presStyleIdx="4" presStyleCnt="5">
        <dgm:presLayoutVars>
          <dgm:bulletEnabled val="1"/>
        </dgm:presLayoutVars>
      </dgm:prSet>
      <dgm:spPr/>
      <dgm:t>
        <a:bodyPr/>
        <a:lstStyle/>
        <a:p>
          <a:endParaRPr lang="zh-CN" altLang="en-US"/>
        </a:p>
      </dgm:t>
    </dgm:pt>
    <dgm:pt modelId="{16F825F3-2DFD-45CC-BFF2-528AE0F1F928}" type="pres">
      <dgm:prSet presAssocID="{01E9F690-F75D-435B-9E27-39EA485FC1D9}" presName="FiveNodes_4_text" presStyleLbl="node1" presStyleIdx="4" presStyleCnt="5">
        <dgm:presLayoutVars>
          <dgm:bulletEnabled val="1"/>
        </dgm:presLayoutVars>
      </dgm:prSet>
      <dgm:spPr/>
      <dgm:t>
        <a:bodyPr/>
        <a:lstStyle/>
        <a:p>
          <a:endParaRPr lang="zh-CN" altLang="en-US"/>
        </a:p>
      </dgm:t>
    </dgm:pt>
    <dgm:pt modelId="{8105E469-AC1E-4550-A9DE-7F5F179E6075}" type="pres">
      <dgm:prSet presAssocID="{01E9F690-F75D-435B-9E27-39EA485FC1D9}" presName="FiveNodes_5_text" presStyleLbl="node1" presStyleIdx="4" presStyleCnt="5">
        <dgm:presLayoutVars>
          <dgm:bulletEnabled val="1"/>
        </dgm:presLayoutVars>
      </dgm:prSet>
      <dgm:spPr/>
      <dgm:t>
        <a:bodyPr/>
        <a:lstStyle/>
        <a:p>
          <a:endParaRPr lang="zh-CN" altLang="en-US"/>
        </a:p>
      </dgm:t>
    </dgm:pt>
  </dgm:ptLst>
  <dgm:cxnLst>
    <dgm:cxn modelId="{B5440572-16D9-48CE-9324-278BFED46C2D}" type="presOf" srcId="{99E92A54-1ED6-4AA2-9A8B-826B1BE2212A}" destId="{FE771EE8-935F-4619-BA3F-F184B3E7E1B6}" srcOrd="1" destOrd="0" presId="urn:microsoft.com/office/officeart/2005/8/layout/vProcess5"/>
    <dgm:cxn modelId="{5068695E-4352-4714-9A55-893E8AA58451}" type="presOf" srcId="{9430E949-F2E8-49A2-B8E7-1FF3F03CC376}" destId="{C22EBC90-890B-4617-B4B7-2F5056E15AC6}" srcOrd="0" destOrd="0" presId="urn:microsoft.com/office/officeart/2005/8/layout/vProcess5"/>
    <dgm:cxn modelId="{AFEFA98E-F319-44F7-9086-1CEBE5DB16EF}" srcId="{01E9F690-F75D-435B-9E27-39EA485FC1D9}" destId="{99E92A54-1ED6-4AA2-9A8B-826B1BE2212A}" srcOrd="2" destOrd="0" parTransId="{082CE765-E583-4321-90CF-8D502B24EB3F}" sibTransId="{8BF4CF4A-6548-4BD1-A350-E698A8E6796C}"/>
    <dgm:cxn modelId="{C430657C-5A38-4325-8427-3EB169632395}" srcId="{01E9F690-F75D-435B-9E27-39EA485FC1D9}" destId="{9430E949-F2E8-49A2-B8E7-1FF3F03CC376}" srcOrd="0" destOrd="0" parTransId="{5C7389EF-F9B8-4ED0-BABF-6C49332C03A8}" sibTransId="{1CDD0270-A472-46C4-8893-0BB7E3A9D922}"/>
    <dgm:cxn modelId="{83B4E293-0720-40B0-8B91-ED1B68EFAA17}" type="presOf" srcId="{9430E949-F2E8-49A2-B8E7-1FF3F03CC376}" destId="{5BEFFC8E-BBEE-4AE7-B768-76D092521771}" srcOrd="1" destOrd="0" presId="urn:microsoft.com/office/officeart/2005/8/layout/vProcess5"/>
    <dgm:cxn modelId="{E0FC6C6E-EBE3-4E3F-8533-96E821B0B930}" type="presOf" srcId="{92A78D21-E02B-4EB1-87F6-5710C6898EB9}" destId="{16F825F3-2DFD-45CC-BFF2-528AE0F1F928}" srcOrd="1" destOrd="0" presId="urn:microsoft.com/office/officeart/2005/8/layout/vProcess5"/>
    <dgm:cxn modelId="{7E21E5BB-D847-4B3C-9655-2CB1894DEF34}" type="presOf" srcId="{99E92A54-1ED6-4AA2-9A8B-826B1BE2212A}" destId="{EE048AEB-D175-4DBF-98CA-EA8AAF5C6EF3}" srcOrd="0" destOrd="0" presId="urn:microsoft.com/office/officeart/2005/8/layout/vProcess5"/>
    <dgm:cxn modelId="{BAEE1E33-38FF-459E-A34F-8B0DF55B699B}" type="presOf" srcId="{5CB1DD0C-3AEF-46AA-929A-3CC3AE8621CD}" destId="{A523D7B2-33B9-47D0-9316-3CAAAB5D3661}" srcOrd="1" destOrd="0" presId="urn:microsoft.com/office/officeart/2005/8/layout/vProcess5"/>
    <dgm:cxn modelId="{39BA00F4-ADAA-4619-BBF9-5EAB86AB0AF4}" type="presOf" srcId="{8BF4CF4A-6548-4BD1-A350-E698A8E6796C}" destId="{B80C03BD-AAD0-4DFD-9DB2-8146429185F7}" srcOrd="0" destOrd="0" presId="urn:microsoft.com/office/officeart/2005/8/layout/vProcess5"/>
    <dgm:cxn modelId="{791FE03D-EA73-45B6-9662-6F94C3F93FF8}" type="presOf" srcId="{0030FD5A-1921-4785-8EE6-3C86EECD7670}" destId="{AE6B6879-6F4F-44F0-BBED-CE7F1C3AB6AE}" srcOrd="0" destOrd="0" presId="urn:microsoft.com/office/officeart/2005/8/layout/vProcess5"/>
    <dgm:cxn modelId="{C03B3A39-84C0-444F-9F8D-65EB1A59DD1A}" srcId="{01E9F690-F75D-435B-9E27-39EA485FC1D9}" destId="{ADB07B2F-67C7-433E-8F4C-217896ACC7A6}" srcOrd="5" destOrd="0" parTransId="{7CB46BF7-B646-4F1A-88CA-C5B71F4A5638}" sibTransId="{0E0CA720-7159-42F1-802B-DB4AF2CECA6A}"/>
    <dgm:cxn modelId="{F048BEE2-06BD-47E6-9064-8C72F53B2301}" type="presOf" srcId="{C4239DB7-2A51-41AC-B335-AD99FE0C3ECA}" destId="{415EC69C-C299-474F-9877-A06C9EE5BBC1}" srcOrd="0" destOrd="0" presId="urn:microsoft.com/office/officeart/2005/8/layout/vProcess5"/>
    <dgm:cxn modelId="{6D42A895-2B21-4EAD-B42A-7E857D45F9BC}" srcId="{01E9F690-F75D-435B-9E27-39EA485FC1D9}" destId="{92A78D21-E02B-4EB1-87F6-5710C6898EB9}" srcOrd="3" destOrd="0" parTransId="{A2545F3F-902D-4F1C-8183-3FE96E1322A0}" sibTransId="{9FBA5B9E-1C88-4E94-A63B-74E2C812159C}"/>
    <dgm:cxn modelId="{A658DCEC-456B-42F2-97E0-1FA613CE3E74}" type="presOf" srcId="{92A78D21-E02B-4EB1-87F6-5710C6898EB9}" destId="{360F1ED7-8FE0-4496-AF8C-A9FC9E409A2F}" srcOrd="0" destOrd="0" presId="urn:microsoft.com/office/officeart/2005/8/layout/vProcess5"/>
    <dgm:cxn modelId="{DC38DE1C-9C4E-438A-8ADC-F1A2D78F5B30}" type="presOf" srcId="{01E9F690-F75D-435B-9E27-39EA485FC1D9}" destId="{3E95F486-09E9-43E5-BA6F-F3B92436CC99}" srcOrd="0" destOrd="0" presId="urn:microsoft.com/office/officeart/2005/8/layout/vProcess5"/>
    <dgm:cxn modelId="{74A05333-1102-474F-A347-7DF72FB29B9B}" type="presOf" srcId="{9FBA5B9E-1C88-4E94-A63B-74E2C812159C}" destId="{6AECF4D1-1DC7-4E5B-905F-9CBC15C9CC40}" srcOrd="0" destOrd="0" presId="urn:microsoft.com/office/officeart/2005/8/layout/vProcess5"/>
    <dgm:cxn modelId="{C0428160-08BD-44BA-A341-58115FDA94B2}" srcId="{01E9F690-F75D-435B-9E27-39EA485FC1D9}" destId="{C4239DB7-2A51-41AC-B335-AD99FE0C3ECA}" srcOrd="4" destOrd="0" parTransId="{06EA5022-2C5D-4788-A5D3-87F1FD43912A}" sibTransId="{49645A89-69A7-44D2-9F1E-25AE67D0E174}"/>
    <dgm:cxn modelId="{6649FCF2-BB14-40CE-8FC7-1A239CEAC329}" type="presOf" srcId="{C4239DB7-2A51-41AC-B335-AD99FE0C3ECA}" destId="{8105E469-AC1E-4550-A9DE-7F5F179E6075}" srcOrd="1" destOrd="0" presId="urn:microsoft.com/office/officeart/2005/8/layout/vProcess5"/>
    <dgm:cxn modelId="{0F4032D3-D539-423F-8AB4-DD31056E0D43}" type="presOf" srcId="{5CB1DD0C-3AEF-46AA-929A-3CC3AE8621CD}" destId="{06970B6B-FB0F-4818-9AB6-37F11C1435F7}" srcOrd="0" destOrd="0" presId="urn:microsoft.com/office/officeart/2005/8/layout/vProcess5"/>
    <dgm:cxn modelId="{F1E44CD3-7EC5-446F-B050-BFC5AC33D528}" type="presOf" srcId="{1CDD0270-A472-46C4-8893-0BB7E3A9D922}" destId="{607537A3-B83F-46B2-9301-70BF3B620300}" srcOrd="0" destOrd="0" presId="urn:microsoft.com/office/officeart/2005/8/layout/vProcess5"/>
    <dgm:cxn modelId="{3C6AE857-6861-4DE3-AAB0-95BC877A5E04}" srcId="{01E9F690-F75D-435B-9E27-39EA485FC1D9}" destId="{5CB1DD0C-3AEF-46AA-929A-3CC3AE8621CD}" srcOrd="1" destOrd="0" parTransId="{A1136BA0-F4A2-4B1F-AEB0-B5EEEF7BA601}" sibTransId="{0030FD5A-1921-4785-8EE6-3C86EECD7670}"/>
    <dgm:cxn modelId="{5FE13924-B0A6-4CDB-A8F8-C330356ADE02}" type="presParOf" srcId="{3E95F486-09E9-43E5-BA6F-F3B92436CC99}" destId="{4FD6C63F-F975-4E6F-B25C-2A72C765B33C}" srcOrd="0" destOrd="0" presId="urn:microsoft.com/office/officeart/2005/8/layout/vProcess5"/>
    <dgm:cxn modelId="{181B0B24-88A2-4D84-8577-4BE2CD542D8F}" type="presParOf" srcId="{3E95F486-09E9-43E5-BA6F-F3B92436CC99}" destId="{C22EBC90-890B-4617-B4B7-2F5056E15AC6}" srcOrd="1" destOrd="0" presId="urn:microsoft.com/office/officeart/2005/8/layout/vProcess5"/>
    <dgm:cxn modelId="{9D3F8E2D-07E1-40C3-9E57-3A98524BDBD4}" type="presParOf" srcId="{3E95F486-09E9-43E5-BA6F-F3B92436CC99}" destId="{06970B6B-FB0F-4818-9AB6-37F11C1435F7}" srcOrd="2" destOrd="0" presId="urn:microsoft.com/office/officeart/2005/8/layout/vProcess5"/>
    <dgm:cxn modelId="{E2803384-2557-4EF5-A2EC-498AE17C337F}" type="presParOf" srcId="{3E95F486-09E9-43E5-BA6F-F3B92436CC99}" destId="{EE048AEB-D175-4DBF-98CA-EA8AAF5C6EF3}" srcOrd="3" destOrd="0" presId="urn:microsoft.com/office/officeart/2005/8/layout/vProcess5"/>
    <dgm:cxn modelId="{5BE2DE39-0B75-41B8-A9F6-D58B8DBB27B5}" type="presParOf" srcId="{3E95F486-09E9-43E5-BA6F-F3B92436CC99}" destId="{360F1ED7-8FE0-4496-AF8C-A9FC9E409A2F}" srcOrd="4" destOrd="0" presId="urn:microsoft.com/office/officeart/2005/8/layout/vProcess5"/>
    <dgm:cxn modelId="{E2D1DCC7-C72F-46D2-964B-E47065A1DB55}" type="presParOf" srcId="{3E95F486-09E9-43E5-BA6F-F3B92436CC99}" destId="{415EC69C-C299-474F-9877-A06C9EE5BBC1}" srcOrd="5" destOrd="0" presId="urn:microsoft.com/office/officeart/2005/8/layout/vProcess5"/>
    <dgm:cxn modelId="{D99F20A5-05F1-445D-B8CE-70E49BD63CE3}" type="presParOf" srcId="{3E95F486-09E9-43E5-BA6F-F3B92436CC99}" destId="{607537A3-B83F-46B2-9301-70BF3B620300}" srcOrd="6" destOrd="0" presId="urn:microsoft.com/office/officeart/2005/8/layout/vProcess5"/>
    <dgm:cxn modelId="{F2BDBE37-B097-4996-B2D7-91A6F8104AFD}" type="presParOf" srcId="{3E95F486-09E9-43E5-BA6F-F3B92436CC99}" destId="{AE6B6879-6F4F-44F0-BBED-CE7F1C3AB6AE}" srcOrd="7" destOrd="0" presId="urn:microsoft.com/office/officeart/2005/8/layout/vProcess5"/>
    <dgm:cxn modelId="{23FF53D4-699F-49E4-8C6E-D204C5F344B1}" type="presParOf" srcId="{3E95F486-09E9-43E5-BA6F-F3B92436CC99}" destId="{B80C03BD-AAD0-4DFD-9DB2-8146429185F7}" srcOrd="8" destOrd="0" presId="urn:microsoft.com/office/officeart/2005/8/layout/vProcess5"/>
    <dgm:cxn modelId="{9FD2102A-D010-4B1F-83CA-6B89E19791CE}" type="presParOf" srcId="{3E95F486-09E9-43E5-BA6F-F3B92436CC99}" destId="{6AECF4D1-1DC7-4E5B-905F-9CBC15C9CC40}" srcOrd="9" destOrd="0" presId="urn:microsoft.com/office/officeart/2005/8/layout/vProcess5"/>
    <dgm:cxn modelId="{435CDBC7-6ADD-463D-9E39-280918215BD0}" type="presParOf" srcId="{3E95F486-09E9-43E5-BA6F-F3B92436CC99}" destId="{5BEFFC8E-BBEE-4AE7-B768-76D092521771}" srcOrd="10" destOrd="0" presId="urn:microsoft.com/office/officeart/2005/8/layout/vProcess5"/>
    <dgm:cxn modelId="{4E6ECE8F-DA8A-4684-802A-1E029B7CA52D}" type="presParOf" srcId="{3E95F486-09E9-43E5-BA6F-F3B92436CC99}" destId="{A523D7B2-33B9-47D0-9316-3CAAAB5D3661}" srcOrd="11" destOrd="0" presId="urn:microsoft.com/office/officeart/2005/8/layout/vProcess5"/>
    <dgm:cxn modelId="{AF1042ED-1EB1-489B-8361-78EA88C03222}" type="presParOf" srcId="{3E95F486-09E9-43E5-BA6F-F3B92436CC99}" destId="{FE771EE8-935F-4619-BA3F-F184B3E7E1B6}" srcOrd="12" destOrd="0" presId="urn:microsoft.com/office/officeart/2005/8/layout/vProcess5"/>
    <dgm:cxn modelId="{99F07160-9125-430F-976E-C29A4216ED2B}" type="presParOf" srcId="{3E95F486-09E9-43E5-BA6F-F3B92436CC99}" destId="{16F825F3-2DFD-45CC-BFF2-528AE0F1F928}" srcOrd="13" destOrd="0" presId="urn:microsoft.com/office/officeart/2005/8/layout/vProcess5"/>
    <dgm:cxn modelId="{1BCAB2E8-4558-4E0A-8A44-AC44971D1493}" type="presParOf" srcId="{3E95F486-09E9-43E5-BA6F-F3B92436CC99}" destId="{8105E469-AC1E-4550-A9DE-7F5F179E6075}" srcOrd="14" destOrd="0" presId="urn:microsoft.com/office/officeart/2005/8/layout/v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EBC90-890B-4617-B4B7-2F5056E15AC6}">
      <dsp:nvSpPr>
        <dsp:cNvPr id="0" name=""/>
        <dsp:cNvSpPr/>
      </dsp:nvSpPr>
      <dsp:spPr>
        <a:xfrm>
          <a:off x="0" y="0"/>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dirty="0">
              <a:solidFill>
                <a:sysClr val="windowText" lastClr="000000"/>
              </a:solidFill>
            </a:rPr>
            <a:t>Search results of potentially relevant articles on PubMed (</a:t>
          </a:r>
          <a:r>
            <a:rPr lang="en-US" sz="700" i="1" kern="1200" dirty="0">
              <a:solidFill>
                <a:sysClr val="windowText" lastClr="000000"/>
              </a:solidFill>
            </a:rPr>
            <a:t>n</a:t>
          </a:r>
          <a:r>
            <a:rPr lang="en-US" sz="700" kern="1200" dirty="0">
              <a:solidFill>
                <a:sysClr val="windowText" lastClr="000000"/>
              </a:solidFill>
            </a:rPr>
            <a:t> = 5), EMBASE (</a:t>
          </a:r>
          <a:r>
            <a:rPr lang="en-US" sz="700" i="1" kern="1200" dirty="0">
              <a:solidFill>
                <a:sysClr val="windowText" lastClr="000000"/>
              </a:solidFill>
            </a:rPr>
            <a:t>n</a:t>
          </a:r>
          <a:r>
            <a:rPr lang="en-US" sz="700" kern="1200" dirty="0">
              <a:solidFill>
                <a:sysClr val="windowText" lastClr="000000"/>
              </a:solidFill>
            </a:rPr>
            <a:t> = 5), Google Scholar (</a:t>
          </a:r>
          <a:r>
            <a:rPr lang="en-US" sz="700" i="1" kern="1200" dirty="0">
              <a:solidFill>
                <a:sysClr val="windowText" lastClr="000000"/>
              </a:solidFill>
            </a:rPr>
            <a:t>n</a:t>
          </a:r>
          <a:r>
            <a:rPr lang="en-US" sz="700" kern="1200" dirty="0">
              <a:solidFill>
                <a:sysClr val="windowText" lastClr="000000"/>
              </a:solidFill>
            </a:rPr>
            <a:t> = 2690), Cochrane Central  (</a:t>
          </a:r>
          <a:r>
            <a:rPr lang="en-US" sz="700" i="1" kern="1200" dirty="0">
              <a:solidFill>
                <a:sysClr val="windowText" lastClr="000000"/>
              </a:solidFill>
            </a:rPr>
            <a:t>n</a:t>
          </a:r>
          <a:r>
            <a:rPr lang="en-US" sz="700" kern="1200" dirty="0">
              <a:solidFill>
                <a:sysClr val="windowText" lastClr="000000"/>
              </a:solidFill>
            </a:rPr>
            <a:t> = 1). Total 2701 articles.</a:t>
          </a:r>
        </a:p>
      </dsp:txBody>
      <dsp:txXfrm>
        <a:off x="16873" y="16873"/>
        <a:ext cx="2831412" cy="542326"/>
      </dsp:txXfrm>
    </dsp:sp>
    <dsp:sp modelId="{06970B6B-FB0F-4818-9AB6-37F11C1435F7}">
      <dsp:nvSpPr>
        <dsp:cNvPr id="0" name=""/>
        <dsp:cNvSpPr/>
      </dsp:nvSpPr>
      <dsp:spPr>
        <a:xfrm>
          <a:off x="262890" y="656082"/>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Title review of all articles. </a:t>
          </a:r>
        </a:p>
        <a:p>
          <a:pPr lvl="0" algn="ctr" defTabSz="311150">
            <a:lnSpc>
              <a:spcPct val="90000"/>
            </a:lnSpc>
            <a:spcBef>
              <a:spcPct val="0"/>
            </a:spcBef>
            <a:spcAft>
              <a:spcPct val="35000"/>
            </a:spcAft>
          </a:pPr>
          <a:r>
            <a:rPr lang="en-US" sz="700" kern="1200">
              <a:solidFill>
                <a:sysClr val="windowText" lastClr="000000"/>
              </a:solidFill>
            </a:rPr>
            <a:t>Abstract review of relevant articles.</a:t>
          </a:r>
        </a:p>
      </dsp:txBody>
      <dsp:txXfrm>
        <a:off x="279763" y="672955"/>
        <a:ext cx="2849357" cy="542326"/>
      </dsp:txXfrm>
    </dsp:sp>
    <dsp:sp modelId="{EE048AEB-D175-4DBF-98CA-EA8AAF5C6EF3}">
      <dsp:nvSpPr>
        <dsp:cNvPr id="0" name=""/>
        <dsp:cNvSpPr/>
      </dsp:nvSpPr>
      <dsp:spPr>
        <a:xfrm>
          <a:off x="525779" y="1312164"/>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dirty="0">
              <a:solidFill>
                <a:sysClr val="windowText" lastClr="000000"/>
              </a:solidFill>
            </a:rPr>
            <a:t>2690 articles were excluded, as they did not report on topic of interest. </a:t>
          </a:r>
        </a:p>
        <a:p>
          <a:pPr lvl="0" algn="ctr" defTabSz="311150">
            <a:lnSpc>
              <a:spcPct val="90000"/>
            </a:lnSpc>
            <a:spcBef>
              <a:spcPct val="0"/>
            </a:spcBef>
            <a:spcAft>
              <a:spcPct val="35000"/>
            </a:spcAft>
          </a:pPr>
          <a:r>
            <a:rPr lang="en-US" sz="700" kern="1200" dirty="0">
              <a:solidFill>
                <a:sysClr val="windowText" lastClr="000000"/>
              </a:solidFill>
            </a:rPr>
            <a:t>1 study was still in process.</a:t>
          </a:r>
        </a:p>
        <a:p>
          <a:pPr lvl="0" algn="ctr" defTabSz="311150">
            <a:lnSpc>
              <a:spcPct val="90000"/>
            </a:lnSpc>
            <a:spcBef>
              <a:spcPct val="0"/>
            </a:spcBef>
            <a:spcAft>
              <a:spcPct val="35000"/>
            </a:spcAft>
          </a:pPr>
          <a:r>
            <a:rPr lang="en-US" sz="700" kern="1200" dirty="0">
              <a:solidFill>
                <a:sysClr val="windowText" lastClr="000000"/>
              </a:solidFill>
            </a:rPr>
            <a:t>10 full-length articles were reviewed for relevance. </a:t>
          </a:r>
        </a:p>
      </dsp:txBody>
      <dsp:txXfrm>
        <a:off x="542652" y="1329037"/>
        <a:ext cx="2849357" cy="542326"/>
      </dsp:txXfrm>
    </dsp:sp>
    <dsp:sp modelId="{360F1ED7-8FE0-4496-AF8C-A9FC9E409A2F}">
      <dsp:nvSpPr>
        <dsp:cNvPr id="0" name=""/>
        <dsp:cNvSpPr/>
      </dsp:nvSpPr>
      <dsp:spPr>
        <a:xfrm>
          <a:off x="788669" y="1968246"/>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dirty="0">
              <a:solidFill>
                <a:sysClr val="windowText" lastClr="000000"/>
              </a:solidFill>
            </a:rPr>
            <a:t>Two letters, 1 poster, 1 duplicate article excluded. </a:t>
          </a:r>
        </a:p>
        <a:p>
          <a:pPr lvl="0" algn="ctr" defTabSz="311150">
            <a:lnSpc>
              <a:spcPct val="90000"/>
            </a:lnSpc>
            <a:spcBef>
              <a:spcPct val="0"/>
            </a:spcBef>
            <a:spcAft>
              <a:spcPct val="35000"/>
            </a:spcAft>
          </a:pPr>
          <a:r>
            <a:rPr lang="en-US" sz="700" kern="1200" dirty="0">
              <a:solidFill>
                <a:sysClr val="windowText" lastClr="000000"/>
              </a:solidFill>
            </a:rPr>
            <a:t>One article did not report outcomes in the format of interest. </a:t>
          </a:r>
        </a:p>
        <a:p>
          <a:pPr lvl="0" algn="ctr" defTabSz="311150">
            <a:lnSpc>
              <a:spcPct val="90000"/>
            </a:lnSpc>
            <a:spcBef>
              <a:spcPct val="0"/>
            </a:spcBef>
            <a:spcAft>
              <a:spcPct val="35000"/>
            </a:spcAft>
          </a:pPr>
          <a:r>
            <a:rPr lang="en-US" sz="700" kern="1200" dirty="0">
              <a:solidFill>
                <a:sysClr val="windowText" lastClr="000000"/>
              </a:solidFill>
            </a:rPr>
            <a:t>Total 5 articles excluded. </a:t>
          </a:r>
        </a:p>
      </dsp:txBody>
      <dsp:txXfrm>
        <a:off x="805542" y="1985119"/>
        <a:ext cx="2849357" cy="542326"/>
      </dsp:txXfrm>
    </dsp:sp>
    <dsp:sp modelId="{415EC69C-C299-474F-9877-A06C9EE5BBC1}">
      <dsp:nvSpPr>
        <dsp:cNvPr id="0" name=""/>
        <dsp:cNvSpPr/>
      </dsp:nvSpPr>
      <dsp:spPr>
        <a:xfrm>
          <a:off x="1051559" y="2624328"/>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dirty="0">
              <a:solidFill>
                <a:sysClr val="windowText" lastClr="000000"/>
              </a:solidFill>
            </a:rPr>
            <a:t>Five articles were included in the meta-analysis.</a:t>
          </a:r>
        </a:p>
      </dsp:txBody>
      <dsp:txXfrm>
        <a:off x="1068432" y="2641201"/>
        <a:ext cx="2849357" cy="542326"/>
      </dsp:txXfrm>
    </dsp:sp>
    <dsp:sp modelId="{607537A3-B83F-46B2-9301-70BF3B620300}">
      <dsp:nvSpPr>
        <dsp:cNvPr id="0" name=""/>
        <dsp:cNvSpPr/>
      </dsp:nvSpPr>
      <dsp:spPr>
        <a:xfrm>
          <a:off x="3145993" y="420852"/>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3230243" y="420852"/>
        <a:ext cx="205946" cy="281771"/>
      </dsp:txXfrm>
    </dsp:sp>
    <dsp:sp modelId="{AE6B6879-6F4F-44F0-BBED-CE7F1C3AB6AE}">
      <dsp:nvSpPr>
        <dsp:cNvPr id="0" name=""/>
        <dsp:cNvSpPr/>
      </dsp:nvSpPr>
      <dsp:spPr>
        <a:xfrm>
          <a:off x="3408883" y="1076934"/>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3493133" y="1076934"/>
        <a:ext cx="205946" cy="281771"/>
      </dsp:txXfrm>
    </dsp:sp>
    <dsp:sp modelId="{B80C03BD-AAD0-4DFD-9DB2-8146429185F7}">
      <dsp:nvSpPr>
        <dsp:cNvPr id="0" name=""/>
        <dsp:cNvSpPr/>
      </dsp:nvSpPr>
      <dsp:spPr>
        <a:xfrm>
          <a:off x="3671773" y="1723415"/>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3756023" y="1723415"/>
        <a:ext cx="205946" cy="281771"/>
      </dsp:txXfrm>
    </dsp:sp>
    <dsp:sp modelId="{6AECF4D1-1DC7-4E5B-905F-9CBC15C9CC40}">
      <dsp:nvSpPr>
        <dsp:cNvPr id="0" name=""/>
        <dsp:cNvSpPr/>
      </dsp:nvSpPr>
      <dsp:spPr>
        <a:xfrm>
          <a:off x="3934663" y="2385898"/>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4018913" y="2385898"/>
        <a:ext cx="205946" cy="28177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31</Pages>
  <Words>4924</Words>
  <Characters>28068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12</cp:revision>
  <dcterms:created xsi:type="dcterms:W3CDTF">2020-10-30T20:43:00Z</dcterms:created>
  <dcterms:modified xsi:type="dcterms:W3CDTF">2020-11-25T08:48:00Z</dcterms:modified>
</cp:coreProperties>
</file>