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899" w:rsidRPr="008C3A92" w:rsidRDefault="008A6899" w:rsidP="004E2489">
      <w:pPr>
        <w:pStyle w:val="p0"/>
        <w:adjustRightInd w:val="0"/>
        <w:snapToGrid w:val="0"/>
        <w:spacing w:line="360" w:lineRule="auto"/>
        <w:jc w:val="both"/>
        <w:rPr>
          <w:rFonts w:ascii="Book Antiqua" w:hAnsi="Book Antiqua"/>
          <w:color w:val="000000"/>
        </w:rPr>
      </w:pPr>
      <w:r w:rsidRPr="008C3A92">
        <w:rPr>
          <w:rFonts w:ascii="Book Antiqua" w:hAnsi="Book Antiqua"/>
          <w:b/>
          <w:color w:val="0033CC"/>
          <w:sz w:val="24"/>
        </w:rPr>
        <w:t>Name of journal:</w:t>
      </w:r>
      <w:r w:rsidRPr="008C3A92">
        <w:rPr>
          <w:rFonts w:ascii="Book Antiqua" w:hAnsi="Book Antiqua"/>
          <w:b/>
          <w:color w:val="000000"/>
          <w:sz w:val="24"/>
        </w:rPr>
        <w:t xml:space="preserve"> </w:t>
      </w:r>
      <w:bookmarkStart w:id="0" w:name="OLE_LINK718"/>
      <w:bookmarkStart w:id="1" w:name="OLE_LINK719"/>
      <w:r w:rsidRPr="008C3A92">
        <w:rPr>
          <w:rFonts w:ascii="Book Antiqua" w:hAnsi="Book Antiqua"/>
          <w:i/>
          <w:color w:val="000000"/>
          <w:sz w:val="24"/>
        </w:rPr>
        <w:t>World Journal of Gastroenterology</w:t>
      </w:r>
      <w:bookmarkEnd w:id="0"/>
      <w:bookmarkEnd w:id="1"/>
    </w:p>
    <w:p w:rsidR="008A6899" w:rsidRPr="008C3A92" w:rsidRDefault="008A6899" w:rsidP="004E2489">
      <w:pPr>
        <w:adjustRightInd w:val="0"/>
        <w:snapToGrid w:val="0"/>
        <w:spacing w:after="0" w:line="360" w:lineRule="auto"/>
        <w:jc w:val="both"/>
        <w:rPr>
          <w:rFonts w:ascii="Book Antiqua" w:hAnsi="Book Antiqua" w:cs="宋体"/>
          <w:b/>
          <w:i/>
          <w:color w:val="000000"/>
          <w:sz w:val="24"/>
          <w:lang w:eastAsia="zh-CN"/>
        </w:rPr>
      </w:pPr>
      <w:r w:rsidRPr="008C3A92">
        <w:rPr>
          <w:rFonts w:ascii="Book Antiqua" w:hAnsi="Book Antiqua" w:cs="Arial"/>
          <w:b/>
          <w:color w:val="0033CC"/>
          <w:sz w:val="24"/>
        </w:rPr>
        <w:t>ESPS Manuscript NO:</w:t>
      </w:r>
      <w:r w:rsidRPr="008C3A92">
        <w:rPr>
          <w:rFonts w:ascii="Book Antiqua" w:hAnsi="Book Antiqua" w:cs="Arial"/>
          <w:b/>
          <w:color w:val="222222"/>
          <w:sz w:val="24"/>
        </w:rPr>
        <w:t xml:space="preserve"> </w:t>
      </w:r>
      <w:r w:rsidRPr="008C3A92">
        <w:rPr>
          <w:rFonts w:ascii="Book Antiqua" w:hAnsi="Book Antiqua" w:cs="Arial"/>
          <w:b/>
          <w:color w:val="222222"/>
          <w:sz w:val="24"/>
          <w:lang w:eastAsia="zh-CN"/>
        </w:rPr>
        <w:t>5826</w:t>
      </w:r>
    </w:p>
    <w:p w:rsidR="008A6899" w:rsidRPr="008C3A92" w:rsidRDefault="008A6899" w:rsidP="004E2489">
      <w:pPr>
        <w:suppressAutoHyphens/>
        <w:autoSpaceDE w:val="0"/>
        <w:autoSpaceDN w:val="0"/>
        <w:adjustRightInd w:val="0"/>
        <w:snapToGrid w:val="0"/>
        <w:spacing w:after="0" w:line="360" w:lineRule="auto"/>
        <w:jc w:val="both"/>
        <w:rPr>
          <w:rFonts w:ascii="Book Antiqua" w:hAnsi="Book Antiqua"/>
          <w:b/>
          <w:color w:val="000000"/>
          <w:sz w:val="24"/>
          <w:lang w:eastAsia="zh-CN"/>
        </w:rPr>
      </w:pPr>
      <w:bookmarkStart w:id="2" w:name="OLE_LINK1617"/>
      <w:bookmarkStart w:id="3" w:name="OLE_LINK1618"/>
      <w:bookmarkStart w:id="4" w:name="OLE_LINK1966"/>
      <w:bookmarkStart w:id="5" w:name="OLE_LINK2328"/>
      <w:bookmarkStart w:id="6" w:name="OLE_LINK2329"/>
      <w:bookmarkStart w:id="7" w:name="OLE_LINK2330"/>
      <w:bookmarkStart w:id="8" w:name="OLE_LINK2335"/>
      <w:bookmarkStart w:id="9" w:name="OLE_LINK2357"/>
      <w:bookmarkStart w:id="10" w:name="OLE_LINK2358"/>
      <w:r w:rsidRPr="008C3A92">
        <w:rPr>
          <w:rFonts w:ascii="Book Antiqua" w:hAnsi="Book Antiqua"/>
          <w:b/>
          <w:color w:val="0033CC"/>
          <w:sz w:val="24"/>
        </w:rPr>
        <w:t>Columns:</w:t>
      </w:r>
      <w:r w:rsidRPr="008C3A92">
        <w:rPr>
          <w:rFonts w:ascii="Book Antiqua" w:hAnsi="Book Antiqua"/>
          <w:b/>
          <w:color w:val="000000"/>
          <w:sz w:val="24"/>
        </w:rPr>
        <w:t xml:space="preserve"> </w:t>
      </w:r>
      <w:r w:rsidRPr="008C3A92">
        <w:rPr>
          <w:rFonts w:ascii="Book Antiqua" w:hAnsi="Book Antiqua"/>
          <w:b/>
          <w:color w:val="000000"/>
          <w:sz w:val="24"/>
          <w:lang w:eastAsia="zh-CN"/>
        </w:rPr>
        <w:t>BRIEF ARTICL</w:t>
      </w:r>
    </w:p>
    <w:p w:rsidR="008A6899" w:rsidRPr="008C3A92" w:rsidRDefault="008A6899" w:rsidP="004E2489">
      <w:pPr>
        <w:suppressAutoHyphens/>
        <w:autoSpaceDE w:val="0"/>
        <w:autoSpaceDN w:val="0"/>
        <w:adjustRightInd w:val="0"/>
        <w:snapToGrid w:val="0"/>
        <w:spacing w:after="0" w:line="360" w:lineRule="auto"/>
        <w:jc w:val="both"/>
        <w:rPr>
          <w:rFonts w:ascii="Book Antiqua" w:hAnsi="Book Antiqua"/>
          <w:b/>
          <w:color w:val="000000"/>
          <w:sz w:val="24"/>
          <w:lang w:eastAsia="zh-CN"/>
        </w:rPr>
      </w:pPr>
    </w:p>
    <w:bookmarkEnd w:id="2"/>
    <w:bookmarkEnd w:id="3"/>
    <w:bookmarkEnd w:id="4"/>
    <w:bookmarkEnd w:id="5"/>
    <w:bookmarkEnd w:id="6"/>
    <w:bookmarkEnd w:id="7"/>
    <w:bookmarkEnd w:id="8"/>
    <w:bookmarkEnd w:id="9"/>
    <w:bookmarkEnd w:id="10"/>
    <w:p w:rsidR="008A6899" w:rsidRPr="008C3A92" w:rsidRDefault="008A6899" w:rsidP="004E2489">
      <w:pPr>
        <w:snapToGrid w:val="0"/>
        <w:spacing w:after="0" w:line="360" w:lineRule="auto"/>
        <w:jc w:val="both"/>
        <w:rPr>
          <w:rFonts w:ascii="Book Antiqua" w:hAnsi="Book Antiqua"/>
          <w:b/>
          <w:sz w:val="24"/>
          <w:szCs w:val="24"/>
          <w:lang w:val="en-US" w:eastAsia="zh-CN"/>
        </w:rPr>
      </w:pPr>
      <w:r w:rsidRPr="008C3A92">
        <w:rPr>
          <w:rFonts w:ascii="Book Antiqua" w:hAnsi="Book Antiqua"/>
          <w:b/>
          <w:sz w:val="24"/>
          <w:szCs w:val="24"/>
          <w:lang w:val="en-US"/>
        </w:rPr>
        <w:t>Platelet count/spleen diameter ratio to predict esophageal varices in Mexican patients with hepatic cirrhosis</w:t>
      </w:r>
    </w:p>
    <w:p w:rsidR="008A6899" w:rsidRPr="008C3A92" w:rsidRDefault="008A6899" w:rsidP="004E2489">
      <w:pPr>
        <w:snapToGrid w:val="0"/>
        <w:spacing w:after="0" w:line="360" w:lineRule="auto"/>
        <w:jc w:val="both"/>
        <w:rPr>
          <w:rFonts w:ascii="Book Antiqua" w:hAnsi="Book Antiqua"/>
          <w:b/>
          <w:sz w:val="24"/>
          <w:szCs w:val="24"/>
          <w:lang w:val="en-US"/>
        </w:rPr>
      </w:pPr>
    </w:p>
    <w:p w:rsidR="008A6899" w:rsidRPr="00E36215" w:rsidRDefault="008A6899" w:rsidP="004E2489">
      <w:pPr>
        <w:snapToGrid w:val="0"/>
        <w:spacing w:after="0" w:line="360" w:lineRule="auto"/>
        <w:jc w:val="both"/>
        <w:rPr>
          <w:rFonts w:ascii="Book Antiqua" w:hAnsi="Book Antiqua"/>
          <w:sz w:val="24"/>
          <w:szCs w:val="24"/>
          <w:lang w:val="en-US" w:eastAsia="zh-CN"/>
        </w:rPr>
      </w:pPr>
      <w:r w:rsidRPr="00E36215">
        <w:rPr>
          <w:rFonts w:ascii="Book Antiqua" w:hAnsi="Book Antiqua"/>
          <w:sz w:val="24"/>
          <w:szCs w:val="24"/>
        </w:rPr>
        <w:t>González-Ojeda</w:t>
      </w:r>
      <w:r w:rsidRPr="00E36215">
        <w:rPr>
          <w:rFonts w:ascii="Book Antiqua" w:hAnsi="Book Antiqua"/>
          <w:sz w:val="24"/>
          <w:szCs w:val="24"/>
          <w:lang w:val="en-US"/>
        </w:rPr>
        <w:t xml:space="preserve"> </w:t>
      </w:r>
      <w:r w:rsidRPr="00E36215">
        <w:rPr>
          <w:rFonts w:ascii="Book Antiqua" w:hAnsi="Book Antiqua"/>
          <w:sz w:val="24"/>
          <w:szCs w:val="24"/>
          <w:lang w:val="en-US" w:eastAsia="zh-CN"/>
        </w:rPr>
        <w:t>A</w:t>
      </w:r>
      <w:r w:rsidRPr="00E36215">
        <w:rPr>
          <w:rFonts w:ascii="Book Antiqua" w:hAnsi="Book Antiqua"/>
          <w:i/>
          <w:sz w:val="24"/>
          <w:szCs w:val="24"/>
          <w:lang w:val="en-US" w:eastAsia="zh-CN"/>
        </w:rPr>
        <w:t xml:space="preserve"> et al</w:t>
      </w:r>
      <w:r w:rsidRPr="00E36215">
        <w:rPr>
          <w:rFonts w:ascii="Book Antiqua" w:hAnsi="Book Antiqua"/>
          <w:sz w:val="24"/>
          <w:szCs w:val="24"/>
          <w:lang w:val="en-US" w:eastAsia="zh-CN"/>
        </w:rPr>
        <w:t xml:space="preserve">. </w:t>
      </w:r>
      <w:r w:rsidRPr="00E36215">
        <w:rPr>
          <w:rFonts w:ascii="Book Antiqua" w:hAnsi="Book Antiqua"/>
          <w:sz w:val="24"/>
          <w:szCs w:val="24"/>
          <w:lang w:val="en-US"/>
        </w:rPr>
        <w:t>PC/SD ratio to predict esophageal varices</w:t>
      </w:r>
    </w:p>
    <w:p w:rsidR="008A6899" w:rsidRPr="008C3A92" w:rsidRDefault="008A6899" w:rsidP="004E2489">
      <w:pPr>
        <w:snapToGrid w:val="0"/>
        <w:spacing w:after="0" w:line="360" w:lineRule="auto"/>
        <w:jc w:val="both"/>
        <w:rPr>
          <w:rFonts w:ascii="Book Antiqua" w:hAnsi="Book Antiqua"/>
          <w:b/>
          <w:sz w:val="24"/>
          <w:szCs w:val="24"/>
          <w:lang w:val="en-US"/>
        </w:rPr>
      </w:pPr>
    </w:p>
    <w:p w:rsidR="008A6899" w:rsidRPr="008C3A92" w:rsidRDefault="008A6899" w:rsidP="004E2489">
      <w:pPr>
        <w:snapToGrid w:val="0"/>
        <w:spacing w:after="0" w:line="360" w:lineRule="auto"/>
        <w:jc w:val="both"/>
        <w:rPr>
          <w:rFonts w:ascii="Book Antiqua" w:hAnsi="Book Antiqua"/>
          <w:sz w:val="24"/>
          <w:szCs w:val="24"/>
          <w:lang w:eastAsia="zh-CN"/>
        </w:rPr>
      </w:pPr>
      <w:r w:rsidRPr="008C3A92">
        <w:rPr>
          <w:rFonts w:ascii="Book Antiqua" w:hAnsi="Book Antiqua"/>
          <w:sz w:val="24"/>
          <w:szCs w:val="24"/>
        </w:rPr>
        <w:t xml:space="preserve">Alejandro </w:t>
      </w:r>
      <w:bookmarkStart w:id="11" w:name="OLE_LINK599"/>
      <w:bookmarkStart w:id="12" w:name="OLE_LINK600"/>
      <w:r w:rsidRPr="008C3A92">
        <w:rPr>
          <w:rFonts w:ascii="Book Antiqua" w:hAnsi="Book Antiqua"/>
          <w:sz w:val="24"/>
          <w:szCs w:val="24"/>
        </w:rPr>
        <w:t>González-Ojeda</w:t>
      </w:r>
      <w:bookmarkEnd w:id="11"/>
      <w:bookmarkEnd w:id="12"/>
      <w:r w:rsidRPr="008C3A92">
        <w:rPr>
          <w:rFonts w:ascii="Book Antiqua" w:hAnsi="Book Antiqua"/>
          <w:sz w:val="24"/>
          <w:szCs w:val="24"/>
        </w:rPr>
        <w:t>, Gabino Cervantes-Guevara, Manuela Chávez-Sánchez, Carlos Dávalos-Cobián,</w:t>
      </w:r>
      <w:r>
        <w:rPr>
          <w:rFonts w:ascii="Book Antiqua" w:hAnsi="Book Antiqua"/>
          <w:sz w:val="24"/>
          <w:szCs w:val="24"/>
        </w:rPr>
        <w:t xml:space="preserve">  </w:t>
      </w:r>
      <w:r w:rsidRPr="008C3A92">
        <w:rPr>
          <w:rFonts w:ascii="Book Antiqua" w:hAnsi="Book Antiqua"/>
          <w:sz w:val="24"/>
          <w:szCs w:val="24"/>
        </w:rPr>
        <w:t>Susana Ornelas-Cázares, Michel Dassaejv Macías-Amezcua, Mariana Chávez-Tostado, Kenia Militzi Ramírez-Campos, Anaís del Rocío Ramírez-Arce, Clotilde Fuentes-Orozco</w:t>
      </w:r>
    </w:p>
    <w:p w:rsidR="008A6899" w:rsidRPr="008C3A92" w:rsidRDefault="008A6899" w:rsidP="004E2489">
      <w:pPr>
        <w:snapToGrid w:val="0"/>
        <w:spacing w:after="0" w:line="360" w:lineRule="auto"/>
        <w:jc w:val="both"/>
        <w:rPr>
          <w:rFonts w:ascii="Book Antiqua" w:hAnsi="Book Antiqua"/>
          <w:b/>
          <w:sz w:val="24"/>
          <w:szCs w:val="24"/>
        </w:rPr>
      </w:pPr>
    </w:p>
    <w:p w:rsidR="008A6899" w:rsidRPr="008C3A92" w:rsidRDefault="008A6899" w:rsidP="004E2489">
      <w:pPr>
        <w:snapToGrid w:val="0"/>
        <w:spacing w:after="0" w:line="360" w:lineRule="auto"/>
        <w:jc w:val="both"/>
        <w:rPr>
          <w:rFonts w:ascii="Book Antiqua" w:hAnsi="Book Antiqua"/>
          <w:sz w:val="24"/>
          <w:szCs w:val="24"/>
          <w:lang w:eastAsia="zh-CN"/>
        </w:rPr>
      </w:pPr>
      <w:r w:rsidRPr="00F8145B">
        <w:rPr>
          <w:rFonts w:ascii="Book Antiqua" w:hAnsi="Book Antiqua"/>
          <w:b/>
          <w:sz w:val="24"/>
          <w:szCs w:val="24"/>
        </w:rPr>
        <w:t>Alejandro González-Ojeda,</w:t>
      </w:r>
      <w:r w:rsidRPr="00F8145B">
        <w:rPr>
          <w:rFonts w:ascii="Book Antiqua" w:hAnsi="Book Antiqua"/>
          <w:b/>
          <w:sz w:val="24"/>
          <w:szCs w:val="24"/>
          <w:lang w:eastAsia="zh-CN"/>
        </w:rPr>
        <w:t xml:space="preserve"> </w:t>
      </w:r>
      <w:r w:rsidRPr="00F8145B">
        <w:rPr>
          <w:rFonts w:ascii="Book Antiqua" w:hAnsi="Book Antiqua"/>
          <w:b/>
          <w:sz w:val="24"/>
          <w:szCs w:val="24"/>
        </w:rPr>
        <w:t>Michel Dassaejv Macías-Amezcua, Mariana Chávez-Tostado, Kenia Militzi Ramírez-Campos, Anaís del Rocío Ramírez-Arce, Clotilde Fuentes-Orozco</w:t>
      </w:r>
      <w:r w:rsidRPr="00F8145B">
        <w:rPr>
          <w:rFonts w:ascii="Book Antiqua" w:hAnsi="Book Antiqua"/>
          <w:b/>
          <w:sz w:val="24"/>
          <w:szCs w:val="24"/>
          <w:lang w:eastAsia="zh-CN"/>
        </w:rPr>
        <w:t xml:space="preserve">, </w:t>
      </w:r>
      <w:r w:rsidRPr="008C3A92">
        <w:rPr>
          <w:rFonts w:ascii="Book Antiqua" w:hAnsi="Book Antiqua"/>
          <w:sz w:val="24"/>
          <w:szCs w:val="24"/>
          <w:lang w:val="en-US"/>
        </w:rPr>
        <w:t>Research Unit in Clinical Epidemiology, Specialties Hospital of the Western Medical Center, Medical Unit of High Specialty, Mexican Institute of Social Security</w:t>
      </w:r>
      <w:r>
        <w:rPr>
          <w:rFonts w:ascii="Book Antiqua" w:hAnsi="Book Antiqua"/>
          <w:sz w:val="24"/>
          <w:szCs w:val="24"/>
          <w:lang w:val="en-US" w:eastAsia="zh-CN"/>
        </w:rPr>
        <w:t xml:space="preserve">, </w:t>
      </w:r>
      <w:r w:rsidRPr="008C3A92">
        <w:rPr>
          <w:rFonts w:ascii="Book Antiqua" w:hAnsi="Book Antiqua"/>
          <w:sz w:val="24"/>
          <w:szCs w:val="24"/>
        </w:rPr>
        <w:t>Guadalajara,</w:t>
      </w:r>
      <w:r w:rsidRPr="00F8145B">
        <w:rPr>
          <w:rFonts w:ascii="Book Antiqua" w:hAnsi="Book Antiqua"/>
          <w:sz w:val="24"/>
          <w:szCs w:val="24"/>
        </w:rPr>
        <w:t xml:space="preserve"> </w:t>
      </w:r>
      <w:r w:rsidRPr="008C3A92">
        <w:rPr>
          <w:rFonts w:ascii="Book Antiqua" w:hAnsi="Book Antiqua"/>
          <w:sz w:val="24"/>
          <w:szCs w:val="24"/>
        </w:rPr>
        <w:t>CP 44340, Jalisco, México</w:t>
      </w:r>
    </w:p>
    <w:p w:rsidR="008A6899" w:rsidRPr="008C3A92" w:rsidRDefault="008A6899" w:rsidP="004E2489">
      <w:pPr>
        <w:snapToGrid w:val="0"/>
        <w:spacing w:after="0" w:line="360" w:lineRule="auto"/>
        <w:jc w:val="both"/>
        <w:rPr>
          <w:rFonts w:ascii="Book Antiqua" w:hAnsi="Book Antiqua"/>
          <w:sz w:val="24"/>
          <w:szCs w:val="24"/>
          <w:lang w:eastAsia="zh-CN"/>
        </w:rPr>
      </w:pPr>
    </w:p>
    <w:p w:rsidR="008A6899" w:rsidRPr="008C3A92" w:rsidRDefault="008A6899" w:rsidP="004E2489">
      <w:pPr>
        <w:snapToGrid w:val="0"/>
        <w:spacing w:after="0" w:line="360" w:lineRule="auto"/>
        <w:jc w:val="both"/>
        <w:rPr>
          <w:rFonts w:ascii="Book Antiqua" w:hAnsi="Book Antiqua"/>
          <w:sz w:val="24"/>
          <w:szCs w:val="24"/>
          <w:lang w:eastAsia="zh-CN"/>
        </w:rPr>
      </w:pPr>
      <w:r w:rsidRPr="00F8145B">
        <w:rPr>
          <w:rFonts w:ascii="Book Antiqua" w:hAnsi="Book Antiqua"/>
          <w:b/>
          <w:sz w:val="24"/>
          <w:szCs w:val="24"/>
        </w:rPr>
        <w:t xml:space="preserve">Gabino Cervantes-Guevara, </w:t>
      </w:r>
      <w:r w:rsidRPr="008C3A92">
        <w:rPr>
          <w:rFonts w:ascii="Book Antiqua" w:hAnsi="Book Antiqua"/>
          <w:sz w:val="24"/>
          <w:szCs w:val="24"/>
        </w:rPr>
        <w:t>Gastroenterology Department, Hospital Civil de Guadalajara “Fray Antonio Alcalde”</w:t>
      </w:r>
      <w:r>
        <w:rPr>
          <w:rFonts w:ascii="Book Antiqua" w:hAnsi="Book Antiqua"/>
          <w:sz w:val="24"/>
          <w:szCs w:val="24"/>
          <w:lang w:eastAsia="zh-CN"/>
        </w:rPr>
        <w:t xml:space="preserve">, </w:t>
      </w:r>
      <w:r w:rsidRPr="008C3A92">
        <w:rPr>
          <w:rFonts w:ascii="Book Antiqua" w:hAnsi="Book Antiqua"/>
          <w:sz w:val="24"/>
          <w:szCs w:val="24"/>
        </w:rPr>
        <w:t>Guadalajara, CP 44280, Jalisco</w:t>
      </w:r>
      <w:r>
        <w:rPr>
          <w:rFonts w:ascii="Book Antiqua" w:hAnsi="Book Antiqua"/>
          <w:sz w:val="24"/>
          <w:szCs w:val="24"/>
          <w:lang w:eastAsia="zh-CN"/>
        </w:rPr>
        <w:t xml:space="preserve">, </w:t>
      </w:r>
      <w:r w:rsidRPr="008C3A92">
        <w:rPr>
          <w:rFonts w:ascii="Book Antiqua" w:hAnsi="Book Antiqua"/>
          <w:sz w:val="24"/>
          <w:szCs w:val="24"/>
        </w:rPr>
        <w:t>México</w:t>
      </w:r>
    </w:p>
    <w:p w:rsidR="008A6899" w:rsidRPr="008C3A92" w:rsidRDefault="008A6899" w:rsidP="004E2489">
      <w:pPr>
        <w:snapToGrid w:val="0"/>
        <w:spacing w:after="0" w:line="360" w:lineRule="auto"/>
        <w:jc w:val="both"/>
        <w:rPr>
          <w:rFonts w:ascii="Book Antiqua" w:hAnsi="Book Antiqua"/>
          <w:sz w:val="24"/>
          <w:szCs w:val="24"/>
          <w:lang w:eastAsia="zh-CN"/>
        </w:rPr>
      </w:pPr>
    </w:p>
    <w:p w:rsidR="008A6899" w:rsidRPr="008C3A92" w:rsidRDefault="008A6899" w:rsidP="004E2489">
      <w:pPr>
        <w:snapToGrid w:val="0"/>
        <w:spacing w:after="0" w:line="360" w:lineRule="auto"/>
        <w:jc w:val="both"/>
        <w:rPr>
          <w:rFonts w:ascii="Book Antiqua" w:hAnsi="Book Antiqua"/>
          <w:b/>
          <w:sz w:val="24"/>
          <w:szCs w:val="24"/>
          <w:lang w:eastAsia="zh-CN"/>
        </w:rPr>
      </w:pPr>
      <w:r w:rsidRPr="00B2142C">
        <w:rPr>
          <w:rFonts w:ascii="Book Antiqua" w:hAnsi="Book Antiqua"/>
          <w:b/>
          <w:sz w:val="24"/>
          <w:szCs w:val="24"/>
        </w:rPr>
        <w:t>Manuela Chávez-Sánchez, Carlos Dávalos-Cobián, Susana Ornelas-Cázares,</w:t>
      </w:r>
      <w:r w:rsidRPr="008C3A92">
        <w:rPr>
          <w:rFonts w:ascii="Book Antiqua" w:hAnsi="Book Antiqua"/>
          <w:sz w:val="24"/>
          <w:szCs w:val="24"/>
        </w:rPr>
        <w:t xml:space="preserve"> Gastroenterology Department, Specialties Hospital of the Western Medical Center, Medical Unit of High Specialty, Mexican Institute of Social Security</w:t>
      </w:r>
      <w:r>
        <w:rPr>
          <w:rFonts w:ascii="Book Antiqua" w:hAnsi="Book Antiqua"/>
          <w:sz w:val="24"/>
          <w:szCs w:val="24"/>
          <w:lang w:eastAsia="zh-CN"/>
        </w:rPr>
        <w:t>,</w:t>
      </w:r>
      <w:r w:rsidRPr="008C3A92">
        <w:rPr>
          <w:rFonts w:ascii="Book Antiqua" w:hAnsi="Book Antiqua"/>
          <w:sz w:val="24"/>
          <w:szCs w:val="24"/>
        </w:rPr>
        <w:t xml:space="preserve"> Guadalajara,</w:t>
      </w:r>
      <w:r w:rsidRPr="00B2142C">
        <w:rPr>
          <w:rFonts w:ascii="Book Antiqua" w:hAnsi="Book Antiqua"/>
          <w:sz w:val="24"/>
          <w:szCs w:val="24"/>
        </w:rPr>
        <w:t xml:space="preserve"> </w:t>
      </w:r>
      <w:r w:rsidRPr="008C3A92">
        <w:rPr>
          <w:rFonts w:ascii="Book Antiqua" w:hAnsi="Book Antiqua"/>
          <w:sz w:val="24"/>
          <w:szCs w:val="24"/>
        </w:rPr>
        <w:t>CP 44340, Jalisco, México</w:t>
      </w:r>
    </w:p>
    <w:p w:rsidR="008A6899" w:rsidRDefault="008A6899" w:rsidP="004E2489">
      <w:pPr>
        <w:snapToGrid w:val="0"/>
        <w:spacing w:after="0" w:line="360" w:lineRule="auto"/>
        <w:jc w:val="both"/>
        <w:rPr>
          <w:rFonts w:ascii="Book Antiqua" w:hAnsi="Book Antiqua"/>
          <w:b/>
          <w:sz w:val="24"/>
          <w:szCs w:val="24"/>
          <w:lang w:eastAsia="zh-CN"/>
        </w:rPr>
      </w:pPr>
    </w:p>
    <w:p w:rsidR="008A6899" w:rsidRPr="008C3A92" w:rsidRDefault="008A6899" w:rsidP="004E2489">
      <w:pPr>
        <w:snapToGrid w:val="0"/>
        <w:spacing w:after="0" w:line="360" w:lineRule="auto"/>
        <w:jc w:val="both"/>
        <w:rPr>
          <w:rFonts w:ascii="Book Antiqua" w:hAnsi="Book Antiqua"/>
          <w:sz w:val="24"/>
          <w:szCs w:val="24"/>
        </w:rPr>
      </w:pPr>
      <w:r w:rsidRPr="008C3A92">
        <w:rPr>
          <w:rFonts w:ascii="Book Antiqua" w:hAnsi="Book Antiqua"/>
          <w:b/>
          <w:sz w:val="24"/>
          <w:szCs w:val="24"/>
        </w:rPr>
        <w:lastRenderedPageBreak/>
        <w:t>Author contributions</w:t>
      </w:r>
      <w:r w:rsidRPr="008C3A92">
        <w:rPr>
          <w:rFonts w:ascii="Book Antiqua" w:hAnsi="Book Antiqua"/>
          <w:sz w:val="24"/>
          <w:szCs w:val="24"/>
        </w:rPr>
        <w:t>: González-Ojeda A, Cervantes-Guevara G, Chávez-Sánchez M, Dávalos-Cobián C, Ornelas-Cázares S, Macías-Amezcua MD, Chávez-Tostado M, Ramírez-Campos KM, Ra</w:t>
      </w:r>
      <w:r>
        <w:rPr>
          <w:rFonts w:ascii="Book Antiqua" w:hAnsi="Book Antiqua"/>
          <w:sz w:val="24"/>
          <w:szCs w:val="24"/>
        </w:rPr>
        <w:t>mírez-Arce AR, Fuentes-Orozco C</w:t>
      </w:r>
      <w:r w:rsidRPr="008C3A92">
        <w:rPr>
          <w:rFonts w:ascii="Book Antiqua" w:hAnsi="Book Antiqua"/>
          <w:sz w:val="24"/>
          <w:szCs w:val="24"/>
        </w:rPr>
        <w:t xml:space="preserve"> participated in the protocol design, collection of clinical information, statistical analysis and were involved in editing the manuscript; González-Ojeda A, Cervantes-Guevara G, Chávez-Sánchez M, Dávalos-Cobián C, Ornelas-Cázares S, Fuentes-Orozco C were involved in the protocol design, identification and inclusion of candidates and performed the intervention. </w:t>
      </w:r>
    </w:p>
    <w:p w:rsidR="008A6899" w:rsidRPr="008C3A92" w:rsidRDefault="008A6899" w:rsidP="004E2489">
      <w:pPr>
        <w:snapToGrid w:val="0"/>
        <w:spacing w:after="0" w:line="360" w:lineRule="auto"/>
        <w:jc w:val="both"/>
        <w:rPr>
          <w:rFonts w:ascii="Book Antiqua" w:hAnsi="Book Antiqua"/>
          <w:sz w:val="24"/>
          <w:szCs w:val="24"/>
          <w:lang w:eastAsia="zh-CN"/>
        </w:rPr>
      </w:pPr>
    </w:p>
    <w:p w:rsidR="008A6899" w:rsidRPr="007A061E" w:rsidRDefault="008A6899" w:rsidP="004E2489">
      <w:pPr>
        <w:snapToGrid w:val="0"/>
        <w:spacing w:after="0" w:line="360" w:lineRule="auto"/>
        <w:jc w:val="both"/>
        <w:rPr>
          <w:rFonts w:ascii="Book Antiqua" w:hAnsi="Book Antiqua"/>
          <w:sz w:val="24"/>
          <w:szCs w:val="24"/>
        </w:rPr>
      </w:pPr>
      <w:r w:rsidRPr="008C3A92">
        <w:rPr>
          <w:rFonts w:ascii="Book Antiqua" w:hAnsi="Book Antiqua"/>
          <w:b/>
          <w:sz w:val="24"/>
          <w:szCs w:val="24"/>
          <w:lang w:val="en-US"/>
        </w:rPr>
        <w:t>Correspondence to: Clotilde Fuentes-Orozco, MD, PhD</w:t>
      </w:r>
      <w:r w:rsidRPr="008C3A92">
        <w:rPr>
          <w:rFonts w:ascii="Book Antiqua" w:hAnsi="Book Antiqua"/>
          <w:b/>
          <w:sz w:val="24"/>
          <w:szCs w:val="24"/>
          <w:lang w:val="en-US" w:eastAsia="zh-CN"/>
        </w:rPr>
        <w:t>,</w:t>
      </w:r>
      <w:r w:rsidRPr="008C3A92">
        <w:rPr>
          <w:rFonts w:ascii="Book Antiqua" w:hAnsi="Book Antiqua"/>
          <w:b/>
          <w:sz w:val="24"/>
          <w:szCs w:val="24"/>
          <w:lang w:val="en-US"/>
        </w:rPr>
        <w:t xml:space="preserve"> </w:t>
      </w:r>
      <w:r w:rsidRPr="008C3A92">
        <w:rPr>
          <w:rFonts w:ascii="Book Antiqua" w:hAnsi="Book Antiqua"/>
          <w:sz w:val="24"/>
          <w:szCs w:val="24"/>
          <w:lang w:val="en-US"/>
        </w:rPr>
        <w:t>Research Unit in Clinical Epidemiology, Specialties Hospital of the Western Medical Center, Medical Unit of High Specialty, Mexican Institute of Social Security</w:t>
      </w:r>
      <w:r>
        <w:rPr>
          <w:rFonts w:ascii="Book Antiqua" w:hAnsi="Book Antiqua"/>
          <w:sz w:val="24"/>
          <w:szCs w:val="24"/>
          <w:lang w:val="en-US" w:eastAsia="zh-CN"/>
        </w:rPr>
        <w:t xml:space="preserve">, </w:t>
      </w:r>
      <w:r w:rsidRPr="008C3A92">
        <w:rPr>
          <w:rFonts w:ascii="Book Antiqua" w:hAnsi="Book Antiqua"/>
          <w:sz w:val="24"/>
          <w:szCs w:val="24"/>
        </w:rPr>
        <w:t>Avenida Belisario Dominguez 1000, Colonia Independencia, Guadalajara,</w:t>
      </w:r>
      <w:r w:rsidRPr="00306E29">
        <w:rPr>
          <w:rFonts w:ascii="Book Antiqua" w:hAnsi="Book Antiqua"/>
          <w:sz w:val="24"/>
          <w:szCs w:val="24"/>
        </w:rPr>
        <w:t xml:space="preserve"> </w:t>
      </w:r>
      <w:r>
        <w:rPr>
          <w:rFonts w:ascii="Book Antiqua" w:hAnsi="Book Antiqua"/>
          <w:sz w:val="24"/>
          <w:szCs w:val="24"/>
        </w:rPr>
        <w:t>CP 44340,</w:t>
      </w:r>
      <w:r w:rsidRPr="008C3A92">
        <w:rPr>
          <w:rFonts w:ascii="Book Antiqua" w:hAnsi="Book Antiqua"/>
          <w:sz w:val="24"/>
          <w:szCs w:val="24"/>
        </w:rPr>
        <w:t xml:space="preserve"> Jalisco, Mexico.</w:t>
      </w:r>
      <w:r w:rsidRPr="007A061E">
        <w:t xml:space="preserve"> </w:t>
      </w:r>
      <w:r w:rsidRPr="007A061E">
        <w:rPr>
          <w:rFonts w:ascii="Book Antiqua" w:hAnsi="Book Antiqua"/>
          <w:sz w:val="24"/>
          <w:szCs w:val="24"/>
        </w:rPr>
        <w:t>clotilde.fuentes@gmail.com</w:t>
      </w:r>
    </w:p>
    <w:p w:rsidR="008A6899" w:rsidRDefault="008A6899" w:rsidP="004E2489">
      <w:pPr>
        <w:snapToGrid w:val="0"/>
        <w:spacing w:after="0" w:line="360" w:lineRule="auto"/>
        <w:jc w:val="both"/>
        <w:rPr>
          <w:rFonts w:ascii="Book Antiqua" w:hAnsi="Book Antiqua"/>
          <w:b/>
          <w:sz w:val="24"/>
          <w:szCs w:val="24"/>
          <w:lang w:eastAsia="zh-CN"/>
        </w:rPr>
      </w:pPr>
    </w:p>
    <w:p w:rsidR="008A6899" w:rsidRPr="00C56046" w:rsidRDefault="008A6899" w:rsidP="004E2489">
      <w:pPr>
        <w:autoSpaceDE w:val="0"/>
        <w:autoSpaceDN w:val="0"/>
        <w:adjustRightInd w:val="0"/>
        <w:snapToGrid w:val="0"/>
        <w:spacing w:after="0" w:line="360" w:lineRule="auto"/>
        <w:jc w:val="both"/>
        <w:rPr>
          <w:rFonts w:ascii="Book Antiqua" w:hAnsi="Book Antiqua"/>
          <w:color w:val="000000"/>
          <w:sz w:val="24"/>
        </w:rPr>
      </w:pPr>
      <w:bookmarkStart w:id="13" w:name="OLE_LINK65"/>
      <w:bookmarkStart w:id="14" w:name="OLE_LINK106"/>
      <w:bookmarkStart w:id="15" w:name="OLE_LINK331"/>
      <w:bookmarkStart w:id="16" w:name="OLE_LINK2444"/>
      <w:bookmarkStart w:id="17" w:name="OLE_LINK2772"/>
      <w:bookmarkStart w:id="18" w:name="OLE_LINK207"/>
      <w:bookmarkStart w:id="19" w:name="OLE_LINK208"/>
      <w:bookmarkStart w:id="20" w:name="OLE_LINK143"/>
      <w:bookmarkStart w:id="21" w:name="OLE_LINK429"/>
      <w:bookmarkStart w:id="22" w:name="OLE_LINK724"/>
      <w:bookmarkStart w:id="23" w:name="OLE_LINK601"/>
      <w:bookmarkStart w:id="24" w:name="OLE_LINK570"/>
      <w:bookmarkStart w:id="25" w:name="OLE_LINK788"/>
      <w:bookmarkStart w:id="26" w:name="OLE_LINK978"/>
      <w:bookmarkStart w:id="27" w:name="OLE_LINK503"/>
      <w:bookmarkStart w:id="28" w:name="OLE_LINK542"/>
      <w:bookmarkStart w:id="29" w:name="OLE_LINK636"/>
      <w:bookmarkStart w:id="30" w:name="OLE_LINK659"/>
      <w:bookmarkStart w:id="31" w:name="OLE_LINK567"/>
      <w:bookmarkStart w:id="32" w:name="OLE_LINK737"/>
      <w:bookmarkStart w:id="33" w:name="OLE_LINK786"/>
      <w:bookmarkStart w:id="34" w:name="OLE_LINK842"/>
      <w:bookmarkStart w:id="35" w:name="OLE_LINK858"/>
      <w:bookmarkStart w:id="36" w:name="OLE_LINK873"/>
      <w:bookmarkStart w:id="37" w:name="OLE_LINK924"/>
      <w:bookmarkStart w:id="38" w:name="OLE_LINK761"/>
      <w:bookmarkStart w:id="39" w:name="OLE_LINK848"/>
      <w:bookmarkStart w:id="40" w:name="OLE_LINK1020"/>
      <w:bookmarkStart w:id="41" w:name="OLE_LINK1066"/>
      <w:bookmarkStart w:id="42" w:name="OLE_LINK1085"/>
      <w:bookmarkStart w:id="43" w:name="OLE_LINK1115"/>
      <w:bookmarkStart w:id="44" w:name="OLE_LINK1162"/>
      <w:bookmarkStart w:id="45" w:name="OLE_LINK1243"/>
      <w:bookmarkStart w:id="46" w:name="OLE_LINK1264"/>
      <w:bookmarkStart w:id="47" w:name="OLE_LINK1283"/>
      <w:bookmarkStart w:id="48" w:name="OLE_LINK1311"/>
      <w:bookmarkStart w:id="49" w:name="OLE_LINK1360"/>
      <w:bookmarkStart w:id="50" w:name="OLE_LINK1383"/>
      <w:bookmarkStart w:id="51" w:name="OLE_LINK1430"/>
      <w:bookmarkStart w:id="52" w:name="OLE_LINK1453"/>
      <w:bookmarkStart w:id="53" w:name="OLE_LINK913"/>
      <w:bookmarkStart w:id="54" w:name="OLE_LINK1228"/>
      <w:bookmarkStart w:id="55" w:name="OLE_LINK1356"/>
      <w:bookmarkStart w:id="56" w:name="OLE_LINK1359"/>
      <w:bookmarkStart w:id="57" w:name="OLE_LINK1629"/>
      <w:bookmarkStart w:id="58" w:name="OLE_LINK1630"/>
      <w:bookmarkStart w:id="59" w:name="OLE_LINK1631"/>
      <w:bookmarkStart w:id="60" w:name="OLE_LINK1632"/>
      <w:bookmarkStart w:id="61" w:name="OLE_LINK1837"/>
      <w:bookmarkStart w:id="62" w:name="OLE_LINK1532"/>
      <w:bookmarkStart w:id="63" w:name="OLE_LINK1533"/>
      <w:bookmarkStart w:id="64" w:name="OLE_LINK1534"/>
      <w:bookmarkStart w:id="65" w:name="OLE_LINK1535"/>
      <w:bookmarkStart w:id="66" w:name="OLE_LINK1525"/>
      <w:bookmarkStart w:id="67" w:name="OLE_LINK1567"/>
      <w:bookmarkStart w:id="68" w:name="OLE_LINK1728"/>
      <w:bookmarkStart w:id="69" w:name="OLE_LINK1768"/>
      <w:bookmarkStart w:id="70" w:name="OLE_LINK1857"/>
      <w:bookmarkStart w:id="71" w:name="OLE_LINK1968"/>
      <w:bookmarkStart w:id="72" w:name="OLE_LINK1969"/>
      <w:bookmarkStart w:id="73" w:name="OLE_LINK1970"/>
      <w:bookmarkStart w:id="74" w:name="OLE_LINK1971"/>
      <w:bookmarkStart w:id="75" w:name="OLE_LINK1904"/>
      <w:bookmarkStart w:id="76" w:name="OLE_LINK1940"/>
      <w:bookmarkStart w:id="77" w:name="OLE_LINK1933"/>
      <w:bookmarkStart w:id="78" w:name="OLE_LINK1991"/>
      <w:bookmarkStart w:id="79" w:name="OLE_LINK2074"/>
      <w:bookmarkStart w:id="80" w:name="OLE_LINK1916"/>
      <w:bookmarkStart w:id="81" w:name="OLE_LINK1961"/>
      <w:bookmarkStart w:id="82" w:name="OLE_LINK2003"/>
      <w:bookmarkStart w:id="83" w:name="OLE_LINK2404"/>
      <w:bookmarkStart w:id="84" w:name="OLE_LINK2185"/>
      <w:bookmarkStart w:id="85" w:name="OLE_LINK2302"/>
      <w:bookmarkStart w:id="86" w:name="OLE_LINK2311"/>
      <w:bookmarkStart w:id="87" w:name="OLE_LINK2528"/>
      <w:bookmarkStart w:id="88" w:name="OLE_LINK2421"/>
      <w:bookmarkStart w:id="89" w:name="OLE_LINK2434"/>
      <w:bookmarkStart w:id="90" w:name="OLE_LINK2438"/>
      <w:bookmarkStart w:id="91" w:name="OLE_LINK2649"/>
      <w:bookmarkStart w:id="92" w:name="OLE_LINK3139"/>
      <w:bookmarkStart w:id="93" w:name="OLE_LINK2633"/>
      <w:bookmarkStart w:id="94" w:name="OLE_LINK2755"/>
      <w:bookmarkStart w:id="95" w:name="OLE_LINK2867"/>
      <w:bookmarkStart w:id="96" w:name="OLE_LINK23"/>
      <w:bookmarkStart w:id="97" w:name="OLE_LINK502"/>
      <w:r w:rsidRPr="00C56046">
        <w:rPr>
          <w:rFonts w:ascii="Book Antiqua" w:hAnsi="Book Antiqua"/>
          <w:b/>
          <w:bCs/>
          <w:color w:val="000000"/>
          <w:sz w:val="24"/>
        </w:rPr>
        <w:t xml:space="preserve">Telephone: </w:t>
      </w:r>
      <w:bookmarkStart w:id="98" w:name="OLE_LINK1415"/>
      <w:bookmarkStart w:id="99" w:name="OLE_LINK1416"/>
      <w:bookmarkStart w:id="100" w:name="OLE_LINK1417"/>
      <w:r w:rsidRPr="00C56046">
        <w:rPr>
          <w:rFonts w:ascii="Book Antiqua" w:hAnsi="Book Antiqua"/>
          <w:color w:val="000000"/>
          <w:sz w:val="24"/>
        </w:rPr>
        <w:t>+</w:t>
      </w:r>
      <w:bookmarkStart w:id="101" w:name="OLE_LINK42"/>
      <w:bookmarkStart w:id="102" w:name="OLE_LINK128"/>
      <w:bookmarkStart w:id="103" w:name="OLE_LINK951"/>
      <w:bookmarkStart w:id="104" w:name="OLE_LINK955"/>
      <w:bookmarkEnd w:id="98"/>
      <w:bookmarkEnd w:id="99"/>
      <w:bookmarkEnd w:id="100"/>
      <w:r w:rsidRPr="008C3A92">
        <w:rPr>
          <w:rFonts w:ascii="Book Antiqua" w:hAnsi="Book Antiqua"/>
          <w:sz w:val="24"/>
          <w:szCs w:val="24"/>
        </w:rPr>
        <w:t>52-33-33189538</w:t>
      </w:r>
      <w:r w:rsidRPr="00B068E5">
        <w:rPr>
          <w:rFonts w:ascii="Book Antiqua" w:hAnsi="Book Antiqua"/>
          <w:color w:val="FF0000"/>
          <w:sz w:val="24"/>
        </w:rPr>
        <w:t xml:space="preserve"> </w:t>
      </w:r>
      <w:r>
        <w:rPr>
          <w:rFonts w:ascii="Book Antiqua" w:hAnsi="Book Antiqua"/>
          <w:color w:val="FF0000"/>
          <w:sz w:val="24"/>
        </w:rPr>
        <w:t xml:space="preserve">   </w:t>
      </w:r>
      <w:r>
        <w:rPr>
          <w:rFonts w:ascii="Book Antiqua" w:hAnsi="Book Antiqua"/>
          <w:color w:val="FF0000"/>
          <w:sz w:val="24"/>
          <w:lang w:eastAsia="zh-CN"/>
        </w:rPr>
        <w:t xml:space="preserve">            </w:t>
      </w:r>
      <w:r w:rsidRPr="00B068E5">
        <w:rPr>
          <w:rFonts w:ascii="Book Antiqua" w:hAnsi="Book Antiqua"/>
          <w:b/>
          <w:bCs/>
          <w:color w:val="FF0000"/>
          <w:sz w:val="24"/>
        </w:rPr>
        <w:t xml:space="preserve"> </w:t>
      </w:r>
      <w:bookmarkStart w:id="105" w:name="OLE_LINK440"/>
      <w:r w:rsidRPr="00C56046">
        <w:rPr>
          <w:rFonts w:ascii="Book Antiqua" w:hAnsi="Book Antiqua"/>
          <w:b/>
          <w:bCs/>
          <w:color w:val="000000"/>
          <w:sz w:val="24"/>
        </w:rPr>
        <w:t>Fax:</w:t>
      </w:r>
      <w:r w:rsidRPr="00C56046">
        <w:rPr>
          <w:rFonts w:ascii="Book Antiqua" w:hAnsi="Book Antiqua"/>
          <w:color w:val="000000"/>
          <w:sz w:val="24"/>
        </w:rPr>
        <w:t xml:space="preserve"> +</w:t>
      </w:r>
      <w:bookmarkEnd w:id="13"/>
      <w:bookmarkEnd w:id="14"/>
      <w:bookmarkEnd w:id="101"/>
      <w:bookmarkEnd w:id="102"/>
      <w:bookmarkEnd w:id="105"/>
      <w:r w:rsidRPr="008C3A92">
        <w:rPr>
          <w:rFonts w:ascii="Book Antiqua" w:hAnsi="Book Antiqua"/>
          <w:sz w:val="24"/>
          <w:szCs w:val="24"/>
        </w:rPr>
        <w:t>52-33-33189538</w:t>
      </w:r>
    </w:p>
    <w:p w:rsidR="008A6899" w:rsidRPr="00306E29" w:rsidRDefault="008A6899" w:rsidP="004E2489">
      <w:pPr>
        <w:adjustRightInd w:val="0"/>
        <w:snapToGrid w:val="0"/>
        <w:spacing w:after="0" w:line="360" w:lineRule="auto"/>
        <w:jc w:val="both"/>
        <w:rPr>
          <w:rFonts w:ascii="Book Antiqua" w:hAnsi="Book Antiqua"/>
          <w:sz w:val="24"/>
        </w:rPr>
      </w:pPr>
      <w:bookmarkStart w:id="106" w:name="OLE_LINK25"/>
      <w:bookmarkStart w:id="107" w:name="OLE_LINK26"/>
      <w:bookmarkStart w:id="108" w:name="OLE_LINK145"/>
      <w:bookmarkStart w:id="109" w:name="OLE_LINK215"/>
      <w:bookmarkStart w:id="110" w:name="OLE_LINK352"/>
      <w:bookmarkStart w:id="111" w:name="OLE_LINK364"/>
      <w:bookmarkStart w:id="112" w:name="OLE_LINK383"/>
      <w:bookmarkStart w:id="113" w:name="OLE_LINK361"/>
      <w:bookmarkStart w:id="114" w:name="OLE_LINK444"/>
      <w:bookmarkStart w:id="115" w:name="OLE_LINK501"/>
      <w:bookmarkStart w:id="116" w:name="OLE_LINK572"/>
      <w:bookmarkStart w:id="117" w:name="OLE_LINK573"/>
      <w:bookmarkStart w:id="118" w:name="OLE_LINK756"/>
      <w:bookmarkStart w:id="119" w:name="OLE_LINK757"/>
      <w:bookmarkStart w:id="120" w:name="OLE_LINK805"/>
      <w:bookmarkStart w:id="121" w:name="OLE_LINK806"/>
      <w:bookmarkStart w:id="122" w:name="OLE_LINK958"/>
      <w:bookmarkStart w:id="123" w:name="OLE_LINK1018"/>
      <w:bookmarkStart w:id="124" w:name="OLE_LINK1059"/>
      <w:bookmarkStart w:id="125" w:name="OLE_LINK1122"/>
      <w:bookmarkStart w:id="126" w:name="OLE_LINK1123"/>
      <w:bookmarkStart w:id="127" w:name="OLE_LINK1402"/>
      <w:bookmarkStart w:id="128" w:name="OLE_LINK1750"/>
      <w:bookmarkStart w:id="129" w:name="OLE_LINK1751"/>
      <w:bookmarkStart w:id="130" w:name="OLE_LINK1832"/>
      <w:bookmarkStart w:id="131" w:name="OLE_LINK1878"/>
      <w:bookmarkStart w:id="132" w:name="OLE_LINK1917"/>
      <w:bookmarkStart w:id="133" w:name="OLE_LINK1918"/>
      <w:bookmarkStart w:id="134" w:name="OLE_LINK1985"/>
      <w:bookmarkStart w:id="135" w:name="OLE_LINK1986"/>
      <w:bookmarkStart w:id="136" w:name="OLE_LINK1927"/>
      <w:bookmarkStart w:id="137" w:name="OLE_LINK1928"/>
      <w:bookmarkStart w:id="138" w:name="OLE_LINK2044"/>
      <w:bookmarkStart w:id="139" w:name="OLE_LINK2352"/>
      <w:bookmarkStart w:id="140" w:name="OLE_LINK2220"/>
      <w:bookmarkStart w:id="141" w:name="OLE_LINK2344"/>
      <w:bookmarkStart w:id="142" w:name="OLE_LINK2347"/>
      <w:bookmarkStart w:id="143" w:name="OLE_LINK2626"/>
      <w:bookmarkStart w:id="144" w:name="OLE_LINK2390"/>
      <w:bookmarkStart w:id="145" w:name="OLE_LINK2752"/>
      <w:bookmarkStart w:id="146" w:name="OLE_LINK2753"/>
      <w:bookmarkStart w:id="147" w:name="OLE_LINK2855"/>
      <w:bookmarkStart w:id="148" w:name="OLE_LINK2992"/>
      <w:bookmarkStart w:id="149" w:name="OLE_LINK3241"/>
      <w:bookmarkStart w:id="150" w:name="OLE_LINK2682"/>
      <w:bookmarkEnd w:id="15"/>
      <w:bookmarkEnd w:id="16"/>
      <w:bookmarkEnd w:id="17"/>
      <w:r w:rsidRPr="00C56046">
        <w:rPr>
          <w:rFonts w:ascii="Book Antiqua" w:hAnsi="Book Antiqua"/>
          <w:b/>
          <w:sz w:val="24"/>
        </w:rPr>
        <w:t>Received:</w:t>
      </w:r>
      <w:r w:rsidRPr="00306E29">
        <w:rPr>
          <w:rFonts w:ascii="Book Antiqua" w:hAnsi="Book Antiqua"/>
          <w:sz w:val="24"/>
          <w:lang w:eastAsia="zh-CN"/>
        </w:rPr>
        <w:t xml:space="preserve"> September 26, 2013</w:t>
      </w:r>
      <w:r w:rsidRPr="00306E29">
        <w:rPr>
          <w:rFonts w:ascii="Book Antiqua" w:hAnsi="Book Antiqua"/>
          <w:sz w:val="24"/>
        </w:rPr>
        <w:t xml:space="preserve">  </w:t>
      </w:r>
      <w:r w:rsidRPr="00306E29">
        <w:rPr>
          <w:rFonts w:ascii="Book Antiqua" w:hAnsi="Book Antiqua"/>
          <w:sz w:val="24"/>
          <w:lang w:eastAsia="zh-CN"/>
        </w:rPr>
        <w:t xml:space="preserve">  </w:t>
      </w:r>
      <w:r>
        <w:rPr>
          <w:rFonts w:ascii="Book Antiqua" w:hAnsi="Book Antiqua"/>
          <w:b/>
          <w:sz w:val="24"/>
          <w:lang w:eastAsia="zh-CN"/>
        </w:rPr>
        <w:t xml:space="preserve"> </w:t>
      </w:r>
      <w:r w:rsidRPr="00C56046">
        <w:rPr>
          <w:rFonts w:ascii="Book Antiqua" w:hAnsi="Book Antiqua"/>
          <w:b/>
          <w:sz w:val="24"/>
        </w:rPr>
        <w:t xml:space="preserve"> Revised:</w:t>
      </w:r>
      <w:r>
        <w:rPr>
          <w:rFonts w:ascii="Book Antiqua" w:hAnsi="Book Antiqua"/>
          <w:b/>
          <w:sz w:val="24"/>
          <w:lang w:eastAsia="zh-CN"/>
        </w:rPr>
        <w:t xml:space="preserve"> </w:t>
      </w:r>
      <w:r w:rsidRPr="00306E29">
        <w:rPr>
          <w:rFonts w:ascii="Book Antiqua" w:hAnsi="Book Antiqua"/>
          <w:sz w:val="24"/>
          <w:lang w:eastAsia="zh-CN"/>
        </w:rPr>
        <w:t>October 25, 2013</w:t>
      </w:r>
      <w:r w:rsidRPr="00306E29">
        <w:rPr>
          <w:rFonts w:ascii="Book Antiqua" w:hAnsi="Book Antiqua"/>
          <w:sz w:val="24"/>
        </w:rPr>
        <w:t xml:space="preserve"> </w:t>
      </w:r>
      <w:bookmarkEnd w:id="106"/>
      <w:bookmarkEnd w:id="107"/>
      <w:r w:rsidRPr="00306E29">
        <w:rPr>
          <w:rFonts w:ascii="Book Antiqua" w:hAnsi="Book Antiqua"/>
          <w:sz w:val="24"/>
        </w:rPr>
        <w:t xml:space="preserve"> </w:t>
      </w:r>
      <w:bookmarkStart w:id="151" w:name="OLE_LINK103"/>
      <w:bookmarkStart w:id="152" w:name="OLE_LINK104"/>
      <w:bookmarkStart w:id="153" w:name="OLE_LINK69"/>
      <w:bookmarkStart w:id="154" w:name="OLE_LINK70"/>
    </w:p>
    <w:p w:rsidR="00E91B1B" w:rsidRPr="0012526C" w:rsidRDefault="008A6899" w:rsidP="00E91B1B">
      <w:pPr>
        <w:rPr>
          <w:rFonts w:ascii="Book Antiqua" w:hAnsi="Book Antiqua"/>
          <w:sz w:val="24"/>
          <w:szCs w:val="24"/>
        </w:rPr>
      </w:pPr>
      <w:bookmarkStart w:id="155" w:name="OLE_LINK303"/>
      <w:bookmarkStart w:id="156" w:name="OLE_LINK304"/>
      <w:bookmarkStart w:id="157" w:name="OLE_LINK1382"/>
      <w:bookmarkStart w:id="158" w:name="OLE_LINK2188"/>
      <w:bookmarkStart w:id="159" w:name="OLE_LINK2189"/>
      <w:bookmarkStart w:id="160" w:name="OLE_LINK2615"/>
      <w:r w:rsidRPr="00C56046">
        <w:rPr>
          <w:rFonts w:ascii="Book Antiqua" w:hAnsi="Book Antiqua"/>
          <w:b/>
          <w:sz w:val="24"/>
        </w:rPr>
        <w:t xml:space="preserve">Accepted: </w:t>
      </w:r>
      <w:r w:rsidR="00E91B1B" w:rsidRPr="0012526C">
        <w:rPr>
          <w:rFonts w:ascii="Book Antiqua" w:hAnsi="Book Antiqua"/>
          <w:sz w:val="24"/>
          <w:szCs w:val="24"/>
        </w:rPr>
        <w:t>November 3, 2013</w:t>
      </w:r>
    </w:p>
    <w:p w:rsidR="008A6899" w:rsidRDefault="008A6899" w:rsidP="004E2489">
      <w:pPr>
        <w:adjustRightInd w:val="0"/>
        <w:snapToGrid w:val="0"/>
        <w:spacing w:after="0" w:line="360" w:lineRule="auto"/>
        <w:jc w:val="both"/>
        <w:rPr>
          <w:rFonts w:ascii="Book Antiqua" w:hAnsi="Book Antiqua"/>
          <w:b/>
          <w:sz w:val="24"/>
          <w:lang w:eastAsia="zh-CN"/>
        </w:rPr>
      </w:pPr>
      <w:bookmarkStart w:id="161" w:name="_GoBack"/>
      <w:bookmarkEnd w:id="161"/>
      <w:r w:rsidRPr="00C56046">
        <w:rPr>
          <w:rFonts w:ascii="Book Antiqua" w:hAnsi="Book Antiqua"/>
          <w:b/>
          <w:sz w:val="24"/>
        </w:rPr>
        <w:t xml:space="preserve"> </w:t>
      </w:r>
    </w:p>
    <w:p w:rsidR="008A6899" w:rsidRPr="00C56046" w:rsidRDefault="008A6899" w:rsidP="004E2489">
      <w:pPr>
        <w:adjustRightInd w:val="0"/>
        <w:snapToGrid w:val="0"/>
        <w:spacing w:after="0" w:line="360" w:lineRule="auto"/>
        <w:jc w:val="both"/>
        <w:rPr>
          <w:rFonts w:ascii="Book Antiqua" w:hAnsi="Book Antiqua"/>
          <w:b/>
          <w:sz w:val="24"/>
        </w:rPr>
      </w:pPr>
      <w:r w:rsidRPr="00C56046">
        <w:rPr>
          <w:rFonts w:ascii="Book Antiqua" w:hAnsi="Book Antiqua"/>
          <w:b/>
          <w:sz w:val="24"/>
        </w:rPr>
        <w:t xml:space="preserve">Published online: </w:t>
      </w:r>
      <w:bookmarkEnd w:id="151"/>
      <w:bookmarkEnd w:id="152"/>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103"/>
    <w:bookmarkEnd w:id="104"/>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3"/>
    <w:bookmarkEnd w:id="154"/>
    <w:bookmarkEnd w:id="155"/>
    <w:bookmarkEnd w:id="156"/>
    <w:bookmarkEnd w:id="157"/>
    <w:bookmarkEnd w:id="158"/>
    <w:bookmarkEnd w:id="159"/>
    <w:bookmarkEnd w:id="160"/>
    <w:p w:rsidR="008A6899" w:rsidRPr="00306E29" w:rsidRDefault="008A6899" w:rsidP="004E2489">
      <w:pPr>
        <w:snapToGrid w:val="0"/>
        <w:spacing w:after="0" w:line="360" w:lineRule="auto"/>
        <w:jc w:val="both"/>
        <w:rPr>
          <w:rFonts w:ascii="Book Antiqua" w:hAnsi="Book Antiqua"/>
          <w:b/>
          <w:sz w:val="24"/>
          <w:szCs w:val="24"/>
          <w:lang w:eastAsia="zh-CN"/>
        </w:rPr>
      </w:pPr>
    </w:p>
    <w:p w:rsidR="008A6899" w:rsidRPr="008C3A92" w:rsidRDefault="008A6899" w:rsidP="004E2489">
      <w:pPr>
        <w:snapToGrid w:val="0"/>
        <w:spacing w:after="0" w:line="360" w:lineRule="auto"/>
        <w:jc w:val="both"/>
        <w:rPr>
          <w:rFonts w:ascii="Book Antiqua" w:hAnsi="Book Antiqua"/>
          <w:b/>
          <w:sz w:val="24"/>
          <w:szCs w:val="24"/>
        </w:rPr>
      </w:pPr>
    </w:p>
    <w:p w:rsidR="008A6899" w:rsidRPr="008C3A92" w:rsidRDefault="008A6899" w:rsidP="004E2489">
      <w:pPr>
        <w:snapToGrid w:val="0"/>
        <w:spacing w:after="0" w:line="360" w:lineRule="auto"/>
        <w:jc w:val="both"/>
        <w:rPr>
          <w:rFonts w:ascii="Book Antiqua" w:hAnsi="Book Antiqua"/>
          <w:b/>
          <w:sz w:val="24"/>
          <w:szCs w:val="24"/>
        </w:rPr>
      </w:pPr>
    </w:p>
    <w:p w:rsidR="008A6899" w:rsidRPr="008C3A92" w:rsidRDefault="008A6899" w:rsidP="004E2489">
      <w:pPr>
        <w:snapToGrid w:val="0"/>
        <w:spacing w:after="0" w:line="360" w:lineRule="auto"/>
        <w:jc w:val="both"/>
        <w:rPr>
          <w:rFonts w:ascii="Book Antiqua" w:hAnsi="Book Antiqua"/>
          <w:b/>
          <w:sz w:val="24"/>
          <w:szCs w:val="24"/>
        </w:rPr>
      </w:pPr>
      <w:r w:rsidRPr="008C3A92">
        <w:rPr>
          <w:rFonts w:ascii="Book Antiqua" w:hAnsi="Book Antiqua"/>
          <w:b/>
          <w:sz w:val="24"/>
          <w:szCs w:val="24"/>
        </w:rPr>
        <w:br w:type="page"/>
      </w:r>
    </w:p>
    <w:p w:rsidR="008A6899" w:rsidRPr="008C3A92" w:rsidRDefault="008A6899" w:rsidP="004E2489">
      <w:pPr>
        <w:snapToGrid w:val="0"/>
        <w:spacing w:after="0" w:line="360" w:lineRule="auto"/>
        <w:jc w:val="both"/>
        <w:rPr>
          <w:rFonts w:ascii="Book Antiqua" w:hAnsi="Book Antiqua"/>
          <w:b/>
          <w:sz w:val="24"/>
          <w:szCs w:val="24"/>
          <w:lang w:val="en-US"/>
        </w:rPr>
      </w:pPr>
      <w:r w:rsidRPr="008C3A92">
        <w:rPr>
          <w:rFonts w:ascii="Book Antiqua" w:hAnsi="Book Antiqua"/>
          <w:b/>
          <w:sz w:val="24"/>
          <w:szCs w:val="24"/>
          <w:lang w:val="en-US"/>
        </w:rPr>
        <w:t>Abstract</w:t>
      </w:r>
    </w:p>
    <w:p w:rsidR="008A6899" w:rsidRPr="008C3A92" w:rsidRDefault="008A6899" w:rsidP="004E2489">
      <w:pPr>
        <w:snapToGrid w:val="0"/>
        <w:spacing w:after="0" w:line="360" w:lineRule="auto"/>
        <w:jc w:val="both"/>
        <w:rPr>
          <w:rFonts w:ascii="Book Antiqua" w:hAnsi="Book Antiqua"/>
          <w:sz w:val="24"/>
          <w:szCs w:val="24"/>
          <w:lang w:val="en-US" w:eastAsia="zh-CN"/>
        </w:rPr>
      </w:pPr>
      <w:r w:rsidRPr="008C3A92">
        <w:rPr>
          <w:rFonts w:ascii="Book Antiqua" w:hAnsi="Book Antiqua"/>
          <w:b/>
          <w:sz w:val="24"/>
          <w:szCs w:val="24"/>
          <w:lang w:val="en-US"/>
        </w:rPr>
        <w:t>AIM:</w:t>
      </w:r>
      <w:r w:rsidRPr="008C3A92">
        <w:rPr>
          <w:rFonts w:ascii="Book Antiqua" w:hAnsi="Book Antiqua"/>
          <w:sz w:val="24"/>
          <w:szCs w:val="24"/>
          <w:lang w:val="en-US"/>
        </w:rPr>
        <w:t xml:space="preserve"> To validate whether the platelet count/spleen size ratio can be used to predict the presence of esophageal varices in Mexican patients with hepatic cirrhosis.</w:t>
      </w:r>
    </w:p>
    <w:p w:rsidR="008A6899" w:rsidRPr="008C3A92" w:rsidRDefault="008A6899" w:rsidP="004E2489">
      <w:pPr>
        <w:snapToGrid w:val="0"/>
        <w:spacing w:after="0" w:line="360" w:lineRule="auto"/>
        <w:jc w:val="both"/>
        <w:rPr>
          <w:rFonts w:ascii="Book Antiqua" w:hAnsi="Book Antiqua"/>
          <w:sz w:val="24"/>
          <w:szCs w:val="24"/>
          <w:lang w:val="en-US" w:eastAsia="zh-CN"/>
        </w:rPr>
      </w:pPr>
    </w:p>
    <w:p w:rsidR="008A6899" w:rsidRPr="008C3A92" w:rsidRDefault="008A6899" w:rsidP="004E2489">
      <w:pPr>
        <w:snapToGrid w:val="0"/>
        <w:spacing w:after="0" w:line="360" w:lineRule="auto"/>
        <w:jc w:val="both"/>
        <w:rPr>
          <w:rFonts w:ascii="Book Antiqua" w:hAnsi="Book Antiqua"/>
          <w:sz w:val="24"/>
          <w:szCs w:val="24"/>
          <w:lang w:val="en-US" w:eastAsia="zh-CN"/>
        </w:rPr>
      </w:pPr>
      <w:r w:rsidRPr="008C3A92">
        <w:rPr>
          <w:rFonts w:ascii="Book Antiqua" w:hAnsi="Book Antiqua"/>
          <w:b/>
          <w:sz w:val="24"/>
          <w:szCs w:val="24"/>
          <w:lang w:val="en-US"/>
        </w:rPr>
        <w:t>METHODS:</w:t>
      </w:r>
      <w:r w:rsidRPr="008C3A92">
        <w:rPr>
          <w:rFonts w:ascii="Book Antiqua" w:hAnsi="Book Antiqua"/>
          <w:bCs/>
          <w:sz w:val="24"/>
          <w:szCs w:val="24"/>
          <w:lang w:val="en-US"/>
        </w:rPr>
        <w:t xml:space="preserve"> </w:t>
      </w:r>
      <w:r w:rsidRPr="008C3A92">
        <w:rPr>
          <w:rFonts w:ascii="Book Antiqua" w:hAnsi="Book Antiqua"/>
          <w:sz w:val="24"/>
          <w:szCs w:val="24"/>
          <w:lang w:val="en-US"/>
        </w:rPr>
        <w:t>This was an analytical cross-sectional study to validate the diagnostic test for hepatic cirrhosis and was performed between February 2010 and December 2011. Patients with a diagnosis of hepatic cirrhosis were included and stratified using their Child–Pugh score. Biochemical parameters were evaluated, and ultrasound was used to measure the longest diameter of the spleen. The platelet count/spleen diameter ratio was calculated and analyzed to determine whether it can predict the presence of esophageal varices. Upper gastrointestinal endoscopy was used as the gold standard. Sensitivity and specificity, positive and negative predictive values, and positive and negative likelihood ratios were determined, with the cutoff points determined by receiver-operating characteristic curves.</w:t>
      </w:r>
    </w:p>
    <w:p w:rsidR="008A6899" w:rsidRPr="008C3A92" w:rsidRDefault="008A6899" w:rsidP="004E2489">
      <w:pPr>
        <w:snapToGrid w:val="0"/>
        <w:spacing w:after="0" w:line="360" w:lineRule="auto"/>
        <w:jc w:val="both"/>
        <w:rPr>
          <w:rFonts w:ascii="Book Antiqua" w:hAnsi="Book Antiqua"/>
          <w:sz w:val="24"/>
          <w:szCs w:val="24"/>
          <w:lang w:val="en-US" w:eastAsia="zh-CN"/>
        </w:rPr>
      </w:pPr>
    </w:p>
    <w:p w:rsidR="008A6899" w:rsidRPr="008C3A92" w:rsidRDefault="008A6899" w:rsidP="004E2489">
      <w:pPr>
        <w:snapToGrid w:val="0"/>
        <w:spacing w:after="0" w:line="360" w:lineRule="auto"/>
        <w:jc w:val="both"/>
        <w:rPr>
          <w:rFonts w:ascii="Book Antiqua" w:hAnsi="Book Antiqua"/>
          <w:sz w:val="24"/>
          <w:szCs w:val="24"/>
          <w:lang w:val="en-US" w:eastAsia="zh-CN"/>
        </w:rPr>
      </w:pPr>
      <w:r w:rsidRPr="008C3A92">
        <w:rPr>
          <w:rFonts w:ascii="Book Antiqua" w:hAnsi="Book Antiqua"/>
          <w:b/>
          <w:sz w:val="24"/>
          <w:szCs w:val="24"/>
          <w:lang w:val="en-US"/>
        </w:rPr>
        <w:t>RESULTS:</w:t>
      </w:r>
      <w:r w:rsidRPr="008C3A92">
        <w:rPr>
          <w:rFonts w:ascii="Book Antiqua" w:hAnsi="Book Antiqua"/>
          <w:bCs/>
          <w:sz w:val="24"/>
          <w:szCs w:val="24"/>
          <w:lang w:val="en-US"/>
        </w:rPr>
        <w:t xml:space="preserve"> </w:t>
      </w:r>
      <w:r w:rsidRPr="008C3A92">
        <w:rPr>
          <w:rFonts w:ascii="Book Antiqua" w:hAnsi="Book Antiqua"/>
          <w:sz w:val="24"/>
          <w:szCs w:val="24"/>
          <w:lang w:val="en-US"/>
        </w:rPr>
        <w:t xml:space="preserve">A total of 91 patients were included. The mean age was </w:t>
      </w:r>
      <w:r w:rsidRPr="008C3A92">
        <w:rPr>
          <w:rFonts w:ascii="Book Antiqua" w:hAnsi="Book Antiqua"/>
          <w:color w:val="000000"/>
          <w:sz w:val="24"/>
          <w:szCs w:val="24"/>
          <w:lang w:val="en-US"/>
        </w:rPr>
        <w:t xml:space="preserve">53.75 ± 12 </w:t>
      </w:r>
      <w:r w:rsidRPr="008C3A92">
        <w:rPr>
          <w:rFonts w:ascii="Book Antiqua" w:hAnsi="Book Antiqua"/>
          <w:sz w:val="24"/>
          <w:szCs w:val="24"/>
          <w:lang w:val="en-US"/>
        </w:rPr>
        <w:t xml:space="preserve">years; 50 (54.9%) were men, and 41 (45.0%) women. The etiology of cirrhosis included alcohol in 48 (52.7%), virally induced in 24 (26.3%), alcoholism plus </w:t>
      </w:r>
      <w:r w:rsidRPr="00BC1164">
        <w:rPr>
          <w:rFonts w:ascii="Book Antiqua" w:hAnsi="Book Antiqua"/>
          <w:sz w:val="24"/>
          <w:szCs w:val="24"/>
          <w:lang w:val="en-US"/>
        </w:rPr>
        <w:t>hepatitis C</w:t>
      </w:r>
      <w:r>
        <w:rPr>
          <w:rFonts w:ascii="Book Antiqua" w:hAnsi="Book Antiqua"/>
          <w:sz w:val="24"/>
          <w:szCs w:val="24"/>
          <w:lang w:val="en-US" w:eastAsia="zh-CN"/>
        </w:rPr>
        <w:t xml:space="preserve"> virus</w:t>
      </w:r>
      <w:r w:rsidRPr="008C3A92">
        <w:rPr>
          <w:rFonts w:ascii="Book Antiqua" w:hAnsi="Book Antiqua"/>
          <w:sz w:val="24"/>
          <w:szCs w:val="24"/>
          <w:lang w:val="en-US"/>
        </w:rPr>
        <w:t xml:space="preserve"> in three (3.2%), cryptogenic in nine (9.8%), and primary biliary cirrhosis in seven (7.6%). Esophageal varices were present in 73 (80.2%) patients. Child–Pugh classification, 17 (18.6%) patients were classified as class A, 37 (40.6%) as class B, and 37 (40.6%) as class C. The platelet count/spleen diameter ratio to detect esophageal varices independent of the grade showed using a cutoff value of </w:t>
      </w:r>
      <w:r w:rsidRPr="008C3A92">
        <w:rPr>
          <w:rFonts w:ascii="Book Antiqua" w:hAnsi="Book Antiqua"/>
          <w:sz w:val="24"/>
          <w:szCs w:val="24"/>
          <w:lang w:val="en-US"/>
        </w:rPr>
        <w:sym w:font="Symbol" w:char="F0A3"/>
      </w:r>
      <w:r>
        <w:rPr>
          <w:rFonts w:ascii="Book Antiqua" w:hAnsi="Book Antiqua"/>
          <w:sz w:val="24"/>
          <w:szCs w:val="24"/>
          <w:lang w:val="en-US" w:eastAsia="zh-CN"/>
        </w:rPr>
        <w:t xml:space="preserve"> </w:t>
      </w:r>
      <w:r w:rsidRPr="008C3A92">
        <w:rPr>
          <w:rFonts w:ascii="Book Antiqua" w:hAnsi="Book Antiqua"/>
          <w:sz w:val="24"/>
          <w:szCs w:val="24"/>
          <w:lang w:val="en-US"/>
        </w:rPr>
        <w:t>884.3, had</w:t>
      </w:r>
      <w:r>
        <w:rPr>
          <w:rFonts w:ascii="Book Antiqua" w:hAnsi="Book Antiqua"/>
          <w:sz w:val="24"/>
          <w:szCs w:val="24"/>
          <w:lang w:val="en-US"/>
        </w:rPr>
        <w:t xml:space="preserve"> </w:t>
      </w:r>
      <w:r w:rsidRPr="008C3A92">
        <w:rPr>
          <w:rFonts w:ascii="Book Antiqua" w:hAnsi="Book Antiqua"/>
          <w:sz w:val="24"/>
          <w:szCs w:val="24"/>
          <w:lang w:val="en-US"/>
        </w:rPr>
        <w:t>84% sensitivity, 70% specificity, and positive and negative predictive values of 94% and 40%, respectively.</w:t>
      </w:r>
    </w:p>
    <w:p w:rsidR="008A6899" w:rsidRPr="008C3A92" w:rsidRDefault="008A6899" w:rsidP="004E2489">
      <w:pPr>
        <w:snapToGrid w:val="0"/>
        <w:spacing w:after="0" w:line="360" w:lineRule="auto"/>
        <w:jc w:val="both"/>
        <w:rPr>
          <w:rFonts w:ascii="Book Antiqua" w:hAnsi="Book Antiqua"/>
          <w:sz w:val="24"/>
          <w:szCs w:val="24"/>
          <w:lang w:val="en-US" w:eastAsia="zh-CN"/>
        </w:rPr>
      </w:pPr>
    </w:p>
    <w:p w:rsidR="008A6899" w:rsidRPr="008C3A92" w:rsidRDefault="008A6899" w:rsidP="004E2489">
      <w:pPr>
        <w:snapToGrid w:val="0"/>
        <w:spacing w:after="0" w:line="360" w:lineRule="auto"/>
        <w:jc w:val="both"/>
        <w:rPr>
          <w:rFonts w:ascii="Book Antiqua" w:hAnsi="Book Antiqua"/>
          <w:sz w:val="24"/>
          <w:szCs w:val="24"/>
          <w:lang w:val="en-US"/>
        </w:rPr>
      </w:pPr>
      <w:r w:rsidRPr="008C3A92">
        <w:rPr>
          <w:rFonts w:ascii="Book Antiqua" w:hAnsi="Book Antiqua"/>
          <w:b/>
          <w:sz w:val="24"/>
          <w:szCs w:val="24"/>
          <w:lang w:val="en-US"/>
        </w:rPr>
        <w:t>CONCLUSION:</w:t>
      </w:r>
      <w:r w:rsidRPr="008C3A92">
        <w:rPr>
          <w:rFonts w:ascii="Book Antiqua" w:hAnsi="Book Antiqua"/>
          <w:bCs/>
          <w:sz w:val="24"/>
          <w:szCs w:val="24"/>
          <w:lang w:val="en-US"/>
        </w:rPr>
        <w:t xml:space="preserve"> </w:t>
      </w:r>
      <w:r w:rsidRPr="008C3A92">
        <w:rPr>
          <w:rFonts w:ascii="Book Antiqua" w:hAnsi="Book Antiqua"/>
          <w:sz w:val="24"/>
          <w:szCs w:val="24"/>
          <w:lang w:val="en-US"/>
        </w:rPr>
        <w:t>Our results suggest that the platelet count/spleen diameter ratio may be a useful tool for detecting esophageal varices in patients with hepatic cirrhosis.</w:t>
      </w:r>
    </w:p>
    <w:p w:rsidR="008A6899" w:rsidRDefault="008A6899" w:rsidP="004E2489">
      <w:pPr>
        <w:snapToGrid w:val="0"/>
        <w:spacing w:after="0" w:line="360" w:lineRule="auto"/>
        <w:jc w:val="both"/>
        <w:rPr>
          <w:rFonts w:ascii="Book Antiqua" w:hAnsi="Book Antiqua"/>
          <w:b/>
          <w:sz w:val="24"/>
          <w:szCs w:val="24"/>
          <w:lang w:val="en-US" w:eastAsia="zh-CN"/>
        </w:rPr>
      </w:pPr>
    </w:p>
    <w:p w:rsidR="008A6899" w:rsidRPr="00C56046" w:rsidRDefault="008A6899" w:rsidP="004E2489">
      <w:pPr>
        <w:adjustRightInd w:val="0"/>
        <w:snapToGrid w:val="0"/>
        <w:spacing w:line="360" w:lineRule="auto"/>
        <w:jc w:val="both"/>
        <w:rPr>
          <w:rFonts w:ascii="Book Antiqua" w:hAnsi="Book Antiqua"/>
          <w:sz w:val="24"/>
        </w:rPr>
      </w:pPr>
      <w:bookmarkStart w:id="162" w:name="OLE_LINK98"/>
      <w:bookmarkStart w:id="163" w:name="OLE_LINK156"/>
      <w:bookmarkStart w:id="164" w:name="OLE_LINK196"/>
      <w:bookmarkStart w:id="165" w:name="OLE_LINK217"/>
      <w:bookmarkStart w:id="166" w:name="OLE_LINK242"/>
      <w:bookmarkStart w:id="167" w:name="OLE_LINK247"/>
      <w:bookmarkStart w:id="168" w:name="OLE_LINK311"/>
      <w:bookmarkStart w:id="169" w:name="OLE_LINK312"/>
      <w:bookmarkStart w:id="170" w:name="OLE_LINK325"/>
      <w:bookmarkStart w:id="171" w:name="OLE_LINK330"/>
      <w:bookmarkStart w:id="172" w:name="OLE_LINK513"/>
      <w:bookmarkStart w:id="173" w:name="OLE_LINK514"/>
      <w:bookmarkStart w:id="174" w:name="OLE_LINK464"/>
      <w:bookmarkStart w:id="175" w:name="OLE_LINK465"/>
      <w:bookmarkStart w:id="176" w:name="OLE_LINK466"/>
      <w:bookmarkStart w:id="177" w:name="OLE_LINK470"/>
      <w:bookmarkStart w:id="178" w:name="OLE_LINK471"/>
      <w:bookmarkStart w:id="179" w:name="OLE_LINK472"/>
      <w:bookmarkStart w:id="180" w:name="OLE_LINK474"/>
      <w:bookmarkStart w:id="181" w:name="OLE_LINK512"/>
      <w:bookmarkStart w:id="182" w:name="OLE_LINK800"/>
      <w:bookmarkStart w:id="183" w:name="OLE_LINK982"/>
      <w:bookmarkStart w:id="184" w:name="OLE_LINK1027"/>
      <w:bookmarkStart w:id="185" w:name="OLE_LINK504"/>
      <w:bookmarkStart w:id="186" w:name="OLE_LINK546"/>
      <w:bookmarkStart w:id="187" w:name="OLE_LINK547"/>
      <w:bookmarkStart w:id="188" w:name="OLE_LINK575"/>
      <w:bookmarkStart w:id="189" w:name="OLE_LINK640"/>
      <w:bookmarkStart w:id="190" w:name="OLE_LINK672"/>
      <w:bookmarkStart w:id="191" w:name="OLE_LINK714"/>
      <w:bookmarkStart w:id="192" w:name="OLE_LINK651"/>
      <w:bookmarkStart w:id="193" w:name="OLE_LINK652"/>
      <w:bookmarkStart w:id="194" w:name="OLE_LINK744"/>
      <w:bookmarkStart w:id="195" w:name="OLE_LINK758"/>
      <w:bookmarkStart w:id="196" w:name="OLE_LINK787"/>
      <w:bookmarkStart w:id="197" w:name="OLE_LINK807"/>
      <w:bookmarkStart w:id="198" w:name="OLE_LINK820"/>
      <w:bookmarkStart w:id="199" w:name="OLE_LINK862"/>
      <w:bookmarkStart w:id="200" w:name="OLE_LINK879"/>
      <w:bookmarkStart w:id="201" w:name="OLE_LINK906"/>
      <w:bookmarkStart w:id="202" w:name="OLE_LINK928"/>
      <w:bookmarkStart w:id="203" w:name="OLE_LINK960"/>
      <w:bookmarkStart w:id="204" w:name="OLE_LINK861"/>
      <w:bookmarkStart w:id="205" w:name="OLE_LINK983"/>
      <w:bookmarkStart w:id="206" w:name="OLE_LINK1334"/>
      <w:bookmarkStart w:id="207" w:name="OLE_LINK1029"/>
      <w:bookmarkStart w:id="208" w:name="OLE_LINK1060"/>
      <w:bookmarkStart w:id="209" w:name="OLE_LINK1061"/>
      <w:bookmarkStart w:id="210" w:name="OLE_LINK1348"/>
      <w:bookmarkStart w:id="211" w:name="OLE_LINK1086"/>
      <w:bookmarkStart w:id="212" w:name="OLE_LINK1100"/>
      <w:bookmarkStart w:id="213" w:name="OLE_LINK1125"/>
      <w:bookmarkStart w:id="214" w:name="OLE_LINK1163"/>
      <w:bookmarkStart w:id="215" w:name="OLE_LINK1193"/>
      <w:bookmarkStart w:id="216" w:name="OLE_LINK1219"/>
      <w:bookmarkStart w:id="217" w:name="OLE_LINK1247"/>
      <w:bookmarkStart w:id="218" w:name="OLE_LINK1284"/>
      <w:bookmarkStart w:id="219" w:name="OLE_LINK1313"/>
      <w:bookmarkStart w:id="220" w:name="OLE_LINK1361"/>
      <w:bookmarkStart w:id="221" w:name="OLE_LINK1384"/>
      <w:bookmarkStart w:id="222" w:name="OLE_LINK1403"/>
      <w:bookmarkStart w:id="223" w:name="OLE_LINK1437"/>
      <w:bookmarkStart w:id="224" w:name="OLE_LINK1454"/>
      <w:bookmarkStart w:id="225" w:name="OLE_LINK1480"/>
      <w:bookmarkStart w:id="226" w:name="OLE_LINK1504"/>
      <w:bookmarkStart w:id="227" w:name="OLE_LINK1516"/>
      <w:bookmarkStart w:id="228" w:name="OLE_LINK135"/>
      <w:bookmarkStart w:id="229" w:name="OLE_LINK216"/>
      <w:bookmarkStart w:id="230" w:name="OLE_LINK259"/>
      <w:bookmarkStart w:id="231" w:name="OLE_LINK1186"/>
      <w:bookmarkStart w:id="232" w:name="OLE_LINK1265"/>
      <w:bookmarkStart w:id="233" w:name="OLE_LINK1373"/>
      <w:bookmarkStart w:id="234" w:name="OLE_LINK1478"/>
      <w:bookmarkStart w:id="235" w:name="OLE_LINK1644"/>
      <w:bookmarkStart w:id="236" w:name="OLE_LINK1884"/>
      <w:bookmarkStart w:id="237" w:name="OLE_LINK1885"/>
      <w:bookmarkStart w:id="238" w:name="OLE_LINK1538"/>
      <w:bookmarkStart w:id="239" w:name="OLE_LINK1539"/>
      <w:bookmarkStart w:id="240" w:name="OLE_LINK1543"/>
      <w:bookmarkStart w:id="241" w:name="OLE_LINK1549"/>
      <w:bookmarkStart w:id="242" w:name="OLE_LINK1778"/>
      <w:bookmarkStart w:id="243" w:name="OLE_LINK1756"/>
      <w:bookmarkStart w:id="244" w:name="OLE_LINK1776"/>
      <w:bookmarkStart w:id="245" w:name="OLE_LINK1777"/>
      <w:bookmarkStart w:id="246" w:name="OLE_LINK1868"/>
      <w:bookmarkStart w:id="247" w:name="OLE_LINK1744"/>
      <w:bookmarkStart w:id="248" w:name="OLE_LINK1817"/>
      <w:bookmarkStart w:id="249" w:name="OLE_LINK1835"/>
      <w:bookmarkStart w:id="250" w:name="OLE_LINK1866"/>
      <w:bookmarkStart w:id="251" w:name="OLE_LINK1882"/>
      <w:bookmarkStart w:id="252" w:name="OLE_LINK1901"/>
      <w:bookmarkStart w:id="253" w:name="OLE_LINK1902"/>
      <w:bookmarkStart w:id="254" w:name="OLE_LINK2013"/>
      <w:bookmarkStart w:id="255" w:name="OLE_LINK1894"/>
      <w:bookmarkStart w:id="256" w:name="OLE_LINK1929"/>
      <w:bookmarkStart w:id="257" w:name="OLE_LINK1941"/>
      <w:bookmarkStart w:id="258" w:name="OLE_LINK1995"/>
      <w:bookmarkStart w:id="259" w:name="OLE_LINK1938"/>
      <w:bookmarkStart w:id="260" w:name="OLE_LINK2081"/>
      <w:bookmarkStart w:id="261" w:name="OLE_LINK2082"/>
      <w:bookmarkStart w:id="262" w:name="OLE_LINK2292"/>
      <w:bookmarkStart w:id="263" w:name="OLE_LINK1931"/>
      <w:bookmarkStart w:id="264" w:name="OLE_LINK1964"/>
      <w:bookmarkStart w:id="265" w:name="OLE_LINK2020"/>
      <w:bookmarkStart w:id="266" w:name="OLE_LINK2071"/>
      <w:bookmarkStart w:id="267" w:name="OLE_LINK2134"/>
      <w:bookmarkStart w:id="268" w:name="OLE_LINK2265"/>
      <w:bookmarkStart w:id="269" w:name="OLE_LINK2562"/>
      <w:bookmarkStart w:id="270" w:name="OLE_LINK1923"/>
      <w:bookmarkStart w:id="271" w:name="OLE_LINK2192"/>
      <w:bookmarkStart w:id="272" w:name="OLE_LINK2110"/>
      <w:bookmarkStart w:id="273" w:name="OLE_LINK2445"/>
      <w:bookmarkStart w:id="274" w:name="OLE_LINK2446"/>
      <w:bookmarkStart w:id="275" w:name="OLE_LINK2169"/>
      <w:bookmarkStart w:id="276" w:name="OLE_LINK2190"/>
      <w:bookmarkStart w:id="277" w:name="OLE_LINK2331"/>
      <w:bookmarkStart w:id="278" w:name="OLE_LINK2345"/>
      <w:bookmarkStart w:id="279" w:name="OLE_LINK2467"/>
      <w:bookmarkStart w:id="280" w:name="OLE_LINK2484"/>
      <w:bookmarkStart w:id="281" w:name="OLE_LINK2157"/>
      <w:bookmarkStart w:id="282" w:name="OLE_LINK2221"/>
      <w:bookmarkStart w:id="283" w:name="OLE_LINK2252"/>
      <w:bookmarkStart w:id="284" w:name="OLE_LINK2348"/>
      <w:bookmarkStart w:id="285" w:name="OLE_LINK2451"/>
      <w:bookmarkStart w:id="286" w:name="OLE_LINK2627"/>
      <w:bookmarkStart w:id="287" w:name="OLE_LINK2482"/>
      <w:bookmarkStart w:id="288" w:name="OLE_LINK2663"/>
      <w:bookmarkStart w:id="289" w:name="OLE_LINK2761"/>
      <w:bookmarkStart w:id="290" w:name="OLE_LINK2856"/>
      <w:bookmarkStart w:id="291" w:name="OLE_LINK2993"/>
      <w:bookmarkStart w:id="292" w:name="OLE_LINK2643"/>
      <w:bookmarkStart w:id="293" w:name="OLE_LINK2583"/>
      <w:bookmarkStart w:id="294" w:name="OLE_LINK2762"/>
      <w:bookmarkStart w:id="295" w:name="OLE_LINK2962"/>
      <w:bookmarkStart w:id="296" w:name="OLE_LINK2582"/>
      <w:r w:rsidRPr="00C56046">
        <w:rPr>
          <w:rFonts w:ascii="Book Antiqua" w:hAnsi="Book Antiqua"/>
          <w:sz w:val="24"/>
        </w:rPr>
        <w:lastRenderedPageBreak/>
        <w:t xml:space="preserve">© 2013 Baishideng. All rights reserved.  </w:t>
      </w:r>
    </w:p>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rsidR="008A6899" w:rsidRPr="00BC1164" w:rsidRDefault="008A6899" w:rsidP="004E2489">
      <w:pPr>
        <w:snapToGrid w:val="0"/>
        <w:spacing w:after="0" w:line="360" w:lineRule="auto"/>
        <w:jc w:val="both"/>
        <w:rPr>
          <w:rFonts w:ascii="Book Antiqua" w:hAnsi="Book Antiqua"/>
          <w:b/>
          <w:sz w:val="24"/>
          <w:szCs w:val="24"/>
          <w:lang w:eastAsia="zh-CN"/>
        </w:rPr>
      </w:pPr>
    </w:p>
    <w:p w:rsidR="008A6899" w:rsidRDefault="008A6899" w:rsidP="004E2489">
      <w:pPr>
        <w:snapToGrid w:val="0"/>
        <w:spacing w:after="0" w:line="360" w:lineRule="auto"/>
        <w:jc w:val="both"/>
        <w:rPr>
          <w:rFonts w:ascii="Book Antiqua" w:hAnsi="Book Antiqua"/>
          <w:sz w:val="24"/>
          <w:szCs w:val="24"/>
          <w:lang w:val="en-US" w:eastAsia="zh-CN"/>
        </w:rPr>
      </w:pPr>
      <w:r w:rsidRPr="008C3A92">
        <w:rPr>
          <w:rFonts w:ascii="Book Antiqua" w:hAnsi="Book Antiqua"/>
          <w:b/>
          <w:sz w:val="24"/>
          <w:szCs w:val="24"/>
          <w:lang w:val="en-US"/>
        </w:rPr>
        <w:t>Key words:</w:t>
      </w:r>
      <w:r w:rsidRPr="008C3A92">
        <w:rPr>
          <w:rFonts w:ascii="Book Antiqua" w:hAnsi="Book Antiqua"/>
          <w:sz w:val="24"/>
          <w:szCs w:val="24"/>
          <w:lang w:val="en-US"/>
        </w:rPr>
        <w:t xml:space="preserve"> Platelet count/spleen diameter ratio; Esophageal varices; Hepatic cirrhosis</w:t>
      </w:r>
      <w:r>
        <w:rPr>
          <w:rFonts w:ascii="Book Antiqua" w:hAnsi="Book Antiqua"/>
          <w:sz w:val="24"/>
          <w:szCs w:val="24"/>
          <w:lang w:val="en-US" w:eastAsia="zh-CN"/>
        </w:rPr>
        <w:t xml:space="preserve">; </w:t>
      </w:r>
      <w:r w:rsidRPr="00BC1164">
        <w:rPr>
          <w:rFonts w:ascii="Book Antiqua" w:hAnsi="Book Antiqua"/>
          <w:sz w:val="24"/>
          <w:szCs w:val="24"/>
          <w:lang w:val="en-US"/>
        </w:rPr>
        <w:t>Hepatitis C</w:t>
      </w:r>
      <w:r>
        <w:rPr>
          <w:rFonts w:ascii="Book Antiqua" w:hAnsi="Book Antiqua"/>
          <w:sz w:val="24"/>
          <w:szCs w:val="24"/>
          <w:lang w:val="en-US" w:eastAsia="zh-CN"/>
        </w:rPr>
        <w:t xml:space="preserve"> virus; </w:t>
      </w:r>
      <w:r w:rsidRPr="001B4EF9">
        <w:rPr>
          <w:rFonts w:ascii="Book Antiqua" w:hAnsi="Book Antiqua"/>
          <w:sz w:val="24"/>
          <w:szCs w:val="24"/>
          <w:lang w:val="en-US"/>
        </w:rPr>
        <w:t>Mexican patients</w:t>
      </w:r>
    </w:p>
    <w:p w:rsidR="008A6899" w:rsidRPr="008C3A92" w:rsidRDefault="008A6899" w:rsidP="004E2489">
      <w:pPr>
        <w:snapToGrid w:val="0"/>
        <w:spacing w:after="0" w:line="360" w:lineRule="auto"/>
        <w:jc w:val="both"/>
        <w:rPr>
          <w:rFonts w:ascii="Book Antiqua" w:hAnsi="Book Antiqua"/>
          <w:b/>
          <w:sz w:val="24"/>
          <w:szCs w:val="24"/>
          <w:lang w:val="en-US" w:eastAsia="zh-CN"/>
        </w:rPr>
      </w:pPr>
    </w:p>
    <w:p w:rsidR="008A6899" w:rsidRPr="008C3A92" w:rsidRDefault="008A6899" w:rsidP="004E2489">
      <w:pPr>
        <w:adjustRightInd w:val="0"/>
        <w:snapToGrid w:val="0"/>
        <w:spacing w:after="0" w:line="360" w:lineRule="auto"/>
        <w:jc w:val="both"/>
        <w:rPr>
          <w:rFonts w:ascii="Book Antiqua" w:hAnsi="Book Antiqua" w:cs="宋体"/>
          <w:sz w:val="24"/>
          <w:szCs w:val="24"/>
          <w:lang w:val="en-US"/>
        </w:rPr>
      </w:pPr>
      <w:bookmarkStart w:id="297" w:name="OLE_LINK1196"/>
      <w:bookmarkStart w:id="298" w:name="OLE_LINK1154"/>
      <w:bookmarkStart w:id="299" w:name="OLE_LINK1155"/>
      <w:bookmarkStart w:id="300" w:name="OLE_LINK1322"/>
      <w:bookmarkStart w:id="301" w:name="OLE_LINK1044"/>
      <w:bookmarkStart w:id="302" w:name="OLE_LINK1224"/>
      <w:bookmarkStart w:id="303" w:name="OLE_LINK1225"/>
      <w:bookmarkStart w:id="304" w:name="OLE_LINK1634"/>
      <w:bookmarkStart w:id="305" w:name="OLE_LINK1635"/>
      <w:bookmarkStart w:id="306" w:name="OLE_LINK1762"/>
      <w:bookmarkStart w:id="307" w:name="OLE_LINK1763"/>
      <w:bookmarkStart w:id="308" w:name="OLE_LINK1764"/>
      <w:bookmarkStart w:id="309" w:name="OLE_LINK1939"/>
      <w:bookmarkStart w:id="310" w:name="OLE_LINK2194"/>
      <w:bookmarkStart w:id="311" w:name="OLE_LINK2878"/>
      <w:bookmarkStart w:id="312" w:name="OLE_LINK576"/>
      <w:bookmarkStart w:id="313" w:name="OLE_LINK579"/>
      <w:bookmarkStart w:id="314" w:name="OLE_LINK580"/>
      <w:bookmarkStart w:id="315" w:name="OLE_LINK521"/>
      <w:bookmarkStart w:id="316" w:name="OLE_LINK1043"/>
      <w:bookmarkStart w:id="317" w:name="OLE_LINK1886"/>
      <w:bookmarkStart w:id="318" w:name="OLE_LINK1887"/>
      <w:bookmarkStart w:id="319" w:name="OLE_LINK1888"/>
      <w:bookmarkStart w:id="320" w:name="OLE_LINK1889"/>
      <w:bookmarkStart w:id="321" w:name="OLE_LINK1903"/>
      <w:bookmarkStart w:id="322" w:name="OLE_LINK2083"/>
      <w:bookmarkStart w:id="323" w:name="OLE_LINK2084"/>
      <w:bookmarkStart w:id="324" w:name="OLE_LINK1977"/>
      <w:bookmarkStart w:id="325" w:name="OLE_LINK3258"/>
      <w:bookmarkStart w:id="326" w:name="OLE_LINK581"/>
      <w:bookmarkStart w:id="327" w:name="OLE_LINK582"/>
      <w:bookmarkStart w:id="328" w:name="OLE_LINK994"/>
      <w:bookmarkStart w:id="329" w:name="OLE_LINK995"/>
      <w:bookmarkStart w:id="330" w:name="OLE_LINK1074"/>
      <w:bookmarkStart w:id="331" w:name="OLE_LINK1140"/>
      <w:bookmarkStart w:id="332" w:name="OLE_LINK1127"/>
      <w:bookmarkStart w:id="333" w:name="OLE_LINK1266"/>
      <w:bookmarkStart w:id="334" w:name="OLE_LINK1540"/>
      <w:bookmarkStart w:id="335" w:name="OLE_LINK1541"/>
      <w:bookmarkStart w:id="336" w:name="OLE_LINK1551"/>
      <w:bookmarkStart w:id="337" w:name="OLE_LINK1587"/>
      <w:bookmarkStart w:id="338" w:name="OLE_LINK1601"/>
      <w:bookmarkStart w:id="339" w:name="OLE_LINK1731"/>
      <w:bookmarkStart w:id="340" w:name="OLE_LINK1818"/>
      <w:bookmarkStart w:id="341" w:name="OLE_LINK1965"/>
      <w:bookmarkStart w:id="342" w:name="OLE_LINK1967"/>
      <w:bookmarkStart w:id="343" w:name="OLE_LINK1972"/>
      <w:bookmarkStart w:id="344" w:name="OLE_LINK1973"/>
      <w:bookmarkStart w:id="345" w:name="OLE_LINK2041"/>
      <w:bookmarkStart w:id="346" w:name="OLE_LINK2042"/>
      <w:bookmarkStart w:id="347" w:name="OLE_LINK2063"/>
      <w:bookmarkStart w:id="348" w:name="OLE_LINK2120"/>
      <w:bookmarkStart w:id="349" w:name="OLE_LINK2158"/>
      <w:bookmarkStart w:id="350" w:name="OLE_LINK2180"/>
      <w:bookmarkStart w:id="351" w:name="OLE_LINK2253"/>
      <w:bookmarkStart w:id="352" w:name="OLE_LINK2217"/>
      <w:bookmarkStart w:id="353" w:name="OLE_LINK2236"/>
      <w:bookmarkStart w:id="354" w:name="OLE_LINK2268"/>
      <w:bookmarkStart w:id="355" w:name="OLE_LINK2279"/>
      <w:bookmarkStart w:id="356" w:name="OLE_LINK2313"/>
      <w:bookmarkStart w:id="357" w:name="OLE_LINK2319"/>
      <w:bookmarkStart w:id="358" w:name="OLE_LINK2320"/>
      <w:bookmarkStart w:id="359" w:name="OLE_LINK2366"/>
      <w:bookmarkStart w:id="360" w:name="OLE_LINK2372"/>
      <w:bookmarkStart w:id="361" w:name="OLE_LINK2384"/>
      <w:bookmarkStart w:id="362" w:name="OLE_LINK2464"/>
      <w:bookmarkStart w:id="363" w:name="OLE_LINK2492"/>
      <w:bookmarkStart w:id="364" w:name="OLE_LINK2532"/>
      <w:bookmarkStart w:id="365" w:name="OLE_LINK2405"/>
      <w:bookmarkStart w:id="366" w:name="OLE_LINK2406"/>
      <w:bookmarkStart w:id="367" w:name="OLE_LINK2425"/>
      <w:bookmarkStart w:id="368" w:name="OLE_LINK2478"/>
      <w:bookmarkStart w:id="369" w:name="OLE_LINK525"/>
      <w:bookmarkStart w:id="370" w:name="OLE_LINK894"/>
      <w:r w:rsidRPr="008C3A92">
        <w:rPr>
          <w:rFonts w:ascii="Book Antiqua" w:hAnsi="Book Antiqua" w:cs="宋体"/>
          <w:b/>
          <w:sz w:val="24"/>
          <w:szCs w:val="24"/>
          <w:lang w:val="en-US"/>
        </w:rPr>
        <w:t>Core tip:</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8C3A92">
        <w:rPr>
          <w:rFonts w:ascii="Book Antiqua" w:hAnsi="Book Antiqua" w:cs="宋体"/>
          <w:sz w:val="24"/>
          <w:szCs w:val="24"/>
          <w:lang w:val="en-US"/>
        </w:rPr>
        <w:t xml:space="preserve"> </w:t>
      </w:r>
      <w:bookmarkStart w:id="371" w:name="OLE_LINK2554"/>
      <w:bookmarkStart w:id="372" w:name="OLE_LINK2555"/>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8C3A92">
        <w:rPr>
          <w:rFonts w:ascii="Book Antiqua" w:hAnsi="Book Antiqua" w:cs="宋体"/>
          <w:sz w:val="24"/>
          <w:szCs w:val="24"/>
          <w:lang w:val="en-US"/>
        </w:rPr>
        <w:t>Using noninvasive parameters for high-risk esophageal varices may reduce the need for endoscopies. The ratio of platelet count/diameter of the spleen (PC/SD ratio) is the principal noninvasive predictor of esophageal varices for stratifying patients with cirrhosis. These parameters are easy to obtain, reproducible and noninvasive.</w:t>
      </w:r>
      <w:r>
        <w:rPr>
          <w:rFonts w:ascii="Book Antiqua" w:hAnsi="Book Antiqua" w:cs="宋体"/>
          <w:sz w:val="24"/>
          <w:szCs w:val="24"/>
          <w:lang w:val="en-US"/>
        </w:rPr>
        <w:t xml:space="preserve">  </w:t>
      </w:r>
      <w:r w:rsidRPr="008C3A92">
        <w:rPr>
          <w:rFonts w:ascii="Book Antiqua" w:hAnsi="Book Antiqua" w:cs="宋体"/>
          <w:sz w:val="24"/>
          <w:szCs w:val="24"/>
          <w:lang w:val="en-US"/>
        </w:rPr>
        <w:t>In our study, the cutoff point for PC/SD ratio was lower than that reported in previous literature (&lt;</w:t>
      </w:r>
      <w:r>
        <w:rPr>
          <w:rFonts w:ascii="Book Antiqua" w:hAnsi="Book Antiqua" w:cs="宋体"/>
          <w:sz w:val="24"/>
          <w:szCs w:val="24"/>
          <w:lang w:val="en-US" w:eastAsia="zh-CN"/>
        </w:rPr>
        <w:t xml:space="preserve"> </w:t>
      </w:r>
      <w:r w:rsidRPr="008C3A92">
        <w:rPr>
          <w:rFonts w:ascii="Book Antiqua" w:hAnsi="Book Antiqua" w:cs="宋体"/>
          <w:sz w:val="24"/>
          <w:szCs w:val="24"/>
          <w:lang w:val="en-US"/>
        </w:rPr>
        <w:t>884.3 and &lt;</w:t>
      </w:r>
      <w:r>
        <w:rPr>
          <w:rFonts w:ascii="Book Antiqua" w:hAnsi="Book Antiqua" w:cs="宋体"/>
          <w:sz w:val="24"/>
          <w:szCs w:val="24"/>
          <w:lang w:val="en-US" w:eastAsia="zh-CN"/>
        </w:rPr>
        <w:t xml:space="preserve"> </w:t>
      </w:r>
      <w:r w:rsidRPr="008C3A92">
        <w:rPr>
          <w:rFonts w:ascii="Book Antiqua" w:hAnsi="Book Antiqua" w:cs="宋体"/>
          <w:sz w:val="24"/>
          <w:szCs w:val="24"/>
          <w:lang w:val="en-US"/>
        </w:rPr>
        <w:t>909, respectively), with a sensitivity of 84% and specificity of 70%. The differences are probably influenced by racial characteristics. The PC/SD ratio should be considered to identifying patients with esophageal varices.</w:t>
      </w:r>
    </w:p>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rsidR="008A6899" w:rsidRPr="008C3A92" w:rsidRDefault="008A6899" w:rsidP="004E2489">
      <w:pPr>
        <w:snapToGrid w:val="0"/>
        <w:spacing w:after="0" w:line="360" w:lineRule="auto"/>
        <w:jc w:val="both"/>
        <w:rPr>
          <w:rFonts w:ascii="Book Antiqua" w:hAnsi="Book Antiqua"/>
          <w:b/>
          <w:sz w:val="24"/>
          <w:szCs w:val="24"/>
          <w:lang w:val="en-US"/>
        </w:rPr>
      </w:pPr>
    </w:p>
    <w:p w:rsidR="008A6899" w:rsidRPr="004E2489" w:rsidRDefault="008A6899" w:rsidP="004E2489">
      <w:pPr>
        <w:spacing w:line="360" w:lineRule="auto"/>
        <w:jc w:val="both"/>
        <w:rPr>
          <w:lang w:eastAsia="zh-CN"/>
        </w:rPr>
      </w:pPr>
      <w:r w:rsidRPr="008C3A92">
        <w:rPr>
          <w:rFonts w:ascii="Book Antiqua" w:hAnsi="Book Antiqua"/>
          <w:sz w:val="24"/>
          <w:szCs w:val="24"/>
        </w:rPr>
        <w:t>González-Ojeda A, Cervantes-Guevara G, Chávez-Sánchez M, Dávalos-Cobián C, Ornelas-Cázares S, Macías-Amezcua MD, Chávez-Tostado M, Ramírez-Campos KM, Ra</w:t>
      </w:r>
      <w:r>
        <w:rPr>
          <w:rFonts w:ascii="Book Antiqua" w:hAnsi="Book Antiqua"/>
          <w:sz w:val="24"/>
          <w:szCs w:val="24"/>
        </w:rPr>
        <w:t>mírez-Arce AR, Fuentes-Orozco C</w:t>
      </w:r>
      <w:r>
        <w:rPr>
          <w:rFonts w:ascii="Book Antiqua" w:hAnsi="Book Antiqua"/>
          <w:sz w:val="24"/>
          <w:szCs w:val="24"/>
          <w:lang w:eastAsia="zh-CN"/>
        </w:rPr>
        <w:t>.</w:t>
      </w:r>
      <w:r>
        <w:rPr>
          <w:lang w:eastAsia="zh-CN"/>
        </w:rPr>
        <w:t xml:space="preserve"> </w:t>
      </w:r>
      <w:r w:rsidRPr="004E2489">
        <w:rPr>
          <w:rFonts w:ascii="Book Antiqua" w:hAnsi="Book Antiqua"/>
          <w:sz w:val="24"/>
          <w:szCs w:val="24"/>
          <w:lang w:val="en-US"/>
        </w:rPr>
        <w:t>Platelet count/spleen diameter ratio to predict esophageal varices in Mexican patients with hepatic cirrhosis</w:t>
      </w:r>
      <w:r>
        <w:rPr>
          <w:rFonts w:ascii="Book Antiqua" w:hAnsi="Book Antiqua"/>
          <w:sz w:val="24"/>
          <w:szCs w:val="24"/>
          <w:lang w:val="en-US" w:eastAsia="zh-CN"/>
        </w:rPr>
        <w:t>.</w:t>
      </w:r>
      <w:bookmarkStart w:id="373" w:name="OLE_LINK335"/>
      <w:bookmarkStart w:id="374" w:name="OLE_LINK336"/>
      <w:bookmarkStart w:id="375" w:name="OLE_LINK87"/>
      <w:bookmarkStart w:id="376" w:name="OLE_LINK97"/>
      <w:bookmarkStart w:id="377" w:name="OLE_LINK1297"/>
      <w:bookmarkStart w:id="378" w:name="OLE_LINK1298"/>
      <w:bookmarkStart w:id="379" w:name="OLE_LINK1689"/>
      <w:bookmarkStart w:id="380" w:name="OLE_LINK144"/>
      <w:bookmarkStart w:id="381" w:name="OLE_LINK152"/>
      <w:bookmarkStart w:id="382" w:name="OLE_LINK163"/>
      <w:bookmarkStart w:id="383" w:name="OLE_LINK1895"/>
      <w:bookmarkStart w:id="384" w:name="OLE_LINK1897"/>
      <w:bookmarkStart w:id="385" w:name="OLE_LINK1937"/>
      <w:bookmarkStart w:id="386" w:name="OLE_LINK2087"/>
      <w:bookmarkStart w:id="387" w:name="OLE_LINK2088"/>
      <w:bookmarkStart w:id="388" w:name="OLE_LINK2569"/>
      <w:bookmarkStart w:id="389" w:name="OLE_LINK2570"/>
      <w:bookmarkStart w:id="390" w:name="OLE_LINK2127"/>
      <w:bookmarkStart w:id="391" w:name="OLE_LINK2128"/>
      <w:bookmarkStart w:id="392" w:name="OLE_LINK2200"/>
      <w:bookmarkStart w:id="393" w:name="OLE_LINK2113"/>
      <w:bookmarkStart w:id="394" w:name="OLE_LINK2391"/>
      <w:bookmarkStart w:id="395" w:name="OLE_LINK2392"/>
      <w:bookmarkStart w:id="396" w:name="OLE_LINK2499"/>
      <w:bookmarkStart w:id="397" w:name="OLE_LINK2782"/>
      <w:bookmarkStart w:id="398" w:name="OLE_LINK2783"/>
      <w:bookmarkStart w:id="399" w:name="OLE_LINK2667"/>
      <w:bookmarkStart w:id="400" w:name="OLE_LINK2668"/>
      <w:bookmarkStart w:id="401" w:name="OLE_LINK2766"/>
      <w:bookmarkStart w:id="402" w:name="OLE_LINK3008"/>
      <w:bookmarkStart w:id="403" w:name="OLE_LINK3156"/>
      <w:bookmarkStart w:id="404" w:name="OLE_LINK3303"/>
      <w:bookmarkStart w:id="405" w:name="OLE_LINK3304"/>
      <w:bookmarkStart w:id="406" w:name="OLE_LINK2689"/>
      <w:bookmarkStart w:id="407" w:name="OLE_LINK2588"/>
      <w:bookmarkStart w:id="408" w:name="OLE_LINK2769"/>
      <w:bookmarkStart w:id="409" w:name="OLE_LINK3019"/>
      <w:bookmarkStart w:id="410" w:name="OLE_LINK3020"/>
      <w:r>
        <w:rPr>
          <w:lang w:eastAsia="zh-CN"/>
        </w:rPr>
        <w:t xml:space="preserve"> </w:t>
      </w:r>
      <w:r w:rsidRPr="00C56046">
        <w:rPr>
          <w:rFonts w:ascii="Book Antiqua" w:hAnsi="Book Antiqua"/>
          <w:i/>
          <w:sz w:val="24"/>
        </w:rPr>
        <w:t>World J Gastroenterol</w:t>
      </w:r>
      <w:r w:rsidRPr="00C56046">
        <w:rPr>
          <w:rFonts w:ascii="Book Antiqua" w:hAnsi="Book Antiqua"/>
          <w:sz w:val="24"/>
        </w:rPr>
        <w:t xml:space="preserve"> </w:t>
      </w:r>
      <w:bookmarkEnd w:id="373"/>
      <w:bookmarkEnd w:id="374"/>
      <w:r w:rsidRPr="00C56046">
        <w:rPr>
          <w:rFonts w:ascii="Book Antiqua" w:hAnsi="Book Antiqua"/>
          <w:sz w:val="24"/>
        </w:rPr>
        <w:t xml:space="preserve">2013;  </w:t>
      </w:r>
    </w:p>
    <w:p w:rsidR="008A6899" w:rsidRPr="00C56046" w:rsidRDefault="008A6899" w:rsidP="004E2489">
      <w:pPr>
        <w:pStyle w:val="p0"/>
        <w:adjustRightInd w:val="0"/>
        <w:snapToGrid w:val="0"/>
        <w:spacing w:line="360" w:lineRule="auto"/>
        <w:jc w:val="both"/>
        <w:rPr>
          <w:rFonts w:ascii="Book Antiqua" w:hAnsi="Book Antiqua"/>
          <w:sz w:val="24"/>
          <w:szCs w:val="24"/>
        </w:rPr>
      </w:pPr>
      <w:bookmarkStart w:id="411" w:name="OLE_LINK404"/>
      <w:bookmarkStart w:id="412" w:name="OLE_LINK405"/>
      <w:bookmarkStart w:id="413" w:name="OLE_LINK406"/>
      <w:bookmarkStart w:id="414" w:name="OLE_LINK407"/>
      <w:bookmarkStart w:id="415" w:name="OLE_LINK629"/>
      <w:bookmarkStart w:id="416" w:name="OLE_LINK630"/>
      <w:bookmarkStart w:id="417" w:name="OLE_LINK1908"/>
      <w:bookmarkStart w:id="418" w:name="OLE_LINK1864"/>
      <w:bookmarkStart w:id="419" w:name="OLE_LINK2809"/>
      <w:bookmarkStart w:id="420" w:name="OLE_LINK2930"/>
      <w:bookmarkStart w:id="421" w:name="OLE_LINK2296"/>
      <w:bookmarkStart w:id="422" w:name="OLE_LINK2297"/>
      <w:bookmarkStart w:id="423" w:name="OLE_LINK401"/>
      <w:bookmarkStart w:id="424" w:name="OLE_LINK402"/>
      <w:bookmarkStart w:id="425" w:name="OLE_LINK99"/>
      <w:bookmarkStart w:id="426" w:name="OLE_LINK100"/>
      <w:bookmarkStart w:id="427" w:name="OLE_LINK271"/>
      <w:bookmarkStart w:id="428" w:name="OLE_LINK272"/>
      <w:bookmarkStart w:id="429" w:name="OLE_LINK300"/>
      <w:bookmarkStart w:id="430" w:name="OLE_LINK302"/>
      <w:bookmarkStart w:id="431" w:name="OLE_LINK1824"/>
      <w:bookmarkStart w:id="432" w:name="OLE_LINK1825"/>
      <w:bookmarkStart w:id="433" w:name="OLE_LINK1945"/>
      <w:bookmarkStart w:id="434" w:name="OLE_LINK1826"/>
      <w:bookmarkStart w:id="435" w:name="OLE_LINK1921"/>
      <w:bookmarkStart w:id="436" w:name="OLE_LINK1912"/>
      <w:bookmarkStart w:id="437" w:name="OLE_LINK1974"/>
      <w:bookmarkStart w:id="438" w:name="OLE_LINK1975"/>
      <w:bookmarkStart w:id="439" w:name="OLE_LINK1946"/>
      <w:bookmarkStart w:id="440" w:name="OLE_LINK1998"/>
      <w:bookmarkStart w:id="441" w:name="OLE_LINK2000"/>
      <w:bookmarkStart w:id="442" w:name="OLE_LINK1944"/>
      <w:bookmarkStart w:id="443" w:name="OLE_LINK2001"/>
      <w:bookmarkStart w:id="444" w:name="OLE_LINK2307"/>
      <w:bookmarkStart w:id="445" w:name="OLE_LINK2453"/>
      <w:bookmarkStart w:id="446" w:name="OLE_LINK2454"/>
      <w:bookmarkStart w:id="447" w:name="OLE_LINK2228"/>
      <w:bookmarkStart w:id="448" w:name="OLE_LINK2346"/>
      <w:bookmarkStart w:id="449" w:name="OLE_LINK2389"/>
      <w:bookmarkStart w:id="450" w:name="OLE_LINK2550"/>
      <w:bookmarkStart w:id="451" w:name="OLE_LINK2551"/>
      <w:bookmarkStart w:id="452" w:name="OLE_LINK2394"/>
      <w:bookmarkStart w:id="453" w:name="OLE_LINK2860"/>
      <w:bookmarkStart w:id="454" w:name="OLE_LINK2644"/>
      <w:bookmarkStart w:id="455" w:name="OLE_LINK2879"/>
      <w:bookmarkStart w:id="456" w:name="OLE_LINK2880"/>
      <w:bookmarkStart w:id="457" w:name="OLE_LINK2966"/>
      <w:bookmarkStart w:id="458" w:name="OLE_LINK2967"/>
      <w:bookmarkStart w:id="459" w:name="OLE_LINK2589"/>
      <w:bookmarkStart w:id="460" w:name="OLE_LINK2590"/>
      <w:bookmarkStart w:id="461" w:name="OLE_LINK206"/>
      <w:bookmarkStart w:id="462" w:name="OLE_LINK449"/>
      <w:bookmarkStart w:id="463" w:name="OLE_LINK450"/>
      <w:bookmarkStart w:id="464" w:name="OLE_LINK456"/>
      <w:bookmarkStart w:id="465" w:name="OLE_LINK705"/>
      <w:bookmarkStart w:id="466" w:name="OLE_LINK522"/>
      <w:bookmarkStart w:id="467" w:name="OLE_LINK621"/>
      <w:bookmarkStart w:id="468" w:name="OLE_LINK1242"/>
      <w:bookmarkStart w:id="469" w:name="OLE_LINK1102"/>
      <w:bookmarkStart w:id="470" w:name="OLE_LINK1103"/>
      <w:bookmarkStart w:id="471" w:name="OLE_LINK1546"/>
      <w:bookmarkStart w:id="472" w:name="OLE_LINK2014"/>
      <w:bookmarkStart w:id="473" w:name="OLE_LINK2015"/>
      <w:bookmarkStart w:id="474" w:name="OLE_LINK2138"/>
      <w:bookmarkStart w:id="475" w:name="OLE_LINK2139"/>
      <w:bookmarkStart w:id="476" w:name="OLE_LINK2202"/>
      <w:bookmarkStart w:id="477" w:name="OLE_LINK2203"/>
      <w:bookmarkStart w:id="478" w:name="OLE_LINK2205"/>
      <w:bookmarkStart w:id="479" w:name="OLE_LINK2206"/>
      <w:bookmarkStart w:id="480" w:name="OLE_LINK2485"/>
      <w:bookmarkStart w:id="481" w:name="OLE_LINK2398"/>
      <w:bookmarkEnd w:id="375"/>
      <w:bookmarkEnd w:id="376"/>
      <w:bookmarkEnd w:id="377"/>
      <w:bookmarkEnd w:id="378"/>
      <w:bookmarkEnd w:id="379"/>
      <w:r w:rsidRPr="00C56046">
        <w:rPr>
          <w:rFonts w:ascii="Book Antiqua" w:hAnsi="Book Antiqua"/>
          <w:b/>
          <w:bCs/>
          <w:sz w:val="24"/>
          <w:szCs w:val="24"/>
        </w:rPr>
        <w:t>Available from:</w:t>
      </w:r>
      <w:r w:rsidRPr="00C56046">
        <w:rPr>
          <w:rFonts w:ascii="Book Antiqua" w:hAnsi="Book Antiqua"/>
          <w:sz w:val="24"/>
          <w:szCs w:val="24"/>
        </w:rPr>
        <w:t xml:space="preserve"> </w:t>
      </w:r>
      <w:bookmarkEnd w:id="411"/>
      <w:bookmarkEnd w:id="412"/>
      <w:r w:rsidRPr="00C56046">
        <w:rPr>
          <w:rFonts w:ascii="Book Antiqua" w:hAnsi="Book Antiqua"/>
          <w:color w:val="000000"/>
          <w:sz w:val="24"/>
          <w:szCs w:val="24"/>
        </w:rPr>
        <w:t>URL:</w:t>
      </w:r>
      <w:bookmarkEnd w:id="413"/>
      <w:bookmarkEnd w:id="414"/>
      <w:bookmarkEnd w:id="415"/>
      <w:bookmarkEnd w:id="416"/>
      <w:bookmarkEnd w:id="417"/>
      <w:bookmarkEnd w:id="418"/>
      <w:bookmarkEnd w:id="419"/>
      <w:bookmarkEnd w:id="420"/>
      <w:r w:rsidRPr="00C56046">
        <w:rPr>
          <w:rFonts w:ascii="Book Antiqua" w:hAnsi="Book Antiqua"/>
          <w:color w:val="000000"/>
          <w:sz w:val="24"/>
          <w:szCs w:val="24"/>
        </w:rPr>
        <w:t xml:space="preserve"> </w:t>
      </w:r>
      <w:bookmarkEnd w:id="421"/>
      <w:bookmarkEnd w:id="422"/>
      <w:r w:rsidRPr="00C56046">
        <w:rPr>
          <w:rFonts w:ascii="Book Antiqua" w:hAnsi="Book Antiqua"/>
          <w:color w:val="000000"/>
          <w:sz w:val="24"/>
          <w:szCs w:val="24"/>
        </w:rPr>
        <w:t>http://</w:t>
      </w:r>
      <w:bookmarkEnd w:id="423"/>
      <w:bookmarkEnd w:id="424"/>
      <w:r w:rsidRPr="00C56046">
        <w:rPr>
          <w:rFonts w:ascii="Book Antiqua" w:hAnsi="Book Antiqua"/>
          <w:color w:val="000000"/>
          <w:sz w:val="24"/>
          <w:szCs w:val="24"/>
        </w:rPr>
        <w:t xml:space="preserve">www.wjgnet.com/esps/  </w:t>
      </w:r>
    </w:p>
    <w:p w:rsidR="008A6899" w:rsidRPr="004E2489" w:rsidRDefault="008A6899" w:rsidP="004E2489">
      <w:pPr>
        <w:snapToGrid w:val="0"/>
        <w:spacing w:after="0" w:line="360" w:lineRule="auto"/>
        <w:jc w:val="both"/>
        <w:rPr>
          <w:rFonts w:ascii="Book Antiqua" w:hAnsi="Book Antiqua"/>
          <w:b/>
          <w:sz w:val="24"/>
          <w:szCs w:val="24"/>
          <w:lang w:val="en-US"/>
        </w:rPr>
      </w:pPr>
      <w:bookmarkStart w:id="482" w:name="OLE_LINK399"/>
      <w:bookmarkStart w:id="483" w:name="OLE_LINK400"/>
      <w:bookmarkStart w:id="484" w:name="OLE_LINK494"/>
      <w:bookmarkStart w:id="485" w:name="OLE_LINK495"/>
      <w:bookmarkStart w:id="486" w:name="OLE_LINK607"/>
      <w:bookmarkStart w:id="487" w:name="OLE_LINK608"/>
      <w:bookmarkStart w:id="488" w:name="OLE_LINK609"/>
      <w:bookmarkStart w:id="489" w:name="OLE_LINK727"/>
      <w:bookmarkStart w:id="490" w:name="OLE_LINK853"/>
      <w:bookmarkStart w:id="491" w:name="OLE_LINK585"/>
      <w:bookmarkStart w:id="492" w:name="OLE_LINK689"/>
      <w:bookmarkStart w:id="493" w:name="OLE_LINK539"/>
      <w:bookmarkEnd w:id="380"/>
      <w:bookmarkEnd w:id="381"/>
      <w:bookmarkEnd w:id="382"/>
      <w:bookmarkEnd w:id="425"/>
      <w:bookmarkEnd w:id="426"/>
      <w:bookmarkEnd w:id="427"/>
      <w:bookmarkEnd w:id="428"/>
      <w:bookmarkEnd w:id="429"/>
      <w:bookmarkEnd w:id="430"/>
      <w:r w:rsidRPr="00C56046">
        <w:rPr>
          <w:rFonts w:ascii="Book Antiqua" w:hAnsi="Book Antiqua"/>
          <w:b/>
          <w:bCs/>
          <w:kern w:val="2"/>
          <w:sz w:val="24"/>
          <w:szCs w:val="24"/>
        </w:rPr>
        <w:t xml:space="preserve">DOI: </w:t>
      </w:r>
      <w:r w:rsidRPr="00C56046">
        <w:rPr>
          <w:rFonts w:ascii="Book Antiqua" w:hAnsi="Book Antiqua"/>
          <w:bCs/>
          <w:kern w:val="2"/>
          <w:sz w:val="24"/>
          <w:szCs w:val="24"/>
        </w:rPr>
        <w:t>10.3748/wjg.v19.i0.0000</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rsidR="008A6899" w:rsidRPr="001B4EF9" w:rsidRDefault="008A6899" w:rsidP="004E2489">
      <w:pPr>
        <w:snapToGrid w:val="0"/>
        <w:spacing w:after="0" w:line="360" w:lineRule="auto"/>
        <w:jc w:val="both"/>
        <w:rPr>
          <w:rFonts w:ascii="Book Antiqua" w:hAnsi="Book Antiqua"/>
          <w:b/>
          <w:sz w:val="24"/>
          <w:szCs w:val="24"/>
        </w:rPr>
      </w:pPr>
    </w:p>
    <w:p w:rsidR="008A6899" w:rsidRPr="001B4EF9" w:rsidRDefault="008A6899" w:rsidP="004E2489">
      <w:pPr>
        <w:snapToGrid w:val="0"/>
        <w:spacing w:after="0" w:line="360" w:lineRule="auto"/>
        <w:jc w:val="both"/>
        <w:rPr>
          <w:rFonts w:ascii="Book Antiqua" w:hAnsi="Book Antiqua"/>
          <w:b/>
          <w:sz w:val="24"/>
          <w:szCs w:val="24"/>
        </w:rPr>
      </w:pPr>
    </w:p>
    <w:p w:rsidR="008A6899" w:rsidRPr="001B4EF9" w:rsidRDefault="008A6899" w:rsidP="004E2489">
      <w:pPr>
        <w:snapToGrid w:val="0"/>
        <w:spacing w:after="0" w:line="360" w:lineRule="auto"/>
        <w:jc w:val="both"/>
        <w:rPr>
          <w:rFonts w:ascii="Book Antiqua" w:hAnsi="Book Antiqua"/>
          <w:b/>
          <w:sz w:val="24"/>
          <w:szCs w:val="24"/>
        </w:rPr>
      </w:pPr>
    </w:p>
    <w:p w:rsidR="008A6899" w:rsidRPr="001B4EF9" w:rsidRDefault="008A6899" w:rsidP="004E2489">
      <w:pPr>
        <w:snapToGrid w:val="0"/>
        <w:spacing w:after="0" w:line="360" w:lineRule="auto"/>
        <w:jc w:val="both"/>
        <w:rPr>
          <w:rFonts w:ascii="Book Antiqua" w:hAnsi="Book Antiqua"/>
          <w:b/>
          <w:sz w:val="24"/>
          <w:szCs w:val="24"/>
        </w:rPr>
      </w:pPr>
    </w:p>
    <w:p w:rsidR="008A6899" w:rsidRPr="001B4EF9" w:rsidRDefault="008A6899" w:rsidP="004E2489">
      <w:pPr>
        <w:snapToGrid w:val="0"/>
        <w:spacing w:after="0" w:line="360" w:lineRule="auto"/>
        <w:jc w:val="both"/>
        <w:rPr>
          <w:rFonts w:ascii="Book Antiqua" w:hAnsi="Book Antiqua"/>
          <w:b/>
          <w:sz w:val="24"/>
          <w:szCs w:val="24"/>
        </w:rPr>
      </w:pPr>
    </w:p>
    <w:p w:rsidR="008A6899" w:rsidRPr="001B4EF9" w:rsidRDefault="008A6899" w:rsidP="004E2489">
      <w:pPr>
        <w:snapToGrid w:val="0"/>
        <w:spacing w:after="0" w:line="360" w:lineRule="auto"/>
        <w:jc w:val="both"/>
        <w:rPr>
          <w:rFonts w:ascii="Book Antiqua" w:hAnsi="Book Antiqua"/>
          <w:b/>
          <w:sz w:val="24"/>
          <w:szCs w:val="24"/>
        </w:rPr>
      </w:pPr>
    </w:p>
    <w:p w:rsidR="008A6899" w:rsidRPr="001B4EF9" w:rsidRDefault="008A6899" w:rsidP="004E2489">
      <w:pPr>
        <w:snapToGrid w:val="0"/>
        <w:spacing w:after="0" w:line="360" w:lineRule="auto"/>
        <w:jc w:val="both"/>
        <w:rPr>
          <w:rFonts w:ascii="Book Antiqua" w:hAnsi="Book Antiqua"/>
          <w:b/>
          <w:sz w:val="24"/>
          <w:szCs w:val="24"/>
        </w:rPr>
      </w:pPr>
    </w:p>
    <w:p w:rsidR="008A6899" w:rsidRPr="008C3A92" w:rsidRDefault="008A6899" w:rsidP="004E2489">
      <w:pPr>
        <w:snapToGrid w:val="0"/>
        <w:spacing w:after="0" w:line="360" w:lineRule="auto"/>
        <w:jc w:val="both"/>
        <w:rPr>
          <w:rFonts w:ascii="Book Antiqua" w:hAnsi="Book Antiqua"/>
          <w:b/>
          <w:sz w:val="24"/>
          <w:szCs w:val="24"/>
          <w:lang w:val="en-US"/>
        </w:rPr>
      </w:pPr>
      <w:r w:rsidRPr="008C3A92">
        <w:rPr>
          <w:rFonts w:ascii="Book Antiqua" w:hAnsi="Book Antiqua"/>
          <w:b/>
          <w:sz w:val="24"/>
          <w:szCs w:val="24"/>
          <w:lang w:val="en-US"/>
        </w:rPr>
        <w:lastRenderedPageBreak/>
        <w:t>INTRODUCTION</w:t>
      </w:r>
    </w:p>
    <w:p w:rsidR="008A6899" w:rsidRPr="008C3A92" w:rsidRDefault="008A6899" w:rsidP="004E2489">
      <w:pPr>
        <w:snapToGrid w:val="0"/>
        <w:spacing w:after="0" w:line="360" w:lineRule="auto"/>
        <w:jc w:val="both"/>
        <w:rPr>
          <w:rFonts w:ascii="Book Antiqua" w:hAnsi="Book Antiqua"/>
          <w:sz w:val="24"/>
          <w:szCs w:val="24"/>
          <w:lang w:val="en-US"/>
        </w:rPr>
      </w:pPr>
      <w:r w:rsidRPr="008C3A92">
        <w:rPr>
          <w:rFonts w:ascii="Book Antiqua" w:hAnsi="Book Antiqua"/>
          <w:sz w:val="24"/>
          <w:szCs w:val="24"/>
          <w:lang w:val="en-US"/>
        </w:rPr>
        <w:t>Portal hypertension is the principal complication of hepatic cirrhosis</w:t>
      </w:r>
      <w:r w:rsidRPr="008C3A92">
        <w:rPr>
          <w:rFonts w:ascii="Book Antiqua" w:hAnsi="Book Antiqua"/>
          <w:sz w:val="24"/>
          <w:szCs w:val="24"/>
          <w:vertAlign w:val="superscript"/>
          <w:lang w:val="en-US"/>
        </w:rPr>
        <w:t>[1]</w:t>
      </w:r>
      <w:r w:rsidRPr="008C3A92">
        <w:rPr>
          <w:rFonts w:ascii="Book Antiqua" w:hAnsi="Book Antiqua"/>
          <w:sz w:val="24"/>
          <w:szCs w:val="24"/>
          <w:lang w:val="en-US"/>
        </w:rPr>
        <w:t>. More than 80% of patients with cirrhosis will develop esophageal varices at some point, and 30% of these patients will have at least one bleeding episode because of rupture of a varix</w:t>
      </w:r>
      <w:r w:rsidRPr="008C3A92">
        <w:rPr>
          <w:rFonts w:ascii="Book Antiqua" w:hAnsi="Book Antiqua"/>
          <w:sz w:val="24"/>
          <w:szCs w:val="24"/>
          <w:vertAlign w:val="superscript"/>
          <w:lang w:val="en-US"/>
        </w:rPr>
        <w:t>[2]</w:t>
      </w:r>
      <w:r w:rsidRPr="008C3A92">
        <w:rPr>
          <w:rFonts w:ascii="Book Antiqua" w:hAnsi="Book Antiqua"/>
          <w:sz w:val="24"/>
          <w:szCs w:val="24"/>
          <w:lang w:val="en-US"/>
        </w:rPr>
        <w:t>. Most first bleeding episodes happen during the first year after the detection of the varices, with a 5%–10% mortality attributed to the initial hemorrhage</w:t>
      </w:r>
      <w:r w:rsidRPr="008C3A92">
        <w:rPr>
          <w:rFonts w:ascii="Book Antiqua" w:hAnsi="Book Antiqua"/>
          <w:sz w:val="24"/>
          <w:szCs w:val="24"/>
          <w:vertAlign w:val="superscript"/>
          <w:lang w:val="en-US"/>
        </w:rPr>
        <w:t>[3]</w:t>
      </w:r>
      <w:r w:rsidRPr="008C3A92">
        <w:rPr>
          <w:rFonts w:ascii="Book Antiqua" w:hAnsi="Book Antiqua"/>
          <w:sz w:val="24"/>
          <w:szCs w:val="24"/>
          <w:lang w:val="en-US"/>
        </w:rPr>
        <w:t xml:space="preserve">. For this reason, identifying the presence of esophageal varices is a fundamental part of the diagnostic work-up in patients with cirrhosis, and it is also a prognostic marker of the illness. The first crucial preventive step is the identification of those patients with bleeding risk and selection for prophylactic treatment. </w:t>
      </w:r>
    </w:p>
    <w:p w:rsidR="008A6899" w:rsidRPr="008C3A92" w:rsidRDefault="008A6899" w:rsidP="00573869">
      <w:pPr>
        <w:snapToGrid w:val="0"/>
        <w:spacing w:after="0" w:line="360" w:lineRule="auto"/>
        <w:ind w:firstLineChars="100" w:firstLine="240"/>
        <w:jc w:val="both"/>
        <w:rPr>
          <w:rFonts w:ascii="Book Antiqua" w:hAnsi="Book Antiqua"/>
          <w:sz w:val="24"/>
          <w:szCs w:val="24"/>
          <w:lang w:val="en-US"/>
        </w:rPr>
      </w:pPr>
      <w:r w:rsidRPr="008C3A92">
        <w:rPr>
          <w:rFonts w:ascii="Book Antiqua" w:hAnsi="Book Antiqua"/>
          <w:sz w:val="24"/>
          <w:szCs w:val="24"/>
          <w:lang w:val="en-US"/>
        </w:rPr>
        <w:t>Today’s guidelines are clear that there are no substitute markers to determine the presence and size of esophageal varices, and endoscopy is still the only valid method to investigate varices</w:t>
      </w:r>
      <w:r w:rsidRPr="008C3A92">
        <w:rPr>
          <w:rFonts w:ascii="Book Antiqua" w:hAnsi="Book Antiqua"/>
          <w:sz w:val="24"/>
          <w:szCs w:val="24"/>
          <w:vertAlign w:val="superscript"/>
          <w:lang w:val="en-US"/>
        </w:rPr>
        <w:t>[4]</w:t>
      </w:r>
      <w:r w:rsidRPr="008C3A92">
        <w:rPr>
          <w:rFonts w:ascii="Book Antiqua" w:hAnsi="Book Antiqua"/>
          <w:sz w:val="24"/>
          <w:szCs w:val="24"/>
          <w:lang w:val="en-US"/>
        </w:rPr>
        <w:t>. However, access to endoscopy and other resources is limited in some countries. At any given time, a variable proportion of patients will not have varices, and the reported prevalence of esophageal varices is 24%–80%</w:t>
      </w:r>
      <w:r w:rsidRPr="008C3A92">
        <w:rPr>
          <w:rFonts w:ascii="Book Antiqua" w:hAnsi="Book Antiqua"/>
          <w:sz w:val="24"/>
          <w:szCs w:val="24"/>
          <w:vertAlign w:val="superscript"/>
          <w:lang w:val="en-US"/>
        </w:rPr>
        <w:t>[5]</w:t>
      </w:r>
      <w:r w:rsidRPr="008C3A92">
        <w:rPr>
          <w:rFonts w:ascii="Book Antiqua" w:hAnsi="Book Antiqua"/>
          <w:sz w:val="24"/>
          <w:szCs w:val="24"/>
          <w:lang w:val="en-US"/>
        </w:rPr>
        <w:t>. The use of noninvasive methods to predict the presence of esophageal varices would help restrict endoscopic studies to those with a high probability of having varices. Until a few years ago, little information was available on this subject; however, a recent consensus on the definitions, methodology, and therapeutic strategies in portal hypertension</w:t>
      </w:r>
      <w:r w:rsidRPr="008C3A92">
        <w:rPr>
          <w:rFonts w:ascii="Book Antiqua" w:hAnsi="Book Antiqua"/>
          <w:sz w:val="24"/>
          <w:szCs w:val="24"/>
          <w:vertAlign w:val="superscript"/>
          <w:lang w:val="en-US"/>
        </w:rPr>
        <w:t>[6]</w:t>
      </w:r>
      <w:r w:rsidRPr="008C3A92">
        <w:rPr>
          <w:rFonts w:ascii="Book Antiqua" w:hAnsi="Book Antiqua"/>
          <w:sz w:val="24"/>
          <w:szCs w:val="24"/>
          <w:lang w:val="en-US"/>
        </w:rPr>
        <w:t xml:space="preserve"> recommended that all patients with cirrhosis should be assessed with endoscopy to verify the presence of varices.</w:t>
      </w:r>
    </w:p>
    <w:p w:rsidR="008A6899" w:rsidRPr="008C3A92" w:rsidRDefault="008A6899" w:rsidP="00573869">
      <w:pPr>
        <w:snapToGrid w:val="0"/>
        <w:spacing w:after="0" w:line="360" w:lineRule="auto"/>
        <w:ind w:firstLineChars="100" w:firstLine="240"/>
        <w:jc w:val="both"/>
        <w:rPr>
          <w:rFonts w:ascii="Book Antiqua" w:hAnsi="Book Antiqua"/>
          <w:sz w:val="24"/>
          <w:szCs w:val="24"/>
          <w:lang w:val="en-US"/>
        </w:rPr>
      </w:pPr>
      <w:r w:rsidRPr="008C3A92">
        <w:rPr>
          <w:rFonts w:ascii="Book Antiqua" w:hAnsi="Book Antiqua"/>
          <w:sz w:val="24"/>
          <w:szCs w:val="24"/>
          <w:lang w:val="en-US"/>
        </w:rPr>
        <w:t>Recent studies</w:t>
      </w:r>
      <w:r w:rsidRPr="008C3A92">
        <w:rPr>
          <w:rFonts w:ascii="Book Antiqua" w:hAnsi="Book Antiqua"/>
          <w:sz w:val="24"/>
          <w:szCs w:val="24"/>
          <w:vertAlign w:val="superscript"/>
          <w:lang w:val="en-US"/>
        </w:rPr>
        <w:t>[7-11]</w:t>
      </w:r>
      <w:r w:rsidRPr="008C3A92">
        <w:rPr>
          <w:rFonts w:ascii="Book Antiqua" w:hAnsi="Book Antiqua"/>
          <w:sz w:val="24"/>
          <w:szCs w:val="24"/>
          <w:lang w:val="en-US"/>
        </w:rPr>
        <w:t xml:space="preserve"> have emphasized the use of noninvasive methods to identify patients with the intention of avoiding endoscopy in low-risk cases. The fact that distinct predictors of the presence of varices have been identified in different studies probably reflects differences between the study populations and spectrum of the disease and this makes it difficult to develop a widely applicable predictive model.</w:t>
      </w:r>
    </w:p>
    <w:p w:rsidR="008A6899" w:rsidRPr="008C3A92" w:rsidRDefault="008A6899" w:rsidP="00573869">
      <w:pPr>
        <w:snapToGrid w:val="0"/>
        <w:spacing w:after="0" w:line="360" w:lineRule="auto"/>
        <w:ind w:firstLineChars="100" w:firstLine="240"/>
        <w:jc w:val="both"/>
        <w:rPr>
          <w:rFonts w:ascii="Book Antiqua" w:hAnsi="Book Antiqua"/>
          <w:sz w:val="24"/>
          <w:szCs w:val="24"/>
          <w:lang w:val="en-US"/>
        </w:rPr>
      </w:pPr>
      <w:r w:rsidRPr="008C3A92">
        <w:rPr>
          <w:rFonts w:ascii="Book Antiqua" w:hAnsi="Book Antiqua"/>
          <w:sz w:val="24"/>
          <w:szCs w:val="24"/>
          <w:lang w:val="en-US"/>
        </w:rPr>
        <w:t xml:space="preserve">Giannini </w:t>
      </w:r>
      <w:r w:rsidRPr="00573869">
        <w:rPr>
          <w:rFonts w:ascii="Book Antiqua" w:hAnsi="Book Antiqua"/>
          <w:i/>
          <w:sz w:val="24"/>
          <w:szCs w:val="24"/>
          <w:lang w:val="en-US" w:eastAsia="zh-CN"/>
        </w:rPr>
        <w:t>et al</w:t>
      </w:r>
      <w:r w:rsidRPr="008C3A92">
        <w:rPr>
          <w:rFonts w:ascii="Book Antiqua" w:hAnsi="Book Antiqua"/>
          <w:sz w:val="24"/>
          <w:szCs w:val="24"/>
          <w:vertAlign w:val="superscript"/>
          <w:lang w:val="en-US"/>
        </w:rPr>
        <w:t>[12]</w:t>
      </w:r>
      <w:r w:rsidRPr="008C3A92">
        <w:rPr>
          <w:rFonts w:ascii="Book Antiqua" w:hAnsi="Book Antiqua"/>
          <w:sz w:val="24"/>
          <w:szCs w:val="24"/>
          <w:lang w:val="en-US"/>
        </w:rPr>
        <w:t xml:space="preserve"> proposed the use of the </w:t>
      </w:r>
      <w:r w:rsidRPr="008C3A92">
        <w:rPr>
          <w:rFonts w:ascii="Book Antiqua" w:hAnsi="Book Antiqua" w:cs="宋体"/>
          <w:sz w:val="24"/>
          <w:szCs w:val="24"/>
          <w:lang w:val="en-US"/>
        </w:rPr>
        <w:t>platelet count</w:t>
      </w:r>
      <w:r w:rsidRPr="008C3A92">
        <w:rPr>
          <w:rFonts w:ascii="Book Antiqua" w:hAnsi="Book Antiqua"/>
          <w:sz w:val="24"/>
          <w:szCs w:val="24"/>
          <w:lang w:val="en-US"/>
        </w:rPr>
        <w:t xml:space="preserve"> </w:t>
      </w:r>
      <w:r>
        <w:rPr>
          <w:rFonts w:ascii="Book Antiqua" w:hAnsi="Book Antiqua"/>
          <w:sz w:val="24"/>
          <w:szCs w:val="24"/>
          <w:lang w:val="en-US" w:eastAsia="zh-CN"/>
        </w:rPr>
        <w:t>(</w:t>
      </w:r>
      <w:r w:rsidRPr="008C3A92">
        <w:rPr>
          <w:rFonts w:ascii="Book Antiqua" w:hAnsi="Book Antiqua"/>
          <w:sz w:val="24"/>
          <w:szCs w:val="24"/>
          <w:lang w:val="en-US"/>
        </w:rPr>
        <w:t>PC</w:t>
      </w:r>
      <w:r>
        <w:rPr>
          <w:rFonts w:ascii="Book Antiqua" w:hAnsi="Book Antiqua"/>
          <w:sz w:val="24"/>
          <w:szCs w:val="24"/>
          <w:lang w:val="en-US" w:eastAsia="zh-CN"/>
        </w:rPr>
        <w:t>)</w:t>
      </w:r>
      <w:r w:rsidRPr="008C3A92">
        <w:rPr>
          <w:rFonts w:ascii="Book Antiqua" w:hAnsi="Book Antiqua"/>
          <w:sz w:val="24"/>
          <w:szCs w:val="24"/>
          <w:lang w:val="en-US"/>
        </w:rPr>
        <w:t xml:space="preserve">/spleen diameter (SD) ratio as a noninvasive tool for predicting the presence of varices. The use of the PC/SD ratio for the noninvasive assessment of varices seems to meet strict methodological </w:t>
      </w:r>
      <w:r w:rsidRPr="008C3A92">
        <w:rPr>
          <w:rFonts w:ascii="Book Antiqua" w:hAnsi="Book Antiqua"/>
          <w:sz w:val="24"/>
          <w:szCs w:val="24"/>
          <w:lang w:val="en-US"/>
        </w:rPr>
        <w:lastRenderedPageBreak/>
        <w:t>criteria and is based on pathophysiological criteria. The diagnostic precision of this parameter was validated using endoscopic diagnosis in a follow-up of patients free of esophageal varices</w:t>
      </w:r>
      <w:r w:rsidRPr="008C3A92">
        <w:rPr>
          <w:rFonts w:ascii="Book Antiqua" w:hAnsi="Book Antiqua"/>
          <w:sz w:val="24"/>
          <w:szCs w:val="24"/>
          <w:vertAlign w:val="superscript"/>
          <w:lang w:val="en-US"/>
        </w:rPr>
        <w:t>[13]</w:t>
      </w:r>
      <w:r w:rsidRPr="008C3A92">
        <w:rPr>
          <w:rFonts w:ascii="Book Antiqua" w:hAnsi="Book Antiqua"/>
          <w:sz w:val="24"/>
          <w:szCs w:val="24"/>
          <w:lang w:val="en-US"/>
        </w:rPr>
        <w:t>.</w:t>
      </w:r>
    </w:p>
    <w:p w:rsidR="008A6899" w:rsidRPr="008C3A92" w:rsidRDefault="008A6899" w:rsidP="00573869">
      <w:pPr>
        <w:snapToGrid w:val="0"/>
        <w:spacing w:after="0" w:line="360" w:lineRule="auto"/>
        <w:ind w:firstLineChars="100" w:firstLine="240"/>
        <w:jc w:val="both"/>
        <w:rPr>
          <w:rFonts w:ascii="Book Antiqua" w:hAnsi="Book Antiqua"/>
          <w:sz w:val="24"/>
          <w:szCs w:val="24"/>
          <w:lang w:val="en-US"/>
        </w:rPr>
      </w:pPr>
      <w:r w:rsidRPr="008C3A92">
        <w:rPr>
          <w:rFonts w:ascii="Book Antiqua" w:hAnsi="Book Antiqua"/>
          <w:sz w:val="24"/>
          <w:szCs w:val="24"/>
          <w:lang w:val="en-US"/>
        </w:rPr>
        <w:t>The preliminary results obtained by other authors have demonstrated that the diagnostic accuracy of the PC/SD ratio is maintained in patient subgroups with different hepatic disease etiologies and when applying different methodologies</w:t>
      </w:r>
      <w:r w:rsidRPr="008C3A92">
        <w:rPr>
          <w:rFonts w:ascii="Book Antiqua" w:hAnsi="Book Antiqua"/>
          <w:sz w:val="24"/>
          <w:szCs w:val="24"/>
          <w:vertAlign w:val="superscript"/>
          <w:lang w:val="en-US"/>
        </w:rPr>
        <w:t>[14]</w:t>
      </w:r>
      <w:r w:rsidRPr="008C3A92">
        <w:rPr>
          <w:rFonts w:ascii="Book Antiqua" w:hAnsi="Book Antiqua"/>
          <w:sz w:val="24"/>
          <w:szCs w:val="24"/>
          <w:lang w:val="en-US"/>
        </w:rPr>
        <w:t>, suggesting the universality of the diagnostic method. However, no studies have confirmed the results of these earlier studies in the Mexican population. Previous studies were performed in Caucasian populations, and the ratio may differ between populations. Thus, different predictive values may be needed to indicate the presence of esophageal varices. The objective of our study was to validate the PC/SD ratio as a predictor of the presence and absence of esophageal varices in Mexican patients with chronic hepatopathy.</w:t>
      </w:r>
    </w:p>
    <w:p w:rsidR="008A6899" w:rsidRPr="008C3A92" w:rsidRDefault="008A6899" w:rsidP="004E2489">
      <w:pPr>
        <w:snapToGrid w:val="0"/>
        <w:spacing w:after="0" w:line="360" w:lineRule="auto"/>
        <w:jc w:val="both"/>
        <w:rPr>
          <w:rFonts w:ascii="Book Antiqua" w:hAnsi="Book Antiqua"/>
          <w:b/>
          <w:sz w:val="24"/>
          <w:szCs w:val="24"/>
          <w:lang w:val="en-US"/>
        </w:rPr>
      </w:pPr>
    </w:p>
    <w:p w:rsidR="008A6899" w:rsidRPr="008C3A92" w:rsidRDefault="008A6899" w:rsidP="004E2489">
      <w:pPr>
        <w:snapToGrid w:val="0"/>
        <w:spacing w:after="0" w:line="360" w:lineRule="auto"/>
        <w:jc w:val="both"/>
        <w:rPr>
          <w:rFonts w:ascii="Book Antiqua" w:hAnsi="Book Antiqua"/>
          <w:b/>
          <w:sz w:val="24"/>
          <w:szCs w:val="24"/>
          <w:lang w:val="en-US"/>
        </w:rPr>
      </w:pPr>
      <w:r w:rsidRPr="008C3A92">
        <w:rPr>
          <w:rFonts w:ascii="Book Antiqua" w:hAnsi="Book Antiqua"/>
          <w:b/>
          <w:sz w:val="24"/>
          <w:szCs w:val="24"/>
          <w:lang w:val="en-US"/>
        </w:rPr>
        <w:t>MATERIALS AND METHODS</w:t>
      </w:r>
    </w:p>
    <w:p w:rsidR="008A6899" w:rsidRPr="008C3A92" w:rsidRDefault="008A6899" w:rsidP="004E2489">
      <w:pPr>
        <w:snapToGrid w:val="0"/>
        <w:spacing w:after="0" w:line="360" w:lineRule="auto"/>
        <w:jc w:val="both"/>
        <w:rPr>
          <w:rFonts w:ascii="Book Antiqua" w:hAnsi="Book Antiqua"/>
          <w:sz w:val="24"/>
          <w:szCs w:val="24"/>
          <w:lang w:val="en-US"/>
        </w:rPr>
      </w:pPr>
      <w:r w:rsidRPr="008C3A92">
        <w:rPr>
          <w:rFonts w:ascii="Book Antiqua" w:hAnsi="Book Antiqua"/>
          <w:sz w:val="24"/>
          <w:szCs w:val="24"/>
          <w:lang w:val="en-US"/>
        </w:rPr>
        <w:t>This study was an analytical cross-sectional validation study of a diagnostic test. Patients were included from the Department of Enteral and Parenteral Nutrition, Gastroenterology Service, Hospital Civil de Guadalajara “Fray Antonio Alcalde.” The inclusion criteria were a diagnosis of hepatic cirrhosis by histology or physical, biochemical, and imaging examinations compatible with the disease and treatment from February 1, 2010, to December 31, 2011.</w:t>
      </w:r>
    </w:p>
    <w:p w:rsidR="008A6899" w:rsidRPr="008C3A92" w:rsidRDefault="008A6899" w:rsidP="00DC70DB">
      <w:pPr>
        <w:snapToGrid w:val="0"/>
        <w:spacing w:after="0" w:line="360" w:lineRule="auto"/>
        <w:ind w:firstLineChars="100" w:firstLine="240"/>
        <w:jc w:val="both"/>
        <w:rPr>
          <w:rFonts w:ascii="Book Antiqua" w:hAnsi="Book Antiqua"/>
          <w:sz w:val="24"/>
          <w:szCs w:val="24"/>
          <w:lang w:val="en-US"/>
        </w:rPr>
      </w:pPr>
      <w:r w:rsidRPr="008C3A92">
        <w:rPr>
          <w:rFonts w:ascii="Book Antiqua" w:hAnsi="Book Antiqua"/>
          <w:bCs/>
          <w:sz w:val="24"/>
          <w:szCs w:val="24"/>
          <w:lang w:val="en-US"/>
        </w:rPr>
        <w:t>Both men and women with a diagnosis of hepatic cirrhosis of any etiology were included. The exclusion criteria were hepatocellular carcinoma, use of medications for the primary prophylaxis of variceal bleeding, history of esophageal variceal bleeding, alcohol consumption within the admission and a history of ligation, sclerotherapy, and/or portal hypertension surgery</w:t>
      </w:r>
      <w:r w:rsidRPr="008C3A92">
        <w:rPr>
          <w:rFonts w:ascii="Book Antiqua" w:hAnsi="Book Antiqua"/>
          <w:sz w:val="24"/>
          <w:szCs w:val="24"/>
          <w:lang w:val="en-US"/>
        </w:rPr>
        <w:t>.</w:t>
      </w:r>
    </w:p>
    <w:p w:rsidR="008A6899" w:rsidRPr="008C3A92" w:rsidRDefault="008A6899" w:rsidP="00DC70DB">
      <w:pPr>
        <w:snapToGrid w:val="0"/>
        <w:spacing w:after="0" w:line="360" w:lineRule="auto"/>
        <w:ind w:firstLineChars="100" w:firstLine="240"/>
        <w:jc w:val="both"/>
        <w:rPr>
          <w:rFonts w:ascii="Book Antiqua" w:hAnsi="Book Antiqua"/>
          <w:sz w:val="24"/>
          <w:szCs w:val="24"/>
          <w:lang w:val="en-US"/>
        </w:rPr>
      </w:pPr>
      <w:r w:rsidRPr="008C3A92">
        <w:rPr>
          <w:rFonts w:ascii="Book Antiqua" w:hAnsi="Book Antiqua"/>
          <w:sz w:val="24"/>
          <w:szCs w:val="24"/>
          <w:lang w:val="en-US"/>
        </w:rPr>
        <w:t>Once the patients were included in the study, a complete medical history was taken, and biochemical parameters were measured. All patients were classified according to their Child–Pugh grading.</w:t>
      </w:r>
    </w:p>
    <w:p w:rsidR="008A6899" w:rsidRPr="008C3A92" w:rsidRDefault="008A6899" w:rsidP="00DC70DB">
      <w:pPr>
        <w:snapToGrid w:val="0"/>
        <w:spacing w:after="0" w:line="360" w:lineRule="auto"/>
        <w:ind w:firstLineChars="100" w:firstLine="240"/>
        <w:jc w:val="both"/>
        <w:rPr>
          <w:rFonts w:ascii="Book Antiqua" w:hAnsi="Book Antiqua"/>
          <w:sz w:val="24"/>
          <w:szCs w:val="24"/>
          <w:lang w:val="en-US"/>
        </w:rPr>
      </w:pPr>
      <w:r w:rsidRPr="008C3A92">
        <w:rPr>
          <w:rFonts w:ascii="Book Antiqua" w:hAnsi="Book Antiqua"/>
          <w:sz w:val="24"/>
          <w:szCs w:val="24"/>
          <w:lang w:val="en-US"/>
        </w:rPr>
        <w:lastRenderedPageBreak/>
        <w:t xml:space="preserve">To calculate the PC/SD ratio, a blood count and PC was obtained using a CELL-DYN 3700 </w:t>
      </w:r>
      <w:r w:rsidRPr="008C3A92">
        <w:rPr>
          <w:rFonts w:ascii="Book Antiqua" w:hAnsi="Book Antiqua"/>
          <w:color w:val="000000"/>
          <w:sz w:val="24"/>
          <w:szCs w:val="24"/>
          <w:shd w:val="clear" w:color="auto" w:fill="FFFFFF"/>
          <w:lang w:val="en-US"/>
        </w:rPr>
        <w:t xml:space="preserve">automated hematology analyzer (Abbott Laboratories, Abbott Park, IL, </w:t>
      </w:r>
      <w:r>
        <w:rPr>
          <w:rFonts w:ascii="Book Antiqua" w:hAnsi="Book Antiqua"/>
          <w:color w:val="000000"/>
          <w:sz w:val="24"/>
          <w:szCs w:val="24"/>
          <w:shd w:val="clear" w:color="auto" w:fill="FFFFFF"/>
          <w:lang w:val="en-US"/>
        </w:rPr>
        <w:t>United States</w:t>
      </w:r>
      <w:r w:rsidRPr="008C3A92">
        <w:rPr>
          <w:rFonts w:ascii="Book Antiqua" w:hAnsi="Book Antiqua"/>
          <w:color w:val="000000"/>
          <w:sz w:val="24"/>
          <w:szCs w:val="24"/>
          <w:shd w:val="clear" w:color="auto" w:fill="FFFFFF"/>
          <w:lang w:val="en-US"/>
        </w:rPr>
        <w:t xml:space="preserve">) Afterwards, the patient underwent an upper abdominal echographic examination using a </w:t>
      </w:r>
      <w:r w:rsidRPr="008C3A92">
        <w:rPr>
          <w:rFonts w:ascii="Book Antiqua" w:hAnsi="Book Antiqua"/>
          <w:sz w:val="24"/>
          <w:szCs w:val="24"/>
          <w:lang w:val="en-US"/>
        </w:rPr>
        <w:t xml:space="preserve">GE Logiq P5 ultrasound system (General Electric Company, Fairfield CT, </w:t>
      </w:r>
      <w:r>
        <w:rPr>
          <w:rFonts w:ascii="Book Antiqua" w:hAnsi="Book Antiqua"/>
          <w:sz w:val="24"/>
          <w:szCs w:val="24"/>
          <w:lang w:val="en-US"/>
        </w:rPr>
        <w:t xml:space="preserve">United States  </w:t>
      </w:r>
      <w:r w:rsidRPr="008C3A92">
        <w:rPr>
          <w:rFonts w:ascii="Book Antiqua" w:hAnsi="Book Antiqua"/>
          <w:sz w:val="24"/>
          <w:szCs w:val="24"/>
          <w:lang w:val="en-US"/>
        </w:rPr>
        <w:t>); the spleen’s longest diameter was measured in millimeters.</w:t>
      </w:r>
    </w:p>
    <w:p w:rsidR="008A6899" w:rsidRPr="008C3A92" w:rsidRDefault="008A6899" w:rsidP="004E2489">
      <w:pPr>
        <w:snapToGrid w:val="0"/>
        <w:spacing w:after="0" w:line="360" w:lineRule="auto"/>
        <w:jc w:val="both"/>
        <w:rPr>
          <w:rFonts w:ascii="Book Antiqua" w:hAnsi="Book Antiqua"/>
          <w:sz w:val="24"/>
          <w:szCs w:val="24"/>
          <w:lang w:val="en-US"/>
        </w:rPr>
      </w:pPr>
      <w:r w:rsidRPr="008C3A92">
        <w:rPr>
          <w:rFonts w:ascii="Book Antiqua" w:hAnsi="Book Antiqua"/>
          <w:sz w:val="24"/>
          <w:szCs w:val="24"/>
          <w:lang w:val="en-US"/>
        </w:rPr>
        <w:t>The PC/SD ratio was calculated by dividing the number of platelets/</w:t>
      </w:r>
      <w:r>
        <w:rPr>
          <w:rFonts w:ascii="Book Antiqua" w:hAnsi="Book Antiqua"/>
          <w:sz w:val="24"/>
          <w:szCs w:val="24"/>
          <w:lang w:val="en-US"/>
        </w:rPr>
        <w:t>μ</w:t>
      </w:r>
      <w:r w:rsidRPr="008C3A92">
        <w:rPr>
          <w:rFonts w:ascii="Book Antiqua" w:hAnsi="Book Antiqua"/>
          <w:sz w:val="24"/>
          <w:szCs w:val="24"/>
          <w:lang w:val="en-US"/>
        </w:rPr>
        <w:t>L by the maximum bipolar diameter of the spleen in millimeters, estimated with abdominal ultrasound. Normal values in healthy mexican adults are: Maximum bipolar diameter of 115 to 130</w:t>
      </w:r>
      <w:r>
        <w:rPr>
          <w:rFonts w:ascii="Book Antiqua" w:hAnsi="Book Antiqua"/>
          <w:sz w:val="24"/>
          <w:szCs w:val="24"/>
          <w:lang w:val="en-US"/>
        </w:rPr>
        <w:t xml:space="preserve"> mm and platelet count of 167000 to 431</w:t>
      </w:r>
      <w:r w:rsidRPr="008C3A92">
        <w:rPr>
          <w:rFonts w:ascii="Book Antiqua" w:hAnsi="Book Antiqua"/>
          <w:sz w:val="24"/>
          <w:szCs w:val="24"/>
          <w:lang w:val="en-US"/>
        </w:rPr>
        <w:t>000/mm</w:t>
      </w:r>
      <w:r w:rsidRPr="008C3A92">
        <w:rPr>
          <w:rFonts w:ascii="Book Antiqua" w:hAnsi="Book Antiqua"/>
          <w:sz w:val="24"/>
          <w:szCs w:val="24"/>
          <w:vertAlign w:val="superscript"/>
          <w:lang w:val="en-US"/>
        </w:rPr>
        <w:t>3</w:t>
      </w:r>
      <w:r w:rsidRPr="00076E27">
        <w:rPr>
          <w:rFonts w:ascii="Book Antiqua" w:hAnsi="Book Antiqua"/>
          <w:sz w:val="24"/>
          <w:szCs w:val="24"/>
          <w:vertAlign w:val="superscript"/>
          <w:lang w:val="en-US" w:eastAsia="zh-CN"/>
        </w:rPr>
        <w:t>[</w:t>
      </w:r>
      <w:r w:rsidRPr="00076E27">
        <w:rPr>
          <w:rFonts w:ascii="Book Antiqua" w:hAnsi="Book Antiqua"/>
          <w:sz w:val="24"/>
          <w:szCs w:val="24"/>
          <w:vertAlign w:val="superscript"/>
          <w:lang w:val="en-US"/>
        </w:rPr>
        <w:t>15</w:t>
      </w:r>
      <w:r w:rsidRPr="00076E27">
        <w:rPr>
          <w:rFonts w:ascii="Book Antiqua" w:hAnsi="Book Antiqua"/>
          <w:sz w:val="24"/>
          <w:szCs w:val="24"/>
          <w:vertAlign w:val="superscript"/>
          <w:lang w:val="en-US" w:eastAsia="zh-CN"/>
        </w:rPr>
        <w:t>]</w:t>
      </w:r>
      <w:r w:rsidRPr="008C3A92">
        <w:rPr>
          <w:rFonts w:ascii="Book Antiqua" w:hAnsi="Book Antiqua"/>
          <w:sz w:val="24"/>
          <w:szCs w:val="24"/>
          <w:lang w:val="en-US"/>
        </w:rPr>
        <w:t xml:space="preserve">. </w:t>
      </w:r>
    </w:p>
    <w:p w:rsidR="008A6899" w:rsidRPr="008C3A92" w:rsidRDefault="008A6899" w:rsidP="00076E27">
      <w:pPr>
        <w:snapToGrid w:val="0"/>
        <w:spacing w:after="0" w:line="360" w:lineRule="auto"/>
        <w:ind w:firstLineChars="100" w:firstLine="240"/>
        <w:jc w:val="both"/>
        <w:rPr>
          <w:rFonts w:ascii="Book Antiqua" w:hAnsi="Book Antiqua"/>
          <w:sz w:val="24"/>
          <w:szCs w:val="24"/>
          <w:lang w:val="en-US"/>
        </w:rPr>
      </w:pPr>
      <w:r w:rsidRPr="008C3A92">
        <w:rPr>
          <w:rFonts w:ascii="Book Antiqua" w:hAnsi="Book Antiqua"/>
          <w:sz w:val="24"/>
          <w:szCs w:val="24"/>
          <w:lang w:val="en-US"/>
        </w:rPr>
        <w:t>Finally, the patient received a upper gastrointestinal endoscopy to determine the presence and grade of esophageal varices according to Westaby’s grading system. All endoscopies were performed using one endoscopy unit and an Olympus GIF-Q150 gastrointestinal videoscope (Olympus Corporation, Tokyo, Japan). The endoscopy and echography operators were blinded to the biochemical parameters. The interobserver variation coefficients for spleen measurements and presence of varices were evaluated in all the patients (1.4% and 1.2%, respectively).</w:t>
      </w:r>
    </w:p>
    <w:p w:rsidR="008A6899" w:rsidRDefault="008A6899" w:rsidP="00076E27">
      <w:pPr>
        <w:snapToGrid w:val="0"/>
        <w:spacing w:after="0" w:line="360" w:lineRule="auto"/>
        <w:jc w:val="both"/>
        <w:rPr>
          <w:rFonts w:ascii="Book Antiqua" w:hAnsi="Book Antiqua"/>
          <w:b/>
          <w:i/>
          <w:sz w:val="24"/>
          <w:szCs w:val="24"/>
          <w:lang w:val="en-US" w:eastAsia="zh-CN"/>
        </w:rPr>
      </w:pPr>
    </w:p>
    <w:p w:rsidR="008A6899" w:rsidRPr="008C3A92" w:rsidRDefault="008A6899" w:rsidP="00076E27">
      <w:pPr>
        <w:snapToGrid w:val="0"/>
        <w:spacing w:after="0" w:line="360" w:lineRule="auto"/>
        <w:jc w:val="both"/>
        <w:rPr>
          <w:rFonts w:ascii="Book Antiqua" w:hAnsi="Book Antiqua"/>
          <w:b/>
          <w:i/>
          <w:sz w:val="24"/>
          <w:szCs w:val="24"/>
          <w:lang w:val="en-US"/>
        </w:rPr>
      </w:pPr>
      <w:r w:rsidRPr="008C3A92">
        <w:rPr>
          <w:rFonts w:ascii="Book Antiqua" w:hAnsi="Book Antiqua"/>
          <w:b/>
          <w:i/>
          <w:sz w:val="24"/>
          <w:szCs w:val="24"/>
          <w:lang w:val="en-US"/>
        </w:rPr>
        <w:t>Ethical considerations</w:t>
      </w:r>
    </w:p>
    <w:p w:rsidR="008A6899" w:rsidRPr="008C3A92" w:rsidRDefault="008A6899" w:rsidP="00076E27">
      <w:pPr>
        <w:snapToGrid w:val="0"/>
        <w:spacing w:after="0" w:line="360" w:lineRule="auto"/>
        <w:jc w:val="both"/>
        <w:rPr>
          <w:rFonts w:ascii="Book Antiqua" w:hAnsi="Book Antiqua"/>
          <w:sz w:val="24"/>
          <w:szCs w:val="24"/>
          <w:lang w:val="en-US"/>
        </w:rPr>
      </w:pPr>
      <w:r w:rsidRPr="008C3A92">
        <w:rPr>
          <w:rFonts w:ascii="Book Antiqua" w:hAnsi="Book Antiqua"/>
          <w:sz w:val="24"/>
          <w:szCs w:val="24"/>
          <w:lang w:val="en-US"/>
        </w:rPr>
        <w:t>The study was conducted according to the principles of the Declaration of Helsinki (1989) and the Mexican Health Guidelines. Full written informed consent was obtained from all patients before their inclusion in the study. The protocol was approved by the Local Research Committee of the Hospital Civil de Guadalajara “Fray Antonio Alcalde” (registry number, 138/09).</w:t>
      </w:r>
    </w:p>
    <w:p w:rsidR="008A6899" w:rsidRPr="00076E27" w:rsidRDefault="008A6899" w:rsidP="004E2489">
      <w:pPr>
        <w:snapToGrid w:val="0"/>
        <w:spacing w:after="0" w:line="360" w:lineRule="auto"/>
        <w:jc w:val="both"/>
        <w:rPr>
          <w:rFonts w:ascii="Book Antiqua" w:hAnsi="Book Antiqua"/>
          <w:b/>
          <w:bCs/>
          <w:i/>
          <w:iCs/>
          <w:sz w:val="24"/>
          <w:szCs w:val="24"/>
          <w:lang w:val="en-US"/>
        </w:rPr>
      </w:pPr>
    </w:p>
    <w:p w:rsidR="008A6899" w:rsidRPr="008C3A92" w:rsidRDefault="008A6899" w:rsidP="004E2489">
      <w:pPr>
        <w:snapToGrid w:val="0"/>
        <w:spacing w:after="0" w:line="360" w:lineRule="auto"/>
        <w:jc w:val="both"/>
        <w:rPr>
          <w:rFonts w:ascii="Book Antiqua" w:hAnsi="Book Antiqua"/>
          <w:b/>
          <w:bCs/>
          <w:i/>
          <w:iCs/>
          <w:sz w:val="24"/>
          <w:szCs w:val="24"/>
          <w:lang w:val="en-US"/>
        </w:rPr>
      </w:pPr>
      <w:r w:rsidRPr="008C3A92">
        <w:rPr>
          <w:rFonts w:ascii="Book Antiqua" w:hAnsi="Book Antiqua"/>
          <w:b/>
          <w:bCs/>
          <w:i/>
          <w:iCs/>
          <w:sz w:val="24"/>
          <w:szCs w:val="24"/>
          <w:lang w:val="en-US"/>
        </w:rPr>
        <w:t>Statistical analysis</w:t>
      </w:r>
    </w:p>
    <w:p w:rsidR="008A6899" w:rsidRPr="008C3A92" w:rsidRDefault="008A6899" w:rsidP="004E2489">
      <w:pPr>
        <w:snapToGrid w:val="0"/>
        <w:spacing w:after="0" w:line="360" w:lineRule="auto"/>
        <w:jc w:val="both"/>
        <w:rPr>
          <w:rFonts w:ascii="Book Antiqua" w:hAnsi="Book Antiqua"/>
          <w:sz w:val="24"/>
          <w:szCs w:val="24"/>
          <w:lang w:val="en-US"/>
        </w:rPr>
      </w:pPr>
      <w:r w:rsidRPr="008C3A92">
        <w:rPr>
          <w:rFonts w:ascii="Book Antiqua" w:hAnsi="Book Antiqua"/>
          <w:sz w:val="24"/>
          <w:szCs w:val="24"/>
          <w:lang w:val="en-US"/>
        </w:rPr>
        <w:t xml:space="preserve">The results are expressed as frequencies, average percentages, and standard deviations. Student’s </w:t>
      </w:r>
      <w:r w:rsidRPr="008C3A92">
        <w:rPr>
          <w:rFonts w:ascii="Book Antiqua" w:hAnsi="Book Antiqua"/>
          <w:i/>
          <w:sz w:val="24"/>
          <w:szCs w:val="24"/>
          <w:lang w:val="en-US"/>
        </w:rPr>
        <w:t>t</w:t>
      </w:r>
      <w:r w:rsidRPr="008C3A92">
        <w:rPr>
          <w:rFonts w:ascii="Book Antiqua" w:hAnsi="Book Antiqua"/>
          <w:sz w:val="24"/>
          <w:szCs w:val="24"/>
          <w:lang w:val="en-US"/>
        </w:rPr>
        <w:t xml:space="preserve"> test was used to compare the quantitative variables. The test validity was determined with sensitivity, specificity, positive predictive value (PPV), negative </w:t>
      </w:r>
      <w:r w:rsidRPr="008C3A92">
        <w:rPr>
          <w:rFonts w:ascii="Book Antiqua" w:hAnsi="Book Antiqua"/>
          <w:sz w:val="24"/>
          <w:szCs w:val="24"/>
          <w:lang w:val="en-US"/>
        </w:rPr>
        <w:lastRenderedPageBreak/>
        <w:t xml:space="preserve">predictive value (NPV), and </w:t>
      </w:r>
      <w:r w:rsidRPr="008C3A92">
        <w:rPr>
          <w:rFonts w:ascii="Book Antiqua" w:hAnsi="Book Antiqua"/>
          <w:color w:val="000000"/>
          <w:sz w:val="24"/>
          <w:szCs w:val="24"/>
          <w:shd w:val="clear" w:color="auto" w:fill="FFFFFF"/>
          <w:lang w:val="en-US"/>
        </w:rPr>
        <w:t>positive and negative likelihood ratios (LR+ and LR–) of the PC/SD ratio. The statistical analysis was performed using SPSS for Windows version 17.0 (SPSS Inc., Chicago, IL,</w:t>
      </w:r>
      <w:r w:rsidRPr="008C3A92">
        <w:rPr>
          <w:rFonts w:ascii="Book Antiqua" w:hAnsi="Book Antiqua"/>
          <w:color w:val="212121"/>
          <w:sz w:val="24"/>
          <w:szCs w:val="24"/>
          <w:shd w:val="clear" w:color="auto" w:fill="FFFFFF"/>
          <w:lang w:val="en-US"/>
        </w:rPr>
        <w:t xml:space="preserve"> </w:t>
      </w:r>
      <w:r>
        <w:rPr>
          <w:rFonts w:ascii="Book Antiqua" w:hAnsi="Book Antiqua"/>
          <w:color w:val="212121"/>
          <w:sz w:val="24"/>
          <w:szCs w:val="24"/>
          <w:shd w:val="clear" w:color="auto" w:fill="FFFFFF"/>
          <w:lang w:val="en-US"/>
        </w:rPr>
        <w:t>United States</w:t>
      </w:r>
      <w:r w:rsidRPr="008C3A92">
        <w:rPr>
          <w:rFonts w:ascii="Book Antiqua" w:hAnsi="Book Antiqua"/>
          <w:color w:val="212121"/>
          <w:sz w:val="24"/>
          <w:szCs w:val="24"/>
          <w:shd w:val="clear" w:color="auto" w:fill="FFFFFF"/>
          <w:lang w:val="en-US"/>
        </w:rPr>
        <w:t>).</w:t>
      </w:r>
    </w:p>
    <w:p w:rsidR="008A6899" w:rsidRPr="0040540B" w:rsidRDefault="008A6899" w:rsidP="004E2489">
      <w:pPr>
        <w:snapToGrid w:val="0"/>
        <w:spacing w:after="0" w:line="360" w:lineRule="auto"/>
        <w:jc w:val="both"/>
        <w:rPr>
          <w:rFonts w:ascii="Book Antiqua" w:hAnsi="Book Antiqua"/>
          <w:b/>
          <w:sz w:val="24"/>
          <w:szCs w:val="24"/>
          <w:lang w:val="en-US" w:eastAsia="zh-CN"/>
        </w:rPr>
      </w:pPr>
    </w:p>
    <w:p w:rsidR="008A6899" w:rsidRPr="008C3A92" w:rsidRDefault="008A6899" w:rsidP="004E2489">
      <w:pPr>
        <w:snapToGrid w:val="0"/>
        <w:spacing w:after="0" w:line="360" w:lineRule="auto"/>
        <w:jc w:val="both"/>
        <w:rPr>
          <w:rFonts w:ascii="Book Antiqua" w:hAnsi="Book Antiqua"/>
          <w:sz w:val="24"/>
          <w:szCs w:val="24"/>
          <w:lang w:val="en-US"/>
        </w:rPr>
      </w:pPr>
      <w:r w:rsidRPr="008C3A92">
        <w:rPr>
          <w:rFonts w:ascii="Book Antiqua" w:hAnsi="Book Antiqua"/>
          <w:b/>
          <w:sz w:val="24"/>
          <w:szCs w:val="24"/>
          <w:lang w:val="en-US"/>
        </w:rPr>
        <w:t>RESULTS</w:t>
      </w:r>
    </w:p>
    <w:p w:rsidR="008A6899" w:rsidRPr="008C3A92" w:rsidRDefault="008A6899" w:rsidP="004E2489">
      <w:pPr>
        <w:snapToGrid w:val="0"/>
        <w:spacing w:after="0" w:line="360" w:lineRule="auto"/>
        <w:jc w:val="both"/>
        <w:rPr>
          <w:rFonts w:ascii="Book Antiqua" w:hAnsi="Book Antiqua"/>
          <w:sz w:val="24"/>
          <w:szCs w:val="24"/>
          <w:lang w:val="en-US"/>
        </w:rPr>
      </w:pPr>
      <w:r w:rsidRPr="008C3A92">
        <w:rPr>
          <w:rFonts w:ascii="Book Antiqua" w:hAnsi="Book Antiqua"/>
          <w:sz w:val="24"/>
          <w:szCs w:val="24"/>
          <w:lang w:val="en-US"/>
        </w:rPr>
        <w:t xml:space="preserve">A total of 91 patients with hepatic cirrhosis were included. Forty-one (45%) were women, and </w:t>
      </w:r>
      <w:r w:rsidRPr="008C3A92">
        <w:rPr>
          <w:rFonts w:ascii="Book Antiqua" w:hAnsi="Book Antiqua"/>
          <w:color w:val="000000"/>
          <w:sz w:val="24"/>
          <w:szCs w:val="24"/>
          <w:lang w:val="en-US"/>
        </w:rPr>
        <w:t>50 (54.9%) were men. The average age was 53.75 ± 12 years. The most common hepatic cirrhosis etiology was alcoholism in 48 (52.7%) patients, followed by hepatitis C virus (HCV) in 24 (26.3%), no hepatitis B virus cirrhosis were included, alcoholism plus HCV in three (3.2%), cryptogenic in nine (9.8%), and primary biliary cirrhosis in seven (7.6%).</w:t>
      </w:r>
    </w:p>
    <w:p w:rsidR="008A6899" w:rsidRPr="008C3A92" w:rsidRDefault="008A6899" w:rsidP="0040540B">
      <w:pPr>
        <w:snapToGrid w:val="0"/>
        <w:spacing w:after="0" w:line="360" w:lineRule="auto"/>
        <w:ind w:firstLineChars="100" w:firstLine="240"/>
        <w:jc w:val="both"/>
        <w:rPr>
          <w:rFonts w:ascii="Book Antiqua" w:hAnsi="Book Antiqua"/>
          <w:sz w:val="24"/>
          <w:szCs w:val="24"/>
          <w:lang w:val="en-US"/>
        </w:rPr>
      </w:pPr>
      <w:r w:rsidRPr="008C3A92">
        <w:rPr>
          <w:rFonts w:ascii="Book Antiqua" w:hAnsi="Book Antiqua"/>
          <w:sz w:val="24"/>
          <w:szCs w:val="24"/>
          <w:lang w:val="en-US"/>
        </w:rPr>
        <w:t xml:space="preserve">In the Child–Pugh classification, 17 </w:t>
      </w:r>
      <w:r w:rsidRPr="008C3A92">
        <w:rPr>
          <w:rFonts w:ascii="Book Antiqua" w:hAnsi="Book Antiqua"/>
          <w:color w:val="000000"/>
          <w:sz w:val="24"/>
          <w:szCs w:val="24"/>
          <w:lang w:val="en-US"/>
        </w:rPr>
        <w:t>(18.6%) patients were classified as class A, 37 (40.6%) as class B, and 37 (40.6%) as class C.</w:t>
      </w:r>
      <w:r>
        <w:rPr>
          <w:rFonts w:ascii="Book Antiqua" w:hAnsi="Book Antiqua"/>
          <w:sz w:val="24"/>
          <w:szCs w:val="24"/>
          <w:lang w:val="en-US" w:eastAsia="zh-CN"/>
        </w:rPr>
        <w:t xml:space="preserve"> </w:t>
      </w:r>
      <w:r w:rsidRPr="008C3A92">
        <w:rPr>
          <w:rFonts w:ascii="Book Antiqua" w:hAnsi="Book Antiqua"/>
          <w:sz w:val="24"/>
          <w:szCs w:val="24"/>
          <w:lang w:val="en-US"/>
        </w:rPr>
        <w:t>During the endoscopic procedure, esophageal varices were detected in 73 patients (Table 1).</w:t>
      </w:r>
    </w:p>
    <w:p w:rsidR="008A6899" w:rsidRPr="008C3A92" w:rsidRDefault="008A6899" w:rsidP="0040540B">
      <w:pPr>
        <w:snapToGrid w:val="0"/>
        <w:spacing w:after="0" w:line="360" w:lineRule="auto"/>
        <w:ind w:firstLineChars="100" w:firstLine="240"/>
        <w:jc w:val="both"/>
        <w:rPr>
          <w:rFonts w:ascii="Book Antiqua" w:hAnsi="Book Antiqua"/>
          <w:color w:val="000000"/>
          <w:sz w:val="24"/>
          <w:szCs w:val="24"/>
          <w:lang w:val="en-US"/>
        </w:rPr>
      </w:pPr>
      <w:r w:rsidRPr="008C3A92">
        <w:rPr>
          <w:rFonts w:ascii="Book Antiqua" w:hAnsi="Book Antiqua"/>
          <w:sz w:val="24"/>
          <w:szCs w:val="24"/>
          <w:lang w:val="en-US"/>
        </w:rPr>
        <w:t xml:space="preserve">The average PC/SD ratios were </w:t>
      </w:r>
      <w:r w:rsidRPr="008C3A92">
        <w:rPr>
          <w:rFonts w:ascii="Book Antiqua" w:hAnsi="Book Antiqua"/>
          <w:color w:val="000000"/>
          <w:sz w:val="24"/>
          <w:szCs w:val="24"/>
          <w:lang w:val="en-US"/>
        </w:rPr>
        <w:t>824.56 ± 412.27 and 1390 ± 905.49 (</w:t>
      </w:r>
      <w:r w:rsidRPr="0040540B">
        <w:rPr>
          <w:rFonts w:ascii="Book Antiqua" w:hAnsi="Book Antiqua"/>
          <w:i/>
          <w:color w:val="000000"/>
          <w:sz w:val="24"/>
          <w:szCs w:val="24"/>
          <w:lang w:val="en-US"/>
        </w:rPr>
        <w:t>P</w:t>
      </w:r>
      <w:r w:rsidRPr="008C3A92">
        <w:rPr>
          <w:rFonts w:ascii="Book Antiqua" w:hAnsi="Book Antiqua"/>
          <w:i/>
          <w:color w:val="000000"/>
          <w:sz w:val="24"/>
          <w:szCs w:val="24"/>
          <w:lang w:val="en-US"/>
        </w:rPr>
        <w:t xml:space="preserve"> </w:t>
      </w:r>
      <w:r w:rsidRPr="008C3A92">
        <w:rPr>
          <w:rFonts w:ascii="Book Antiqua" w:hAnsi="Book Antiqua"/>
          <w:color w:val="000000"/>
          <w:sz w:val="24"/>
          <w:szCs w:val="24"/>
          <w:lang w:val="en-US"/>
        </w:rPr>
        <w:t>= 0.018) for</w:t>
      </w:r>
      <w:r w:rsidRPr="008C3A92">
        <w:rPr>
          <w:rFonts w:ascii="Book Antiqua" w:hAnsi="Book Antiqua"/>
          <w:sz w:val="24"/>
          <w:szCs w:val="24"/>
          <w:lang w:val="en-US"/>
        </w:rPr>
        <w:t xml:space="preserve"> patients who showed evidence of esophageal varices during the endoscopy and in those who did not, respectively. The respective PCs were</w:t>
      </w:r>
      <w:r w:rsidRPr="008C3A92">
        <w:rPr>
          <w:rFonts w:ascii="Book Antiqua" w:hAnsi="Book Antiqua"/>
          <w:color w:val="000000"/>
          <w:sz w:val="24"/>
          <w:szCs w:val="24"/>
          <w:lang w:val="en-US"/>
        </w:rPr>
        <w:t xml:space="preserve"> </w:t>
      </w:r>
      <w:r>
        <w:rPr>
          <w:rFonts w:ascii="Book Antiqua" w:hAnsi="Book Antiqua"/>
          <w:color w:val="000000"/>
          <w:sz w:val="24"/>
          <w:szCs w:val="24"/>
          <w:lang w:val="en-US"/>
        </w:rPr>
        <w:t>117517 ± 50</w:t>
      </w:r>
      <w:r w:rsidRPr="008C3A92">
        <w:rPr>
          <w:rFonts w:ascii="Book Antiqua" w:hAnsi="Book Antiqua"/>
          <w:color w:val="000000"/>
          <w:sz w:val="24"/>
          <w:szCs w:val="24"/>
          <w:lang w:val="en-US"/>
        </w:rPr>
        <w:t>275/</w:t>
      </w:r>
      <w:r>
        <w:rPr>
          <w:rFonts w:ascii="Book Antiqua" w:hAnsi="Book Antiqua"/>
          <w:color w:val="000000"/>
          <w:sz w:val="24"/>
          <w:szCs w:val="24"/>
          <w:lang w:val="en-US"/>
        </w:rPr>
        <w:t>μ</w:t>
      </w:r>
      <w:r w:rsidRPr="008C3A92">
        <w:rPr>
          <w:rFonts w:ascii="Book Antiqua" w:hAnsi="Book Antiqua"/>
          <w:color w:val="000000"/>
          <w:sz w:val="24"/>
          <w:szCs w:val="24"/>
          <w:lang w:val="en-US"/>
        </w:rPr>
        <w:t>L and</w:t>
      </w:r>
      <w:r>
        <w:rPr>
          <w:rFonts w:ascii="Book Antiqua" w:hAnsi="Book Antiqua"/>
          <w:color w:val="000000"/>
          <w:sz w:val="24"/>
          <w:szCs w:val="24"/>
          <w:lang w:val="en-US"/>
        </w:rPr>
        <w:t xml:space="preserve"> 175788 ± 88</w:t>
      </w:r>
      <w:r w:rsidRPr="008C3A92">
        <w:rPr>
          <w:rFonts w:ascii="Book Antiqua" w:hAnsi="Book Antiqua"/>
          <w:color w:val="000000"/>
          <w:sz w:val="24"/>
          <w:szCs w:val="24"/>
          <w:lang w:val="en-US"/>
        </w:rPr>
        <w:t>448/</w:t>
      </w:r>
      <w:r>
        <w:rPr>
          <w:rFonts w:ascii="Book Antiqua" w:hAnsi="Book Antiqua"/>
          <w:color w:val="000000"/>
          <w:sz w:val="24"/>
          <w:szCs w:val="24"/>
          <w:lang w:val="en-US"/>
        </w:rPr>
        <w:t>μ</w:t>
      </w:r>
      <w:r w:rsidRPr="008C3A92">
        <w:rPr>
          <w:rFonts w:ascii="Book Antiqua" w:hAnsi="Book Antiqua"/>
          <w:color w:val="000000"/>
          <w:sz w:val="24"/>
          <w:szCs w:val="24"/>
          <w:lang w:val="en-US"/>
        </w:rPr>
        <w:t>L (</w:t>
      </w:r>
      <w:r w:rsidRPr="008C3A92">
        <w:rPr>
          <w:rFonts w:ascii="Book Antiqua" w:hAnsi="Book Antiqua"/>
          <w:i/>
          <w:color w:val="000000"/>
          <w:sz w:val="24"/>
          <w:szCs w:val="24"/>
          <w:lang w:val="en-US"/>
        </w:rPr>
        <w:t xml:space="preserve">P </w:t>
      </w:r>
      <w:r w:rsidRPr="008C3A92">
        <w:rPr>
          <w:rFonts w:ascii="Book Antiqua" w:hAnsi="Book Antiqua"/>
          <w:color w:val="000000"/>
          <w:sz w:val="24"/>
          <w:szCs w:val="24"/>
          <w:lang w:val="en-US"/>
        </w:rPr>
        <w:t>= 0.014). The respective SD values were</w:t>
      </w:r>
      <w:r w:rsidRPr="008C3A92">
        <w:rPr>
          <w:rFonts w:ascii="Book Antiqua" w:hAnsi="Book Antiqua"/>
          <w:sz w:val="24"/>
          <w:szCs w:val="24"/>
          <w:lang w:val="en-US"/>
        </w:rPr>
        <w:t xml:space="preserve"> </w:t>
      </w:r>
      <w:r w:rsidRPr="008C3A92">
        <w:rPr>
          <w:rFonts w:ascii="Book Antiqua" w:hAnsi="Book Antiqua"/>
          <w:color w:val="000000"/>
          <w:sz w:val="24"/>
          <w:szCs w:val="24"/>
          <w:lang w:val="en-US"/>
        </w:rPr>
        <w:t>148.16 ± 21.88 mm and 130.61 ± 14.41 mm (</w:t>
      </w:r>
      <w:r w:rsidRPr="008C3A92">
        <w:rPr>
          <w:rFonts w:ascii="Book Antiqua" w:hAnsi="Book Antiqua"/>
          <w:i/>
          <w:color w:val="000000"/>
          <w:sz w:val="24"/>
          <w:szCs w:val="24"/>
          <w:lang w:val="en-US"/>
        </w:rPr>
        <w:t xml:space="preserve">P </w:t>
      </w:r>
      <w:r w:rsidRPr="008C3A92">
        <w:rPr>
          <w:rFonts w:ascii="Book Antiqua" w:hAnsi="Book Antiqua"/>
          <w:color w:val="000000"/>
          <w:sz w:val="24"/>
          <w:szCs w:val="24"/>
          <w:lang w:val="en-US"/>
        </w:rPr>
        <w:t>= 0.002) (Table 2).</w:t>
      </w:r>
    </w:p>
    <w:p w:rsidR="008A6899" w:rsidRPr="008C3A92" w:rsidRDefault="008A6899" w:rsidP="00FB6EDD">
      <w:pPr>
        <w:snapToGrid w:val="0"/>
        <w:spacing w:after="0" w:line="360" w:lineRule="auto"/>
        <w:ind w:firstLineChars="100" w:firstLine="240"/>
        <w:jc w:val="both"/>
        <w:rPr>
          <w:rFonts w:ascii="Book Antiqua" w:hAnsi="Book Antiqua"/>
          <w:color w:val="000000"/>
          <w:sz w:val="24"/>
          <w:szCs w:val="24"/>
          <w:lang w:val="en-US"/>
        </w:rPr>
      </w:pPr>
      <w:r w:rsidRPr="008C3A92">
        <w:rPr>
          <w:rFonts w:ascii="Book Antiqua" w:hAnsi="Book Antiqua"/>
          <w:sz w:val="24"/>
          <w:szCs w:val="24"/>
          <w:lang w:val="en-US"/>
        </w:rPr>
        <w:t xml:space="preserve">The PC/SD ratio to detect esophageal varices independent of the grade showed that a value of 884 for the cutoff point had an 84% sensitivity, 70% specificity, 94% PPV, 40% NPV, 4.13 LR+, and 0.37 LR–. The exactitude was 0.72 </w:t>
      </w:r>
      <w:r w:rsidRPr="008C3A92">
        <w:rPr>
          <w:rFonts w:ascii="Book Antiqua" w:hAnsi="Book Antiqua"/>
          <w:color w:val="000000"/>
          <w:sz w:val="24"/>
          <w:szCs w:val="24"/>
          <w:lang w:val="en-US"/>
        </w:rPr>
        <w:t>(Table 3, Figure 1).</w:t>
      </w:r>
    </w:p>
    <w:p w:rsidR="008A6899" w:rsidRPr="00FB6EDD" w:rsidRDefault="008A6899" w:rsidP="00FB6EDD">
      <w:pPr>
        <w:snapToGrid w:val="0"/>
        <w:spacing w:after="0" w:line="360" w:lineRule="auto"/>
        <w:ind w:firstLineChars="100" w:firstLine="240"/>
        <w:jc w:val="both"/>
        <w:rPr>
          <w:rFonts w:ascii="Book Antiqua" w:hAnsi="Book Antiqua"/>
          <w:sz w:val="24"/>
          <w:szCs w:val="24"/>
          <w:lang w:val="en-US"/>
        </w:rPr>
      </w:pPr>
      <w:r w:rsidRPr="008C3A92">
        <w:rPr>
          <w:rFonts w:ascii="Book Antiqua" w:hAnsi="Book Antiqua"/>
          <w:sz w:val="24"/>
          <w:szCs w:val="24"/>
          <w:lang w:val="en-US"/>
        </w:rPr>
        <w:t>According to Westby’s classification, 21 (23%) patients had grade I varices, 30 (32.9%) had grade II varices, and 22 (24.1%) had grade III varices.</w:t>
      </w:r>
      <w:r>
        <w:rPr>
          <w:rFonts w:ascii="Book Antiqua" w:hAnsi="Book Antiqua"/>
          <w:sz w:val="24"/>
          <w:szCs w:val="24"/>
          <w:lang w:val="en-US" w:eastAsia="zh-CN"/>
        </w:rPr>
        <w:t xml:space="preserve"> </w:t>
      </w:r>
      <w:r w:rsidRPr="008C3A92">
        <w:rPr>
          <w:rFonts w:ascii="Book Antiqua" w:hAnsi="Book Antiqua"/>
          <w:color w:val="000000"/>
          <w:sz w:val="24"/>
          <w:szCs w:val="24"/>
          <w:lang w:val="en-US"/>
        </w:rPr>
        <w:t>The intra- and interobserver variation coefficients for the spleen bipolar measurement were evaluated in all 91 patients using the kappa index (1.2 and 0.98, respectively).</w:t>
      </w:r>
    </w:p>
    <w:p w:rsidR="008A6899" w:rsidRPr="008C3A92" w:rsidRDefault="008A6899" w:rsidP="004E2489">
      <w:pPr>
        <w:snapToGrid w:val="0"/>
        <w:spacing w:after="0" w:line="360" w:lineRule="auto"/>
        <w:jc w:val="both"/>
        <w:rPr>
          <w:rFonts w:ascii="Book Antiqua" w:hAnsi="Book Antiqua"/>
          <w:color w:val="000000"/>
          <w:sz w:val="24"/>
          <w:szCs w:val="24"/>
          <w:lang w:val="en-US" w:eastAsia="zh-CN"/>
        </w:rPr>
      </w:pPr>
    </w:p>
    <w:p w:rsidR="008A6899" w:rsidRPr="008C3A92" w:rsidRDefault="008A6899" w:rsidP="004E2489">
      <w:pPr>
        <w:snapToGrid w:val="0"/>
        <w:spacing w:after="0" w:line="360" w:lineRule="auto"/>
        <w:jc w:val="both"/>
        <w:rPr>
          <w:rFonts w:ascii="Book Antiqua" w:hAnsi="Book Antiqua"/>
          <w:b/>
          <w:sz w:val="24"/>
          <w:szCs w:val="24"/>
          <w:lang w:val="en-US"/>
        </w:rPr>
      </w:pPr>
      <w:r w:rsidRPr="008C3A92">
        <w:rPr>
          <w:rFonts w:ascii="Book Antiqua" w:hAnsi="Book Antiqua"/>
          <w:b/>
          <w:sz w:val="24"/>
          <w:szCs w:val="24"/>
          <w:lang w:val="en-US"/>
        </w:rPr>
        <w:t>DISCUSSION</w:t>
      </w:r>
    </w:p>
    <w:p w:rsidR="008A6899" w:rsidRPr="008C3A92" w:rsidRDefault="008A6899" w:rsidP="004E2489">
      <w:pPr>
        <w:snapToGrid w:val="0"/>
        <w:spacing w:after="0" w:line="360" w:lineRule="auto"/>
        <w:jc w:val="both"/>
        <w:rPr>
          <w:rFonts w:ascii="Book Antiqua" w:hAnsi="Book Antiqua"/>
          <w:sz w:val="24"/>
          <w:szCs w:val="24"/>
          <w:lang w:val="en-US"/>
        </w:rPr>
      </w:pPr>
      <w:r w:rsidRPr="008C3A92">
        <w:rPr>
          <w:rFonts w:ascii="Book Antiqua" w:hAnsi="Book Antiqua"/>
          <w:sz w:val="24"/>
          <w:szCs w:val="24"/>
          <w:lang w:val="en-US"/>
        </w:rPr>
        <w:lastRenderedPageBreak/>
        <w:t>There is an ever-growing demand for endoscopic studies, and the capacity to satisfy this demand is limited, especially in developing countries. It is difficult to provide endoscopy for the detection of esophageal varices every year or two in high-risk patients. Finding noninvasive parameters associated with high-risk esophageal varices may help reduce the need for endoscopy, and, above all, lower the cost. These parameters could be used to distinguish between high- and low-risk patients; the high-risk patients could then be followed up with endoscopic examinations.</w:t>
      </w:r>
    </w:p>
    <w:p w:rsidR="008A6899" w:rsidRPr="008C3A92" w:rsidRDefault="008A6899" w:rsidP="00FB6EDD">
      <w:pPr>
        <w:snapToGrid w:val="0"/>
        <w:spacing w:after="0" w:line="360" w:lineRule="auto"/>
        <w:ind w:firstLineChars="100" w:firstLine="240"/>
        <w:jc w:val="both"/>
        <w:rPr>
          <w:rFonts w:ascii="Book Antiqua" w:hAnsi="Book Antiqua"/>
          <w:sz w:val="24"/>
          <w:szCs w:val="24"/>
          <w:lang w:val="en-US"/>
        </w:rPr>
      </w:pPr>
      <w:r w:rsidRPr="008C3A92">
        <w:rPr>
          <w:rFonts w:ascii="Book Antiqua" w:hAnsi="Book Antiqua"/>
          <w:sz w:val="24"/>
          <w:szCs w:val="24"/>
          <w:lang w:val="en-US"/>
        </w:rPr>
        <w:t>The principal noninvasive predictor of esophageal varices may be the PC/SD ratio because it has high sensitivity and specificity in patients with hepatic cirrhosis. This ratio could represent an acceptable parameter of clinical relevance in patients with portal hypertension</w:t>
      </w:r>
      <w:r w:rsidRPr="008C3A92">
        <w:rPr>
          <w:rFonts w:ascii="Book Antiqua" w:hAnsi="Book Antiqua"/>
          <w:sz w:val="24"/>
          <w:szCs w:val="24"/>
          <w:vertAlign w:val="superscript"/>
          <w:lang w:val="en-US"/>
        </w:rPr>
        <w:t>[12,13,16,17]</w:t>
      </w:r>
      <w:r w:rsidRPr="008C3A92">
        <w:rPr>
          <w:rFonts w:ascii="Book Antiqua" w:hAnsi="Book Antiqua"/>
          <w:sz w:val="24"/>
          <w:szCs w:val="24"/>
          <w:lang w:val="en-US"/>
        </w:rPr>
        <w:t>.</w:t>
      </w:r>
    </w:p>
    <w:p w:rsidR="008A6899" w:rsidRPr="008C3A92" w:rsidRDefault="008A6899" w:rsidP="00FB6EDD">
      <w:pPr>
        <w:snapToGrid w:val="0"/>
        <w:spacing w:after="0" w:line="360" w:lineRule="auto"/>
        <w:ind w:firstLineChars="100" w:firstLine="240"/>
        <w:jc w:val="both"/>
        <w:rPr>
          <w:rFonts w:ascii="Book Antiqua" w:hAnsi="Book Antiqua"/>
          <w:sz w:val="24"/>
          <w:szCs w:val="24"/>
          <w:lang w:val="en-US"/>
        </w:rPr>
      </w:pPr>
      <w:r w:rsidRPr="008C3A92">
        <w:rPr>
          <w:rFonts w:ascii="Book Antiqua" w:hAnsi="Book Antiqua"/>
          <w:sz w:val="24"/>
          <w:szCs w:val="24"/>
          <w:lang w:val="en-US"/>
        </w:rPr>
        <w:t>We tried to validate whether a simple score could predict the presence of esophageal varices in mexican patients with hepatic cirrhosis of any etiology. Large-scale assessment that takes into account the etiology of cirrhosis is needed to define the role of the PC/SD ratio and to compare the diagnostic exactitude of this ratio with that of other noninvasive parameters. At present, the available data do not support the substitution of another method for upper gastrointestinal endoscopy when identifying esophageal varices, but the PC/SD ratio may be helpful for stratifying patients with cirrhosis into different risk categories. This may be especially relevant to those whose general health conditions do not permit the use of an invasive study, but whose history suggests the possibility of esophageal varices, thus reducing the number of endoscopies.</w:t>
      </w:r>
    </w:p>
    <w:p w:rsidR="008A6899" w:rsidRPr="008C3A92" w:rsidRDefault="008A6899" w:rsidP="004E2489">
      <w:pPr>
        <w:snapToGrid w:val="0"/>
        <w:spacing w:after="0" w:line="360" w:lineRule="auto"/>
        <w:jc w:val="both"/>
        <w:rPr>
          <w:rFonts w:ascii="Book Antiqua" w:hAnsi="Book Antiqua"/>
          <w:sz w:val="24"/>
          <w:szCs w:val="24"/>
          <w:lang w:val="en-US"/>
        </w:rPr>
      </w:pPr>
      <w:r w:rsidRPr="008C3A92">
        <w:rPr>
          <w:rFonts w:ascii="Book Antiqua" w:hAnsi="Book Antiqua"/>
          <w:sz w:val="24"/>
          <w:szCs w:val="24"/>
          <w:lang w:val="en-US"/>
        </w:rPr>
        <w:t>A large number of patients undergo an endoscopic study to diagnose chronic hepatic illness, and there is a particular interest in finding noninvasive predictors of esophageal varices that could replace the need for scrutinizing endoscopies and thus lower the economic, medical, and social costs</w:t>
      </w:r>
      <w:r w:rsidRPr="008C3A92">
        <w:rPr>
          <w:rFonts w:ascii="Book Antiqua" w:hAnsi="Book Antiqua"/>
          <w:sz w:val="24"/>
          <w:szCs w:val="24"/>
          <w:vertAlign w:val="superscript"/>
          <w:lang w:val="en-US"/>
        </w:rPr>
        <w:t xml:space="preserve"> [1-12,14,18]</w:t>
      </w:r>
      <w:r w:rsidRPr="008C3A92">
        <w:rPr>
          <w:rFonts w:ascii="Book Antiqua" w:hAnsi="Book Antiqua"/>
          <w:sz w:val="24"/>
          <w:szCs w:val="24"/>
          <w:lang w:val="en-US"/>
        </w:rPr>
        <w:t>.</w:t>
      </w:r>
    </w:p>
    <w:p w:rsidR="008A6899" w:rsidRPr="008C3A92" w:rsidRDefault="008A6899" w:rsidP="00FB6EDD">
      <w:pPr>
        <w:snapToGrid w:val="0"/>
        <w:spacing w:after="0" w:line="360" w:lineRule="auto"/>
        <w:ind w:firstLineChars="100" w:firstLine="240"/>
        <w:jc w:val="both"/>
        <w:rPr>
          <w:rFonts w:ascii="Book Antiqua" w:hAnsi="Book Antiqua"/>
          <w:sz w:val="24"/>
          <w:szCs w:val="24"/>
          <w:lang w:val="en-US"/>
        </w:rPr>
      </w:pPr>
      <w:r w:rsidRPr="008C3A92">
        <w:rPr>
          <w:rFonts w:ascii="Book Antiqua" w:hAnsi="Book Antiqua"/>
          <w:sz w:val="24"/>
          <w:szCs w:val="24"/>
          <w:lang w:val="en-US"/>
        </w:rPr>
        <w:t>Particular groups of patients have been studied, for example, patients waiting for a liver transplant</w:t>
      </w:r>
      <w:r w:rsidRPr="008C3A92">
        <w:rPr>
          <w:rFonts w:ascii="Book Antiqua" w:hAnsi="Book Antiqua"/>
          <w:sz w:val="24"/>
          <w:szCs w:val="24"/>
          <w:vertAlign w:val="superscript"/>
          <w:lang w:val="en-US"/>
        </w:rPr>
        <w:t xml:space="preserve"> [18]</w:t>
      </w:r>
      <w:r w:rsidRPr="008C3A92">
        <w:rPr>
          <w:rFonts w:ascii="Book Antiqua" w:hAnsi="Book Antiqua"/>
          <w:sz w:val="24"/>
          <w:szCs w:val="24"/>
          <w:lang w:val="en-US"/>
        </w:rPr>
        <w:t>.</w:t>
      </w:r>
      <w:r>
        <w:rPr>
          <w:rFonts w:ascii="Book Antiqua" w:hAnsi="Book Antiqua"/>
          <w:sz w:val="24"/>
          <w:szCs w:val="24"/>
          <w:lang w:val="en-US" w:eastAsia="zh-CN"/>
        </w:rPr>
        <w:t xml:space="preserve"> </w:t>
      </w:r>
      <w:r w:rsidRPr="008C3A92">
        <w:rPr>
          <w:rFonts w:ascii="Book Antiqua" w:hAnsi="Book Antiqua"/>
          <w:sz w:val="24"/>
          <w:szCs w:val="24"/>
          <w:lang w:val="en-US"/>
        </w:rPr>
        <w:t xml:space="preserve">In some cases, there is no uniformity in the classification of the varices, or the statistical analysis has been inadequate, and most studies have a </w:t>
      </w:r>
      <w:r w:rsidRPr="008C3A92">
        <w:rPr>
          <w:rFonts w:ascii="Book Antiqua" w:hAnsi="Book Antiqua"/>
          <w:sz w:val="24"/>
          <w:szCs w:val="24"/>
          <w:lang w:val="en-US"/>
        </w:rPr>
        <w:lastRenderedPageBreak/>
        <w:t>retrospective design. In the literature, a low PC and splenomegaly are the most studied noninvasive predictors of esophageal varices, and these parameters produce better results than do parameters such as serum bilirubin and albumin levels, Child–Pugh functional classification, and portal vein diameter</w:t>
      </w:r>
      <w:r w:rsidRPr="008C3A92">
        <w:rPr>
          <w:rFonts w:ascii="Book Antiqua" w:hAnsi="Book Antiqua"/>
          <w:sz w:val="24"/>
          <w:szCs w:val="24"/>
          <w:vertAlign w:val="superscript"/>
          <w:lang w:val="en-US"/>
        </w:rPr>
        <w:t>[9-12,18-20]</w:t>
      </w:r>
      <w:r w:rsidRPr="008C3A92">
        <w:rPr>
          <w:rFonts w:ascii="Book Antiqua" w:hAnsi="Book Antiqua"/>
          <w:sz w:val="24"/>
          <w:szCs w:val="24"/>
          <w:lang w:val="en-US"/>
        </w:rPr>
        <w:t>.</w:t>
      </w:r>
    </w:p>
    <w:p w:rsidR="008A6899" w:rsidRPr="008C3A92" w:rsidRDefault="008A6899" w:rsidP="00FB6EDD">
      <w:pPr>
        <w:snapToGrid w:val="0"/>
        <w:spacing w:after="0" w:line="360" w:lineRule="auto"/>
        <w:ind w:firstLineChars="100" w:firstLine="240"/>
        <w:jc w:val="both"/>
        <w:rPr>
          <w:rFonts w:ascii="Book Antiqua" w:hAnsi="Book Antiqua"/>
          <w:sz w:val="24"/>
          <w:szCs w:val="24"/>
          <w:lang w:val="en-GB"/>
        </w:rPr>
      </w:pPr>
      <w:r w:rsidRPr="008C3A92">
        <w:rPr>
          <w:rFonts w:ascii="Book Antiqua" w:hAnsi="Book Antiqua"/>
          <w:sz w:val="24"/>
          <w:szCs w:val="24"/>
          <w:lang w:val="en-US"/>
        </w:rPr>
        <w:t xml:space="preserve">In our study, the analysis of the noninvasive predictors was based on the maximum diameter of the spleen, measured in millimeters using abdominal ultrasound, and the PC. These two parameters were used to calculate the PC/SD ratio. A cutoff point of </w:t>
      </w:r>
      <w:r w:rsidRPr="008C3A92">
        <w:rPr>
          <w:rFonts w:ascii="Book Antiqua" w:hAnsi="Book Antiqua"/>
          <w:sz w:val="24"/>
          <w:szCs w:val="24"/>
          <w:lang w:val="en-US"/>
        </w:rPr>
        <w:sym w:font="Symbol" w:char="F0A3"/>
      </w:r>
      <w:r>
        <w:rPr>
          <w:rFonts w:ascii="Book Antiqua" w:hAnsi="Book Antiqua"/>
          <w:sz w:val="24"/>
          <w:szCs w:val="24"/>
          <w:lang w:val="en-US" w:eastAsia="zh-CN"/>
        </w:rPr>
        <w:t xml:space="preserve"> </w:t>
      </w:r>
      <w:r w:rsidRPr="008C3A92">
        <w:rPr>
          <w:rFonts w:ascii="Book Antiqua" w:hAnsi="Book Antiqua"/>
          <w:sz w:val="24"/>
          <w:szCs w:val="24"/>
          <w:lang w:val="en-US"/>
        </w:rPr>
        <w:t xml:space="preserve">884 produced a sensitivity and specificity of 84% and 70%, respectively. </w:t>
      </w:r>
    </w:p>
    <w:p w:rsidR="008A6899" w:rsidRPr="008C3A92" w:rsidRDefault="008A6899" w:rsidP="00FB6EDD">
      <w:pPr>
        <w:snapToGrid w:val="0"/>
        <w:spacing w:after="0" w:line="360" w:lineRule="auto"/>
        <w:ind w:firstLineChars="100" w:firstLine="240"/>
        <w:jc w:val="both"/>
        <w:rPr>
          <w:rFonts w:ascii="Book Antiqua" w:hAnsi="Book Antiqua"/>
          <w:sz w:val="24"/>
          <w:szCs w:val="24"/>
          <w:lang w:val="en-US"/>
        </w:rPr>
      </w:pPr>
      <w:r w:rsidRPr="008C3A92">
        <w:rPr>
          <w:rFonts w:ascii="Book Antiqua" w:hAnsi="Book Antiqua"/>
          <w:sz w:val="24"/>
          <w:szCs w:val="24"/>
          <w:lang w:val="en-US"/>
        </w:rPr>
        <w:t>These results are similar to those of a recent meta-analysis</w:t>
      </w:r>
      <w:r w:rsidRPr="008C3A92">
        <w:rPr>
          <w:rFonts w:ascii="Book Antiqua" w:hAnsi="Book Antiqua"/>
          <w:sz w:val="24"/>
          <w:szCs w:val="24"/>
          <w:vertAlign w:val="superscript"/>
          <w:lang w:val="en-US"/>
        </w:rPr>
        <w:t>[21]</w:t>
      </w:r>
      <w:r w:rsidRPr="008C3A92">
        <w:rPr>
          <w:rFonts w:ascii="Book Antiqua" w:hAnsi="Book Antiqua"/>
          <w:sz w:val="24"/>
          <w:szCs w:val="24"/>
          <w:lang w:val="en-US"/>
        </w:rPr>
        <w:t>, that included 1275 patients and reported a sensitivity of 89% (95%CI: 87–</w:t>
      </w:r>
      <w:r>
        <w:rPr>
          <w:rFonts w:ascii="Book Antiqua" w:hAnsi="Book Antiqua"/>
          <w:sz w:val="24"/>
          <w:szCs w:val="24"/>
          <w:lang w:val="en-US"/>
        </w:rPr>
        <w:t>92</w:t>
      </w:r>
      <w:r w:rsidRPr="008C3A92">
        <w:rPr>
          <w:rFonts w:ascii="Book Antiqua" w:hAnsi="Book Antiqua"/>
          <w:sz w:val="24"/>
          <w:szCs w:val="24"/>
          <w:lang w:val="en-US"/>
        </w:rPr>
        <w:t>) and specificity of 74% (</w:t>
      </w:r>
      <w:r>
        <w:rPr>
          <w:rFonts w:ascii="Book Antiqua" w:hAnsi="Book Antiqua"/>
          <w:sz w:val="24"/>
          <w:szCs w:val="24"/>
          <w:lang w:val="en-US"/>
        </w:rPr>
        <w:t>95%CI</w:t>
      </w:r>
      <w:r w:rsidRPr="008C3A92">
        <w:rPr>
          <w:rFonts w:ascii="Book Antiqua" w:hAnsi="Book Antiqua"/>
          <w:sz w:val="24"/>
          <w:szCs w:val="24"/>
          <w:lang w:val="en-US"/>
        </w:rPr>
        <w:t>: 70–</w:t>
      </w:r>
      <w:r>
        <w:rPr>
          <w:rFonts w:ascii="Book Antiqua" w:hAnsi="Book Antiqua"/>
          <w:sz w:val="24"/>
          <w:szCs w:val="24"/>
          <w:lang w:val="en-US"/>
        </w:rPr>
        <w:t>78</w:t>
      </w:r>
      <w:r w:rsidRPr="008C3A92">
        <w:rPr>
          <w:rFonts w:ascii="Book Antiqua" w:hAnsi="Book Antiqua"/>
          <w:sz w:val="24"/>
          <w:szCs w:val="24"/>
          <w:lang w:val="en-US"/>
        </w:rPr>
        <w:t>). These parameters are easy to obtain, reproducible, and above all, noninvasive. Another advantage is that no additional expense is involved because these studies are performed routinely in patients with hepatic cirrhosis.</w:t>
      </w:r>
    </w:p>
    <w:p w:rsidR="008A6899" w:rsidRPr="008C3A92" w:rsidRDefault="008A6899" w:rsidP="00FB6EDD">
      <w:pPr>
        <w:snapToGrid w:val="0"/>
        <w:spacing w:after="0" w:line="360" w:lineRule="auto"/>
        <w:ind w:firstLineChars="100" w:firstLine="240"/>
        <w:jc w:val="both"/>
        <w:rPr>
          <w:rFonts w:ascii="Book Antiqua" w:hAnsi="Book Antiqua"/>
          <w:sz w:val="24"/>
          <w:szCs w:val="24"/>
          <w:vertAlign w:val="superscript"/>
          <w:lang w:val="en-US"/>
        </w:rPr>
      </w:pPr>
      <w:r w:rsidRPr="008C3A92">
        <w:rPr>
          <w:rFonts w:ascii="Book Antiqua" w:hAnsi="Book Antiqua"/>
          <w:sz w:val="24"/>
          <w:szCs w:val="24"/>
          <w:lang w:val="en-US"/>
        </w:rPr>
        <w:t xml:space="preserve">The cutoff point for the PC/SD ratio in our study was lower than that reported by Giannini </w:t>
      </w:r>
      <w:r w:rsidRPr="00052521">
        <w:rPr>
          <w:rFonts w:ascii="Book Antiqua" w:hAnsi="Book Antiqua"/>
          <w:i/>
          <w:sz w:val="24"/>
          <w:szCs w:val="24"/>
          <w:lang w:val="en-US"/>
        </w:rPr>
        <w:t>et al</w:t>
      </w:r>
      <w:r w:rsidRPr="008C3A92">
        <w:rPr>
          <w:rFonts w:ascii="Book Antiqua" w:hAnsi="Book Antiqua"/>
          <w:sz w:val="24"/>
          <w:szCs w:val="24"/>
          <w:vertAlign w:val="superscript"/>
          <w:lang w:val="en-US"/>
        </w:rPr>
        <w:t>[16]</w:t>
      </w:r>
      <w:r w:rsidRPr="008C3A92">
        <w:rPr>
          <w:rFonts w:ascii="Book Antiqua" w:hAnsi="Book Antiqua"/>
          <w:sz w:val="24"/>
          <w:szCs w:val="24"/>
          <w:lang w:val="en-US"/>
        </w:rPr>
        <w:t xml:space="preserve"> (&lt;</w:t>
      </w:r>
      <w:r>
        <w:rPr>
          <w:rFonts w:ascii="Book Antiqua" w:hAnsi="Book Antiqua"/>
          <w:sz w:val="24"/>
          <w:szCs w:val="24"/>
          <w:lang w:val="en-US" w:eastAsia="zh-CN"/>
        </w:rPr>
        <w:t xml:space="preserve"> </w:t>
      </w:r>
      <w:r w:rsidRPr="008C3A92">
        <w:rPr>
          <w:rFonts w:ascii="Book Antiqua" w:hAnsi="Book Antiqua"/>
          <w:sz w:val="24"/>
          <w:szCs w:val="24"/>
          <w:lang w:val="en-US"/>
        </w:rPr>
        <w:t>884.3 and &lt;</w:t>
      </w:r>
      <w:r>
        <w:rPr>
          <w:rFonts w:ascii="Book Antiqua" w:hAnsi="Book Antiqua"/>
          <w:sz w:val="24"/>
          <w:szCs w:val="24"/>
          <w:lang w:val="en-US" w:eastAsia="zh-CN"/>
        </w:rPr>
        <w:t xml:space="preserve"> </w:t>
      </w:r>
      <w:r w:rsidRPr="008C3A92">
        <w:rPr>
          <w:rFonts w:ascii="Book Antiqua" w:hAnsi="Book Antiqua"/>
          <w:sz w:val="24"/>
          <w:szCs w:val="24"/>
          <w:lang w:val="en-US"/>
        </w:rPr>
        <w:t xml:space="preserve">909, respectively). This difference is probably influenced by racial characteristics. The higher values in the study by Giannini </w:t>
      </w:r>
      <w:r w:rsidRPr="00052521">
        <w:rPr>
          <w:rFonts w:ascii="Book Antiqua" w:hAnsi="Book Antiqua"/>
          <w:i/>
          <w:sz w:val="24"/>
          <w:szCs w:val="24"/>
          <w:lang w:val="en-US"/>
        </w:rPr>
        <w:t>et al</w:t>
      </w:r>
      <w:r w:rsidRPr="008C3A92">
        <w:rPr>
          <w:rFonts w:ascii="Book Antiqua" w:hAnsi="Book Antiqua"/>
          <w:sz w:val="24"/>
          <w:szCs w:val="24"/>
          <w:vertAlign w:val="superscript"/>
          <w:lang w:val="en-US"/>
        </w:rPr>
        <w:t>[16]</w:t>
      </w:r>
      <w:r w:rsidRPr="008C3A92">
        <w:rPr>
          <w:rFonts w:ascii="Book Antiqua" w:hAnsi="Book Antiqua"/>
          <w:sz w:val="24"/>
          <w:szCs w:val="24"/>
          <w:lang w:val="en-US"/>
        </w:rPr>
        <w:t xml:space="preserve"> were obtained from studies of a principally Caucasian population; the patients were taller than in our population and therefore had larger internal organs. The patient population included in our study is representative of the population with hepatic cirrhosis who have signs of portal hypertension seen in clinical practice. The difference in PC/SD ratio between our study and previous studies indicate that it is important to determine a cutoff point for the PC/SD ratio in any specific population.</w:t>
      </w:r>
    </w:p>
    <w:p w:rsidR="008A6899" w:rsidRPr="008C3A92" w:rsidRDefault="008A6899" w:rsidP="004E2489">
      <w:pPr>
        <w:snapToGrid w:val="0"/>
        <w:spacing w:after="0" w:line="360" w:lineRule="auto"/>
        <w:jc w:val="both"/>
        <w:rPr>
          <w:rFonts w:ascii="Book Antiqua" w:hAnsi="Book Antiqua"/>
          <w:sz w:val="24"/>
          <w:szCs w:val="24"/>
          <w:lang w:val="en-US"/>
        </w:rPr>
      </w:pPr>
      <w:r w:rsidRPr="008C3A92">
        <w:rPr>
          <w:rFonts w:ascii="Book Antiqua" w:hAnsi="Book Antiqua"/>
          <w:sz w:val="24"/>
          <w:szCs w:val="24"/>
          <w:lang w:val="en-US"/>
        </w:rPr>
        <w:t xml:space="preserve">Thrombocytopenia can be caused by splenic </w:t>
      </w:r>
      <w:r w:rsidRPr="008C3A92">
        <w:rPr>
          <w:rFonts w:ascii="Book Antiqua" w:hAnsi="Book Antiqua"/>
          <w:color w:val="000000"/>
          <w:sz w:val="24"/>
          <w:szCs w:val="24"/>
          <w:shd w:val="clear" w:color="auto" w:fill="FFFFFF"/>
          <w:lang w:val="en-US"/>
        </w:rPr>
        <w:t>sequestration</w:t>
      </w:r>
      <w:r w:rsidRPr="008C3A92">
        <w:rPr>
          <w:rFonts w:ascii="Book Antiqua" w:hAnsi="Book Antiqua"/>
          <w:sz w:val="24"/>
          <w:szCs w:val="24"/>
          <w:lang w:val="en-US"/>
        </w:rPr>
        <w:t xml:space="preserve"> or by a decrease in hepatic production of </w:t>
      </w:r>
      <w:r w:rsidRPr="008C3A92">
        <w:rPr>
          <w:rFonts w:ascii="Book Antiqua" w:hAnsi="Book Antiqua"/>
          <w:bCs/>
          <w:color w:val="000000"/>
          <w:sz w:val="24"/>
          <w:szCs w:val="24"/>
          <w:shd w:val="clear" w:color="auto" w:fill="FFFFFF"/>
          <w:lang w:val="en-US"/>
        </w:rPr>
        <w:t>thrombopoietin</w:t>
      </w:r>
      <w:r w:rsidRPr="008C3A92">
        <w:rPr>
          <w:rFonts w:ascii="Book Antiqua" w:hAnsi="Book Antiqua"/>
          <w:sz w:val="24"/>
          <w:szCs w:val="24"/>
          <w:lang w:val="en-US"/>
        </w:rPr>
        <w:t xml:space="preserve"> caused by a failing liver and antibody platelet destruction</w:t>
      </w:r>
      <w:r w:rsidRPr="008C3A92">
        <w:rPr>
          <w:rFonts w:ascii="Book Antiqua" w:hAnsi="Book Antiqua"/>
          <w:sz w:val="24"/>
          <w:szCs w:val="24"/>
          <w:vertAlign w:val="superscript"/>
          <w:lang w:val="en-US"/>
        </w:rPr>
        <w:t>[1-4,9-11,18]</w:t>
      </w:r>
      <w:r w:rsidRPr="008C3A92">
        <w:rPr>
          <w:rFonts w:ascii="Book Antiqua" w:hAnsi="Book Antiqua"/>
          <w:sz w:val="24"/>
          <w:szCs w:val="24"/>
          <w:lang w:val="en-US"/>
        </w:rPr>
        <w:t xml:space="preserve">. Some authors who have evaluated noninvasive parameters in the diagnosis of esophageal varices have found that splenomegaly can have a high sensitivity but a low specificity, whereas thrombocytopenia shows the opposite, that is, a low sensitivity and intermediate specificity. In the study by Chalasani </w:t>
      </w:r>
      <w:r w:rsidRPr="00052521">
        <w:rPr>
          <w:rFonts w:ascii="Book Antiqua" w:hAnsi="Book Antiqua"/>
          <w:i/>
          <w:sz w:val="24"/>
          <w:szCs w:val="24"/>
          <w:lang w:val="en-US"/>
        </w:rPr>
        <w:t>et al</w:t>
      </w:r>
      <w:r w:rsidRPr="008C3A92">
        <w:rPr>
          <w:rFonts w:ascii="Book Antiqua" w:hAnsi="Book Antiqua"/>
          <w:sz w:val="24"/>
          <w:szCs w:val="24"/>
          <w:vertAlign w:val="superscript"/>
          <w:lang w:val="en-US"/>
        </w:rPr>
        <w:t>[22]</w:t>
      </w:r>
      <w:r w:rsidRPr="008C3A92">
        <w:rPr>
          <w:rFonts w:ascii="Book Antiqua" w:hAnsi="Book Antiqua"/>
          <w:sz w:val="24"/>
          <w:szCs w:val="24"/>
          <w:lang w:val="en-US"/>
        </w:rPr>
        <w:t xml:space="preserve">, the PC and splenomegaly independently predicted the presence of esophageal varices. In the </w:t>
      </w:r>
      <w:r w:rsidRPr="008C3A92">
        <w:rPr>
          <w:rFonts w:ascii="Book Antiqua" w:hAnsi="Book Antiqua"/>
          <w:sz w:val="24"/>
          <w:szCs w:val="24"/>
          <w:lang w:val="en-US"/>
        </w:rPr>
        <w:lastRenderedPageBreak/>
        <w:t xml:space="preserve">study by Madhotra </w:t>
      </w:r>
      <w:r w:rsidRPr="00052521">
        <w:rPr>
          <w:rFonts w:ascii="Book Antiqua" w:hAnsi="Book Antiqua"/>
          <w:i/>
          <w:sz w:val="24"/>
          <w:szCs w:val="24"/>
          <w:lang w:val="en-US"/>
        </w:rPr>
        <w:t>et al</w:t>
      </w:r>
      <w:r w:rsidRPr="008C3A92">
        <w:rPr>
          <w:rFonts w:ascii="Book Antiqua" w:hAnsi="Book Antiqua"/>
          <w:sz w:val="24"/>
          <w:szCs w:val="24"/>
          <w:vertAlign w:val="superscript"/>
          <w:lang w:val="en-US"/>
        </w:rPr>
        <w:t>[8]</w:t>
      </w:r>
      <w:r w:rsidRPr="008C3A92">
        <w:rPr>
          <w:rFonts w:ascii="Book Antiqua" w:hAnsi="Book Antiqua"/>
          <w:sz w:val="24"/>
          <w:szCs w:val="24"/>
          <w:lang w:val="en-US"/>
        </w:rPr>
        <w:t>, 32% of the patients had a PC &lt;</w:t>
      </w:r>
      <w:r>
        <w:rPr>
          <w:rFonts w:ascii="Book Antiqua" w:hAnsi="Book Antiqua"/>
          <w:sz w:val="24"/>
          <w:szCs w:val="24"/>
          <w:lang w:val="en-US" w:eastAsia="zh-CN"/>
        </w:rPr>
        <w:t xml:space="preserve"> </w:t>
      </w:r>
      <w:r>
        <w:rPr>
          <w:rFonts w:ascii="Book Antiqua" w:hAnsi="Book Antiqua"/>
          <w:sz w:val="24"/>
          <w:szCs w:val="24"/>
          <w:lang w:val="en-US"/>
        </w:rPr>
        <w:t>68</w:t>
      </w:r>
      <w:r w:rsidRPr="008C3A92">
        <w:rPr>
          <w:rFonts w:ascii="Book Antiqua" w:hAnsi="Book Antiqua"/>
          <w:sz w:val="24"/>
          <w:szCs w:val="24"/>
          <w:lang w:val="en-US"/>
        </w:rPr>
        <w:t>000/</w:t>
      </w:r>
      <w:r>
        <w:rPr>
          <w:rFonts w:ascii="Book Antiqua" w:hAnsi="Book Antiqua"/>
          <w:sz w:val="24"/>
          <w:szCs w:val="24"/>
          <w:lang w:val="en-US"/>
        </w:rPr>
        <w:t>μ</w:t>
      </w:r>
      <w:r w:rsidRPr="008C3A92">
        <w:rPr>
          <w:rFonts w:ascii="Book Antiqua" w:hAnsi="Book Antiqua"/>
          <w:sz w:val="24"/>
          <w:szCs w:val="24"/>
          <w:lang w:val="en-US"/>
        </w:rPr>
        <w:t xml:space="preserve">L without splenomegaly. These differences may reflect differences in the etiology of cirrhosis, action of immunological mediators, or reduction in </w:t>
      </w:r>
      <w:r w:rsidRPr="008C3A92">
        <w:rPr>
          <w:rFonts w:ascii="Book Antiqua" w:hAnsi="Book Antiqua"/>
          <w:bCs/>
          <w:color w:val="000000"/>
          <w:sz w:val="24"/>
          <w:szCs w:val="24"/>
          <w:shd w:val="clear" w:color="auto" w:fill="FFFFFF"/>
          <w:lang w:val="en-US"/>
        </w:rPr>
        <w:t>thrombopoietin</w:t>
      </w:r>
      <w:r w:rsidRPr="008C3A92">
        <w:rPr>
          <w:rFonts w:ascii="Book Antiqua" w:hAnsi="Book Antiqua"/>
          <w:sz w:val="24"/>
          <w:szCs w:val="24"/>
          <w:lang w:val="en-US"/>
        </w:rPr>
        <w:t xml:space="preserve"> and not just splenic sequestration</w:t>
      </w:r>
      <w:r w:rsidRPr="008C3A92">
        <w:rPr>
          <w:rFonts w:ascii="Book Antiqua" w:hAnsi="Book Antiqua"/>
          <w:sz w:val="24"/>
          <w:szCs w:val="24"/>
          <w:vertAlign w:val="superscript"/>
          <w:lang w:val="en-US"/>
        </w:rPr>
        <w:t>[4,11]</w:t>
      </w:r>
      <w:r w:rsidRPr="008C3A92">
        <w:rPr>
          <w:rFonts w:ascii="Book Antiqua" w:hAnsi="Book Antiqua"/>
          <w:sz w:val="24"/>
          <w:szCs w:val="24"/>
          <w:lang w:val="en-US"/>
        </w:rPr>
        <w:t>.</w:t>
      </w:r>
    </w:p>
    <w:p w:rsidR="008A6899" w:rsidRPr="008C3A92" w:rsidRDefault="008A6899" w:rsidP="00052521">
      <w:pPr>
        <w:snapToGrid w:val="0"/>
        <w:spacing w:after="0" w:line="360" w:lineRule="auto"/>
        <w:ind w:firstLineChars="100" w:firstLine="240"/>
        <w:jc w:val="both"/>
        <w:rPr>
          <w:rFonts w:ascii="Book Antiqua" w:hAnsi="Book Antiqua"/>
          <w:sz w:val="24"/>
          <w:szCs w:val="24"/>
          <w:lang w:val="en-GB"/>
        </w:rPr>
      </w:pPr>
      <w:r w:rsidRPr="008C3A92">
        <w:rPr>
          <w:rFonts w:ascii="Book Antiqua" w:hAnsi="Book Antiqua"/>
          <w:sz w:val="24"/>
          <w:szCs w:val="24"/>
          <w:lang w:val="en-GB"/>
        </w:rPr>
        <w:t>The positive predictive value (or the proportion of patients with a positive test result who have the disease) was 94%, but the negative predictor value (or the proportion of people with a negative test results who do not have the disease) was 40% as a reflection of our specificity (70%), the prevalence of esophageal varices in patients in cirrhosis and the different etiologies of the chronic liver diseases.</w:t>
      </w:r>
    </w:p>
    <w:p w:rsidR="008A6899" w:rsidRPr="008C3A92" w:rsidRDefault="008A6899" w:rsidP="00052521">
      <w:pPr>
        <w:snapToGrid w:val="0"/>
        <w:spacing w:after="0" w:line="360" w:lineRule="auto"/>
        <w:ind w:firstLineChars="100" w:firstLine="240"/>
        <w:jc w:val="both"/>
        <w:rPr>
          <w:rFonts w:ascii="Book Antiqua" w:hAnsi="Book Antiqua"/>
          <w:sz w:val="24"/>
          <w:szCs w:val="24"/>
          <w:lang w:val="en-US"/>
        </w:rPr>
      </w:pPr>
      <w:r w:rsidRPr="008C3A92">
        <w:rPr>
          <w:rFonts w:ascii="Book Antiqua" w:hAnsi="Book Antiqua"/>
          <w:sz w:val="24"/>
          <w:szCs w:val="24"/>
          <w:lang w:val="en-US"/>
        </w:rPr>
        <w:t>The use of the PC/SD ratio will help create a lower-cost and more effective method to identify esophageal varices in patients with portal hypertension. The ideal tool should have high sensitivity and specificity as close as possible to 100% to obtain an accurate profile a high-security profile and to avoid the need for endoscopy in patients without esophageal varices. The PC/SD ratio should be considered when identifying patients with a high risk of developing esophageal varices.</w:t>
      </w:r>
    </w:p>
    <w:p w:rsidR="008A6899" w:rsidRPr="008C3A92" w:rsidRDefault="008A6899" w:rsidP="00052521">
      <w:pPr>
        <w:snapToGrid w:val="0"/>
        <w:spacing w:after="0" w:line="360" w:lineRule="auto"/>
        <w:ind w:firstLineChars="100" w:firstLine="240"/>
        <w:jc w:val="both"/>
        <w:rPr>
          <w:rFonts w:ascii="Book Antiqua" w:hAnsi="Book Antiqua"/>
          <w:sz w:val="24"/>
          <w:szCs w:val="24"/>
          <w:lang w:val="en-US" w:eastAsia="zh-CN"/>
        </w:rPr>
      </w:pPr>
      <w:r w:rsidRPr="00052521">
        <w:rPr>
          <w:rFonts w:ascii="Book Antiqua" w:hAnsi="Book Antiqua"/>
          <w:sz w:val="24"/>
          <w:szCs w:val="24"/>
          <w:lang w:val="en-US" w:eastAsia="zh-CN"/>
        </w:rPr>
        <w:t>In conclusion,</w:t>
      </w:r>
      <w:r>
        <w:rPr>
          <w:rFonts w:ascii="Book Antiqua" w:hAnsi="Book Antiqua"/>
          <w:b/>
          <w:sz w:val="24"/>
          <w:szCs w:val="24"/>
          <w:lang w:val="en-US" w:eastAsia="zh-CN"/>
        </w:rPr>
        <w:t xml:space="preserve"> </w:t>
      </w:r>
      <w:r w:rsidRPr="00052521">
        <w:rPr>
          <w:rFonts w:ascii="Book Antiqua" w:hAnsi="Book Antiqua"/>
          <w:sz w:val="24"/>
          <w:szCs w:val="24"/>
          <w:lang w:val="en-US"/>
        </w:rPr>
        <w:t>th</w:t>
      </w:r>
      <w:r w:rsidRPr="008C3A92">
        <w:rPr>
          <w:rFonts w:ascii="Book Antiqua" w:hAnsi="Book Antiqua"/>
          <w:sz w:val="24"/>
          <w:szCs w:val="24"/>
          <w:lang w:val="en-US"/>
        </w:rPr>
        <w:t>e PC/SD ratio cannot substitute for upper gastrointestinal endoscopy in the scrutiny of esophageal varices. However, this ratio can be a useful noninvasive method for identifying patients with esophageal varices and thereby may help reduce the number of unnecessary endoscopies.</w:t>
      </w:r>
    </w:p>
    <w:p w:rsidR="008A6899" w:rsidRPr="008C3A92" w:rsidRDefault="008A6899" w:rsidP="004E2489">
      <w:pPr>
        <w:autoSpaceDE w:val="0"/>
        <w:autoSpaceDN w:val="0"/>
        <w:adjustRightInd w:val="0"/>
        <w:snapToGrid w:val="0"/>
        <w:spacing w:after="0" w:line="360" w:lineRule="auto"/>
        <w:jc w:val="both"/>
        <w:rPr>
          <w:rFonts w:ascii="Book Antiqua" w:hAnsi="Book Antiqua"/>
          <w:b/>
          <w:bCs/>
          <w:sz w:val="24"/>
          <w:szCs w:val="24"/>
          <w:lang w:val="en-US" w:eastAsia="zh-CN"/>
        </w:rPr>
      </w:pPr>
      <w:bookmarkStart w:id="494" w:name="OLE_LINK902"/>
      <w:bookmarkStart w:id="495" w:name="OLE_LINK903"/>
      <w:bookmarkStart w:id="496" w:name="OLE_LINK904"/>
      <w:bookmarkStart w:id="497" w:name="OLE_LINK905"/>
      <w:bookmarkStart w:id="498" w:name="OLE_LINK1827"/>
      <w:bookmarkStart w:id="499" w:name="OLE_LINK1828"/>
      <w:bookmarkStart w:id="500" w:name="OLE_LINK1829"/>
      <w:bookmarkStart w:id="501" w:name="OLE_LINK2351"/>
      <w:bookmarkStart w:id="502" w:name="OLE_LINK2353"/>
      <w:bookmarkStart w:id="503" w:name="OLE_LINK2354"/>
      <w:bookmarkStart w:id="504" w:name="OLE_LINK2355"/>
      <w:bookmarkStart w:id="505" w:name="OLE_LINK1290"/>
      <w:bookmarkStart w:id="506" w:name="OLE_LINK1291"/>
      <w:bookmarkStart w:id="507" w:name="OLE_LINK534"/>
    </w:p>
    <w:p w:rsidR="008A6899" w:rsidRPr="008C3A92" w:rsidRDefault="008A6899" w:rsidP="004E2489">
      <w:pPr>
        <w:autoSpaceDE w:val="0"/>
        <w:autoSpaceDN w:val="0"/>
        <w:adjustRightInd w:val="0"/>
        <w:snapToGrid w:val="0"/>
        <w:spacing w:after="0" w:line="360" w:lineRule="auto"/>
        <w:jc w:val="both"/>
        <w:rPr>
          <w:rFonts w:ascii="Book Antiqua" w:hAnsi="Book Antiqua"/>
          <w:b/>
          <w:bCs/>
          <w:sz w:val="24"/>
          <w:szCs w:val="24"/>
          <w:lang w:val="en-US"/>
        </w:rPr>
      </w:pPr>
      <w:r w:rsidRPr="008C3A92">
        <w:rPr>
          <w:rFonts w:ascii="Book Antiqua" w:hAnsi="Book Antiqua"/>
          <w:b/>
          <w:bCs/>
          <w:sz w:val="24"/>
          <w:szCs w:val="24"/>
          <w:lang w:val="en-US"/>
        </w:rPr>
        <w:t>COMMENTS</w:t>
      </w:r>
    </w:p>
    <w:p w:rsidR="008A6899" w:rsidRPr="008C3A92" w:rsidRDefault="008A6899" w:rsidP="004E2489">
      <w:pPr>
        <w:adjustRightInd w:val="0"/>
        <w:snapToGrid w:val="0"/>
        <w:spacing w:after="0" w:line="360" w:lineRule="auto"/>
        <w:jc w:val="both"/>
        <w:rPr>
          <w:rFonts w:ascii="Book Antiqua" w:hAnsi="Book Antiqua"/>
          <w:b/>
          <w:bCs/>
          <w:i/>
          <w:sz w:val="24"/>
          <w:szCs w:val="24"/>
          <w:lang w:val="en-US"/>
        </w:rPr>
      </w:pPr>
      <w:bookmarkStart w:id="508" w:name="OLE_LINK614"/>
      <w:bookmarkStart w:id="509" w:name="OLE_LINK615"/>
      <w:bookmarkStart w:id="510" w:name="OLE_LINK843"/>
      <w:bookmarkStart w:id="511" w:name="OLE_LINK844"/>
      <w:r w:rsidRPr="008C3A92">
        <w:rPr>
          <w:rFonts w:ascii="Book Antiqua" w:hAnsi="Book Antiqua"/>
          <w:b/>
          <w:bCs/>
          <w:i/>
          <w:sz w:val="24"/>
          <w:szCs w:val="24"/>
          <w:lang w:val="en-US"/>
        </w:rPr>
        <w:t>Background</w:t>
      </w:r>
    </w:p>
    <w:bookmarkEnd w:id="508"/>
    <w:bookmarkEnd w:id="509"/>
    <w:p w:rsidR="008A6899" w:rsidRDefault="008A6899" w:rsidP="004E2489">
      <w:pPr>
        <w:adjustRightInd w:val="0"/>
        <w:snapToGrid w:val="0"/>
        <w:spacing w:after="0" w:line="360" w:lineRule="auto"/>
        <w:jc w:val="both"/>
        <w:rPr>
          <w:rFonts w:ascii="Book Antiqua" w:hAnsi="Book Antiqua"/>
          <w:sz w:val="24"/>
          <w:szCs w:val="24"/>
          <w:lang w:val="en-US" w:eastAsia="zh-CN"/>
        </w:rPr>
      </w:pPr>
      <w:r w:rsidRPr="008C3A92">
        <w:rPr>
          <w:rFonts w:ascii="Book Antiqua" w:hAnsi="Book Antiqua"/>
          <w:sz w:val="24"/>
          <w:szCs w:val="24"/>
          <w:lang w:val="en-US"/>
        </w:rPr>
        <w:t>Portal hypertension is the principal complication of hepatic cirrhosis. More than 80% of patients with cirrhosis will develop esophageal varices at some point, and 30% of these patients will have at least one bleeding episode because of rupture of a varix. Most first bleeding episodes happen during the first year after the detection of the varices, with a 5%–10% mortality attributed to the initial hemorrhage</w:t>
      </w:r>
      <w:r>
        <w:rPr>
          <w:rFonts w:ascii="Book Antiqua" w:hAnsi="Book Antiqua"/>
          <w:sz w:val="24"/>
          <w:szCs w:val="24"/>
          <w:lang w:val="en-US" w:eastAsia="zh-CN"/>
        </w:rPr>
        <w:t xml:space="preserve">. </w:t>
      </w:r>
      <w:r w:rsidRPr="008C3A92">
        <w:rPr>
          <w:rFonts w:ascii="Book Antiqua" w:hAnsi="Book Antiqua"/>
          <w:sz w:val="24"/>
          <w:szCs w:val="24"/>
          <w:lang w:val="en-US"/>
        </w:rPr>
        <w:t>For this reason, identifying the presence of esophageal varices is a fundamental part of the diagnostic work-up in patients with cirrhosis, and it is also a prognostic marker of the illness.</w:t>
      </w:r>
    </w:p>
    <w:p w:rsidR="008A6899" w:rsidRDefault="008A6899" w:rsidP="004E2489">
      <w:pPr>
        <w:adjustRightInd w:val="0"/>
        <w:snapToGrid w:val="0"/>
        <w:spacing w:after="0" w:line="360" w:lineRule="auto"/>
        <w:jc w:val="both"/>
        <w:rPr>
          <w:rFonts w:ascii="Book Antiqua" w:hAnsi="Book Antiqua"/>
          <w:sz w:val="24"/>
          <w:szCs w:val="24"/>
          <w:lang w:val="en-US" w:eastAsia="zh-CN"/>
        </w:rPr>
      </w:pPr>
    </w:p>
    <w:p w:rsidR="008A6899" w:rsidRDefault="008A6899" w:rsidP="004E2489">
      <w:pPr>
        <w:adjustRightInd w:val="0"/>
        <w:snapToGrid w:val="0"/>
        <w:spacing w:after="0" w:line="360" w:lineRule="auto"/>
        <w:jc w:val="both"/>
        <w:rPr>
          <w:rFonts w:ascii="Book Antiqua" w:hAnsi="Book Antiqua"/>
          <w:b/>
          <w:bCs/>
          <w:i/>
          <w:sz w:val="24"/>
          <w:szCs w:val="24"/>
          <w:lang w:val="en-US" w:eastAsia="zh-CN"/>
        </w:rPr>
      </w:pPr>
      <w:r w:rsidRPr="008C3A92">
        <w:rPr>
          <w:rFonts w:ascii="Book Antiqua" w:hAnsi="Book Antiqua"/>
          <w:b/>
          <w:bCs/>
          <w:i/>
          <w:sz w:val="24"/>
          <w:szCs w:val="24"/>
          <w:lang w:val="en-US"/>
        </w:rPr>
        <w:t>Research frontiers</w:t>
      </w:r>
    </w:p>
    <w:p w:rsidR="008A6899" w:rsidRPr="008C3A92" w:rsidRDefault="008A6899" w:rsidP="00C94079">
      <w:pPr>
        <w:snapToGrid w:val="0"/>
        <w:spacing w:after="0" w:line="360" w:lineRule="auto"/>
        <w:jc w:val="both"/>
        <w:rPr>
          <w:rFonts w:ascii="Book Antiqua" w:hAnsi="Book Antiqua"/>
          <w:sz w:val="24"/>
          <w:szCs w:val="24"/>
          <w:lang w:val="en-US"/>
        </w:rPr>
      </w:pPr>
      <w:r w:rsidRPr="008C3A92">
        <w:rPr>
          <w:rFonts w:ascii="Book Antiqua" w:hAnsi="Book Antiqua"/>
          <w:sz w:val="24"/>
          <w:szCs w:val="24"/>
          <w:lang w:val="en-US"/>
        </w:rPr>
        <w:t>Recent studies have emphasized the use of noninvasive methods to identify patients with the intention of avoiding endoscopy in low-risk cases. The fact that distinct predictors of the presence of varices have been identified in different studies probably reflects differences between the study populations and spectrum of the disease and this makes it difficult to develop a widely applicable predictive model.</w:t>
      </w:r>
    </w:p>
    <w:p w:rsidR="008A6899" w:rsidRDefault="008A6899" w:rsidP="004E2489">
      <w:pPr>
        <w:adjustRightInd w:val="0"/>
        <w:snapToGrid w:val="0"/>
        <w:spacing w:after="0" w:line="360" w:lineRule="auto"/>
        <w:jc w:val="both"/>
        <w:rPr>
          <w:rFonts w:ascii="Book Antiqua" w:hAnsi="Book Antiqua"/>
          <w:sz w:val="24"/>
          <w:szCs w:val="24"/>
          <w:lang w:val="en-US" w:eastAsia="zh-CN"/>
        </w:rPr>
      </w:pPr>
    </w:p>
    <w:p w:rsidR="008A6899" w:rsidRPr="008C3A92" w:rsidRDefault="008A6899" w:rsidP="004E2489">
      <w:pPr>
        <w:adjustRightInd w:val="0"/>
        <w:snapToGrid w:val="0"/>
        <w:spacing w:after="0" w:line="360" w:lineRule="auto"/>
        <w:jc w:val="both"/>
        <w:rPr>
          <w:rFonts w:ascii="Book Antiqua" w:hAnsi="Book Antiqua"/>
          <w:i/>
          <w:sz w:val="24"/>
          <w:szCs w:val="24"/>
          <w:lang w:val="en-US"/>
        </w:rPr>
      </w:pPr>
      <w:r w:rsidRPr="008C3A92">
        <w:rPr>
          <w:rFonts w:ascii="Book Antiqua" w:hAnsi="Book Antiqua"/>
          <w:b/>
          <w:bCs/>
          <w:i/>
          <w:sz w:val="24"/>
          <w:szCs w:val="24"/>
          <w:lang w:val="en-US"/>
        </w:rPr>
        <w:t>Innovations and breakthroughs</w:t>
      </w:r>
    </w:p>
    <w:p w:rsidR="008A6899" w:rsidRPr="008C3A92" w:rsidRDefault="008A6899" w:rsidP="00AA4BF4">
      <w:pPr>
        <w:adjustRightInd w:val="0"/>
        <w:snapToGrid w:val="0"/>
        <w:spacing w:after="0" w:line="360" w:lineRule="auto"/>
        <w:jc w:val="both"/>
        <w:rPr>
          <w:rFonts w:ascii="Book Antiqua" w:hAnsi="Book Antiqua" w:cs="宋体"/>
          <w:sz w:val="24"/>
          <w:szCs w:val="24"/>
          <w:lang w:val="en-US"/>
        </w:rPr>
      </w:pPr>
      <w:bookmarkStart w:id="512" w:name="OLE_LINK1860"/>
      <w:bookmarkStart w:id="513" w:name="OLE_LINK1861"/>
      <w:r>
        <w:rPr>
          <w:rFonts w:ascii="Book Antiqua" w:hAnsi="Book Antiqua" w:cs="宋体"/>
          <w:sz w:val="24"/>
          <w:szCs w:val="24"/>
          <w:lang w:val="en-US" w:eastAsia="zh-CN"/>
        </w:rPr>
        <w:t>T</w:t>
      </w:r>
      <w:r w:rsidRPr="008C3A92">
        <w:rPr>
          <w:rFonts w:ascii="Book Antiqua" w:hAnsi="Book Antiqua" w:cs="宋体"/>
          <w:sz w:val="24"/>
          <w:szCs w:val="24"/>
          <w:lang w:val="en-US"/>
        </w:rPr>
        <w:t>he cutoff point for</w:t>
      </w:r>
      <w:r w:rsidRPr="00AA4BF4">
        <w:rPr>
          <w:rFonts w:ascii="Book Antiqua" w:hAnsi="Book Antiqua"/>
          <w:sz w:val="24"/>
          <w:szCs w:val="24"/>
          <w:lang w:val="en-US" w:eastAsia="zh-CN"/>
        </w:rPr>
        <w:t xml:space="preserve"> platelet count/spleen diameter ratio</w:t>
      </w:r>
      <w:r w:rsidRPr="008C3A92">
        <w:rPr>
          <w:rFonts w:ascii="Book Antiqua" w:hAnsi="Book Antiqua" w:cs="宋体"/>
          <w:sz w:val="24"/>
          <w:szCs w:val="24"/>
          <w:lang w:val="en-US"/>
        </w:rPr>
        <w:t xml:space="preserve"> </w:t>
      </w:r>
      <w:r>
        <w:rPr>
          <w:rFonts w:ascii="Book Antiqua" w:hAnsi="Book Antiqua" w:cs="宋体"/>
          <w:sz w:val="24"/>
          <w:szCs w:val="24"/>
          <w:lang w:val="en-US" w:eastAsia="zh-CN"/>
        </w:rPr>
        <w:t>(</w:t>
      </w:r>
      <w:r w:rsidRPr="008C3A92">
        <w:rPr>
          <w:rFonts w:ascii="Book Antiqua" w:hAnsi="Book Antiqua" w:cs="宋体"/>
          <w:sz w:val="24"/>
          <w:szCs w:val="24"/>
          <w:lang w:val="en-US"/>
        </w:rPr>
        <w:t>PC/SD</w:t>
      </w:r>
      <w:r>
        <w:rPr>
          <w:rFonts w:ascii="Book Antiqua" w:hAnsi="Book Antiqua" w:cs="宋体"/>
          <w:sz w:val="24"/>
          <w:szCs w:val="24"/>
          <w:lang w:val="en-US" w:eastAsia="zh-CN"/>
        </w:rPr>
        <w:t>)</w:t>
      </w:r>
      <w:r w:rsidRPr="008C3A92">
        <w:rPr>
          <w:rFonts w:ascii="Book Antiqua" w:hAnsi="Book Antiqua" w:cs="宋体"/>
          <w:sz w:val="24"/>
          <w:szCs w:val="24"/>
          <w:lang w:val="en-US"/>
        </w:rPr>
        <w:t xml:space="preserve"> ratio was lower than that reported in previous literature (&lt;</w:t>
      </w:r>
      <w:r>
        <w:rPr>
          <w:rFonts w:ascii="Book Antiqua" w:hAnsi="Book Antiqua" w:cs="宋体"/>
          <w:sz w:val="24"/>
          <w:szCs w:val="24"/>
          <w:lang w:val="en-US" w:eastAsia="zh-CN"/>
        </w:rPr>
        <w:t xml:space="preserve"> </w:t>
      </w:r>
      <w:r w:rsidRPr="008C3A92">
        <w:rPr>
          <w:rFonts w:ascii="Book Antiqua" w:hAnsi="Book Antiqua" w:cs="宋体"/>
          <w:sz w:val="24"/>
          <w:szCs w:val="24"/>
          <w:lang w:val="en-US"/>
        </w:rPr>
        <w:t>884.3 and &lt;</w:t>
      </w:r>
      <w:r>
        <w:rPr>
          <w:rFonts w:ascii="Book Antiqua" w:hAnsi="Book Antiqua" w:cs="宋体"/>
          <w:sz w:val="24"/>
          <w:szCs w:val="24"/>
          <w:lang w:val="en-US" w:eastAsia="zh-CN"/>
        </w:rPr>
        <w:t xml:space="preserve"> </w:t>
      </w:r>
      <w:r w:rsidRPr="008C3A92">
        <w:rPr>
          <w:rFonts w:ascii="Book Antiqua" w:hAnsi="Book Antiqua" w:cs="宋体"/>
          <w:sz w:val="24"/>
          <w:szCs w:val="24"/>
          <w:lang w:val="en-US"/>
        </w:rPr>
        <w:t>909, respectively), with a sensitivity of 84% and specificity of 70%. The differences are probably influenced by racial characteristics. The PC/SD ratio should be considered to identifying patients with esophageal varices.</w:t>
      </w:r>
    </w:p>
    <w:p w:rsidR="008A6899" w:rsidRPr="00AA4BF4" w:rsidRDefault="008A6899" w:rsidP="004E2489">
      <w:pPr>
        <w:adjustRightInd w:val="0"/>
        <w:snapToGrid w:val="0"/>
        <w:spacing w:after="0" w:line="360" w:lineRule="auto"/>
        <w:jc w:val="both"/>
        <w:rPr>
          <w:rFonts w:ascii="Book Antiqua" w:hAnsi="Book Antiqua"/>
          <w:sz w:val="24"/>
          <w:szCs w:val="24"/>
          <w:lang w:val="en-US" w:eastAsia="zh-CN"/>
        </w:rPr>
      </w:pPr>
    </w:p>
    <w:p w:rsidR="008A6899" w:rsidRPr="008C3A92" w:rsidRDefault="008A6899" w:rsidP="004E2489">
      <w:pPr>
        <w:adjustRightInd w:val="0"/>
        <w:snapToGrid w:val="0"/>
        <w:spacing w:after="0" w:line="360" w:lineRule="auto"/>
        <w:jc w:val="both"/>
        <w:rPr>
          <w:rFonts w:ascii="Book Antiqua" w:hAnsi="Book Antiqua"/>
          <w:b/>
          <w:bCs/>
          <w:i/>
          <w:sz w:val="24"/>
          <w:szCs w:val="24"/>
          <w:lang w:val="en-US"/>
        </w:rPr>
      </w:pPr>
      <w:bookmarkStart w:id="514" w:name="OLE_LINK2204"/>
      <w:bookmarkStart w:id="515" w:name="OLE_LINK2135"/>
      <w:bookmarkStart w:id="516" w:name="OLE_LINK2585"/>
      <w:bookmarkStart w:id="517" w:name="OLE_LINK2586"/>
      <w:bookmarkStart w:id="518" w:name="OLE_LINK2709"/>
      <w:bookmarkStart w:id="519" w:name="OLE_LINK2926"/>
      <w:bookmarkEnd w:id="512"/>
      <w:bookmarkEnd w:id="513"/>
      <w:r w:rsidRPr="008C3A92">
        <w:rPr>
          <w:rFonts w:ascii="Book Antiqua" w:hAnsi="Book Antiqua"/>
          <w:b/>
          <w:bCs/>
          <w:i/>
          <w:sz w:val="24"/>
          <w:szCs w:val="24"/>
          <w:lang w:val="en-US"/>
        </w:rPr>
        <w:t>Peer review</w:t>
      </w:r>
    </w:p>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10"/>
    <w:bookmarkEnd w:id="511"/>
    <w:bookmarkEnd w:id="514"/>
    <w:bookmarkEnd w:id="515"/>
    <w:bookmarkEnd w:id="516"/>
    <w:bookmarkEnd w:id="517"/>
    <w:bookmarkEnd w:id="518"/>
    <w:bookmarkEnd w:id="519"/>
    <w:p w:rsidR="008A6899" w:rsidRDefault="008A6899" w:rsidP="004E2489">
      <w:pPr>
        <w:snapToGrid w:val="0"/>
        <w:spacing w:after="0" w:line="360" w:lineRule="auto"/>
        <w:jc w:val="both"/>
        <w:rPr>
          <w:rFonts w:ascii="Book Antiqua" w:hAnsi="Book Antiqua"/>
          <w:sz w:val="24"/>
          <w:szCs w:val="24"/>
          <w:lang w:val="en-US" w:eastAsia="zh-CN"/>
        </w:rPr>
      </w:pPr>
      <w:r w:rsidRPr="00AA4BF4">
        <w:rPr>
          <w:rFonts w:ascii="Book Antiqua" w:hAnsi="Book Antiqua"/>
          <w:sz w:val="24"/>
          <w:szCs w:val="24"/>
          <w:lang w:val="en-US" w:eastAsia="zh-CN"/>
        </w:rPr>
        <w:t>This is an interesting study in which whether ratio of platelet count to spleen diameter can be a predictive factor for existence of esophageal varices was examined in Mexican patients with hepatic cirrhosis.  This paper validated the useful of platelet count/spleen diameter ratio and determined a cutoff value for the Mexican, which is a little smaller than the value found in the Caucasian population; suggest that this ratio may be racial specific.</w:t>
      </w:r>
    </w:p>
    <w:p w:rsidR="008A6899" w:rsidRDefault="008A6899" w:rsidP="004E2489">
      <w:pPr>
        <w:snapToGrid w:val="0"/>
        <w:spacing w:after="0" w:line="360" w:lineRule="auto"/>
        <w:jc w:val="both"/>
        <w:rPr>
          <w:rFonts w:ascii="Book Antiqua" w:hAnsi="Book Antiqua"/>
          <w:sz w:val="24"/>
          <w:szCs w:val="24"/>
          <w:lang w:val="en-US" w:eastAsia="zh-CN"/>
        </w:rPr>
      </w:pPr>
    </w:p>
    <w:p w:rsidR="008A6899" w:rsidRDefault="008A6899" w:rsidP="006541B2">
      <w:pPr>
        <w:adjustRightInd w:val="0"/>
        <w:snapToGrid w:val="0"/>
        <w:spacing w:after="0" w:line="240" w:lineRule="auto"/>
        <w:rPr>
          <w:rFonts w:ascii="Book Antiqua" w:hAnsi="Book Antiqua"/>
          <w:b/>
          <w:sz w:val="24"/>
          <w:szCs w:val="24"/>
          <w:lang w:val="en-US" w:eastAsia="zh-CN"/>
        </w:rPr>
      </w:pPr>
      <w:r w:rsidRPr="006541B2">
        <w:rPr>
          <w:rFonts w:ascii="Book Antiqua" w:hAnsi="Book Antiqua"/>
          <w:b/>
          <w:sz w:val="24"/>
          <w:szCs w:val="24"/>
          <w:lang w:val="en-US"/>
        </w:rPr>
        <w:t>REFERENCES</w:t>
      </w:r>
    </w:p>
    <w:p w:rsidR="008A6899" w:rsidRPr="006541B2" w:rsidRDefault="008A6899" w:rsidP="006541B2">
      <w:pPr>
        <w:adjustRightInd w:val="0"/>
        <w:snapToGrid w:val="0"/>
        <w:spacing w:after="0" w:line="240" w:lineRule="auto"/>
        <w:rPr>
          <w:rFonts w:ascii="Book Antiqua" w:hAnsi="Book Antiqua" w:cs="宋体"/>
          <w:sz w:val="24"/>
          <w:szCs w:val="24"/>
          <w:lang w:val="en-US" w:eastAsia="zh-CN"/>
        </w:rPr>
      </w:pPr>
      <w:r w:rsidRPr="006541B2">
        <w:rPr>
          <w:rFonts w:ascii="Book Antiqua" w:hAnsi="Book Antiqua" w:cs="宋体"/>
          <w:sz w:val="24"/>
          <w:szCs w:val="24"/>
          <w:lang w:val="en-US" w:eastAsia="zh-CN"/>
        </w:rPr>
        <w:t xml:space="preserve">1 </w:t>
      </w:r>
      <w:r w:rsidRPr="006541B2">
        <w:rPr>
          <w:rFonts w:ascii="Book Antiqua" w:hAnsi="Book Antiqua" w:cs="宋体"/>
          <w:b/>
          <w:bCs/>
          <w:sz w:val="24"/>
          <w:szCs w:val="24"/>
          <w:lang w:val="en-US" w:eastAsia="zh-CN"/>
        </w:rPr>
        <w:t>Fattovich G</w:t>
      </w:r>
      <w:r w:rsidRPr="006541B2">
        <w:rPr>
          <w:rFonts w:ascii="Book Antiqua" w:hAnsi="Book Antiqua" w:cs="宋体"/>
          <w:sz w:val="24"/>
          <w:szCs w:val="24"/>
          <w:lang w:val="en-US" w:eastAsia="zh-CN"/>
        </w:rPr>
        <w:t xml:space="preserve">, Giustina G, Degos F, Tremolada F, Diodati G, Almasio P, Nevens F, Solinas A, Mura D, Brouwer JT, Thomas H, Njapoum C, Casarin C, Bonetti P, Fuschi P, Basho J, Tocco A, Bhalla A, Galassini R, Noventa F, Schalm SW, Realdi G. Morbidity and mortality in compensated cirrhosis type C: a retrospective follow-up study of 384 patients. </w:t>
      </w:r>
      <w:r w:rsidRPr="006541B2">
        <w:rPr>
          <w:rFonts w:ascii="Book Antiqua" w:hAnsi="Book Antiqua" w:cs="宋体"/>
          <w:i/>
          <w:iCs/>
          <w:sz w:val="24"/>
          <w:szCs w:val="24"/>
          <w:lang w:val="en-US" w:eastAsia="zh-CN"/>
        </w:rPr>
        <w:t>Gastroenterology</w:t>
      </w:r>
      <w:r w:rsidRPr="006541B2">
        <w:rPr>
          <w:rFonts w:ascii="Book Antiqua" w:hAnsi="Book Antiqua" w:cs="宋体"/>
          <w:sz w:val="24"/>
          <w:szCs w:val="24"/>
          <w:lang w:val="en-US" w:eastAsia="zh-CN"/>
        </w:rPr>
        <w:t xml:space="preserve"> 1997; </w:t>
      </w:r>
      <w:r w:rsidRPr="006541B2">
        <w:rPr>
          <w:rFonts w:ascii="Book Antiqua" w:hAnsi="Book Antiqua" w:cs="宋体"/>
          <w:b/>
          <w:bCs/>
          <w:sz w:val="24"/>
          <w:szCs w:val="24"/>
          <w:lang w:val="en-US" w:eastAsia="zh-CN"/>
        </w:rPr>
        <w:t>112</w:t>
      </w:r>
      <w:r w:rsidRPr="006541B2">
        <w:rPr>
          <w:rFonts w:ascii="Book Antiqua" w:hAnsi="Book Antiqua" w:cs="宋体"/>
          <w:sz w:val="24"/>
          <w:szCs w:val="24"/>
          <w:lang w:val="en-US" w:eastAsia="zh-CN"/>
        </w:rPr>
        <w:t>: 463-472 [PMID: 9024300 DOI: 10.1053/gast.1997.v112.pm9024300]</w:t>
      </w:r>
    </w:p>
    <w:p w:rsidR="008A6899" w:rsidRPr="006541B2" w:rsidRDefault="008A6899" w:rsidP="006541B2">
      <w:pPr>
        <w:adjustRightInd w:val="0"/>
        <w:snapToGrid w:val="0"/>
        <w:spacing w:after="0" w:line="240" w:lineRule="auto"/>
        <w:rPr>
          <w:rFonts w:ascii="Book Antiqua" w:hAnsi="Book Antiqua" w:cs="宋体"/>
          <w:sz w:val="24"/>
          <w:szCs w:val="24"/>
          <w:lang w:val="en-US" w:eastAsia="zh-CN"/>
        </w:rPr>
      </w:pPr>
      <w:r w:rsidRPr="006541B2">
        <w:rPr>
          <w:rFonts w:ascii="Book Antiqua" w:hAnsi="Book Antiqua" w:cs="宋体"/>
          <w:sz w:val="24"/>
          <w:szCs w:val="24"/>
          <w:lang w:val="en-US" w:eastAsia="zh-CN"/>
        </w:rPr>
        <w:lastRenderedPageBreak/>
        <w:t xml:space="preserve">2 </w:t>
      </w:r>
      <w:r w:rsidRPr="006541B2">
        <w:rPr>
          <w:rFonts w:ascii="Book Antiqua" w:hAnsi="Book Antiqua" w:cs="宋体"/>
          <w:b/>
          <w:bCs/>
          <w:sz w:val="24"/>
          <w:szCs w:val="24"/>
          <w:lang w:val="en-US" w:eastAsia="zh-CN"/>
        </w:rPr>
        <w:t>Gentilini P</w:t>
      </w:r>
      <w:r w:rsidRPr="006541B2">
        <w:rPr>
          <w:rFonts w:ascii="Book Antiqua" w:hAnsi="Book Antiqua" w:cs="宋体"/>
          <w:sz w:val="24"/>
          <w:szCs w:val="24"/>
          <w:lang w:val="en-US" w:eastAsia="zh-CN"/>
        </w:rPr>
        <w:t xml:space="preserve">, Laffi G, La Villa G, Romanelli RG, Buzzelli G, Casini-Raggi V, Melani L, Mazzanti R, Riccardi D, Pinzani M, Zignego AL. Long course and prognostic factors of virus-induced cirrhosis of the liver. </w:t>
      </w:r>
      <w:r w:rsidRPr="006541B2">
        <w:rPr>
          <w:rFonts w:ascii="Book Antiqua" w:hAnsi="Book Antiqua" w:cs="宋体"/>
          <w:i/>
          <w:iCs/>
          <w:sz w:val="24"/>
          <w:szCs w:val="24"/>
          <w:lang w:val="en-US" w:eastAsia="zh-CN"/>
        </w:rPr>
        <w:t>Am J Gastroenterol</w:t>
      </w:r>
      <w:r w:rsidRPr="006541B2">
        <w:rPr>
          <w:rFonts w:ascii="Book Antiqua" w:hAnsi="Book Antiqua" w:cs="宋体"/>
          <w:sz w:val="24"/>
          <w:szCs w:val="24"/>
          <w:lang w:val="en-US" w:eastAsia="zh-CN"/>
        </w:rPr>
        <w:t xml:space="preserve"> 1997; </w:t>
      </w:r>
      <w:r w:rsidRPr="006541B2">
        <w:rPr>
          <w:rFonts w:ascii="Book Antiqua" w:hAnsi="Book Antiqua" w:cs="宋体"/>
          <w:b/>
          <w:bCs/>
          <w:sz w:val="24"/>
          <w:szCs w:val="24"/>
          <w:lang w:val="en-US" w:eastAsia="zh-CN"/>
        </w:rPr>
        <w:t>92</w:t>
      </w:r>
      <w:r w:rsidRPr="006541B2">
        <w:rPr>
          <w:rFonts w:ascii="Book Antiqua" w:hAnsi="Book Antiqua" w:cs="宋体"/>
          <w:sz w:val="24"/>
          <w:szCs w:val="24"/>
          <w:lang w:val="en-US" w:eastAsia="zh-CN"/>
        </w:rPr>
        <w:t>: 66-72 [PMID: 8995940]</w:t>
      </w:r>
    </w:p>
    <w:p w:rsidR="008A6899" w:rsidRPr="006541B2" w:rsidRDefault="008A6899" w:rsidP="006541B2">
      <w:pPr>
        <w:adjustRightInd w:val="0"/>
        <w:snapToGrid w:val="0"/>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3 </w:t>
      </w:r>
      <w:r w:rsidRPr="006541B2">
        <w:rPr>
          <w:rFonts w:ascii="Book Antiqua" w:hAnsi="Book Antiqua" w:cs="宋体"/>
          <w:b/>
          <w:sz w:val="24"/>
          <w:szCs w:val="24"/>
          <w:lang w:val="en-US" w:eastAsia="zh-CN"/>
        </w:rPr>
        <w:t>Rukhsana JF</w:t>
      </w:r>
      <w:r w:rsidRPr="006541B2">
        <w:rPr>
          <w:rFonts w:ascii="Book Antiqua" w:hAnsi="Book Antiqua" w:cs="宋体"/>
          <w:sz w:val="24"/>
          <w:szCs w:val="24"/>
          <w:lang w:val="en-US" w:eastAsia="zh-CN"/>
        </w:rPr>
        <w:t xml:space="preserve">, Javed IF, Masood R, Hameed A, Farooq A, Sultan G. Outcome after injection sclerotherapy for esophageal variceal bleeding in patients with liver cirrhosis and COPD. </w:t>
      </w:r>
      <w:r w:rsidRPr="006541B2">
        <w:rPr>
          <w:rFonts w:ascii="Book Antiqua" w:hAnsi="Book Antiqua" w:cs="宋体"/>
          <w:i/>
          <w:sz w:val="24"/>
          <w:szCs w:val="24"/>
          <w:lang w:val="en-US" w:eastAsia="zh-CN"/>
        </w:rPr>
        <w:t xml:space="preserve">J Postgrad Med Inst </w:t>
      </w:r>
      <w:r w:rsidRPr="006541B2">
        <w:rPr>
          <w:rFonts w:ascii="Book Antiqua" w:hAnsi="Book Antiqua" w:cs="宋体"/>
          <w:sz w:val="24"/>
          <w:szCs w:val="24"/>
          <w:lang w:val="en-US" w:eastAsia="zh-CN"/>
        </w:rPr>
        <w:t xml:space="preserve">2005; </w:t>
      </w:r>
      <w:r w:rsidRPr="006541B2">
        <w:rPr>
          <w:rFonts w:ascii="Book Antiqua" w:hAnsi="Book Antiqua" w:cs="宋体"/>
          <w:b/>
          <w:sz w:val="24"/>
          <w:szCs w:val="24"/>
          <w:lang w:val="en-US" w:eastAsia="zh-CN"/>
        </w:rPr>
        <w:t>19</w:t>
      </w:r>
      <w:r>
        <w:rPr>
          <w:rFonts w:ascii="Book Antiqua" w:hAnsi="Book Antiqua" w:cs="宋体"/>
          <w:sz w:val="24"/>
          <w:szCs w:val="24"/>
          <w:lang w:val="en-US" w:eastAsia="zh-CN"/>
        </w:rPr>
        <w:t>: 76–80</w:t>
      </w:r>
    </w:p>
    <w:p w:rsidR="008A6899" w:rsidRPr="006541B2" w:rsidRDefault="008A6899" w:rsidP="006541B2">
      <w:pPr>
        <w:adjustRightInd w:val="0"/>
        <w:snapToGrid w:val="0"/>
        <w:spacing w:after="0" w:line="240" w:lineRule="auto"/>
        <w:rPr>
          <w:rFonts w:ascii="Book Antiqua" w:hAnsi="Book Antiqua" w:cs="宋体"/>
          <w:sz w:val="24"/>
          <w:szCs w:val="24"/>
          <w:lang w:val="en-US" w:eastAsia="zh-CN"/>
        </w:rPr>
      </w:pPr>
      <w:r w:rsidRPr="006541B2">
        <w:rPr>
          <w:rFonts w:ascii="Book Antiqua" w:hAnsi="Book Antiqua" w:cs="宋体"/>
          <w:sz w:val="24"/>
          <w:szCs w:val="24"/>
          <w:lang w:val="en-US" w:eastAsia="zh-CN"/>
        </w:rPr>
        <w:t xml:space="preserve">4 </w:t>
      </w:r>
      <w:r w:rsidRPr="006541B2">
        <w:rPr>
          <w:rFonts w:ascii="Book Antiqua" w:hAnsi="Book Antiqua" w:cs="宋体"/>
          <w:b/>
          <w:bCs/>
          <w:sz w:val="24"/>
          <w:szCs w:val="24"/>
          <w:lang w:val="en-US" w:eastAsia="zh-CN"/>
        </w:rPr>
        <w:t>Garcia-Tsao G</w:t>
      </w:r>
      <w:r w:rsidRPr="006541B2">
        <w:rPr>
          <w:rFonts w:ascii="Book Antiqua" w:hAnsi="Book Antiqua" w:cs="宋体"/>
          <w:sz w:val="24"/>
          <w:szCs w:val="24"/>
          <w:lang w:val="en-US" w:eastAsia="zh-CN"/>
        </w:rPr>
        <w:t xml:space="preserve">, Sanyal AJ, Grace ND, Carey WD. Prevention and management of gastroesophageal varices and variceal hemorrhage in cirrhosis. </w:t>
      </w:r>
      <w:r w:rsidRPr="006541B2">
        <w:rPr>
          <w:rFonts w:ascii="Book Antiqua" w:hAnsi="Book Antiqua" w:cs="宋体"/>
          <w:i/>
          <w:iCs/>
          <w:sz w:val="24"/>
          <w:szCs w:val="24"/>
          <w:lang w:val="en-US" w:eastAsia="zh-CN"/>
        </w:rPr>
        <w:t>Am J Gastroenterol</w:t>
      </w:r>
      <w:r w:rsidRPr="006541B2">
        <w:rPr>
          <w:rFonts w:ascii="Book Antiqua" w:hAnsi="Book Antiqua" w:cs="宋体"/>
          <w:sz w:val="24"/>
          <w:szCs w:val="24"/>
          <w:lang w:val="en-US" w:eastAsia="zh-CN"/>
        </w:rPr>
        <w:t xml:space="preserve"> 2007; </w:t>
      </w:r>
      <w:r w:rsidRPr="006541B2">
        <w:rPr>
          <w:rFonts w:ascii="Book Antiqua" w:hAnsi="Book Antiqua" w:cs="宋体"/>
          <w:b/>
          <w:bCs/>
          <w:sz w:val="24"/>
          <w:szCs w:val="24"/>
          <w:lang w:val="en-US" w:eastAsia="zh-CN"/>
        </w:rPr>
        <w:t>102</w:t>
      </w:r>
      <w:r w:rsidRPr="006541B2">
        <w:rPr>
          <w:rFonts w:ascii="Book Antiqua" w:hAnsi="Book Antiqua" w:cs="宋体"/>
          <w:sz w:val="24"/>
          <w:szCs w:val="24"/>
          <w:lang w:val="en-US" w:eastAsia="zh-CN"/>
        </w:rPr>
        <w:t>: 2086-2102 [PMID: 17727436 DOI: 10.1111/j.1572-0241.2007.01481.x]</w:t>
      </w:r>
    </w:p>
    <w:p w:rsidR="008A6899" w:rsidRPr="006541B2" w:rsidRDefault="008A6899" w:rsidP="006541B2">
      <w:pPr>
        <w:adjustRightInd w:val="0"/>
        <w:snapToGrid w:val="0"/>
        <w:spacing w:after="0" w:line="240" w:lineRule="auto"/>
        <w:rPr>
          <w:rFonts w:ascii="Book Antiqua" w:hAnsi="Book Antiqua" w:cs="宋体"/>
          <w:sz w:val="24"/>
          <w:szCs w:val="24"/>
          <w:lang w:val="en-US" w:eastAsia="zh-CN"/>
        </w:rPr>
      </w:pPr>
      <w:r w:rsidRPr="006541B2">
        <w:rPr>
          <w:rFonts w:ascii="Book Antiqua" w:hAnsi="Book Antiqua" w:cs="宋体"/>
          <w:sz w:val="24"/>
          <w:szCs w:val="24"/>
          <w:lang w:val="en-US" w:eastAsia="zh-CN"/>
        </w:rPr>
        <w:t>5</w:t>
      </w:r>
      <w:r>
        <w:rPr>
          <w:rFonts w:ascii="Book Antiqua" w:hAnsi="Book Antiqua" w:cs="宋体"/>
          <w:sz w:val="24"/>
          <w:szCs w:val="24"/>
          <w:lang w:val="en-US" w:eastAsia="zh-CN"/>
        </w:rPr>
        <w:t xml:space="preserve"> </w:t>
      </w:r>
      <w:r w:rsidRPr="00222E61">
        <w:rPr>
          <w:rFonts w:ascii="Book Antiqua" w:hAnsi="Book Antiqua" w:cs="宋体"/>
          <w:b/>
          <w:sz w:val="24"/>
          <w:szCs w:val="24"/>
          <w:lang w:val="en-US" w:eastAsia="zh-CN"/>
        </w:rPr>
        <w:t>Pascal JP</w:t>
      </w:r>
      <w:r w:rsidRPr="00222E61">
        <w:rPr>
          <w:rFonts w:ascii="Book Antiqua" w:hAnsi="Book Antiqua" w:cs="宋体"/>
          <w:sz w:val="24"/>
          <w:szCs w:val="24"/>
          <w:lang w:val="en-US" w:eastAsia="zh-CN"/>
        </w:rPr>
        <w:t>, Calès P, Desmorat H. Natural history of esophageal varices. In: Bosch J, Rodès J, eds.</w:t>
      </w:r>
      <w:r w:rsidRPr="006541B2">
        <w:rPr>
          <w:rFonts w:ascii="Book Antiqua" w:hAnsi="Book Antiqua" w:cs="宋体"/>
          <w:sz w:val="24"/>
          <w:szCs w:val="24"/>
          <w:lang w:val="en-US" w:eastAsia="zh-CN"/>
        </w:rPr>
        <w:t xml:space="preserve"> Recent advances in the pathophysiology and treatment of portal hypertension. Serono Symposia review no</w:t>
      </w:r>
      <w:r>
        <w:rPr>
          <w:rFonts w:ascii="Book Antiqua" w:hAnsi="Book Antiqua" w:cs="宋体"/>
          <w:sz w:val="24"/>
          <w:szCs w:val="24"/>
          <w:lang w:val="en-US" w:eastAsia="zh-CN"/>
        </w:rPr>
        <w:t>. 22. Rome, Italy 1989: 127–142</w:t>
      </w:r>
    </w:p>
    <w:p w:rsidR="008A6899" w:rsidRPr="006541B2" w:rsidRDefault="008A6899" w:rsidP="006541B2">
      <w:pPr>
        <w:adjustRightInd w:val="0"/>
        <w:snapToGrid w:val="0"/>
        <w:spacing w:after="0" w:line="240" w:lineRule="auto"/>
        <w:rPr>
          <w:rFonts w:ascii="Book Antiqua" w:hAnsi="Book Antiqua" w:cs="宋体"/>
          <w:sz w:val="24"/>
          <w:szCs w:val="24"/>
          <w:lang w:val="en-US" w:eastAsia="zh-CN"/>
        </w:rPr>
      </w:pPr>
      <w:r w:rsidRPr="006541B2">
        <w:rPr>
          <w:rFonts w:ascii="Book Antiqua" w:hAnsi="Book Antiqua" w:cs="宋体"/>
          <w:sz w:val="24"/>
          <w:szCs w:val="24"/>
          <w:lang w:val="en-US" w:eastAsia="zh-CN"/>
        </w:rPr>
        <w:t xml:space="preserve">6 </w:t>
      </w:r>
      <w:r w:rsidRPr="006541B2">
        <w:rPr>
          <w:rFonts w:ascii="Book Antiqua" w:hAnsi="Book Antiqua" w:cs="宋体"/>
          <w:b/>
          <w:bCs/>
          <w:sz w:val="24"/>
          <w:szCs w:val="24"/>
          <w:lang w:val="en-US" w:eastAsia="zh-CN"/>
        </w:rPr>
        <w:t>de Franchis R</w:t>
      </w:r>
      <w:r w:rsidRPr="006541B2">
        <w:rPr>
          <w:rFonts w:ascii="Book Antiqua" w:hAnsi="Book Antiqua" w:cs="宋体"/>
          <w:sz w:val="24"/>
          <w:szCs w:val="24"/>
          <w:lang w:val="en-US" w:eastAsia="zh-CN"/>
        </w:rPr>
        <w:t xml:space="preserve">. Revising consensus in portal hypertension: report of the Baveno V consensus workshop on methodology of diagnosis and therapy in portal hypertension. </w:t>
      </w:r>
      <w:r w:rsidRPr="006541B2">
        <w:rPr>
          <w:rFonts w:ascii="Book Antiqua" w:hAnsi="Book Antiqua" w:cs="宋体"/>
          <w:i/>
          <w:iCs/>
          <w:sz w:val="24"/>
          <w:szCs w:val="24"/>
          <w:lang w:val="en-US" w:eastAsia="zh-CN"/>
        </w:rPr>
        <w:t>J Hepatol</w:t>
      </w:r>
      <w:r w:rsidRPr="006541B2">
        <w:rPr>
          <w:rFonts w:ascii="Book Antiqua" w:hAnsi="Book Antiqua" w:cs="宋体"/>
          <w:sz w:val="24"/>
          <w:szCs w:val="24"/>
          <w:lang w:val="en-US" w:eastAsia="zh-CN"/>
        </w:rPr>
        <w:t xml:space="preserve"> 2010; </w:t>
      </w:r>
      <w:r w:rsidRPr="006541B2">
        <w:rPr>
          <w:rFonts w:ascii="Book Antiqua" w:hAnsi="Book Antiqua" w:cs="宋体"/>
          <w:b/>
          <w:bCs/>
          <w:sz w:val="24"/>
          <w:szCs w:val="24"/>
          <w:lang w:val="en-US" w:eastAsia="zh-CN"/>
        </w:rPr>
        <w:t>53</w:t>
      </w:r>
      <w:r w:rsidRPr="006541B2">
        <w:rPr>
          <w:rFonts w:ascii="Book Antiqua" w:hAnsi="Book Antiqua" w:cs="宋体"/>
          <w:sz w:val="24"/>
          <w:szCs w:val="24"/>
          <w:lang w:val="en-US" w:eastAsia="zh-CN"/>
        </w:rPr>
        <w:t>: 762-768 [PMID: 20638742]</w:t>
      </w:r>
    </w:p>
    <w:p w:rsidR="008A6899" w:rsidRPr="006541B2" w:rsidRDefault="008A6899" w:rsidP="006541B2">
      <w:pPr>
        <w:adjustRightInd w:val="0"/>
        <w:snapToGrid w:val="0"/>
        <w:spacing w:after="0" w:line="240" w:lineRule="auto"/>
        <w:rPr>
          <w:rFonts w:ascii="Book Antiqua" w:hAnsi="Book Antiqua" w:cs="宋体"/>
          <w:sz w:val="24"/>
          <w:szCs w:val="24"/>
          <w:lang w:val="en-US" w:eastAsia="zh-CN"/>
        </w:rPr>
      </w:pPr>
      <w:r w:rsidRPr="006541B2">
        <w:rPr>
          <w:rFonts w:ascii="Book Antiqua" w:hAnsi="Book Antiqua" w:cs="宋体"/>
          <w:sz w:val="24"/>
          <w:szCs w:val="24"/>
          <w:lang w:val="en-US" w:eastAsia="zh-CN"/>
        </w:rPr>
        <w:t xml:space="preserve">7 </w:t>
      </w:r>
      <w:r w:rsidRPr="006541B2">
        <w:rPr>
          <w:rFonts w:ascii="Book Antiqua" w:hAnsi="Book Antiqua" w:cs="宋体"/>
          <w:b/>
          <w:bCs/>
          <w:sz w:val="24"/>
          <w:szCs w:val="24"/>
          <w:lang w:val="en-US" w:eastAsia="zh-CN"/>
        </w:rPr>
        <w:t>Schepis F</w:t>
      </w:r>
      <w:r w:rsidRPr="006541B2">
        <w:rPr>
          <w:rFonts w:ascii="Book Antiqua" w:hAnsi="Book Antiqua" w:cs="宋体"/>
          <w:sz w:val="24"/>
          <w:szCs w:val="24"/>
          <w:lang w:val="en-US" w:eastAsia="zh-CN"/>
        </w:rPr>
        <w:t xml:space="preserve">, Cammà C, Niceforo D, Magnano A, Pallio S, Cinquegrani M, D'amico G, Pasta L, Craxì A, Saitta A, Raimondo G. Which patients with cirrhosis should undergo endoscopic screening for esophageal varices detection? </w:t>
      </w:r>
      <w:r w:rsidRPr="006541B2">
        <w:rPr>
          <w:rFonts w:ascii="Book Antiqua" w:hAnsi="Book Antiqua" w:cs="宋体"/>
          <w:i/>
          <w:iCs/>
          <w:sz w:val="24"/>
          <w:szCs w:val="24"/>
          <w:lang w:val="en-US" w:eastAsia="zh-CN"/>
        </w:rPr>
        <w:t>Hepatology</w:t>
      </w:r>
      <w:r w:rsidRPr="006541B2">
        <w:rPr>
          <w:rFonts w:ascii="Book Antiqua" w:hAnsi="Book Antiqua" w:cs="宋体"/>
          <w:sz w:val="24"/>
          <w:szCs w:val="24"/>
          <w:lang w:val="en-US" w:eastAsia="zh-CN"/>
        </w:rPr>
        <w:t xml:space="preserve"> 2001; </w:t>
      </w:r>
      <w:r w:rsidRPr="006541B2">
        <w:rPr>
          <w:rFonts w:ascii="Book Antiqua" w:hAnsi="Book Antiqua" w:cs="宋体"/>
          <w:b/>
          <w:bCs/>
          <w:sz w:val="24"/>
          <w:szCs w:val="24"/>
          <w:lang w:val="en-US" w:eastAsia="zh-CN"/>
        </w:rPr>
        <w:t>33</w:t>
      </w:r>
      <w:r w:rsidRPr="006541B2">
        <w:rPr>
          <w:rFonts w:ascii="Book Antiqua" w:hAnsi="Book Antiqua" w:cs="宋体"/>
          <w:sz w:val="24"/>
          <w:szCs w:val="24"/>
          <w:lang w:val="en-US" w:eastAsia="zh-CN"/>
        </w:rPr>
        <w:t>: 333-338 [PMID: 11172334 DOI: 10.1053/jhep.2001.21410]</w:t>
      </w:r>
    </w:p>
    <w:p w:rsidR="008A6899" w:rsidRPr="006541B2" w:rsidRDefault="008A6899" w:rsidP="006541B2">
      <w:pPr>
        <w:adjustRightInd w:val="0"/>
        <w:snapToGrid w:val="0"/>
        <w:spacing w:after="0" w:line="240" w:lineRule="auto"/>
        <w:rPr>
          <w:rFonts w:ascii="Book Antiqua" w:hAnsi="Book Antiqua" w:cs="宋体"/>
          <w:sz w:val="24"/>
          <w:szCs w:val="24"/>
          <w:lang w:val="en-US" w:eastAsia="zh-CN"/>
        </w:rPr>
      </w:pPr>
      <w:r w:rsidRPr="006541B2">
        <w:rPr>
          <w:rFonts w:ascii="Book Antiqua" w:hAnsi="Book Antiqua" w:cs="宋体"/>
          <w:sz w:val="24"/>
          <w:szCs w:val="24"/>
          <w:lang w:val="en-US" w:eastAsia="zh-CN"/>
        </w:rPr>
        <w:t xml:space="preserve">8 </w:t>
      </w:r>
      <w:r w:rsidRPr="006541B2">
        <w:rPr>
          <w:rFonts w:ascii="Book Antiqua" w:hAnsi="Book Antiqua" w:cs="宋体"/>
          <w:b/>
          <w:bCs/>
          <w:sz w:val="24"/>
          <w:szCs w:val="24"/>
          <w:lang w:val="en-US" w:eastAsia="zh-CN"/>
        </w:rPr>
        <w:t>Madhotra R</w:t>
      </w:r>
      <w:r w:rsidRPr="006541B2">
        <w:rPr>
          <w:rFonts w:ascii="Book Antiqua" w:hAnsi="Book Antiqua" w:cs="宋体"/>
          <w:sz w:val="24"/>
          <w:szCs w:val="24"/>
          <w:lang w:val="en-US" w:eastAsia="zh-CN"/>
        </w:rPr>
        <w:t xml:space="preserve">, Mulcahy HE, Willner I, Reuben A. Prediction of esophageal varices in patients with cirrhosis. </w:t>
      </w:r>
      <w:r w:rsidRPr="006541B2">
        <w:rPr>
          <w:rFonts w:ascii="Book Antiqua" w:hAnsi="Book Antiqua" w:cs="宋体"/>
          <w:i/>
          <w:iCs/>
          <w:sz w:val="24"/>
          <w:szCs w:val="24"/>
          <w:lang w:val="en-US" w:eastAsia="zh-CN"/>
        </w:rPr>
        <w:t>J Clin Gastroenterol</w:t>
      </w:r>
      <w:r w:rsidRPr="006541B2">
        <w:rPr>
          <w:rFonts w:ascii="Book Antiqua" w:hAnsi="Book Antiqua" w:cs="宋体"/>
          <w:sz w:val="24"/>
          <w:szCs w:val="24"/>
          <w:lang w:val="en-US" w:eastAsia="zh-CN"/>
        </w:rPr>
        <w:t xml:space="preserve"> 2002; </w:t>
      </w:r>
      <w:r w:rsidRPr="006541B2">
        <w:rPr>
          <w:rFonts w:ascii="Book Antiqua" w:hAnsi="Book Antiqua" w:cs="宋体"/>
          <w:b/>
          <w:bCs/>
          <w:sz w:val="24"/>
          <w:szCs w:val="24"/>
          <w:lang w:val="en-US" w:eastAsia="zh-CN"/>
        </w:rPr>
        <w:t>34</w:t>
      </w:r>
      <w:r w:rsidRPr="006541B2">
        <w:rPr>
          <w:rFonts w:ascii="Book Antiqua" w:hAnsi="Book Antiqua" w:cs="宋体"/>
          <w:sz w:val="24"/>
          <w:szCs w:val="24"/>
          <w:lang w:val="en-US" w:eastAsia="zh-CN"/>
        </w:rPr>
        <w:t>: 81-85 [PMID: 11743252 DOI: 10.1097/00004836-200201000-00016]</w:t>
      </w:r>
    </w:p>
    <w:p w:rsidR="008A6899" w:rsidRPr="006541B2" w:rsidRDefault="008A6899" w:rsidP="006541B2">
      <w:pPr>
        <w:adjustRightInd w:val="0"/>
        <w:snapToGrid w:val="0"/>
        <w:spacing w:after="0" w:line="240" w:lineRule="auto"/>
        <w:rPr>
          <w:rFonts w:ascii="Book Antiqua" w:hAnsi="Book Antiqua" w:cs="宋体"/>
          <w:sz w:val="24"/>
          <w:szCs w:val="24"/>
          <w:lang w:val="en-US" w:eastAsia="zh-CN"/>
        </w:rPr>
      </w:pPr>
      <w:r w:rsidRPr="006541B2">
        <w:rPr>
          <w:rFonts w:ascii="Book Antiqua" w:hAnsi="Book Antiqua" w:cs="宋体"/>
          <w:sz w:val="24"/>
          <w:szCs w:val="24"/>
          <w:lang w:val="en-US" w:eastAsia="zh-CN"/>
        </w:rPr>
        <w:t xml:space="preserve">9 </w:t>
      </w:r>
      <w:r w:rsidRPr="006541B2">
        <w:rPr>
          <w:rFonts w:ascii="Book Antiqua" w:hAnsi="Book Antiqua" w:cs="宋体"/>
          <w:b/>
          <w:bCs/>
          <w:sz w:val="24"/>
          <w:szCs w:val="24"/>
          <w:lang w:val="en-US" w:eastAsia="zh-CN"/>
        </w:rPr>
        <w:t>Zein CO</w:t>
      </w:r>
      <w:r w:rsidRPr="006541B2">
        <w:rPr>
          <w:rFonts w:ascii="Book Antiqua" w:hAnsi="Book Antiqua" w:cs="宋体"/>
          <w:sz w:val="24"/>
          <w:szCs w:val="24"/>
          <w:lang w:val="en-US" w:eastAsia="zh-CN"/>
        </w:rPr>
        <w:t xml:space="preserve">, Lindor KD, Angulo P. Prevalence and predictors of esophageal varices in patients with primary sclerosing cholangitis. </w:t>
      </w:r>
      <w:r w:rsidRPr="006541B2">
        <w:rPr>
          <w:rFonts w:ascii="Book Antiqua" w:hAnsi="Book Antiqua" w:cs="宋体"/>
          <w:i/>
          <w:iCs/>
          <w:sz w:val="24"/>
          <w:szCs w:val="24"/>
          <w:lang w:val="en-US" w:eastAsia="zh-CN"/>
        </w:rPr>
        <w:t>Hepatology</w:t>
      </w:r>
      <w:r w:rsidRPr="006541B2">
        <w:rPr>
          <w:rFonts w:ascii="Book Antiqua" w:hAnsi="Book Antiqua" w:cs="宋体"/>
          <w:sz w:val="24"/>
          <w:szCs w:val="24"/>
          <w:lang w:val="en-US" w:eastAsia="zh-CN"/>
        </w:rPr>
        <w:t xml:space="preserve"> 2004; </w:t>
      </w:r>
      <w:r w:rsidRPr="006541B2">
        <w:rPr>
          <w:rFonts w:ascii="Book Antiqua" w:hAnsi="Book Antiqua" w:cs="宋体"/>
          <w:b/>
          <w:bCs/>
          <w:sz w:val="24"/>
          <w:szCs w:val="24"/>
          <w:lang w:val="en-US" w:eastAsia="zh-CN"/>
        </w:rPr>
        <w:t>39</w:t>
      </w:r>
      <w:r w:rsidRPr="006541B2">
        <w:rPr>
          <w:rFonts w:ascii="Book Antiqua" w:hAnsi="Book Antiqua" w:cs="宋体"/>
          <w:sz w:val="24"/>
          <w:szCs w:val="24"/>
          <w:lang w:val="en-US" w:eastAsia="zh-CN"/>
        </w:rPr>
        <w:t>: 204-210 [PMID: 14752839 DOI: 10.1002/hep.20029]</w:t>
      </w:r>
    </w:p>
    <w:p w:rsidR="008A6899" w:rsidRPr="006541B2" w:rsidRDefault="008A6899" w:rsidP="006541B2">
      <w:pPr>
        <w:adjustRightInd w:val="0"/>
        <w:snapToGrid w:val="0"/>
        <w:spacing w:after="0" w:line="240" w:lineRule="auto"/>
        <w:rPr>
          <w:rFonts w:ascii="Book Antiqua" w:hAnsi="Book Antiqua" w:cs="宋体"/>
          <w:sz w:val="24"/>
          <w:szCs w:val="24"/>
          <w:lang w:val="en-US" w:eastAsia="zh-CN"/>
        </w:rPr>
      </w:pPr>
      <w:r w:rsidRPr="006541B2">
        <w:rPr>
          <w:rFonts w:ascii="Book Antiqua" w:hAnsi="Book Antiqua" w:cs="宋体"/>
          <w:sz w:val="24"/>
          <w:szCs w:val="24"/>
          <w:lang w:val="en-US" w:eastAsia="zh-CN"/>
        </w:rPr>
        <w:t xml:space="preserve">10 </w:t>
      </w:r>
      <w:r w:rsidRPr="006541B2">
        <w:rPr>
          <w:rFonts w:ascii="Book Antiqua" w:hAnsi="Book Antiqua" w:cs="宋体"/>
          <w:b/>
          <w:bCs/>
          <w:sz w:val="24"/>
          <w:szCs w:val="24"/>
          <w:lang w:val="en-US" w:eastAsia="zh-CN"/>
        </w:rPr>
        <w:t>Zaman A</w:t>
      </w:r>
      <w:r w:rsidRPr="006541B2">
        <w:rPr>
          <w:rFonts w:ascii="Book Antiqua" w:hAnsi="Book Antiqua" w:cs="宋体"/>
          <w:sz w:val="24"/>
          <w:szCs w:val="24"/>
          <w:lang w:val="en-US" w:eastAsia="zh-CN"/>
        </w:rPr>
        <w:t xml:space="preserve">, Becker T, Lapidus J, Benner K. Risk factors for the presence of varices in cirrhotic patients without a history of variceal hemorrhage. </w:t>
      </w:r>
      <w:r w:rsidRPr="006541B2">
        <w:rPr>
          <w:rFonts w:ascii="Book Antiqua" w:hAnsi="Book Antiqua" w:cs="宋体"/>
          <w:i/>
          <w:iCs/>
          <w:sz w:val="24"/>
          <w:szCs w:val="24"/>
          <w:lang w:val="en-US" w:eastAsia="zh-CN"/>
        </w:rPr>
        <w:t>Arch Intern Med</w:t>
      </w:r>
      <w:r w:rsidRPr="006541B2">
        <w:rPr>
          <w:rFonts w:ascii="Book Antiqua" w:hAnsi="Book Antiqua" w:cs="宋体"/>
          <w:sz w:val="24"/>
          <w:szCs w:val="24"/>
          <w:lang w:val="en-US" w:eastAsia="zh-CN"/>
        </w:rPr>
        <w:t xml:space="preserve"> 2001; </w:t>
      </w:r>
      <w:r w:rsidRPr="006541B2">
        <w:rPr>
          <w:rFonts w:ascii="Book Antiqua" w:hAnsi="Book Antiqua" w:cs="宋体"/>
          <w:b/>
          <w:bCs/>
          <w:sz w:val="24"/>
          <w:szCs w:val="24"/>
          <w:lang w:val="en-US" w:eastAsia="zh-CN"/>
        </w:rPr>
        <w:t>161</w:t>
      </w:r>
      <w:r w:rsidRPr="006541B2">
        <w:rPr>
          <w:rFonts w:ascii="Book Antiqua" w:hAnsi="Book Antiqua" w:cs="宋体"/>
          <w:sz w:val="24"/>
          <w:szCs w:val="24"/>
          <w:lang w:val="en-US" w:eastAsia="zh-CN"/>
        </w:rPr>
        <w:t>: 2564-2570 [PMID: 11718587 DOI: 10.1001/archinte.161.21.2564]</w:t>
      </w:r>
    </w:p>
    <w:p w:rsidR="008A6899" w:rsidRPr="006541B2" w:rsidRDefault="008A6899" w:rsidP="006541B2">
      <w:pPr>
        <w:adjustRightInd w:val="0"/>
        <w:snapToGrid w:val="0"/>
        <w:spacing w:after="0" w:line="240" w:lineRule="auto"/>
        <w:rPr>
          <w:rFonts w:ascii="Book Antiqua" w:hAnsi="Book Antiqua" w:cs="宋体"/>
          <w:sz w:val="24"/>
          <w:szCs w:val="24"/>
          <w:lang w:val="en-US" w:eastAsia="zh-CN"/>
        </w:rPr>
      </w:pPr>
      <w:r w:rsidRPr="006541B2">
        <w:rPr>
          <w:rFonts w:ascii="Book Antiqua" w:hAnsi="Book Antiqua" w:cs="宋体"/>
          <w:sz w:val="24"/>
          <w:szCs w:val="24"/>
          <w:lang w:val="en-US" w:eastAsia="zh-CN"/>
        </w:rPr>
        <w:t xml:space="preserve">11 </w:t>
      </w:r>
      <w:r w:rsidRPr="006541B2">
        <w:rPr>
          <w:rFonts w:ascii="Book Antiqua" w:hAnsi="Book Antiqua" w:cs="宋体"/>
          <w:b/>
          <w:bCs/>
          <w:sz w:val="24"/>
          <w:szCs w:val="24"/>
          <w:lang w:val="en-US" w:eastAsia="zh-CN"/>
        </w:rPr>
        <w:t>Riggio O</w:t>
      </w:r>
      <w:r w:rsidRPr="006541B2">
        <w:rPr>
          <w:rFonts w:ascii="Book Antiqua" w:hAnsi="Book Antiqua" w:cs="宋体"/>
          <w:sz w:val="24"/>
          <w:szCs w:val="24"/>
          <w:lang w:val="en-US" w:eastAsia="zh-CN"/>
        </w:rPr>
        <w:t xml:space="preserve">, Angeloni S, Nicolini G, Merli M, Merkel C. Endoscopic screening for esophageal varices in cirrhotic patients. </w:t>
      </w:r>
      <w:r w:rsidRPr="006541B2">
        <w:rPr>
          <w:rFonts w:ascii="Book Antiqua" w:hAnsi="Book Antiqua" w:cs="宋体"/>
          <w:i/>
          <w:iCs/>
          <w:sz w:val="24"/>
          <w:szCs w:val="24"/>
          <w:lang w:val="en-US" w:eastAsia="zh-CN"/>
        </w:rPr>
        <w:t>Hepatology</w:t>
      </w:r>
      <w:r w:rsidRPr="006541B2">
        <w:rPr>
          <w:rFonts w:ascii="Book Antiqua" w:hAnsi="Book Antiqua" w:cs="宋体"/>
          <w:sz w:val="24"/>
          <w:szCs w:val="24"/>
          <w:lang w:val="en-US" w:eastAsia="zh-CN"/>
        </w:rPr>
        <w:t xml:space="preserve"> 2002; </w:t>
      </w:r>
      <w:r w:rsidRPr="006541B2">
        <w:rPr>
          <w:rFonts w:ascii="Book Antiqua" w:hAnsi="Book Antiqua" w:cs="宋体"/>
          <w:b/>
          <w:bCs/>
          <w:sz w:val="24"/>
          <w:szCs w:val="24"/>
          <w:lang w:val="en-US" w:eastAsia="zh-CN"/>
        </w:rPr>
        <w:t>35</w:t>
      </w:r>
      <w:r w:rsidRPr="006541B2">
        <w:rPr>
          <w:rFonts w:ascii="Book Antiqua" w:hAnsi="Book Antiqua" w:cs="宋体"/>
          <w:sz w:val="24"/>
          <w:szCs w:val="24"/>
          <w:lang w:val="en-US" w:eastAsia="zh-CN"/>
        </w:rPr>
        <w:t>: 501-502 [PMID: 11826432 DOI: 10.1053/jhep.2002.31308]</w:t>
      </w:r>
    </w:p>
    <w:p w:rsidR="008A6899" w:rsidRPr="006541B2" w:rsidRDefault="008A6899" w:rsidP="006541B2">
      <w:pPr>
        <w:adjustRightInd w:val="0"/>
        <w:snapToGrid w:val="0"/>
        <w:spacing w:after="0" w:line="240" w:lineRule="auto"/>
        <w:rPr>
          <w:rFonts w:ascii="Book Antiqua" w:hAnsi="Book Antiqua" w:cs="宋体"/>
          <w:sz w:val="24"/>
          <w:szCs w:val="24"/>
          <w:lang w:val="en-US" w:eastAsia="zh-CN"/>
        </w:rPr>
      </w:pPr>
      <w:r w:rsidRPr="006541B2">
        <w:rPr>
          <w:rFonts w:ascii="Book Antiqua" w:hAnsi="Book Antiqua" w:cs="宋体"/>
          <w:sz w:val="24"/>
          <w:szCs w:val="24"/>
          <w:lang w:val="en-US" w:eastAsia="zh-CN"/>
        </w:rPr>
        <w:t xml:space="preserve">12 </w:t>
      </w:r>
      <w:r w:rsidRPr="006541B2">
        <w:rPr>
          <w:rFonts w:ascii="Book Antiqua" w:hAnsi="Book Antiqua" w:cs="宋体"/>
          <w:b/>
          <w:bCs/>
          <w:sz w:val="24"/>
          <w:szCs w:val="24"/>
          <w:lang w:val="en-US" w:eastAsia="zh-CN"/>
        </w:rPr>
        <w:t>Giannini E</w:t>
      </w:r>
      <w:r w:rsidRPr="006541B2">
        <w:rPr>
          <w:rFonts w:ascii="Book Antiqua" w:hAnsi="Book Antiqua" w:cs="宋体"/>
          <w:sz w:val="24"/>
          <w:szCs w:val="24"/>
          <w:lang w:val="en-US" w:eastAsia="zh-CN"/>
        </w:rPr>
        <w:t xml:space="preserve">, Botta F, Borro P, Risso D, Romagnoli P, Fasoli A, Mele MR, Testa E, Mansi C, Savarino V, Testa R. Platelet count/spleen diameter ratio: proposal and validation of a non-invasive parameter to predict the presence of oesophageal varices in patients with liver cirrhosis. </w:t>
      </w:r>
      <w:r w:rsidRPr="006541B2">
        <w:rPr>
          <w:rFonts w:ascii="Book Antiqua" w:hAnsi="Book Antiqua" w:cs="宋体"/>
          <w:i/>
          <w:iCs/>
          <w:sz w:val="24"/>
          <w:szCs w:val="24"/>
          <w:lang w:val="en-US" w:eastAsia="zh-CN"/>
        </w:rPr>
        <w:t>Gut</w:t>
      </w:r>
      <w:r w:rsidRPr="006541B2">
        <w:rPr>
          <w:rFonts w:ascii="Book Antiqua" w:hAnsi="Book Antiqua" w:cs="宋体"/>
          <w:sz w:val="24"/>
          <w:szCs w:val="24"/>
          <w:lang w:val="en-US" w:eastAsia="zh-CN"/>
        </w:rPr>
        <w:t xml:space="preserve"> 2003; </w:t>
      </w:r>
      <w:r w:rsidRPr="006541B2">
        <w:rPr>
          <w:rFonts w:ascii="Book Antiqua" w:hAnsi="Book Antiqua" w:cs="宋体"/>
          <w:b/>
          <w:bCs/>
          <w:sz w:val="24"/>
          <w:szCs w:val="24"/>
          <w:lang w:val="en-US" w:eastAsia="zh-CN"/>
        </w:rPr>
        <w:t>52</w:t>
      </w:r>
      <w:r w:rsidRPr="006541B2">
        <w:rPr>
          <w:rFonts w:ascii="Book Antiqua" w:hAnsi="Book Antiqua" w:cs="宋体"/>
          <w:sz w:val="24"/>
          <w:szCs w:val="24"/>
          <w:lang w:val="en-US" w:eastAsia="zh-CN"/>
        </w:rPr>
        <w:t>: 1200-1205 [PMID: 12865282 DOI: 10.1136/gut.52.8.1200]</w:t>
      </w:r>
    </w:p>
    <w:p w:rsidR="008A6899" w:rsidRPr="006541B2" w:rsidRDefault="008A6899" w:rsidP="006541B2">
      <w:pPr>
        <w:adjustRightInd w:val="0"/>
        <w:snapToGrid w:val="0"/>
        <w:spacing w:after="0" w:line="240" w:lineRule="auto"/>
        <w:rPr>
          <w:rFonts w:ascii="Book Antiqua" w:hAnsi="Book Antiqua" w:cs="宋体"/>
          <w:sz w:val="24"/>
          <w:szCs w:val="24"/>
          <w:lang w:val="en-US" w:eastAsia="zh-CN"/>
        </w:rPr>
      </w:pPr>
      <w:r w:rsidRPr="006541B2">
        <w:rPr>
          <w:rFonts w:ascii="Book Antiqua" w:hAnsi="Book Antiqua" w:cs="宋体"/>
          <w:sz w:val="24"/>
          <w:szCs w:val="24"/>
          <w:lang w:val="en-US" w:eastAsia="zh-CN"/>
        </w:rPr>
        <w:t xml:space="preserve">13 </w:t>
      </w:r>
      <w:r w:rsidRPr="006541B2">
        <w:rPr>
          <w:rFonts w:ascii="Book Antiqua" w:hAnsi="Book Antiqua" w:cs="宋体"/>
          <w:b/>
          <w:bCs/>
          <w:sz w:val="24"/>
          <w:szCs w:val="24"/>
          <w:lang w:val="en-US" w:eastAsia="zh-CN"/>
        </w:rPr>
        <w:t>Giannini EG</w:t>
      </w:r>
      <w:r w:rsidRPr="006541B2">
        <w:rPr>
          <w:rFonts w:ascii="Book Antiqua" w:hAnsi="Book Antiqua" w:cs="宋体"/>
          <w:sz w:val="24"/>
          <w:szCs w:val="24"/>
          <w:lang w:val="en-US" w:eastAsia="zh-CN"/>
        </w:rPr>
        <w:t xml:space="preserve">, Botta F, Borro P, Dulbecco P, Testa E, Mansi C, Savarino V, Testa R. Application of the platelet count/spleen diameter ratio to rule out the presence of oesophageal varices in patients with cirrhosis: a validation study based on follow-up. </w:t>
      </w:r>
      <w:r w:rsidRPr="006541B2">
        <w:rPr>
          <w:rFonts w:ascii="Book Antiqua" w:hAnsi="Book Antiqua" w:cs="宋体"/>
          <w:i/>
          <w:iCs/>
          <w:sz w:val="24"/>
          <w:szCs w:val="24"/>
          <w:lang w:val="en-US" w:eastAsia="zh-CN"/>
        </w:rPr>
        <w:t>Dig Liver Dis</w:t>
      </w:r>
      <w:r w:rsidRPr="006541B2">
        <w:rPr>
          <w:rFonts w:ascii="Book Antiqua" w:hAnsi="Book Antiqua" w:cs="宋体"/>
          <w:sz w:val="24"/>
          <w:szCs w:val="24"/>
          <w:lang w:val="en-US" w:eastAsia="zh-CN"/>
        </w:rPr>
        <w:t xml:space="preserve"> 2005; </w:t>
      </w:r>
      <w:r w:rsidRPr="006541B2">
        <w:rPr>
          <w:rFonts w:ascii="Book Antiqua" w:hAnsi="Book Antiqua" w:cs="宋体"/>
          <w:b/>
          <w:bCs/>
          <w:sz w:val="24"/>
          <w:szCs w:val="24"/>
          <w:lang w:val="en-US" w:eastAsia="zh-CN"/>
        </w:rPr>
        <w:t>37</w:t>
      </w:r>
      <w:r w:rsidRPr="006541B2">
        <w:rPr>
          <w:rFonts w:ascii="Book Antiqua" w:hAnsi="Book Antiqua" w:cs="宋体"/>
          <w:sz w:val="24"/>
          <w:szCs w:val="24"/>
          <w:lang w:val="en-US" w:eastAsia="zh-CN"/>
        </w:rPr>
        <w:t>: 779-785 [PMID: 15996912 DOI: 10.1016/j.dld.2005.05.007]</w:t>
      </w:r>
    </w:p>
    <w:p w:rsidR="008A6899" w:rsidRPr="006541B2" w:rsidRDefault="008A6899" w:rsidP="006541B2">
      <w:pPr>
        <w:adjustRightInd w:val="0"/>
        <w:snapToGrid w:val="0"/>
        <w:spacing w:after="0" w:line="240" w:lineRule="auto"/>
        <w:rPr>
          <w:rFonts w:ascii="Book Antiqua" w:hAnsi="Book Antiqua" w:cs="宋体"/>
          <w:sz w:val="24"/>
          <w:szCs w:val="24"/>
          <w:lang w:val="en-US" w:eastAsia="zh-CN"/>
        </w:rPr>
      </w:pPr>
      <w:r w:rsidRPr="006541B2">
        <w:rPr>
          <w:rFonts w:ascii="Book Antiqua" w:hAnsi="Book Antiqua" w:cs="宋体"/>
          <w:sz w:val="24"/>
          <w:szCs w:val="24"/>
          <w:lang w:val="en-US" w:eastAsia="zh-CN"/>
        </w:rPr>
        <w:t xml:space="preserve">14 </w:t>
      </w:r>
      <w:r w:rsidRPr="006541B2">
        <w:rPr>
          <w:rFonts w:ascii="Book Antiqua" w:hAnsi="Book Antiqua" w:cs="宋体"/>
          <w:b/>
          <w:bCs/>
          <w:sz w:val="24"/>
          <w:szCs w:val="24"/>
          <w:lang w:val="en-US" w:eastAsia="zh-CN"/>
        </w:rPr>
        <w:t>Zimbwa TA</w:t>
      </w:r>
      <w:r w:rsidRPr="006541B2">
        <w:rPr>
          <w:rFonts w:ascii="Book Antiqua" w:hAnsi="Book Antiqua" w:cs="宋体"/>
          <w:sz w:val="24"/>
          <w:szCs w:val="24"/>
          <w:lang w:val="en-US" w:eastAsia="zh-CN"/>
        </w:rPr>
        <w:t xml:space="preserve">, Blanshard C, Subramaniam A. Platelet count/spleen diameter ratio as a predictor of oesophageal varices in alcoholic cirrhosis. </w:t>
      </w:r>
      <w:r w:rsidRPr="006541B2">
        <w:rPr>
          <w:rFonts w:ascii="Book Antiqua" w:hAnsi="Book Antiqua" w:cs="宋体"/>
          <w:i/>
          <w:iCs/>
          <w:sz w:val="24"/>
          <w:szCs w:val="24"/>
          <w:lang w:val="en-US" w:eastAsia="zh-CN"/>
        </w:rPr>
        <w:t>Gut</w:t>
      </w:r>
      <w:r w:rsidRPr="006541B2">
        <w:rPr>
          <w:rFonts w:ascii="Book Antiqua" w:hAnsi="Book Antiqua" w:cs="宋体"/>
          <w:sz w:val="24"/>
          <w:szCs w:val="24"/>
          <w:lang w:val="en-US" w:eastAsia="zh-CN"/>
        </w:rPr>
        <w:t xml:space="preserve"> 2004; </w:t>
      </w:r>
      <w:r w:rsidRPr="006541B2">
        <w:rPr>
          <w:rFonts w:ascii="Book Antiqua" w:hAnsi="Book Antiqua" w:cs="宋体"/>
          <w:b/>
          <w:bCs/>
          <w:sz w:val="24"/>
          <w:szCs w:val="24"/>
          <w:lang w:val="en-US" w:eastAsia="zh-CN"/>
        </w:rPr>
        <w:t>53</w:t>
      </w:r>
      <w:r w:rsidRPr="006541B2">
        <w:rPr>
          <w:rFonts w:ascii="Book Antiqua" w:hAnsi="Book Antiqua" w:cs="宋体"/>
          <w:sz w:val="24"/>
          <w:szCs w:val="24"/>
          <w:lang w:val="en-US" w:eastAsia="zh-CN"/>
        </w:rPr>
        <w:t>: 1055 [PMID: 15194662]</w:t>
      </w:r>
    </w:p>
    <w:p w:rsidR="008A6899" w:rsidRDefault="008A6899" w:rsidP="006541B2">
      <w:pPr>
        <w:adjustRightInd w:val="0"/>
        <w:snapToGrid w:val="0"/>
        <w:spacing w:after="0" w:line="240" w:lineRule="auto"/>
        <w:rPr>
          <w:rFonts w:ascii="Book Antiqua" w:hAnsi="Book Antiqua" w:cs="宋体"/>
          <w:sz w:val="24"/>
          <w:szCs w:val="24"/>
          <w:lang w:val="en-US" w:eastAsia="zh-CN"/>
        </w:rPr>
      </w:pPr>
      <w:r w:rsidRPr="006541B2">
        <w:rPr>
          <w:rFonts w:ascii="Book Antiqua" w:hAnsi="Book Antiqua" w:cs="宋体"/>
          <w:sz w:val="24"/>
          <w:szCs w:val="24"/>
          <w:lang w:val="en-US" w:eastAsia="zh-CN"/>
        </w:rPr>
        <w:lastRenderedPageBreak/>
        <w:t>15</w:t>
      </w:r>
      <w:r>
        <w:rPr>
          <w:rFonts w:ascii="Book Antiqua" w:hAnsi="Book Antiqua" w:cs="宋体"/>
          <w:sz w:val="24"/>
          <w:szCs w:val="24"/>
          <w:lang w:val="en-US" w:eastAsia="zh-CN"/>
        </w:rPr>
        <w:t xml:space="preserve"> </w:t>
      </w:r>
      <w:r w:rsidRPr="006B2DFB">
        <w:rPr>
          <w:rFonts w:ascii="Book Antiqua" w:hAnsi="Book Antiqua" w:cs="宋体"/>
          <w:b/>
          <w:sz w:val="24"/>
          <w:szCs w:val="24"/>
          <w:lang w:val="en-US" w:eastAsia="zh-CN"/>
        </w:rPr>
        <w:t>Díaz-Piedra P</w:t>
      </w:r>
      <w:r w:rsidRPr="006B2DFB">
        <w:rPr>
          <w:rFonts w:ascii="Book Antiqua" w:hAnsi="Book Antiqua" w:cs="宋体"/>
          <w:sz w:val="24"/>
          <w:szCs w:val="24"/>
          <w:lang w:val="en-US" w:eastAsia="zh-CN"/>
        </w:rPr>
        <w:t xml:space="preserve">,  Olay-Fuentes G, Hernández-Gómez R, Cervantes-Villagrana RD, Presno-Bernal JM,  Alcántara-Gómez LE. Determinación de los intervalos de referencia de biometría hemática en población mexicana. </w:t>
      </w:r>
      <w:r w:rsidRPr="006B2DFB">
        <w:rPr>
          <w:rFonts w:ascii="Book Antiqua" w:hAnsi="Book Antiqua" w:cs="宋体"/>
          <w:i/>
          <w:sz w:val="24"/>
          <w:szCs w:val="24"/>
          <w:lang w:val="en-US" w:eastAsia="zh-CN"/>
        </w:rPr>
        <w:t>Rev Latinoamer Patol Clin</w:t>
      </w:r>
      <w:r>
        <w:rPr>
          <w:rFonts w:ascii="Book Antiqua" w:hAnsi="Book Antiqua" w:cs="宋体"/>
          <w:sz w:val="24"/>
          <w:szCs w:val="24"/>
          <w:lang w:val="en-US" w:eastAsia="zh-CN"/>
        </w:rPr>
        <w:t xml:space="preserve"> 2012; </w:t>
      </w:r>
      <w:r w:rsidRPr="006B2DFB">
        <w:rPr>
          <w:rFonts w:ascii="Book Antiqua" w:hAnsi="Book Antiqua" w:cs="宋体"/>
          <w:b/>
          <w:sz w:val="24"/>
          <w:szCs w:val="24"/>
          <w:lang w:val="en-US" w:eastAsia="zh-CN"/>
        </w:rPr>
        <w:t>59</w:t>
      </w:r>
      <w:r>
        <w:rPr>
          <w:rFonts w:ascii="Book Antiqua" w:hAnsi="Book Antiqua" w:cs="宋体"/>
          <w:sz w:val="24"/>
          <w:szCs w:val="24"/>
          <w:lang w:val="en-US" w:eastAsia="zh-CN"/>
        </w:rPr>
        <w:t>: 243-250</w:t>
      </w:r>
    </w:p>
    <w:p w:rsidR="008A6899" w:rsidRPr="006541B2" w:rsidRDefault="008A6899" w:rsidP="006541B2">
      <w:pPr>
        <w:adjustRightInd w:val="0"/>
        <w:snapToGrid w:val="0"/>
        <w:spacing w:after="0" w:line="240" w:lineRule="auto"/>
        <w:rPr>
          <w:rFonts w:ascii="Book Antiqua" w:hAnsi="Book Antiqua" w:cs="宋体"/>
          <w:sz w:val="24"/>
          <w:szCs w:val="24"/>
          <w:lang w:val="en-US" w:eastAsia="zh-CN"/>
        </w:rPr>
      </w:pPr>
      <w:r w:rsidRPr="006541B2">
        <w:rPr>
          <w:rFonts w:ascii="Book Antiqua" w:hAnsi="Book Antiqua" w:cs="宋体"/>
          <w:sz w:val="24"/>
          <w:szCs w:val="24"/>
          <w:lang w:val="en-US" w:eastAsia="zh-CN"/>
        </w:rPr>
        <w:t xml:space="preserve">16 </w:t>
      </w:r>
      <w:r w:rsidRPr="006541B2">
        <w:rPr>
          <w:rFonts w:ascii="Book Antiqua" w:hAnsi="Book Antiqua" w:cs="宋体"/>
          <w:b/>
          <w:bCs/>
          <w:sz w:val="24"/>
          <w:szCs w:val="24"/>
          <w:lang w:val="en-US" w:eastAsia="zh-CN"/>
        </w:rPr>
        <w:t>Giannini EG</w:t>
      </w:r>
      <w:r w:rsidRPr="006541B2">
        <w:rPr>
          <w:rFonts w:ascii="Book Antiqua" w:hAnsi="Book Antiqua" w:cs="宋体"/>
          <w:sz w:val="24"/>
          <w:szCs w:val="24"/>
          <w:lang w:val="en-US" w:eastAsia="zh-CN"/>
        </w:rPr>
        <w:t xml:space="preserve">, Zaman A, Kreil A, Floreani A, Dulbecco P, Testa E, Sohaey R, Verhey P, Peck-Radosavljevic M, Mansi C, Savarino V, Testa R. Platelet count/spleen diameter ratio for the noninvasive diagnosis of esophageal varices: results of a multicenter, prospective, validation study. </w:t>
      </w:r>
      <w:r w:rsidRPr="006541B2">
        <w:rPr>
          <w:rFonts w:ascii="Book Antiqua" w:hAnsi="Book Antiqua" w:cs="宋体"/>
          <w:i/>
          <w:iCs/>
          <w:sz w:val="24"/>
          <w:szCs w:val="24"/>
          <w:lang w:val="en-US" w:eastAsia="zh-CN"/>
        </w:rPr>
        <w:t>Am J Gastroenterol</w:t>
      </w:r>
      <w:r w:rsidRPr="006541B2">
        <w:rPr>
          <w:rFonts w:ascii="Book Antiqua" w:hAnsi="Book Antiqua" w:cs="宋体"/>
          <w:sz w:val="24"/>
          <w:szCs w:val="24"/>
          <w:lang w:val="en-US" w:eastAsia="zh-CN"/>
        </w:rPr>
        <w:t xml:space="preserve"> 2006; </w:t>
      </w:r>
      <w:r w:rsidRPr="006541B2">
        <w:rPr>
          <w:rFonts w:ascii="Book Antiqua" w:hAnsi="Book Antiqua" w:cs="宋体"/>
          <w:b/>
          <w:bCs/>
          <w:sz w:val="24"/>
          <w:szCs w:val="24"/>
          <w:lang w:val="en-US" w:eastAsia="zh-CN"/>
        </w:rPr>
        <w:t>101</w:t>
      </w:r>
      <w:r w:rsidRPr="006541B2">
        <w:rPr>
          <w:rFonts w:ascii="Book Antiqua" w:hAnsi="Book Antiqua" w:cs="宋体"/>
          <w:sz w:val="24"/>
          <w:szCs w:val="24"/>
          <w:lang w:val="en-US" w:eastAsia="zh-CN"/>
        </w:rPr>
        <w:t>: 2511-2519 [PMID: 17029607 DOI: 10.1111/j.1572-0241.2006.00874.x]</w:t>
      </w:r>
    </w:p>
    <w:p w:rsidR="008A6899" w:rsidRPr="006541B2" w:rsidRDefault="008A6899" w:rsidP="006541B2">
      <w:pPr>
        <w:adjustRightInd w:val="0"/>
        <w:snapToGrid w:val="0"/>
        <w:spacing w:after="0" w:line="240" w:lineRule="auto"/>
        <w:rPr>
          <w:rFonts w:ascii="Book Antiqua" w:hAnsi="Book Antiqua" w:cs="宋体"/>
          <w:sz w:val="24"/>
          <w:szCs w:val="24"/>
          <w:lang w:val="en-US" w:eastAsia="zh-CN"/>
        </w:rPr>
      </w:pPr>
      <w:r w:rsidRPr="006541B2">
        <w:rPr>
          <w:rFonts w:ascii="Book Antiqua" w:hAnsi="Book Antiqua" w:cs="宋体"/>
          <w:sz w:val="24"/>
          <w:szCs w:val="24"/>
          <w:lang w:val="en-US" w:eastAsia="zh-CN"/>
        </w:rPr>
        <w:t xml:space="preserve">17 </w:t>
      </w:r>
      <w:r w:rsidRPr="006541B2">
        <w:rPr>
          <w:rFonts w:ascii="Book Antiqua" w:hAnsi="Book Antiqua" w:cs="宋体"/>
          <w:b/>
          <w:bCs/>
          <w:sz w:val="24"/>
          <w:szCs w:val="24"/>
          <w:lang w:val="en-US" w:eastAsia="zh-CN"/>
        </w:rPr>
        <w:t>de Mattos AZ</w:t>
      </w:r>
      <w:r w:rsidRPr="006541B2">
        <w:rPr>
          <w:rFonts w:ascii="Book Antiqua" w:hAnsi="Book Antiqua" w:cs="宋体"/>
          <w:sz w:val="24"/>
          <w:szCs w:val="24"/>
          <w:lang w:val="en-US" w:eastAsia="zh-CN"/>
        </w:rPr>
        <w:t xml:space="preserve">, de Mattos AA. Platelet count/spleen diameter ratio: can it replace endoscopy for the screening of esophageal varices in cirrhotic patients? </w:t>
      </w:r>
      <w:r w:rsidRPr="006541B2">
        <w:rPr>
          <w:rFonts w:ascii="Book Antiqua" w:hAnsi="Book Antiqua" w:cs="宋体"/>
          <w:i/>
          <w:iCs/>
          <w:sz w:val="24"/>
          <w:szCs w:val="24"/>
          <w:lang w:val="en-US" w:eastAsia="zh-CN"/>
        </w:rPr>
        <w:t>Eur J Gastroenterol Hepatol</w:t>
      </w:r>
      <w:r w:rsidRPr="006541B2">
        <w:rPr>
          <w:rFonts w:ascii="Book Antiqua" w:hAnsi="Book Antiqua" w:cs="宋体"/>
          <w:sz w:val="24"/>
          <w:szCs w:val="24"/>
          <w:lang w:val="en-US" w:eastAsia="zh-CN"/>
        </w:rPr>
        <w:t xml:space="preserve"> 2012; </w:t>
      </w:r>
      <w:r w:rsidRPr="006541B2">
        <w:rPr>
          <w:rFonts w:ascii="Book Antiqua" w:hAnsi="Book Antiqua" w:cs="宋体"/>
          <w:b/>
          <w:bCs/>
          <w:sz w:val="24"/>
          <w:szCs w:val="24"/>
          <w:lang w:val="en-US" w:eastAsia="zh-CN"/>
        </w:rPr>
        <w:t>24</w:t>
      </w:r>
      <w:r w:rsidRPr="006541B2">
        <w:rPr>
          <w:rFonts w:ascii="Book Antiqua" w:hAnsi="Book Antiqua" w:cs="宋体"/>
          <w:sz w:val="24"/>
          <w:szCs w:val="24"/>
          <w:lang w:val="en-US" w:eastAsia="zh-CN"/>
        </w:rPr>
        <w:t>: 1113 [PMID: 22850126 DOI: 10.1097/MEG.0b013e3283551e22]</w:t>
      </w:r>
    </w:p>
    <w:p w:rsidR="008A6899" w:rsidRDefault="008A6899" w:rsidP="006541B2">
      <w:pPr>
        <w:adjustRightInd w:val="0"/>
        <w:snapToGrid w:val="0"/>
        <w:spacing w:after="0" w:line="240" w:lineRule="auto"/>
        <w:rPr>
          <w:rFonts w:ascii="Book Antiqua" w:hAnsi="Book Antiqua" w:cs="宋体"/>
          <w:sz w:val="24"/>
          <w:szCs w:val="24"/>
          <w:lang w:val="en-US" w:eastAsia="zh-CN"/>
        </w:rPr>
      </w:pPr>
      <w:r w:rsidRPr="006541B2">
        <w:rPr>
          <w:rFonts w:ascii="Book Antiqua" w:hAnsi="Book Antiqua" w:cs="宋体"/>
          <w:sz w:val="24"/>
          <w:szCs w:val="24"/>
          <w:lang w:val="en-US" w:eastAsia="zh-CN"/>
        </w:rPr>
        <w:t>18</w:t>
      </w:r>
      <w:r>
        <w:rPr>
          <w:rFonts w:ascii="Book Antiqua" w:hAnsi="Book Antiqua" w:cs="宋体"/>
          <w:sz w:val="24"/>
          <w:szCs w:val="24"/>
          <w:lang w:val="en-US" w:eastAsia="zh-CN"/>
        </w:rPr>
        <w:t xml:space="preserve"> </w:t>
      </w:r>
      <w:r w:rsidRPr="00963E60">
        <w:rPr>
          <w:rFonts w:ascii="Book Antiqua" w:hAnsi="Book Antiqua" w:cs="宋体"/>
          <w:b/>
          <w:sz w:val="24"/>
          <w:szCs w:val="24"/>
          <w:lang w:val="en-US" w:eastAsia="zh-CN"/>
        </w:rPr>
        <w:t>Feldman M</w:t>
      </w:r>
      <w:r w:rsidRPr="00963E60">
        <w:rPr>
          <w:rFonts w:ascii="Book Antiqua" w:hAnsi="Book Antiqua" w:cs="宋体"/>
          <w:sz w:val="24"/>
          <w:szCs w:val="24"/>
          <w:lang w:val="en-US" w:eastAsia="zh-CN"/>
        </w:rPr>
        <w:t>, Friedman LS, Sleinsenger MH. Enfermedades gastrointestinales y hepáticas. En: Fisiopatología, diagnóstico y tratamiento. Ed. Panamericana 7ª edición 2002; II:</w:t>
      </w:r>
      <w:r>
        <w:rPr>
          <w:rFonts w:ascii="Book Antiqua" w:hAnsi="Book Antiqua" w:cs="宋体"/>
          <w:sz w:val="24"/>
          <w:szCs w:val="24"/>
          <w:lang w:val="en-US" w:eastAsia="zh-CN"/>
        </w:rPr>
        <w:t xml:space="preserve"> 1579–1587</w:t>
      </w:r>
    </w:p>
    <w:p w:rsidR="008A6899" w:rsidRPr="006541B2" w:rsidRDefault="008A6899" w:rsidP="006541B2">
      <w:pPr>
        <w:adjustRightInd w:val="0"/>
        <w:snapToGrid w:val="0"/>
        <w:spacing w:after="0" w:line="240" w:lineRule="auto"/>
        <w:rPr>
          <w:rFonts w:ascii="Book Antiqua" w:hAnsi="Book Antiqua" w:cs="宋体"/>
          <w:sz w:val="24"/>
          <w:szCs w:val="24"/>
          <w:lang w:val="en-US" w:eastAsia="zh-CN"/>
        </w:rPr>
      </w:pPr>
      <w:r w:rsidRPr="006541B2">
        <w:rPr>
          <w:rFonts w:ascii="Book Antiqua" w:hAnsi="Book Antiqua" w:cs="宋体"/>
          <w:sz w:val="24"/>
          <w:szCs w:val="24"/>
          <w:lang w:val="en-US" w:eastAsia="zh-CN"/>
        </w:rPr>
        <w:t xml:space="preserve">19 </w:t>
      </w:r>
      <w:r w:rsidRPr="006541B2">
        <w:rPr>
          <w:rFonts w:ascii="Book Antiqua" w:hAnsi="Book Antiqua" w:cs="宋体"/>
          <w:b/>
          <w:bCs/>
          <w:sz w:val="24"/>
          <w:szCs w:val="24"/>
          <w:lang w:val="en-US" w:eastAsia="zh-CN"/>
        </w:rPr>
        <w:t>Bressler B</w:t>
      </w:r>
      <w:r w:rsidRPr="006541B2">
        <w:rPr>
          <w:rFonts w:ascii="Book Antiqua" w:hAnsi="Book Antiqua" w:cs="宋体"/>
          <w:sz w:val="24"/>
          <w:szCs w:val="24"/>
          <w:lang w:val="en-US" w:eastAsia="zh-CN"/>
        </w:rPr>
        <w:t xml:space="preserve">, Pinto R, El-Ashry D, Heathcote EJ. Which patients with primary biliary cirrhosis or primary sclerosing cholangitis should undergo endoscopic screening for oesophageal varices detection? </w:t>
      </w:r>
      <w:r w:rsidRPr="006541B2">
        <w:rPr>
          <w:rFonts w:ascii="Book Antiqua" w:hAnsi="Book Antiqua" w:cs="宋体"/>
          <w:i/>
          <w:iCs/>
          <w:sz w:val="24"/>
          <w:szCs w:val="24"/>
          <w:lang w:val="en-US" w:eastAsia="zh-CN"/>
        </w:rPr>
        <w:t>Gut</w:t>
      </w:r>
      <w:r w:rsidRPr="006541B2">
        <w:rPr>
          <w:rFonts w:ascii="Book Antiqua" w:hAnsi="Book Antiqua" w:cs="宋体"/>
          <w:sz w:val="24"/>
          <w:szCs w:val="24"/>
          <w:lang w:val="en-US" w:eastAsia="zh-CN"/>
        </w:rPr>
        <w:t xml:space="preserve"> 2005; </w:t>
      </w:r>
      <w:r w:rsidRPr="006541B2">
        <w:rPr>
          <w:rFonts w:ascii="Book Antiqua" w:hAnsi="Book Antiqua" w:cs="宋体"/>
          <w:b/>
          <w:bCs/>
          <w:sz w:val="24"/>
          <w:szCs w:val="24"/>
          <w:lang w:val="en-US" w:eastAsia="zh-CN"/>
        </w:rPr>
        <w:t>54</w:t>
      </w:r>
      <w:r w:rsidRPr="006541B2">
        <w:rPr>
          <w:rFonts w:ascii="Book Antiqua" w:hAnsi="Book Antiqua" w:cs="宋体"/>
          <w:sz w:val="24"/>
          <w:szCs w:val="24"/>
          <w:lang w:val="en-US" w:eastAsia="zh-CN"/>
        </w:rPr>
        <w:t>: 407-410 [PMID: 15710991 DOI: 10.1136/gut.2004.040832]</w:t>
      </w:r>
    </w:p>
    <w:p w:rsidR="008A6899" w:rsidRPr="006541B2" w:rsidRDefault="008A6899" w:rsidP="006541B2">
      <w:pPr>
        <w:adjustRightInd w:val="0"/>
        <w:snapToGrid w:val="0"/>
        <w:spacing w:after="0" w:line="240" w:lineRule="auto"/>
        <w:rPr>
          <w:rFonts w:ascii="Book Antiqua" w:hAnsi="Book Antiqua" w:cs="宋体"/>
          <w:sz w:val="24"/>
          <w:szCs w:val="24"/>
          <w:lang w:val="en-US" w:eastAsia="zh-CN"/>
        </w:rPr>
      </w:pPr>
      <w:r w:rsidRPr="006541B2">
        <w:rPr>
          <w:rFonts w:ascii="Book Antiqua" w:hAnsi="Book Antiqua" w:cs="宋体"/>
          <w:sz w:val="24"/>
          <w:szCs w:val="24"/>
          <w:lang w:val="en-US" w:eastAsia="zh-CN"/>
        </w:rPr>
        <w:t xml:space="preserve">20 </w:t>
      </w:r>
      <w:r w:rsidRPr="006541B2">
        <w:rPr>
          <w:rFonts w:ascii="Book Antiqua" w:hAnsi="Book Antiqua" w:cs="宋体"/>
          <w:b/>
          <w:bCs/>
          <w:sz w:val="24"/>
          <w:szCs w:val="24"/>
          <w:lang w:val="en-US" w:eastAsia="zh-CN"/>
        </w:rPr>
        <w:t>Sanyal AJ</w:t>
      </w:r>
      <w:r w:rsidRPr="006541B2">
        <w:rPr>
          <w:rFonts w:ascii="Book Antiqua" w:hAnsi="Book Antiqua" w:cs="宋体"/>
          <w:sz w:val="24"/>
          <w:szCs w:val="24"/>
          <w:lang w:val="en-US" w:eastAsia="zh-CN"/>
        </w:rPr>
        <w:t xml:space="preserve">, Fontana RJ, Di Bisceglie AM, Everhart JE, Doherty MC, Everson GT, Donovan JA, Malet PF, Mehta S, Sheikh MY, Reid AE, Ghany MG, Gretch DR. The prevalence and risk factors associated with esophageal varices in subjects with hepatitis C and advanced fibrosis. </w:t>
      </w:r>
      <w:r w:rsidRPr="006541B2">
        <w:rPr>
          <w:rFonts w:ascii="Book Antiqua" w:hAnsi="Book Antiqua" w:cs="宋体"/>
          <w:i/>
          <w:iCs/>
          <w:sz w:val="24"/>
          <w:szCs w:val="24"/>
          <w:lang w:val="en-US" w:eastAsia="zh-CN"/>
        </w:rPr>
        <w:t>Gastrointest Endosc</w:t>
      </w:r>
      <w:r w:rsidRPr="006541B2">
        <w:rPr>
          <w:rFonts w:ascii="Book Antiqua" w:hAnsi="Book Antiqua" w:cs="宋体"/>
          <w:sz w:val="24"/>
          <w:szCs w:val="24"/>
          <w:lang w:val="en-US" w:eastAsia="zh-CN"/>
        </w:rPr>
        <w:t xml:space="preserve"> 2006; </w:t>
      </w:r>
      <w:r w:rsidRPr="006541B2">
        <w:rPr>
          <w:rFonts w:ascii="Book Antiqua" w:hAnsi="Book Antiqua" w:cs="宋体"/>
          <w:b/>
          <w:bCs/>
          <w:sz w:val="24"/>
          <w:szCs w:val="24"/>
          <w:lang w:val="en-US" w:eastAsia="zh-CN"/>
        </w:rPr>
        <w:t>64</w:t>
      </w:r>
      <w:r w:rsidRPr="006541B2">
        <w:rPr>
          <w:rFonts w:ascii="Book Antiqua" w:hAnsi="Book Antiqua" w:cs="宋体"/>
          <w:sz w:val="24"/>
          <w:szCs w:val="24"/>
          <w:lang w:val="en-US" w:eastAsia="zh-CN"/>
        </w:rPr>
        <w:t>: 855-864 [PMID: 17140886 DOI: 10.1016/j.gie.2006.03.007]</w:t>
      </w:r>
    </w:p>
    <w:p w:rsidR="008A6899" w:rsidRPr="006541B2" w:rsidRDefault="008A6899" w:rsidP="006541B2">
      <w:pPr>
        <w:adjustRightInd w:val="0"/>
        <w:snapToGrid w:val="0"/>
        <w:spacing w:after="0" w:line="240" w:lineRule="auto"/>
        <w:rPr>
          <w:rFonts w:ascii="Book Antiqua" w:hAnsi="Book Antiqua" w:cs="宋体"/>
          <w:sz w:val="24"/>
          <w:szCs w:val="24"/>
          <w:lang w:val="en-US" w:eastAsia="zh-CN"/>
        </w:rPr>
      </w:pPr>
      <w:r w:rsidRPr="006541B2">
        <w:rPr>
          <w:rFonts w:ascii="Book Antiqua" w:hAnsi="Book Antiqua" w:cs="宋体"/>
          <w:sz w:val="24"/>
          <w:szCs w:val="24"/>
          <w:lang w:val="en-US" w:eastAsia="zh-CN"/>
        </w:rPr>
        <w:t xml:space="preserve">21 </w:t>
      </w:r>
      <w:r w:rsidRPr="006541B2">
        <w:rPr>
          <w:rFonts w:ascii="Book Antiqua" w:hAnsi="Book Antiqua" w:cs="宋体"/>
          <w:b/>
          <w:bCs/>
          <w:sz w:val="24"/>
          <w:szCs w:val="24"/>
          <w:lang w:val="en-US" w:eastAsia="zh-CN"/>
        </w:rPr>
        <w:t>Chawla S</w:t>
      </w:r>
      <w:r w:rsidRPr="006541B2">
        <w:rPr>
          <w:rFonts w:ascii="Book Antiqua" w:hAnsi="Book Antiqua" w:cs="宋体"/>
          <w:sz w:val="24"/>
          <w:szCs w:val="24"/>
          <w:lang w:val="en-US" w:eastAsia="zh-CN"/>
        </w:rPr>
        <w:t xml:space="preserve">, Katz A, Attar BM, Gupta A, Sandhu DS, Agarwal R. Platelet count/spleen diameter ratio to predict the presence of esophageal varices in patients with cirrhosis: a systematic review. </w:t>
      </w:r>
      <w:r w:rsidRPr="006541B2">
        <w:rPr>
          <w:rFonts w:ascii="Book Antiqua" w:hAnsi="Book Antiqua" w:cs="宋体"/>
          <w:i/>
          <w:iCs/>
          <w:sz w:val="24"/>
          <w:szCs w:val="24"/>
          <w:lang w:val="en-US" w:eastAsia="zh-CN"/>
        </w:rPr>
        <w:t>Eur J Gastroenterol Hepatol</w:t>
      </w:r>
      <w:r w:rsidRPr="006541B2">
        <w:rPr>
          <w:rFonts w:ascii="Book Antiqua" w:hAnsi="Book Antiqua" w:cs="宋体"/>
          <w:sz w:val="24"/>
          <w:szCs w:val="24"/>
          <w:lang w:val="en-US" w:eastAsia="zh-CN"/>
        </w:rPr>
        <w:t xml:space="preserve"> 2012; </w:t>
      </w:r>
      <w:r w:rsidRPr="006541B2">
        <w:rPr>
          <w:rFonts w:ascii="Book Antiqua" w:hAnsi="Book Antiqua" w:cs="宋体"/>
          <w:b/>
          <w:bCs/>
          <w:sz w:val="24"/>
          <w:szCs w:val="24"/>
          <w:lang w:val="en-US" w:eastAsia="zh-CN"/>
        </w:rPr>
        <w:t>24</w:t>
      </w:r>
      <w:r w:rsidRPr="006541B2">
        <w:rPr>
          <w:rFonts w:ascii="Book Antiqua" w:hAnsi="Book Antiqua" w:cs="宋体"/>
          <w:sz w:val="24"/>
          <w:szCs w:val="24"/>
          <w:lang w:val="en-US" w:eastAsia="zh-CN"/>
        </w:rPr>
        <w:t>: 431-436 [PMID: 22410714]</w:t>
      </w:r>
    </w:p>
    <w:p w:rsidR="008A6899" w:rsidRPr="006541B2" w:rsidRDefault="008A6899" w:rsidP="006541B2">
      <w:pPr>
        <w:adjustRightInd w:val="0"/>
        <w:snapToGrid w:val="0"/>
        <w:spacing w:after="0" w:line="240" w:lineRule="auto"/>
        <w:rPr>
          <w:rFonts w:ascii="Book Antiqua" w:hAnsi="Book Antiqua" w:cs="宋体"/>
          <w:sz w:val="24"/>
          <w:szCs w:val="24"/>
          <w:lang w:val="en-US" w:eastAsia="zh-CN"/>
        </w:rPr>
      </w:pPr>
      <w:r w:rsidRPr="006541B2">
        <w:rPr>
          <w:rFonts w:ascii="Book Antiqua" w:hAnsi="Book Antiqua" w:cs="宋体"/>
          <w:sz w:val="24"/>
          <w:szCs w:val="24"/>
          <w:lang w:val="en-US" w:eastAsia="zh-CN"/>
        </w:rPr>
        <w:t xml:space="preserve">22 </w:t>
      </w:r>
      <w:r w:rsidRPr="006541B2">
        <w:rPr>
          <w:rFonts w:ascii="Book Antiqua" w:hAnsi="Book Antiqua" w:cs="宋体"/>
          <w:b/>
          <w:bCs/>
          <w:sz w:val="24"/>
          <w:szCs w:val="24"/>
          <w:lang w:val="en-US" w:eastAsia="zh-CN"/>
        </w:rPr>
        <w:t>Chalasani N</w:t>
      </w:r>
      <w:r w:rsidRPr="006541B2">
        <w:rPr>
          <w:rFonts w:ascii="Book Antiqua" w:hAnsi="Book Antiqua" w:cs="宋体"/>
          <w:sz w:val="24"/>
          <w:szCs w:val="24"/>
          <w:lang w:val="en-US" w:eastAsia="zh-CN"/>
        </w:rPr>
        <w:t xml:space="preserve">, Imperiale TF, Ismail A, Sood G, Carey M, Wilcox CM, Madichetty H, Kwo PY, Boyer TD. Predictors of large esophageal varices in patients with cirrhosis. </w:t>
      </w:r>
      <w:r w:rsidRPr="006541B2">
        <w:rPr>
          <w:rFonts w:ascii="Book Antiqua" w:hAnsi="Book Antiqua" w:cs="宋体"/>
          <w:i/>
          <w:iCs/>
          <w:sz w:val="24"/>
          <w:szCs w:val="24"/>
          <w:lang w:val="en-US" w:eastAsia="zh-CN"/>
        </w:rPr>
        <w:t>Am J Gastroenterol</w:t>
      </w:r>
      <w:r w:rsidRPr="006541B2">
        <w:rPr>
          <w:rFonts w:ascii="Book Antiqua" w:hAnsi="Book Antiqua" w:cs="宋体"/>
          <w:sz w:val="24"/>
          <w:szCs w:val="24"/>
          <w:lang w:val="en-US" w:eastAsia="zh-CN"/>
        </w:rPr>
        <w:t xml:space="preserve"> 1999; </w:t>
      </w:r>
      <w:r w:rsidRPr="006541B2">
        <w:rPr>
          <w:rFonts w:ascii="Book Antiqua" w:hAnsi="Book Antiqua" w:cs="宋体"/>
          <w:b/>
          <w:bCs/>
          <w:sz w:val="24"/>
          <w:szCs w:val="24"/>
          <w:lang w:val="en-US" w:eastAsia="zh-CN"/>
        </w:rPr>
        <w:t>94</w:t>
      </w:r>
      <w:r w:rsidRPr="006541B2">
        <w:rPr>
          <w:rFonts w:ascii="Book Antiqua" w:hAnsi="Book Antiqua" w:cs="宋体"/>
          <w:sz w:val="24"/>
          <w:szCs w:val="24"/>
          <w:lang w:val="en-US" w:eastAsia="zh-CN"/>
        </w:rPr>
        <w:t>: 3285-3291 [PMID: 10566731 DOI: 10.1111/j.1572-0241.1999.1539_a.x]</w:t>
      </w:r>
    </w:p>
    <w:p w:rsidR="008A6899" w:rsidRDefault="008A6899" w:rsidP="006541B2">
      <w:pPr>
        <w:adjustRightInd w:val="0"/>
        <w:snapToGrid w:val="0"/>
        <w:spacing w:after="0" w:line="240" w:lineRule="auto"/>
        <w:jc w:val="both"/>
        <w:rPr>
          <w:rFonts w:ascii="Book Antiqua" w:hAnsi="Book Antiqua"/>
          <w:sz w:val="24"/>
          <w:szCs w:val="24"/>
          <w:lang w:val="en-US" w:eastAsia="zh-CN"/>
        </w:rPr>
      </w:pPr>
    </w:p>
    <w:p w:rsidR="008A6899" w:rsidRPr="00C56046" w:rsidRDefault="008A6899" w:rsidP="00963E60">
      <w:pPr>
        <w:tabs>
          <w:tab w:val="left" w:pos="180"/>
          <w:tab w:val="left" w:pos="360"/>
        </w:tabs>
        <w:adjustRightInd w:val="0"/>
        <w:snapToGrid w:val="0"/>
        <w:spacing w:line="360" w:lineRule="auto"/>
        <w:jc w:val="right"/>
        <w:rPr>
          <w:rFonts w:ascii="Book Antiqua" w:hAnsi="Book Antiqua" w:cs="Tahoma"/>
          <w:b/>
          <w:color w:val="000000"/>
          <w:sz w:val="24"/>
          <w:lang w:eastAsia="zh-CN"/>
        </w:rPr>
      </w:pPr>
      <w:bookmarkStart w:id="520" w:name="OLE_LINK874"/>
      <w:bookmarkStart w:id="521" w:name="OLE_LINK875"/>
      <w:bookmarkStart w:id="522" w:name="OLE_LINK347"/>
      <w:bookmarkStart w:id="523" w:name="OLE_LINK384"/>
      <w:bookmarkStart w:id="524" w:name="OLE_LINK557"/>
      <w:bookmarkStart w:id="525" w:name="OLE_LINK558"/>
      <w:bookmarkStart w:id="526" w:name="OLE_LINK631"/>
      <w:bookmarkStart w:id="527" w:name="OLE_LINK632"/>
      <w:bookmarkStart w:id="528" w:name="OLE_LINK386"/>
      <w:bookmarkStart w:id="529" w:name="OLE_LINK431"/>
      <w:bookmarkStart w:id="530" w:name="OLE_LINK564"/>
      <w:bookmarkStart w:id="531" w:name="OLE_LINK493"/>
      <w:bookmarkStart w:id="532" w:name="OLE_LINK442"/>
      <w:bookmarkStart w:id="533" w:name="OLE_LINK551"/>
      <w:bookmarkStart w:id="534" w:name="OLE_LINK668"/>
      <w:bookmarkStart w:id="535" w:name="OLE_LINK669"/>
      <w:bookmarkStart w:id="536" w:name="OLE_LINK725"/>
      <w:bookmarkStart w:id="537" w:name="OLE_LINK489"/>
      <w:bookmarkStart w:id="538" w:name="OLE_LINK602"/>
      <w:bookmarkStart w:id="539" w:name="OLE_LINK658"/>
      <w:bookmarkStart w:id="540" w:name="OLE_LINK747"/>
      <w:bookmarkStart w:id="541" w:name="OLE_LINK897"/>
      <w:bookmarkStart w:id="542" w:name="OLE_LINK1138"/>
      <w:bookmarkStart w:id="543" w:name="OLE_LINK1139"/>
      <w:bookmarkStart w:id="544" w:name="OLE_LINK882"/>
      <w:bookmarkStart w:id="545" w:name="OLE_LINK1095"/>
      <w:bookmarkStart w:id="546" w:name="OLE_LINK1305"/>
      <w:bookmarkStart w:id="547" w:name="OLE_LINK1390"/>
      <w:bookmarkStart w:id="548" w:name="OLE_LINK964"/>
      <w:bookmarkStart w:id="549" w:name="OLE_LINK1190"/>
      <w:bookmarkStart w:id="550" w:name="OLE_LINK1314"/>
      <w:bookmarkStart w:id="551" w:name="OLE_LINK1031"/>
      <w:bookmarkStart w:id="552" w:name="OLE_LINK1092"/>
      <w:bookmarkStart w:id="553" w:name="OLE_LINK1258"/>
      <w:bookmarkStart w:id="554" w:name="OLE_LINK1259"/>
      <w:bookmarkStart w:id="555" w:name="OLE_LINK1337"/>
      <w:bookmarkStart w:id="556" w:name="OLE_LINK1338"/>
      <w:bookmarkStart w:id="557" w:name="OLE_LINK1363"/>
      <w:bookmarkStart w:id="558" w:name="OLE_LINK1364"/>
      <w:bookmarkStart w:id="559" w:name="OLE_LINK86"/>
      <w:bookmarkStart w:id="560" w:name="OLE_LINK1595"/>
      <w:bookmarkStart w:id="561" w:name="OLE_LINK1613"/>
      <w:bookmarkStart w:id="562" w:name="OLE_LINK1708"/>
      <w:bookmarkStart w:id="563" w:name="OLE_LINK1774"/>
      <w:bookmarkStart w:id="564" w:name="OLE_LINK1872"/>
      <w:bookmarkStart w:id="565" w:name="OLE_LINK1899"/>
      <w:bookmarkStart w:id="566" w:name="OLE_LINK1492"/>
      <w:bookmarkStart w:id="567" w:name="OLE_LINK1497"/>
      <w:bookmarkStart w:id="568" w:name="OLE_LINK1498"/>
      <w:bookmarkStart w:id="569" w:name="OLE_LINK1589"/>
      <w:bookmarkStart w:id="570" w:name="OLE_LINK1666"/>
      <w:bookmarkStart w:id="571" w:name="OLE_LINK1752"/>
      <w:bookmarkStart w:id="572" w:name="OLE_LINK1616"/>
      <w:bookmarkStart w:id="573" w:name="OLE_LINK1696"/>
      <w:bookmarkStart w:id="574" w:name="OLE_LINK1855"/>
      <w:bookmarkStart w:id="575" w:name="OLE_LINK1942"/>
      <w:bookmarkStart w:id="576" w:name="OLE_LINK1943"/>
      <w:bookmarkStart w:id="577" w:name="OLE_LINK1573"/>
      <w:bookmarkStart w:id="578" w:name="OLE_LINK1574"/>
      <w:bookmarkStart w:id="579" w:name="OLE_LINK1575"/>
      <w:bookmarkStart w:id="580" w:name="OLE_LINK1739"/>
      <w:bookmarkStart w:id="581" w:name="OLE_LINK1761"/>
      <w:bookmarkStart w:id="582" w:name="OLE_LINK1743"/>
      <w:bookmarkStart w:id="583" w:name="OLE_LINK1841"/>
      <w:bookmarkStart w:id="584" w:name="OLE_LINK1858"/>
      <w:bookmarkStart w:id="585" w:name="OLE_LINK1890"/>
      <w:bookmarkStart w:id="586" w:name="OLE_LINK1915"/>
      <w:bookmarkStart w:id="587" w:name="OLE_LINK1980"/>
      <w:bookmarkStart w:id="588" w:name="OLE_LINK1883"/>
      <w:bookmarkStart w:id="589" w:name="OLE_LINK1935"/>
      <w:bookmarkStart w:id="590" w:name="OLE_LINK1936"/>
      <w:bookmarkStart w:id="591" w:name="OLE_LINK1952"/>
      <w:bookmarkStart w:id="592" w:name="OLE_LINK1953"/>
      <w:bookmarkStart w:id="593" w:name="OLE_LINK1999"/>
      <w:bookmarkStart w:id="594" w:name="OLE_LINK2050"/>
      <w:bookmarkStart w:id="595" w:name="OLE_LINK1862"/>
      <w:bookmarkStart w:id="596" w:name="OLE_LINK1963"/>
      <w:bookmarkStart w:id="597" w:name="OLE_LINK2052"/>
      <w:bookmarkStart w:id="598" w:name="OLE_LINK1906"/>
      <w:bookmarkStart w:id="599" w:name="OLE_LINK2031"/>
      <w:bookmarkStart w:id="600" w:name="OLE_LINK2032"/>
      <w:bookmarkStart w:id="601" w:name="OLE_LINK1907"/>
      <w:bookmarkStart w:id="602" w:name="OLE_LINK2004"/>
      <w:bookmarkStart w:id="603" w:name="OLE_LINK2238"/>
      <w:bookmarkStart w:id="604" w:name="OLE_LINK2239"/>
      <w:bookmarkStart w:id="605" w:name="OLE_LINK2163"/>
      <w:bookmarkStart w:id="606" w:name="OLE_LINK2207"/>
      <w:bookmarkStart w:id="607" w:name="OLE_LINK2341"/>
      <w:bookmarkStart w:id="608" w:name="OLE_LINK2417"/>
      <w:bookmarkStart w:id="609" w:name="OLE_LINK2509"/>
      <w:bookmarkStart w:id="610" w:name="OLE_LINK2510"/>
      <w:bookmarkStart w:id="611" w:name="OLE_LINK2511"/>
      <w:bookmarkStart w:id="612" w:name="OLE_LINK2512"/>
      <w:bookmarkStart w:id="613" w:name="OLE_LINK2513"/>
      <w:bookmarkStart w:id="614" w:name="OLE_LINK2514"/>
      <w:bookmarkStart w:id="615" w:name="OLE_LINK2515"/>
      <w:bookmarkStart w:id="616" w:name="OLE_LINK2516"/>
      <w:bookmarkStart w:id="617" w:name="OLE_LINK2517"/>
      <w:bookmarkStart w:id="618" w:name="OLE_LINK2518"/>
      <w:bookmarkStart w:id="619" w:name="OLE_LINK2519"/>
      <w:bookmarkStart w:id="620" w:name="OLE_LINK2520"/>
      <w:bookmarkStart w:id="621" w:name="OLE_LINK2521"/>
      <w:bookmarkStart w:id="622" w:name="OLE_LINK2522"/>
      <w:bookmarkStart w:id="623" w:name="OLE_LINK2523"/>
      <w:bookmarkStart w:id="624" w:name="OLE_LINK2524"/>
      <w:bookmarkStart w:id="625" w:name="OLE_LINK2051"/>
      <w:bookmarkStart w:id="626" w:name="OLE_LINK2109"/>
      <w:bookmarkStart w:id="627" w:name="OLE_LINK2165"/>
      <w:bookmarkStart w:id="628" w:name="OLE_LINK2385"/>
      <w:bookmarkStart w:id="629" w:name="OLE_LINK2593"/>
      <w:bookmarkStart w:id="630" w:name="OLE_LINK2332"/>
      <w:bookmarkStart w:id="631" w:name="OLE_LINK2448"/>
      <w:bookmarkStart w:id="632" w:name="OLE_LINK2525"/>
      <w:bookmarkStart w:id="633" w:name="OLE_LINK2506"/>
      <w:bookmarkStart w:id="634" w:name="OLE_LINK2507"/>
      <w:bookmarkStart w:id="635" w:name="OLE_LINK2291"/>
      <w:bookmarkStart w:id="636" w:name="OLE_LINK2294"/>
      <w:bookmarkStart w:id="637" w:name="OLE_LINK2298"/>
      <w:bookmarkStart w:id="638" w:name="OLE_LINK2300"/>
      <w:bookmarkStart w:id="639" w:name="OLE_LINK2301"/>
      <w:bookmarkStart w:id="640" w:name="OLE_LINK2546"/>
      <w:bookmarkStart w:id="641" w:name="OLE_LINK2756"/>
      <w:bookmarkStart w:id="642" w:name="OLE_LINK2757"/>
      <w:bookmarkStart w:id="643" w:name="OLE_LINK2736"/>
      <w:bookmarkStart w:id="644" w:name="OLE_LINK2923"/>
      <w:bookmarkStart w:id="645" w:name="OLE_LINK2974"/>
      <w:bookmarkStart w:id="646" w:name="OLE_LINK3125"/>
      <w:bookmarkStart w:id="647" w:name="OLE_LINK3218"/>
      <w:bookmarkStart w:id="648" w:name="OLE_LINK2575"/>
      <w:bookmarkStart w:id="649" w:name="OLE_LINK2687"/>
      <w:bookmarkStart w:id="650" w:name="OLE_LINK2688"/>
      <w:bookmarkStart w:id="651" w:name="OLE_LINK2700"/>
      <w:bookmarkStart w:id="652" w:name="OLE_LINK2576"/>
      <w:bookmarkStart w:id="653" w:name="OLE_LINK2674"/>
      <w:bookmarkStart w:id="654" w:name="OLE_LINK2738"/>
      <w:bookmarkStart w:id="655" w:name="OLE_LINK2983"/>
      <w:bookmarkStart w:id="656" w:name="OLE_LINK76"/>
      <w:bookmarkStart w:id="657" w:name="OLE_LINK115"/>
      <w:bookmarkStart w:id="658" w:name="OLE_LINK155"/>
      <w:r w:rsidRPr="00C56046">
        <w:rPr>
          <w:rFonts w:ascii="Book Antiqua" w:hAnsi="Book Antiqua" w:cs="Tahoma"/>
          <w:b/>
          <w:color w:val="000000"/>
          <w:sz w:val="24"/>
        </w:rPr>
        <w:t>P-Reviewer</w:t>
      </w:r>
      <w:r>
        <w:rPr>
          <w:rFonts w:ascii="Book Antiqua" w:hAnsi="Book Antiqua" w:cs="Tahoma"/>
          <w:b/>
          <w:color w:val="000000"/>
          <w:sz w:val="24"/>
          <w:lang w:eastAsia="zh-CN"/>
        </w:rPr>
        <w:t xml:space="preserve">s: </w:t>
      </w:r>
      <w:r w:rsidRPr="000A526C">
        <w:rPr>
          <w:rFonts w:ascii="Book Antiqua" w:hAnsi="Book Antiqua" w:cs="Tahoma"/>
          <w:color w:val="000000"/>
          <w:sz w:val="24"/>
          <w:lang w:eastAsia="zh-CN"/>
        </w:rPr>
        <w:t>Elena V, Jeng JH, Wei L</w:t>
      </w:r>
      <w:r w:rsidRPr="000A526C">
        <w:rPr>
          <w:rFonts w:ascii="Book Antiqua" w:hAnsi="Book Antiqua" w:cs="Tahoma"/>
          <w:color w:val="000000"/>
          <w:sz w:val="24"/>
        </w:rPr>
        <w:t xml:space="preserve"> </w:t>
      </w:r>
      <w:r w:rsidRPr="00C56046">
        <w:rPr>
          <w:rFonts w:ascii="Book Antiqua" w:hAnsi="Book Antiqua" w:cs="Tahoma"/>
          <w:b/>
          <w:color w:val="000000"/>
          <w:sz w:val="24"/>
        </w:rPr>
        <w:t>S-Editor</w:t>
      </w:r>
      <w:r>
        <w:rPr>
          <w:rFonts w:ascii="Book Antiqua" w:hAnsi="Book Antiqua" w:cs="Tahoma"/>
          <w:b/>
          <w:color w:val="000000"/>
          <w:sz w:val="24"/>
          <w:lang w:eastAsia="zh-CN"/>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b/>
          <w:color w:val="000000"/>
          <w:sz w:val="24"/>
          <w:lang w:eastAsia="zh-CN"/>
        </w:rPr>
        <w:t>:</w:t>
      </w:r>
      <w:r w:rsidRPr="00C56046">
        <w:rPr>
          <w:rFonts w:ascii="Book Antiqua" w:hAnsi="Book Antiqua" w:cs="Tahoma"/>
          <w:b/>
          <w:color w:val="000000"/>
          <w:sz w:val="24"/>
        </w:rPr>
        <w:t xml:space="preserve">    E-Edito</w:t>
      </w:r>
      <w:bookmarkEnd w:id="520"/>
      <w:bookmarkEnd w:id="521"/>
      <w:r w:rsidRPr="00C56046">
        <w:rPr>
          <w:rFonts w:ascii="Book Antiqua" w:hAnsi="Book Antiqua" w:cs="Tahoma"/>
          <w:b/>
          <w:color w:val="000000"/>
          <w:sz w:val="24"/>
        </w:rPr>
        <w:t>r</w:t>
      </w:r>
      <w:r>
        <w:rPr>
          <w:rFonts w:ascii="Book Antiqua" w:hAnsi="Book Antiqua" w:cs="Tahoma"/>
          <w:b/>
          <w:color w:val="000000"/>
          <w:sz w:val="24"/>
          <w:lang w:eastAsia="zh-CN"/>
        </w:rPr>
        <w:t>:</w:t>
      </w:r>
    </w:p>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rsidR="008A6899" w:rsidRPr="00963E60" w:rsidRDefault="00E91B1B" w:rsidP="006541B2">
      <w:pPr>
        <w:snapToGrid w:val="0"/>
        <w:spacing w:after="0" w:line="360" w:lineRule="auto"/>
        <w:jc w:val="both"/>
        <w:rPr>
          <w:rFonts w:ascii="Book Antiqua" w:hAnsi="Book Antiqua"/>
          <w:sz w:val="24"/>
          <w:szCs w:val="24"/>
          <w:lang w:eastAsia="zh-CN"/>
        </w:rPr>
      </w:pPr>
      <w:r>
        <w:rPr>
          <w:rFonts w:ascii="Book Antiqua" w:hAnsi="Book Antiqua"/>
          <w:noProof/>
          <w:sz w:val="24"/>
          <w:szCs w:val="24"/>
          <w:lang w:val="en-US" w:eastAsia="zh-CN"/>
        </w:rPr>
        <w:lastRenderedPageBreak/>
        <w:drawing>
          <wp:inline distT="0" distB="0" distL="0" distR="0">
            <wp:extent cx="3840480" cy="2878455"/>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0480" cy="2878455"/>
                    </a:xfrm>
                    <a:prstGeom prst="rect">
                      <a:avLst/>
                    </a:prstGeom>
                    <a:noFill/>
                    <a:ln>
                      <a:noFill/>
                    </a:ln>
                  </pic:spPr>
                </pic:pic>
              </a:graphicData>
            </a:graphic>
          </wp:inline>
        </w:drawing>
      </w:r>
    </w:p>
    <w:p w:rsidR="008A6899" w:rsidRPr="008C3A92" w:rsidRDefault="008A6899" w:rsidP="000005D3">
      <w:pPr>
        <w:autoSpaceDE w:val="0"/>
        <w:autoSpaceDN w:val="0"/>
        <w:adjustRightInd w:val="0"/>
        <w:snapToGrid w:val="0"/>
        <w:spacing w:after="0" w:line="360" w:lineRule="auto"/>
        <w:jc w:val="both"/>
        <w:rPr>
          <w:rFonts w:ascii="Book Antiqua" w:hAnsi="Book Antiqua"/>
          <w:sz w:val="24"/>
          <w:szCs w:val="24"/>
          <w:lang w:val="en-US" w:eastAsia="zh-CN"/>
        </w:rPr>
      </w:pPr>
      <w:r w:rsidRPr="008C3A92">
        <w:rPr>
          <w:rFonts w:ascii="Book Antiqua" w:hAnsi="Book Antiqua"/>
          <w:b/>
          <w:sz w:val="24"/>
          <w:szCs w:val="24"/>
          <w:lang w:val="en-US"/>
        </w:rPr>
        <w:t xml:space="preserve">Figure 1 </w:t>
      </w:r>
      <w:r w:rsidRPr="00797A55">
        <w:rPr>
          <w:rFonts w:ascii="Book Antiqua" w:hAnsi="Book Antiqua"/>
          <w:b/>
          <w:sz w:val="24"/>
          <w:szCs w:val="24"/>
          <w:lang w:val="en-US"/>
        </w:rPr>
        <w:t xml:space="preserve">Receiver operating characteristic curve for the </w:t>
      </w:r>
      <w:r w:rsidRPr="00797A55">
        <w:rPr>
          <w:rFonts w:ascii="Book Antiqua" w:hAnsi="Book Antiqua" w:cs="宋体"/>
          <w:b/>
          <w:sz w:val="24"/>
          <w:szCs w:val="24"/>
          <w:lang w:val="en-US"/>
        </w:rPr>
        <w:t>platelet count/diameter of the spleen</w:t>
      </w:r>
      <w:r w:rsidRPr="00797A55">
        <w:rPr>
          <w:rFonts w:ascii="Book Antiqua" w:hAnsi="Book Antiqua"/>
          <w:b/>
          <w:sz w:val="24"/>
          <w:szCs w:val="24"/>
          <w:lang w:val="en-US"/>
        </w:rPr>
        <w:t xml:space="preserve"> ratio independent of esophageal varix size</w:t>
      </w:r>
      <w:r w:rsidRPr="00797A55">
        <w:rPr>
          <w:rFonts w:ascii="Book Antiqua" w:hAnsi="Book Antiqua"/>
          <w:b/>
          <w:sz w:val="24"/>
          <w:szCs w:val="24"/>
          <w:lang w:val="en-US" w:eastAsia="zh-CN"/>
        </w:rPr>
        <w:t>.</w:t>
      </w:r>
    </w:p>
    <w:p w:rsidR="008A6899" w:rsidRDefault="008A6899" w:rsidP="006541B2">
      <w:pPr>
        <w:snapToGrid w:val="0"/>
        <w:spacing w:after="0" w:line="360" w:lineRule="auto"/>
        <w:jc w:val="both"/>
        <w:rPr>
          <w:rFonts w:ascii="Book Antiqua" w:hAnsi="Book Antiqua"/>
          <w:sz w:val="24"/>
          <w:szCs w:val="24"/>
          <w:lang w:val="en-US" w:eastAsia="zh-CN"/>
        </w:rPr>
      </w:pPr>
    </w:p>
    <w:p w:rsidR="008A6899" w:rsidRDefault="008A6899" w:rsidP="006541B2">
      <w:pPr>
        <w:snapToGrid w:val="0"/>
        <w:spacing w:after="0" w:line="360" w:lineRule="auto"/>
        <w:jc w:val="both"/>
        <w:rPr>
          <w:rFonts w:ascii="Book Antiqua" w:hAnsi="Book Antiqua"/>
          <w:sz w:val="24"/>
          <w:szCs w:val="24"/>
          <w:lang w:val="en-US" w:eastAsia="zh-CN"/>
        </w:rPr>
      </w:pPr>
    </w:p>
    <w:p w:rsidR="008A6899" w:rsidRPr="000005D3" w:rsidRDefault="008A6899" w:rsidP="006541B2">
      <w:pPr>
        <w:snapToGrid w:val="0"/>
        <w:spacing w:after="0" w:line="360" w:lineRule="auto"/>
        <w:jc w:val="both"/>
        <w:rPr>
          <w:rFonts w:ascii="Book Antiqua" w:hAnsi="Book Antiqua"/>
          <w:sz w:val="24"/>
          <w:szCs w:val="24"/>
          <w:lang w:val="en-US" w:eastAsia="zh-CN"/>
        </w:rPr>
      </w:pPr>
    </w:p>
    <w:p w:rsidR="008A6899" w:rsidRPr="008C3A92" w:rsidRDefault="008A6899" w:rsidP="004E2489">
      <w:pPr>
        <w:autoSpaceDE w:val="0"/>
        <w:autoSpaceDN w:val="0"/>
        <w:adjustRightInd w:val="0"/>
        <w:snapToGrid w:val="0"/>
        <w:spacing w:after="0" w:line="360" w:lineRule="auto"/>
        <w:jc w:val="both"/>
        <w:rPr>
          <w:rFonts w:ascii="Book Antiqua" w:hAnsi="Book Antiqua"/>
          <w:b/>
          <w:sz w:val="24"/>
          <w:szCs w:val="24"/>
          <w:lang w:val="en-US"/>
        </w:rPr>
      </w:pPr>
      <w:r w:rsidRPr="008C3A92">
        <w:rPr>
          <w:rFonts w:ascii="Book Antiqua" w:hAnsi="Book Antiqua"/>
          <w:b/>
          <w:sz w:val="24"/>
          <w:szCs w:val="24"/>
          <w:lang w:val="en-US"/>
        </w:rPr>
        <w:t>Table 1</w:t>
      </w:r>
      <w:r>
        <w:rPr>
          <w:rFonts w:ascii="Book Antiqua" w:hAnsi="Book Antiqua"/>
          <w:b/>
          <w:sz w:val="24"/>
          <w:szCs w:val="24"/>
          <w:lang w:val="en-US" w:eastAsia="zh-CN"/>
        </w:rPr>
        <w:t xml:space="preserve"> </w:t>
      </w:r>
      <w:r w:rsidRPr="008C3A92">
        <w:rPr>
          <w:rFonts w:ascii="Book Antiqua" w:hAnsi="Book Antiqua"/>
          <w:b/>
          <w:sz w:val="24"/>
          <w:szCs w:val="24"/>
          <w:lang w:val="en-US"/>
        </w:rPr>
        <w:t xml:space="preserve">Clinical and laboratory characteristics of the study sample </w:t>
      </w:r>
      <w:r w:rsidRPr="008C3A92">
        <w:rPr>
          <w:rFonts w:ascii="Book Antiqua" w:hAnsi="Book Antiqua"/>
          <w:b/>
          <w:i/>
          <w:sz w:val="24"/>
          <w:szCs w:val="24"/>
          <w:lang w:val="en-US"/>
        </w:rPr>
        <w:t>n</w:t>
      </w:r>
      <w:r w:rsidRPr="008C3A92">
        <w:rPr>
          <w:rFonts w:ascii="Book Antiqua" w:hAnsi="Book Antiqua"/>
          <w:b/>
          <w:sz w:val="24"/>
          <w:szCs w:val="24"/>
          <w:lang w:val="en-US"/>
        </w:rPr>
        <w:t xml:space="preserve"> (%)</w:t>
      </w:r>
    </w:p>
    <w:tbl>
      <w:tblPr>
        <w:tblW w:w="0" w:type="auto"/>
        <w:tblBorders>
          <w:top w:val="single" w:sz="4" w:space="0" w:color="auto"/>
          <w:bottom w:val="single" w:sz="4" w:space="0" w:color="auto"/>
        </w:tblBorders>
        <w:tblLook w:val="00A0" w:firstRow="1" w:lastRow="0" w:firstColumn="1" w:lastColumn="0" w:noHBand="0" w:noVBand="0"/>
      </w:tblPr>
      <w:tblGrid>
        <w:gridCol w:w="4489"/>
        <w:gridCol w:w="1890"/>
        <w:gridCol w:w="2599"/>
      </w:tblGrid>
      <w:tr w:rsidR="008A6899" w:rsidRPr="00D5362F" w:rsidTr="00D5362F">
        <w:tc>
          <w:tcPr>
            <w:tcW w:w="4489" w:type="dxa"/>
            <w:tcBorders>
              <w:top w:val="single" w:sz="4" w:space="0" w:color="auto"/>
              <w:bottom w:val="single" w:sz="4" w:space="0" w:color="auto"/>
            </w:tcBorders>
          </w:tcPr>
          <w:p w:rsidR="008A6899" w:rsidRPr="00D5362F" w:rsidRDefault="008A6899" w:rsidP="00D5362F">
            <w:pPr>
              <w:autoSpaceDE w:val="0"/>
              <w:autoSpaceDN w:val="0"/>
              <w:adjustRightInd w:val="0"/>
              <w:snapToGrid w:val="0"/>
              <w:spacing w:after="0" w:line="360" w:lineRule="auto"/>
              <w:jc w:val="both"/>
              <w:rPr>
                <w:rFonts w:ascii="Book Antiqua" w:hAnsi="Book Antiqua"/>
                <w:b/>
                <w:sz w:val="24"/>
                <w:szCs w:val="24"/>
                <w:lang w:val="en-US" w:eastAsia="zh-CN"/>
              </w:rPr>
            </w:pPr>
            <w:r w:rsidRPr="00D5362F">
              <w:rPr>
                <w:rFonts w:ascii="Book Antiqua" w:hAnsi="Book Antiqua"/>
                <w:b/>
                <w:sz w:val="24"/>
                <w:szCs w:val="24"/>
                <w:lang w:val="en-US" w:eastAsia="es-MX"/>
              </w:rPr>
              <w:t>Characteristics</w:t>
            </w:r>
          </w:p>
        </w:tc>
        <w:tc>
          <w:tcPr>
            <w:tcW w:w="4489" w:type="dxa"/>
            <w:gridSpan w:val="2"/>
            <w:tcBorders>
              <w:top w:val="single" w:sz="4" w:space="0" w:color="auto"/>
              <w:bottom w:val="single" w:sz="4" w:space="0" w:color="auto"/>
            </w:tcBorders>
          </w:tcPr>
          <w:p w:rsidR="008A6899" w:rsidRPr="00D5362F" w:rsidRDefault="008A6899" w:rsidP="00D5362F">
            <w:pPr>
              <w:autoSpaceDE w:val="0"/>
              <w:autoSpaceDN w:val="0"/>
              <w:adjustRightInd w:val="0"/>
              <w:snapToGrid w:val="0"/>
              <w:spacing w:after="0" w:line="360" w:lineRule="auto"/>
              <w:jc w:val="center"/>
              <w:rPr>
                <w:rFonts w:ascii="Book Antiqua" w:hAnsi="Book Antiqua"/>
                <w:b/>
                <w:bCs/>
                <w:sz w:val="24"/>
                <w:szCs w:val="24"/>
                <w:lang w:val="en-US" w:eastAsia="zh-CN"/>
              </w:rPr>
            </w:pPr>
            <w:r w:rsidRPr="00D5362F">
              <w:rPr>
                <w:rFonts w:ascii="Book Antiqua" w:hAnsi="Book Antiqua"/>
                <w:b/>
                <w:bCs/>
                <w:sz w:val="24"/>
                <w:szCs w:val="24"/>
                <w:lang w:val="en-US" w:eastAsia="zh-CN"/>
              </w:rPr>
              <w:t>Value</w:t>
            </w:r>
          </w:p>
        </w:tc>
      </w:tr>
      <w:tr w:rsidR="008A6899" w:rsidRPr="00D5362F" w:rsidTr="00D5362F">
        <w:tc>
          <w:tcPr>
            <w:tcW w:w="4489" w:type="dxa"/>
            <w:tcBorders>
              <w:top w:val="single" w:sz="4" w:space="0" w:color="auto"/>
              <w:bottom w:val="nil"/>
            </w:tcBorders>
          </w:tcPr>
          <w:p w:rsidR="008A6899" w:rsidRPr="00D5362F" w:rsidRDefault="008A6899" w:rsidP="00D5362F">
            <w:pPr>
              <w:autoSpaceDE w:val="0"/>
              <w:autoSpaceDN w:val="0"/>
              <w:adjustRightInd w:val="0"/>
              <w:snapToGrid w:val="0"/>
              <w:spacing w:after="0" w:line="360" w:lineRule="auto"/>
              <w:jc w:val="both"/>
              <w:rPr>
                <w:rFonts w:ascii="Book Antiqua" w:hAnsi="Book Antiqua"/>
                <w:sz w:val="24"/>
                <w:szCs w:val="24"/>
                <w:lang w:val="en-US" w:eastAsia="zh-CN"/>
              </w:rPr>
            </w:pPr>
            <w:r w:rsidRPr="00D5362F">
              <w:rPr>
                <w:rFonts w:ascii="Book Antiqua" w:hAnsi="Book Antiqua"/>
                <w:sz w:val="24"/>
                <w:szCs w:val="24"/>
                <w:lang w:val="en-US" w:eastAsia="zh-CN"/>
              </w:rPr>
              <w:t>P</w:t>
            </w:r>
            <w:r w:rsidRPr="00D5362F">
              <w:rPr>
                <w:rFonts w:ascii="Book Antiqua" w:hAnsi="Book Antiqua"/>
                <w:sz w:val="24"/>
                <w:szCs w:val="24"/>
                <w:lang w:val="en-US" w:eastAsia="es-MX"/>
              </w:rPr>
              <w:t xml:space="preserve">atients </w:t>
            </w:r>
            <w:r w:rsidRPr="00D5362F">
              <w:rPr>
                <w:rFonts w:ascii="Book Antiqua" w:hAnsi="Book Antiqua"/>
                <w:sz w:val="24"/>
                <w:szCs w:val="24"/>
                <w:lang w:val="en-US" w:eastAsia="zh-CN"/>
              </w:rPr>
              <w:t>(</w:t>
            </w:r>
            <w:r w:rsidRPr="00D5362F">
              <w:rPr>
                <w:rFonts w:ascii="Book Antiqua" w:hAnsi="Book Antiqua"/>
                <w:i/>
                <w:sz w:val="24"/>
                <w:szCs w:val="24"/>
                <w:lang w:val="en-US" w:eastAsia="zh-CN"/>
              </w:rPr>
              <w:t>n</w:t>
            </w:r>
            <w:r w:rsidRPr="00D5362F">
              <w:rPr>
                <w:rFonts w:ascii="Book Antiqua" w:hAnsi="Book Antiqua"/>
                <w:sz w:val="24"/>
                <w:szCs w:val="24"/>
                <w:lang w:val="en-US" w:eastAsia="zh-CN"/>
              </w:rPr>
              <w:t>)</w:t>
            </w:r>
          </w:p>
        </w:tc>
        <w:tc>
          <w:tcPr>
            <w:tcW w:w="4489" w:type="dxa"/>
            <w:gridSpan w:val="2"/>
            <w:tcBorders>
              <w:top w:val="single" w:sz="4" w:space="0" w:color="auto"/>
              <w:bottom w:val="nil"/>
            </w:tcBorders>
          </w:tcPr>
          <w:p w:rsidR="008A6899" w:rsidRPr="00D5362F" w:rsidRDefault="008A6899" w:rsidP="00D5362F">
            <w:pPr>
              <w:autoSpaceDE w:val="0"/>
              <w:autoSpaceDN w:val="0"/>
              <w:adjustRightInd w:val="0"/>
              <w:snapToGrid w:val="0"/>
              <w:spacing w:after="0" w:line="360" w:lineRule="auto"/>
              <w:jc w:val="center"/>
              <w:rPr>
                <w:rFonts w:ascii="Book Antiqua" w:hAnsi="Book Antiqua"/>
                <w:bCs/>
                <w:sz w:val="24"/>
                <w:szCs w:val="24"/>
                <w:lang w:val="en-US" w:eastAsia="es-MX"/>
              </w:rPr>
            </w:pPr>
            <w:r w:rsidRPr="00D5362F">
              <w:rPr>
                <w:rFonts w:ascii="Book Antiqua" w:hAnsi="Book Antiqua"/>
                <w:bCs/>
                <w:sz w:val="24"/>
                <w:szCs w:val="24"/>
                <w:lang w:val="en-US" w:eastAsia="es-MX"/>
              </w:rPr>
              <w:t>91</w:t>
            </w:r>
            <w:r w:rsidRPr="00D5362F">
              <w:rPr>
                <w:rFonts w:ascii="Book Antiqua" w:hAnsi="Book Antiqua"/>
                <w:bCs/>
                <w:sz w:val="24"/>
                <w:szCs w:val="24"/>
                <w:lang w:val="en-US" w:eastAsia="zh-CN"/>
              </w:rPr>
              <w:t xml:space="preserve"> </w:t>
            </w:r>
            <w:r w:rsidRPr="00D5362F">
              <w:rPr>
                <w:rFonts w:ascii="Book Antiqua" w:hAnsi="Book Antiqua"/>
                <w:bCs/>
                <w:sz w:val="24"/>
                <w:szCs w:val="24"/>
                <w:lang w:val="en-US" w:eastAsia="es-MX"/>
              </w:rPr>
              <w:t>(100)</w:t>
            </w:r>
          </w:p>
        </w:tc>
      </w:tr>
      <w:tr w:rsidR="008A6899" w:rsidRPr="00D5362F" w:rsidTr="00D5362F">
        <w:tc>
          <w:tcPr>
            <w:tcW w:w="4489" w:type="dxa"/>
            <w:tcBorders>
              <w:top w:val="nil"/>
              <w:bottom w:val="nil"/>
            </w:tcBorders>
          </w:tcPr>
          <w:p w:rsidR="008A6899" w:rsidRPr="00D5362F" w:rsidRDefault="008A6899" w:rsidP="00D5362F">
            <w:pPr>
              <w:autoSpaceDE w:val="0"/>
              <w:autoSpaceDN w:val="0"/>
              <w:adjustRightInd w:val="0"/>
              <w:snapToGrid w:val="0"/>
              <w:spacing w:after="0" w:line="360" w:lineRule="auto"/>
              <w:jc w:val="both"/>
              <w:rPr>
                <w:rFonts w:ascii="Book Antiqua" w:hAnsi="Book Antiqua"/>
                <w:sz w:val="24"/>
                <w:szCs w:val="24"/>
                <w:lang w:val="en-US" w:eastAsia="es-MX"/>
              </w:rPr>
            </w:pPr>
            <w:r w:rsidRPr="00D5362F">
              <w:rPr>
                <w:rFonts w:ascii="Book Antiqua" w:hAnsi="Book Antiqua"/>
                <w:sz w:val="24"/>
                <w:szCs w:val="24"/>
                <w:lang w:val="en-US" w:eastAsia="es-MX"/>
              </w:rPr>
              <w:t>Age (yr)</w:t>
            </w:r>
          </w:p>
        </w:tc>
        <w:tc>
          <w:tcPr>
            <w:tcW w:w="4489" w:type="dxa"/>
            <w:gridSpan w:val="2"/>
            <w:tcBorders>
              <w:top w:val="nil"/>
              <w:bottom w:val="nil"/>
            </w:tcBorders>
          </w:tcPr>
          <w:p w:rsidR="008A6899" w:rsidRPr="00D5362F" w:rsidRDefault="008A6899" w:rsidP="00D5362F">
            <w:pPr>
              <w:autoSpaceDE w:val="0"/>
              <w:autoSpaceDN w:val="0"/>
              <w:adjustRightInd w:val="0"/>
              <w:snapToGrid w:val="0"/>
              <w:spacing w:after="0" w:line="360" w:lineRule="auto"/>
              <w:jc w:val="center"/>
              <w:rPr>
                <w:rFonts w:ascii="Book Antiqua" w:hAnsi="Book Antiqua"/>
                <w:bCs/>
                <w:sz w:val="24"/>
                <w:szCs w:val="24"/>
                <w:lang w:val="en-US" w:eastAsia="es-MX"/>
              </w:rPr>
            </w:pPr>
            <w:r w:rsidRPr="00D5362F">
              <w:rPr>
                <w:rFonts w:ascii="Book Antiqua" w:hAnsi="Book Antiqua"/>
                <w:bCs/>
                <w:sz w:val="24"/>
                <w:szCs w:val="24"/>
                <w:lang w:val="en-US" w:eastAsia="es-MX"/>
              </w:rPr>
              <w:t>53.75 ± 12</w:t>
            </w:r>
          </w:p>
        </w:tc>
      </w:tr>
      <w:tr w:rsidR="008A6899" w:rsidRPr="00D5362F" w:rsidTr="00D5362F">
        <w:trPr>
          <w:trHeight w:val="300"/>
        </w:trPr>
        <w:tc>
          <w:tcPr>
            <w:tcW w:w="4489" w:type="dxa"/>
            <w:tcBorders>
              <w:top w:val="nil"/>
              <w:bottom w:val="nil"/>
            </w:tcBorders>
          </w:tcPr>
          <w:p w:rsidR="008A6899" w:rsidRPr="00D5362F" w:rsidRDefault="008A6899" w:rsidP="00D5362F">
            <w:pPr>
              <w:autoSpaceDE w:val="0"/>
              <w:autoSpaceDN w:val="0"/>
              <w:adjustRightInd w:val="0"/>
              <w:snapToGrid w:val="0"/>
              <w:spacing w:after="0" w:line="360" w:lineRule="auto"/>
              <w:jc w:val="both"/>
              <w:rPr>
                <w:rFonts w:ascii="Book Antiqua" w:hAnsi="Book Antiqua"/>
                <w:sz w:val="24"/>
                <w:szCs w:val="24"/>
                <w:lang w:val="en-US" w:eastAsia="es-MX"/>
              </w:rPr>
            </w:pPr>
            <w:r w:rsidRPr="00D5362F">
              <w:rPr>
                <w:rFonts w:ascii="Book Antiqua" w:hAnsi="Book Antiqua"/>
                <w:sz w:val="24"/>
                <w:szCs w:val="24"/>
                <w:lang w:val="en-US" w:eastAsia="es-MX"/>
              </w:rPr>
              <w:t>Cirrhosis etiology</w:t>
            </w:r>
          </w:p>
        </w:tc>
        <w:tc>
          <w:tcPr>
            <w:tcW w:w="4489" w:type="dxa"/>
            <w:gridSpan w:val="2"/>
            <w:tcBorders>
              <w:top w:val="nil"/>
              <w:bottom w:val="nil"/>
            </w:tcBorders>
          </w:tcPr>
          <w:p w:rsidR="008A6899" w:rsidRPr="00D5362F" w:rsidRDefault="008A6899" w:rsidP="00D5362F">
            <w:pPr>
              <w:autoSpaceDE w:val="0"/>
              <w:autoSpaceDN w:val="0"/>
              <w:adjustRightInd w:val="0"/>
              <w:snapToGrid w:val="0"/>
              <w:spacing w:after="0" w:line="360" w:lineRule="auto"/>
              <w:jc w:val="center"/>
              <w:rPr>
                <w:rFonts w:ascii="Book Antiqua" w:hAnsi="Book Antiqua"/>
                <w:bCs/>
                <w:sz w:val="24"/>
                <w:szCs w:val="24"/>
                <w:lang w:val="en-US" w:eastAsia="es-MX"/>
              </w:rPr>
            </w:pPr>
          </w:p>
        </w:tc>
      </w:tr>
      <w:tr w:rsidR="008A6899" w:rsidRPr="00D5362F" w:rsidTr="00D5362F">
        <w:trPr>
          <w:trHeight w:val="585"/>
        </w:trPr>
        <w:tc>
          <w:tcPr>
            <w:tcW w:w="4489" w:type="dxa"/>
            <w:tcBorders>
              <w:top w:val="nil"/>
              <w:bottom w:val="nil"/>
            </w:tcBorders>
          </w:tcPr>
          <w:p w:rsidR="008A6899" w:rsidRPr="00D5362F" w:rsidRDefault="008A6899" w:rsidP="00D5362F">
            <w:pPr>
              <w:autoSpaceDE w:val="0"/>
              <w:autoSpaceDN w:val="0"/>
              <w:adjustRightInd w:val="0"/>
              <w:snapToGrid w:val="0"/>
              <w:spacing w:after="0" w:line="360" w:lineRule="auto"/>
              <w:ind w:left="708"/>
              <w:jc w:val="both"/>
              <w:rPr>
                <w:rFonts w:ascii="Book Antiqua" w:hAnsi="Book Antiqua"/>
                <w:sz w:val="24"/>
                <w:szCs w:val="24"/>
                <w:lang w:val="en-US" w:eastAsia="es-MX"/>
              </w:rPr>
            </w:pPr>
            <w:r w:rsidRPr="00D5362F">
              <w:rPr>
                <w:rFonts w:ascii="Book Antiqua" w:hAnsi="Book Antiqua"/>
                <w:sz w:val="24"/>
                <w:szCs w:val="24"/>
                <w:lang w:val="en-US" w:eastAsia="es-MX"/>
              </w:rPr>
              <w:t>Alcoholism</w:t>
            </w:r>
          </w:p>
        </w:tc>
        <w:tc>
          <w:tcPr>
            <w:tcW w:w="4489" w:type="dxa"/>
            <w:gridSpan w:val="2"/>
            <w:tcBorders>
              <w:top w:val="nil"/>
              <w:bottom w:val="nil"/>
            </w:tcBorders>
          </w:tcPr>
          <w:p w:rsidR="008A6899" w:rsidRPr="00D5362F" w:rsidRDefault="008A6899" w:rsidP="00D5362F">
            <w:pPr>
              <w:autoSpaceDE w:val="0"/>
              <w:autoSpaceDN w:val="0"/>
              <w:adjustRightInd w:val="0"/>
              <w:snapToGrid w:val="0"/>
              <w:spacing w:after="0" w:line="360" w:lineRule="auto"/>
              <w:jc w:val="center"/>
              <w:rPr>
                <w:rFonts w:ascii="Book Antiqua" w:hAnsi="Book Antiqua"/>
                <w:bCs/>
                <w:sz w:val="24"/>
                <w:szCs w:val="24"/>
                <w:lang w:val="en-US" w:eastAsia="es-MX"/>
              </w:rPr>
            </w:pPr>
            <w:r w:rsidRPr="00D5362F">
              <w:rPr>
                <w:rFonts w:ascii="Book Antiqua" w:hAnsi="Book Antiqua"/>
                <w:bCs/>
                <w:sz w:val="24"/>
                <w:szCs w:val="24"/>
                <w:lang w:val="en-US" w:eastAsia="es-MX"/>
              </w:rPr>
              <w:t>48</w:t>
            </w:r>
            <w:r w:rsidRPr="00D5362F">
              <w:rPr>
                <w:rFonts w:ascii="Book Antiqua" w:hAnsi="Book Antiqua"/>
                <w:bCs/>
                <w:sz w:val="24"/>
                <w:szCs w:val="24"/>
                <w:lang w:val="en-US" w:eastAsia="zh-CN"/>
              </w:rPr>
              <w:t xml:space="preserve"> </w:t>
            </w:r>
            <w:r w:rsidRPr="00D5362F">
              <w:rPr>
                <w:rFonts w:ascii="Book Antiqua" w:hAnsi="Book Antiqua"/>
                <w:bCs/>
                <w:sz w:val="24"/>
                <w:szCs w:val="24"/>
                <w:lang w:val="en-US" w:eastAsia="es-MX"/>
              </w:rPr>
              <w:t>(52.7)</w:t>
            </w:r>
          </w:p>
        </w:tc>
      </w:tr>
      <w:tr w:rsidR="008A6899" w:rsidRPr="00D5362F" w:rsidTr="00D5362F">
        <w:trPr>
          <w:trHeight w:val="345"/>
        </w:trPr>
        <w:tc>
          <w:tcPr>
            <w:tcW w:w="4489" w:type="dxa"/>
            <w:tcBorders>
              <w:top w:val="nil"/>
              <w:bottom w:val="nil"/>
            </w:tcBorders>
          </w:tcPr>
          <w:p w:rsidR="008A6899" w:rsidRPr="00D5362F" w:rsidRDefault="008A6899" w:rsidP="00D5362F">
            <w:pPr>
              <w:autoSpaceDE w:val="0"/>
              <w:autoSpaceDN w:val="0"/>
              <w:adjustRightInd w:val="0"/>
              <w:snapToGrid w:val="0"/>
              <w:spacing w:after="0" w:line="360" w:lineRule="auto"/>
              <w:ind w:left="708"/>
              <w:jc w:val="both"/>
              <w:rPr>
                <w:rFonts w:ascii="Book Antiqua" w:hAnsi="Book Antiqua"/>
                <w:sz w:val="24"/>
                <w:szCs w:val="24"/>
                <w:lang w:val="en-US" w:eastAsia="es-MX"/>
              </w:rPr>
            </w:pPr>
            <w:r w:rsidRPr="00D5362F">
              <w:rPr>
                <w:rFonts w:ascii="Book Antiqua" w:hAnsi="Book Antiqua"/>
                <w:sz w:val="24"/>
                <w:szCs w:val="24"/>
                <w:lang w:val="en-US" w:eastAsia="es-MX"/>
              </w:rPr>
              <w:t>Viral hepatitis</w:t>
            </w:r>
          </w:p>
        </w:tc>
        <w:tc>
          <w:tcPr>
            <w:tcW w:w="4489" w:type="dxa"/>
            <w:gridSpan w:val="2"/>
            <w:tcBorders>
              <w:top w:val="nil"/>
              <w:bottom w:val="nil"/>
            </w:tcBorders>
          </w:tcPr>
          <w:p w:rsidR="008A6899" w:rsidRPr="00D5362F" w:rsidRDefault="008A6899" w:rsidP="00D5362F">
            <w:pPr>
              <w:autoSpaceDE w:val="0"/>
              <w:autoSpaceDN w:val="0"/>
              <w:adjustRightInd w:val="0"/>
              <w:snapToGrid w:val="0"/>
              <w:spacing w:after="0" w:line="360" w:lineRule="auto"/>
              <w:jc w:val="center"/>
              <w:rPr>
                <w:rFonts w:ascii="Book Antiqua" w:hAnsi="Book Antiqua"/>
                <w:bCs/>
                <w:sz w:val="24"/>
                <w:szCs w:val="24"/>
                <w:lang w:val="en-US" w:eastAsia="es-MX"/>
              </w:rPr>
            </w:pPr>
            <w:r w:rsidRPr="00D5362F">
              <w:rPr>
                <w:rFonts w:ascii="Book Antiqua" w:hAnsi="Book Antiqua"/>
                <w:bCs/>
                <w:sz w:val="24"/>
                <w:szCs w:val="24"/>
                <w:lang w:val="en-US" w:eastAsia="es-MX"/>
              </w:rPr>
              <w:t>24</w:t>
            </w:r>
            <w:r w:rsidRPr="00D5362F">
              <w:rPr>
                <w:rFonts w:ascii="Book Antiqua" w:hAnsi="Book Antiqua"/>
                <w:bCs/>
                <w:sz w:val="24"/>
                <w:szCs w:val="24"/>
                <w:lang w:val="en-US" w:eastAsia="zh-CN"/>
              </w:rPr>
              <w:t xml:space="preserve"> </w:t>
            </w:r>
            <w:r w:rsidRPr="00D5362F">
              <w:rPr>
                <w:rFonts w:ascii="Book Antiqua" w:hAnsi="Book Antiqua"/>
                <w:bCs/>
                <w:sz w:val="24"/>
                <w:szCs w:val="24"/>
                <w:lang w:val="en-US" w:eastAsia="es-MX"/>
              </w:rPr>
              <w:t>(26.3)</w:t>
            </w:r>
          </w:p>
        </w:tc>
      </w:tr>
      <w:tr w:rsidR="008A6899" w:rsidRPr="00D5362F" w:rsidTr="00D5362F">
        <w:trPr>
          <w:trHeight w:val="345"/>
        </w:trPr>
        <w:tc>
          <w:tcPr>
            <w:tcW w:w="4489" w:type="dxa"/>
            <w:tcBorders>
              <w:top w:val="nil"/>
              <w:bottom w:val="nil"/>
            </w:tcBorders>
          </w:tcPr>
          <w:p w:rsidR="008A6899" w:rsidRPr="00D5362F" w:rsidRDefault="008A6899" w:rsidP="00D5362F">
            <w:pPr>
              <w:autoSpaceDE w:val="0"/>
              <w:autoSpaceDN w:val="0"/>
              <w:adjustRightInd w:val="0"/>
              <w:snapToGrid w:val="0"/>
              <w:spacing w:after="0" w:line="360" w:lineRule="auto"/>
              <w:ind w:left="708"/>
              <w:jc w:val="both"/>
              <w:rPr>
                <w:rFonts w:ascii="Book Antiqua" w:hAnsi="Book Antiqua"/>
                <w:sz w:val="24"/>
                <w:szCs w:val="24"/>
                <w:lang w:val="en-US" w:eastAsia="es-MX"/>
              </w:rPr>
            </w:pPr>
            <w:r w:rsidRPr="00D5362F">
              <w:rPr>
                <w:rFonts w:ascii="Book Antiqua" w:hAnsi="Book Antiqua"/>
                <w:sz w:val="24"/>
                <w:szCs w:val="24"/>
                <w:lang w:val="en-US" w:eastAsia="es-MX"/>
              </w:rPr>
              <w:t>Viral hepatitis</w:t>
            </w:r>
            <w:r w:rsidRPr="00D5362F">
              <w:rPr>
                <w:rFonts w:ascii="Book Antiqua" w:hAnsi="Book Antiqua"/>
                <w:sz w:val="24"/>
                <w:szCs w:val="24"/>
                <w:lang w:val="en-US" w:eastAsia="zh-CN"/>
              </w:rPr>
              <w:t xml:space="preserve"> </w:t>
            </w:r>
            <w:r w:rsidRPr="00D5362F">
              <w:rPr>
                <w:rFonts w:ascii="Book Antiqua" w:hAnsi="Book Antiqua"/>
                <w:sz w:val="24"/>
                <w:szCs w:val="24"/>
                <w:lang w:val="en-US" w:eastAsia="es-MX"/>
              </w:rPr>
              <w:t>+ alcoholism</w:t>
            </w:r>
          </w:p>
        </w:tc>
        <w:tc>
          <w:tcPr>
            <w:tcW w:w="4489" w:type="dxa"/>
            <w:gridSpan w:val="2"/>
            <w:tcBorders>
              <w:top w:val="nil"/>
              <w:bottom w:val="nil"/>
            </w:tcBorders>
          </w:tcPr>
          <w:p w:rsidR="008A6899" w:rsidRPr="00D5362F" w:rsidRDefault="008A6899" w:rsidP="00D5362F">
            <w:pPr>
              <w:autoSpaceDE w:val="0"/>
              <w:autoSpaceDN w:val="0"/>
              <w:adjustRightInd w:val="0"/>
              <w:snapToGrid w:val="0"/>
              <w:spacing w:after="0" w:line="360" w:lineRule="auto"/>
              <w:jc w:val="center"/>
              <w:rPr>
                <w:rFonts w:ascii="Book Antiqua" w:hAnsi="Book Antiqua"/>
                <w:bCs/>
                <w:sz w:val="24"/>
                <w:szCs w:val="24"/>
                <w:lang w:val="en-US" w:eastAsia="es-MX"/>
              </w:rPr>
            </w:pPr>
            <w:r w:rsidRPr="00D5362F">
              <w:rPr>
                <w:rFonts w:ascii="Book Antiqua" w:hAnsi="Book Antiqua"/>
                <w:bCs/>
                <w:sz w:val="24"/>
                <w:szCs w:val="24"/>
                <w:lang w:val="en-US" w:eastAsia="es-MX"/>
              </w:rPr>
              <w:t>3</w:t>
            </w:r>
            <w:r w:rsidRPr="00D5362F">
              <w:rPr>
                <w:rFonts w:ascii="Book Antiqua" w:hAnsi="Book Antiqua"/>
                <w:bCs/>
                <w:sz w:val="24"/>
                <w:szCs w:val="24"/>
                <w:lang w:val="en-US" w:eastAsia="zh-CN"/>
              </w:rPr>
              <w:t xml:space="preserve"> </w:t>
            </w:r>
            <w:r w:rsidRPr="00D5362F">
              <w:rPr>
                <w:rFonts w:ascii="Book Antiqua" w:hAnsi="Book Antiqua"/>
                <w:bCs/>
                <w:sz w:val="24"/>
                <w:szCs w:val="24"/>
                <w:lang w:val="en-US" w:eastAsia="es-MX"/>
              </w:rPr>
              <w:t>(3.2)</w:t>
            </w:r>
          </w:p>
        </w:tc>
      </w:tr>
      <w:tr w:rsidR="008A6899" w:rsidRPr="00D5362F" w:rsidTr="00D5362F">
        <w:trPr>
          <w:trHeight w:val="1065"/>
        </w:trPr>
        <w:tc>
          <w:tcPr>
            <w:tcW w:w="4489" w:type="dxa"/>
            <w:tcBorders>
              <w:top w:val="nil"/>
              <w:bottom w:val="nil"/>
            </w:tcBorders>
          </w:tcPr>
          <w:p w:rsidR="008A6899" w:rsidRPr="00D5362F" w:rsidRDefault="008A6899" w:rsidP="00D5362F">
            <w:pPr>
              <w:autoSpaceDE w:val="0"/>
              <w:autoSpaceDN w:val="0"/>
              <w:adjustRightInd w:val="0"/>
              <w:snapToGrid w:val="0"/>
              <w:spacing w:after="0" w:line="360" w:lineRule="auto"/>
              <w:ind w:left="708"/>
              <w:jc w:val="both"/>
              <w:rPr>
                <w:rFonts w:ascii="Book Antiqua" w:hAnsi="Book Antiqua"/>
                <w:sz w:val="24"/>
                <w:szCs w:val="24"/>
                <w:lang w:val="en-US" w:eastAsia="es-MX"/>
              </w:rPr>
            </w:pPr>
            <w:r w:rsidRPr="00D5362F">
              <w:rPr>
                <w:rFonts w:ascii="Book Antiqua" w:hAnsi="Book Antiqua"/>
                <w:sz w:val="24"/>
                <w:szCs w:val="24"/>
                <w:lang w:val="en-US" w:eastAsia="es-MX"/>
              </w:rPr>
              <w:t>Other</w:t>
            </w:r>
          </w:p>
          <w:p w:rsidR="008A6899" w:rsidRPr="00D5362F" w:rsidRDefault="008A6899" w:rsidP="00D5362F">
            <w:pPr>
              <w:autoSpaceDE w:val="0"/>
              <w:autoSpaceDN w:val="0"/>
              <w:adjustRightInd w:val="0"/>
              <w:snapToGrid w:val="0"/>
              <w:spacing w:after="0" w:line="360" w:lineRule="auto"/>
              <w:jc w:val="both"/>
              <w:rPr>
                <w:rFonts w:ascii="Book Antiqua" w:hAnsi="Book Antiqua"/>
                <w:sz w:val="24"/>
                <w:szCs w:val="24"/>
                <w:lang w:val="en-US" w:eastAsia="es-MX"/>
              </w:rPr>
            </w:pPr>
          </w:p>
        </w:tc>
        <w:tc>
          <w:tcPr>
            <w:tcW w:w="4489" w:type="dxa"/>
            <w:gridSpan w:val="2"/>
            <w:tcBorders>
              <w:top w:val="nil"/>
              <w:bottom w:val="nil"/>
            </w:tcBorders>
          </w:tcPr>
          <w:p w:rsidR="008A6899" w:rsidRPr="00D5362F" w:rsidRDefault="008A6899" w:rsidP="00D5362F">
            <w:pPr>
              <w:autoSpaceDE w:val="0"/>
              <w:autoSpaceDN w:val="0"/>
              <w:adjustRightInd w:val="0"/>
              <w:snapToGrid w:val="0"/>
              <w:spacing w:after="0" w:line="360" w:lineRule="auto"/>
              <w:jc w:val="center"/>
              <w:rPr>
                <w:rFonts w:ascii="Book Antiqua" w:hAnsi="Book Antiqua"/>
                <w:bCs/>
                <w:sz w:val="24"/>
                <w:szCs w:val="24"/>
                <w:lang w:val="en-US" w:eastAsia="es-MX"/>
              </w:rPr>
            </w:pPr>
            <w:r w:rsidRPr="00D5362F">
              <w:rPr>
                <w:rFonts w:ascii="Book Antiqua" w:hAnsi="Book Antiqua"/>
                <w:bCs/>
                <w:sz w:val="24"/>
                <w:szCs w:val="24"/>
                <w:lang w:val="en-US" w:eastAsia="es-MX"/>
              </w:rPr>
              <w:t>16</w:t>
            </w:r>
            <w:r w:rsidRPr="00D5362F">
              <w:rPr>
                <w:rFonts w:ascii="Book Antiqua" w:hAnsi="Book Antiqua"/>
                <w:bCs/>
                <w:sz w:val="24"/>
                <w:szCs w:val="24"/>
                <w:lang w:val="en-US" w:eastAsia="zh-CN"/>
              </w:rPr>
              <w:t xml:space="preserve"> </w:t>
            </w:r>
            <w:r w:rsidRPr="00D5362F">
              <w:rPr>
                <w:rFonts w:ascii="Book Antiqua" w:hAnsi="Book Antiqua"/>
                <w:bCs/>
                <w:sz w:val="24"/>
                <w:szCs w:val="24"/>
                <w:lang w:val="en-US" w:eastAsia="es-MX"/>
              </w:rPr>
              <w:t>(17.5)</w:t>
            </w:r>
          </w:p>
        </w:tc>
      </w:tr>
      <w:tr w:rsidR="008A6899" w:rsidRPr="00D5362F" w:rsidTr="00D5362F">
        <w:trPr>
          <w:trHeight w:val="390"/>
        </w:trPr>
        <w:tc>
          <w:tcPr>
            <w:tcW w:w="4489" w:type="dxa"/>
            <w:vMerge w:val="restart"/>
            <w:tcBorders>
              <w:top w:val="nil"/>
              <w:bottom w:val="nil"/>
              <w:right w:val="nil"/>
            </w:tcBorders>
          </w:tcPr>
          <w:p w:rsidR="008A6899" w:rsidRPr="00D5362F" w:rsidRDefault="008A6899" w:rsidP="00D5362F">
            <w:pPr>
              <w:autoSpaceDE w:val="0"/>
              <w:autoSpaceDN w:val="0"/>
              <w:adjustRightInd w:val="0"/>
              <w:snapToGrid w:val="0"/>
              <w:spacing w:after="0" w:line="360" w:lineRule="auto"/>
              <w:jc w:val="both"/>
              <w:rPr>
                <w:rFonts w:ascii="Book Antiqua" w:hAnsi="Book Antiqua"/>
                <w:sz w:val="24"/>
                <w:szCs w:val="24"/>
                <w:lang w:val="en-US" w:eastAsia="zh-CN"/>
              </w:rPr>
            </w:pPr>
            <w:r w:rsidRPr="00D5362F">
              <w:rPr>
                <w:rFonts w:ascii="Book Antiqua" w:hAnsi="Book Antiqua"/>
                <w:sz w:val="24"/>
                <w:szCs w:val="24"/>
                <w:lang w:val="en-US" w:eastAsia="es-MX"/>
              </w:rPr>
              <w:t>Grading of varices</w:t>
            </w:r>
          </w:p>
        </w:tc>
        <w:tc>
          <w:tcPr>
            <w:tcW w:w="1890" w:type="dxa"/>
            <w:tcBorders>
              <w:top w:val="nil"/>
              <w:left w:val="nil"/>
              <w:bottom w:val="nil"/>
              <w:right w:val="nil"/>
            </w:tcBorders>
          </w:tcPr>
          <w:p w:rsidR="008A6899" w:rsidRPr="00D5362F" w:rsidRDefault="008A6899" w:rsidP="00D5362F">
            <w:pPr>
              <w:autoSpaceDE w:val="0"/>
              <w:autoSpaceDN w:val="0"/>
              <w:adjustRightInd w:val="0"/>
              <w:snapToGrid w:val="0"/>
              <w:spacing w:after="0" w:line="360" w:lineRule="auto"/>
              <w:jc w:val="center"/>
              <w:rPr>
                <w:rFonts w:ascii="Book Antiqua" w:hAnsi="Book Antiqua"/>
                <w:bCs/>
                <w:sz w:val="24"/>
                <w:szCs w:val="24"/>
                <w:lang w:val="en-US" w:eastAsia="es-MX"/>
              </w:rPr>
            </w:pPr>
            <w:r w:rsidRPr="00D5362F">
              <w:rPr>
                <w:rFonts w:ascii="Book Antiqua" w:hAnsi="Book Antiqua"/>
                <w:bCs/>
                <w:sz w:val="24"/>
                <w:szCs w:val="24"/>
                <w:lang w:val="en-US" w:eastAsia="es-MX"/>
              </w:rPr>
              <w:t>I</w:t>
            </w:r>
          </w:p>
        </w:tc>
        <w:tc>
          <w:tcPr>
            <w:tcW w:w="2599" w:type="dxa"/>
            <w:tcBorders>
              <w:top w:val="nil"/>
              <w:left w:val="nil"/>
              <w:bottom w:val="nil"/>
            </w:tcBorders>
          </w:tcPr>
          <w:p w:rsidR="008A6899" w:rsidRPr="00D5362F" w:rsidRDefault="008A6899" w:rsidP="00D5362F">
            <w:pPr>
              <w:spacing w:after="0" w:line="240" w:lineRule="auto"/>
              <w:jc w:val="center"/>
              <w:rPr>
                <w:rFonts w:ascii="Book Antiqua" w:hAnsi="Book Antiqua"/>
                <w:bCs/>
                <w:sz w:val="24"/>
                <w:szCs w:val="24"/>
                <w:lang w:val="en-US" w:eastAsia="es-MX"/>
              </w:rPr>
            </w:pPr>
            <w:r w:rsidRPr="00D5362F">
              <w:rPr>
                <w:rFonts w:ascii="Book Antiqua" w:hAnsi="Book Antiqua"/>
                <w:bCs/>
                <w:sz w:val="24"/>
                <w:szCs w:val="24"/>
                <w:lang w:val="en-US" w:eastAsia="es-MX"/>
              </w:rPr>
              <w:t>21</w:t>
            </w:r>
            <w:r w:rsidRPr="00D5362F">
              <w:rPr>
                <w:rFonts w:ascii="Book Antiqua" w:hAnsi="Book Antiqua"/>
                <w:bCs/>
                <w:sz w:val="24"/>
                <w:szCs w:val="24"/>
                <w:lang w:val="en-US" w:eastAsia="zh-CN"/>
              </w:rPr>
              <w:t xml:space="preserve"> </w:t>
            </w:r>
            <w:r w:rsidRPr="00D5362F">
              <w:rPr>
                <w:rFonts w:ascii="Book Antiqua" w:hAnsi="Book Antiqua"/>
                <w:bCs/>
                <w:sz w:val="24"/>
                <w:szCs w:val="24"/>
                <w:lang w:val="en-US" w:eastAsia="es-MX"/>
              </w:rPr>
              <w:t>(23)</w:t>
            </w:r>
          </w:p>
          <w:p w:rsidR="008A6899" w:rsidRPr="00D5362F" w:rsidRDefault="008A6899" w:rsidP="00D5362F">
            <w:pPr>
              <w:autoSpaceDE w:val="0"/>
              <w:autoSpaceDN w:val="0"/>
              <w:adjustRightInd w:val="0"/>
              <w:snapToGrid w:val="0"/>
              <w:spacing w:after="0" w:line="360" w:lineRule="auto"/>
              <w:jc w:val="center"/>
              <w:rPr>
                <w:rFonts w:ascii="Book Antiqua" w:hAnsi="Book Antiqua"/>
                <w:bCs/>
                <w:sz w:val="24"/>
                <w:szCs w:val="24"/>
                <w:lang w:val="en-US" w:eastAsia="es-MX"/>
              </w:rPr>
            </w:pPr>
          </w:p>
        </w:tc>
      </w:tr>
      <w:tr w:rsidR="008A6899" w:rsidRPr="00D5362F" w:rsidTr="00D5362F">
        <w:trPr>
          <w:trHeight w:val="435"/>
        </w:trPr>
        <w:tc>
          <w:tcPr>
            <w:tcW w:w="4489" w:type="dxa"/>
            <w:vMerge/>
            <w:tcBorders>
              <w:top w:val="nil"/>
              <w:bottom w:val="nil"/>
              <w:right w:val="nil"/>
            </w:tcBorders>
          </w:tcPr>
          <w:p w:rsidR="008A6899" w:rsidRPr="00D5362F" w:rsidRDefault="008A6899" w:rsidP="00D5362F">
            <w:pPr>
              <w:autoSpaceDE w:val="0"/>
              <w:autoSpaceDN w:val="0"/>
              <w:adjustRightInd w:val="0"/>
              <w:snapToGrid w:val="0"/>
              <w:spacing w:after="0" w:line="360" w:lineRule="auto"/>
              <w:jc w:val="both"/>
              <w:rPr>
                <w:rFonts w:ascii="Book Antiqua" w:hAnsi="Book Antiqua"/>
                <w:sz w:val="24"/>
                <w:szCs w:val="24"/>
                <w:lang w:val="en-US" w:eastAsia="es-MX"/>
              </w:rPr>
            </w:pPr>
          </w:p>
        </w:tc>
        <w:tc>
          <w:tcPr>
            <w:tcW w:w="1890" w:type="dxa"/>
            <w:tcBorders>
              <w:top w:val="nil"/>
              <w:left w:val="nil"/>
              <w:bottom w:val="nil"/>
              <w:right w:val="nil"/>
            </w:tcBorders>
          </w:tcPr>
          <w:p w:rsidR="008A6899" w:rsidRPr="00D5362F" w:rsidRDefault="008A6899" w:rsidP="00D5362F">
            <w:pPr>
              <w:autoSpaceDE w:val="0"/>
              <w:autoSpaceDN w:val="0"/>
              <w:adjustRightInd w:val="0"/>
              <w:snapToGrid w:val="0"/>
              <w:spacing w:after="0" w:line="360" w:lineRule="auto"/>
              <w:jc w:val="center"/>
              <w:rPr>
                <w:rFonts w:ascii="Book Antiqua" w:hAnsi="Book Antiqua"/>
                <w:bCs/>
                <w:sz w:val="24"/>
                <w:szCs w:val="24"/>
                <w:lang w:val="en-US" w:eastAsia="es-MX"/>
              </w:rPr>
            </w:pPr>
            <w:r w:rsidRPr="00D5362F">
              <w:rPr>
                <w:rFonts w:ascii="Book Antiqua" w:hAnsi="Book Antiqua"/>
                <w:bCs/>
                <w:sz w:val="24"/>
                <w:szCs w:val="24"/>
                <w:lang w:val="en-US" w:eastAsia="es-MX"/>
              </w:rPr>
              <w:t>II</w:t>
            </w:r>
          </w:p>
        </w:tc>
        <w:tc>
          <w:tcPr>
            <w:tcW w:w="2599" w:type="dxa"/>
            <w:tcBorders>
              <w:top w:val="nil"/>
              <w:left w:val="nil"/>
              <w:bottom w:val="nil"/>
            </w:tcBorders>
          </w:tcPr>
          <w:p w:rsidR="008A6899" w:rsidRPr="00D5362F" w:rsidRDefault="008A6899" w:rsidP="00D5362F">
            <w:pPr>
              <w:autoSpaceDE w:val="0"/>
              <w:autoSpaceDN w:val="0"/>
              <w:adjustRightInd w:val="0"/>
              <w:snapToGrid w:val="0"/>
              <w:spacing w:after="0" w:line="360" w:lineRule="auto"/>
              <w:jc w:val="center"/>
              <w:rPr>
                <w:rFonts w:ascii="Book Antiqua" w:hAnsi="Book Antiqua"/>
                <w:bCs/>
                <w:sz w:val="24"/>
                <w:szCs w:val="24"/>
                <w:lang w:val="en-US" w:eastAsia="es-MX"/>
              </w:rPr>
            </w:pPr>
            <w:r w:rsidRPr="00D5362F">
              <w:rPr>
                <w:rFonts w:ascii="Book Antiqua" w:hAnsi="Book Antiqua"/>
                <w:bCs/>
                <w:sz w:val="24"/>
                <w:szCs w:val="24"/>
                <w:lang w:val="en-US" w:eastAsia="es-MX"/>
              </w:rPr>
              <w:t>30</w:t>
            </w:r>
            <w:r w:rsidRPr="00D5362F">
              <w:rPr>
                <w:rFonts w:ascii="Book Antiqua" w:hAnsi="Book Antiqua"/>
                <w:bCs/>
                <w:sz w:val="24"/>
                <w:szCs w:val="24"/>
                <w:lang w:val="en-US" w:eastAsia="zh-CN"/>
              </w:rPr>
              <w:t xml:space="preserve"> </w:t>
            </w:r>
            <w:r w:rsidRPr="00D5362F">
              <w:rPr>
                <w:rFonts w:ascii="Book Antiqua" w:hAnsi="Book Antiqua"/>
                <w:bCs/>
                <w:sz w:val="24"/>
                <w:szCs w:val="24"/>
                <w:lang w:val="en-US" w:eastAsia="es-MX"/>
              </w:rPr>
              <w:t>(32.9)</w:t>
            </w:r>
          </w:p>
        </w:tc>
      </w:tr>
      <w:tr w:rsidR="008A6899" w:rsidRPr="00D5362F" w:rsidTr="00D5362F">
        <w:trPr>
          <w:trHeight w:val="510"/>
        </w:trPr>
        <w:tc>
          <w:tcPr>
            <w:tcW w:w="4489" w:type="dxa"/>
            <w:vMerge/>
            <w:tcBorders>
              <w:top w:val="nil"/>
              <w:bottom w:val="nil"/>
              <w:right w:val="nil"/>
            </w:tcBorders>
          </w:tcPr>
          <w:p w:rsidR="008A6899" w:rsidRPr="00D5362F" w:rsidRDefault="008A6899" w:rsidP="00D5362F">
            <w:pPr>
              <w:autoSpaceDE w:val="0"/>
              <w:autoSpaceDN w:val="0"/>
              <w:adjustRightInd w:val="0"/>
              <w:snapToGrid w:val="0"/>
              <w:spacing w:after="0" w:line="360" w:lineRule="auto"/>
              <w:jc w:val="both"/>
              <w:rPr>
                <w:rFonts w:ascii="Book Antiqua" w:hAnsi="Book Antiqua"/>
                <w:sz w:val="24"/>
                <w:szCs w:val="24"/>
                <w:lang w:val="en-US" w:eastAsia="es-MX"/>
              </w:rPr>
            </w:pPr>
          </w:p>
        </w:tc>
        <w:tc>
          <w:tcPr>
            <w:tcW w:w="1890" w:type="dxa"/>
            <w:tcBorders>
              <w:top w:val="nil"/>
              <w:left w:val="nil"/>
              <w:bottom w:val="nil"/>
              <w:right w:val="nil"/>
            </w:tcBorders>
          </w:tcPr>
          <w:p w:rsidR="008A6899" w:rsidRPr="00D5362F" w:rsidRDefault="008A6899" w:rsidP="00D5362F">
            <w:pPr>
              <w:autoSpaceDE w:val="0"/>
              <w:autoSpaceDN w:val="0"/>
              <w:adjustRightInd w:val="0"/>
              <w:snapToGrid w:val="0"/>
              <w:spacing w:after="0" w:line="360" w:lineRule="auto"/>
              <w:jc w:val="center"/>
              <w:rPr>
                <w:rFonts w:ascii="Book Antiqua" w:hAnsi="Book Antiqua"/>
                <w:bCs/>
                <w:sz w:val="24"/>
                <w:szCs w:val="24"/>
                <w:lang w:val="en-US" w:eastAsia="es-MX"/>
              </w:rPr>
            </w:pPr>
            <w:r w:rsidRPr="00D5362F">
              <w:rPr>
                <w:rFonts w:ascii="Book Antiqua" w:hAnsi="Book Antiqua"/>
                <w:bCs/>
                <w:sz w:val="24"/>
                <w:szCs w:val="24"/>
                <w:lang w:val="en-US" w:eastAsia="es-MX"/>
              </w:rPr>
              <w:t>III</w:t>
            </w:r>
          </w:p>
        </w:tc>
        <w:tc>
          <w:tcPr>
            <w:tcW w:w="2599" w:type="dxa"/>
            <w:tcBorders>
              <w:top w:val="nil"/>
              <w:left w:val="nil"/>
              <w:bottom w:val="nil"/>
            </w:tcBorders>
          </w:tcPr>
          <w:p w:rsidR="008A6899" w:rsidRPr="00D5362F" w:rsidRDefault="008A6899" w:rsidP="00D5362F">
            <w:pPr>
              <w:autoSpaceDE w:val="0"/>
              <w:autoSpaceDN w:val="0"/>
              <w:adjustRightInd w:val="0"/>
              <w:snapToGrid w:val="0"/>
              <w:spacing w:after="0" w:line="360" w:lineRule="auto"/>
              <w:jc w:val="center"/>
              <w:rPr>
                <w:rFonts w:ascii="Book Antiqua" w:hAnsi="Book Antiqua"/>
                <w:bCs/>
                <w:sz w:val="24"/>
                <w:szCs w:val="24"/>
                <w:lang w:val="en-US" w:eastAsia="es-MX"/>
              </w:rPr>
            </w:pPr>
            <w:r w:rsidRPr="00D5362F">
              <w:rPr>
                <w:rFonts w:ascii="Book Antiqua" w:hAnsi="Book Antiqua"/>
                <w:bCs/>
                <w:sz w:val="24"/>
                <w:szCs w:val="24"/>
                <w:lang w:val="en-US" w:eastAsia="es-MX"/>
              </w:rPr>
              <w:t>22</w:t>
            </w:r>
            <w:r w:rsidRPr="00D5362F">
              <w:rPr>
                <w:rFonts w:ascii="Book Antiqua" w:hAnsi="Book Antiqua"/>
                <w:bCs/>
                <w:sz w:val="24"/>
                <w:szCs w:val="24"/>
                <w:lang w:val="en-US" w:eastAsia="zh-CN"/>
              </w:rPr>
              <w:t xml:space="preserve"> </w:t>
            </w:r>
            <w:r w:rsidRPr="00D5362F">
              <w:rPr>
                <w:rFonts w:ascii="Book Antiqua" w:hAnsi="Book Antiqua"/>
                <w:bCs/>
                <w:sz w:val="24"/>
                <w:szCs w:val="24"/>
                <w:lang w:val="en-US" w:eastAsia="es-MX"/>
              </w:rPr>
              <w:t>(24.1)</w:t>
            </w:r>
          </w:p>
        </w:tc>
      </w:tr>
      <w:tr w:rsidR="008A6899" w:rsidRPr="00D5362F" w:rsidTr="00D5362F">
        <w:trPr>
          <w:trHeight w:val="450"/>
        </w:trPr>
        <w:tc>
          <w:tcPr>
            <w:tcW w:w="4489" w:type="dxa"/>
            <w:vMerge w:val="restart"/>
            <w:tcBorders>
              <w:top w:val="nil"/>
              <w:bottom w:val="nil"/>
              <w:right w:val="nil"/>
            </w:tcBorders>
          </w:tcPr>
          <w:p w:rsidR="008A6899" w:rsidRPr="00D5362F" w:rsidRDefault="008A6899" w:rsidP="00D5362F">
            <w:pPr>
              <w:autoSpaceDE w:val="0"/>
              <w:autoSpaceDN w:val="0"/>
              <w:adjustRightInd w:val="0"/>
              <w:snapToGrid w:val="0"/>
              <w:spacing w:after="0" w:line="360" w:lineRule="auto"/>
              <w:jc w:val="both"/>
              <w:rPr>
                <w:rFonts w:ascii="Book Antiqua" w:hAnsi="Book Antiqua"/>
                <w:sz w:val="24"/>
                <w:szCs w:val="24"/>
                <w:lang w:val="en-US" w:eastAsia="zh-CN"/>
              </w:rPr>
            </w:pPr>
            <w:r w:rsidRPr="00D5362F">
              <w:rPr>
                <w:rFonts w:ascii="Book Antiqua" w:hAnsi="Book Antiqua"/>
                <w:sz w:val="24"/>
                <w:szCs w:val="24"/>
                <w:lang w:val="en-US" w:eastAsia="es-MX"/>
              </w:rPr>
              <w:t>Child–Pugh classification</w:t>
            </w:r>
          </w:p>
        </w:tc>
        <w:tc>
          <w:tcPr>
            <w:tcW w:w="1890" w:type="dxa"/>
            <w:tcBorders>
              <w:top w:val="nil"/>
              <w:left w:val="nil"/>
              <w:bottom w:val="nil"/>
              <w:right w:val="nil"/>
            </w:tcBorders>
          </w:tcPr>
          <w:p w:rsidR="008A6899" w:rsidRPr="00D5362F" w:rsidRDefault="008A6899" w:rsidP="00D5362F">
            <w:pPr>
              <w:autoSpaceDE w:val="0"/>
              <w:autoSpaceDN w:val="0"/>
              <w:adjustRightInd w:val="0"/>
              <w:snapToGrid w:val="0"/>
              <w:spacing w:after="0" w:line="360" w:lineRule="auto"/>
              <w:jc w:val="center"/>
              <w:rPr>
                <w:rFonts w:ascii="Book Antiqua" w:hAnsi="Book Antiqua"/>
                <w:bCs/>
                <w:sz w:val="24"/>
                <w:szCs w:val="24"/>
                <w:lang w:val="en-US" w:eastAsia="es-MX"/>
              </w:rPr>
            </w:pPr>
            <w:r w:rsidRPr="00D5362F">
              <w:rPr>
                <w:rFonts w:ascii="Book Antiqua" w:hAnsi="Book Antiqua"/>
                <w:bCs/>
                <w:sz w:val="24"/>
                <w:szCs w:val="24"/>
                <w:lang w:val="en-US" w:eastAsia="es-MX"/>
              </w:rPr>
              <w:t>A</w:t>
            </w:r>
          </w:p>
        </w:tc>
        <w:tc>
          <w:tcPr>
            <w:tcW w:w="2599" w:type="dxa"/>
            <w:tcBorders>
              <w:top w:val="nil"/>
              <w:left w:val="nil"/>
              <w:bottom w:val="nil"/>
            </w:tcBorders>
          </w:tcPr>
          <w:p w:rsidR="008A6899" w:rsidRPr="00D5362F" w:rsidRDefault="008A6899" w:rsidP="00D5362F">
            <w:pPr>
              <w:spacing w:after="0" w:line="240" w:lineRule="auto"/>
              <w:jc w:val="center"/>
              <w:rPr>
                <w:rFonts w:ascii="Book Antiqua" w:hAnsi="Book Antiqua"/>
                <w:bCs/>
                <w:sz w:val="24"/>
                <w:szCs w:val="24"/>
                <w:lang w:val="en-US" w:eastAsia="es-MX"/>
              </w:rPr>
            </w:pPr>
            <w:r w:rsidRPr="00D5362F">
              <w:rPr>
                <w:rFonts w:ascii="Book Antiqua" w:hAnsi="Book Antiqua"/>
                <w:bCs/>
                <w:sz w:val="24"/>
                <w:szCs w:val="24"/>
                <w:lang w:val="en-US" w:eastAsia="es-MX"/>
              </w:rPr>
              <w:t>17</w:t>
            </w:r>
            <w:r w:rsidRPr="00D5362F">
              <w:rPr>
                <w:rFonts w:ascii="Book Antiqua" w:hAnsi="Book Antiqua"/>
                <w:bCs/>
                <w:sz w:val="24"/>
                <w:szCs w:val="24"/>
                <w:lang w:val="en-US" w:eastAsia="zh-CN"/>
              </w:rPr>
              <w:t xml:space="preserve"> </w:t>
            </w:r>
            <w:r w:rsidRPr="00D5362F">
              <w:rPr>
                <w:rFonts w:ascii="Book Antiqua" w:hAnsi="Book Antiqua"/>
                <w:bCs/>
                <w:sz w:val="24"/>
                <w:szCs w:val="24"/>
                <w:lang w:val="en-US" w:eastAsia="es-MX"/>
              </w:rPr>
              <w:t>(18.6)</w:t>
            </w:r>
          </w:p>
          <w:p w:rsidR="008A6899" w:rsidRPr="00D5362F" w:rsidRDefault="008A6899" w:rsidP="00D5362F">
            <w:pPr>
              <w:autoSpaceDE w:val="0"/>
              <w:autoSpaceDN w:val="0"/>
              <w:adjustRightInd w:val="0"/>
              <w:snapToGrid w:val="0"/>
              <w:spacing w:after="0" w:line="360" w:lineRule="auto"/>
              <w:jc w:val="center"/>
              <w:rPr>
                <w:rFonts w:ascii="Book Antiqua" w:hAnsi="Book Antiqua"/>
                <w:bCs/>
                <w:sz w:val="24"/>
                <w:szCs w:val="24"/>
                <w:lang w:val="en-US" w:eastAsia="es-MX"/>
              </w:rPr>
            </w:pPr>
          </w:p>
        </w:tc>
      </w:tr>
      <w:tr w:rsidR="008A6899" w:rsidRPr="00D5362F" w:rsidTr="00D5362F">
        <w:trPr>
          <w:trHeight w:val="435"/>
        </w:trPr>
        <w:tc>
          <w:tcPr>
            <w:tcW w:w="4489" w:type="dxa"/>
            <w:vMerge/>
            <w:tcBorders>
              <w:top w:val="nil"/>
              <w:bottom w:val="nil"/>
              <w:right w:val="nil"/>
            </w:tcBorders>
          </w:tcPr>
          <w:p w:rsidR="008A6899" w:rsidRPr="00D5362F" w:rsidRDefault="008A6899" w:rsidP="00D5362F">
            <w:pPr>
              <w:autoSpaceDE w:val="0"/>
              <w:autoSpaceDN w:val="0"/>
              <w:adjustRightInd w:val="0"/>
              <w:snapToGrid w:val="0"/>
              <w:spacing w:after="0" w:line="360" w:lineRule="auto"/>
              <w:jc w:val="both"/>
              <w:rPr>
                <w:rFonts w:ascii="Book Antiqua" w:hAnsi="Book Antiqua"/>
                <w:sz w:val="24"/>
                <w:szCs w:val="24"/>
                <w:lang w:val="en-US" w:eastAsia="es-MX"/>
              </w:rPr>
            </w:pPr>
          </w:p>
        </w:tc>
        <w:tc>
          <w:tcPr>
            <w:tcW w:w="1890" w:type="dxa"/>
            <w:tcBorders>
              <w:top w:val="nil"/>
              <w:left w:val="nil"/>
              <w:bottom w:val="nil"/>
              <w:right w:val="nil"/>
            </w:tcBorders>
          </w:tcPr>
          <w:p w:rsidR="008A6899" w:rsidRPr="00D5362F" w:rsidRDefault="008A6899" w:rsidP="00D5362F">
            <w:pPr>
              <w:autoSpaceDE w:val="0"/>
              <w:autoSpaceDN w:val="0"/>
              <w:adjustRightInd w:val="0"/>
              <w:snapToGrid w:val="0"/>
              <w:spacing w:after="0" w:line="360" w:lineRule="auto"/>
              <w:jc w:val="center"/>
              <w:rPr>
                <w:rFonts w:ascii="Book Antiqua" w:hAnsi="Book Antiqua"/>
                <w:bCs/>
                <w:sz w:val="24"/>
                <w:szCs w:val="24"/>
                <w:lang w:val="en-US" w:eastAsia="es-MX"/>
              </w:rPr>
            </w:pPr>
            <w:r w:rsidRPr="00D5362F">
              <w:rPr>
                <w:rFonts w:ascii="Book Antiqua" w:hAnsi="Book Antiqua"/>
                <w:bCs/>
                <w:sz w:val="24"/>
                <w:szCs w:val="24"/>
                <w:lang w:val="en-US" w:eastAsia="es-MX"/>
              </w:rPr>
              <w:t>B</w:t>
            </w:r>
          </w:p>
        </w:tc>
        <w:tc>
          <w:tcPr>
            <w:tcW w:w="2599" w:type="dxa"/>
            <w:tcBorders>
              <w:top w:val="nil"/>
              <w:left w:val="nil"/>
              <w:bottom w:val="nil"/>
            </w:tcBorders>
          </w:tcPr>
          <w:p w:rsidR="008A6899" w:rsidRPr="00D5362F" w:rsidRDefault="008A6899" w:rsidP="00D5362F">
            <w:pPr>
              <w:autoSpaceDE w:val="0"/>
              <w:autoSpaceDN w:val="0"/>
              <w:adjustRightInd w:val="0"/>
              <w:snapToGrid w:val="0"/>
              <w:spacing w:after="0" w:line="360" w:lineRule="auto"/>
              <w:jc w:val="center"/>
              <w:rPr>
                <w:rFonts w:ascii="Book Antiqua" w:hAnsi="Book Antiqua"/>
                <w:bCs/>
                <w:sz w:val="24"/>
                <w:szCs w:val="24"/>
                <w:lang w:val="en-US" w:eastAsia="es-MX"/>
              </w:rPr>
            </w:pPr>
            <w:r w:rsidRPr="00D5362F">
              <w:rPr>
                <w:rFonts w:ascii="Book Antiqua" w:hAnsi="Book Antiqua"/>
                <w:bCs/>
                <w:sz w:val="24"/>
                <w:szCs w:val="24"/>
                <w:lang w:val="en-US" w:eastAsia="es-MX"/>
              </w:rPr>
              <w:t>37</w:t>
            </w:r>
            <w:r w:rsidRPr="00D5362F">
              <w:rPr>
                <w:rFonts w:ascii="Book Antiqua" w:hAnsi="Book Antiqua"/>
                <w:bCs/>
                <w:sz w:val="24"/>
                <w:szCs w:val="24"/>
                <w:lang w:val="en-US" w:eastAsia="zh-CN"/>
              </w:rPr>
              <w:t xml:space="preserve"> </w:t>
            </w:r>
            <w:r w:rsidRPr="00D5362F">
              <w:rPr>
                <w:rFonts w:ascii="Book Antiqua" w:hAnsi="Book Antiqua"/>
                <w:bCs/>
                <w:sz w:val="24"/>
                <w:szCs w:val="24"/>
                <w:lang w:val="en-US" w:eastAsia="es-MX"/>
              </w:rPr>
              <w:t>(40.6)</w:t>
            </w:r>
          </w:p>
        </w:tc>
      </w:tr>
      <w:tr w:rsidR="008A6899" w:rsidRPr="00D5362F" w:rsidTr="00D5362F">
        <w:trPr>
          <w:trHeight w:val="450"/>
        </w:trPr>
        <w:tc>
          <w:tcPr>
            <w:tcW w:w="4489" w:type="dxa"/>
            <w:vMerge/>
            <w:tcBorders>
              <w:top w:val="nil"/>
              <w:bottom w:val="single" w:sz="4" w:space="0" w:color="auto"/>
              <w:right w:val="nil"/>
            </w:tcBorders>
          </w:tcPr>
          <w:p w:rsidR="008A6899" w:rsidRPr="00D5362F" w:rsidRDefault="008A6899" w:rsidP="00D5362F">
            <w:pPr>
              <w:autoSpaceDE w:val="0"/>
              <w:autoSpaceDN w:val="0"/>
              <w:adjustRightInd w:val="0"/>
              <w:snapToGrid w:val="0"/>
              <w:spacing w:after="0" w:line="360" w:lineRule="auto"/>
              <w:jc w:val="both"/>
              <w:rPr>
                <w:rFonts w:ascii="Book Antiqua" w:hAnsi="Book Antiqua"/>
                <w:sz w:val="24"/>
                <w:szCs w:val="24"/>
                <w:lang w:val="en-US" w:eastAsia="es-MX"/>
              </w:rPr>
            </w:pPr>
          </w:p>
        </w:tc>
        <w:tc>
          <w:tcPr>
            <w:tcW w:w="1890" w:type="dxa"/>
            <w:tcBorders>
              <w:top w:val="nil"/>
              <w:left w:val="nil"/>
              <w:bottom w:val="single" w:sz="4" w:space="0" w:color="auto"/>
              <w:right w:val="nil"/>
            </w:tcBorders>
          </w:tcPr>
          <w:p w:rsidR="008A6899" w:rsidRPr="00D5362F" w:rsidRDefault="008A6899" w:rsidP="00D5362F">
            <w:pPr>
              <w:autoSpaceDE w:val="0"/>
              <w:autoSpaceDN w:val="0"/>
              <w:adjustRightInd w:val="0"/>
              <w:snapToGrid w:val="0"/>
              <w:spacing w:after="0" w:line="360" w:lineRule="auto"/>
              <w:jc w:val="center"/>
              <w:rPr>
                <w:rFonts w:ascii="Book Antiqua" w:hAnsi="Book Antiqua"/>
                <w:bCs/>
                <w:sz w:val="24"/>
                <w:szCs w:val="24"/>
                <w:lang w:val="en-US" w:eastAsia="es-MX"/>
              </w:rPr>
            </w:pPr>
            <w:r w:rsidRPr="00D5362F">
              <w:rPr>
                <w:rFonts w:ascii="Book Antiqua" w:hAnsi="Book Antiqua"/>
                <w:bCs/>
                <w:sz w:val="24"/>
                <w:szCs w:val="24"/>
                <w:lang w:val="en-US" w:eastAsia="es-MX"/>
              </w:rPr>
              <w:t>C</w:t>
            </w:r>
          </w:p>
        </w:tc>
        <w:tc>
          <w:tcPr>
            <w:tcW w:w="2599" w:type="dxa"/>
            <w:tcBorders>
              <w:top w:val="nil"/>
              <w:left w:val="nil"/>
              <w:bottom w:val="single" w:sz="4" w:space="0" w:color="auto"/>
            </w:tcBorders>
          </w:tcPr>
          <w:p w:rsidR="008A6899" w:rsidRPr="00D5362F" w:rsidRDefault="008A6899" w:rsidP="00D5362F">
            <w:pPr>
              <w:autoSpaceDE w:val="0"/>
              <w:autoSpaceDN w:val="0"/>
              <w:adjustRightInd w:val="0"/>
              <w:snapToGrid w:val="0"/>
              <w:spacing w:after="0" w:line="360" w:lineRule="auto"/>
              <w:jc w:val="center"/>
              <w:rPr>
                <w:rFonts w:ascii="Book Antiqua" w:hAnsi="Book Antiqua"/>
                <w:bCs/>
                <w:sz w:val="24"/>
                <w:szCs w:val="24"/>
                <w:lang w:val="en-US" w:eastAsia="es-MX"/>
              </w:rPr>
            </w:pPr>
            <w:r w:rsidRPr="00D5362F">
              <w:rPr>
                <w:rFonts w:ascii="Book Antiqua" w:hAnsi="Book Antiqua"/>
                <w:bCs/>
                <w:sz w:val="24"/>
                <w:szCs w:val="24"/>
                <w:lang w:val="en-US" w:eastAsia="es-MX"/>
              </w:rPr>
              <w:t>37</w:t>
            </w:r>
            <w:r w:rsidRPr="00D5362F">
              <w:rPr>
                <w:rFonts w:ascii="Book Antiqua" w:hAnsi="Book Antiqua"/>
                <w:bCs/>
                <w:sz w:val="24"/>
                <w:szCs w:val="24"/>
                <w:lang w:val="en-US" w:eastAsia="zh-CN"/>
              </w:rPr>
              <w:t xml:space="preserve"> </w:t>
            </w:r>
            <w:r w:rsidRPr="00D5362F">
              <w:rPr>
                <w:rFonts w:ascii="Book Antiqua" w:hAnsi="Book Antiqua"/>
                <w:bCs/>
                <w:sz w:val="24"/>
                <w:szCs w:val="24"/>
                <w:lang w:val="en-US" w:eastAsia="es-MX"/>
              </w:rPr>
              <w:t>(40.6)</w:t>
            </w:r>
          </w:p>
        </w:tc>
      </w:tr>
    </w:tbl>
    <w:p w:rsidR="008A6899" w:rsidRPr="008D3AEB" w:rsidRDefault="008A6899" w:rsidP="004E2489">
      <w:pPr>
        <w:autoSpaceDE w:val="0"/>
        <w:autoSpaceDN w:val="0"/>
        <w:adjustRightInd w:val="0"/>
        <w:snapToGrid w:val="0"/>
        <w:spacing w:after="0" w:line="360" w:lineRule="auto"/>
        <w:jc w:val="both"/>
        <w:rPr>
          <w:rFonts w:ascii="Book Antiqua" w:hAnsi="Book Antiqua"/>
          <w:sz w:val="24"/>
          <w:szCs w:val="24"/>
          <w:lang w:val="en-US"/>
        </w:rPr>
      </w:pPr>
    </w:p>
    <w:p w:rsidR="008A6899" w:rsidRPr="008C3A92" w:rsidRDefault="008A6899" w:rsidP="004E2489">
      <w:pPr>
        <w:snapToGrid w:val="0"/>
        <w:spacing w:after="0" w:line="360" w:lineRule="auto"/>
        <w:jc w:val="both"/>
        <w:rPr>
          <w:rFonts w:ascii="Book Antiqua" w:hAnsi="Book Antiqua"/>
          <w:b/>
          <w:sz w:val="24"/>
          <w:szCs w:val="24"/>
          <w:lang w:val="en-US"/>
        </w:rPr>
      </w:pPr>
      <w:r w:rsidRPr="008C3A92">
        <w:rPr>
          <w:rFonts w:ascii="Book Antiqua" w:hAnsi="Book Antiqua"/>
          <w:b/>
          <w:sz w:val="24"/>
          <w:szCs w:val="24"/>
          <w:lang w:val="en-US"/>
        </w:rPr>
        <w:br w:type="page"/>
      </w:r>
    </w:p>
    <w:p w:rsidR="008A6899" w:rsidRPr="008C3A92" w:rsidRDefault="008A6899" w:rsidP="004E2489">
      <w:pPr>
        <w:snapToGrid w:val="0"/>
        <w:spacing w:after="0" w:line="360" w:lineRule="auto"/>
        <w:jc w:val="both"/>
        <w:rPr>
          <w:rFonts w:ascii="Book Antiqua" w:hAnsi="Book Antiqua"/>
          <w:b/>
          <w:sz w:val="24"/>
          <w:szCs w:val="24"/>
          <w:lang w:val="en-US"/>
        </w:rPr>
      </w:pPr>
      <w:r w:rsidRPr="008C3A92">
        <w:rPr>
          <w:rFonts w:ascii="Book Antiqua" w:hAnsi="Book Antiqua"/>
          <w:b/>
          <w:sz w:val="24"/>
          <w:szCs w:val="24"/>
          <w:lang w:val="en-US"/>
        </w:rPr>
        <w:t>Table 2 Patient distribution according to the presence of esophageal varices</w:t>
      </w:r>
    </w:p>
    <w:p w:rsidR="008A6899" w:rsidRPr="008C3A92" w:rsidRDefault="008A6899" w:rsidP="004E2489">
      <w:pPr>
        <w:snapToGrid w:val="0"/>
        <w:spacing w:after="0" w:line="360" w:lineRule="auto"/>
        <w:jc w:val="both"/>
        <w:rPr>
          <w:rFonts w:ascii="Book Antiqua" w:hAnsi="Book Antiqua"/>
          <w:b/>
          <w:sz w:val="24"/>
          <w:szCs w:val="24"/>
          <w:lang w:val="en-US"/>
        </w:rPr>
      </w:pPr>
    </w:p>
    <w:tbl>
      <w:tblPr>
        <w:tblpPr w:leftFromText="141" w:rightFromText="141" w:vertAnchor="page" w:horzAnchor="page" w:tblpX="1751" w:tblpY="1994"/>
        <w:tblW w:w="0" w:type="auto"/>
        <w:tblBorders>
          <w:top w:val="single" w:sz="4" w:space="0" w:color="auto"/>
          <w:bottom w:val="single" w:sz="4" w:space="0" w:color="auto"/>
        </w:tblBorders>
        <w:tblLook w:val="00A0" w:firstRow="1" w:lastRow="0" w:firstColumn="1" w:lastColumn="0" w:noHBand="0" w:noVBand="0"/>
      </w:tblPr>
      <w:tblGrid>
        <w:gridCol w:w="2235"/>
        <w:gridCol w:w="2126"/>
        <w:gridCol w:w="1984"/>
        <w:gridCol w:w="1246"/>
      </w:tblGrid>
      <w:tr w:rsidR="008A6899" w:rsidRPr="00D5362F" w:rsidTr="00D5362F">
        <w:trPr>
          <w:trHeight w:val="800"/>
        </w:trPr>
        <w:tc>
          <w:tcPr>
            <w:tcW w:w="2235" w:type="dxa"/>
            <w:tcBorders>
              <w:top w:val="single" w:sz="4" w:space="0" w:color="auto"/>
              <w:bottom w:val="single" w:sz="4" w:space="0" w:color="auto"/>
            </w:tcBorders>
          </w:tcPr>
          <w:p w:rsidR="008A6899" w:rsidRPr="00D5362F" w:rsidRDefault="008A6899" w:rsidP="00D5362F">
            <w:pPr>
              <w:autoSpaceDE w:val="0"/>
              <w:autoSpaceDN w:val="0"/>
              <w:adjustRightInd w:val="0"/>
              <w:snapToGrid w:val="0"/>
              <w:spacing w:after="0" w:line="360" w:lineRule="auto"/>
              <w:jc w:val="both"/>
              <w:rPr>
                <w:rFonts w:ascii="Book Antiqua" w:hAnsi="Book Antiqua"/>
                <w:b/>
                <w:sz w:val="24"/>
                <w:szCs w:val="24"/>
                <w:lang w:val="en-US" w:eastAsia="es-MX"/>
              </w:rPr>
            </w:pPr>
          </w:p>
        </w:tc>
        <w:tc>
          <w:tcPr>
            <w:tcW w:w="2126" w:type="dxa"/>
            <w:tcBorders>
              <w:top w:val="single" w:sz="4" w:space="0" w:color="auto"/>
              <w:bottom w:val="single" w:sz="4" w:space="0" w:color="auto"/>
            </w:tcBorders>
          </w:tcPr>
          <w:p w:rsidR="008A6899" w:rsidRPr="00D5362F" w:rsidRDefault="008A6899" w:rsidP="00D5362F">
            <w:pPr>
              <w:autoSpaceDE w:val="0"/>
              <w:autoSpaceDN w:val="0"/>
              <w:adjustRightInd w:val="0"/>
              <w:snapToGrid w:val="0"/>
              <w:spacing w:after="0" w:line="360" w:lineRule="auto"/>
              <w:jc w:val="center"/>
              <w:rPr>
                <w:rFonts w:ascii="Book Antiqua" w:hAnsi="Book Antiqua"/>
                <w:b/>
                <w:sz w:val="24"/>
                <w:szCs w:val="24"/>
                <w:lang w:val="en-US" w:eastAsia="es-MX"/>
              </w:rPr>
            </w:pPr>
            <w:r w:rsidRPr="00D5362F">
              <w:rPr>
                <w:rFonts w:ascii="Book Antiqua" w:hAnsi="Book Antiqua"/>
                <w:b/>
                <w:sz w:val="24"/>
                <w:szCs w:val="24"/>
                <w:lang w:val="en-US" w:eastAsia="es-MX"/>
              </w:rPr>
              <w:t>EV</w:t>
            </w:r>
          </w:p>
          <w:p w:rsidR="008A6899" w:rsidRPr="00D5362F" w:rsidRDefault="008A6899" w:rsidP="00D5362F">
            <w:pPr>
              <w:autoSpaceDE w:val="0"/>
              <w:autoSpaceDN w:val="0"/>
              <w:adjustRightInd w:val="0"/>
              <w:snapToGrid w:val="0"/>
              <w:spacing w:after="0" w:line="360" w:lineRule="auto"/>
              <w:jc w:val="center"/>
              <w:rPr>
                <w:rFonts w:ascii="Book Antiqua" w:hAnsi="Book Antiqua"/>
                <w:b/>
                <w:sz w:val="24"/>
                <w:szCs w:val="24"/>
                <w:lang w:val="en-US" w:eastAsia="es-MX"/>
              </w:rPr>
            </w:pPr>
            <w:r w:rsidRPr="00D5362F">
              <w:rPr>
                <w:rFonts w:ascii="Book Antiqua" w:hAnsi="Book Antiqua"/>
                <w:b/>
                <w:sz w:val="24"/>
                <w:szCs w:val="24"/>
                <w:lang w:val="en-US" w:eastAsia="es-MX"/>
              </w:rPr>
              <w:t>Present</w:t>
            </w:r>
          </w:p>
        </w:tc>
        <w:tc>
          <w:tcPr>
            <w:tcW w:w="1984" w:type="dxa"/>
            <w:tcBorders>
              <w:top w:val="single" w:sz="4" w:space="0" w:color="auto"/>
              <w:bottom w:val="single" w:sz="4" w:space="0" w:color="auto"/>
            </w:tcBorders>
          </w:tcPr>
          <w:p w:rsidR="008A6899" w:rsidRPr="00D5362F" w:rsidRDefault="008A6899" w:rsidP="00D5362F">
            <w:pPr>
              <w:autoSpaceDE w:val="0"/>
              <w:autoSpaceDN w:val="0"/>
              <w:adjustRightInd w:val="0"/>
              <w:snapToGrid w:val="0"/>
              <w:spacing w:after="0" w:line="360" w:lineRule="auto"/>
              <w:jc w:val="center"/>
              <w:rPr>
                <w:rFonts w:ascii="Book Antiqua" w:hAnsi="Book Antiqua"/>
                <w:b/>
                <w:sz w:val="24"/>
                <w:szCs w:val="24"/>
                <w:lang w:val="en-US" w:eastAsia="es-MX"/>
              </w:rPr>
            </w:pPr>
            <w:r w:rsidRPr="00D5362F">
              <w:rPr>
                <w:rFonts w:ascii="Book Antiqua" w:hAnsi="Book Antiqua"/>
                <w:b/>
                <w:sz w:val="24"/>
                <w:szCs w:val="24"/>
                <w:lang w:val="en-US" w:eastAsia="es-MX"/>
              </w:rPr>
              <w:t>EV</w:t>
            </w:r>
          </w:p>
          <w:p w:rsidR="008A6899" w:rsidRPr="00D5362F" w:rsidRDefault="008A6899" w:rsidP="00D5362F">
            <w:pPr>
              <w:autoSpaceDE w:val="0"/>
              <w:autoSpaceDN w:val="0"/>
              <w:adjustRightInd w:val="0"/>
              <w:snapToGrid w:val="0"/>
              <w:spacing w:after="0" w:line="360" w:lineRule="auto"/>
              <w:jc w:val="center"/>
              <w:rPr>
                <w:rFonts w:ascii="Book Antiqua" w:hAnsi="Book Antiqua"/>
                <w:b/>
                <w:sz w:val="24"/>
                <w:szCs w:val="24"/>
                <w:lang w:val="en-US" w:eastAsia="es-MX"/>
              </w:rPr>
            </w:pPr>
            <w:r w:rsidRPr="00D5362F">
              <w:rPr>
                <w:rFonts w:ascii="Book Antiqua" w:hAnsi="Book Antiqua"/>
                <w:b/>
                <w:sz w:val="24"/>
                <w:szCs w:val="24"/>
                <w:lang w:val="en-US" w:eastAsia="es-MX"/>
              </w:rPr>
              <w:t>Absent</w:t>
            </w:r>
          </w:p>
        </w:tc>
        <w:tc>
          <w:tcPr>
            <w:tcW w:w="1246" w:type="dxa"/>
            <w:tcBorders>
              <w:top w:val="single" w:sz="4" w:space="0" w:color="auto"/>
              <w:bottom w:val="single" w:sz="4" w:space="0" w:color="auto"/>
            </w:tcBorders>
          </w:tcPr>
          <w:p w:rsidR="008A6899" w:rsidRPr="00D5362F" w:rsidRDefault="008A6899" w:rsidP="00D5362F">
            <w:pPr>
              <w:autoSpaceDE w:val="0"/>
              <w:autoSpaceDN w:val="0"/>
              <w:adjustRightInd w:val="0"/>
              <w:snapToGrid w:val="0"/>
              <w:spacing w:after="0" w:line="360" w:lineRule="auto"/>
              <w:jc w:val="center"/>
              <w:rPr>
                <w:rFonts w:ascii="Book Antiqua" w:hAnsi="Book Antiqua"/>
                <w:b/>
                <w:sz w:val="24"/>
                <w:szCs w:val="24"/>
                <w:lang w:val="en-US" w:eastAsia="zh-CN"/>
              </w:rPr>
            </w:pPr>
            <w:r w:rsidRPr="00D5362F">
              <w:rPr>
                <w:rFonts w:ascii="Book Antiqua" w:hAnsi="Book Antiqua"/>
                <w:b/>
                <w:i/>
                <w:sz w:val="24"/>
                <w:szCs w:val="24"/>
                <w:lang w:val="en-US" w:eastAsia="es-MX"/>
              </w:rPr>
              <w:t>P</w:t>
            </w:r>
            <w:r w:rsidRPr="00D5362F">
              <w:rPr>
                <w:rFonts w:ascii="Book Antiqua" w:hAnsi="Book Antiqua"/>
                <w:b/>
                <w:sz w:val="24"/>
                <w:szCs w:val="24"/>
                <w:lang w:val="en-US" w:eastAsia="es-MX"/>
              </w:rPr>
              <w:t xml:space="preserve"> value</w:t>
            </w:r>
            <w:r w:rsidRPr="00D5362F">
              <w:rPr>
                <w:rFonts w:ascii="Book Antiqua" w:hAnsi="Book Antiqua"/>
                <w:b/>
                <w:sz w:val="24"/>
                <w:szCs w:val="24"/>
                <w:vertAlign w:val="superscript"/>
                <w:lang w:val="en-US" w:eastAsia="zh-CN"/>
              </w:rPr>
              <w:t>1</w:t>
            </w:r>
          </w:p>
        </w:tc>
      </w:tr>
      <w:tr w:rsidR="008A6899" w:rsidRPr="00D5362F" w:rsidTr="00D5362F">
        <w:trPr>
          <w:trHeight w:val="800"/>
        </w:trPr>
        <w:tc>
          <w:tcPr>
            <w:tcW w:w="2235" w:type="dxa"/>
            <w:tcBorders>
              <w:top w:val="single" w:sz="4" w:space="0" w:color="auto"/>
            </w:tcBorders>
          </w:tcPr>
          <w:p w:rsidR="008A6899" w:rsidRPr="00D5362F" w:rsidRDefault="008A6899" w:rsidP="00D5362F">
            <w:pPr>
              <w:autoSpaceDE w:val="0"/>
              <w:autoSpaceDN w:val="0"/>
              <w:adjustRightInd w:val="0"/>
              <w:snapToGrid w:val="0"/>
              <w:spacing w:after="0" w:line="360" w:lineRule="auto"/>
              <w:jc w:val="both"/>
              <w:rPr>
                <w:rFonts w:ascii="Book Antiqua" w:hAnsi="Book Antiqua"/>
                <w:sz w:val="24"/>
                <w:szCs w:val="24"/>
                <w:lang w:val="en-US" w:eastAsia="es-MX"/>
              </w:rPr>
            </w:pPr>
            <w:r w:rsidRPr="00D5362F">
              <w:rPr>
                <w:rFonts w:ascii="Book Antiqua" w:hAnsi="Book Antiqua"/>
                <w:sz w:val="24"/>
                <w:szCs w:val="24"/>
                <w:lang w:val="en-US" w:eastAsia="es-MX"/>
              </w:rPr>
              <w:t>Platelets/μL</w:t>
            </w:r>
          </w:p>
        </w:tc>
        <w:tc>
          <w:tcPr>
            <w:tcW w:w="2126" w:type="dxa"/>
            <w:tcBorders>
              <w:top w:val="single" w:sz="4" w:space="0" w:color="auto"/>
            </w:tcBorders>
          </w:tcPr>
          <w:p w:rsidR="008A6899" w:rsidRPr="00D5362F" w:rsidRDefault="008A6899" w:rsidP="00D5362F">
            <w:pPr>
              <w:autoSpaceDE w:val="0"/>
              <w:autoSpaceDN w:val="0"/>
              <w:adjustRightInd w:val="0"/>
              <w:snapToGrid w:val="0"/>
              <w:spacing w:after="0" w:line="360" w:lineRule="auto"/>
              <w:jc w:val="center"/>
              <w:rPr>
                <w:rFonts w:ascii="Book Antiqua" w:hAnsi="Book Antiqua"/>
                <w:b/>
                <w:sz w:val="24"/>
                <w:szCs w:val="24"/>
                <w:lang w:val="en-US" w:eastAsia="es-MX"/>
              </w:rPr>
            </w:pPr>
            <w:r w:rsidRPr="00D5362F">
              <w:rPr>
                <w:rFonts w:ascii="Book Antiqua" w:hAnsi="Book Antiqua"/>
                <w:color w:val="000000"/>
                <w:sz w:val="24"/>
                <w:szCs w:val="24"/>
                <w:lang w:val="en-US" w:eastAsia="es-MX"/>
              </w:rPr>
              <w:t>117517 ± 50275</w:t>
            </w:r>
          </w:p>
        </w:tc>
        <w:tc>
          <w:tcPr>
            <w:tcW w:w="1984" w:type="dxa"/>
            <w:tcBorders>
              <w:top w:val="single" w:sz="4" w:space="0" w:color="auto"/>
            </w:tcBorders>
          </w:tcPr>
          <w:p w:rsidR="008A6899" w:rsidRPr="00D5362F" w:rsidRDefault="008A6899" w:rsidP="00D5362F">
            <w:pPr>
              <w:autoSpaceDE w:val="0"/>
              <w:autoSpaceDN w:val="0"/>
              <w:adjustRightInd w:val="0"/>
              <w:snapToGrid w:val="0"/>
              <w:spacing w:after="0" w:line="360" w:lineRule="auto"/>
              <w:jc w:val="center"/>
              <w:rPr>
                <w:rFonts w:ascii="Book Antiqua" w:hAnsi="Book Antiqua"/>
                <w:b/>
                <w:sz w:val="24"/>
                <w:szCs w:val="24"/>
                <w:lang w:val="en-US" w:eastAsia="es-MX"/>
              </w:rPr>
            </w:pPr>
            <w:r w:rsidRPr="00D5362F">
              <w:rPr>
                <w:rFonts w:ascii="Book Antiqua" w:hAnsi="Book Antiqua"/>
                <w:color w:val="000000"/>
                <w:sz w:val="24"/>
                <w:szCs w:val="24"/>
                <w:lang w:val="en-US" w:eastAsia="es-MX"/>
              </w:rPr>
              <w:t>175788 ± 88448</w:t>
            </w:r>
          </w:p>
        </w:tc>
        <w:tc>
          <w:tcPr>
            <w:tcW w:w="1246" w:type="dxa"/>
            <w:tcBorders>
              <w:top w:val="single" w:sz="4" w:space="0" w:color="auto"/>
            </w:tcBorders>
          </w:tcPr>
          <w:p w:rsidR="008A6899" w:rsidRPr="00D5362F" w:rsidRDefault="008A6899" w:rsidP="00D5362F">
            <w:pPr>
              <w:autoSpaceDE w:val="0"/>
              <w:autoSpaceDN w:val="0"/>
              <w:adjustRightInd w:val="0"/>
              <w:snapToGrid w:val="0"/>
              <w:spacing w:after="0" w:line="360" w:lineRule="auto"/>
              <w:jc w:val="center"/>
              <w:rPr>
                <w:rFonts w:ascii="Book Antiqua" w:hAnsi="Book Antiqua"/>
                <w:sz w:val="24"/>
                <w:szCs w:val="24"/>
                <w:lang w:val="en-US" w:eastAsia="es-MX"/>
              </w:rPr>
            </w:pPr>
            <w:r w:rsidRPr="00D5362F">
              <w:rPr>
                <w:rFonts w:ascii="Book Antiqua" w:hAnsi="Book Antiqua"/>
                <w:sz w:val="24"/>
                <w:szCs w:val="24"/>
                <w:lang w:val="en-US" w:eastAsia="es-MX"/>
              </w:rPr>
              <w:t>0.014</w:t>
            </w:r>
          </w:p>
        </w:tc>
      </w:tr>
      <w:tr w:rsidR="008A6899" w:rsidRPr="00D5362F" w:rsidTr="00D5362F">
        <w:trPr>
          <w:trHeight w:val="800"/>
        </w:trPr>
        <w:tc>
          <w:tcPr>
            <w:tcW w:w="2235" w:type="dxa"/>
          </w:tcPr>
          <w:p w:rsidR="008A6899" w:rsidRPr="00D5362F" w:rsidRDefault="008A6899" w:rsidP="00D5362F">
            <w:pPr>
              <w:autoSpaceDE w:val="0"/>
              <w:autoSpaceDN w:val="0"/>
              <w:adjustRightInd w:val="0"/>
              <w:snapToGrid w:val="0"/>
              <w:spacing w:after="0" w:line="360" w:lineRule="auto"/>
              <w:jc w:val="both"/>
              <w:rPr>
                <w:rFonts w:ascii="Book Antiqua" w:hAnsi="Book Antiqua"/>
                <w:sz w:val="24"/>
                <w:szCs w:val="24"/>
                <w:lang w:val="en-US" w:eastAsia="es-MX"/>
              </w:rPr>
            </w:pPr>
            <w:r w:rsidRPr="00D5362F">
              <w:rPr>
                <w:rFonts w:ascii="Book Antiqua" w:hAnsi="Book Antiqua"/>
                <w:sz w:val="24"/>
                <w:szCs w:val="24"/>
                <w:lang w:val="en-US" w:eastAsia="es-MX"/>
              </w:rPr>
              <w:t>SD (average mm)</w:t>
            </w:r>
          </w:p>
        </w:tc>
        <w:tc>
          <w:tcPr>
            <w:tcW w:w="2126" w:type="dxa"/>
          </w:tcPr>
          <w:p w:rsidR="008A6899" w:rsidRPr="00D5362F" w:rsidRDefault="008A6899" w:rsidP="00D5362F">
            <w:pPr>
              <w:autoSpaceDE w:val="0"/>
              <w:autoSpaceDN w:val="0"/>
              <w:adjustRightInd w:val="0"/>
              <w:snapToGrid w:val="0"/>
              <w:spacing w:after="0" w:line="360" w:lineRule="auto"/>
              <w:jc w:val="center"/>
              <w:rPr>
                <w:rFonts w:ascii="Book Antiqua" w:hAnsi="Book Antiqua"/>
                <w:b/>
                <w:sz w:val="24"/>
                <w:szCs w:val="24"/>
                <w:lang w:val="en-US" w:eastAsia="es-MX"/>
              </w:rPr>
            </w:pPr>
            <w:r w:rsidRPr="00D5362F">
              <w:rPr>
                <w:rFonts w:ascii="Book Antiqua" w:hAnsi="Book Antiqua"/>
                <w:color w:val="000000"/>
                <w:sz w:val="24"/>
                <w:szCs w:val="24"/>
                <w:lang w:val="en-US" w:eastAsia="es-MX"/>
              </w:rPr>
              <w:t>148.16 ± 21.88</w:t>
            </w:r>
          </w:p>
        </w:tc>
        <w:tc>
          <w:tcPr>
            <w:tcW w:w="1984" w:type="dxa"/>
          </w:tcPr>
          <w:p w:rsidR="008A6899" w:rsidRPr="00D5362F" w:rsidRDefault="008A6899" w:rsidP="00D5362F">
            <w:pPr>
              <w:autoSpaceDE w:val="0"/>
              <w:autoSpaceDN w:val="0"/>
              <w:adjustRightInd w:val="0"/>
              <w:snapToGrid w:val="0"/>
              <w:spacing w:after="0" w:line="360" w:lineRule="auto"/>
              <w:jc w:val="center"/>
              <w:rPr>
                <w:rFonts w:ascii="Book Antiqua" w:hAnsi="Book Antiqua"/>
                <w:b/>
                <w:sz w:val="24"/>
                <w:szCs w:val="24"/>
                <w:lang w:val="en-US" w:eastAsia="es-MX"/>
              </w:rPr>
            </w:pPr>
            <w:r w:rsidRPr="00D5362F">
              <w:rPr>
                <w:rFonts w:ascii="Book Antiqua" w:hAnsi="Book Antiqua"/>
                <w:color w:val="000000"/>
                <w:sz w:val="24"/>
                <w:szCs w:val="24"/>
                <w:lang w:val="en-US" w:eastAsia="es-MX"/>
              </w:rPr>
              <w:t>130.61 ± 14.41</w:t>
            </w:r>
          </w:p>
        </w:tc>
        <w:tc>
          <w:tcPr>
            <w:tcW w:w="1246" w:type="dxa"/>
          </w:tcPr>
          <w:p w:rsidR="008A6899" w:rsidRPr="00D5362F" w:rsidRDefault="008A6899" w:rsidP="00D5362F">
            <w:pPr>
              <w:autoSpaceDE w:val="0"/>
              <w:autoSpaceDN w:val="0"/>
              <w:adjustRightInd w:val="0"/>
              <w:snapToGrid w:val="0"/>
              <w:spacing w:after="0" w:line="360" w:lineRule="auto"/>
              <w:jc w:val="center"/>
              <w:rPr>
                <w:rFonts w:ascii="Book Antiqua" w:hAnsi="Book Antiqua"/>
                <w:sz w:val="24"/>
                <w:szCs w:val="24"/>
                <w:lang w:val="en-US" w:eastAsia="es-MX"/>
              </w:rPr>
            </w:pPr>
            <w:r w:rsidRPr="00D5362F">
              <w:rPr>
                <w:rFonts w:ascii="Book Antiqua" w:hAnsi="Book Antiqua"/>
                <w:sz w:val="24"/>
                <w:szCs w:val="24"/>
                <w:lang w:val="en-US" w:eastAsia="es-MX"/>
              </w:rPr>
              <w:t>0.002</w:t>
            </w:r>
          </w:p>
        </w:tc>
      </w:tr>
      <w:tr w:rsidR="008A6899" w:rsidRPr="00D5362F" w:rsidTr="00D5362F">
        <w:trPr>
          <w:trHeight w:val="800"/>
        </w:trPr>
        <w:tc>
          <w:tcPr>
            <w:tcW w:w="2235" w:type="dxa"/>
            <w:tcBorders>
              <w:bottom w:val="single" w:sz="4" w:space="0" w:color="auto"/>
            </w:tcBorders>
          </w:tcPr>
          <w:p w:rsidR="008A6899" w:rsidRPr="00D5362F" w:rsidRDefault="008A6899" w:rsidP="00D5362F">
            <w:pPr>
              <w:autoSpaceDE w:val="0"/>
              <w:autoSpaceDN w:val="0"/>
              <w:adjustRightInd w:val="0"/>
              <w:snapToGrid w:val="0"/>
              <w:spacing w:after="0" w:line="360" w:lineRule="auto"/>
              <w:jc w:val="both"/>
              <w:rPr>
                <w:rFonts w:ascii="Book Antiqua" w:hAnsi="Book Antiqua"/>
                <w:sz w:val="24"/>
                <w:szCs w:val="24"/>
                <w:lang w:val="en-US" w:eastAsia="es-MX"/>
              </w:rPr>
            </w:pPr>
            <w:r w:rsidRPr="00D5362F">
              <w:rPr>
                <w:rFonts w:ascii="Book Antiqua" w:hAnsi="Book Antiqua"/>
                <w:sz w:val="24"/>
                <w:szCs w:val="24"/>
                <w:lang w:val="en-US" w:eastAsia="es-MX"/>
              </w:rPr>
              <w:t xml:space="preserve">PC/SD ratio </w:t>
            </w:r>
          </w:p>
        </w:tc>
        <w:tc>
          <w:tcPr>
            <w:tcW w:w="2126" w:type="dxa"/>
            <w:tcBorders>
              <w:bottom w:val="single" w:sz="4" w:space="0" w:color="auto"/>
            </w:tcBorders>
          </w:tcPr>
          <w:p w:rsidR="008A6899" w:rsidRPr="00D5362F" w:rsidRDefault="008A6899" w:rsidP="00D5362F">
            <w:pPr>
              <w:autoSpaceDE w:val="0"/>
              <w:autoSpaceDN w:val="0"/>
              <w:adjustRightInd w:val="0"/>
              <w:snapToGrid w:val="0"/>
              <w:spacing w:after="0" w:line="360" w:lineRule="auto"/>
              <w:jc w:val="center"/>
              <w:rPr>
                <w:rFonts w:ascii="Book Antiqua" w:hAnsi="Book Antiqua"/>
                <w:b/>
                <w:sz w:val="24"/>
                <w:szCs w:val="24"/>
                <w:lang w:val="en-US" w:eastAsia="es-MX"/>
              </w:rPr>
            </w:pPr>
            <w:r w:rsidRPr="00D5362F">
              <w:rPr>
                <w:rFonts w:ascii="Book Antiqua" w:hAnsi="Book Antiqua"/>
                <w:color w:val="000000"/>
                <w:sz w:val="24"/>
                <w:szCs w:val="24"/>
                <w:lang w:val="en-US" w:eastAsia="es-MX"/>
              </w:rPr>
              <w:t>824.56 ± 412.27</w:t>
            </w:r>
          </w:p>
        </w:tc>
        <w:tc>
          <w:tcPr>
            <w:tcW w:w="1984" w:type="dxa"/>
            <w:tcBorders>
              <w:bottom w:val="single" w:sz="4" w:space="0" w:color="auto"/>
            </w:tcBorders>
          </w:tcPr>
          <w:p w:rsidR="008A6899" w:rsidRPr="00D5362F" w:rsidRDefault="008A6899" w:rsidP="00D5362F">
            <w:pPr>
              <w:autoSpaceDE w:val="0"/>
              <w:autoSpaceDN w:val="0"/>
              <w:adjustRightInd w:val="0"/>
              <w:snapToGrid w:val="0"/>
              <w:spacing w:after="0" w:line="360" w:lineRule="auto"/>
              <w:jc w:val="center"/>
              <w:rPr>
                <w:rFonts w:ascii="Book Antiqua" w:hAnsi="Book Antiqua"/>
                <w:b/>
                <w:sz w:val="24"/>
                <w:szCs w:val="24"/>
                <w:lang w:val="en-US" w:eastAsia="es-MX"/>
              </w:rPr>
            </w:pPr>
            <w:r w:rsidRPr="00D5362F">
              <w:rPr>
                <w:rFonts w:ascii="Book Antiqua" w:hAnsi="Book Antiqua"/>
                <w:color w:val="000000"/>
                <w:sz w:val="24"/>
                <w:szCs w:val="24"/>
                <w:lang w:val="en-US" w:eastAsia="es-MX"/>
              </w:rPr>
              <w:t>1390 ± 905.49</w:t>
            </w:r>
          </w:p>
        </w:tc>
        <w:tc>
          <w:tcPr>
            <w:tcW w:w="1246" w:type="dxa"/>
            <w:tcBorders>
              <w:bottom w:val="single" w:sz="4" w:space="0" w:color="auto"/>
            </w:tcBorders>
          </w:tcPr>
          <w:p w:rsidR="008A6899" w:rsidRPr="00D5362F" w:rsidRDefault="008A6899" w:rsidP="00D5362F">
            <w:pPr>
              <w:autoSpaceDE w:val="0"/>
              <w:autoSpaceDN w:val="0"/>
              <w:adjustRightInd w:val="0"/>
              <w:snapToGrid w:val="0"/>
              <w:spacing w:after="0" w:line="360" w:lineRule="auto"/>
              <w:jc w:val="center"/>
              <w:rPr>
                <w:rFonts w:ascii="Book Antiqua" w:hAnsi="Book Antiqua"/>
                <w:sz w:val="24"/>
                <w:szCs w:val="24"/>
                <w:lang w:val="en-US" w:eastAsia="es-MX"/>
              </w:rPr>
            </w:pPr>
            <w:r w:rsidRPr="00D5362F">
              <w:rPr>
                <w:rFonts w:ascii="Book Antiqua" w:hAnsi="Book Antiqua"/>
                <w:sz w:val="24"/>
                <w:szCs w:val="24"/>
                <w:lang w:val="en-US" w:eastAsia="es-MX"/>
              </w:rPr>
              <w:t>0.018</w:t>
            </w:r>
          </w:p>
        </w:tc>
      </w:tr>
    </w:tbl>
    <w:p w:rsidR="008A6899" w:rsidRPr="008C3A92" w:rsidRDefault="008A6899" w:rsidP="004E2489">
      <w:pPr>
        <w:autoSpaceDE w:val="0"/>
        <w:autoSpaceDN w:val="0"/>
        <w:adjustRightInd w:val="0"/>
        <w:snapToGrid w:val="0"/>
        <w:spacing w:after="0" w:line="360" w:lineRule="auto"/>
        <w:jc w:val="both"/>
        <w:rPr>
          <w:rFonts w:ascii="Book Antiqua" w:hAnsi="Book Antiqua"/>
          <w:b/>
          <w:sz w:val="24"/>
          <w:szCs w:val="24"/>
          <w:lang w:val="en-US"/>
        </w:rPr>
      </w:pPr>
    </w:p>
    <w:p w:rsidR="008A6899" w:rsidRPr="008C3A92" w:rsidRDefault="008A6899" w:rsidP="004E2489">
      <w:pPr>
        <w:autoSpaceDE w:val="0"/>
        <w:autoSpaceDN w:val="0"/>
        <w:adjustRightInd w:val="0"/>
        <w:snapToGrid w:val="0"/>
        <w:spacing w:after="0" w:line="360" w:lineRule="auto"/>
        <w:jc w:val="both"/>
        <w:rPr>
          <w:rFonts w:ascii="Book Antiqua" w:hAnsi="Book Antiqua"/>
          <w:b/>
          <w:sz w:val="24"/>
          <w:szCs w:val="24"/>
          <w:lang w:val="en-US"/>
        </w:rPr>
      </w:pPr>
    </w:p>
    <w:p w:rsidR="008A6899" w:rsidRPr="008C3A92" w:rsidRDefault="008A6899" w:rsidP="004E2489">
      <w:pPr>
        <w:autoSpaceDE w:val="0"/>
        <w:autoSpaceDN w:val="0"/>
        <w:adjustRightInd w:val="0"/>
        <w:snapToGrid w:val="0"/>
        <w:spacing w:after="0" w:line="360" w:lineRule="auto"/>
        <w:jc w:val="both"/>
        <w:rPr>
          <w:rFonts w:ascii="Book Antiqua" w:hAnsi="Book Antiqua"/>
          <w:b/>
          <w:sz w:val="24"/>
          <w:szCs w:val="24"/>
          <w:lang w:val="en-US"/>
        </w:rPr>
      </w:pPr>
    </w:p>
    <w:p w:rsidR="008A6899" w:rsidRPr="008C3A92" w:rsidRDefault="008A6899" w:rsidP="004E2489">
      <w:pPr>
        <w:autoSpaceDE w:val="0"/>
        <w:autoSpaceDN w:val="0"/>
        <w:adjustRightInd w:val="0"/>
        <w:snapToGrid w:val="0"/>
        <w:spacing w:after="0" w:line="360" w:lineRule="auto"/>
        <w:jc w:val="both"/>
        <w:rPr>
          <w:rFonts w:ascii="Book Antiqua" w:hAnsi="Book Antiqua"/>
          <w:b/>
          <w:sz w:val="24"/>
          <w:szCs w:val="24"/>
          <w:lang w:val="en-US"/>
        </w:rPr>
      </w:pPr>
    </w:p>
    <w:p w:rsidR="008A6899" w:rsidRPr="008C3A92" w:rsidRDefault="008A6899" w:rsidP="004E2489">
      <w:pPr>
        <w:autoSpaceDE w:val="0"/>
        <w:autoSpaceDN w:val="0"/>
        <w:adjustRightInd w:val="0"/>
        <w:snapToGrid w:val="0"/>
        <w:spacing w:after="0" w:line="360" w:lineRule="auto"/>
        <w:jc w:val="both"/>
        <w:rPr>
          <w:rFonts w:ascii="Book Antiqua" w:hAnsi="Book Antiqua"/>
          <w:b/>
          <w:sz w:val="24"/>
          <w:szCs w:val="24"/>
          <w:lang w:val="en-US"/>
        </w:rPr>
      </w:pPr>
    </w:p>
    <w:p w:rsidR="008A6899" w:rsidRPr="008C3A92" w:rsidRDefault="008A6899" w:rsidP="004E2489">
      <w:pPr>
        <w:autoSpaceDE w:val="0"/>
        <w:autoSpaceDN w:val="0"/>
        <w:adjustRightInd w:val="0"/>
        <w:snapToGrid w:val="0"/>
        <w:spacing w:after="0" w:line="360" w:lineRule="auto"/>
        <w:jc w:val="both"/>
        <w:rPr>
          <w:rFonts w:ascii="Book Antiqua" w:hAnsi="Book Antiqua"/>
          <w:b/>
          <w:sz w:val="24"/>
          <w:szCs w:val="24"/>
          <w:lang w:val="en-US"/>
        </w:rPr>
      </w:pPr>
    </w:p>
    <w:p w:rsidR="008A6899" w:rsidRPr="008C3A92" w:rsidRDefault="008A6899" w:rsidP="004E2489">
      <w:pPr>
        <w:autoSpaceDE w:val="0"/>
        <w:autoSpaceDN w:val="0"/>
        <w:adjustRightInd w:val="0"/>
        <w:snapToGrid w:val="0"/>
        <w:spacing w:after="0" w:line="360" w:lineRule="auto"/>
        <w:jc w:val="both"/>
        <w:rPr>
          <w:rFonts w:ascii="Book Antiqua" w:hAnsi="Book Antiqua"/>
          <w:b/>
          <w:sz w:val="24"/>
          <w:szCs w:val="24"/>
          <w:lang w:val="en-US"/>
        </w:rPr>
      </w:pPr>
    </w:p>
    <w:p w:rsidR="008A6899" w:rsidRPr="007C6394" w:rsidRDefault="008A6899" w:rsidP="004E2489">
      <w:pPr>
        <w:autoSpaceDE w:val="0"/>
        <w:autoSpaceDN w:val="0"/>
        <w:adjustRightInd w:val="0"/>
        <w:snapToGrid w:val="0"/>
        <w:spacing w:after="0" w:line="360" w:lineRule="auto"/>
        <w:jc w:val="both"/>
        <w:rPr>
          <w:rFonts w:ascii="Book Antiqua" w:hAnsi="Book Antiqua"/>
          <w:sz w:val="24"/>
          <w:szCs w:val="24"/>
          <w:lang w:val="en-US" w:eastAsia="zh-CN"/>
        </w:rPr>
      </w:pPr>
      <w:r w:rsidRPr="007C6394">
        <w:rPr>
          <w:rFonts w:ascii="Book Antiqua" w:hAnsi="Book Antiqua"/>
          <w:sz w:val="24"/>
          <w:szCs w:val="24"/>
          <w:vertAlign w:val="superscript"/>
          <w:lang w:val="en-US" w:eastAsia="zh-CN"/>
        </w:rPr>
        <w:t>1</w:t>
      </w:r>
      <w:r w:rsidRPr="007C6394">
        <w:rPr>
          <w:rFonts w:ascii="Book Antiqua" w:hAnsi="Book Antiqua"/>
          <w:sz w:val="24"/>
          <w:szCs w:val="24"/>
          <w:lang w:val="en-US"/>
        </w:rPr>
        <w:t xml:space="preserve">Using Student’s </w:t>
      </w:r>
      <w:r w:rsidRPr="007C6394">
        <w:rPr>
          <w:rFonts w:ascii="Book Antiqua" w:hAnsi="Book Antiqua"/>
          <w:i/>
          <w:sz w:val="24"/>
          <w:szCs w:val="24"/>
          <w:lang w:val="en-US"/>
        </w:rPr>
        <w:t>t</w:t>
      </w:r>
      <w:r w:rsidRPr="007C6394">
        <w:rPr>
          <w:rFonts w:ascii="Book Antiqua" w:hAnsi="Book Antiqua"/>
          <w:sz w:val="24"/>
          <w:szCs w:val="24"/>
          <w:lang w:val="en-US"/>
        </w:rPr>
        <w:t xml:space="preserve"> test</w:t>
      </w:r>
      <w:r w:rsidRPr="007C6394">
        <w:rPr>
          <w:rFonts w:ascii="Book Antiqua" w:hAnsi="Book Antiqua"/>
          <w:sz w:val="24"/>
          <w:szCs w:val="24"/>
          <w:lang w:val="en-US" w:eastAsia="zh-CN"/>
        </w:rPr>
        <w:t xml:space="preserve">. </w:t>
      </w:r>
      <w:r w:rsidRPr="007C6394">
        <w:rPr>
          <w:rFonts w:ascii="Book Antiqua" w:hAnsi="Book Antiqua"/>
          <w:sz w:val="24"/>
          <w:szCs w:val="24"/>
          <w:lang w:val="en-US"/>
        </w:rPr>
        <w:t>EV</w:t>
      </w:r>
      <w:r w:rsidRPr="007C6394">
        <w:rPr>
          <w:rFonts w:ascii="Book Antiqua" w:hAnsi="Book Antiqua"/>
          <w:sz w:val="24"/>
          <w:szCs w:val="24"/>
          <w:lang w:val="en-US" w:eastAsia="zh-CN"/>
        </w:rPr>
        <w:t xml:space="preserve">: </w:t>
      </w:r>
      <w:r w:rsidRPr="007C6394">
        <w:rPr>
          <w:rFonts w:ascii="Book Antiqua" w:hAnsi="Book Antiqua"/>
          <w:sz w:val="24"/>
          <w:szCs w:val="24"/>
          <w:lang w:val="en-US"/>
        </w:rPr>
        <w:t>Esophageal varices</w:t>
      </w:r>
      <w:r w:rsidRPr="007C6394">
        <w:rPr>
          <w:rFonts w:ascii="Book Antiqua" w:hAnsi="Book Antiqua"/>
          <w:sz w:val="24"/>
          <w:szCs w:val="24"/>
          <w:lang w:val="en-US" w:eastAsia="zh-CN"/>
        </w:rPr>
        <w:t>.</w:t>
      </w:r>
      <w:r w:rsidRPr="007C6394">
        <w:rPr>
          <w:rFonts w:ascii="Book Antiqua" w:hAnsi="Book Antiqua"/>
          <w:sz w:val="24"/>
          <w:szCs w:val="24"/>
          <w:lang w:val="en-US"/>
        </w:rPr>
        <w:t xml:space="preserve"> PC/SD</w:t>
      </w:r>
      <w:r w:rsidRPr="007C6394">
        <w:rPr>
          <w:rFonts w:ascii="Book Antiqua" w:hAnsi="Book Antiqua" w:cs="宋体"/>
          <w:sz w:val="24"/>
          <w:szCs w:val="24"/>
          <w:lang w:val="en-US" w:eastAsia="zh-CN"/>
        </w:rPr>
        <w:t xml:space="preserve">: </w:t>
      </w:r>
      <w:r w:rsidRPr="007C6394">
        <w:rPr>
          <w:rFonts w:ascii="Book Antiqua" w:hAnsi="Book Antiqua" w:cs="宋体"/>
          <w:sz w:val="24"/>
          <w:szCs w:val="24"/>
          <w:lang w:val="en-US"/>
        </w:rPr>
        <w:t>Platelet count/diameter of the spleen</w:t>
      </w:r>
      <w:r w:rsidRPr="007C6394">
        <w:rPr>
          <w:rFonts w:ascii="Book Antiqua" w:hAnsi="Book Antiqua" w:cs="宋体"/>
          <w:sz w:val="24"/>
          <w:szCs w:val="24"/>
          <w:lang w:val="en-US" w:eastAsia="zh-CN"/>
        </w:rPr>
        <w:t>.</w:t>
      </w:r>
    </w:p>
    <w:p w:rsidR="008A6899" w:rsidRDefault="008A6899" w:rsidP="004E2489">
      <w:pPr>
        <w:snapToGrid w:val="0"/>
        <w:spacing w:after="0" w:line="360" w:lineRule="auto"/>
        <w:jc w:val="both"/>
        <w:rPr>
          <w:rFonts w:ascii="Book Antiqua" w:hAnsi="Book Antiqua"/>
          <w:color w:val="000000"/>
          <w:sz w:val="24"/>
          <w:szCs w:val="24"/>
          <w:lang w:val="en-US" w:eastAsia="zh-CN"/>
        </w:rPr>
      </w:pPr>
    </w:p>
    <w:p w:rsidR="008A6899" w:rsidRPr="000A7E77" w:rsidRDefault="008A6899" w:rsidP="004E2489">
      <w:pPr>
        <w:snapToGrid w:val="0"/>
        <w:spacing w:after="0" w:line="360" w:lineRule="auto"/>
        <w:jc w:val="both"/>
        <w:rPr>
          <w:rFonts w:ascii="Book Antiqua" w:hAnsi="Book Antiqua"/>
          <w:color w:val="000000"/>
          <w:sz w:val="24"/>
          <w:szCs w:val="24"/>
          <w:lang w:val="en-US"/>
        </w:rPr>
      </w:pPr>
      <w:r w:rsidRPr="008C3A92">
        <w:rPr>
          <w:rFonts w:ascii="Book Antiqua" w:hAnsi="Book Antiqua"/>
          <w:b/>
          <w:sz w:val="24"/>
          <w:szCs w:val="24"/>
          <w:lang w:val="en-US"/>
        </w:rPr>
        <w:t xml:space="preserve">Table 3 Results of the </w:t>
      </w:r>
      <w:r w:rsidRPr="000A7E77">
        <w:rPr>
          <w:rFonts w:ascii="Book Antiqua" w:hAnsi="Book Antiqua" w:cs="宋体"/>
          <w:b/>
          <w:sz w:val="24"/>
          <w:szCs w:val="24"/>
          <w:lang w:val="en-US"/>
        </w:rPr>
        <w:t>platelet count/diameter of the spleen</w:t>
      </w:r>
      <w:r w:rsidRPr="008C3A92">
        <w:rPr>
          <w:rFonts w:ascii="Book Antiqua" w:hAnsi="Book Antiqua"/>
          <w:b/>
          <w:sz w:val="24"/>
          <w:szCs w:val="24"/>
          <w:lang w:val="en-US"/>
        </w:rPr>
        <w:t xml:space="preserve"> ratio diagnostic test using the cutoff value of </w:t>
      </w:r>
      <w:r w:rsidRPr="008C3A92">
        <w:rPr>
          <w:rFonts w:ascii="Book Antiqua" w:hAnsi="Book Antiqua"/>
          <w:b/>
          <w:sz w:val="24"/>
          <w:szCs w:val="24"/>
          <w:lang w:val="en-US"/>
        </w:rPr>
        <w:sym w:font="Symbol" w:char="F0A3"/>
      </w:r>
      <w:r>
        <w:rPr>
          <w:rFonts w:ascii="Book Antiqua" w:hAnsi="Book Antiqua"/>
          <w:b/>
          <w:sz w:val="24"/>
          <w:szCs w:val="24"/>
          <w:lang w:val="en-US" w:eastAsia="zh-CN"/>
        </w:rPr>
        <w:t xml:space="preserve"> </w:t>
      </w:r>
      <w:r w:rsidRPr="008C3A92">
        <w:rPr>
          <w:rFonts w:ascii="Book Antiqua" w:hAnsi="Book Antiqua"/>
          <w:b/>
          <w:color w:val="000000"/>
          <w:sz w:val="24"/>
          <w:szCs w:val="24"/>
          <w:lang w:val="en-US"/>
        </w:rPr>
        <w:t>884 to predict esophageal varices</w:t>
      </w:r>
    </w:p>
    <w:tbl>
      <w:tblPr>
        <w:tblW w:w="0" w:type="auto"/>
        <w:tblBorders>
          <w:top w:val="single" w:sz="4" w:space="0" w:color="auto"/>
          <w:bottom w:val="single" w:sz="4" w:space="0" w:color="auto"/>
        </w:tblBorders>
        <w:tblLayout w:type="fixed"/>
        <w:tblLook w:val="00A0" w:firstRow="1" w:lastRow="0" w:firstColumn="1" w:lastColumn="0" w:noHBand="0" w:noVBand="0"/>
      </w:tblPr>
      <w:tblGrid>
        <w:gridCol w:w="3227"/>
        <w:gridCol w:w="2977"/>
        <w:gridCol w:w="16"/>
        <w:gridCol w:w="2995"/>
      </w:tblGrid>
      <w:tr w:rsidR="008A6899" w:rsidRPr="00D5362F" w:rsidTr="00D5362F">
        <w:trPr>
          <w:trHeight w:val="855"/>
        </w:trPr>
        <w:tc>
          <w:tcPr>
            <w:tcW w:w="3227" w:type="dxa"/>
            <w:tcBorders>
              <w:top w:val="single" w:sz="4" w:space="0" w:color="auto"/>
              <w:bottom w:val="nil"/>
            </w:tcBorders>
          </w:tcPr>
          <w:p w:rsidR="008A6899" w:rsidRPr="00D5362F" w:rsidRDefault="008A6899" w:rsidP="00D5362F">
            <w:pPr>
              <w:snapToGrid w:val="0"/>
              <w:spacing w:after="0" w:line="360" w:lineRule="auto"/>
              <w:jc w:val="both"/>
              <w:rPr>
                <w:rFonts w:ascii="Book Antiqua" w:hAnsi="Book Antiqua"/>
                <w:color w:val="000000"/>
                <w:sz w:val="24"/>
                <w:szCs w:val="24"/>
                <w:lang w:val="en-US" w:eastAsia="es-MX"/>
              </w:rPr>
            </w:pPr>
          </w:p>
        </w:tc>
        <w:tc>
          <w:tcPr>
            <w:tcW w:w="2993" w:type="dxa"/>
            <w:gridSpan w:val="2"/>
            <w:tcBorders>
              <w:top w:val="single" w:sz="4" w:space="0" w:color="auto"/>
              <w:bottom w:val="nil"/>
            </w:tcBorders>
          </w:tcPr>
          <w:p w:rsidR="008A6899" w:rsidRPr="00D5362F" w:rsidRDefault="008A6899" w:rsidP="00D5362F">
            <w:pPr>
              <w:autoSpaceDE w:val="0"/>
              <w:autoSpaceDN w:val="0"/>
              <w:adjustRightInd w:val="0"/>
              <w:snapToGrid w:val="0"/>
              <w:spacing w:after="0" w:line="360" w:lineRule="auto"/>
              <w:jc w:val="center"/>
              <w:rPr>
                <w:rFonts w:ascii="Book Antiqua" w:hAnsi="Book Antiqua"/>
                <w:b/>
                <w:sz w:val="24"/>
                <w:szCs w:val="24"/>
                <w:lang w:val="en-US" w:eastAsia="es-MX"/>
              </w:rPr>
            </w:pPr>
            <w:r w:rsidRPr="00D5362F">
              <w:rPr>
                <w:rFonts w:ascii="Book Antiqua" w:hAnsi="Book Antiqua"/>
                <w:b/>
                <w:color w:val="000000"/>
                <w:sz w:val="24"/>
                <w:szCs w:val="24"/>
                <w:lang w:val="en-US" w:eastAsia="es-MX"/>
              </w:rPr>
              <w:t>EV p</w:t>
            </w:r>
            <w:r w:rsidRPr="00D5362F">
              <w:rPr>
                <w:rFonts w:ascii="Book Antiqua" w:hAnsi="Book Antiqua"/>
                <w:b/>
                <w:sz w:val="24"/>
                <w:szCs w:val="24"/>
                <w:lang w:val="en-US" w:eastAsia="es-MX"/>
              </w:rPr>
              <w:t>resent</w:t>
            </w:r>
          </w:p>
        </w:tc>
        <w:tc>
          <w:tcPr>
            <w:tcW w:w="2995" w:type="dxa"/>
            <w:tcBorders>
              <w:top w:val="single" w:sz="4" w:space="0" w:color="auto"/>
              <w:bottom w:val="nil"/>
            </w:tcBorders>
          </w:tcPr>
          <w:p w:rsidR="008A6899" w:rsidRPr="00D5362F" w:rsidRDefault="008A6899" w:rsidP="00D5362F">
            <w:pPr>
              <w:autoSpaceDE w:val="0"/>
              <w:autoSpaceDN w:val="0"/>
              <w:adjustRightInd w:val="0"/>
              <w:snapToGrid w:val="0"/>
              <w:spacing w:after="0" w:line="360" w:lineRule="auto"/>
              <w:jc w:val="center"/>
              <w:rPr>
                <w:rFonts w:ascii="Book Antiqua" w:hAnsi="Book Antiqua"/>
                <w:b/>
                <w:sz w:val="24"/>
                <w:szCs w:val="24"/>
                <w:lang w:val="en-US" w:eastAsia="es-MX"/>
              </w:rPr>
            </w:pPr>
            <w:r w:rsidRPr="00D5362F">
              <w:rPr>
                <w:rFonts w:ascii="Book Antiqua" w:hAnsi="Book Antiqua"/>
                <w:b/>
                <w:color w:val="000000"/>
                <w:sz w:val="24"/>
                <w:szCs w:val="24"/>
                <w:lang w:val="en-US" w:eastAsia="es-MX"/>
              </w:rPr>
              <w:t>EV a</w:t>
            </w:r>
            <w:r w:rsidRPr="00D5362F">
              <w:rPr>
                <w:rFonts w:ascii="Book Antiqua" w:hAnsi="Book Antiqua"/>
                <w:b/>
                <w:sz w:val="24"/>
                <w:szCs w:val="24"/>
                <w:lang w:val="en-US" w:eastAsia="es-MX"/>
              </w:rPr>
              <w:t>bsent</w:t>
            </w:r>
          </w:p>
        </w:tc>
      </w:tr>
      <w:tr w:rsidR="008A6899" w:rsidRPr="00D5362F" w:rsidTr="00D5362F">
        <w:trPr>
          <w:trHeight w:val="855"/>
        </w:trPr>
        <w:tc>
          <w:tcPr>
            <w:tcW w:w="3227" w:type="dxa"/>
            <w:tcBorders>
              <w:top w:val="nil"/>
              <w:bottom w:val="nil"/>
            </w:tcBorders>
          </w:tcPr>
          <w:p w:rsidR="008A6899" w:rsidRPr="00D5362F" w:rsidRDefault="008A6899" w:rsidP="00D5362F">
            <w:pPr>
              <w:snapToGrid w:val="0"/>
              <w:spacing w:after="0" w:line="360" w:lineRule="auto"/>
              <w:jc w:val="both"/>
              <w:rPr>
                <w:rFonts w:ascii="Book Antiqua" w:hAnsi="Book Antiqua"/>
                <w:color w:val="000000"/>
                <w:sz w:val="24"/>
                <w:szCs w:val="24"/>
                <w:lang w:val="en-US" w:eastAsia="es-MX"/>
              </w:rPr>
            </w:pPr>
            <w:r w:rsidRPr="00D5362F">
              <w:rPr>
                <w:rFonts w:ascii="Book Antiqua" w:hAnsi="Book Antiqua"/>
                <w:color w:val="000000"/>
                <w:sz w:val="24"/>
                <w:szCs w:val="24"/>
                <w:lang w:val="en-US" w:eastAsia="es-MX"/>
              </w:rPr>
              <w:t xml:space="preserve">Cutoff ratio of </w:t>
            </w:r>
            <w:r w:rsidRPr="00D5362F">
              <w:rPr>
                <w:rFonts w:ascii="Book Antiqua" w:hAnsi="Book Antiqua"/>
                <w:color w:val="000000"/>
                <w:sz w:val="24"/>
                <w:szCs w:val="24"/>
                <w:lang w:val="en-US" w:eastAsia="es-MX"/>
              </w:rPr>
              <w:sym w:font="Symbol" w:char="F0A3"/>
            </w:r>
            <w:r w:rsidRPr="00D5362F">
              <w:rPr>
                <w:rFonts w:ascii="Book Antiqua" w:hAnsi="Book Antiqua"/>
                <w:color w:val="000000"/>
                <w:sz w:val="24"/>
                <w:szCs w:val="24"/>
                <w:lang w:val="en-US" w:eastAsia="zh-CN"/>
              </w:rPr>
              <w:t xml:space="preserve"> </w:t>
            </w:r>
            <w:r w:rsidRPr="00D5362F">
              <w:rPr>
                <w:rFonts w:ascii="Book Antiqua" w:hAnsi="Book Antiqua"/>
                <w:color w:val="000000"/>
                <w:sz w:val="24"/>
                <w:szCs w:val="24"/>
                <w:lang w:val="en-US" w:eastAsia="es-MX"/>
              </w:rPr>
              <w:t xml:space="preserve">884 </w:t>
            </w:r>
            <w:r w:rsidRPr="00D5362F">
              <w:rPr>
                <w:rFonts w:ascii="Book Antiqua" w:hAnsi="Book Antiqua"/>
                <w:i/>
                <w:color w:val="000000"/>
                <w:sz w:val="24"/>
                <w:szCs w:val="24"/>
                <w:lang w:val="en-US" w:eastAsia="es-MX"/>
              </w:rPr>
              <w:t>vs</w:t>
            </w:r>
            <w:r w:rsidRPr="00D5362F">
              <w:rPr>
                <w:rFonts w:ascii="Book Antiqua" w:hAnsi="Book Antiqua"/>
                <w:color w:val="000000"/>
                <w:sz w:val="24"/>
                <w:szCs w:val="24"/>
                <w:lang w:val="en-US" w:eastAsia="es-MX"/>
              </w:rPr>
              <w:t xml:space="preserve"> &gt;</w:t>
            </w:r>
            <w:r w:rsidRPr="00D5362F">
              <w:rPr>
                <w:rFonts w:ascii="Book Antiqua" w:hAnsi="Book Antiqua"/>
                <w:color w:val="000000"/>
                <w:sz w:val="24"/>
                <w:szCs w:val="24"/>
                <w:lang w:val="en-US" w:eastAsia="zh-CN"/>
              </w:rPr>
              <w:t xml:space="preserve"> </w:t>
            </w:r>
            <w:r w:rsidRPr="00D5362F">
              <w:rPr>
                <w:rFonts w:ascii="Book Antiqua" w:hAnsi="Book Antiqua"/>
                <w:color w:val="000000"/>
                <w:sz w:val="24"/>
                <w:szCs w:val="24"/>
                <w:lang w:val="en-US" w:eastAsia="es-MX"/>
              </w:rPr>
              <w:t>884</w:t>
            </w:r>
          </w:p>
        </w:tc>
        <w:tc>
          <w:tcPr>
            <w:tcW w:w="2993" w:type="dxa"/>
            <w:gridSpan w:val="2"/>
            <w:tcBorders>
              <w:top w:val="nil"/>
              <w:bottom w:val="nil"/>
            </w:tcBorders>
          </w:tcPr>
          <w:p w:rsidR="008A6899" w:rsidRPr="00D5362F" w:rsidRDefault="008A6899" w:rsidP="00D5362F">
            <w:pPr>
              <w:snapToGrid w:val="0"/>
              <w:spacing w:after="0" w:line="360" w:lineRule="auto"/>
              <w:jc w:val="center"/>
              <w:rPr>
                <w:rFonts w:ascii="Book Antiqua" w:hAnsi="Book Antiqua"/>
                <w:color w:val="000000"/>
                <w:sz w:val="24"/>
                <w:szCs w:val="24"/>
                <w:lang w:val="en-US" w:eastAsia="es-MX"/>
              </w:rPr>
            </w:pPr>
            <w:r w:rsidRPr="00D5362F">
              <w:rPr>
                <w:rFonts w:ascii="Book Antiqua" w:hAnsi="Book Antiqua"/>
                <w:color w:val="000000"/>
                <w:sz w:val="24"/>
                <w:szCs w:val="24"/>
                <w:lang w:val="en-US" w:eastAsia="es-MX"/>
              </w:rPr>
              <w:t>73</w:t>
            </w:r>
          </w:p>
        </w:tc>
        <w:tc>
          <w:tcPr>
            <w:tcW w:w="2995" w:type="dxa"/>
            <w:tcBorders>
              <w:top w:val="nil"/>
              <w:bottom w:val="nil"/>
            </w:tcBorders>
          </w:tcPr>
          <w:p w:rsidR="008A6899" w:rsidRPr="00D5362F" w:rsidRDefault="008A6899" w:rsidP="00D5362F">
            <w:pPr>
              <w:snapToGrid w:val="0"/>
              <w:spacing w:after="0" w:line="360" w:lineRule="auto"/>
              <w:jc w:val="center"/>
              <w:rPr>
                <w:rFonts w:ascii="Book Antiqua" w:hAnsi="Book Antiqua"/>
                <w:color w:val="000000"/>
                <w:sz w:val="24"/>
                <w:szCs w:val="24"/>
                <w:lang w:val="en-US" w:eastAsia="es-MX"/>
              </w:rPr>
            </w:pPr>
            <w:r w:rsidRPr="00D5362F">
              <w:rPr>
                <w:rFonts w:ascii="Book Antiqua" w:hAnsi="Book Antiqua"/>
                <w:color w:val="000000"/>
                <w:sz w:val="24"/>
                <w:szCs w:val="24"/>
                <w:lang w:val="en-US" w:eastAsia="es-MX"/>
              </w:rPr>
              <w:t>18</w:t>
            </w:r>
          </w:p>
        </w:tc>
      </w:tr>
      <w:tr w:rsidR="008A6899" w:rsidRPr="00D5362F" w:rsidTr="00D5362F">
        <w:trPr>
          <w:trHeight w:val="855"/>
        </w:trPr>
        <w:tc>
          <w:tcPr>
            <w:tcW w:w="3227" w:type="dxa"/>
            <w:tcBorders>
              <w:top w:val="nil"/>
              <w:bottom w:val="nil"/>
              <w:right w:val="nil"/>
            </w:tcBorders>
          </w:tcPr>
          <w:p w:rsidR="008A6899" w:rsidRPr="00D5362F" w:rsidRDefault="008A6899" w:rsidP="00D5362F">
            <w:pPr>
              <w:snapToGrid w:val="0"/>
              <w:spacing w:after="0" w:line="360" w:lineRule="auto"/>
              <w:jc w:val="both"/>
              <w:rPr>
                <w:rFonts w:ascii="Book Antiqua" w:hAnsi="Book Antiqua"/>
                <w:color w:val="000000"/>
                <w:sz w:val="24"/>
                <w:szCs w:val="24"/>
                <w:lang w:val="en-US" w:eastAsia="es-MX"/>
              </w:rPr>
            </w:pPr>
            <w:r w:rsidRPr="00D5362F">
              <w:rPr>
                <w:rFonts w:ascii="Book Antiqua" w:hAnsi="Book Antiqua"/>
                <w:color w:val="000000"/>
                <w:sz w:val="24"/>
                <w:szCs w:val="24"/>
                <w:lang w:val="en-US" w:eastAsia="es-MX"/>
              </w:rPr>
              <w:t>Sensitivity</w:t>
            </w:r>
          </w:p>
        </w:tc>
        <w:tc>
          <w:tcPr>
            <w:tcW w:w="2977" w:type="dxa"/>
            <w:tcBorders>
              <w:top w:val="nil"/>
              <w:left w:val="nil"/>
              <w:bottom w:val="nil"/>
              <w:right w:val="nil"/>
            </w:tcBorders>
          </w:tcPr>
          <w:p w:rsidR="008A6899" w:rsidRPr="00D5362F" w:rsidRDefault="008A6899" w:rsidP="00D5362F">
            <w:pPr>
              <w:snapToGrid w:val="0"/>
              <w:spacing w:after="0" w:line="360" w:lineRule="auto"/>
              <w:jc w:val="center"/>
              <w:rPr>
                <w:rFonts w:ascii="Book Antiqua" w:hAnsi="Book Antiqua"/>
                <w:color w:val="000000"/>
                <w:sz w:val="24"/>
                <w:szCs w:val="24"/>
                <w:lang w:val="en-US" w:eastAsia="es-MX"/>
              </w:rPr>
            </w:pPr>
            <w:r w:rsidRPr="00D5362F">
              <w:rPr>
                <w:rFonts w:ascii="Book Antiqua" w:hAnsi="Book Antiqua"/>
                <w:color w:val="000000"/>
                <w:sz w:val="24"/>
                <w:szCs w:val="24"/>
                <w:lang w:val="en-US" w:eastAsia="es-MX"/>
              </w:rPr>
              <w:t>84%</w:t>
            </w:r>
          </w:p>
        </w:tc>
        <w:tc>
          <w:tcPr>
            <w:tcW w:w="3011" w:type="dxa"/>
            <w:gridSpan w:val="2"/>
            <w:tcBorders>
              <w:top w:val="nil"/>
              <w:left w:val="nil"/>
              <w:bottom w:val="nil"/>
            </w:tcBorders>
          </w:tcPr>
          <w:p w:rsidR="008A6899" w:rsidRPr="00D5362F" w:rsidRDefault="008A6899" w:rsidP="00D5362F">
            <w:pPr>
              <w:snapToGrid w:val="0"/>
              <w:spacing w:after="0" w:line="360" w:lineRule="auto"/>
              <w:jc w:val="center"/>
              <w:rPr>
                <w:rFonts w:ascii="Book Antiqua" w:hAnsi="Book Antiqua"/>
                <w:color w:val="000000"/>
                <w:sz w:val="24"/>
                <w:szCs w:val="24"/>
                <w:lang w:val="en-US" w:eastAsia="es-MX"/>
              </w:rPr>
            </w:pPr>
            <w:r w:rsidRPr="00D5362F">
              <w:rPr>
                <w:rFonts w:ascii="Book Antiqua" w:hAnsi="Book Antiqua"/>
                <w:color w:val="000000"/>
                <w:sz w:val="24"/>
                <w:szCs w:val="24"/>
                <w:lang w:val="en-US" w:eastAsia="es-MX"/>
              </w:rPr>
              <w:t>84%</w:t>
            </w:r>
          </w:p>
        </w:tc>
      </w:tr>
      <w:tr w:rsidR="008A6899" w:rsidRPr="00D5362F" w:rsidTr="00D5362F">
        <w:trPr>
          <w:trHeight w:val="855"/>
        </w:trPr>
        <w:tc>
          <w:tcPr>
            <w:tcW w:w="3227" w:type="dxa"/>
            <w:tcBorders>
              <w:top w:val="nil"/>
              <w:bottom w:val="nil"/>
              <w:right w:val="nil"/>
            </w:tcBorders>
          </w:tcPr>
          <w:p w:rsidR="008A6899" w:rsidRPr="00D5362F" w:rsidRDefault="008A6899" w:rsidP="00D5362F">
            <w:pPr>
              <w:snapToGrid w:val="0"/>
              <w:spacing w:after="0" w:line="360" w:lineRule="auto"/>
              <w:jc w:val="both"/>
              <w:rPr>
                <w:rFonts w:ascii="Book Antiqua" w:hAnsi="Book Antiqua"/>
                <w:color w:val="000000"/>
                <w:sz w:val="24"/>
                <w:szCs w:val="24"/>
                <w:lang w:val="en-US" w:eastAsia="es-MX"/>
              </w:rPr>
            </w:pPr>
            <w:r w:rsidRPr="00D5362F">
              <w:rPr>
                <w:rFonts w:ascii="Book Antiqua" w:hAnsi="Book Antiqua"/>
                <w:color w:val="000000"/>
                <w:sz w:val="24"/>
                <w:szCs w:val="24"/>
                <w:lang w:val="en-US" w:eastAsia="es-MX"/>
              </w:rPr>
              <w:lastRenderedPageBreak/>
              <w:t>Specificity</w:t>
            </w:r>
          </w:p>
        </w:tc>
        <w:tc>
          <w:tcPr>
            <w:tcW w:w="2977" w:type="dxa"/>
            <w:tcBorders>
              <w:top w:val="nil"/>
              <w:left w:val="nil"/>
              <w:bottom w:val="nil"/>
              <w:right w:val="nil"/>
            </w:tcBorders>
          </w:tcPr>
          <w:p w:rsidR="008A6899" w:rsidRPr="00D5362F" w:rsidRDefault="008A6899" w:rsidP="00D5362F">
            <w:pPr>
              <w:snapToGrid w:val="0"/>
              <w:spacing w:after="0" w:line="360" w:lineRule="auto"/>
              <w:jc w:val="center"/>
              <w:rPr>
                <w:rFonts w:ascii="Book Antiqua" w:hAnsi="Book Antiqua"/>
                <w:color w:val="000000"/>
                <w:sz w:val="24"/>
                <w:szCs w:val="24"/>
                <w:lang w:val="en-US" w:eastAsia="es-MX"/>
              </w:rPr>
            </w:pPr>
            <w:r w:rsidRPr="00D5362F">
              <w:rPr>
                <w:rFonts w:ascii="Book Antiqua" w:hAnsi="Book Antiqua"/>
                <w:color w:val="000000"/>
                <w:sz w:val="24"/>
                <w:szCs w:val="24"/>
                <w:lang w:val="en-US" w:eastAsia="es-MX"/>
              </w:rPr>
              <w:t>84%</w:t>
            </w:r>
          </w:p>
        </w:tc>
        <w:tc>
          <w:tcPr>
            <w:tcW w:w="3011" w:type="dxa"/>
            <w:gridSpan w:val="2"/>
            <w:tcBorders>
              <w:top w:val="nil"/>
              <w:left w:val="nil"/>
              <w:bottom w:val="nil"/>
            </w:tcBorders>
          </w:tcPr>
          <w:p w:rsidR="008A6899" w:rsidRPr="00D5362F" w:rsidRDefault="008A6899" w:rsidP="00D5362F">
            <w:pPr>
              <w:snapToGrid w:val="0"/>
              <w:spacing w:after="0" w:line="360" w:lineRule="auto"/>
              <w:jc w:val="center"/>
              <w:rPr>
                <w:rFonts w:ascii="Book Antiqua" w:hAnsi="Book Antiqua"/>
                <w:color w:val="000000"/>
                <w:sz w:val="24"/>
                <w:szCs w:val="24"/>
                <w:lang w:val="en-US" w:eastAsia="es-MX"/>
              </w:rPr>
            </w:pPr>
            <w:r w:rsidRPr="00D5362F">
              <w:rPr>
                <w:rFonts w:ascii="Book Antiqua" w:hAnsi="Book Antiqua"/>
                <w:color w:val="000000"/>
                <w:sz w:val="24"/>
                <w:szCs w:val="24"/>
                <w:lang w:val="en-US" w:eastAsia="es-MX"/>
              </w:rPr>
              <w:t>84%</w:t>
            </w:r>
          </w:p>
        </w:tc>
      </w:tr>
      <w:tr w:rsidR="008A6899" w:rsidRPr="00D5362F" w:rsidTr="00D5362F">
        <w:trPr>
          <w:trHeight w:val="855"/>
        </w:trPr>
        <w:tc>
          <w:tcPr>
            <w:tcW w:w="3227" w:type="dxa"/>
            <w:tcBorders>
              <w:top w:val="nil"/>
              <w:bottom w:val="nil"/>
              <w:right w:val="nil"/>
            </w:tcBorders>
          </w:tcPr>
          <w:p w:rsidR="008A6899" w:rsidRPr="00D5362F" w:rsidRDefault="008A6899" w:rsidP="00D5362F">
            <w:pPr>
              <w:snapToGrid w:val="0"/>
              <w:spacing w:after="0" w:line="360" w:lineRule="auto"/>
              <w:jc w:val="both"/>
              <w:rPr>
                <w:rFonts w:ascii="Book Antiqua" w:hAnsi="Book Antiqua"/>
                <w:color w:val="000000"/>
                <w:sz w:val="24"/>
                <w:szCs w:val="24"/>
                <w:lang w:val="en-US" w:eastAsia="es-MX"/>
              </w:rPr>
            </w:pPr>
            <w:r w:rsidRPr="00D5362F">
              <w:rPr>
                <w:rFonts w:ascii="Book Antiqua" w:hAnsi="Book Antiqua"/>
                <w:color w:val="000000"/>
                <w:sz w:val="24"/>
                <w:szCs w:val="24"/>
                <w:lang w:val="en-US" w:eastAsia="es-MX"/>
              </w:rPr>
              <w:t>Positive predictive value</w:t>
            </w:r>
          </w:p>
        </w:tc>
        <w:tc>
          <w:tcPr>
            <w:tcW w:w="2977" w:type="dxa"/>
            <w:tcBorders>
              <w:top w:val="nil"/>
              <w:left w:val="nil"/>
              <w:bottom w:val="nil"/>
              <w:right w:val="nil"/>
            </w:tcBorders>
          </w:tcPr>
          <w:p w:rsidR="008A6899" w:rsidRPr="00D5362F" w:rsidRDefault="008A6899" w:rsidP="00D5362F">
            <w:pPr>
              <w:snapToGrid w:val="0"/>
              <w:spacing w:after="0" w:line="360" w:lineRule="auto"/>
              <w:jc w:val="center"/>
              <w:rPr>
                <w:rFonts w:ascii="Book Antiqua" w:hAnsi="Book Antiqua"/>
                <w:color w:val="000000"/>
                <w:sz w:val="24"/>
                <w:szCs w:val="24"/>
                <w:lang w:val="en-US" w:eastAsia="es-MX"/>
              </w:rPr>
            </w:pPr>
            <w:r w:rsidRPr="00D5362F">
              <w:rPr>
                <w:rFonts w:ascii="Book Antiqua" w:hAnsi="Book Antiqua"/>
                <w:color w:val="000000"/>
                <w:sz w:val="24"/>
                <w:szCs w:val="24"/>
                <w:lang w:val="en-US" w:eastAsia="es-MX"/>
              </w:rPr>
              <w:t>94%</w:t>
            </w:r>
          </w:p>
        </w:tc>
        <w:tc>
          <w:tcPr>
            <w:tcW w:w="3011" w:type="dxa"/>
            <w:gridSpan w:val="2"/>
            <w:tcBorders>
              <w:top w:val="nil"/>
              <w:left w:val="nil"/>
              <w:bottom w:val="nil"/>
            </w:tcBorders>
          </w:tcPr>
          <w:p w:rsidR="008A6899" w:rsidRPr="00D5362F" w:rsidRDefault="008A6899" w:rsidP="00D5362F">
            <w:pPr>
              <w:snapToGrid w:val="0"/>
              <w:spacing w:after="0" w:line="360" w:lineRule="auto"/>
              <w:jc w:val="center"/>
              <w:rPr>
                <w:rFonts w:ascii="Book Antiqua" w:hAnsi="Book Antiqua"/>
                <w:color w:val="000000"/>
                <w:sz w:val="24"/>
                <w:szCs w:val="24"/>
                <w:lang w:val="en-US" w:eastAsia="es-MX"/>
              </w:rPr>
            </w:pPr>
            <w:r w:rsidRPr="00D5362F">
              <w:rPr>
                <w:rFonts w:ascii="Book Antiqua" w:hAnsi="Book Antiqua"/>
                <w:color w:val="000000"/>
                <w:sz w:val="24"/>
                <w:szCs w:val="24"/>
                <w:lang w:val="en-US" w:eastAsia="es-MX"/>
              </w:rPr>
              <w:t>94%</w:t>
            </w:r>
          </w:p>
        </w:tc>
      </w:tr>
      <w:tr w:rsidR="008A6899" w:rsidRPr="00D5362F" w:rsidTr="00D5362F">
        <w:trPr>
          <w:trHeight w:val="855"/>
        </w:trPr>
        <w:tc>
          <w:tcPr>
            <w:tcW w:w="3227" w:type="dxa"/>
            <w:tcBorders>
              <w:top w:val="nil"/>
              <w:bottom w:val="nil"/>
              <w:right w:val="nil"/>
            </w:tcBorders>
          </w:tcPr>
          <w:p w:rsidR="008A6899" w:rsidRPr="00D5362F" w:rsidRDefault="008A6899" w:rsidP="00D5362F">
            <w:pPr>
              <w:snapToGrid w:val="0"/>
              <w:spacing w:after="0" w:line="360" w:lineRule="auto"/>
              <w:jc w:val="both"/>
              <w:rPr>
                <w:rFonts w:ascii="Book Antiqua" w:hAnsi="Book Antiqua"/>
                <w:color w:val="000000"/>
                <w:sz w:val="24"/>
                <w:szCs w:val="24"/>
                <w:lang w:val="en-US" w:eastAsia="es-MX"/>
              </w:rPr>
            </w:pPr>
            <w:r w:rsidRPr="00D5362F">
              <w:rPr>
                <w:rFonts w:ascii="Book Antiqua" w:hAnsi="Book Antiqua"/>
                <w:color w:val="000000"/>
                <w:sz w:val="24"/>
                <w:szCs w:val="24"/>
                <w:lang w:val="en-US" w:eastAsia="es-MX"/>
              </w:rPr>
              <w:t xml:space="preserve">Negative predictive value </w:t>
            </w:r>
          </w:p>
        </w:tc>
        <w:tc>
          <w:tcPr>
            <w:tcW w:w="2977" w:type="dxa"/>
            <w:tcBorders>
              <w:top w:val="nil"/>
              <w:left w:val="nil"/>
              <w:bottom w:val="nil"/>
              <w:right w:val="nil"/>
            </w:tcBorders>
          </w:tcPr>
          <w:p w:rsidR="008A6899" w:rsidRPr="00D5362F" w:rsidRDefault="008A6899" w:rsidP="00D5362F">
            <w:pPr>
              <w:snapToGrid w:val="0"/>
              <w:spacing w:after="0" w:line="360" w:lineRule="auto"/>
              <w:jc w:val="center"/>
              <w:rPr>
                <w:rFonts w:ascii="Book Antiqua" w:hAnsi="Book Antiqua"/>
                <w:color w:val="000000"/>
                <w:sz w:val="24"/>
                <w:szCs w:val="24"/>
                <w:lang w:val="en-US" w:eastAsia="es-MX"/>
              </w:rPr>
            </w:pPr>
            <w:r w:rsidRPr="00D5362F">
              <w:rPr>
                <w:rFonts w:ascii="Book Antiqua" w:hAnsi="Book Antiqua"/>
                <w:color w:val="000000"/>
                <w:sz w:val="24"/>
                <w:szCs w:val="24"/>
                <w:lang w:val="en-US" w:eastAsia="es-MX"/>
              </w:rPr>
              <w:t>40%</w:t>
            </w:r>
          </w:p>
        </w:tc>
        <w:tc>
          <w:tcPr>
            <w:tcW w:w="3011" w:type="dxa"/>
            <w:gridSpan w:val="2"/>
            <w:tcBorders>
              <w:top w:val="nil"/>
              <w:left w:val="nil"/>
              <w:bottom w:val="nil"/>
            </w:tcBorders>
          </w:tcPr>
          <w:p w:rsidR="008A6899" w:rsidRPr="00D5362F" w:rsidRDefault="008A6899" w:rsidP="00D5362F">
            <w:pPr>
              <w:snapToGrid w:val="0"/>
              <w:spacing w:after="0" w:line="360" w:lineRule="auto"/>
              <w:jc w:val="center"/>
              <w:rPr>
                <w:rFonts w:ascii="Book Antiqua" w:hAnsi="Book Antiqua"/>
                <w:color w:val="000000"/>
                <w:sz w:val="24"/>
                <w:szCs w:val="24"/>
                <w:lang w:val="en-US" w:eastAsia="es-MX"/>
              </w:rPr>
            </w:pPr>
            <w:r w:rsidRPr="00D5362F">
              <w:rPr>
                <w:rFonts w:ascii="Book Antiqua" w:hAnsi="Book Antiqua"/>
                <w:color w:val="000000"/>
                <w:sz w:val="24"/>
                <w:szCs w:val="24"/>
                <w:lang w:val="en-US" w:eastAsia="es-MX"/>
              </w:rPr>
              <w:t>40%</w:t>
            </w:r>
          </w:p>
        </w:tc>
      </w:tr>
      <w:tr w:rsidR="008A6899" w:rsidRPr="00D5362F" w:rsidTr="00D5362F">
        <w:trPr>
          <w:trHeight w:val="855"/>
        </w:trPr>
        <w:tc>
          <w:tcPr>
            <w:tcW w:w="3227" w:type="dxa"/>
            <w:tcBorders>
              <w:top w:val="nil"/>
              <w:bottom w:val="nil"/>
              <w:right w:val="nil"/>
            </w:tcBorders>
          </w:tcPr>
          <w:p w:rsidR="008A6899" w:rsidRPr="00D5362F" w:rsidRDefault="008A6899" w:rsidP="00D5362F">
            <w:pPr>
              <w:snapToGrid w:val="0"/>
              <w:spacing w:after="0" w:line="360" w:lineRule="auto"/>
              <w:jc w:val="both"/>
              <w:rPr>
                <w:rFonts w:ascii="Book Antiqua" w:hAnsi="Book Antiqua"/>
                <w:color w:val="000000"/>
                <w:sz w:val="24"/>
                <w:szCs w:val="24"/>
                <w:lang w:val="en-US" w:eastAsia="es-MX"/>
              </w:rPr>
            </w:pPr>
            <w:r w:rsidRPr="00D5362F">
              <w:rPr>
                <w:rFonts w:ascii="Book Antiqua" w:hAnsi="Book Antiqua"/>
                <w:color w:val="000000"/>
                <w:sz w:val="24"/>
                <w:szCs w:val="24"/>
                <w:lang w:val="en-US" w:eastAsia="es-MX"/>
              </w:rPr>
              <w:t xml:space="preserve">Positive </w:t>
            </w:r>
            <w:r w:rsidRPr="00D5362F">
              <w:rPr>
                <w:rFonts w:ascii="Book Antiqua" w:hAnsi="Book Antiqua"/>
                <w:color w:val="000000"/>
                <w:sz w:val="24"/>
                <w:szCs w:val="24"/>
                <w:shd w:val="clear" w:color="auto" w:fill="FFFFFF"/>
                <w:lang w:val="en-US" w:eastAsia="es-MX"/>
              </w:rPr>
              <w:t>likelihood</w:t>
            </w:r>
            <w:r w:rsidRPr="00D5362F">
              <w:rPr>
                <w:rFonts w:ascii="Book Antiqua" w:hAnsi="Book Antiqua"/>
                <w:color w:val="000000"/>
                <w:sz w:val="24"/>
                <w:szCs w:val="24"/>
                <w:lang w:val="en-US" w:eastAsia="es-MX"/>
              </w:rPr>
              <w:t xml:space="preserve"> ratio </w:t>
            </w:r>
          </w:p>
        </w:tc>
        <w:tc>
          <w:tcPr>
            <w:tcW w:w="2977" w:type="dxa"/>
            <w:tcBorders>
              <w:top w:val="nil"/>
              <w:left w:val="nil"/>
              <w:bottom w:val="nil"/>
              <w:right w:val="nil"/>
            </w:tcBorders>
          </w:tcPr>
          <w:p w:rsidR="008A6899" w:rsidRPr="00D5362F" w:rsidRDefault="008A6899" w:rsidP="00D5362F">
            <w:pPr>
              <w:snapToGrid w:val="0"/>
              <w:spacing w:after="0" w:line="360" w:lineRule="auto"/>
              <w:jc w:val="center"/>
              <w:rPr>
                <w:rFonts w:ascii="Book Antiqua" w:hAnsi="Book Antiqua"/>
                <w:color w:val="000000"/>
                <w:sz w:val="24"/>
                <w:szCs w:val="24"/>
                <w:lang w:val="en-US" w:eastAsia="es-MX"/>
              </w:rPr>
            </w:pPr>
            <w:r w:rsidRPr="00D5362F">
              <w:rPr>
                <w:rFonts w:ascii="Book Antiqua" w:hAnsi="Book Antiqua"/>
                <w:color w:val="000000"/>
                <w:sz w:val="24"/>
                <w:szCs w:val="24"/>
                <w:lang w:val="en-US" w:eastAsia="es-MX"/>
              </w:rPr>
              <w:t>4.1</w:t>
            </w:r>
          </w:p>
        </w:tc>
        <w:tc>
          <w:tcPr>
            <w:tcW w:w="3011" w:type="dxa"/>
            <w:gridSpan w:val="2"/>
            <w:tcBorders>
              <w:top w:val="nil"/>
              <w:left w:val="nil"/>
              <w:bottom w:val="nil"/>
            </w:tcBorders>
          </w:tcPr>
          <w:p w:rsidR="008A6899" w:rsidRPr="00D5362F" w:rsidRDefault="008A6899" w:rsidP="00D5362F">
            <w:pPr>
              <w:snapToGrid w:val="0"/>
              <w:spacing w:after="0" w:line="360" w:lineRule="auto"/>
              <w:jc w:val="center"/>
              <w:rPr>
                <w:rFonts w:ascii="Book Antiqua" w:hAnsi="Book Antiqua"/>
                <w:color w:val="000000"/>
                <w:sz w:val="24"/>
                <w:szCs w:val="24"/>
                <w:lang w:val="en-US" w:eastAsia="es-MX"/>
              </w:rPr>
            </w:pPr>
            <w:r w:rsidRPr="00D5362F">
              <w:rPr>
                <w:rFonts w:ascii="Book Antiqua" w:hAnsi="Book Antiqua"/>
                <w:color w:val="000000"/>
                <w:sz w:val="24"/>
                <w:szCs w:val="24"/>
                <w:lang w:val="en-US" w:eastAsia="es-MX"/>
              </w:rPr>
              <w:t>4.1</w:t>
            </w:r>
          </w:p>
        </w:tc>
      </w:tr>
      <w:tr w:rsidR="008A6899" w:rsidRPr="00D5362F" w:rsidTr="00D5362F">
        <w:trPr>
          <w:trHeight w:val="855"/>
        </w:trPr>
        <w:tc>
          <w:tcPr>
            <w:tcW w:w="3227" w:type="dxa"/>
            <w:tcBorders>
              <w:top w:val="nil"/>
              <w:bottom w:val="single" w:sz="4" w:space="0" w:color="auto"/>
              <w:right w:val="nil"/>
            </w:tcBorders>
          </w:tcPr>
          <w:p w:rsidR="008A6899" w:rsidRPr="00D5362F" w:rsidRDefault="008A6899" w:rsidP="00D5362F">
            <w:pPr>
              <w:snapToGrid w:val="0"/>
              <w:spacing w:after="0" w:line="360" w:lineRule="auto"/>
              <w:jc w:val="both"/>
              <w:rPr>
                <w:rFonts w:ascii="Book Antiqua" w:hAnsi="Book Antiqua"/>
                <w:color w:val="000000"/>
                <w:sz w:val="24"/>
                <w:szCs w:val="24"/>
                <w:lang w:val="en-US" w:eastAsia="es-MX"/>
              </w:rPr>
            </w:pPr>
            <w:r w:rsidRPr="00D5362F">
              <w:rPr>
                <w:rFonts w:ascii="Book Antiqua" w:hAnsi="Book Antiqua"/>
                <w:color w:val="000000"/>
                <w:sz w:val="24"/>
                <w:szCs w:val="24"/>
                <w:lang w:val="en-US" w:eastAsia="es-MX"/>
              </w:rPr>
              <w:t xml:space="preserve">Negative likelihood ratio </w:t>
            </w:r>
          </w:p>
        </w:tc>
        <w:tc>
          <w:tcPr>
            <w:tcW w:w="2977" w:type="dxa"/>
            <w:tcBorders>
              <w:top w:val="nil"/>
              <w:left w:val="nil"/>
              <w:bottom w:val="single" w:sz="4" w:space="0" w:color="auto"/>
              <w:right w:val="nil"/>
            </w:tcBorders>
          </w:tcPr>
          <w:p w:rsidR="008A6899" w:rsidRPr="00D5362F" w:rsidRDefault="008A6899" w:rsidP="00D5362F">
            <w:pPr>
              <w:snapToGrid w:val="0"/>
              <w:spacing w:after="0" w:line="360" w:lineRule="auto"/>
              <w:jc w:val="center"/>
              <w:rPr>
                <w:rFonts w:ascii="Book Antiqua" w:hAnsi="Book Antiqua"/>
                <w:color w:val="000000"/>
                <w:sz w:val="24"/>
                <w:szCs w:val="24"/>
                <w:lang w:val="en-US" w:eastAsia="es-MX"/>
              </w:rPr>
            </w:pPr>
            <w:r w:rsidRPr="00D5362F">
              <w:rPr>
                <w:rFonts w:ascii="Book Antiqua" w:hAnsi="Book Antiqua"/>
                <w:color w:val="000000"/>
                <w:sz w:val="24"/>
                <w:szCs w:val="24"/>
                <w:lang w:val="en-US" w:eastAsia="es-MX"/>
              </w:rPr>
              <w:t>0.37</w:t>
            </w:r>
          </w:p>
        </w:tc>
        <w:tc>
          <w:tcPr>
            <w:tcW w:w="3011" w:type="dxa"/>
            <w:gridSpan w:val="2"/>
            <w:tcBorders>
              <w:top w:val="nil"/>
              <w:left w:val="nil"/>
              <w:bottom w:val="single" w:sz="4" w:space="0" w:color="auto"/>
            </w:tcBorders>
          </w:tcPr>
          <w:p w:rsidR="008A6899" w:rsidRPr="00D5362F" w:rsidRDefault="008A6899" w:rsidP="00D5362F">
            <w:pPr>
              <w:snapToGrid w:val="0"/>
              <w:spacing w:after="0" w:line="360" w:lineRule="auto"/>
              <w:jc w:val="center"/>
              <w:rPr>
                <w:rFonts w:ascii="Book Antiqua" w:hAnsi="Book Antiqua"/>
                <w:color w:val="000000"/>
                <w:sz w:val="24"/>
                <w:szCs w:val="24"/>
                <w:lang w:val="en-US" w:eastAsia="es-MX"/>
              </w:rPr>
            </w:pPr>
            <w:r w:rsidRPr="00D5362F">
              <w:rPr>
                <w:rFonts w:ascii="Book Antiqua" w:hAnsi="Book Antiqua"/>
                <w:color w:val="000000"/>
                <w:sz w:val="24"/>
                <w:szCs w:val="24"/>
                <w:lang w:val="en-US" w:eastAsia="es-MX"/>
              </w:rPr>
              <w:t>0.37</w:t>
            </w:r>
          </w:p>
        </w:tc>
      </w:tr>
    </w:tbl>
    <w:p w:rsidR="008A6899" w:rsidRPr="000005D3" w:rsidRDefault="008A6899" w:rsidP="000005D3">
      <w:pPr>
        <w:snapToGrid w:val="0"/>
        <w:spacing w:after="0" w:line="360" w:lineRule="auto"/>
        <w:jc w:val="both"/>
        <w:rPr>
          <w:rFonts w:ascii="Book Antiqua" w:hAnsi="Book Antiqua"/>
          <w:color w:val="000000"/>
          <w:sz w:val="24"/>
          <w:szCs w:val="24"/>
          <w:lang w:val="en-US" w:eastAsia="zh-CN"/>
        </w:rPr>
      </w:pPr>
    </w:p>
    <w:sectPr w:rsidR="008A6899" w:rsidRPr="000005D3" w:rsidSect="00593C3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B28" w:rsidRDefault="005D2B28" w:rsidP="00C444EF">
      <w:pPr>
        <w:spacing w:after="0" w:line="240" w:lineRule="auto"/>
      </w:pPr>
      <w:r>
        <w:separator/>
      </w:r>
    </w:p>
  </w:endnote>
  <w:endnote w:type="continuationSeparator" w:id="0">
    <w:p w:rsidR="005D2B28" w:rsidRDefault="005D2B28" w:rsidP="00C4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B28" w:rsidRDefault="005D2B28" w:rsidP="00C444EF">
      <w:pPr>
        <w:spacing w:after="0" w:line="240" w:lineRule="auto"/>
      </w:pPr>
      <w:r>
        <w:separator/>
      </w:r>
    </w:p>
  </w:footnote>
  <w:footnote w:type="continuationSeparator" w:id="0">
    <w:p w:rsidR="005D2B28" w:rsidRDefault="005D2B28" w:rsidP="00C44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899" w:rsidRDefault="005D2B28">
    <w:pPr>
      <w:pStyle w:val="aa"/>
      <w:jc w:val="right"/>
    </w:pPr>
    <w:r>
      <w:fldChar w:fldCharType="begin"/>
    </w:r>
    <w:r>
      <w:instrText xml:space="preserve"> PAGE   \* MERGEFORMAT </w:instrText>
    </w:r>
    <w:r>
      <w:fldChar w:fldCharType="separate"/>
    </w:r>
    <w:r w:rsidR="00E91B1B">
      <w:rPr>
        <w:noProof/>
      </w:rPr>
      <w:t>17</w:t>
    </w:r>
    <w:r>
      <w:rPr>
        <w:noProof/>
      </w:rPr>
      <w:fldChar w:fldCharType="end"/>
    </w:r>
  </w:p>
  <w:p w:rsidR="008A6899" w:rsidRDefault="008A689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F795C"/>
    <w:multiLevelType w:val="hybridMultilevel"/>
    <w:tmpl w:val="F0C8A972"/>
    <w:lvl w:ilvl="0" w:tplc="124092BA">
      <w:start w:val="1"/>
      <w:numFmt w:val="decimal"/>
      <w:lvlText w:val="%1."/>
      <w:lvlJc w:val="left"/>
      <w:pPr>
        <w:ind w:left="36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2CD06058"/>
    <w:multiLevelType w:val="hybridMultilevel"/>
    <w:tmpl w:val="D2B87D04"/>
    <w:lvl w:ilvl="0" w:tplc="08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nsid w:val="3FFC6461"/>
    <w:multiLevelType w:val="hybridMultilevel"/>
    <w:tmpl w:val="517EA514"/>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
    <w:nsid w:val="458C5F49"/>
    <w:multiLevelType w:val="hybridMultilevel"/>
    <w:tmpl w:val="C6EC0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0890756"/>
    <w:multiLevelType w:val="hybridMultilevel"/>
    <w:tmpl w:val="1DE41642"/>
    <w:lvl w:ilvl="0" w:tplc="040A0001">
      <w:start w:val="1"/>
      <w:numFmt w:val="bullet"/>
      <w:lvlText w:val=""/>
      <w:lvlJc w:val="left"/>
      <w:pPr>
        <w:ind w:left="1122" w:hanging="360"/>
      </w:pPr>
      <w:rPr>
        <w:rFonts w:ascii="Symbol" w:hAnsi="Symbol" w:hint="default"/>
      </w:rPr>
    </w:lvl>
    <w:lvl w:ilvl="1" w:tplc="080A0003" w:tentative="1">
      <w:start w:val="1"/>
      <w:numFmt w:val="bullet"/>
      <w:lvlText w:val="o"/>
      <w:lvlJc w:val="left"/>
      <w:pPr>
        <w:ind w:left="1842" w:hanging="360"/>
      </w:pPr>
      <w:rPr>
        <w:rFonts w:ascii="Courier New" w:hAnsi="Courier New" w:hint="default"/>
      </w:rPr>
    </w:lvl>
    <w:lvl w:ilvl="2" w:tplc="080A0005" w:tentative="1">
      <w:start w:val="1"/>
      <w:numFmt w:val="bullet"/>
      <w:lvlText w:val=""/>
      <w:lvlJc w:val="left"/>
      <w:pPr>
        <w:ind w:left="2562" w:hanging="360"/>
      </w:pPr>
      <w:rPr>
        <w:rFonts w:ascii="Wingdings" w:hAnsi="Wingdings" w:hint="default"/>
      </w:rPr>
    </w:lvl>
    <w:lvl w:ilvl="3" w:tplc="080A0001" w:tentative="1">
      <w:start w:val="1"/>
      <w:numFmt w:val="bullet"/>
      <w:lvlText w:val=""/>
      <w:lvlJc w:val="left"/>
      <w:pPr>
        <w:ind w:left="3282" w:hanging="360"/>
      </w:pPr>
      <w:rPr>
        <w:rFonts w:ascii="Symbol" w:hAnsi="Symbol" w:hint="default"/>
      </w:rPr>
    </w:lvl>
    <w:lvl w:ilvl="4" w:tplc="080A0003" w:tentative="1">
      <w:start w:val="1"/>
      <w:numFmt w:val="bullet"/>
      <w:lvlText w:val="o"/>
      <w:lvlJc w:val="left"/>
      <w:pPr>
        <w:ind w:left="4002" w:hanging="360"/>
      </w:pPr>
      <w:rPr>
        <w:rFonts w:ascii="Courier New" w:hAnsi="Courier New" w:hint="default"/>
      </w:rPr>
    </w:lvl>
    <w:lvl w:ilvl="5" w:tplc="080A0005" w:tentative="1">
      <w:start w:val="1"/>
      <w:numFmt w:val="bullet"/>
      <w:lvlText w:val=""/>
      <w:lvlJc w:val="left"/>
      <w:pPr>
        <w:ind w:left="4722" w:hanging="360"/>
      </w:pPr>
      <w:rPr>
        <w:rFonts w:ascii="Wingdings" w:hAnsi="Wingdings" w:hint="default"/>
      </w:rPr>
    </w:lvl>
    <w:lvl w:ilvl="6" w:tplc="080A0001" w:tentative="1">
      <w:start w:val="1"/>
      <w:numFmt w:val="bullet"/>
      <w:lvlText w:val=""/>
      <w:lvlJc w:val="left"/>
      <w:pPr>
        <w:ind w:left="5442" w:hanging="360"/>
      </w:pPr>
      <w:rPr>
        <w:rFonts w:ascii="Symbol" w:hAnsi="Symbol" w:hint="default"/>
      </w:rPr>
    </w:lvl>
    <w:lvl w:ilvl="7" w:tplc="080A0003" w:tentative="1">
      <w:start w:val="1"/>
      <w:numFmt w:val="bullet"/>
      <w:lvlText w:val="o"/>
      <w:lvlJc w:val="left"/>
      <w:pPr>
        <w:ind w:left="6162" w:hanging="360"/>
      </w:pPr>
      <w:rPr>
        <w:rFonts w:ascii="Courier New" w:hAnsi="Courier New" w:hint="default"/>
      </w:rPr>
    </w:lvl>
    <w:lvl w:ilvl="8" w:tplc="080A0005" w:tentative="1">
      <w:start w:val="1"/>
      <w:numFmt w:val="bullet"/>
      <w:lvlText w:val=""/>
      <w:lvlJc w:val="left"/>
      <w:pPr>
        <w:ind w:left="6882"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drawingGridHorizontalSpacing w:val="11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EE"/>
    <w:rsid w:val="000005D3"/>
    <w:rsid w:val="00003206"/>
    <w:rsid w:val="000206BD"/>
    <w:rsid w:val="000220B7"/>
    <w:rsid w:val="00033480"/>
    <w:rsid w:val="000428B3"/>
    <w:rsid w:val="00044C30"/>
    <w:rsid w:val="00052521"/>
    <w:rsid w:val="000569C4"/>
    <w:rsid w:val="0007681F"/>
    <w:rsid w:val="00076A1A"/>
    <w:rsid w:val="00076E27"/>
    <w:rsid w:val="00091DC1"/>
    <w:rsid w:val="00092B77"/>
    <w:rsid w:val="000A526C"/>
    <w:rsid w:val="000A7E77"/>
    <w:rsid w:val="000C0F51"/>
    <w:rsid w:val="000D443A"/>
    <w:rsid w:val="000F34F8"/>
    <w:rsid w:val="000F6EE1"/>
    <w:rsid w:val="000F7EB4"/>
    <w:rsid w:val="00105CBB"/>
    <w:rsid w:val="00107074"/>
    <w:rsid w:val="001151B9"/>
    <w:rsid w:val="001171EE"/>
    <w:rsid w:val="0012000B"/>
    <w:rsid w:val="00127AF8"/>
    <w:rsid w:val="00141486"/>
    <w:rsid w:val="00155D09"/>
    <w:rsid w:val="00164936"/>
    <w:rsid w:val="00165ABC"/>
    <w:rsid w:val="00166EAE"/>
    <w:rsid w:val="001675E0"/>
    <w:rsid w:val="00183523"/>
    <w:rsid w:val="0018749D"/>
    <w:rsid w:val="00190003"/>
    <w:rsid w:val="0019314C"/>
    <w:rsid w:val="001A13DA"/>
    <w:rsid w:val="001B271A"/>
    <w:rsid w:val="001B4208"/>
    <w:rsid w:val="001B4EF9"/>
    <w:rsid w:val="001C63E8"/>
    <w:rsid w:val="001F65D3"/>
    <w:rsid w:val="002020FD"/>
    <w:rsid w:val="00204EF3"/>
    <w:rsid w:val="00206369"/>
    <w:rsid w:val="00207699"/>
    <w:rsid w:val="002149A7"/>
    <w:rsid w:val="002166E4"/>
    <w:rsid w:val="00216F58"/>
    <w:rsid w:val="0022221E"/>
    <w:rsid w:val="00222E61"/>
    <w:rsid w:val="00227EBC"/>
    <w:rsid w:val="00232584"/>
    <w:rsid w:val="002352B9"/>
    <w:rsid w:val="00252D12"/>
    <w:rsid w:val="002630A9"/>
    <w:rsid w:val="00280B77"/>
    <w:rsid w:val="002866CB"/>
    <w:rsid w:val="00290AAA"/>
    <w:rsid w:val="0029244B"/>
    <w:rsid w:val="002A49C6"/>
    <w:rsid w:val="002A4FD1"/>
    <w:rsid w:val="002B0B45"/>
    <w:rsid w:val="002C0289"/>
    <w:rsid w:val="002C4C8C"/>
    <w:rsid w:val="002C4F5E"/>
    <w:rsid w:val="002E427F"/>
    <w:rsid w:val="002F1F3C"/>
    <w:rsid w:val="00306982"/>
    <w:rsid w:val="00306E29"/>
    <w:rsid w:val="003076DC"/>
    <w:rsid w:val="00310A07"/>
    <w:rsid w:val="0031511E"/>
    <w:rsid w:val="00324B54"/>
    <w:rsid w:val="0033708D"/>
    <w:rsid w:val="00342BE5"/>
    <w:rsid w:val="00376631"/>
    <w:rsid w:val="00381F6D"/>
    <w:rsid w:val="0039642A"/>
    <w:rsid w:val="003A5A4D"/>
    <w:rsid w:val="003A76C7"/>
    <w:rsid w:val="003B481A"/>
    <w:rsid w:val="003C1F16"/>
    <w:rsid w:val="003C70AA"/>
    <w:rsid w:val="003D161D"/>
    <w:rsid w:val="003D42D5"/>
    <w:rsid w:val="003D679F"/>
    <w:rsid w:val="003D7483"/>
    <w:rsid w:val="003E25A5"/>
    <w:rsid w:val="003E33FC"/>
    <w:rsid w:val="003E3F99"/>
    <w:rsid w:val="003E3FDF"/>
    <w:rsid w:val="003F0E7E"/>
    <w:rsid w:val="00403401"/>
    <w:rsid w:val="0040540B"/>
    <w:rsid w:val="00415E78"/>
    <w:rsid w:val="00422E50"/>
    <w:rsid w:val="004236D2"/>
    <w:rsid w:val="00435A93"/>
    <w:rsid w:val="00445054"/>
    <w:rsid w:val="0044557A"/>
    <w:rsid w:val="00445A96"/>
    <w:rsid w:val="0045010A"/>
    <w:rsid w:val="00450AB7"/>
    <w:rsid w:val="004549B2"/>
    <w:rsid w:val="00455A04"/>
    <w:rsid w:val="00465424"/>
    <w:rsid w:val="00465D1A"/>
    <w:rsid w:val="004836CF"/>
    <w:rsid w:val="00485553"/>
    <w:rsid w:val="00487BAB"/>
    <w:rsid w:val="0049217C"/>
    <w:rsid w:val="004A4985"/>
    <w:rsid w:val="004A5D6E"/>
    <w:rsid w:val="004A7FBF"/>
    <w:rsid w:val="004B1A6E"/>
    <w:rsid w:val="004B5FC6"/>
    <w:rsid w:val="004B6B22"/>
    <w:rsid w:val="004C1F45"/>
    <w:rsid w:val="004C7DE7"/>
    <w:rsid w:val="004D0217"/>
    <w:rsid w:val="004D14F5"/>
    <w:rsid w:val="004D16A4"/>
    <w:rsid w:val="004E0402"/>
    <w:rsid w:val="004E2489"/>
    <w:rsid w:val="005026BD"/>
    <w:rsid w:val="005141DE"/>
    <w:rsid w:val="00514293"/>
    <w:rsid w:val="005155FB"/>
    <w:rsid w:val="0052534B"/>
    <w:rsid w:val="00525C18"/>
    <w:rsid w:val="00542940"/>
    <w:rsid w:val="00542AC1"/>
    <w:rsid w:val="0054486F"/>
    <w:rsid w:val="00552F49"/>
    <w:rsid w:val="00560F8E"/>
    <w:rsid w:val="00570231"/>
    <w:rsid w:val="00570282"/>
    <w:rsid w:val="00573869"/>
    <w:rsid w:val="00585CF5"/>
    <w:rsid w:val="00593C37"/>
    <w:rsid w:val="00594376"/>
    <w:rsid w:val="005A17A5"/>
    <w:rsid w:val="005A63FF"/>
    <w:rsid w:val="005A64FA"/>
    <w:rsid w:val="005C2B13"/>
    <w:rsid w:val="005C4EC4"/>
    <w:rsid w:val="005D2B28"/>
    <w:rsid w:val="005F1813"/>
    <w:rsid w:val="005F4EA0"/>
    <w:rsid w:val="005F5809"/>
    <w:rsid w:val="00602527"/>
    <w:rsid w:val="00603A56"/>
    <w:rsid w:val="00604AD2"/>
    <w:rsid w:val="00621A4F"/>
    <w:rsid w:val="006235F9"/>
    <w:rsid w:val="0062637B"/>
    <w:rsid w:val="006341A0"/>
    <w:rsid w:val="0063793B"/>
    <w:rsid w:val="006541B2"/>
    <w:rsid w:val="00655032"/>
    <w:rsid w:val="00655B03"/>
    <w:rsid w:val="00663796"/>
    <w:rsid w:val="00665496"/>
    <w:rsid w:val="00686BE0"/>
    <w:rsid w:val="0069174D"/>
    <w:rsid w:val="006B2DFB"/>
    <w:rsid w:val="006F086F"/>
    <w:rsid w:val="006F3CAA"/>
    <w:rsid w:val="006F7F7A"/>
    <w:rsid w:val="007051E1"/>
    <w:rsid w:val="0071092C"/>
    <w:rsid w:val="007129BB"/>
    <w:rsid w:val="00713C74"/>
    <w:rsid w:val="007140EB"/>
    <w:rsid w:val="00715368"/>
    <w:rsid w:val="00716CA4"/>
    <w:rsid w:val="00717D9C"/>
    <w:rsid w:val="00721CF0"/>
    <w:rsid w:val="00723CB6"/>
    <w:rsid w:val="00752631"/>
    <w:rsid w:val="00752C01"/>
    <w:rsid w:val="00761EB0"/>
    <w:rsid w:val="007703CD"/>
    <w:rsid w:val="00774998"/>
    <w:rsid w:val="00781EC0"/>
    <w:rsid w:val="00784725"/>
    <w:rsid w:val="007853B7"/>
    <w:rsid w:val="00797A55"/>
    <w:rsid w:val="007A061E"/>
    <w:rsid w:val="007A5DA6"/>
    <w:rsid w:val="007B4238"/>
    <w:rsid w:val="007C1C25"/>
    <w:rsid w:val="007C3B11"/>
    <w:rsid w:val="007C55FD"/>
    <w:rsid w:val="007C6394"/>
    <w:rsid w:val="007D09B9"/>
    <w:rsid w:val="007F23FA"/>
    <w:rsid w:val="007F4987"/>
    <w:rsid w:val="00803CAF"/>
    <w:rsid w:val="00805483"/>
    <w:rsid w:val="008077ED"/>
    <w:rsid w:val="00807BF7"/>
    <w:rsid w:val="00817CC1"/>
    <w:rsid w:val="00821B34"/>
    <w:rsid w:val="00822A0E"/>
    <w:rsid w:val="00840E88"/>
    <w:rsid w:val="00854338"/>
    <w:rsid w:val="008557AC"/>
    <w:rsid w:val="008607D2"/>
    <w:rsid w:val="008700AC"/>
    <w:rsid w:val="0087560A"/>
    <w:rsid w:val="00880C8C"/>
    <w:rsid w:val="0088375F"/>
    <w:rsid w:val="00884884"/>
    <w:rsid w:val="00885B2C"/>
    <w:rsid w:val="0089355E"/>
    <w:rsid w:val="00895764"/>
    <w:rsid w:val="008A36BB"/>
    <w:rsid w:val="008A6899"/>
    <w:rsid w:val="008A734F"/>
    <w:rsid w:val="008B32B4"/>
    <w:rsid w:val="008B42A9"/>
    <w:rsid w:val="008B4B61"/>
    <w:rsid w:val="008B5685"/>
    <w:rsid w:val="008B5EB4"/>
    <w:rsid w:val="008C3A92"/>
    <w:rsid w:val="008D3AEB"/>
    <w:rsid w:val="008E3BD8"/>
    <w:rsid w:val="00903040"/>
    <w:rsid w:val="009052EC"/>
    <w:rsid w:val="009102D2"/>
    <w:rsid w:val="00924E29"/>
    <w:rsid w:val="0094015D"/>
    <w:rsid w:val="009405AC"/>
    <w:rsid w:val="009420CD"/>
    <w:rsid w:val="00942C05"/>
    <w:rsid w:val="009513CE"/>
    <w:rsid w:val="009637ED"/>
    <w:rsid w:val="00963E60"/>
    <w:rsid w:val="00967D3E"/>
    <w:rsid w:val="00972425"/>
    <w:rsid w:val="0097404D"/>
    <w:rsid w:val="00982BD8"/>
    <w:rsid w:val="009951AA"/>
    <w:rsid w:val="009A7F0A"/>
    <w:rsid w:val="009D2AE7"/>
    <w:rsid w:val="009D3BDF"/>
    <w:rsid w:val="009D3C91"/>
    <w:rsid w:val="009E1D84"/>
    <w:rsid w:val="009E2C29"/>
    <w:rsid w:val="00A11DAC"/>
    <w:rsid w:val="00A22F37"/>
    <w:rsid w:val="00A25470"/>
    <w:rsid w:val="00A51162"/>
    <w:rsid w:val="00A631D7"/>
    <w:rsid w:val="00A647A9"/>
    <w:rsid w:val="00A67C15"/>
    <w:rsid w:val="00A67C84"/>
    <w:rsid w:val="00A729E3"/>
    <w:rsid w:val="00A763D7"/>
    <w:rsid w:val="00A805FA"/>
    <w:rsid w:val="00A854A5"/>
    <w:rsid w:val="00A93131"/>
    <w:rsid w:val="00A9776A"/>
    <w:rsid w:val="00AA061A"/>
    <w:rsid w:val="00AA4BF4"/>
    <w:rsid w:val="00AA5302"/>
    <w:rsid w:val="00AB33A7"/>
    <w:rsid w:val="00AD2398"/>
    <w:rsid w:val="00AE5330"/>
    <w:rsid w:val="00AF7C55"/>
    <w:rsid w:val="00B068E5"/>
    <w:rsid w:val="00B10007"/>
    <w:rsid w:val="00B206B1"/>
    <w:rsid w:val="00B2142C"/>
    <w:rsid w:val="00B23D4A"/>
    <w:rsid w:val="00B45C30"/>
    <w:rsid w:val="00B51624"/>
    <w:rsid w:val="00B56C0B"/>
    <w:rsid w:val="00B71BDD"/>
    <w:rsid w:val="00B71BE2"/>
    <w:rsid w:val="00B92186"/>
    <w:rsid w:val="00BB20AE"/>
    <w:rsid w:val="00BC1164"/>
    <w:rsid w:val="00BC1CE3"/>
    <w:rsid w:val="00BC3528"/>
    <w:rsid w:val="00BC63B3"/>
    <w:rsid w:val="00BC674D"/>
    <w:rsid w:val="00BD3AA0"/>
    <w:rsid w:val="00BD5E49"/>
    <w:rsid w:val="00BE3D64"/>
    <w:rsid w:val="00BF4A9D"/>
    <w:rsid w:val="00BF6682"/>
    <w:rsid w:val="00C0206B"/>
    <w:rsid w:val="00C05647"/>
    <w:rsid w:val="00C10755"/>
    <w:rsid w:val="00C15DEE"/>
    <w:rsid w:val="00C208F9"/>
    <w:rsid w:val="00C223DF"/>
    <w:rsid w:val="00C318CB"/>
    <w:rsid w:val="00C4343D"/>
    <w:rsid w:val="00C444EF"/>
    <w:rsid w:val="00C45DD7"/>
    <w:rsid w:val="00C507F3"/>
    <w:rsid w:val="00C524F6"/>
    <w:rsid w:val="00C546AC"/>
    <w:rsid w:val="00C56046"/>
    <w:rsid w:val="00C57465"/>
    <w:rsid w:val="00C609FC"/>
    <w:rsid w:val="00C61BC4"/>
    <w:rsid w:val="00C739F2"/>
    <w:rsid w:val="00C808E5"/>
    <w:rsid w:val="00C8427F"/>
    <w:rsid w:val="00C94079"/>
    <w:rsid w:val="00C9726E"/>
    <w:rsid w:val="00CA18AC"/>
    <w:rsid w:val="00CB0198"/>
    <w:rsid w:val="00CB0230"/>
    <w:rsid w:val="00CB7237"/>
    <w:rsid w:val="00CC3EC3"/>
    <w:rsid w:val="00CC6AEA"/>
    <w:rsid w:val="00CD0262"/>
    <w:rsid w:val="00CD310E"/>
    <w:rsid w:val="00CD4239"/>
    <w:rsid w:val="00CD4C46"/>
    <w:rsid w:val="00CD7BDC"/>
    <w:rsid w:val="00CE28DD"/>
    <w:rsid w:val="00CE53BE"/>
    <w:rsid w:val="00CF1E2B"/>
    <w:rsid w:val="00D03795"/>
    <w:rsid w:val="00D10C74"/>
    <w:rsid w:val="00D13D83"/>
    <w:rsid w:val="00D17281"/>
    <w:rsid w:val="00D22081"/>
    <w:rsid w:val="00D24652"/>
    <w:rsid w:val="00D305D7"/>
    <w:rsid w:val="00D31B69"/>
    <w:rsid w:val="00D3671C"/>
    <w:rsid w:val="00D42E13"/>
    <w:rsid w:val="00D45DF5"/>
    <w:rsid w:val="00D5362F"/>
    <w:rsid w:val="00D54CE9"/>
    <w:rsid w:val="00D63DDB"/>
    <w:rsid w:val="00D70198"/>
    <w:rsid w:val="00D94E5F"/>
    <w:rsid w:val="00DA0278"/>
    <w:rsid w:val="00DA4255"/>
    <w:rsid w:val="00DA72C3"/>
    <w:rsid w:val="00DA784A"/>
    <w:rsid w:val="00DC0969"/>
    <w:rsid w:val="00DC3BBD"/>
    <w:rsid w:val="00DC63FC"/>
    <w:rsid w:val="00DC70DB"/>
    <w:rsid w:val="00DD6F91"/>
    <w:rsid w:val="00DE2265"/>
    <w:rsid w:val="00DF1853"/>
    <w:rsid w:val="00E038B0"/>
    <w:rsid w:val="00E04599"/>
    <w:rsid w:val="00E12F1D"/>
    <w:rsid w:val="00E20272"/>
    <w:rsid w:val="00E25818"/>
    <w:rsid w:val="00E30099"/>
    <w:rsid w:val="00E36215"/>
    <w:rsid w:val="00E45EB5"/>
    <w:rsid w:val="00E53224"/>
    <w:rsid w:val="00E558E9"/>
    <w:rsid w:val="00E61C55"/>
    <w:rsid w:val="00E70674"/>
    <w:rsid w:val="00E71006"/>
    <w:rsid w:val="00E830A0"/>
    <w:rsid w:val="00E91B1B"/>
    <w:rsid w:val="00EA496C"/>
    <w:rsid w:val="00EB158E"/>
    <w:rsid w:val="00EB386A"/>
    <w:rsid w:val="00EB58E3"/>
    <w:rsid w:val="00EC354D"/>
    <w:rsid w:val="00EC54E4"/>
    <w:rsid w:val="00EC6929"/>
    <w:rsid w:val="00ED4736"/>
    <w:rsid w:val="00EF22D5"/>
    <w:rsid w:val="00F4725C"/>
    <w:rsid w:val="00F55BC7"/>
    <w:rsid w:val="00F65246"/>
    <w:rsid w:val="00F65F93"/>
    <w:rsid w:val="00F71D48"/>
    <w:rsid w:val="00F8145B"/>
    <w:rsid w:val="00F84E29"/>
    <w:rsid w:val="00F904D8"/>
    <w:rsid w:val="00F91821"/>
    <w:rsid w:val="00FA064B"/>
    <w:rsid w:val="00FB39EE"/>
    <w:rsid w:val="00FB6EDD"/>
    <w:rsid w:val="00FC04B4"/>
    <w:rsid w:val="00FE5FD2"/>
    <w:rsid w:val="00FF33F4"/>
    <w:rsid w:val="00FF7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6BD"/>
    <w:pPr>
      <w:spacing w:after="200" w:line="276" w:lineRule="auto"/>
    </w:pPr>
    <w:rPr>
      <w:kern w:val="0"/>
      <w:sz w:val="22"/>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uiPriority w:val="99"/>
    <w:rsid w:val="00FB39EE"/>
    <w:rPr>
      <w:rFonts w:cs="Times New Roman"/>
    </w:rPr>
  </w:style>
  <w:style w:type="character" w:customStyle="1" w:styleId="apple-converted-space">
    <w:name w:val="apple-converted-space"/>
    <w:basedOn w:val="a0"/>
    <w:uiPriority w:val="99"/>
    <w:rsid w:val="00FB39EE"/>
    <w:rPr>
      <w:rFonts w:cs="Times New Roman"/>
    </w:rPr>
  </w:style>
  <w:style w:type="character" w:styleId="a3">
    <w:name w:val="Hyperlink"/>
    <w:basedOn w:val="a0"/>
    <w:uiPriority w:val="99"/>
    <w:rsid w:val="000F7EB4"/>
    <w:rPr>
      <w:rFonts w:cs="Times New Roman"/>
      <w:color w:val="0000FF"/>
      <w:u w:val="single"/>
    </w:rPr>
  </w:style>
  <w:style w:type="paragraph" w:styleId="a4">
    <w:name w:val="List Paragraph"/>
    <w:basedOn w:val="a"/>
    <w:uiPriority w:val="99"/>
    <w:qFormat/>
    <w:rsid w:val="00381F6D"/>
    <w:pPr>
      <w:spacing w:after="0" w:line="240" w:lineRule="auto"/>
      <w:ind w:left="720"/>
      <w:contextualSpacing/>
    </w:pPr>
    <w:rPr>
      <w:rFonts w:ascii="Times New Roman" w:hAnsi="Times New Roman"/>
      <w:sz w:val="24"/>
      <w:szCs w:val="24"/>
      <w:lang w:val="en-US" w:eastAsia="en-US"/>
    </w:rPr>
  </w:style>
  <w:style w:type="paragraph" w:styleId="a5">
    <w:name w:val="Body Text"/>
    <w:basedOn w:val="a"/>
    <w:link w:val="Char"/>
    <w:uiPriority w:val="99"/>
    <w:rsid w:val="00381F6D"/>
    <w:pPr>
      <w:spacing w:after="120" w:line="240" w:lineRule="auto"/>
    </w:pPr>
    <w:rPr>
      <w:rFonts w:ascii="Times New Roman" w:hAnsi="Times New Roman"/>
      <w:sz w:val="24"/>
      <w:szCs w:val="24"/>
    </w:rPr>
  </w:style>
  <w:style w:type="character" w:customStyle="1" w:styleId="Char">
    <w:name w:val="正文文本 Char"/>
    <w:basedOn w:val="a0"/>
    <w:link w:val="a5"/>
    <w:uiPriority w:val="99"/>
    <w:locked/>
    <w:rsid w:val="00381F6D"/>
    <w:rPr>
      <w:rFonts w:ascii="Times New Roman" w:hAnsi="Times New Roman" w:cs="Times New Roman"/>
      <w:sz w:val="24"/>
      <w:szCs w:val="24"/>
      <w:lang w:eastAsia="es-MX"/>
    </w:rPr>
  </w:style>
  <w:style w:type="table" w:styleId="a6">
    <w:name w:val="Table Grid"/>
    <w:basedOn w:val="a1"/>
    <w:uiPriority w:val="99"/>
    <w:rsid w:val="00381F6D"/>
    <w:rPr>
      <w:rFonts w:ascii="Times New Roman" w:hAnsi="Times New Roman"/>
      <w:kern w:val="0"/>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rsid w:val="00381F6D"/>
    <w:pPr>
      <w:spacing w:after="0" w:line="240" w:lineRule="auto"/>
    </w:pPr>
    <w:rPr>
      <w:rFonts w:ascii="Tahoma" w:hAnsi="Tahoma" w:cs="Tahoma"/>
      <w:sz w:val="16"/>
      <w:szCs w:val="16"/>
    </w:rPr>
  </w:style>
  <w:style w:type="character" w:customStyle="1" w:styleId="Char0">
    <w:name w:val="批注框文本 Char"/>
    <w:basedOn w:val="a0"/>
    <w:link w:val="a7"/>
    <w:uiPriority w:val="99"/>
    <w:semiHidden/>
    <w:locked/>
    <w:rsid w:val="00381F6D"/>
    <w:rPr>
      <w:rFonts w:ascii="Tahoma" w:eastAsia="宋体" w:hAnsi="Tahoma" w:cs="Tahoma"/>
      <w:sz w:val="16"/>
      <w:szCs w:val="16"/>
      <w:lang w:eastAsia="es-MX"/>
    </w:rPr>
  </w:style>
  <w:style w:type="character" w:styleId="a8">
    <w:name w:val="Emphasis"/>
    <w:basedOn w:val="a0"/>
    <w:uiPriority w:val="99"/>
    <w:qFormat/>
    <w:rsid w:val="00381F6D"/>
    <w:rPr>
      <w:rFonts w:cs="Times New Roman"/>
      <w:i/>
      <w:iCs/>
    </w:rPr>
  </w:style>
  <w:style w:type="character" w:styleId="a9">
    <w:name w:val="line number"/>
    <w:basedOn w:val="a0"/>
    <w:uiPriority w:val="99"/>
    <w:semiHidden/>
    <w:rsid w:val="00C444EF"/>
    <w:rPr>
      <w:rFonts w:cs="Times New Roman"/>
    </w:rPr>
  </w:style>
  <w:style w:type="paragraph" w:styleId="aa">
    <w:name w:val="header"/>
    <w:basedOn w:val="a"/>
    <w:link w:val="Char1"/>
    <w:uiPriority w:val="99"/>
    <w:rsid w:val="00C444EF"/>
    <w:pPr>
      <w:tabs>
        <w:tab w:val="center" w:pos="4419"/>
        <w:tab w:val="right" w:pos="8838"/>
      </w:tabs>
      <w:spacing w:after="0" w:line="240" w:lineRule="auto"/>
    </w:pPr>
  </w:style>
  <w:style w:type="character" w:customStyle="1" w:styleId="Char1">
    <w:name w:val="页眉 Char"/>
    <w:basedOn w:val="a0"/>
    <w:link w:val="aa"/>
    <w:uiPriority w:val="99"/>
    <w:locked/>
    <w:rsid w:val="00C444EF"/>
    <w:rPr>
      <w:rFonts w:eastAsia="宋体" w:cs="Times New Roman"/>
      <w:lang w:eastAsia="es-MX"/>
    </w:rPr>
  </w:style>
  <w:style w:type="paragraph" w:styleId="ab">
    <w:name w:val="footer"/>
    <w:basedOn w:val="a"/>
    <w:link w:val="Char2"/>
    <w:uiPriority w:val="99"/>
    <w:rsid w:val="00C444EF"/>
    <w:pPr>
      <w:tabs>
        <w:tab w:val="center" w:pos="4419"/>
        <w:tab w:val="right" w:pos="8838"/>
      </w:tabs>
      <w:spacing w:after="0" w:line="240" w:lineRule="auto"/>
    </w:pPr>
  </w:style>
  <w:style w:type="character" w:customStyle="1" w:styleId="Char2">
    <w:name w:val="页脚 Char"/>
    <w:basedOn w:val="a0"/>
    <w:link w:val="ab"/>
    <w:uiPriority w:val="99"/>
    <w:locked/>
    <w:rsid w:val="00C444EF"/>
    <w:rPr>
      <w:rFonts w:eastAsia="宋体" w:cs="Times New Roman"/>
      <w:lang w:eastAsia="es-MX"/>
    </w:rPr>
  </w:style>
  <w:style w:type="paragraph" w:styleId="ac">
    <w:name w:val="Revision"/>
    <w:hidden/>
    <w:uiPriority w:val="99"/>
    <w:semiHidden/>
    <w:rsid w:val="008A734F"/>
    <w:rPr>
      <w:kern w:val="0"/>
      <w:sz w:val="22"/>
      <w:lang w:val="es-ES" w:eastAsia="es-MX"/>
    </w:rPr>
  </w:style>
  <w:style w:type="character" w:styleId="ad">
    <w:name w:val="annotation reference"/>
    <w:basedOn w:val="a0"/>
    <w:uiPriority w:val="99"/>
    <w:semiHidden/>
    <w:rsid w:val="00204EF3"/>
    <w:rPr>
      <w:rFonts w:cs="Times New Roman"/>
      <w:sz w:val="16"/>
      <w:szCs w:val="16"/>
    </w:rPr>
  </w:style>
  <w:style w:type="paragraph" w:styleId="ae">
    <w:name w:val="annotation text"/>
    <w:basedOn w:val="a"/>
    <w:link w:val="Char3"/>
    <w:autoRedefine/>
    <w:uiPriority w:val="99"/>
    <w:rsid w:val="00D45DF5"/>
    <w:pPr>
      <w:spacing w:after="0" w:line="240" w:lineRule="auto"/>
    </w:pPr>
    <w:rPr>
      <w:rFonts w:ascii="Times New Roman" w:hAnsi="Times New Roman"/>
      <w:sz w:val="20"/>
      <w:szCs w:val="20"/>
      <w:lang w:val="en-US"/>
    </w:rPr>
  </w:style>
  <w:style w:type="character" w:customStyle="1" w:styleId="Char3">
    <w:name w:val="批注文字 Char"/>
    <w:basedOn w:val="a0"/>
    <w:link w:val="ae"/>
    <w:uiPriority w:val="99"/>
    <w:locked/>
    <w:rsid w:val="00D45DF5"/>
    <w:rPr>
      <w:rFonts w:ascii="Times New Roman" w:eastAsia="宋体" w:hAnsi="Times New Roman" w:cs="Times New Roman"/>
      <w:sz w:val="20"/>
      <w:szCs w:val="20"/>
      <w:lang w:val="en-US" w:eastAsia="es-MX"/>
    </w:rPr>
  </w:style>
  <w:style w:type="paragraph" w:styleId="af">
    <w:name w:val="annotation subject"/>
    <w:basedOn w:val="ae"/>
    <w:next w:val="ae"/>
    <w:link w:val="Char4"/>
    <w:uiPriority w:val="99"/>
    <w:semiHidden/>
    <w:rsid w:val="00204EF3"/>
    <w:rPr>
      <w:b/>
      <w:bCs/>
    </w:rPr>
  </w:style>
  <w:style w:type="character" w:customStyle="1" w:styleId="Char4">
    <w:name w:val="批注主题 Char"/>
    <w:basedOn w:val="Char3"/>
    <w:link w:val="af"/>
    <w:uiPriority w:val="99"/>
    <w:semiHidden/>
    <w:locked/>
    <w:rsid w:val="00204EF3"/>
    <w:rPr>
      <w:rFonts w:ascii="Times New Roman" w:eastAsia="宋体" w:hAnsi="Times New Roman" w:cs="Times New Roman"/>
      <w:b/>
      <w:bCs/>
      <w:sz w:val="20"/>
      <w:szCs w:val="20"/>
      <w:lang w:val="en-US" w:eastAsia="es-MX"/>
    </w:rPr>
  </w:style>
  <w:style w:type="character" w:customStyle="1" w:styleId="Char10">
    <w:name w:val="批注文字 Char1"/>
    <w:basedOn w:val="a0"/>
    <w:uiPriority w:val="99"/>
    <w:semiHidden/>
    <w:rsid w:val="00854338"/>
    <w:rPr>
      <w:rFonts w:eastAsia="Times New Roman" w:cs="Times New Roman"/>
      <w:kern w:val="2"/>
      <w:sz w:val="24"/>
      <w:szCs w:val="24"/>
      <w:lang w:val="en-US" w:eastAsia="zh-CN" w:bidi="ar-SA"/>
    </w:rPr>
  </w:style>
  <w:style w:type="character" w:customStyle="1" w:styleId="trans">
    <w:name w:val="trans"/>
    <w:basedOn w:val="a0"/>
    <w:uiPriority w:val="99"/>
    <w:rsid w:val="00854338"/>
    <w:rPr>
      <w:rFonts w:cs="Times New Roman"/>
    </w:rPr>
  </w:style>
  <w:style w:type="character" w:customStyle="1" w:styleId="webdict">
    <w:name w:val="webdict"/>
    <w:basedOn w:val="a0"/>
    <w:uiPriority w:val="99"/>
    <w:rsid w:val="00854338"/>
    <w:rPr>
      <w:rFonts w:cs="Times New Roman"/>
    </w:rPr>
  </w:style>
  <w:style w:type="paragraph" w:customStyle="1" w:styleId="p0">
    <w:name w:val="p0"/>
    <w:basedOn w:val="a"/>
    <w:uiPriority w:val="99"/>
    <w:rsid w:val="008C3A92"/>
    <w:pPr>
      <w:spacing w:after="0" w:line="240" w:lineRule="atLeast"/>
    </w:pPr>
    <w:rPr>
      <w:rFonts w:ascii="Century"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6BD"/>
    <w:pPr>
      <w:spacing w:after="200" w:line="276" w:lineRule="auto"/>
    </w:pPr>
    <w:rPr>
      <w:kern w:val="0"/>
      <w:sz w:val="22"/>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uiPriority w:val="99"/>
    <w:rsid w:val="00FB39EE"/>
    <w:rPr>
      <w:rFonts w:cs="Times New Roman"/>
    </w:rPr>
  </w:style>
  <w:style w:type="character" w:customStyle="1" w:styleId="apple-converted-space">
    <w:name w:val="apple-converted-space"/>
    <w:basedOn w:val="a0"/>
    <w:uiPriority w:val="99"/>
    <w:rsid w:val="00FB39EE"/>
    <w:rPr>
      <w:rFonts w:cs="Times New Roman"/>
    </w:rPr>
  </w:style>
  <w:style w:type="character" w:styleId="a3">
    <w:name w:val="Hyperlink"/>
    <w:basedOn w:val="a0"/>
    <w:uiPriority w:val="99"/>
    <w:rsid w:val="000F7EB4"/>
    <w:rPr>
      <w:rFonts w:cs="Times New Roman"/>
      <w:color w:val="0000FF"/>
      <w:u w:val="single"/>
    </w:rPr>
  </w:style>
  <w:style w:type="paragraph" w:styleId="a4">
    <w:name w:val="List Paragraph"/>
    <w:basedOn w:val="a"/>
    <w:uiPriority w:val="99"/>
    <w:qFormat/>
    <w:rsid w:val="00381F6D"/>
    <w:pPr>
      <w:spacing w:after="0" w:line="240" w:lineRule="auto"/>
      <w:ind w:left="720"/>
      <w:contextualSpacing/>
    </w:pPr>
    <w:rPr>
      <w:rFonts w:ascii="Times New Roman" w:hAnsi="Times New Roman"/>
      <w:sz w:val="24"/>
      <w:szCs w:val="24"/>
      <w:lang w:val="en-US" w:eastAsia="en-US"/>
    </w:rPr>
  </w:style>
  <w:style w:type="paragraph" w:styleId="a5">
    <w:name w:val="Body Text"/>
    <w:basedOn w:val="a"/>
    <w:link w:val="Char"/>
    <w:uiPriority w:val="99"/>
    <w:rsid w:val="00381F6D"/>
    <w:pPr>
      <w:spacing w:after="120" w:line="240" w:lineRule="auto"/>
    </w:pPr>
    <w:rPr>
      <w:rFonts w:ascii="Times New Roman" w:hAnsi="Times New Roman"/>
      <w:sz w:val="24"/>
      <w:szCs w:val="24"/>
    </w:rPr>
  </w:style>
  <w:style w:type="character" w:customStyle="1" w:styleId="Char">
    <w:name w:val="正文文本 Char"/>
    <w:basedOn w:val="a0"/>
    <w:link w:val="a5"/>
    <w:uiPriority w:val="99"/>
    <w:locked/>
    <w:rsid w:val="00381F6D"/>
    <w:rPr>
      <w:rFonts w:ascii="Times New Roman" w:hAnsi="Times New Roman" w:cs="Times New Roman"/>
      <w:sz w:val="24"/>
      <w:szCs w:val="24"/>
      <w:lang w:eastAsia="es-MX"/>
    </w:rPr>
  </w:style>
  <w:style w:type="table" w:styleId="a6">
    <w:name w:val="Table Grid"/>
    <w:basedOn w:val="a1"/>
    <w:uiPriority w:val="99"/>
    <w:rsid w:val="00381F6D"/>
    <w:rPr>
      <w:rFonts w:ascii="Times New Roman" w:hAnsi="Times New Roman"/>
      <w:kern w:val="0"/>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rsid w:val="00381F6D"/>
    <w:pPr>
      <w:spacing w:after="0" w:line="240" w:lineRule="auto"/>
    </w:pPr>
    <w:rPr>
      <w:rFonts w:ascii="Tahoma" w:hAnsi="Tahoma" w:cs="Tahoma"/>
      <w:sz w:val="16"/>
      <w:szCs w:val="16"/>
    </w:rPr>
  </w:style>
  <w:style w:type="character" w:customStyle="1" w:styleId="Char0">
    <w:name w:val="批注框文本 Char"/>
    <w:basedOn w:val="a0"/>
    <w:link w:val="a7"/>
    <w:uiPriority w:val="99"/>
    <w:semiHidden/>
    <w:locked/>
    <w:rsid w:val="00381F6D"/>
    <w:rPr>
      <w:rFonts w:ascii="Tahoma" w:eastAsia="宋体" w:hAnsi="Tahoma" w:cs="Tahoma"/>
      <w:sz w:val="16"/>
      <w:szCs w:val="16"/>
      <w:lang w:eastAsia="es-MX"/>
    </w:rPr>
  </w:style>
  <w:style w:type="character" w:styleId="a8">
    <w:name w:val="Emphasis"/>
    <w:basedOn w:val="a0"/>
    <w:uiPriority w:val="99"/>
    <w:qFormat/>
    <w:rsid w:val="00381F6D"/>
    <w:rPr>
      <w:rFonts w:cs="Times New Roman"/>
      <w:i/>
      <w:iCs/>
    </w:rPr>
  </w:style>
  <w:style w:type="character" w:styleId="a9">
    <w:name w:val="line number"/>
    <w:basedOn w:val="a0"/>
    <w:uiPriority w:val="99"/>
    <w:semiHidden/>
    <w:rsid w:val="00C444EF"/>
    <w:rPr>
      <w:rFonts w:cs="Times New Roman"/>
    </w:rPr>
  </w:style>
  <w:style w:type="paragraph" w:styleId="aa">
    <w:name w:val="header"/>
    <w:basedOn w:val="a"/>
    <w:link w:val="Char1"/>
    <w:uiPriority w:val="99"/>
    <w:rsid w:val="00C444EF"/>
    <w:pPr>
      <w:tabs>
        <w:tab w:val="center" w:pos="4419"/>
        <w:tab w:val="right" w:pos="8838"/>
      </w:tabs>
      <w:spacing w:after="0" w:line="240" w:lineRule="auto"/>
    </w:pPr>
  </w:style>
  <w:style w:type="character" w:customStyle="1" w:styleId="Char1">
    <w:name w:val="页眉 Char"/>
    <w:basedOn w:val="a0"/>
    <w:link w:val="aa"/>
    <w:uiPriority w:val="99"/>
    <w:locked/>
    <w:rsid w:val="00C444EF"/>
    <w:rPr>
      <w:rFonts w:eastAsia="宋体" w:cs="Times New Roman"/>
      <w:lang w:eastAsia="es-MX"/>
    </w:rPr>
  </w:style>
  <w:style w:type="paragraph" w:styleId="ab">
    <w:name w:val="footer"/>
    <w:basedOn w:val="a"/>
    <w:link w:val="Char2"/>
    <w:uiPriority w:val="99"/>
    <w:rsid w:val="00C444EF"/>
    <w:pPr>
      <w:tabs>
        <w:tab w:val="center" w:pos="4419"/>
        <w:tab w:val="right" w:pos="8838"/>
      </w:tabs>
      <w:spacing w:after="0" w:line="240" w:lineRule="auto"/>
    </w:pPr>
  </w:style>
  <w:style w:type="character" w:customStyle="1" w:styleId="Char2">
    <w:name w:val="页脚 Char"/>
    <w:basedOn w:val="a0"/>
    <w:link w:val="ab"/>
    <w:uiPriority w:val="99"/>
    <w:locked/>
    <w:rsid w:val="00C444EF"/>
    <w:rPr>
      <w:rFonts w:eastAsia="宋体" w:cs="Times New Roman"/>
      <w:lang w:eastAsia="es-MX"/>
    </w:rPr>
  </w:style>
  <w:style w:type="paragraph" w:styleId="ac">
    <w:name w:val="Revision"/>
    <w:hidden/>
    <w:uiPriority w:val="99"/>
    <w:semiHidden/>
    <w:rsid w:val="008A734F"/>
    <w:rPr>
      <w:kern w:val="0"/>
      <w:sz w:val="22"/>
      <w:lang w:val="es-ES" w:eastAsia="es-MX"/>
    </w:rPr>
  </w:style>
  <w:style w:type="character" w:styleId="ad">
    <w:name w:val="annotation reference"/>
    <w:basedOn w:val="a0"/>
    <w:uiPriority w:val="99"/>
    <w:semiHidden/>
    <w:rsid w:val="00204EF3"/>
    <w:rPr>
      <w:rFonts w:cs="Times New Roman"/>
      <w:sz w:val="16"/>
      <w:szCs w:val="16"/>
    </w:rPr>
  </w:style>
  <w:style w:type="paragraph" w:styleId="ae">
    <w:name w:val="annotation text"/>
    <w:basedOn w:val="a"/>
    <w:link w:val="Char3"/>
    <w:autoRedefine/>
    <w:uiPriority w:val="99"/>
    <w:rsid w:val="00D45DF5"/>
    <w:pPr>
      <w:spacing w:after="0" w:line="240" w:lineRule="auto"/>
    </w:pPr>
    <w:rPr>
      <w:rFonts w:ascii="Times New Roman" w:hAnsi="Times New Roman"/>
      <w:sz w:val="20"/>
      <w:szCs w:val="20"/>
      <w:lang w:val="en-US"/>
    </w:rPr>
  </w:style>
  <w:style w:type="character" w:customStyle="1" w:styleId="Char3">
    <w:name w:val="批注文字 Char"/>
    <w:basedOn w:val="a0"/>
    <w:link w:val="ae"/>
    <w:uiPriority w:val="99"/>
    <w:locked/>
    <w:rsid w:val="00D45DF5"/>
    <w:rPr>
      <w:rFonts w:ascii="Times New Roman" w:eastAsia="宋体" w:hAnsi="Times New Roman" w:cs="Times New Roman"/>
      <w:sz w:val="20"/>
      <w:szCs w:val="20"/>
      <w:lang w:val="en-US" w:eastAsia="es-MX"/>
    </w:rPr>
  </w:style>
  <w:style w:type="paragraph" w:styleId="af">
    <w:name w:val="annotation subject"/>
    <w:basedOn w:val="ae"/>
    <w:next w:val="ae"/>
    <w:link w:val="Char4"/>
    <w:uiPriority w:val="99"/>
    <w:semiHidden/>
    <w:rsid w:val="00204EF3"/>
    <w:rPr>
      <w:b/>
      <w:bCs/>
    </w:rPr>
  </w:style>
  <w:style w:type="character" w:customStyle="1" w:styleId="Char4">
    <w:name w:val="批注主题 Char"/>
    <w:basedOn w:val="Char3"/>
    <w:link w:val="af"/>
    <w:uiPriority w:val="99"/>
    <w:semiHidden/>
    <w:locked/>
    <w:rsid w:val="00204EF3"/>
    <w:rPr>
      <w:rFonts w:ascii="Times New Roman" w:eastAsia="宋体" w:hAnsi="Times New Roman" w:cs="Times New Roman"/>
      <w:b/>
      <w:bCs/>
      <w:sz w:val="20"/>
      <w:szCs w:val="20"/>
      <w:lang w:val="en-US" w:eastAsia="es-MX"/>
    </w:rPr>
  </w:style>
  <w:style w:type="character" w:customStyle="1" w:styleId="Char10">
    <w:name w:val="批注文字 Char1"/>
    <w:basedOn w:val="a0"/>
    <w:uiPriority w:val="99"/>
    <w:semiHidden/>
    <w:rsid w:val="00854338"/>
    <w:rPr>
      <w:rFonts w:eastAsia="Times New Roman" w:cs="Times New Roman"/>
      <w:kern w:val="2"/>
      <w:sz w:val="24"/>
      <w:szCs w:val="24"/>
      <w:lang w:val="en-US" w:eastAsia="zh-CN" w:bidi="ar-SA"/>
    </w:rPr>
  </w:style>
  <w:style w:type="character" w:customStyle="1" w:styleId="trans">
    <w:name w:val="trans"/>
    <w:basedOn w:val="a0"/>
    <w:uiPriority w:val="99"/>
    <w:rsid w:val="00854338"/>
    <w:rPr>
      <w:rFonts w:cs="Times New Roman"/>
    </w:rPr>
  </w:style>
  <w:style w:type="character" w:customStyle="1" w:styleId="webdict">
    <w:name w:val="webdict"/>
    <w:basedOn w:val="a0"/>
    <w:uiPriority w:val="99"/>
    <w:rsid w:val="00854338"/>
    <w:rPr>
      <w:rFonts w:cs="Times New Roman"/>
    </w:rPr>
  </w:style>
  <w:style w:type="paragraph" w:customStyle="1" w:styleId="p0">
    <w:name w:val="p0"/>
    <w:basedOn w:val="a"/>
    <w:uiPriority w:val="99"/>
    <w:rsid w:val="008C3A92"/>
    <w:pPr>
      <w:spacing w:after="0" w:line="240" w:lineRule="atLeast"/>
    </w:pPr>
    <w:rPr>
      <w:rFonts w:ascii="Century"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88642">
      <w:marLeft w:val="0"/>
      <w:marRight w:val="0"/>
      <w:marTop w:val="0"/>
      <w:marBottom w:val="0"/>
      <w:divBdr>
        <w:top w:val="none" w:sz="0" w:space="0" w:color="auto"/>
        <w:left w:val="none" w:sz="0" w:space="0" w:color="auto"/>
        <w:bottom w:val="none" w:sz="0" w:space="0" w:color="auto"/>
        <w:right w:val="none" w:sz="0" w:space="0" w:color="auto"/>
      </w:divBdr>
    </w:div>
    <w:div w:id="790588643">
      <w:marLeft w:val="0"/>
      <w:marRight w:val="0"/>
      <w:marTop w:val="0"/>
      <w:marBottom w:val="0"/>
      <w:divBdr>
        <w:top w:val="none" w:sz="0" w:space="0" w:color="auto"/>
        <w:left w:val="none" w:sz="0" w:space="0" w:color="auto"/>
        <w:bottom w:val="none" w:sz="0" w:space="0" w:color="auto"/>
        <w:right w:val="none" w:sz="0" w:space="0" w:color="auto"/>
      </w:divBdr>
      <w:divsChild>
        <w:div w:id="790588655">
          <w:marLeft w:val="0"/>
          <w:marRight w:val="0"/>
          <w:marTop w:val="0"/>
          <w:marBottom w:val="0"/>
          <w:divBdr>
            <w:top w:val="none" w:sz="0" w:space="0" w:color="auto"/>
            <w:left w:val="none" w:sz="0" w:space="0" w:color="auto"/>
            <w:bottom w:val="none" w:sz="0" w:space="0" w:color="auto"/>
            <w:right w:val="none" w:sz="0" w:space="0" w:color="auto"/>
          </w:divBdr>
          <w:divsChild>
            <w:div w:id="790588644">
              <w:marLeft w:val="0"/>
              <w:marRight w:val="0"/>
              <w:marTop w:val="0"/>
              <w:marBottom w:val="0"/>
              <w:divBdr>
                <w:top w:val="none" w:sz="0" w:space="0" w:color="auto"/>
                <w:left w:val="none" w:sz="0" w:space="0" w:color="auto"/>
                <w:bottom w:val="none" w:sz="0" w:space="0" w:color="auto"/>
                <w:right w:val="none" w:sz="0" w:space="0" w:color="auto"/>
              </w:divBdr>
              <w:divsChild>
                <w:div w:id="790588638">
                  <w:marLeft w:val="0"/>
                  <w:marRight w:val="0"/>
                  <w:marTop w:val="0"/>
                  <w:marBottom w:val="0"/>
                  <w:divBdr>
                    <w:top w:val="none" w:sz="0" w:space="0" w:color="auto"/>
                    <w:left w:val="none" w:sz="0" w:space="0" w:color="auto"/>
                    <w:bottom w:val="none" w:sz="0" w:space="0" w:color="auto"/>
                    <w:right w:val="none" w:sz="0" w:space="0" w:color="auto"/>
                  </w:divBdr>
                  <w:divsChild>
                    <w:div w:id="790588636">
                      <w:marLeft w:val="0"/>
                      <w:marRight w:val="0"/>
                      <w:marTop w:val="0"/>
                      <w:marBottom w:val="0"/>
                      <w:divBdr>
                        <w:top w:val="none" w:sz="0" w:space="0" w:color="auto"/>
                        <w:left w:val="none" w:sz="0" w:space="0" w:color="auto"/>
                        <w:bottom w:val="none" w:sz="0" w:space="0" w:color="auto"/>
                        <w:right w:val="none" w:sz="0" w:space="0" w:color="auto"/>
                      </w:divBdr>
                      <w:divsChild>
                        <w:div w:id="790588625">
                          <w:marLeft w:val="0"/>
                          <w:marRight w:val="0"/>
                          <w:marTop w:val="0"/>
                          <w:marBottom w:val="0"/>
                          <w:divBdr>
                            <w:top w:val="none" w:sz="0" w:space="0" w:color="auto"/>
                            <w:left w:val="none" w:sz="0" w:space="0" w:color="auto"/>
                            <w:bottom w:val="none" w:sz="0" w:space="0" w:color="auto"/>
                            <w:right w:val="none" w:sz="0" w:space="0" w:color="auto"/>
                          </w:divBdr>
                          <w:divsChild>
                            <w:div w:id="790588648">
                              <w:marLeft w:val="0"/>
                              <w:marRight w:val="0"/>
                              <w:marTop w:val="0"/>
                              <w:marBottom w:val="0"/>
                              <w:divBdr>
                                <w:top w:val="none" w:sz="0" w:space="0" w:color="auto"/>
                                <w:left w:val="none" w:sz="0" w:space="0" w:color="auto"/>
                                <w:bottom w:val="none" w:sz="0" w:space="0" w:color="auto"/>
                                <w:right w:val="none" w:sz="0" w:space="0" w:color="auto"/>
                              </w:divBdr>
                              <w:divsChild>
                                <w:div w:id="790588632">
                                  <w:marLeft w:val="0"/>
                                  <w:marRight w:val="0"/>
                                  <w:marTop w:val="0"/>
                                  <w:marBottom w:val="0"/>
                                  <w:divBdr>
                                    <w:top w:val="none" w:sz="0" w:space="0" w:color="auto"/>
                                    <w:left w:val="none" w:sz="0" w:space="0" w:color="auto"/>
                                    <w:bottom w:val="none" w:sz="0" w:space="0" w:color="auto"/>
                                    <w:right w:val="none" w:sz="0" w:space="0" w:color="auto"/>
                                  </w:divBdr>
                                  <w:divsChild>
                                    <w:div w:id="790588637">
                                      <w:marLeft w:val="60"/>
                                      <w:marRight w:val="0"/>
                                      <w:marTop w:val="0"/>
                                      <w:marBottom w:val="0"/>
                                      <w:divBdr>
                                        <w:top w:val="none" w:sz="0" w:space="0" w:color="auto"/>
                                        <w:left w:val="none" w:sz="0" w:space="0" w:color="auto"/>
                                        <w:bottom w:val="none" w:sz="0" w:space="0" w:color="auto"/>
                                        <w:right w:val="none" w:sz="0" w:space="0" w:color="auto"/>
                                      </w:divBdr>
                                      <w:divsChild>
                                        <w:div w:id="790588635">
                                          <w:marLeft w:val="0"/>
                                          <w:marRight w:val="0"/>
                                          <w:marTop w:val="0"/>
                                          <w:marBottom w:val="0"/>
                                          <w:divBdr>
                                            <w:top w:val="none" w:sz="0" w:space="0" w:color="auto"/>
                                            <w:left w:val="none" w:sz="0" w:space="0" w:color="auto"/>
                                            <w:bottom w:val="none" w:sz="0" w:space="0" w:color="auto"/>
                                            <w:right w:val="none" w:sz="0" w:space="0" w:color="auto"/>
                                          </w:divBdr>
                                          <w:divsChild>
                                            <w:div w:id="790588633">
                                              <w:marLeft w:val="0"/>
                                              <w:marRight w:val="0"/>
                                              <w:marTop w:val="0"/>
                                              <w:marBottom w:val="120"/>
                                              <w:divBdr>
                                                <w:top w:val="single" w:sz="6" w:space="0" w:color="F5F5F5"/>
                                                <w:left w:val="single" w:sz="6" w:space="0" w:color="F5F5F5"/>
                                                <w:bottom w:val="single" w:sz="6" w:space="0" w:color="F5F5F5"/>
                                                <w:right w:val="single" w:sz="6" w:space="0" w:color="F5F5F5"/>
                                              </w:divBdr>
                                              <w:divsChild>
                                                <w:div w:id="790588639">
                                                  <w:marLeft w:val="0"/>
                                                  <w:marRight w:val="0"/>
                                                  <w:marTop w:val="0"/>
                                                  <w:marBottom w:val="0"/>
                                                  <w:divBdr>
                                                    <w:top w:val="none" w:sz="0" w:space="0" w:color="auto"/>
                                                    <w:left w:val="none" w:sz="0" w:space="0" w:color="auto"/>
                                                    <w:bottom w:val="none" w:sz="0" w:space="0" w:color="auto"/>
                                                    <w:right w:val="none" w:sz="0" w:space="0" w:color="auto"/>
                                                  </w:divBdr>
                                                  <w:divsChild>
                                                    <w:div w:id="7905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588660">
      <w:marLeft w:val="0"/>
      <w:marRight w:val="0"/>
      <w:marTop w:val="0"/>
      <w:marBottom w:val="0"/>
      <w:divBdr>
        <w:top w:val="none" w:sz="0" w:space="0" w:color="auto"/>
        <w:left w:val="none" w:sz="0" w:space="0" w:color="auto"/>
        <w:bottom w:val="none" w:sz="0" w:space="0" w:color="auto"/>
        <w:right w:val="none" w:sz="0" w:space="0" w:color="auto"/>
      </w:divBdr>
      <w:divsChild>
        <w:div w:id="790588626">
          <w:marLeft w:val="0"/>
          <w:marRight w:val="0"/>
          <w:marTop w:val="0"/>
          <w:marBottom w:val="0"/>
          <w:divBdr>
            <w:top w:val="none" w:sz="0" w:space="0" w:color="auto"/>
            <w:left w:val="none" w:sz="0" w:space="0" w:color="auto"/>
            <w:bottom w:val="none" w:sz="0" w:space="0" w:color="auto"/>
            <w:right w:val="none" w:sz="0" w:space="0" w:color="auto"/>
          </w:divBdr>
        </w:div>
        <w:div w:id="790588627">
          <w:marLeft w:val="0"/>
          <w:marRight w:val="0"/>
          <w:marTop w:val="0"/>
          <w:marBottom w:val="0"/>
          <w:divBdr>
            <w:top w:val="none" w:sz="0" w:space="0" w:color="auto"/>
            <w:left w:val="none" w:sz="0" w:space="0" w:color="auto"/>
            <w:bottom w:val="none" w:sz="0" w:space="0" w:color="auto"/>
            <w:right w:val="none" w:sz="0" w:space="0" w:color="auto"/>
          </w:divBdr>
        </w:div>
        <w:div w:id="790588629">
          <w:marLeft w:val="0"/>
          <w:marRight w:val="0"/>
          <w:marTop w:val="0"/>
          <w:marBottom w:val="0"/>
          <w:divBdr>
            <w:top w:val="none" w:sz="0" w:space="0" w:color="auto"/>
            <w:left w:val="none" w:sz="0" w:space="0" w:color="auto"/>
            <w:bottom w:val="none" w:sz="0" w:space="0" w:color="auto"/>
            <w:right w:val="none" w:sz="0" w:space="0" w:color="auto"/>
          </w:divBdr>
        </w:div>
        <w:div w:id="790588630">
          <w:marLeft w:val="0"/>
          <w:marRight w:val="0"/>
          <w:marTop w:val="0"/>
          <w:marBottom w:val="0"/>
          <w:divBdr>
            <w:top w:val="none" w:sz="0" w:space="0" w:color="auto"/>
            <w:left w:val="none" w:sz="0" w:space="0" w:color="auto"/>
            <w:bottom w:val="none" w:sz="0" w:space="0" w:color="auto"/>
            <w:right w:val="none" w:sz="0" w:space="0" w:color="auto"/>
          </w:divBdr>
        </w:div>
        <w:div w:id="790588631">
          <w:marLeft w:val="0"/>
          <w:marRight w:val="0"/>
          <w:marTop w:val="0"/>
          <w:marBottom w:val="0"/>
          <w:divBdr>
            <w:top w:val="none" w:sz="0" w:space="0" w:color="auto"/>
            <w:left w:val="none" w:sz="0" w:space="0" w:color="auto"/>
            <w:bottom w:val="none" w:sz="0" w:space="0" w:color="auto"/>
            <w:right w:val="none" w:sz="0" w:space="0" w:color="auto"/>
          </w:divBdr>
        </w:div>
        <w:div w:id="790588634">
          <w:marLeft w:val="0"/>
          <w:marRight w:val="0"/>
          <w:marTop w:val="0"/>
          <w:marBottom w:val="0"/>
          <w:divBdr>
            <w:top w:val="none" w:sz="0" w:space="0" w:color="auto"/>
            <w:left w:val="none" w:sz="0" w:space="0" w:color="auto"/>
            <w:bottom w:val="none" w:sz="0" w:space="0" w:color="auto"/>
            <w:right w:val="none" w:sz="0" w:space="0" w:color="auto"/>
          </w:divBdr>
        </w:div>
        <w:div w:id="790588640">
          <w:marLeft w:val="0"/>
          <w:marRight w:val="0"/>
          <w:marTop w:val="0"/>
          <w:marBottom w:val="0"/>
          <w:divBdr>
            <w:top w:val="none" w:sz="0" w:space="0" w:color="auto"/>
            <w:left w:val="none" w:sz="0" w:space="0" w:color="auto"/>
            <w:bottom w:val="none" w:sz="0" w:space="0" w:color="auto"/>
            <w:right w:val="none" w:sz="0" w:space="0" w:color="auto"/>
          </w:divBdr>
        </w:div>
        <w:div w:id="790588641">
          <w:marLeft w:val="0"/>
          <w:marRight w:val="0"/>
          <w:marTop w:val="0"/>
          <w:marBottom w:val="0"/>
          <w:divBdr>
            <w:top w:val="none" w:sz="0" w:space="0" w:color="auto"/>
            <w:left w:val="none" w:sz="0" w:space="0" w:color="auto"/>
            <w:bottom w:val="none" w:sz="0" w:space="0" w:color="auto"/>
            <w:right w:val="none" w:sz="0" w:space="0" w:color="auto"/>
          </w:divBdr>
        </w:div>
        <w:div w:id="790588645">
          <w:marLeft w:val="0"/>
          <w:marRight w:val="0"/>
          <w:marTop w:val="0"/>
          <w:marBottom w:val="0"/>
          <w:divBdr>
            <w:top w:val="none" w:sz="0" w:space="0" w:color="auto"/>
            <w:left w:val="none" w:sz="0" w:space="0" w:color="auto"/>
            <w:bottom w:val="none" w:sz="0" w:space="0" w:color="auto"/>
            <w:right w:val="none" w:sz="0" w:space="0" w:color="auto"/>
          </w:divBdr>
        </w:div>
        <w:div w:id="790588646">
          <w:marLeft w:val="0"/>
          <w:marRight w:val="0"/>
          <w:marTop w:val="0"/>
          <w:marBottom w:val="0"/>
          <w:divBdr>
            <w:top w:val="none" w:sz="0" w:space="0" w:color="auto"/>
            <w:left w:val="none" w:sz="0" w:space="0" w:color="auto"/>
            <w:bottom w:val="none" w:sz="0" w:space="0" w:color="auto"/>
            <w:right w:val="none" w:sz="0" w:space="0" w:color="auto"/>
          </w:divBdr>
        </w:div>
        <w:div w:id="790588647">
          <w:marLeft w:val="0"/>
          <w:marRight w:val="0"/>
          <w:marTop w:val="0"/>
          <w:marBottom w:val="0"/>
          <w:divBdr>
            <w:top w:val="none" w:sz="0" w:space="0" w:color="auto"/>
            <w:left w:val="none" w:sz="0" w:space="0" w:color="auto"/>
            <w:bottom w:val="none" w:sz="0" w:space="0" w:color="auto"/>
            <w:right w:val="none" w:sz="0" w:space="0" w:color="auto"/>
          </w:divBdr>
        </w:div>
        <w:div w:id="790588649">
          <w:marLeft w:val="0"/>
          <w:marRight w:val="0"/>
          <w:marTop w:val="0"/>
          <w:marBottom w:val="0"/>
          <w:divBdr>
            <w:top w:val="none" w:sz="0" w:space="0" w:color="auto"/>
            <w:left w:val="none" w:sz="0" w:space="0" w:color="auto"/>
            <w:bottom w:val="none" w:sz="0" w:space="0" w:color="auto"/>
            <w:right w:val="none" w:sz="0" w:space="0" w:color="auto"/>
          </w:divBdr>
        </w:div>
        <w:div w:id="790588650">
          <w:marLeft w:val="0"/>
          <w:marRight w:val="0"/>
          <w:marTop w:val="0"/>
          <w:marBottom w:val="0"/>
          <w:divBdr>
            <w:top w:val="none" w:sz="0" w:space="0" w:color="auto"/>
            <w:left w:val="none" w:sz="0" w:space="0" w:color="auto"/>
            <w:bottom w:val="none" w:sz="0" w:space="0" w:color="auto"/>
            <w:right w:val="none" w:sz="0" w:space="0" w:color="auto"/>
          </w:divBdr>
        </w:div>
        <w:div w:id="790588651">
          <w:marLeft w:val="0"/>
          <w:marRight w:val="0"/>
          <w:marTop w:val="0"/>
          <w:marBottom w:val="0"/>
          <w:divBdr>
            <w:top w:val="none" w:sz="0" w:space="0" w:color="auto"/>
            <w:left w:val="none" w:sz="0" w:space="0" w:color="auto"/>
            <w:bottom w:val="none" w:sz="0" w:space="0" w:color="auto"/>
            <w:right w:val="none" w:sz="0" w:space="0" w:color="auto"/>
          </w:divBdr>
        </w:div>
        <w:div w:id="790588652">
          <w:marLeft w:val="0"/>
          <w:marRight w:val="0"/>
          <w:marTop w:val="0"/>
          <w:marBottom w:val="0"/>
          <w:divBdr>
            <w:top w:val="none" w:sz="0" w:space="0" w:color="auto"/>
            <w:left w:val="none" w:sz="0" w:space="0" w:color="auto"/>
            <w:bottom w:val="none" w:sz="0" w:space="0" w:color="auto"/>
            <w:right w:val="none" w:sz="0" w:space="0" w:color="auto"/>
          </w:divBdr>
        </w:div>
        <w:div w:id="790588653">
          <w:marLeft w:val="0"/>
          <w:marRight w:val="0"/>
          <w:marTop w:val="0"/>
          <w:marBottom w:val="0"/>
          <w:divBdr>
            <w:top w:val="none" w:sz="0" w:space="0" w:color="auto"/>
            <w:left w:val="none" w:sz="0" w:space="0" w:color="auto"/>
            <w:bottom w:val="none" w:sz="0" w:space="0" w:color="auto"/>
            <w:right w:val="none" w:sz="0" w:space="0" w:color="auto"/>
          </w:divBdr>
        </w:div>
        <w:div w:id="790588654">
          <w:marLeft w:val="0"/>
          <w:marRight w:val="0"/>
          <w:marTop w:val="0"/>
          <w:marBottom w:val="0"/>
          <w:divBdr>
            <w:top w:val="none" w:sz="0" w:space="0" w:color="auto"/>
            <w:left w:val="none" w:sz="0" w:space="0" w:color="auto"/>
            <w:bottom w:val="none" w:sz="0" w:space="0" w:color="auto"/>
            <w:right w:val="none" w:sz="0" w:space="0" w:color="auto"/>
          </w:divBdr>
        </w:div>
        <w:div w:id="790588656">
          <w:marLeft w:val="0"/>
          <w:marRight w:val="0"/>
          <w:marTop w:val="0"/>
          <w:marBottom w:val="0"/>
          <w:divBdr>
            <w:top w:val="none" w:sz="0" w:space="0" w:color="auto"/>
            <w:left w:val="none" w:sz="0" w:space="0" w:color="auto"/>
            <w:bottom w:val="none" w:sz="0" w:space="0" w:color="auto"/>
            <w:right w:val="none" w:sz="0" w:space="0" w:color="auto"/>
          </w:divBdr>
        </w:div>
        <w:div w:id="790588657">
          <w:marLeft w:val="0"/>
          <w:marRight w:val="0"/>
          <w:marTop w:val="0"/>
          <w:marBottom w:val="0"/>
          <w:divBdr>
            <w:top w:val="none" w:sz="0" w:space="0" w:color="auto"/>
            <w:left w:val="none" w:sz="0" w:space="0" w:color="auto"/>
            <w:bottom w:val="none" w:sz="0" w:space="0" w:color="auto"/>
            <w:right w:val="none" w:sz="0" w:space="0" w:color="auto"/>
          </w:divBdr>
        </w:div>
        <w:div w:id="790588658">
          <w:marLeft w:val="0"/>
          <w:marRight w:val="0"/>
          <w:marTop w:val="0"/>
          <w:marBottom w:val="0"/>
          <w:divBdr>
            <w:top w:val="none" w:sz="0" w:space="0" w:color="auto"/>
            <w:left w:val="none" w:sz="0" w:space="0" w:color="auto"/>
            <w:bottom w:val="none" w:sz="0" w:space="0" w:color="auto"/>
            <w:right w:val="none" w:sz="0" w:space="0" w:color="auto"/>
          </w:divBdr>
        </w:div>
        <w:div w:id="790588659">
          <w:marLeft w:val="0"/>
          <w:marRight w:val="0"/>
          <w:marTop w:val="0"/>
          <w:marBottom w:val="0"/>
          <w:divBdr>
            <w:top w:val="none" w:sz="0" w:space="0" w:color="auto"/>
            <w:left w:val="none" w:sz="0" w:space="0" w:color="auto"/>
            <w:bottom w:val="none" w:sz="0" w:space="0" w:color="auto"/>
            <w:right w:val="none" w:sz="0" w:space="0" w:color="auto"/>
          </w:divBdr>
        </w:div>
        <w:div w:id="790588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4316</Words>
  <Characters>24603</Characters>
  <Application>Microsoft Office Word</Application>
  <DocSecurity>0</DocSecurity>
  <Lines>205</Lines>
  <Paragraphs>57</Paragraphs>
  <ScaleCrop>false</ScaleCrop>
  <Company>OLE</Company>
  <LinksUpToDate>false</LinksUpToDate>
  <CharactersWithSpaces>28862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of the platelet count/spleen diameter ratio to predict esophageal varices in Mexican patients with hepatic cirrhosis.</dc:title>
  <dc:creator>OLE</dc:creator>
  <cp:lastModifiedBy>LS Ma</cp:lastModifiedBy>
  <cp:revision>2</cp:revision>
  <dcterms:created xsi:type="dcterms:W3CDTF">2013-11-02T18:11:00Z</dcterms:created>
  <dcterms:modified xsi:type="dcterms:W3CDTF">2013-11-02T18:11:00Z</dcterms:modified>
</cp:coreProperties>
</file>