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1691F" w14:textId="77777777" w:rsidR="00FA181F" w:rsidRPr="009D1CE8" w:rsidRDefault="00A3669D" w:rsidP="009D1CE8">
      <w:pPr>
        <w:spacing w:line="360" w:lineRule="auto"/>
        <w:jc w:val="both"/>
        <w:rPr>
          <w:rFonts w:ascii="Book Antiqua" w:hAnsi="Book Antiqua"/>
        </w:rPr>
      </w:pPr>
      <w:r w:rsidRPr="009D1CE8">
        <w:rPr>
          <w:rFonts w:ascii="Book Antiqua" w:eastAsia="Book Antiqua" w:hAnsi="Book Antiqua" w:cs="Book Antiqua"/>
          <w:b/>
        </w:rPr>
        <w:t xml:space="preserve">Name of Journal: </w:t>
      </w:r>
      <w:r w:rsidRPr="009D1CE8">
        <w:rPr>
          <w:rFonts w:ascii="Book Antiqua" w:eastAsia="Book Antiqua" w:hAnsi="Book Antiqua" w:cs="Book Antiqua"/>
          <w:i/>
        </w:rPr>
        <w:t>World Journal of Clinical Cases</w:t>
      </w:r>
    </w:p>
    <w:p w14:paraId="6BDAB5C8"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Manuscript NO: </w:t>
      </w:r>
      <w:r w:rsidRPr="006E6975">
        <w:rPr>
          <w:rFonts w:ascii="Book Antiqua" w:eastAsia="Book Antiqua" w:hAnsi="Book Antiqua" w:cs="Book Antiqua"/>
        </w:rPr>
        <w:t>58298</w:t>
      </w:r>
    </w:p>
    <w:p w14:paraId="407CACAC"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Manuscript Type: </w:t>
      </w:r>
      <w:r w:rsidRPr="006E6975">
        <w:rPr>
          <w:rFonts w:ascii="Book Antiqua" w:eastAsia="Book Antiqua" w:hAnsi="Book Antiqua" w:cs="Book Antiqua"/>
        </w:rPr>
        <w:t>CASE REPORT</w:t>
      </w:r>
    </w:p>
    <w:p w14:paraId="09F9156F" w14:textId="77777777" w:rsidR="00FA181F" w:rsidRPr="006E6975" w:rsidRDefault="00FA181F" w:rsidP="006E6975">
      <w:pPr>
        <w:spacing w:line="360" w:lineRule="auto"/>
        <w:jc w:val="both"/>
        <w:rPr>
          <w:rFonts w:ascii="Book Antiqua" w:hAnsi="Book Antiqua"/>
        </w:rPr>
      </w:pPr>
    </w:p>
    <w:p w14:paraId="33B7F9B9" w14:textId="77777777" w:rsidR="00FA181F" w:rsidRPr="009D1CE8" w:rsidRDefault="00A3669D" w:rsidP="006E6975">
      <w:pPr>
        <w:spacing w:line="360" w:lineRule="auto"/>
        <w:jc w:val="both"/>
        <w:rPr>
          <w:rFonts w:ascii="Book Antiqua" w:hAnsi="Book Antiqua"/>
        </w:rPr>
      </w:pPr>
      <w:bookmarkStart w:id="0" w:name="OLE_LINK6"/>
      <w:r w:rsidRPr="006E6975">
        <w:rPr>
          <w:rFonts w:ascii="Book Antiqua" w:eastAsia="Book Antiqua" w:hAnsi="Book Antiqua" w:cs="Book Antiqua"/>
          <w:b/>
        </w:rPr>
        <w:t>Intracranial malignant solitary fibrous tumor metastasized to the chest wall: A</w:t>
      </w:r>
      <w:r w:rsidRPr="006E6975">
        <w:rPr>
          <w:rFonts w:ascii="Book Antiqua" w:eastAsia="Book Antiqua" w:hAnsi="Book Antiqua" w:cs="Book Antiqua"/>
          <w:b/>
          <w:lang w:eastAsia="zh-CN"/>
        </w:rPr>
        <w:t xml:space="preserve"> c</w:t>
      </w:r>
      <w:r w:rsidRPr="009D1CE8">
        <w:rPr>
          <w:rFonts w:ascii="Book Antiqua" w:eastAsia="Book Antiqua" w:hAnsi="Book Antiqua" w:cs="Book Antiqua"/>
          <w:b/>
        </w:rPr>
        <w:t>ase report and review of literature</w:t>
      </w:r>
      <w:bookmarkEnd w:id="0"/>
    </w:p>
    <w:p w14:paraId="33F4031A" w14:textId="77777777" w:rsidR="00FA181F" w:rsidRPr="009D1CE8" w:rsidRDefault="00FA181F" w:rsidP="006E6975">
      <w:pPr>
        <w:spacing w:line="360" w:lineRule="auto"/>
        <w:jc w:val="both"/>
        <w:rPr>
          <w:rFonts w:ascii="Book Antiqua" w:hAnsi="Book Antiqua"/>
        </w:rPr>
      </w:pPr>
    </w:p>
    <w:p w14:paraId="3327CE9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Usuda D</w:t>
      </w:r>
      <w:r w:rsidRPr="006E6975">
        <w:rPr>
          <w:rFonts w:ascii="Book Antiqua" w:eastAsia="宋体" w:hAnsi="Book Antiqua" w:cs="Book Antiqua"/>
          <w:lang w:eastAsia="zh-CN"/>
        </w:rPr>
        <w:t xml:space="preserve"> </w:t>
      </w:r>
      <w:r w:rsidRPr="006E6975">
        <w:rPr>
          <w:rFonts w:ascii="Book Antiqua" w:eastAsia="宋体" w:hAnsi="Book Antiqua" w:cs="Book Antiqua"/>
          <w:i/>
          <w:iCs/>
          <w:lang w:eastAsia="zh-CN"/>
        </w:rPr>
        <w:t>et al</w:t>
      </w:r>
      <w:r w:rsidRPr="006E6975">
        <w:rPr>
          <w:rFonts w:ascii="Book Antiqua" w:eastAsia="宋体" w:hAnsi="Book Antiqua" w:cs="Book Antiqua"/>
          <w:lang w:eastAsia="zh-CN"/>
        </w:rPr>
        <w:t xml:space="preserve">. </w:t>
      </w:r>
      <w:r w:rsidRPr="006E6975">
        <w:rPr>
          <w:rFonts w:ascii="Book Antiqua" w:eastAsia="Book Antiqua" w:hAnsi="Book Antiqua" w:cs="Book Antiqua"/>
        </w:rPr>
        <w:t>Intracranial solitary fibrous tumor chest wall</w:t>
      </w:r>
    </w:p>
    <w:p w14:paraId="192C6D84" w14:textId="77777777" w:rsidR="00FA181F" w:rsidRPr="006E6975" w:rsidRDefault="00FA181F" w:rsidP="006E6975">
      <w:pPr>
        <w:spacing w:line="360" w:lineRule="auto"/>
        <w:jc w:val="both"/>
        <w:rPr>
          <w:rFonts w:ascii="Book Antiqua" w:hAnsi="Book Antiqua"/>
        </w:rPr>
      </w:pPr>
    </w:p>
    <w:p w14:paraId="5872167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Daisuke Usuda, Shinya Yamada, Toshihide Izumida, Ryusho Sangen, Toshihiro Higashikawa, Ken Nakagawa, Masaharu Iguchi, Yuji Kasamaki</w:t>
      </w:r>
    </w:p>
    <w:p w14:paraId="2BD42E24" w14:textId="77777777" w:rsidR="00FA181F" w:rsidRPr="006E6975" w:rsidRDefault="00FA181F" w:rsidP="006E6975">
      <w:pPr>
        <w:spacing w:line="360" w:lineRule="auto"/>
        <w:jc w:val="both"/>
        <w:rPr>
          <w:rFonts w:ascii="Book Antiqua" w:hAnsi="Book Antiqua"/>
        </w:rPr>
      </w:pPr>
    </w:p>
    <w:p w14:paraId="05FAF84B"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Daisuke Usuda, </w:t>
      </w:r>
      <w:bookmarkStart w:id="1" w:name="OLE_LINK1862"/>
      <w:bookmarkStart w:id="2" w:name="OLE_LINK1863"/>
      <w:r w:rsidRPr="006E6975">
        <w:rPr>
          <w:rFonts w:ascii="Book Antiqua" w:eastAsia="Book Antiqua" w:hAnsi="Book Antiqua" w:cs="Book Antiqua"/>
          <w:b/>
          <w:bCs/>
        </w:rPr>
        <w:t xml:space="preserve">Toshihide Izumida, Ryusho Sangen, Yuji Kasamaki, </w:t>
      </w:r>
      <w:r w:rsidRPr="006E6975">
        <w:rPr>
          <w:rFonts w:ascii="Book Antiqua" w:eastAsia="Book Antiqua" w:hAnsi="Book Antiqua" w:cs="Book Antiqua"/>
          <w:lang w:eastAsia="zh-CN"/>
        </w:rPr>
        <w:t>Department of</w:t>
      </w:r>
      <w:bookmarkEnd w:id="1"/>
      <w:bookmarkEnd w:id="2"/>
      <w:r w:rsidRPr="006E6975">
        <w:rPr>
          <w:rFonts w:ascii="Book Antiqua" w:eastAsia="Book Antiqua" w:hAnsi="Book Antiqua" w:cs="Book Antiqua"/>
          <w:lang w:eastAsia="zh-CN"/>
        </w:rPr>
        <w:t xml:space="preserve"> G</w:t>
      </w:r>
      <w:r w:rsidRPr="006E6975">
        <w:rPr>
          <w:rFonts w:ascii="Book Antiqua" w:eastAsia="Book Antiqua" w:hAnsi="Book Antiqua" w:cs="Book Antiqua"/>
        </w:rPr>
        <w:t>eneral Medicine, Kanazawa Medical University Himi Municipal Hospital, Himi-shi 935-8531, Toyama-ken, Japan</w:t>
      </w:r>
    </w:p>
    <w:p w14:paraId="0814073A" w14:textId="77777777" w:rsidR="00FA181F" w:rsidRPr="006E6975" w:rsidRDefault="00FA181F" w:rsidP="006E6975">
      <w:pPr>
        <w:spacing w:line="360" w:lineRule="auto"/>
        <w:jc w:val="both"/>
        <w:rPr>
          <w:rFonts w:ascii="Book Antiqua" w:hAnsi="Book Antiqua"/>
        </w:rPr>
      </w:pPr>
    </w:p>
    <w:p w14:paraId="0365F578" w14:textId="77777777" w:rsidR="00FA181F" w:rsidRPr="009D1CE8"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Daisuke Usuda, </w:t>
      </w:r>
      <w:r w:rsidRPr="006E6975">
        <w:rPr>
          <w:rFonts w:ascii="Book Antiqua" w:eastAsia="Book Antiqua" w:hAnsi="Book Antiqua" w:cs="Book Antiqua"/>
          <w:lang w:eastAsia="zh-CN"/>
        </w:rPr>
        <w:t>D</w:t>
      </w:r>
      <w:r w:rsidRPr="009D1CE8">
        <w:rPr>
          <w:rFonts w:ascii="Book Antiqua" w:eastAsia="Book Antiqua" w:hAnsi="Book Antiqua" w:cs="Book Antiqua"/>
          <w:lang w:eastAsia="zh-CN"/>
        </w:rPr>
        <w:t>epartment of</w:t>
      </w:r>
      <w:r w:rsidRPr="009D1CE8">
        <w:rPr>
          <w:rFonts w:ascii="Book Antiqua" w:eastAsia="Book Antiqua" w:hAnsi="Book Antiqua" w:cs="Book Antiqua"/>
        </w:rPr>
        <w:t xml:space="preserve"> Infectious Diseases, Kanazawa Medical University, Uchinada-machi 920-0293, Ishikawa-ken, Japan</w:t>
      </w:r>
    </w:p>
    <w:p w14:paraId="7986B550" w14:textId="77777777" w:rsidR="00FA181F" w:rsidRPr="006E6975" w:rsidRDefault="00FA181F" w:rsidP="006E6975">
      <w:pPr>
        <w:spacing w:line="360" w:lineRule="auto"/>
        <w:jc w:val="both"/>
        <w:rPr>
          <w:rFonts w:ascii="Book Antiqua" w:hAnsi="Book Antiqua"/>
        </w:rPr>
      </w:pPr>
    </w:p>
    <w:p w14:paraId="3FE6AB29" w14:textId="77777777" w:rsidR="00FA181F" w:rsidRPr="009D1CE8" w:rsidRDefault="00A3669D" w:rsidP="006E6975">
      <w:pPr>
        <w:spacing w:line="360" w:lineRule="auto"/>
        <w:jc w:val="both"/>
        <w:rPr>
          <w:rFonts w:ascii="Book Antiqua" w:eastAsia="Book Antiqua" w:hAnsi="Book Antiqua" w:cs="Book Antiqua"/>
        </w:rPr>
      </w:pPr>
      <w:r w:rsidRPr="006E6975">
        <w:rPr>
          <w:rFonts w:ascii="Book Antiqua" w:eastAsia="Book Antiqua" w:hAnsi="Book Antiqua" w:cs="Book Antiqua"/>
          <w:b/>
          <w:bCs/>
        </w:rPr>
        <w:t xml:space="preserve">Shinya Yamada, Ken Nakagawa, Masaharu Iguchi, </w:t>
      </w:r>
      <w:r w:rsidRPr="006E6975">
        <w:rPr>
          <w:rFonts w:ascii="Book Antiqua" w:eastAsia="Book Antiqua" w:hAnsi="Book Antiqua" w:cs="Book Antiqua"/>
          <w:lang w:eastAsia="zh-CN"/>
        </w:rPr>
        <w:t>D</w:t>
      </w:r>
      <w:r w:rsidRPr="009D1CE8">
        <w:rPr>
          <w:rFonts w:ascii="Book Antiqua" w:eastAsia="Book Antiqua" w:hAnsi="Book Antiqua" w:cs="Book Antiqua"/>
          <w:lang w:eastAsia="zh-CN"/>
        </w:rPr>
        <w:t>epartment of</w:t>
      </w:r>
      <w:r w:rsidRPr="009D1CE8">
        <w:rPr>
          <w:rFonts w:ascii="Book Antiqua" w:eastAsia="Book Antiqua" w:hAnsi="Book Antiqua" w:cs="Book Antiqua"/>
        </w:rPr>
        <w:t xml:space="preserve"> Respiratory Medicine, Kanazawa Medical University Himi Municipal Hospital, Himi-shi 935-8531, Toyama-ken, Japan</w:t>
      </w:r>
    </w:p>
    <w:p w14:paraId="0F41095B" w14:textId="77777777" w:rsidR="00FA181F" w:rsidRPr="006E6975" w:rsidRDefault="00FA181F" w:rsidP="006E6975">
      <w:pPr>
        <w:spacing w:line="360" w:lineRule="auto"/>
        <w:jc w:val="both"/>
        <w:rPr>
          <w:rFonts w:ascii="Book Antiqua" w:eastAsia="Book Antiqua" w:hAnsi="Book Antiqua" w:cs="Book Antiqua"/>
        </w:rPr>
      </w:pPr>
    </w:p>
    <w:p w14:paraId="4D10AA25" w14:textId="77777777" w:rsidR="00FA181F" w:rsidRPr="009D1CE8" w:rsidRDefault="00A3669D" w:rsidP="006E6975">
      <w:pPr>
        <w:spacing w:line="360" w:lineRule="auto"/>
        <w:jc w:val="both"/>
        <w:rPr>
          <w:rFonts w:ascii="Book Antiqua" w:hAnsi="Book Antiqua"/>
        </w:rPr>
      </w:pPr>
      <w:r w:rsidRPr="006E6975">
        <w:rPr>
          <w:rFonts w:ascii="Book Antiqua" w:hAnsi="Book Antiqua"/>
          <w:b/>
          <w:bCs/>
        </w:rPr>
        <w:t>Toshihiro Higashikawa,</w:t>
      </w:r>
      <w:r w:rsidRPr="006E6975">
        <w:rPr>
          <w:rFonts w:ascii="Book Antiqua" w:hAnsi="Book Antiqua"/>
        </w:rPr>
        <w:t xml:space="preserve"> Department of Geriatric Medicine, Kanazawa Medical University Himi Municipal Hospital, Himi-shi</w:t>
      </w:r>
      <w:r w:rsidRPr="006E6975">
        <w:rPr>
          <w:rFonts w:ascii="Book Antiqua" w:eastAsia="宋体" w:hAnsi="Book Antiqua"/>
          <w:lang w:eastAsia="zh-CN"/>
        </w:rPr>
        <w:t xml:space="preserve"> </w:t>
      </w:r>
      <w:r w:rsidRPr="009D1CE8">
        <w:rPr>
          <w:rFonts w:ascii="Book Antiqua" w:hAnsi="Book Antiqua"/>
        </w:rPr>
        <w:t>935-8531, Toyama-ken,</w:t>
      </w:r>
      <w:r w:rsidRPr="006E6975">
        <w:rPr>
          <w:rFonts w:ascii="Book Antiqua" w:eastAsia="宋体" w:hAnsi="Book Antiqua"/>
          <w:lang w:eastAsia="zh-CN"/>
        </w:rPr>
        <w:t xml:space="preserve"> </w:t>
      </w:r>
      <w:r w:rsidRPr="009D1CE8">
        <w:rPr>
          <w:rFonts w:ascii="Book Antiqua" w:hAnsi="Book Antiqua"/>
        </w:rPr>
        <w:t>Japan</w:t>
      </w:r>
    </w:p>
    <w:p w14:paraId="135C2F3A" w14:textId="77777777" w:rsidR="00FA181F" w:rsidRPr="009D1CE8" w:rsidRDefault="00FA181F" w:rsidP="009D1CE8">
      <w:pPr>
        <w:spacing w:line="360" w:lineRule="auto"/>
        <w:jc w:val="both"/>
        <w:rPr>
          <w:rFonts w:ascii="Book Antiqua" w:hAnsi="Book Antiqua"/>
        </w:rPr>
      </w:pPr>
    </w:p>
    <w:p w14:paraId="528C791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Author contributions: </w:t>
      </w:r>
      <w:r w:rsidRPr="006E6975">
        <w:rPr>
          <w:rFonts w:ascii="Book Antiqua" w:eastAsia="Book Antiqua" w:hAnsi="Book Antiqua" w:cs="Book Antiqua"/>
        </w:rPr>
        <w:t xml:space="preserve">Usuda D collected the case data, prepared the photos, and wrote the manuscript; all authors proofread the pathologic materials; Yamada S, Izumida T, </w:t>
      </w:r>
      <w:r w:rsidRPr="006E6975">
        <w:rPr>
          <w:rFonts w:ascii="Book Antiqua" w:eastAsia="Book Antiqua" w:hAnsi="Book Antiqua" w:cs="Book Antiqua"/>
        </w:rPr>
        <w:lastRenderedPageBreak/>
        <w:t>Sangen R, Higashikawa T, Nakagawa K, Iguchi M, Kasamaki Y proofread and revised the manuscript; all authors approved the final version to be published.</w:t>
      </w:r>
    </w:p>
    <w:p w14:paraId="720F64D0" w14:textId="77777777" w:rsidR="00FA181F" w:rsidRPr="006E6975" w:rsidRDefault="00FA181F" w:rsidP="006E6975">
      <w:pPr>
        <w:spacing w:line="360" w:lineRule="auto"/>
        <w:jc w:val="both"/>
        <w:rPr>
          <w:rFonts w:ascii="Book Antiqua" w:hAnsi="Book Antiqua"/>
        </w:rPr>
      </w:pPr>
    </w:p>
    <w:p w14:paraId="539B7580"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Corresponding author: Daisuke Usuda, MD, MSc, PhD, Assistant Professor, Doctor, </w:t>
      </w:r>
      <w:r w:rsidRPr="006E6975">
        <w:rPr>
          <w:rFonts w:ascii="Book Antiqua" w:eastAsia="Book Antiqua" w:hAnsi="Book Antiqua" w:cs="Book Antiqua"/>
          <w:lang w:eastAsia="zh-CN"/>
        </w:rPr>
        <w:t>D</w:t>
      </w:r>
      <w:r w:rsidRPr="009D1CE8">
        <w:rPr>
          <w:rFonts w:ascii="Book Antiqua" w:eastAsia="Book Antiqua" w:hAnsi="Book Antiqua" w:cs="Book Antiqua"/>
          <w:lang w:eastAsia="zh-CN"/>
        </w:rPr>
        <w:t>epartment of</w:t>
      </w:r>
      <w:r w:rsidRPr="009D1CE8">
        <w:rPr>
          <w:rFonts w:ascii="Book Antiqua" w:eastAsia="Book Antiqua" w:hAnsi="Book Antiqua" w:cs="Book Antiqua"/>
        </w:rPr>
        <w:t xml:space="preserve"> General Medicine, Kanazawa Medical University Himi Municipal Hospital, 1130 Kurakawa, Himi-shi 935-8531, Toyama-ken, Japan. usuda-d@kanazawa-med.ac.jp</w:t>
      </w:r>
    </w:p>
    <w:p w14:paraId="0DF785BF" w14:textId="77777777" w:rsidR="00FA181F" w:rsidRPr="006E6975" w:rsidRDefault="00FA181F" w:rsidP="006E6975">
      <w:pPr>
        <w:spacing w:line="360" w:lineRule="auto"/>
        <w:jc w:val="both"/>
        <w:rPr>
          <w:rFonts w:ascii="Book Antiqua" w:hAnsi="Book Antiqua"/>
        </w:rPr>
      </w:pPr>
    </w:p>
    <w:p w14:paraId="6BD2A67C"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Received: </w:t>
      </w:r>
      <w:r w:rsidRPr="006E6975">
        <w:rPr>
          <w:rFonts w:ascii="Book Antiqua" w:eastAsia="Book Antiqua" w:hAnsi="Book Antiqua" w:cs="Book Antiqua"/>
        </w:rPr>
        <w:t>July 17, 2020</w:t>
      </w:r>
    </w:p>
    <w:p w14:paraId="0B49C26F"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Revised: </w:t>
      </w:r>
      <w:r w:rsidRPr="006E6975">
        <w:rPr>
          <w:rFonts w:ascii="Book Antiqua" w:eastAsia="宋体" w:hAnsi="Book Antiqua" w:cs="Book Antiqua"/>
        </w:rPr>
        <w:t>August 23, 2020</w:t>
      </w:r>
    </w:p>
    <w:p w14:paraId="27B4D8A5" w14:textId="6793906F"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Accepted: </w:t>
      </w:r>
      <w:r w:rsidR="00FD48E5" w:rsidRPr="00FD48E5">
        <w:rPr>
          <w:rFonts w:ascii="Book Antiqua" w:eastAsia="Book Antiqua" w:hAnsi="Book Antiqua" w:cs="Book Antiqua"/>
        </w:rPr>
        <w:t>September 11, 2020</w:t>
      </w:r>
    </w:p>
    <w:p w14:paraId="5FE7EDE2" w14:textId="68A7B045"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Published online: </w:t>
      </w:r>
      <w:r w:rsidR="00540834" w:rsidRPr="00540834">
        <w:rPr>
          <w:rFonts w:ascii="Book Antiqua" w:eastAsia="Book Antiqua" w:hAnsi="Book Antiqua" w:cs="Book Antiqua"/>
          <w:bCs/>
        </w:rPr>
        <w:t>October 26, 2020</w:t>
      </w:r>
    </w:p>
    <w:p w14:paraId="5F9DDCED" w14:textId="77777777" w:rsidR="00FA181F" w:rsidRPr="006E6975" w:rsidRDefault="00FA181F" w:rsidP="006E6975">
      <w:pPr>
        <w:spacing w:line="360" w:lineRule="auto"/>
        <w:jc w:val="both"/>
        <w:rPr>
          <w:rFonts w:ascii="Book Antiqua" w:hAnsi="Book Antiqua"/>
        </w:rPr>
        <w:sectPr w:rsidR="00FA181F" w:rsidRPr="006E6975">
          <w:footerReference w:type="default" r:id="rId8"/>
          <w:pgSz w:w="12240" w:h="15840"/>
          <w:pgMar w:top="1440" w:right="1440" w:bottom="1440" w:left="1440" w:header="720" w:footer="720" w:gutter="0"/>
          <w:cols w:space="720"/>
          <w:docGrid w:linePitch="360"/>
        </w:sectPr>
      </w:pPr>
    </w:p>
    <w:p w14:paraId="46316A88"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Abstract</w:t>
      </w:r>
    </w:p>
    <w:p w14:paraId="70D0B59A"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BACKGROUND</w:t>
      </w:r>
    </w:p>
    <w:p w14:paraId="11D3B8C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Solitary fibrous tumor (SFT) is a rare fibroblastic mesenchymal neoplasm that affects spindle cell soft tissues with broad-spectrum biological behavior; it is predominantly benign, and rarely metastasizes. SFT occurs mainly in the tissue structure of the serosa in the pleura and the thorax, and can be found throughout the body, though extra-thoracic localization, including the cephalic region, is uncommon. We reported the first case of intracranial malignant SFT metastasized to the chest wall.</w:t>
      </w:r>
    </w:p>
    <w:p w14:paraId="0263757F" w14:textId="77777777" w:rsidR="00FA181F" w:rsidRPr="006E6975" w:rsidRDefault="00FA181F" w:rsidP="006E6975">
      <w:pPr>
        <w:spacing w:line="360" w:lineRule="auto"/>
        <w:jc w:val="both"/>
        <w:rPr>
          <w:rFonts w:ascii="Book Antiqua" w:hAnsi="Book Antiqua"/>
        </w:rPr>
      </w:pPr>
    </w:p>
    <w:p w14:paraId="3C9F3126"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CASE SUMMARY</w:t>
      </w:r>
    </w:p>
    <w:p w14:paraId="422D587F"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An 81-year-old Japanese man was referred to our hospital due to progressive gait disturbance and appetite loss. His medical history included partial resection due to brain tumor, four times, and 50-Gray radiation therapy at another hospital, starting when he was 74 years old. An unenhanced head computed tomography (CT) scan revealed an 8 cm × 5.1 cm × 6.5 </w:t>
      </w:r>
      <w:bookmarkStart w:id="3" w:name="OLE_LINK1864"/>
      <w:bookmarkStart w:id="4" w:name="OLE_LINK1865"/>
      <w:r w:rsidRPr="006E6975">
        <w:rPr>
          <w:rFonts w:ascii="Book Antiqua" w:eastAsia="Book Antiqua" w:hAnsi="Book Antiqua" w:cs="Book Antiqua"/>
        </w:rPr>
        <w:t>cm</w:t>
      </w:r>
      <w:bookmarkEnd w:id="3"/>
      <w:bookmarkEnd w:id="4"/>
      <w:r w:rsidRPr="006E6975">
        <w:rPr>
          <w:rFonts w:ascii="Book Antiqua" w:eastAsia="Book Antiqua" w:hAnsi="Book Antiqua" w:cs="Book Antiqua"/>
        </w:rPr>
        <w:t xml:space="preserve"> mixed-density mass at the left frontal lobe, accompanying a midline shift, and an unenhanced chest-abdomen CT scan revealed a 6 cm × 4.1 cm × 6.5 cm low-density mass in the left chest wall. A CT-guided percutaneous lung biopsy was performed, and the pathological findings were SFT corresponding to brain tumor. Finally, the correct diagnosis of his brain tumor in history of past illness revealed to be SFT, and the unremovable tumor, namely present brain lesions enlarged and metastasized to the chest wall. We established a definitive diagnosis of intracranial malignant SFT metastasized to the chest wall. We notified him and his family of the disease, and offered palliative care. He passed away on the 29</w:t>
      </w:r>
      <w:r w:rsidRPr="006E6975">
        <w:rPr>
          <w:rFonts w:ascii="Book Antiqua" w:eastAsia="Book Antiqua" w:hAnsi="Book Antiqua" w:cs="Book Antiqua"/>
          <w:vertAlign w:val="superscript"/>
        </w:rPr>
        <w:t>th</w:t>
      </w:r>
      <w:r w:rsidRPr="006E6975">
        <w:rPr>
          <w:rFonts w:ascii="Book Antiqua" w:eastAsia="Book Antiqua" w:hAnsi="Book Antiqua" w:cs="Book Antiqua"/>
        </w:rPr>
        <w:t xml:space="preserve"> hospital day.</w:t>
      </w:r>
    </w:p>
    <w:p w14:paraId="60A8DAE0" w14:textId="77777777" w:rsidR="00FA181F" w:rsidRPr="006E6975" w:rsidRDefault="00FA181F" w:rsidP="006E6975">
      <w:pPr>
        <w:spacing w:line="360" w:lineRule="auto"/>
        <w:jc w:val="both"/>
        <w:rPr>
          <w:rFonts w:ascii="Book Antiqua" w:hAnsi="Book Antiqua"/>
        </w:rPr>
      </w:pPr>
    </w:p>
    <w:p w14:paraId="48E19BF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CONCLUSION</w:t>
      </w:r>
    </w:p>
    <w:p w14:paraId="12283ADB"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This case suggests the need for careful, detailed examination, and careful follow-up when encountering patients presenting with a mass.</w:t>
      </w:r>
    </w:p>
    <w:p w14:paraId="2C668FEB" w14:textId="77777777" w:rsidR="00FA181F" w:rsidRPr="006E6975" w:rsidRDefault="00FA181F" w:rsidP="006E6975">
      <w:pPr>
        <w:spacing w:line="360" w:lineRule="auto"/>
        <w:jc w:val="both"/>
        <w:rPr>
          <w:rFonts w:ascii="Book Antiqua" w:hAnsi="Book Antiqua"/>
        </w:rPr>
      </w:pPr>
    </w:p>
    <w:p w14:paraId="75ABF23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Key Words: </w:t>
      </w:r>
      <w:r w:rsidRPr="006E6975">
        <w:rPr>
          <w:rFonts w:ascii="Book Antiqua" w:eastAsia="Book Antiqua" w:hAnsi="Book Antiqua" w:cs="Book Antiqua"/>
        </w:rPr>
        <w:t>Solitary fibrous tumor; Intracranial malignant solitary fibrous tumor; Metastasized chest wall tumor; Cluster of differentiation 34; STAT6; Case report</w:t>
      </w:r>
    </w:p>
    <w:p w14:paraId="60787C53" w14:textId="77777777" w:rsidR="00FA181F" w:rsidRPr="006E6975" w:rsidRDefault="00FA181F" w:rsidP="006E6975">
      <w:pPr>
        <w:spacing w:line="360" w:lineRule="auto"/>
        <w:jc w:val="both"/>
        <w:rPr>
          <w:rFonts w:ascii="Book Antiqua" w:hAnsi="Book Antiqua"/>
        </w:rPr>
      </w:pPr>
    </w:p>
    <w:p w14:paraId="13B7AD97" w14:textId="3F255EE7" w:rsidR="003E5011" w:rsidRDefault="003E5011" w:rsidP="00540834">
      <w:pPr>
        <w:spacing w:line="360" w:lineRule="auto"/>
        <w:jc w:val="both"/>
        <w:rPr>
          <w:rFonts w:ascii="Book Antiqua" w:eastAsiaTheme="minorEastAsia" w:hAnsi="Book Antiqua" w:cs="Book Antiqua" w:hint="eastAsia"/>
          <w:lang w:eastAsia="zh-CN"/>
        </w:rPr>
      </w:pPr>
      <w:r w:rsidRPr="007D01C8">
        <w:rPr>
          <w:rFonts w:ascii="Book Antiqua" w:eastAsiaTheme="minorEastAsia" w:hAnsi="Book Antiqua" w:cs="Book Antiqua" w:hint="eastAsia"/>
          <w:b/>
          <w:lang w:eastAsia="zh-CN"/>
        </w:rPr>
        <w:t xml:space="preserve">Citation: </w:t>
      </w:r>
      <w:r w:rsidR="00A3669D" w:rsidRPr="006E6975">
        <w:rPr>
          <w:rFonts w:ascii="Book Antiqua" w:eastAsia="Book Antiqua" w:hAnsi="Book Antiqua" w:cs="Book Antiqua"/>
        </w:rPr>
        <w:t xml:space="preserve">Usuda D, Yamada S, Izumida T, Sangen R, Higashikawa T, Nakagawa K, Iguchi M, Kasamaki Y. Intracranial malignant solitary fibrous tumor metastasized to the chest wall: A </w:t>
      </w:r>
      <w:r w:rsidR="00A3669D" w:rsidRPr="006E6975">
        <w:rPr>
          <w:rFonts w:ascii="Book Antiqua" w:eastAsia="Book Antiqua" w:hAnsi="Book Antiqua" w:cs="Book Antiqua"/>
          <w:lang w:eastAsia="zh-CN"/>
        </w:rPr>
        <w:t>c</w:t>
      </w:r>
      <w:r w:rsidR="00A3669D" w:rsidRPr="009D1CE8">
        <w:rPr>
          <w:rFonts w:ascii="Book Antiqua" w:eastAsia="Book Antiqua" w:hAnsi="Book Antiqua" w:cs="Book Antiqua"/>
        </w:rPr>
        <w:t xml:space="preserve">ase report and review of literature. </w:t>
      </w:r>
      <w:r w:rsidR="00A3669D" w:rsidRPr="009D1CE8">
        <w:rPr>
          <w:rFonts w:ascii="Book Antiqua" w:eastAsia="Book Antiqua" w:hAnsi="Book Antiqua" w:cs="Book Antiqua"/>
          <w:i/>
          <w:iCs/>
        </w:rPr>
        <w:t>World J Clin Cases</w:t>
      </w:r>
      <w:r w:rsidR="00A3669D" w:rsidRPr="009D1CE8">
        <w:rPr>
          <w:rFonts w:ascii="Book Antiqua" w:eastAsia="Book Antiqua" w:hAnsi="Book Antiqua" w:cs="Book Antiqua"/>
        </w:rPr>
        <w:t xml:space="preserve"> </w:t>
      </w:r>
      <w:bookmarkStart w:id="5" w:name="OLE_LINK85"/>
      <w:bookmarkStart w:id="6" w:name="OLE_LINK86"/>
      <w:r w:rsidR="00A3669D" w:rsidRPr="009D1CE8">
        <w:rPr>
          <w:rFonts w:ascii="Book Antiqua" w:eastAsia="Book Antiqua" w:hAnsi="Book Antiqua" w:cs="Book Antiqua"/>
        </w:rPr>
        <w:t xml:space="preserve">2020; </w:t>
      </w:r>
      <w:r w:rsidR="00540834" w:rsidRPr="00540834">
        <w:rPr>
          <w:rFonts w:ascii="Book Antiqua" w:eastAsia="Book Antiqua" w:hAnsi="Book Antiqua" w:cs="Book Antiqua"/>
        </w:rPr>
        <w:t xml:space="preserve">8(20): </w:t>
      </w:r>
      <w:r w:rsidR="00C913DB" w:rsidRPr="00C913DB">
        <w:rPr>
          <w:rFonts w:ascii="Book Antiqua" w:eastAsia="Book Antiqua" w:hAnsi="Book Antiqua" w:cs="Book Antiqua"/>
        </w:rPr>
        <w:t>4844-</w:t>
      </w:r>
      <w:bookmarkStart w:id="7" w:name="OLE_LINK87"/>
      <w:bookmarkStart w:id="8" w:name="OLE_LINK88"/>
      <w:bookmarkStart w:id="9" w:name="_GoBack"/>
      <w:r w:rsidR="00C913DB" w:rsidRPr="00C913DB">
        <w:rPr>
          <w:rFonts w:ascii="Book Antiqua" w:eastAsia="Book Antiqua" w:hAnsi="Book Antiqua" w:cs="Book Antiqua"/>
        </w:rPr>
        <w:t>4852</w:t>
      </w:r>
      <w:bookmarkEnd w:id="5"/>
      <w:bookmarkEnd w:id="6"/>
      <w:bookmarkEnd w:id="7"/>
      <w:bookmarkEnd w:id="8"/>
      <w:bookmarkEnd w:id="9"/>
      <w:r w:rsidR="00540834" w:rsidRPr="00540834">
        <w:rPr>
          <w:rFonts w:ascii="Book Antiqua" w:eastAsia="Book Antiqua" w:hAnsi="Book Antiqua" w:cs="Book Antiqua"/>
        </w:rPr>
        <w:t xml:space="preserve"> </w:t>
      </w:r>
    </w:p>
    <w:p w14:paraId="50B70E92" w14:textId="088B2398" w:rsidR="003E5011" w:rsidRDefault="00540834" w:rsidP="00540834">
      <w:pPr>
        <w:spacing w:line="360" w:lineRule="auto"/>
        <w:jc w:val="both"/>
        <w:rPr>
          <w:rFonts w:ascii="Book Antiqua" w:eastAsiaTheme="minorEastAsia" w:hAnsi="Book Antiqua" w:cs="Book Antiqua" w:hint="eastAsia"/>
          <w:lang w:eastAsia="zh-CN"/>
        </w:rPr>
      </w:pPr>
      <w:r w:rsidRPr="009B4080">
        <w:rPr>
          <w:rFonts w:ascii="Book Antiqua" w:eastAsia="Book Antiqua" w:hAnsi="Book Antiqua" w:cs="Book Antiqua"/>
          <w:b/>
        </w:rPr>
        <w:t>URL:</w:t>
      </w:r>
      <w:r w:rsidRPr="00540834">
        <w:rPr>
          <w:rFonts w:ascii="Book Antiqua" w:eastAsia="Book Antiqua" w:hAnsi="Book Antiqua" w:cs="Book Antiqua"/>
        </w:rPr>
        <w:t xml:space="preserve"> https://www.wjgnet.com/2307-8960/full/v8/i20/</w:t>
      </w:r>
      <w:r w:rsidR="00C913DB">
        <w:rPr>
          <w:rFonts w:ascii="Book Antiqua" w:eastAsiaTheme="minorEastAsia" w:hAnsi="Book Antiqua" w:cs="Book Antiqua" w:hint="eastAsia"/>
          <w:lang w:eastAsia="zh-CN"/>
        </w:rPr>
        <w:t>4844</w:t>
      </w:r>
      <w:r w:rsidRPr="00540834">
        <w:rPr>
          <w:rFonts w:ascii="Book Antiqua" w:eastAsia="Book Antiqua" w:hAnsi="Book Antiqua" w:cs="Book Antiqua"/>
        </w:rPr>
        <w:t xml:space="preserve">.htm </w:t>
      </w:r>
    </w:p>
    <w:p w14:paraId="094673AB" w14:textId="19B6C531" w:rsidR="00FA181F" w:rsidRPr="00BC6187" w:rsidRDefault="00540834" w:rsidP="00540834">
      <w:pPr>
        <w:spacing w:line="360" w:lineRule="auto"/>
        <w:jc w:val="both"/>
        <w:rPr>
          <w:rFonts w:ascii="Book Antiqua" w:eastAsiaTheme="minorEastAsia" w:hAnsi="Book Antiqua" w:cs="Book Antiqua" w:hint="eastAsia"/>
          <w:lang w:eastAsia="zh-CN"/>
        </w:rPr>
      </w:pPr>
      <w:r w:rsidRPr="009B4080">
        <w:rPr>
          <w:rFonts w:ascii="Book Antiqua" w:eastAsia="Book Antiqua" w:hAnsi="Book Antiqua" w:cs="Book Antiqua"/>
          <w:b/>
        </w:rPr>
        <w:t>DOI:</w:t>
      </w:r>
      <w:r w:rsidRPr="00540834">
        <w:rPr>
          <w:rFonts w:ascii="Book Antiqua" w:eastAsia="Book Antiqua" w:hAnsi="Book Antiqua" w:cs="Book Antiqua"/>
        </w:rPr>
        <w:t xml:space="preserve"> https://dx.doi.org/10.12998/wjcc.v8.i20.</w:t>
      </w:r>
      <w:r w:rsidR="00BC6187">
        <w:rPr>
          <w:rFonts w:ascii="Book Antiqua" w:eastAsiaTheme="minorEastAsia" w:hAnsi="Book Antiqua" w:cs="Book Antiqua" w:hint="eastAsia"/>
          <w:lang w:eastAsia="zh-CN"/>
        </w:rPr>
        <w:t>4844</w:t>
      </w:r>
    </w:p>
    <w:p w14:paraId="6ED00FBB" w14:textId="77777777" w:rsidR="00FA181F" w:rsidRPr="006E6975" w:rsidRDefault="00FA181F" w:rsidP="006E6975">
      <w:pPr>
        <w:spacing w:line="360" w:lineRule="auto"/>
        <w:jc w:val="both"/>
        <w:rPr>
          <w:rFonts w:ascii="Book Antiqua" w:hAnsi="Book Antiqua"/>
        </w:rPr>
      </w:pPr>
    </w:p>
    <w:p w14:paraId="3EF86402" w14:textId="77777777" w:rsidR="00FA181F" w:rsidRPr="006E6975" w:rsidRDefault="00A3669D" w:rsidP="006E6975">
      <w:pPr>
        <w:spacing w:line="360" w:lineRule="auto"/>
        <w:jc w:val="both"/>
        <w:rPr>
          <w:rFonts w:ascii="Book Antiqua" w:eastAsia="Book Antiqua" w:hAnsi="Book Antiqua" w:cs="Book Antiqua"/>
        </w:rPr>
        <w:sectPr w:rsidR="00FA181F" w:rsidRPr="006E6975">
          <w:pgSz w:w="12240" w:h="15840"/>
          <w:pgMar w:top="1440" w:right="1440" w:bottom="1440" w:left="1440" w:header="720" w:footer="720" w:gutter="0"/>
          <w:cols w:space="720"/>
          <w:docGrid w:linePitch="360"/>
        </w:sectPr>
      </w:pPr>
      <w:r w:rsidRPr="006E6975">
        <w:rPr>
          <w:rFonts w:ascii="Book Antiqua" w:eastAsia="Book Antiqua" w:hAnsi="Book Antiqua" w:cs="Book Antiqua"/>
          <w:b/>
          <w:bCs/>
        </w:rPr>
        <w:t xml:space="preserve">Core Tip: </w:t>
      </w:r>
      <w:r w:rsidRPr="006E6975">
        <w:rPr>
          <w:rFonts w:ascii="Book Antiqua" w:eastAsia="Book Antiqua" w:hAnsi="Book Antiqua" w:cs="Book Antiqua"/>
        </w:rPr>
        <w:t>Solitary fibrous tumor (SFT) is a rare fibroblastic mesenchymal neoplasm that affects spindle cell soft tissues, demonstrating broad-spectrum biological behavior; it is ordinarily benign, and rarely known to metastasize. SFT occurs primarily in the serosa tissue structure in the pleura and the thorax, and can be found throughout the body, though extra-thoracic localization, including the cephalic region, is uncommon. We have reported the first known case of intracranial malignant SFT metastasized to the chest wall; this case suggests the need for careful, detailed examination, and careful follow-up when encountering patients presenting with a mass.</w:t>
      </w:r>
    </w:p>
    <w:p w14:paraId="5A2169E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INTRODUCTION</w:t>
      </w:r>
    </w:p>
    <w:p w14:paraId="4EE9BB0F"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Solitary fibrous tumor (SFT) is a rare type of fibroblastic mesenchymal neoplasm that affects spindle cell soft tissues, demonstrating broad-spectrum biological behavior; it is </w:t>
      </w:r>
      <w:bookmarkStart w:id="10" w:name="OLE_LINK11"/>
      <w:r w:rsidRPr="006E6975">
        <w:rPr>
          <w:rFonts w:ascii="Book Antiqua" w:eastAsia="Book Antiqua" w:hAnsi="Book Antiqua" w:cs="Book Antiqua"/>
        </w:rPr>
        <w:t>ordinarily benign, and rarely known to metastasize</w:t>
      </w:r>
      <w:r w:rsidRPr="006E6975">
        <w:rPr>
          <w:rFonts w:ascii="Book Antiqua" w:eastAsia="Book Antiqua" w:hAnsi="Book Antiqua" w:cs="Book Antiqua"/>
          <w:vertAlign w:val="superscript"/>
        </w:rPr>
        <w:t>[1-7]</w:t>
      </w:r>
      <w:r w:rsidRPr="006E6975">
        <w:rPr>
          <w:rFonts w:ascii="Book Antiqua" w:eastAsia="Book Antiqua" w:hAnsi="Book Antiqua" w:cs="Book Antiqua"/>
        </w:rPr>
        <w:t xml:space="preserve">. SFT occurs primarily in the serosa </w:t>
      </w:r>
      <w:bookmarkEnd w:id="10"/>
      <w:r w:rsidRPr="006E6975">
        <w:rPr>
          <w:rFonts w:ascii="Book Antiqua" w:eastAsia="Book Antiqua" w:hAnsi="Book Antiqua" w:cs="Book Antiqua"/>
        </w:rPr>
        <w:t>tissue structure in the pleura and the thorax, and can be found throughout the body, though extra-thoracic localization, including the cephalic region, is uncommon</w:t>
      </w:r>
      <w:r w:rsidRPr="006E6975">
        <w:rPr>
          <w:rFonts w:ascii="Book Antiqua" w:eastAsia="Book Antiqua" w:hAnsi="Book Antiqua" w:cs="Book Antiqua"/>
          <w:vertAlign w:val="superscript"/>
        </w:rPr>
        <w:t>[1-3,8-12]</w:t>
      </w:r>
      <w:r w:rsidRPr="006E6975">
        <w:rPr>
          <w:rFonts w:ascii="Book Antiqua" w:eastAsia="Book Antiqua" w:hAnsi="Book Antiqua" w:cs="Book Antiqua"/>
        </w:rPr>
        <w:t>.</w:t>
      </w:r>
    </w:p>
    <w:p w14:paraId="77BA01FE" w14:textId="77777777" w:rsidR="00FA181F" w:rsidRPr="006E6975" w:rsidRDefault="00A3669D" w:rsidP="006E6975">
      <w:pPr>
        <w:spacing w:line="360" w:lineRule="auto"/>
        <w:ind w:firstLineChars="200" w:firstLine="480"/>
        <w:jc w:val="both"/>
        <w:rPr>
          <w:rFonts w:ascii="Book Antiqua" w:hAnsi="Book Antiqua"/>
        </w:rPr>
      </w:pPr>
      <w:bookmarkStart w:id="11" w:name="OLE_LINK4"/>
      <w:r w:rsidRPr="006E6975">
        <w:rPr>
          <w:rFonts w:ascii="Book Antiqua" w:eastAsia="Book Antiqua" w:hAnsi="Book Antiqua" w:cs="Book Antiqua"/>
        </w:rPr>
        <w:t xml:space="preserve">SFT of the central nervous system (CNS) was first reported by </w:t>
      </w:r>
      <w:bookmarkStart w:id="12" w:name="OLE_LINK1867"/>
      <w:bookmarkStart w:id="13" w:name="OLE_LINK1866"/>
      <w:bookmarkStart w:id="14" w:name="OLE_LINK8"/>
      <w:bookmarkStart w:id="15" w:name="OLE_LINK10"/>
      <w:r w:rsidRPr="006E6975">
        <w:rPr>
          <w:rFonts w:ascii="Book Antiqua" w:eastAsia="Book Antiqua" w:hAnsi="Book Antiqua" w:cs="Book Antiqua"/>
        </w:rPr>
        <w:t>Carneiro</w:t>
      </w:r>
      <w:bookmarkEnd w:id="12"/>
      <w:bookmarkEnd w:id="13"/>
      <w:r w:rsidRPr="006E6975">
        <w:rPr>
          <w:rFonts w:ascii="Book Antiqua" w:eastAsia="Book Antiqua" w:hAnsi="Book Antiqua" w:cs="Book Antiqua"/>
        </w:rPr>
        <w:t xml:space="preserve"> </w:t>
      </w:r>
      <w:r w:rsidRPr="006E6975">
        <w:rPr>
          <w:rFonts w:ascii="Book Antiqua" w:eastAsia="Book Antiqua" w:hAnsi="Book Antiqua" w:cs="Book Antiqua"/>
          <w:i/>
          <w:iCs/>
        </w:rPr>
        <w:t>et al</w:t>
      </w:r>
      <w:r w:rsidRPr="006E6975">
        <w:rPr>
          <w:rFonts w:ascii="Book Antiqua" w:eastAsia="Book Antiqua" w:hAnsi="Book Antiqua" w:cs="Book Antiqua"/>
          <w:vertAlign w:val="superscript"/>
        </w:rPr>
        <w:t>[13]</w:t>
      </w:r>
      <w:r w:rsidRPr="006E6975">
        <w:rPr>
          <w:rFonts w:ascii="Book Antiqua" w:eastAsia="Book Antiqua" w:hAnsi="Book Antiqua" w:cs="Book Antiqua"/>
          <w:i/>
          <w:iCs/>
        </w:rPr>
        <w:t xml:space="preserve"> </w:t>
      </w:r>
      <w:r w:rsidRPr="006E6975">
        <w:rPr>
          <w:rFonts w:ascii="Book Antiqua" w:eastAsia="Book Antiqua" w:hAnsi="Book Antiqua" w:cs="Book Antiqua"/>
        </w:rPr>
        <w:t>in 1996</w:t>
      </w:r>
      <w:bookmarkEnd w:id="14"/>
      <w:r w:rsidRPr="006E6975">
        <w:rPr>
          <w:rFonts w:ascii="Book Antiqua" w:eastAsia="Book Antiqua" w:hAnsi="Book Antiqua" w:cs="Book Antiqua"/>
        </w:rPr>
        <w:t xml:space="preserve">, </w:t>
      </w:r>
      <w:bookmarkEnd w:id="15"/>
      <w:r w:rsidRPr="006E6975">
        <w:rPr>
          <w:rFonts w:ascii="Book Antiqua" w:eastAsia="Book Antiqua" w:hAnsi="Book Antiqua" w:cs="Book Antiqua"/>
        </w:rPr>
        <w:t>with only limited subsequent reports: of the roughly 200 described cases, there have been only five reports to date of extracranial hematogenous metastases that include lung, liver, bone, soft tissue, and a combination of two or more regions</w:t>
      </w:r>
      <w:r w:rsidRPr="006E6975">
        <w:rPr>
          <w:rFonts w:ascii="Book Antiqua" w:eastAsia="Book Antiqua" w:hAnsi="Book Antiqua" w:cs="Book Antiqua"/>
          <w:vertAlign w:val="superscript"/>
        </w:rPr>
        <w:t>[14]</w:t>
      </w:r>
      <w:r w:rsidRPr="006E6975">
        <w:rPr>
          <w:rFonts w:ascii="Book Antiqua" w:eastAsia="Book Antiqua" w:hAnsi="Book Antiqua" w:cs="Book Antiqua"/>
        </w:rPr>
        <w:t xml:space="preserve">. </w:t>
      </w:r>
      <w:bookmarkEnd w:id="11"/>
      <w:r w:rsidRPr="006E6975">
        <w:rPr>
          <w:rFonts w:ascii="Book Antiqua" w:eastAsia="Book Antiqua" w:hAnsi="Book Antiqua" w:cs="Book Antiqua"/>
        </w:rPr>
        <w:t>Malignant intracranial SFT is exceedingly rare, and in fact the exact origination of CNS SFT remains a controversial topic</w:t>
      </w:r>
      <w:r w:rsidRPr="006E6975">
        <w:rPr>
          <w:rFonts w:ascii="Book Antiqua" w:eastAsia="Book Antiqua" w:hAnsi="Book Antiqua" w:cs="Book Antiqua"/>
          <w:vertAlign w:val="superscript"/>
        </w:rPr>
        <w:t>[9]</w:t>
      </w:r>
      <w:r w:rsidRPr="006E6975">
        <w:rPr>
          <w:rFonts w:ascii="Book Antiqua" w:eastAsia="Book Antiqua" w:hAnsi="Book Antiqua" w:cs="Book Antiqua"/>
        </w:rPr>
        <w:t>. Intracranial SFT seemingly tends to demonstrate dural attachment, and is frequently misinterpreted as meningioma when detected either radiologically or surgically</w:t>
      </w:r>
      <w:r w:rsidRPr="006E6975">
        <w:rPr>
          <w:rFonts w:ascii="Book Antiqua" w:eastAsia="Book Antiqua" w:hAnsi="Book Antiqua" w:cs="Book Antiqua"/>
          <w:vertAlign w:val="superscript"/>
        </w:rPr>
        <w:t>[9]</w:t>
      </w:r>
      <w:r w:rsidRPr="006E6975">
        <w:rPr>
          <w:rFonts w:ascii="Book Antiqua" w:eastAsia="Book Antiqua" w:hAnsi="Book Antiqua" w:cs="Book Antiqua"/>
        </w:rPr>
        <w:t>. The pleura may be affected by primary tumors, or by the metastasizing and spreading of intrathoracic or extrathoracic neoplasms</w:t>
      </w:r>
      <w:r w:rsidRPr="006E6975">
        <w:rPr>
          <w:rFonts w:ascii="Book Antiqua" w:eastAsia="Book Antiqua" w:hAnsi="Book Antiqua" w:cs="Book Antiqua"/>
          <w:vertAlign w:val="superscript"/>
        </w:rPr>
        <w:t>[12]</w:t>
      </w:r>
      <w:r w:rsidRPr="006E6975">
        <w:rPr>
          <w:rFonts w:ascii="Book Antiqua" w:eastAsia="Book Antiqua" w:hAnsi="Book Antiqua" w:cs="Book Antiqua"/>
        </w:rPr>
        <w:t>. A broad variety of other neoplasms also involve the pleura, the most common of which, by a significant margin, is metastatic carcinoma, generally of pulmonary origin</w:t>
      </w:r>
      <w:r w:rsidRPr="006E6975">
        <w:rPr>
          <w:rFonts w:ascii="Book Antiqua" w:eastAsia="Book Antiqua" w:hAnsi="Book Antiqua" w:cs="Book Antiqua"/>
          <w:vertAlign w:val="superscript"/>
        </w:rPr>
        <w:t>[15]</w:t>
      </w:r>
      <w:r w:rsidRPr="006E6975">
        <w:rPr>
          <w:rFonts w:ascii="Book Antiqua" w:eastAsia="Book Antiqua" w:hAnsi="Book Antiqua" w:cs="Book Antiqua"/>
        </w:rPr>
        <w:t>. It is less common, but still possible, for other metastatic tumors of various histogenesis to occur, as well</w:t>
      </w:r>
      <w:r w:rsidRPr="006E6975">
        <w:rPr>
          <w:rFonts w:ascii="Book Antiqua" w:eastAsia="Book Antiqua" w:hAnsi="Book Antiqua" w:cs="Book Antiqua"/>
          <w:vertAlign w:val="superscript"/>
        </w:rPr>
        <w:t>[15]</w:t>
      </w:r>
      <w:r w:rsidRPr="006E6975">
        <w:rPr>
          <w:rFonts w:ascii="Book Antiqua" w:eastAsia="Book Antiqua" w:hAnsi="Book Antiqua" w:cs="Book Antiqua"/>
        </w:rPr>
        <w:t>. Though SFT of the pleura is rarely encountered as a benign neoplasm, it may have malignant characteristics</w:t>
      </w:r>
      <w:r w:rsidRPr="006E6975">
        <w:rPr>
          <w:rFonts w:ascii="Book Antiqua" w:eastAsia="Book Antiqua" w:hAnsi="Book Antiqua" w:cs="Book Antiqua"/>
          <w:vertAlign w:val="superscript"/>
        </w:rPr>
        <w:t>[16]</w:t>
      </w:r>
      <w:r w:rsidRPr="006E6975">
        <w:rPr>
          <w:rFonts w:ascii="Book Antiqua" w:eastAsia="Book Antiqua" w:hAnsi="Book Antiqua" w:cs="Book Antiqua"/>
        </w:rPr>
        <w:t>. To date, there have not been any reports of intracranial malignant SFT metastasizing to the chest wall; therefore, we have reported the first such case, together with a brief review of literature.</w:t>
      </w:r>
    </w:p>
    <w:p w14:paraId="35EB5B6B" w14:textId="77777777" w:rsidR="00FA181F" w:rsidRPr="006E6975" w:rsidRDefault="00FA181F" w:rsidP="006E6975">
      <w:pPr>
        <w:spacing w:line="360" w:lineRule="auto"/>
        <w:jc w:val="both"/>
        <w:rPr>
          <w:rFonts w:ascii="Book Antiqua" w:hAnsi="Book Antiqua"/>
        </w:rPr>
      </w:pPr>
    </w:p>
    <w:p w14:paraId="211EF250"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CASE PRESENTATION</w:t>
      </w:r>
    </w:p>
    <w:p w14:paraId="3B42A3C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Chief complaints</w:t>
      </w:r>
    </w:p>
    <w:p w14:paraId="069101E7"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An 81-year-old Japanese man was referred to our hospital due to progressive gait disturbance and appetite loss.</w:t>
      </w:r>
    </w:p>
    <w:p w14:paraId="0402A5C8" w14:textId="77777777" w:rsidR="00FA181F" w:rsidRPr="006E6975" w:rsidRDefault="00FA181F" w:rsidP="006E6975">
      <w:pPr>
        <w:spacing w:line="360" w:lineRule="auto"/>
        <w:jc w:val="both"/>
        <w:rPr>
          <w:rFonts w:ascii="Book Antiqua" w:hAnsi="Book Antiqua"/>
        </w:rPr>
      </w:pPr>
    </w:p>
    <w:p w14:paraId="749E993C"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History of past illness</w:t>
      </w:r>
    </w:p>
    <w:p w14:paraId="036979C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His medical history included partial resection due to brain tumor, four times, starting when he was 74 years old, and 50-Gray radiation therapy when he was 77 years old, at another hospital. In addition, he was phlebotomized three times due to polycythemia vera when he was 81 years old, and was diagnosed with Alzheimer’s disease. He was given 90 mg of phenobarbital, 500 mg of hydroxycarbamide, and 5 mg of donepezil on a regular basis. He had no history of smoking or drinking alcohol, and no history of exposure to asbestos. He did not undergo regular medical exams. The patient was unemployed, and had no food or drug allergies. However, he needed full assistance for everyday life activities. He presented no family history of malignant disease.</w:t>
      </w:r>
    </w:p>
    <w:p w14:paraId="00708469" w14:textId="77777777" w:rsidR="00FA181F" w:rsidRPr="006E6975" w:rsidRDefault="00FA181F" w:rsidP="006E6975">
      <w:pPr>
        <w:spacing w:line="360" w:lineRule="auto"/>
        <w:jc w:val="both"/>
        <w:rPr>
          <w:rFonts w:ascii="Book Antiqua" w:hAnsi="Book Antiqua"/>
        </w:rPr>
      </w:pPr>
    </w:p>
    <w:p w14:paraId="77945275"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Physical examination</w:t>
      </w:r>
    </w:p>
    <w:p w14:paraId="102C5A0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The patient was 158 cm tall and weighed 52 kg. His vital signs were abnormal, with blood pressure of 94/77 mmHg, heart rate of 80 regular beats/min, body temperature of 36 °C, oxygen saturation of 97% in ambient air, and respiratory rate of 16/min; his glasgow coma scale score was 15 (E4V5M6) points. He complained of right hemiparesis, and manual muscle testing for the right half of the body had a grade of 2. On the other hand, nothing else abnormal was detected upon physical examination, including skin or neurological findings.</w:t>
      </w:r>
    </w:p>
    <w:p w14:paraId="10877A5E" w14:textId="77777777" w:rsidR="00FA181F" w:rsidRPr="006E6975" w:rsidRDefault="00FA181F" w:rsidP="006E6975">
      <w:pPr>
        <w:spacing w:line="360" w:lineRule="auto"/>
        <w:jc w:val="both"/>
        <w:rPr>
          <w:rFonts w:ascii="Book Antiqua" w:hAnsi="Book Antiqua"/>
        </w:rPr>
      </w:pPr>
    </w:p>
    <w:p w14:paraId="386E333A"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Laboratory examinations</w:t>
      </w:r>
    </w:p>
    <w:p w14:paraId="76B0120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Routine laboratory examination revealed increased values of white blood cells, red blood cells, hemoglobin, hematocrit, aspartate transaminase, alanine aminotransferase, lactate dehydrogenase, alkaline phosphatase, gamma-glutamyl transpeptidase, C-reactive protein, and plasma glucose, and decreased values of creatine phosphokinase, creatinine, and sodium. However, other values were normal, including complete blood count, biochemistry, and tumor marker for diagnosing lung cancer (Table 1).</w:t>
      </w:r>
    </w:p>
    <w:p w14:paraId="5BB1A90E" w14:textId="77777777" w:rsidR="00FA181F" w:rsidRPr="006E6975" w:rsidRDefault="00FA181F" w:rsidP="006E6975">
      <w:pPr>
        <w:spacing w:line="360" w:lineRule="auto"/>
        <w:jc w:val="both"/>
        <w:rPr>
          <w:rFonts w:ascii="Book Antiqua" w:hAnsi="Book Antiqua"/>
        </w:rPr>
      </w:pPr>
    </w:p>
    <w:p w14:paraId="49AF759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Imaging examinations</w:t>
      </w:r>
    </w:p>
    <w:p w14:paraId="6B3F3D8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An unenhanced head computed tomography (CT) scan revealed an 8 cm × 5.1 cm × 6.5 </w:t>
      </w:r>
      <w:bookmarkStart w:id="16" w:name="OLE_LINK1869"/>
      <w:bookmarkStart w:id="17" w:name="OLE_LINK1868"/>
      <w:r w:rsidRPr="006E6975">
        <w:rPr>
          <w:rFonts w:ascii="Book Antiqua" w:eastAsia="Book Antiqua" w:hAnsi="Book Antiqua" w:cs="Book Antiqua"/>
        </w:rPr>
        <w:t>cm</w:t>
      </w:r>
      <w:bookmarkEnd w:id="16"/>
      <w:bookmarkEnd w:id="17"/>
      <w:r w:rsidRPr="006E6975">
        <w:rPr>
          <w:rFonts w:ascii="Book Antiqua" w:eastAsia="Book Antiqua" w:hAnsi="Book Antiqua" w:cs="Book Antiqua"/>
        </w:rPr>
        <w:t xml:space="preserve"> mixed-density mass at the left frontal lobe, accompanying a midline shift (Figure 1A). An unenhanced chest-abdomen CT scan revealed a 6 cm × 4.1 cm × 6.5 cm low-density mass in the left chest wall at the superior segment, namely S6 (</w:t>
      </w:r>
      <w:bookmarkStart w:id="18" w:name="OLE_LINK2"/>
      <w:bookmarkStart w:id="19" w:name="OLE_LINK3"/>
      <w:r w:rsidRPr="006E6975">
        <w:rPr>
          <w:rFonts w:ascii="Book Antiqua" w:eastAsia="Book Antiqua" w:hAnsi="Book Antiqua" w:cs="Book Antiqua"/>
        </w:rPr>
        <w:t>Figure</w:t>
      </w:r>
      <w:bookmarkEnd w:id="18"/>
      <w:r w:rsidRPr="006E6975">
        <w:rPr>
          <w:rFonts w:ascii="Book Antiqua" w:eastAsia="Book Antiqua" w:hAnsi="Book Antiqua" w:cs="Book Antiqua"/>
        </w:rPr>
        <w:t xml:space="preserve"> </w:t>
      </w:r>
      <w:bookmarkEnd w:id="19"/>
      <w:r w:rsidRPr="006E6975">
        <w:rPr>
          <w:rFonts w:ascii="Book Antiqua" w:eastAsia="Book Antiqua" w:hAnsi="Book Antiqua" w:cs="Book Antiqua"/>
        </w:rPr>
        <w:t>1B).</w:t>
      </w:r>
    </w:p>
    <w:p w14:paraId="74295BA8" w14:textId="77777777" w:rsidR="00FA181F" w:rsidRPr="006E6975" w:rsidRDefault="00FA181F" w:rsidP="006E6975">
      <w:pPr>
        <w:spacing w:line="360" w:lineRule="auto"/>
        <w:jc w:val="both"/>
        <w:rPr>
          <w:rFonts w:ascii="Book Antiqua" w:hAnsi="Book Antiqua"/>
        </w:rPr>
      </w:pPr>
    </w:p>
    <w:p w14:paraId="71AE2B9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MULTIDISCIPLINARY EXPERT CONSULTATION</w:t>
      </w:r>
    </w:p>
    <w:p w14:paraId="41CB784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Malignancy was not detected through upper esophagogastroduodenoscopy and colonoscopy. At this point, we suspected a diagnosis of brain tumor plus metastatic chest wall tumor. The patient was hospitalized for further examination and treatment, and we performed a CT-guided percutaneous lung biopsy. The hematoxylin and eosin stain pathological findings revealed the following (Figure 2A): A solid proliferation of atypical polymorphic cells, including spindle-shaped cells, multinucleated giant cells, and blood vessels with a wall irregularity were dominant, with mitosis and pericytomatous patterns in part. Immunohistochemical staining revealed positive results for Vimentin and cluster of differentiation (CD) 34-positive cells, and confirmed signal transducer and activator of transcription (STAT) 6-positive cells (Figure 2B and C, respectively). We obtained the pathological specimen to the hospital where his intracranial surgery had been performed, and it was found to be the same as that of the chest wall mass (Figure 2D). Finally, the correct diagnosis of his brain tumor in history of past illness revealed to be SFT, and the unremovable tumor, namely present brain lesions enlarged and metastasized to the chest wall.</w:t>
      </w:r>
    </w:p>
    <w:p w14:paraId="35D13034" w14:textId="77777777" w:rsidR="00FA181F" w:rsidRPr="006E6975" w:rsidRDefault="00FA181F" w:rsidP="006E6975">
      <w:pPr>
        <w:spacing w:line="360" w:lineRule="auto"/>
        <w:jc w:val="both"/>
        <w:rPr>
          <w:rFonts w:ascii="Book Antiqua" w:hAnsi="Book Antiqua"/>
        </w:rPr>
      </w:pPr>
    </w:p>
    <w:p w14:paraId="35330585"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FINAL DIAGNOSIS</w:t>
      </w:r>
    </w:p>
    <w:p w14:paraId="016795DD"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Here, we established a definitive diagnosis of intracranial malignant SFT metastasized to the chest wall.</w:t>
      </w:r>
    </w:p>
    <w:p w14:paraId="7DECEAE4" w14:textId="77777777" w:rsidR="00FA181F" w:rsidRPr="006E6975" w:rsidRDefault="00FA181F" w:rsidP="006E6975">
      <w:pPr>
        <w:spacing w:line="360" w:lineRule="auto"/>
        <w:jc w:val="both"/>
        <w:rPr>
          <w:rFonts w:ascii="Book Antiqua" w:hAnsi="Book Antiqua"/>
        </w:rPr>
      </w:pPr>
    </w:p>
    <w:p w14:paraId="04FC221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TREATMENT</w:t>
      </w:r>
    </w:p>
    <w:p w14:paraId="57B4BC1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We notified the patient and his family of the disease, and offered palliative care.</w:t>
      </w:r>
    </w:p>
    <w:p w14:paraId="4B9FF813" w14:textId="77777777" w:rsidR="00FA181F" w:rsidRPr="006E6975" w:rsidRDefault="00FA181F" w:rsidP="006E6975">
      <w:pPr>
        <w:spacing w:line="360" w:lineRule="auto"/>
        <w:jc w:val="both"/>
        <w:rPr>
          <w:rFonts w:ascii="Book Antiqua" w:hAnsi="Book Antiqua"/>
        </w:rPr>
      </w:pPr>
    </w:p>
    <w:p w14:paraId="52FCBC3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OUTCOME AND FOLLOW-UP</w:t>
      </w:r>
    </w:p>
    <w:p w14:paraId="44CD05C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The patient passed away on the 29</w:t>
      </w:r>
      <w:r w:rsidRPr="006E6975">
        <w:rPr>
          <w:rFonts w:ascii="Book Antiqua" w:eastAsia="Book Antiqua" w:hAnsi="Book Antiqua" w:cs="Book Antiqua"/>
          <w:vertAlign w:val="superscript"/>
        </w:rPr>
        <w:t>th</w:t>
      </w:r>
      <w:r w:rsidRPr="006E6975">
        <w:rPr>
          <w:rFonts w:ascii="Book Antiqua" w:eastAsia="Book Antiqua" w:hAnsi="Book Antiqua" w:cs="Book Antiqua"/>
        </w:rPr>
        <w:t xml:space="preserve"> hospital day.</w:t>
      </w:r>
    </w:p>
    <w:p w14:paraId="0863C345" w14:textId="77777777" w:rsidR="00FA181F" w:rsidRPr="006E6975" w:rsidRDefault="00FA181F" w:rsidP="006E6975">
      <w:pPr>
        <w:spacing w:line="360" w:lineRule="auto"/>
        <w:jc w:val="both"/>
        <w:rPr>
          <w:rFonts w:ascii="Book Antiqua" w:hAnsi="Book Antiqua"/>
        </w:rPr>
      </w:pPr>
    </w:p>
    <w:p w14:paraId="7646D9F9" w14:textId="77777777" w:rsidR="00FA181F" w:rsidRPr="006E6975" w:rsidRDefault="00A3669D" w:rsidP="006E6975">
      <w:pPr>
        <w:spacing w:line="360" w:lineRule="auto"/>
        <w:jc w:val="both"/>
        <w:rPr>
          <w:rFonts w:ascii="Book Antiqua" w:eastAsiaTheme="minorEastAsia" w:hAnsi="Book Antiqua"/>
          <w:b/>
          <w:bCs/>
          <w:u w:val="single"/>
          <w:lang w:eastAsia="zh-CN"/>
        </w:rPr>
      </w:pPr>
      <w:bookmarkStart w:id="20" w:name="OLE_LINK5"/>
      <w:r w:rsidRPr="006E6975">
        <w:rPr>
          <w:rFonts w:ascii="Book Antiqua" w:eastAsiaTheme="minorEastAsia" w:hAnsi="Book Antiqua"/>
          <w:b/>
          <w:bCs/>
          <w:u w:val="single"/>
          <w:lang w:eastAsia="zh-CN"/>
        </w:rPr>
        <w:t>DISCUSSION</w:t>
      </w:r>
    </w:p>
    <w:p w14:paraId="1725103C" w14:textId="77777777" w:rsidR="00FA181F" w:rsidRPr="006E6975" w:rsidRDefault="00A3669D" w:rsidP="006E6975">
      <w:pPr>
        <w:spacing w:line="360" w:lineRule="auto"/>
        <w:jc w:val="both"/>
        <w:rPr>
          <w:rFonts w:ascii="Book Antiqua" w:hAnsi="Book Antiqua" w:cs="Book Antiqua"/>
        </w:rPr>
      </w:pPr>
      <w:r w:rsidRPr="006E6975">
        <w:rPr>
          <w:rFonts w:ascii="Book Antiqua" w:hAnsi="Book Antiqua" w:cs="Book Antiqua"/>
        </w:rPr>
        <w:t>We present the first known case of intracranial malignant SFT metastasized to the chest wall. In a study of clinical characteristics and outcomes for SFT, 57% of the patients were women and 89% were of Caucasian descent</w:t>
      </w:r>
      <w:r w:rsidRPr="006E6975">
        <w:rPr>
          <w:rFonts w:ascii="Book Antiqua" w:hAnsi="Book Antiqua" w:cs="Book Antiqua"/>
          <w:vertAlign w:val="superscript"/>
        </w:rPr>
        <w:t>[17]</w:t>
      </w:r>
      <w:r w:rsidRPr="006E6975">
        <w:rPr>
          <w:rFonts w:ascii="Book Antiqua" w:hAnsi="Book Antiqua" w:cs="Book Antiqua"/>
        </w:rPr>
        <w:t>. Among these patients, the median age was 62 years (with a range from 20 to 89), and 39% of the patients ultimately died of the disease; for 34% of these patients, the primary tumor site was the lung/pleura, the abdomen/pelvis for 28%, an extremity for 16%, and in the head or neck for 11% of patients</w:t>
      </w:r>
      <w:r w:rsidRPr="006E6975">
        <w:rPr>
          <w:rFonts w:ascii="Book Antiqua" w:hAnsi="Book Antiqua" w:cs="Book Antiqua"/>
          <w:vertAlign w:val="superscript"/>
        </w:rPr>
        <w:t>[17]</w:t>
      </w:r>
      <w:r w:rsidRPr="006E6975">
        <w:rPr>
          <w:rFonts w:ascii="Book Antiqua" w:hAnsi="Book Antiqua" w:cs="Book Antiqua"/>
        </w:rPr>
        <w:t>. On the other hand, the exact incidence of SFT in the CNS is unclear, though reportedly low</w:t>
      </w:r>
      <w:r w:rsidRPr="006E6975">
        <w:rPr>
          <w:rFonts w:ascii="Book Antiqua" w:hAnsi="Book Antiqua" w:cs="Book Antiqua"/>
          <w:vertAlign w:val="superscript"/>
        </w:rPr>
        <w:t>[9]</w:t>
      </w:r>
      <w:r w:rsidRPr="006E6975">
        <w:rPr>
          <w:rFonts w:ascii="Book Antiqua" w:hAnsi="Book Antiqua" w:cs="Book Antiqua"/>
        </w:rPr>
        <w:t>. CNS SFT occurs with roughly equal gender distribution, in patients of a wide range of ages, with incidence rates peaking in the fifth and sixth decades of life, though a small number of cases have been described as occurring in children</w:t>
      </w:r>
      <w:r w:rsidRPr="006E6975">
        <w:rPr>
          <w:rFonts w:ascii="Book Antiqua" w:hAnsi="Book Antiqua" w:cs="Book Antiqua"/>
          <w:vertAlign w:val="superscript"/>
        </w:rPr>
        <w:t>[9]</w:t>
      </w:r>
      <w:r w:rsidRPr="006E6975">
        <w:rPr>
          <w:rFonts w:ascii="Book Antiqua" w:hAnsi="Book Antiqua" w:cs="Book Antiqua"/>
        </w:rPr>
        <w:t>. Also, it is well established that the vast majority of SFT involving CNS (over 94%) is benign, and that it rarely recurs or metastasizes</w:t>
      </w:r>
      <w:r w:rsidRPr="006E6975">
        <w:rPr>
          <w:rFonts w:ascii="Book Antiqua" w:hAnsi="Book Antiqua" w:cs="Book Antiqua"/>
          <w:vertAlign w:val="superscript"/>
        </w:rPr>
        <w:t>[9]</w:t>
      </w:r>
      <w:r w:rsidRPr="006E6975">
        <w:rPr>
          <w:rFonts w:ascii="Book Antiqua" w:hAnsi="Book Antiqua" w:cs="Book Antiqua"/>
        </w:rPr>
        <w:t>.</w:t>
      </w:r>
    </w:p>
    <w:p w14:paraId="03EC7B22"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According to Fargen’s review, most patients of SFT in the CNS presented with headache (50%), followed by imbalanced gait (22%), weakness (19%), loss of visual acuity (19%), dysfunction of the cranial nerve (17%), nausea and vomiting (13%), and confusion or other altered mental state (12%)</w:t>
      </w:r>
      <w:r w:rsidRPr="006E6975">
        <w:rPr>
          <w:rFonts w:ascii="Book Antiqua" w:hAnsi="Book Antiqua" w:cs="Book Antiqua"/>
          <w:vertAlign w:val="superscript"/>
        </w:rPr>
        <w:t>[9]</w:t>
      </w:r>
      <w:r w:rsidRPr="006E6975">
        <w:rPr>
          <w:rFonts w:ascii="Book Antiqua" w:hAnsi="Book Antiqua" w:cs="Book Antiqua"/>
        </w:rPr>
        <w:t>.</w:t>
      </w:r>
    </w:p>
    <w:p w14:paraId="223C76B5"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CT scans remain the norm for evaluating thoracic SFT</w:t>
      </w:r>
      <w:r w:rsidRPr="006E6975">
        <w:rPr>
          <w:rFonts w:ascii="Book Antiqua" w:hAnsi="Book Antiqua" w:cs="Book Antiqua"/>
          <w:vertAlign w:val="superscript"/>
        </w:rPr>
        <w:t>[18]</w:t>
      </w:r>
      <w:r w:rsidRPr="006E6975">
        <w:rPr>
          <w:rFonts w:ascii="Book Antiqua" w:hAnsi="Book Antiqua" w:cs="Book Antiqua"/>
        </w:rPr>
        <w:t>. Magnetic resonance imaging (MRI) scans are useful for delineating tumors and evaluating their invasion into adjacent organs, such as the diaphragm, the chest wall, or nerves; consequently, MRI scans serve a complementary role to these other imaging modalities for both disease staging and patient evaluation</w:t>
      </w:r>
      <w:r w:rsidRPr="006E6975">
        <w:rPr>
          <w:rFonts w:ascii="Book Antiqua" w:hAnsi="Book Antiqua" w:cs="Book Antiqua"/>
          <w:vertAlign w:val="superscript"/>
        </w:rPr>
        <w:t>[12,15,18]</w:t>
      </w:r>
      <w:r w:rsidRPr="006E6975">
        <w:rPr>
          <w:rFonts w:ascii="Book Antiqua" w:hAnsi="Book Antiqua" w:cs="Book Antiqua"/>
        </w:rPr>
        <w:t>. SFT imaging findings can vary, and resemble meningioma in imaging; the appearance on T2-weighted MRI scans of nonspecific yet well-circumscribed ovoid or rounded masses with characteristic hypo-intensity, and avid enhancement on CT and MRI scans, may imply an SFT diagnosis</w:t>
      </w:r>
      <w:r w:rsidRPr="006E6975">
        <w:rPr>
          <w:rFonts w:ascii="Book Antiqua" w:hAnsi="Book Antiqua" w:cs="Book Antiqua"/>
          <w:vertAlign w:val="superscript"/>
        </w:rPr>
        <w:t>[18,19]</w:t>
      </w:r>
      <w:r w:rsidRPr="006E6975">
        <w:rPr>
          <w:rFonts w:ascii="Book Antiqua" w:hAnsi="Book Antiqua" w:cs="Book Antiqua"/>
        </w:rPr>
        <w:t>. In addition, CT scans and/or fluorodeoxyglucose positron emission tomography/CT scans can be used for initial evaluations of pleural neoplasms</w:t>
      </w:r>
      <w:r w:rsidRPr="006E6975">
        <w:rPr>
          <w:rFonts w:ascii="Book Antiqua" w:hAnsi="Book Antiqua" w:cs="Book Antiqua"/>
          <w:vertAlign w:val="superscript"/>
        </w:rPr>
        <w:t>[12]</w:t>
      </w:r>
      <w:r w:rsidRPr="006E6975">
        <w:rPr>
          <w:rFonts w:ascii="Book Antiqua" w:hAnsi="Book Antiqua" w:cs="Book Antiqua"/>
        </w:rPr>
        <w:t>.</w:t>
      </w:r>
    </w:p>
    <w:p w14:paraId="04A2CFCE"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The World Health Organization (WHO) classification for soft tissue tumors regards hemangiopericytoma (HPC) and SFT as a continuous spectrum of neoplasia, and many lesions that were considered HPC before 1990 would now be regarded as SFT</w:t>
      </w:r>
      <w:r w:rsidRPr="006E6975">
        <w:rPr>
          <w:rFonts w:ascii="Book Antiqua" w:hAnsi="Book Antiqua" w:cs="Book Antiqua"/>
          <w:vertAlign w:val="superscript"/>
        </w:rPr>
        <w:t>[9]</w:t>
      </w:r>
      <w:r w:rsidRPr="006E6975">
        <w:rPr>
          <w:rFonts w:ascii="Book Antiqua" w:hAnsi="Book Antiqua" w:cs="Book Antiqua"/>
        </w:rPr>
        <w:t>. Morphologically, SFT is generally characterized by hypercellularity alternating with hypocellularity, with spindle cells between irregular hyalinized collagen bundles, with a pattern-less architecture and a focal HPC-like perivascular pattern rich in staghorn vasculature; however, there is a broad spectrum of both SFT morphology and biological behavior</w:t>
      </w:r>
      <w:r w:rsidRPr="006E6975">
        <w:rPr>
          <w:rFonts w:ascii="Book Antiqua" w:hAnsi="Book Antiqua" w:cs="Book Antiqua"/>
          <w:vertAlign w:val="superscript"/>
        </w:rPr>
        <w:t>[1,4,9,20]</w:t>
      </w:r>
      <w:r w:rsidRPr="006E6975">
        <w:rPr>
          <w:rFonts w:ascii="Book Antiqua" w:hAnsi="Book Antiqua" w:cs="Book Antiqua"/>
        </w:rPr>
        <w:t>. Over half of all SFT cases test positive for CD34, CD99, ALDH1, and bcl-2, and strong Vimentin staining is also common</w:t>
      </w:r>
      <w:r w:rsidRPr="006E6975">
        <w:rPr>
          <w:rFonts w:ascii="Book Antiqua" w:hAnsi="Book Antiqua" w:cs="Book Antiqua"/>
          <w:vertAlign w:val="superscript"/>
        </w:rPr>
        <w:t>[1,4,9,20]</w:t>
      </w:r>
      <w:r w:rsidRPr="006E6975">
        <w:rPr>
          <w:rFonts w:ascii="Book Antiqua" w:hAnsi="Book Antiqua" w:cs="Book Antiqua"/>
        </w:rPr>
        <w:t>. In the CNS, SFT is ordinarily a dura-based, meningioma-like mass, known to develop out of the commonly found CD34-positive dendritic interstitial cells of meningeal coverings, with no meningothelial differentiation</w:t>
      </w:r>
      <w:r w:rsidRPr="006E6975">
        <w:rPr>
          <w:rFonts w:ascii="Book Antiqua" w:hAnsi="Book Antiqua" w:cs="Book Antiqua"/>
          <w:vertAlign w:val="superscript"/>
        </w:rPr>
        <w:t>[9]</w:t>
      </w:r>
      <w:r w:rsidRPr="006E6975">
        <w:rPr>
          <w:rFonts w:ascii="Book Antiqua" w:hAnsi="Book Antiqua" w:cs="Book Antiqua"/>
        </w:rPr>
        <w:t>. SFT ordinarily tests negative for the S-100, GFAP, EMA, cytokeratin, and vascular antigens</w:t>
      </w:r>
      <w:r w:rsidRPr="006E6975">
        <w:rPr>
          <w:rFonts w:ascii="Book Antiqua" w:hAnsi="Book Antiqua" w:cs="Book Antiqua"/>
          <w:vertAlign w:val="superscript"/>
        </w:rPr>
        <w:t>[9]</w:t>
      </w:r>
      <w:r w:rsidRPr="006E6975">
        <w:rPr>
          <w:rFonts w:ascii="Book Antiqua" w:hAnsi="Book Antiqua" w:cs="Book Antiqua"/>
        </w:rPr>
        <w:t>.</w:t>
      </w:r>
    </w:p>
    <w:p w14:paraId="750AC156" w14:textId="77777777" w:rsidR="00FA181F" w:rsidRPr="006E6975" w:rsidRDefault="00A3669D" w:rsidP="006E6975">
      <w:pPr>
        <w:spacing w:line="360" w:lineRule="auto"/>
        <w:ind w:firstLineChars="200" w:firstLine="480"/>
        <w:jc w:val="both"/>
        <w:rPr>
          <w:rFonts w:ascii="Book Antiqua" w:hAnsi="Book Antiqua" w:cs="Book Antiqua"/>
          <w:strike/>
        </w:rPr>
      </w:pPr>
      <w:r w:rsidRPr="006E6975">
        <w:rPr>
          <w:rFonts w:ascii="Book Antiqua" w:hAnsi="Book Antiqua" w:cs="Book Antiqua"/>
        </w:rPr>
        <w:t>Recent research has validated the diagnostic utility of the nuclear expression of STAT6, a novel marker, as a way to distinguish SFT from potential histologic mimics</w:t>
      </w:r>
      <w:r w:rsidRPr="006E6975">
        <w:rPr>
          <w:rFonts w:ascii="Book Antiqua" w:hAnsi="Book Antiqua" w:cs="Book Antiqua"/>
          <w:vertAlign w:val="superscript"/>
        </w:rPr>
        <w:t>[9,21]</w:t>
      </w:r>
      <w:r w:rsidRPr="006E6975">
        <w:rPr>
          <w:rFonts w:ascii="Book Antiqua" w:hAnsi="Book Antiqua" w:cs="Book Antiqua"/>
        </w:rPr>
        <w:t>. Moreover, identifying the NGFI-A-binding protein 2 (NAB2)-STAT6 fusion gene can provide valuable diagnostic information, including in tissue that is formalin-fixed or paraffin-embedded, or when there is only limited biopsy material</w:t>
      </w:r>
      <w:r w:rsidRPr="006E6975">
        <w:rPr>
          <w:rFonts w:ascii="Book Antiqua" w:hAnsi="Book Antiqua" w:cs="Book Antiqua"/>
          <w:vertAlign w:val="superscript"/>
        </w:rPr>
        <w:t>[9,21-23]</w:t>
      </w:r>
      <w:r w:rsidRPr="006E6975">
        <w:rPr>
          <w:rFonts w:ascii="Book Antiqua" w:hAnsi="Book Antiqua" w:cs="Book Antiqua"/>
        </w:rPr>
        <w:t>. There are several NAB2-STAT6 fusion subtypes, but their clinical significances are not fully understood</w:t>
      </w:r>
      <w:r w:rsidRPr="006E6975">
        <w:rPr>
          <w:rFonts w:ascii="Book Antiqua" w:hAnsi="Book Antiqua" w:cs="Book Antiqua"/>
          <w:vertAlign w:val="superscript"/>
        </w:rPr>
        <w:t>[24]</w:t>
      </w:r>
      <w:r w:rsidRPr="006E6975">
        <w:rPr>
          <w:rFonts w:ascii="Book Antiqua" w:hAnsi="Book Antiqua" w:cs="Book Antiqua"/>
        </w:rPr>
        <w:t>. Moreover, the malignant progression mechanisms remain unclear</w:t>
      </w:r>
      <w:r w:rsidRPr="006E6975">
        <w:rPr>
          <w:rFonts w:ascii="Book Antiqua" w:hAnsi="Book Antiqua" w:cs="Book Antiqua"/>
          <w:vertAlign w:val="superscript"/>
        </w:rPr>
        <w:t>[24]</w:t>
      </w:r>
      <w:r w:rsidRPr="006E6975">
        <w:rPr>
          <w:rFonts w:ascii="Book Antiqua" w:hAnsi="Book Antiqua" w:cs="Book Antiqua"/>
        </w:rPr>
        <w:t>. On the other hand, the telomerase reverse transcriptase (TERT) gene promoter mutation activation is associated with aggressive histopathological features, indicating that it plays a role in the progression of tumors</w:t>
      </w:r>
      <w:r w:rsidRPr="006E6975">
        <w:rPr>
          <w:rFonts w:ascii="Book Antiqua" w:hAnsi="Book Antiqua" w:cs="Book Antiqua"/>
          <w:vertAlign w:val="superscript"/>
        </w:rPr>
        <w:t>[22]</w:t>
      </w:r>
      <w:r w:rsidRPr="006E6975">
        <w:rPr>
          <w:rFonts w:ascii="Book Antiqua" w:hAnsi="Book Antiqua" w:cs="Book Antiqua"/>
        </w:rPr>
        <w:t>.</w:t>
      </w:r>
    </w:p>
    <w:p w14:paraId="38A80697"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A conclusive diagnosis depends primarily on close examination of the histological and immunohistochemical features</w:t>
      </w:r>
      <w:r w:rsidRPr="006E6975">
        <w:rPr>
          <w:rFonts w:ascii="Book Antiqua" w:hAnsi="Book Antiqua" w:cs="Book Antiqua"/>
          <w:vertAlign w:val="superscript"/>
        </w:rPr>
        <w:t>[9,16]</w:t>
      </w:r>
      <w:r w:rsidRPr="006E6975">
        <w:rPr>
          <w:rFonts w:ascii="Book Antiqua" w:hAnsi="Book Antiqua" w:cs="Book Antiqua"/>
        </w:rPr>
        <w:t>. SFT has cytopathologic features that are found whether benign or malignant, increasing the difficulty of distinguishing between them</w:t>
      </w:r>
      <w:r w:rsidRPr="006E6975">
        <w:rPr>
          <w:rFonts w:ascii="Book Antiqua" w:hAnsi="Book Antiqua" w:cs="Book Antiqua"/>
          <w:vertAlign w:val="superscript"/>
        </w:rPr>
        <w:t>[21]</w:t>
      </w:r>
      <w:r w:rsidRPr="006E6975">
        <w:rPr>
          <w:rFonts w:ascii="Book Antiqua" w:hAnsi="Book Antiqua" w:cs="Book Antiqua"/>
        </w:rPr>
        <w:t>. The 2013 WHO classification of soft tissue tumors defines malignant forms as being hypercellular, mitotically active [&gt; 4 mitosis/10 high-power fields (HPF)], with cytological atypia, tumor necrosis, and/or infiltrative margins</w:t>
      </w:r>
      <w:r w:rsidRPr="006E6975">
        <w:rPr>
          <w:rFonts w:ascii="Book Antiqua" w:hAnsi="Book Antiqua" w:cs="Book Antiqua"/>
          <w:vertAlign w:val="superscript"/>
        </w:rPr>
        <w:t>[17]</w:t>
      </w:r>
      <w:r w:rsidRPr="006E6975">
        <w:rPr>
          <w:rFonts w:ascii="Book Antiqua" w:hAnsi="Book Antiqua" w:cs="Book Antiqua"/>
        </w:rPr>
        <w:t>. While SFT with classical morphologic features is ordinarily indolent, and while SFT with overtly malignant histologic features tends to be an aggressive neoplasm behaving similarly to a high-grade sarcoma, SFT behavior is ultimately difficult to predict, underscoring the importance of awareness of SFT’s propensity for aggressive behavior in a minority of cases of histologically classical SFT, and the importance of ensuring satisfactory clinical follow-up</w:t>
      </w:r>
      <w:r w:rsidRPr="006E6975">
        <w:rPr>
          <w:rFonts w:ascii="Book Antiqua" w:hAnsi="Book Antiqua" w:cs="Book Antiqua"/>
          <w:vertAlign w:val="superscript"/>
        </w:rPr>
        <w:t>[4]</w:t>
      </w:r>
      <w:r w:rsidRPr="006E6975">
        <w:rPr>
          <w:rFonts w:ascii="Book Antiqua" w:hAnsi="Book Antiqua" w:cs="Book Antiqua"/>
        </w:rPr>
        <w:t>. At present, there are no criteria used to determine malignancy based on tumor size in cerebral SFT</w:t>
      </w:r>
      <w:r w:rsidRPr="006E6975">
        <w:rPr>
          <w:rFonts w:ascii="Book Antiqua" w:hAnsi="Book Antiqua" w:cs="Book Antiqua"/>
          <w:vertAlign w:val="superscript"/>
        </w:rPr>
        <w:t>[9]</w:t>
      </w:r>
      <w:r w:rsidRPr="006E6975">
        <w:rPr>
          <w:rFonts w:ascii="Book Antiqua" w:hAnsi="Book Antiqua" w:cs="Book Antiqua"/>
        </w:rPr>
        <w:t>. Furthermore, approximately 8% of cases have demonstrated what have been deemed “atypical features” based upon brain or bone invasion, marked pleomorphism, or high mitotic indices</w:t>
      </w:r>
      <w:r w:rsidRPr="006E6975">
        <w:rPr>
          <w:rFonts w:ascii="Book Antiqua" w:hAnsi="Book Antiqua" w:cs="Book Antiqua"/>
          <w:vertAlign w:val="superscript"/>
        </w:rPr>
        <w:t>[9]</w:t>
      </w:r>
      <w:r w:rsidRPr="006E6975">
        <w:rPr>
          <w:rFonts w:ascii="Book Antiqua" w:hAnsi="Book Antiqua" w:cs="Book Antiqua"/>
        </w:rPr>
        <w:t>.</w:t>
      </w:r>
    </w:p>
    <w:p w14:paraId="21119C8F" w14:textId="77777777" w:rsidR="00FA181F" w:rsidRPr="006E6975" w:rsidRDefault="00A3669D" w:rsidP="006E6975">
      <w:pPr>
        <w:spacing w:line="360" w:lineRule="auto"/>
        <w:ind w:firstLineChars="100" w:firstLine="240"/>
        <w:jc w:val="both"/>
        <w:rPr>
          <w:rFonts w:ascii="Book Antiqua" w:hAnsi="Book Antiqua" w:cs="Book Antiqua"/>
        </w:rPr>
      </w:pPr>
      <w:r w:rsidRPr="006E6975">
        <w:rPr>
          <w:rFonts w:ascii="Book Antiqua" w:hAnsi="Book Antiqua" w:cs="Book Antiqua"/>
        </w:rPr>
        <w:t>Surgical excision remains the gold standard for treating localized SFT, and remains the only curative option available; however, a complete resection of intracranial metastatic SFT can prove challenging</w:t>
      </w:r>
      <w:r w:rsidRPr="006E6975">
        <w:rPr>
          <w:rFonts w:ascii="Book Antiqua" w:hAnsi="Book Antiqua" w:cs="Book Antiqua"/>
          <w:vertAlign w:val="superscript"/>
        </w:rPr>
        <w:t>[4,9,17,18,25]</w:t>
      </w:r>
      <w:r w:rsidRPr="006E6975">
        <w:rPr>
          <w:rFonts w:ascii="Book Antiqua" w:hAnsi="Book Antiqua" w:cs="Book Antiqua"/>
        </w:rPr>
        <w:t>. In recent cases, combining surgery with radiotherapy has led to excellent local control in the treatment of soft tissue SFT</w:t>
      </w:r>
      <w:r w:rsidRPr="006E6975">
        <w:rPr>
          <w:rFonts w:ascii="Book Antiqua" w:hAnsi="Book Antiqua" w:cs="Book Antiqua"/>
          <w:vertAlign w:val="superscript"/>
        </w:rPr>
        <w:t>[26]</w:t>
      </w:r>
      <w:r w:rsidRPr="006E6975">
        <w:rPr>
          <w:rFonts w:ascii="Book Antiqua" w:hAnsi="Book Antiqua" w:cs="Book Antiqua"/>
        </w:rPr>
        <w:t>. In the event that surgical resection is unfeasible or has proven unsuccessful, alternative therapies have been described as having heterogeneous efficacy</w:t>
      </w:r>
      <w:r w:rsidRPr="006E6975">
        <w:rPr>
          <w:rFonts w:ascii="Book Antiqua" w:hAnsi="Book Antiqua" w:cs="Book Antiqua"/>
          <w:vertAlign w:val="superscript"/>
        </w:rPr>
        <w:t>[27]</w:t>
      </w:r>
      <w:r w:rsidRPr="006E6975">
        <w:rPr>
          <w:rFonts w:ascii="Book Antiqua" w:hAnsi="Book Antiqua" w:cs="Book Antiqua"/>
        </w:rPr>
        <w:t>. While only limited efficacy has been demonstrated by radiotherapy and conventional chemotherapeutic agents, novel targeted therapies that use antiangiogenic action have been found to show therapeutic efficacy in patients who have advanced or metastatic SFT</w:t>
      </w:r>
      <w:r w:rsidRPr="006E6975">
        <w:rPr>
          <w:rFonts w:ascii="Book Antiqua" w:hAnsi="Book Antiqua" w:cs="Book Antiqua"/>
          <w:vertAlign w:val="superscript"/>
        </w:rPr>
        <w:t>[4,7,16,18,28]</w:t>
      </w:r>
      <w:r w:rsidRPr="006E6975">
        <w:rPr>
          <w:rFonts w:ascii="Book Antiqua" w:hAnsi="Book Antiqua" w:cs="Book Antiqua"/>
        </w:rPr>
        <w:t>. Pazopanib has been found to be an effective option for the treatment of recurrent or metastatic SFT in first-, second-, and third-line settings</w:t>
      </w:r>
      <w:r w:rsidRPr="006E6975">
        <w:rPr>
          <w:rFonts w:ascii="Book Antiqua" w:hAnsi="Book Antiqua" w:cs="Book Antiqua"/>
          <w:vertAlign w:val="superscript"/>
        </w:rPr>
        <w:t>[25,29,30]</w:t>
      </w:r>
      <w:r w:rsidRPr="006E6975">
        <w:rPr>
          <w:rFonts w:ascii="Book Antiqua" w:hAnsi="Book Antiqua" w:cs="Book Antiqua"/>
        </w:rPr>
        <w:t>. However, this can lead to liver injury as a major adverse event, and when necessary, it is also important to take adequate treatment withdrawal and dose reduction into consideration</w:t>
      </w:r>
      <w:r w:rsidRPr="006E6975">
        <w:rPr>
          <w:rFonts w:ascii="Book Antiqua" w:hAnsi="Book Antiqua" w:cs="Book Antiqua"/>
          <w:vertAlign w:val="superscript"/>
        </w:rPr>
        <w:t>[30]</w:t>
      </w:r>
      <w:r w:rsidRPr="006E6975">
        <w:rPr>
          <w:rFonts w:ascii="Book Antiqua" w:hAnsi="Book Antiqua" w:cs="Book Antiqua"/>
        </w:rPr>
        <w:t>. Some scholars have suggested an intraoperative pathologic examination of CNS SFT to exclude the residual of the tumor at the incisal margin</w:t>
      </w:r>
      <w:r w:rsidRPr="006E6975">
        <w:rPr>
          <w:rFonts w:ascii="Book Antiqua" w:hAnsi="Book Antiqua" w:cs="Book Antiqua"/>
          <w:vertAlign w:val="superscript"/>
        </w:rPr>
        <w:t>[9]</w:t>
      </w:r>
      <w:r w:rsidRPr="006E6975">
        <w:rPr>
          <w:rFonts w:ascii="Book Antiqua" w:hAnsi="Book Antiqua" w:cs="Book Antiqua"/>
        </w:rPr>
        <w:t>. In cases such as these, adjuvant chemotherapy or radiotherapy may help to prevent recurrence</w:t>
      </w:r>
      <w:r w:rsidRPr="006E6975">
        <w:rPr>
          <w:rFonts w:ascii="Book Antiqua" w:hAnsi="Book Antiqua" w:cs="Book Antiqua"/>
          <w:vertAlign w:val="superscript"/>
        </w:rPr>
        <w:t>[9]</w:t>
      </w:r>
      <w:r w:rsidRPr="006E6975">
        <w:rPr>
          <w:rFonts w:ascii="Book Antiqua" w:hAnsi="Book Antiqua" w:cs="Book Antiqua"/>
        </w:rPr>
        <w:t>. However, to date, no studies have demonstrated radiotherapy’s role in improving long-term prognosis, and there is still too small a number of patients who have undergone adjuvant chemotherapy to be able to evaluate any possible benefit</w:t>
      </w:r>
      <w:r w:rsidRPr="006E6975">
        <w:rPr>
          <w:rFonts w:ascii="Book Antiqua" w:hAnsi="Book Antiqua" w:cs="Book Antiqua"/>
          <w:vertAlign w:val="superscript"/>
        </w:rPr>
        <w:t>[9]</w:t>
      </w:r>
      <w:r w:rsidRPr="006E6975">
        <w:rPr>
          <w:rFonts w:ascii="Book Antiqua" w:hAnsi="Book Antiqua" w:cs="Book Antiqua"/>
        </w:rPr>
        <w:t>. On the other hand, a study performed recently suggests that gamma knife radiosurgery may serve as a feasible adjunct for the treatment of SFT</w:t>
      </w:r>
      <w:r w:rsidRPr="006E6975">
        <w:rPr>
          <w:rFonts w:ascii="Book Antiqua" w:hAnsi="Book Antiqua" w:cs="Book Antiqua"/>
          <w:vertAlign w:val="superscript"/>
        </w:rPr>
        <w:t>[9]</w:t>
      </w:r>
      <w:r w:rsidRPr="006E6975">
        <w:rPr>
          <w:rFonts w:ascii="Book Antiqua" w:hAnsi="Book Antiqua" w:cs="Book Antiqua"/>
        </w:rPr>
        <w:t>. Finally, palliative systemic therapy is used in cases that are inoperable or metastatic, but with only low response rates</w:t>
      </w:r>
      <w:r w:rsidRPr="006E6975">
        <w:rPr>
          <w:rFonts w:ascii="Book Antiqua" w:hAnsi="Book Antiqua" w:cs="Book Antiqua"/>
          <w:vertAlign w:val="superscript"/>
        </w:rPr>
        <w:t>[25]</w:t>
      </w:r>
      <w:r w:rsidRPr="006E6975">
        <w:rPr>
          <w:rFonts w:ascii="Book Antiqua" w:hAnsi="Book Antiqua" w:cs="Book Antiqua"/>
        </w:rPr>
        <w:t>.</w:t>
      </w:r>
    </w:p>
    <w:p w14:paraId="3BAFDB4A"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Limited knowledge is available regarding SFT, about 15% of cases of which are malignant, with a 10%-30% likelihood of metastasizing</w:t>
      </w:r>
      <w:r w:rsidRPr="006E6975">
        <w:rPr>
          <w:rFonts w:ascii="Book Antiqua" w:hAnsi="Book Antiqua" w:cs="Book Antiqua"/>
          <w:vertAlign w:val="superscript"/>
        </w:rPr>
        <w:t>[18,23,31,32]</w:t>
      </w:r>
      <w:r w:rsidRPr="006E6975">
        <w:rPr>
          <w:rFonts w:ascii="Book Antiqua" w:hAnsi="Book Antiqua" w:cs="Book Antiqua"/>
        </w:rPr>
        <w:t>. Furthermore, metastases can occur in any age group, both early and late, in varying locations, and are typically diagnosed only after presentation with symptoms</w:t>
      </w:r>
      <w:r w:rsidRPr="006E6975">
        <w:rPr>
          <w:rFonts w:ascii="Book Antiqua" w:hAnsi="Book Antiqua" w:cs="Book Antiqua"/>
          <w:vertAlign w:val="superscript"/>
        </w:rPr>
        <w:t>[19]</w:t>
      </w:r>
      <w:r w:rsidRPr="006E6975">
        <w:rPr>
          <w:rFonts w:ascii="Book Antiqua" w:hAnsi="Book Antiqua" w:cs="Book Antiqua"/>
        </w:rPr>
        <w:t>. A minority of cases demonstrate more aggressive behavior, and even years after treatment, relapses, local recurrence, and distant metastasis can sometimes occur</w:t>
      </w:r>
      <w:r w:rsidRPr="006E6975">
        <w:rPr>
          <w:rFonts w:ascii="Book Antiqua" w:hAnsi="Book Antiqua" w:cs="Book Antiqua"/>
          <w:vertAlign w:val="superscript"/>
        </w:rPr>
        <w:t>[11,19]</w:t>
      </w:r>
      <w:r w:rsidRPr="006E6975">
        <w:rPr>
          <w:rFonts w:ascii="Book Antiqua" w:hAnsi="Book Antiqua" w:cs="Book Antiqua"/>
        </w:rPr>
        <w:t>. The metastatic disease sites vary by primary SFT site and the most common sites of SFT metastasis are, in order from most to least common, the lungs (61%), followed by the pleura (49%), the liver (41%), the bones (41%), and the peritoneum (41%)</w:t>
      </w:r>
      <w:r w:rsidRPr="006E6975">
        <w:rPr>
          <w:rFonts w:ascii="Book Antiqua" w:hAnsi="Book Antiqua" w:cs="Book Antiqua"/>
          <w:vertAlign w:val="superscript"/>
        </w:rPr>
        <w:t>[33]</w:t>
      </w:r>
      <w:r w:rsidRPr="006E6975">
        <w:rPr>
          <w:rFonts w:ascii="Book Antiqua" w:hAnsi="Book Antiqua" w:cs="Book Antiqua"/>
        </w:rPr>
        <w:t>. In another study, there was a 13% risk of metastasis in the independent cohort after five years, and a 16% risk of metastasis after ten years</w:t>
      </w:r>
      <w:r w:rsidRPr="006E6975">
        <w:rPr>
          <w:rFonts w:ascii="Book Antiqua" w:hAnsi="Book Antiqua" w:cs="Book Antiqua"/>
          <w:vertAlign w:val="superscript"/>
        </w:rPr>
        <w:t>[31]</w:t>
      </w:r>
      <w:r w:rsidRPr="006E6975">
        <w:rPr>
          <w:rFonts w:ascii="Book Antiqua" w:hAnsi="Book Antiqua" w:cs="Book Antiqua"/>
        </w:rPr>
        <w:t>. There is also a significant association between a mitotic count of ≥ 4 per 10 HPF, or malignant pathology, with metastatic SFT disease</w:t>
      </w:r>
      <w:r w:rsidRPr="006E6975">
        <w:rPr>
          <w:rFonts w:ascii="Book Antiqua" w:hAnsi="Book Antiqua" w:cs="Book Antiqua"/>
          <w:vertAlign w:val="superscript"/>
        </w:rPr>
        <w:t>[33]</w:t>
      </w:r>
      <w:r w:rsidRPr="006E6975">
        <w:rPr>
          <w:rFonts w:ascii="Book Antiqua" w:hAnsi="Book Antiqua" w:cs="Book Antiqua"/>
        </w:rPr>
        <w:t>. Therefore, long-term monitoring is essential, including regular clinical reviews, and early imaging is useful for recurrence and metastasis symptoms, with imaging modality selected based on clinical concern</w:t>
      </w:r>
      <w:r w:rsidRPr="006E6975">
        <w:rPr>
          <w:rFonts w:ascii="Book Antiqua" w:hAnsi="Book Antiqua" w:cs="Book Antiqua"/>
          <w:vertAlign w:val="superscript"/>
        </w:rPr>
        <w:t>[19,34,35]</w:t>
      </w:r>
      <w:r w:rsidRPr="006E6975">
        <w:rPr>
          <w:rFonts w:ascii="Book Antiqua" w:hAnsi="Book Antiqua" w:cs="Book Antiqua"/>
        </w:rPr>
        <w:t>.</w:t>
      </w:r>
    </w:p>
    <w:p w14:paraId="647C6858"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Malignant SFT in particular showed a rapid local recurrence and distant metastasis, with a poor prognosis</w:t>
      </w:r>
      <w:r w:rsidRPr="006E6975">
        <w:rPr>
          <w:rFonts w:ascii="Book Antiqua" w:hAnsi="Book Antiqua" w:cs="Book Antiqua"/>
          <w:vertAlign w:val="superscript"/>
        </w:rPr>
        <w:t>[9]</w:t>
      </w:r>
      <w:r w:rsidRPr="006E6975">
        <w:rPr>
          <w:rFonts w:ascii="Book Antiqua" w:hAnsi="Book Antiqua" w:cs="Book Antiqua"/>
        </w:rPr>
        <w:t>. In some SFT study, the tumor recurred in 22.5% of cases and metastasized in 11.8% of cases, while tumor death was seen in in 9.6% of cases</w:t>
      </w:r>
      <w:r w:rsidRPr="006E6975">
        <w:rPr>
          <w:rFonts w:ascii="Book Antiqua" w:hAnsi="Book Antiqua" w:cs="Book Antiqua"/>
          <w:vertAlign w:val="superscript"/>
        </w:rPr>
        <w:t>[20]</w:t>
      </w:r>
      <w:r w:rsidRPr="006E6975">
        <w:rPr>
          <w:rFonts w:ascii="Book Antiqua" w:hAnsi="Book Antiqua" w:cs="Book Antiqua"/>
        </w:rPr>
        <w:t>. The incidence of local recurrence and metastatic recurrence are both strongly associated with disease-specific death, and these events may occur as much as 10-20 years after the initial presentation, including in patients whose tumors were initially considered to be benign</w:t>
      </w:r>
      <w:r w:rsidRPr="006E6975">
        <w:rPr>
          <w:rFonts w:ascii="Book Antiqua" w:hAnsi="Book Antiqua" w:cs="Book Antiqua"/>
          <w:vertAlign w:val="superscript"/>
        </w:rPr>
        <w:t>[19,34,35]</w:t>
      </w:r>
      <w:r w:rsidRPr="006E6975">
        <w:rPr>
          <w:rFonts w:ascii="Book Antiqua" w:hAnsi="Book Antiqua" w:cs="Book Antiqua"/>
        </w:rPr>
        <w:t>.</w:t>
      </w:r>
    </w:p>
    <w:p w14:paraId="13BBD63B"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The key indicators of clinical outcome are still the dimensional pattern, the histopathological features, and curative surgery</w:t>
      </w:r>
      <w:r w:rsidRPr="006E6975">
        <w:rPr>
          <w:rFonts w:ascii="Book Antiqua" w:hAnsi="Book Antiqua" w:cs="Book Antiqua"/>
          <w:vertAlign w:val="superscript"/>
        </w:rPr>
        <w:t>[1]</w:t>
      </w:r>
      <w:r w:rsidRPr="006E6975">
        <w:rPr>
          <w:rFonts w:ascii="Book Antiqua" w:hAnsi="Book Antiqua" w:cs="Book Antiqua"/>
        </w:rPr>
        <w:t>. Regarding histopathological features, dedifferentiation serves as a key prognostic factor for SFT, and specific locations like cerebro-meningeal and intra-abdominal sites, and hypoglycemia, also led to a high risk of unfavorable prognosis</w:t>
      </w:r>
      <w:r w:rsidRPr="006E6975">
        <w:rPr>
          <w:rFonts w:ascii="Book Antiqua" w:hAnsi="Book Antiqua" w:cs="Book Antiqua"/>
          <w:vertAlign w:val="superscript"/>
        </w:rPr>
        <w:t>[20]</w:t>
      </w:r>
      <w:r w:rsidRPr="006E6975">
        <w:rPr>
          <w:rFonts w:ascii="Book Antiqua" w:hAnsi="Book Antiqua" w:cs="Book Antiqua"/>
        </w:rPr>
        <w:t>. Regarding curative surgery, it is most likely that the prognosis depends on the extent of complete resection, rather than on histologic grading</w:t>
      </w:r>
      <w:r w:rsidRPr="006E6975">
        <w:rPr>
          <w:rFonts w:ascii="Book Antiqua" w:hAnsi="Book Antiqua" w:cs="Book Antiqua"/>
          <w:vertAlign w:val="superscript"/>
        </w:rPr>
        <w:t>[9]</w:t>
      </w:r>
      <w:r w:rsidRPr="006E6975">
        <w:rPr>
          <w:rFonts w:ascii="Book Antiqua" w:hAnsi="Book Antiqua" w:cs="Book Antiqua"/>
        </w:rPr>
        <w:t>. Recurrence was commonly noted in cases that involved incomplete excision</w:t>
      </w:r>
      <w:r w:rsidRPr="006E6975">
        <w:rPr>
          <w:rFonts w:ascii="Book Antiqua" w:hAnsi="Book Antiqua" w:cs="Book Antiqua"/>
          <w:vertAlign w:val="superscript"/>
        </w:rPr>
        <w:t>[9]</w:t>
      </w:r>
      <w:r w:rsidRPr="006E6975">
        <w:rPr>
          <w:rFonts w:ascii="Book Antiqua" w:hAnsi="Book Antiqua" w:cs="Book Antiqua"/>
        </w:rPr>
        <w:t>. While gross total resection is demonstrably superior to subtotal/partial resection in treatment of CNS SFT, with a nearly 16-fold improvement of the odds of recurrence over patients who only undergo subtotal/partial resection, careful follow-up is still necessary, especially when gross total resection is unsuccessful or not an option</w:t>
      </w:r>
      <w:r w:rsidRPr="006E6975">
        <w:rPr>
          <w:rFonts w:ascii="Book Antiqua" w:hAnsi="Book Antiqua" w:cs="Book Antiqua"/>
          <w:vertAlign w:val="superscript"/>
        </w:rPr>
        <w:t>[9]</w:t>
      </w:r>
      <w:r w:rsidRPr="006E6975">
        <w:rPr>
          <w:rFonts w:ascii="Book Antiqua" w:hAnsi="Book Antiqua" w:cs="Book Antiqua"/>
        </w:rPr>
        <w:t>. According to the soft tissue and bone tumor classification published by the WHO in 2013, necessary criteria suggesting SFT malignant potential include hypercellularity, &gt; 4 mitoses/10 HPFs, variable cytological atypia, tumor necrosis, and/or infiltrative margins; among these, mitoses seem to be the most effectively prognostic</w:t>
      </w:r>
      <w:r w:rsidRPr="006E6975">
        <w:rPr>
          <w:rFonts w:ascii="Book Antiqua" w:hAnsi="Book Antiqua" w:cs="Book Antiqua"/>
          <w:vertAlign w:val="superscript"/>
        </w:rPr>
        <w:t>[9]</w:t>
      </w:r>
      <w:r w:rsidRPr="006E6975">
        <w:rPr>
          <w:rFonts w:ascii="Book Antiqua" w:hAnsi="Book Antiqua" w:cs="Book Antiqua"/>
        </w:rPr>
        <w:t>.</w:t>
      </w:r>
    </w:p>
    <w:p w14:paraId="28165C3E" w14:textId="77777777" w:rsidR="00FA181F" w:rsidRPr="006E6975" w:rsidRDefault="00A3669D" w:rsidP="006E6975">
      <w:pPr>
        <w:spacing w:line="360" w:lineRule="auto"/>
        <w:ind w:firstLineChars="100" w:firstLine="240"/>
        <w:jc w:val="both"/>
        <w:rPr>
          <w:rFonts w:ascii="Book Antiqua" w:hAnsi="Book Antiqua" w:cs="Book Antiqua"/>
        </w:rPr>
      </w:pPr>
      <w:r w:rsidRPr="006E6975">
        <w:rPr>
          <w:rFonts w:ascii="Book Antiqua" w:hAnsi="Book Antiqua" w:cs="Book Antiqua"/>
        </w:rPr>
        <w:t>This case study has a limitation: this article only reviews a single case report and case series of SFT. Therefore, the actual situation and nature of SFT may differ from the results of the literature review as a result of reporting bias.</w:t>
      </w:r>
    </w:p>
    <w:p w14:paraId="7CDD82F2" w14:textId="77777777" w:rsidR="00FA181F" w:rsidRPr="006E6975" w:rsidRDefault="00FA181F" w:rsidP="006E6975">
      <w:pPr>
        <w:spacing w:line="360" w:lineRule="auto"/>
        <w:jc w:val="both"/>
        <w:rPr>
          <w:rFonts w:ascii="Book Antiqua" w:eastAsiaTheme="minorEastAsia" w:hAnsi="Book Antiqua"/>
          <w:b/>
          <w:bCs/>
          <w:u w:val="single"/>
          <w:lang w:eastAsia="zh-CN"/>
        </w:rPr>
      </w:pPr>
    </w:p>
    <w:bookmarkEnd w:id="20"/>
    <w:p w14:paraId="58F5889B"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CONCLUSION</w:t>
      </w:r>
    </w:p>
    <w:p w14:paraId="5E86848A"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In conclusion, we have presented the first case of intracranial malignant SFT metastasizing to the chest wall. This case suggests the need for careful, detailed examinations when encountering patients presenting with a mass: When a neoplastic lesion is confirmed through image inspection, we should investigate thoroughly, including further image investigations and pathologic examination. In addition, careful follow-up is also necessary.</w:t>
      </w:r>
    </w:p>
    <w:p w14:paraId="699780FD" w14:textId="77777777" w:rsidR="00FA181F" w:rsidRPr="006E6975" w:rsidRDefault="00FA181F" w:rsidP="006E6975">
      <w:pPr>
        <w:spacing w:line="360" w:lineRule="auto"/>
        <w:jc w:val="both"/>
        <w:rPr>
          <w:rFonts w:ascii="Book Antiqua" w:hAnsi="Book Antiqua"/>
        </w:rPr>
      </w:pPr>
    </w:p>
    <w:p w14:paraId="743C6876"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ACKNOWLEDGEMENTS</w:t>
      </w:r>
    </w:p>
    <w:p w14:paraId="4C806F0D"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The author would like to thank Dr. Takeshima K, from Department of General Medicine, Kanazawa Medical University Himi Municipal Hospital, for her invaluable help with review of the literature.</w:t>
      </w:r>
    </w:p>
    <w:p w14:paraId="76312D0C" w14:textId="77777777" w:rsidR="00FA181F" w:rsidRPr="006E6975" w:rsidRDefault="00FA181F" w:rsidP="006E6975">
      <w:pPr>
        <w:spacing w:line="360" w:lineRule="auto"/>
        <w:jc w:val="both"/>
        <w:rPr>
          <w:rFonts w:ascii="Book Antiqua" w:hAnsi="Book Antiqua"/>
        </w:rPr>
      </w:pPr>
    </w:p>
    <w:p w14:paraId="579A11B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REFERENCES</w:t>
      </w:r>
    </w:p>
    <w:p w14:paraId="4CA61968" w14:textId="77777777" w:rsidR="00FA181F" w:rsidRPr="006E6975" w:rsidRDefault="00A3669D" w:rsidP="006E6975">
      <w:pPr>
        <w:spacing w:line="360" w:lineRule="auto"/>
        <w:jc w:val="both"/>
        <w:rPr>
          <w:rFonts w:ascii="Book Antiqua" w:hAnsi="Book Antiqua"/>
          <w:lang w:eastAsia="zh-CN"/>
        </w:rPr>
      </w:pPr>
      <w:r w:rsidRPr="006E6975">
        <w:rPr>
          <w:rFonts w:ascii="Book Antiqua" w:hAnsi="Book Antiqua"/>
        </w:rPr>
        <w:t xml:space="preserve">1 </w:t>
      </w:r>
      <w:r w:rsidRPr="006E6975">
        <w:rPr>
          <w:rFonts w:ascii="Book Antiqua" w:hAnsi="Book Antiqua"/>
          <w:b/>
          <w:bCs/>
        </w:rPr>
        <w:t>Testa DC</w:t>
      </w:r>
      <w:r w:rsidRPr="006E6975">
        <w:rPr>
          <w:rFonts w:ascii="Book Antiqua" w:hAnsi="Book Antiqua"/>
        </w:rPr>
        <w:t xml:space="preserve">, Selvaggi F, Andreano T, Mazzola L, Cortellese R. Solitary fibrous tumor of the anterior abdominal wall. A case report and review of the literature. </w:t>
      </w:r>
      <w:r w:rsidRPr="006E6975">
        <w:rPr>
          <w:rFonts w:ascii="Book Antiqua" w:hAnsi="Book Antiqua"/>
          <w:i/>
          <w:iCs/>
        </w:rPr>
        <w:t>Ann Ital Chir</w:t>
      </w:r>
      <w:r w:rsidRPr="006E6975">
        <w:rPr>
          <w:rFonts w:ascii="Book Antiqua" w:hAnsi="Book Antiqua"/>
        </w:rPr>
        <w:t xml:space="preserve"> 2019; </w:t>
      </w:r>
      <w:r w:rsidRPr="006E6975">
        <w:rPr>
          <w:rFonts w:ascii="Book Antiqua" w:hAnsi="Book Antiqua"/>
          <w:b/>
          <w:bCs/>
        </w:rPr>
        <w:t>8</w:t>
      </w:r>
      <w:r w:rsidRPr="006E6975">
        <w:rPr>
          <w:rFonts w:ascii="Book Antiqua" w:hAnsi="Book Antiqua"/>
        </w:rPr>
        <w:t>: S2239253X19030068 [PMID: 31366738]</w:t>
      </w:r>
    </w:p>
    <w:p w14:paraId="1B297DA8"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 </w:t>
      </w:r>
      <w:r w:rsidRPr="006E6975">
        <w:rPr>
          <w:rFonts w:ascii="Book Antiqua" w:hAnsi="Book Antiqua"/>
          <w:b/>
          <w:bCs/>
        </w:rPr>
        <w:t>Zhang N</w:t>
      </w:r>
      <w:r w:rsidRPr="006E6975">
        <w:rPr>
          <w:rFonts w:ascii="Book Antiqua" w:hAnsi="Book Antiqua"/>
        </w:rPr>
        <w:t xml:space="preserve">, Zhou D, Chen K, Zhang H, Huang B. Malignant solitary fibrous tumor of the kidney with liver metastasis: A case report and literature review. </w:t>
      </w:r>
      <w:r w:rsidRPr="006E6975">
        <w:rPr>
          <w:rFonts w:ascii="Book Antiqua" w:hAnsi="Book Antiqua"/>
          <w:i/>
          <w:iCs/>
        </w:rPr>
        <w:t>J Cancer Res Ther</w:t>
      </w:r>
      <w:r w:rsidRPr="006E6975">
        <w:rPr>
          <w:rFonts w:ascii="Book Antiqua" w:hAnsi="Book Antiqua"/>
        </w:rPr>
        <w:t xml:space="preserve"> 2018; </w:t>
      </w:r>
      <w:r w:rsidRPr="006E6975">
        <w:rPr>
          <w:rFonts w:ascii="Book Antiqua" w:hAnsi="Book Antiqua"/>
          <w:b/>
          <w:bCs/>
        </w:rPr>
        <w:t>14</w:t>
      </w:r>
      <w:r w:rsidRPr="006E6975">
        <w:rPr>
          <w:rFonts w:ascii="Book Antiqua" w:hAnsi="Book Antiqua"/>
        </w:rPr>
        <w:t>: S1217-S1219 [PMID: 30539874 DOI: 10.4103/0973-1482.204885]</w:t>
      </w:r>
    </w:p>
    <w:p w14:paraId="21C64577"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 </w:t>
      </w:r>
      <w:r w:rsidRPr="006E6975">
        <w:rPr>
          <w:rFonts w:ascii="Book Antiqua" w:hAnsi="Book Antiqua"/>
          <w:b/>
          <w:bCs/>
        </w:rPr>
        <w:t>Ronchi A</w:t>
      </w:r>
      <w:r w:rsidRPr="006E6975">
        <w:rPr>
          <w:rFonts w:ascii="Book Antiqua" w:hAnsi="Book Antiqua"/>
        </w:rPr>
        <w:t xml:space="preserve">, La Mantia E, Gigantino V, Perdonà S, De Sio M, Facchini G, Franco R, De Chiara A. </w:t>
      </w:r>
      <w:bookmarkStart w:id="21" w:name="OLE_LINK1"/>
      <w:r w:rsidRPr="006E6975">
        <w:rPr>
          <w:rFonts w:ascii="Book Antiqua" w:hAnsi="Book Antiqua"/>
        </w:rPr>
        <w:t xml:space="preserve">A rare case of malignant solitary fibrous tumor in prostate with review of the literature. </w:t>
      </w:r>
      <w:bookmarkEnd w:id="21"/>
      <w:r w:rsidRPr="006E6975">
        <w:rPr>
          <w:rFonts w:ascii="Book Antiqua" w:hAnsi="Book Antiqua"/>
          <w:i/>
          <w:iCs/>
        </w:rPr>
        <w:t>Diagn Pathol</w:t>
      </w:r>
      <w:r w:rsidRPr="006E6975">
        <w:rPr>
          <w:rFonts w:ascii="Book Antiqua" w:hAnsi="Book Antiqua"/>
        </w:rPr>
        <w:t xml:space="preserve"> 2017; </w:t>
      </w:r>
      <w:r w:rsidRPr="006E6975">
        <w:rPr>
          <w:rFonts w:ascii="Book Antiqua" w:hAnsi="Book Antiqua"/>
          <w:b/>
          <w:bCs/>
        </w:rPr>
        <w:t>12</w:t>
      </w:r>
      <w:r w:rsidRPr="006E6975">
        <w:rPr>
          <w:rFonts w:ascii="Book Antiqua" w:hAnsi="Book Antiqua"/>
        </w:rPr>
        <w:t>: 50 [PMID: 28687087 DOI: 10.1186/s13000-017-0640-5]</w:t>
      </w:r>
    </w:p>
    <w:p w14:paraId="4E6398E2"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4 </w:t>
      </w:r>
      <w:r w:rsidRPr="006E6975">
        <w:rPr>
          <w:rFonts w:ascii="Book Antiqua" w:hAnsi="Book Antiqua"/>
          <w:b/>
          <w:bCs/>
        </w:rPr>
        <w:t>Thway K</w:t>
      </w:r>
      <w:r w:rsidRPr="006E6975">
        <w:rPr>
          <w:rFonts w:ascii="Book Antiqua" w:hAnsi="Book Antiqua"/>
        </w:rPr>
        <w:t xml:space="preserve">, Ng W, Noujaim J, Jones RL, Fisher C. The Current Status of Solitary Fibrous Tumor: Diagnostic Features, Variants, and Genetics. </w:t>
      </w:r>
      <w:r w:rsidRPr="006E6975">
        <w:rPr>
          <w:rFonts w:ascii="Book Antiqua" w:hAnsi="Book Antiqua"/>
          <w:i/>
          <w:iCs/>
        </w:rPr>
        <w:t>Int J Surg Pathol</w:t>
      </w:r>
      <w:r w:rsidRPr="006E6975">
        <w:rPr>
          <w:rFonts w:ascii="Book Antiqua" w:hAnsi="Book Antiqua"/>
        </w:rPr>
        <w:t xml:space="preserve"> 2016; </w:t>
      </w:r>
      <w:r w:rsidRPr="006E6975">
        <w:rPr>
          <w:rFonts w:ascii="Book Antiqua" w:hAnsi="Book Antiqua"/>
          <w:b/>
          <w:bCs/>
        </w:rPr>
        <w:t>24</w:t>
      </w:r>
      <w:r w:rsidRPr="006E6975">
        <w:rPr>
          <w:rFonts w:ascii="Book Antiqua" w:hAnsi="Book Antiqua"/>
        </w:rPr>
        <w:t>: 281-292 [PMID: 26811389 DOI: 10.1177/1066896915627485]</w:t>
      </w:r>
    </w:p>
    <w:p w14:paraId="5DECE7D9"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5 </w:t>
      </w:r>
      <w:r w:rsidRPr="006E6975">
        <w:rPr>
          <w:rFonts w:ascii="Book Antiqua" w:hAnsi="Book Antiqua"/>
          <w:b/>
          <w:bCs/>
        </w:rPr>
        <w:t>Ng HK</w:t>
      </w:r>
      <w:r w:rsidRPr="006E6975">
        <w:rPr>
          <w:rFonts w:ascii="Book Antiqua" w:hAnsi="Book Antiqua"/>
        </w:rPr>
        <w:t xml:space="preserve">, Choi PC, Wong CW, To KF, Poon WS. Metastatic solitary fibrous tumor of the meninges. Case report. </w:t>
      </w:r>
      <w:r w:rsidRPr="006E6975">
        <w:rPr>
          <w:rFonts w:ascii="Book Antiqua" w:hAnsi="Book Antiqua"/>
          <w:i/>
          <w:iCs/>
        </w:rPr>
        <w:t>J Neurosurg</w:t>
      </w:r>
      <w:r w:rsidRPr="006E6975">
        <w:rPr>
          <w:rFonts w:ascii="Book Antiqua" w:hAnsi="Book Antiqua"/>
        </w:rPr>
        <w:t xml:space="preserve"> 2000; </w:t>
      </w:r>
      <w:r w:rsidRPr="006E6975">
        <w:rPr>
          <w:rFonts w:ascii="Book Antiqua" w:hAnsi="Book Antiqua"/>
          <w:b/>
          <w:bCs/>
        </w:rPr>
        <w:t>93</w:t>
      </w:r>
      <w:r w:rsidRPr="006E6975">
        <w:rPr>
          <w:rFonts w:ascii="Book Antiqua" w:hAnsi="Book Antiqua"/>
        </w:rPr>
        <w:t>: 490-493 [PMID: 10969951 DOI: 10.3171/jns.2000.93.3.0490]</w:t>
      </w:r>
    </w:p>
    <w:p w14:paraId="64875030"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6 </w:t>
      </w:r>
      <w:r w:rsidRPr="006E6975">
        <w:rPr>
          <w:rFonts w:ascii="Book Antiqua" w:hAnsi="Book Antiqua"/>
          <w:b/>
          <w:bCs/>
        </w:rPr>
        <w:t>Bianchi G</w:t>
      </w:r>
      <w:r w:rsidRPr="006E6975">
        <w:rPr>
          <w:rFonts w:ascii="Book Antiqua" w:hAnsi="Book Antiqua"/>
        </w:rPr>
        <w:t xml:space="preserve">, Sambri A, Pedrini E, Pazzaglia L, Sangiorgi L, Ruengwanichayakun P, Donati D, Benassi MS, Righi A. Histological and molecular features of solitary fibrous tumor of the extremities: clinical correlation. </w:t>
      </w:r>
      <w:r w:rsidRPr="006E6975">
        <w:rPr>
          <w:rFonts w:ascii="Book Antiqua" w:hAnsi="Book Antiqua"/>
          <w:i/>
          <w:iCs/>
        </w:rPr>
        <w:t>Virchows Arch</w:t>
      </w:r>
      <w:r w:rsidRPr="006E6975">
        <w:rPr>
          <w:rFonts w:ascii="Book Antiqua" w:hAnsi="Book Antiqua"/>
        </w:rPr>
        <w:t xml:space="preserve"> 2020; </w:t>
      </w:r>
      <w:r w:rsidRPr="006E6975">
        <w:rPr>
          <w:rFonts w:ascii="Book Antiqua" w:hAnsi="Book Antiqua"/>
          <w:b/>
          <w:bCs/>
        </w:rPr>
        <w:t>476</w:t>
      </w:r>
      <w:r w:rsidRPr="006E6975">
        <w:rPr>
          <w:rFonts w:ascii="Book Antiqua" w:hAnsi="Book Antiqua"/>
        </w:rPr>
        <w:t>: 445-454 [PMID: 31463729 DOI: 10.1007/s00428-019-02650-5]</w:t>
      </w:r>
    </w:p>
    <w:p w14:paraId="361C31E8"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7 </w:t>
      </w:r>
      <w:r w:rsidRPr="006E6975">
        <w:rPr>
          <w:rFonts w:ascii="Book Antiqua" w:hAnsi="Book Antiqua"/>
          <w:b/>
          <w:bCs/>
        </w:rPr>
        <w:t>Wang Y</w:t>
      </w:r>
      <w:r w:rsidRPr="006E6975">
        <w:rPr>
          <w:rFonts w:ascii="Book Antiqua" w:hAnsi="Book Antiqua"/>
        </w:rPr>
        <w:t xml:space="preserve">, Zhang J, Liu Q, Liu F, Zhu X, Zhang J. Solitary fibrous tumor of the pineal region with delayed ectopic intracranial metastasis: A case report and review of the literature. </w:t>
      </w:r>
      <w:r w:rsidRPr="006E6975">
        <w:rPr>
          <w:rFonts w:ascii="Book Antiqua" w:hAnsi="Book Antiqua"/>
          <w:i/>
          <w:iCs/>
        </w:rPr>
        <w:t>Medicine (Baltimore)</w:t>
      </w:r>
      <w:r w:rsidRPr="006E6975">
        <w:rPr>
          <w:rFonts w:ascii="Book Antiqua" w:hAnsi="Book Antiqua"/>
        </w:rPr>
        <w:t xml:space="preserve"> 2019; </w:t>
      </w:r>
      <w:r w:rsidRPr="006E6975">
        <w:rPr>
          <w:rFonts w:ascii="Book Antiqua" w:hAnsi="Book Antiqua"/>
          <w:b/>
          <w:bCs/>
        </w:rPr>
        <w:t>98</w:t>
      </w:r>
      <w:r w:rsidRPr="006E6975">
        <w:rPr>
          <w:rFonts w:ascii="Book Antiqua" w:hAnsi="Book Antiqua"/>
        </w:rPr>
        <w:t>: e15737 [PMID: 31124953 DOI: 10.1097/MD.0000000000015737]</w:t>
      </w:r>
    </w:p>
    <w:p w14:paraId="72B35D68"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8 </w:t>
      </w:r>
      <w:r w:rsidRPr="006E6975">
        <w:rPr>
          <w:rFonts w:ascii="Book Antiqua" w:hAnsi="Book Antiqua"/>
          <w:b/>
          <w:bCs/>
        </w:rPr>
        <w:t>Chen N</w:t>
      </w:r>
      <w:r w:rsidRPr="006E6975">
        <w:rPr>
          <w:rFonts w:ascii="Book Antiqua" w:hAnsi="Book Antiqua"/>
        </w:rPr>
        <w:t xml:space="preserve">, Slater K. Solitary fibrous tumour of the liver-report on metastasis and local recurrence of a malignant case and review of literature. </w:t>
      </w:r>
      <w:r w:rsidRPr="006E6975">
        <w:rPr>
          <w:rFonts w:ascii="Book Antiqua" w:hAnsi="Book Antiqua"/>
          <w:i/>
          <w:iCs/>
        </w:rPr>
        <w:t>World J Surg Oncol</w:t>
      </w:r>
      <w:r w:rsidRPr="006E6975">
        <w:rPr>
          <w:rFonts w:ascii="Book Antiqua" w:hAnsi="Book Antiqua"/>
        </w:rPr>
        <w:t xml:space="preserve"> 2017; </w:t>
      </w:r>
      <w:r w:rsidRPr="006E6975">
        <w:rPr>
          <w:rFonts w:ascii="Book Antiqua" w:hAnsi="Book Antiqua"/>
          <w:b/>
          <w:bCs/>
        </w:rPr>
        <w:t>15</w:t>
      </w:r>
      <w:r w:rsidRPr="006E6975">
        <w:rPr>
          <w:rFonts w:ascii="Book Antiqua" w:hAnsi="Book Antiqua"/>
        </w:rPr>
        <w:t>: 27 [PMID: 28100235 DOI: 10.1186/s12957-017-1102-y]</w:t>
      </w:r>
    </w:p>
    <w:p w14:paraId="66134D99"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9 </w:t>
      </w:r>
      <w:r w:rsidRPr="006E6975">
        <w:rPr>
          <w:rFonts w:ascii="Book Antiqua" w:hAnsi="Book Antiqua"/>
          <w:b/>
          <w:bCs/>
        </w:rPr>
        <w:t>Wu Z</w:t>
      </w:r>
      <w:r w:rsidRPr="006E6975">
        <w:rPr>
          <w:rFonts w:ascii="Book Antiqua" w:hAnsi="Book Antiqua"/>
        </w:rPr>
        <w:t xml:space="preserve">, Yang H, Weng D, Ding Y. Rapid recurrence and bilateral lungs, multiple bone metastasis of malignant solitary fibrous tumor of the right occipital lobe: report of a case and review. </w:t>
      </w:r>
      <w:r w:rsidRPr="006E6975">
        <w:rPr>
          <w:rFonts w:ascii="Book Antiqua" w:hAnsi="Book Antiqua"/>
          <w:i/>
          <w:iCs/>
        </w:rPr>
        <w:t>Diagn Pathol</w:t>
      </w:r>
      <w:r w:rsidRPr="006E6975">
        <w:rPr>
          <w:rFonts w:ascii="Book Antiqua" w:hAnsi="Book Antiqua"/>
        </w:rPr>
        <w:t xml:space="preserve"> 2015; </w:t>
      </w:r>
      <w:r w:rsidRPr="006E6975">
        <w:rPr>
          <w:rFonts w:ascii="Book Antiqua" w:hAnsi="Book Antiqua"/>
          <w:b/>
          <w:bCs/>
        </w:rPr>
        <w:t>10</w:t>
      </w:r>
      <w:r w:rsidRPr="006E6975">
        <w:rPr>
          <w:rFonts w:ascii="Book Antiqua" w:hAnsi="Book Antiqua"/>
        </w:rPr>
        <w:t>: 91 [PMID: 26155787 DOI: 10.1186/s13000-015-0318-9]</w:t>
      </w:r>
    </w:p>
    <w:p w14:paraId="0D94D94D"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10 </w:t>
      </w:r>
      <w:r w:rsidRPr="006E6975">
        <w:rPr>
          <w:rFonts w:ascii="Book Antiqua" w:hAnsi="Book Antiqua"/>
          <w:b/>
          <w:bCs/>
        </w:rPr>
        <w:t>Baněčková M</w:t>
      </w:r>
      <w:r w:rsidRPr="006E6975">
        <w:rPr>
          <w:rFonts w:ascii="Book Antiqua" w:hAnsi="Book Antiqua"/>
        </w:rPr>
        <w:t xml:space="preserve">, Martínek P, Skálová A, Mezencev R, Hadravský L, Michal M, Švajdler M. Solitary fibrous tumors of the head and neck region revisited: a single-institution study of 20 cases and review of the literature. </w:t>
      </w:r>
      <w:r w:rsidRPr="006E6975">
        <w:rPr>
          <w:rFonts w:ascii="Book Antiqua" w:hAnsi="Book Antiqua"/>
          <w:i/>
          <w:iCs/>
        </w:rPr>
        <w:t>Hum Pathol</w:t>
      </w:r>
      <w:r w:rsidRPr="006E6975">
        <w:rPr>
          <w:rFonts w:ascii="Book Antiqua" w:hAnsi="Book Antiqua"/>
        </w:rPr>
        <w:t xml:space="preserve"> 2020; </w:t>
      </w:r>
      <w:r w:rsidRPr="006E6975">
        <w:rPr>
          <w:rFonts w:ascii="Book Antiqua" w:hAnsi="Book Antiqua"/>
          <w:b/>
          <w:bCs/>
        </w:rPr>
        <w:t>99</w:t>
      </w:r>
      <w:r w:rsidRPr="006E6975">
        <w:rPr>
          <w:rFonts w:ascii="Book Antiqua" w:hAnsi="Book Antiqua"/>
        </w:rPr>
        <w:t>: 1-12 [PMID: 32217090 DOI: 10.1016/j.humpath.2020.03.007]</w:t>
      </w:r>
    </w:p>
    <w:p w14:paraId="226115F9"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11 </w:t>
      </w:r>
      <w:r w:rsidRPr="006E6975">
        <w:rPr>
          <w:rFonts w:ascii="Book Antiqua" w:hAnsi="Book Antiqua"/>
          <w:b/>
          <w:bCs/>
        </w:rPr>
        <w:t>Friis RB</w:t>
      </w:r>
      <w:r w:rsidRPr="006E6975">
        <w:rPr>
          <w:rFonts w:ascii="Book Antiqua" w:hAnsi="Book Antiqua"/>
        </w:rPr>
        <w:t xml:space="preserve">, Safwat A, Baad-Hansen T, Aggerholm-Pedersen N. Solitary Fibrous Tumour: A Single Institution Retrospective Study and Further Validation of a Prognostic Risk Assessment System. </w:t>
      </w:r>
      <w:r w:rsidRPr="006E6975">
        <w:rPr>
          <w:rFonts w:ascii="Book Antiqua" w:hAnsi="Book Antiqua"/>
          <w:i/>
          <w:iCs/>
        </w:rPr>
        <w:t>Clin Oncol (R Coll Radiol)</w:t>
      </w:r>
      <w:r w:rsidRPr="006E6975">
        <w:rPr>
          <w:rFonts w:ascii="Book Antiqua" w:hAnsi="Book Antiqua"/>
        </w:rPr>
        <w:t xml:space="preserve"> 2018; </w:t>
      </w:r>
      <w:r w:rsidRPr="006E6975">
        <w:rPr>
          <w:rFonts w:ascii="Book Antiqua" w:hAnsi="Book Antiqua"/>
          <w:b/>
          <w:bCs/>
        </w:rPr>
        <w:t>30</w:t>
      </w:r>
      <w:r w:rsidRPr="006E6975">
        <w:rPr>
          <w:rFonts w:ascii="Book Antiqua" w:hAnsi="Book Antiqua"/>
        </w:rPr>
        <w:t>: 798-804 [PMID: 30206022 DOI: 10.1016/j.clon.2018.08.015]</w:t>
      </w:r>
    </w:p>
    <w:p w14:paraId="0194B160"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12 </w:t>
      </w:r>
      <w:r w:rsidRPr="006E6975">
        <w:rPr>
          <w:rFonts w:ascii="Book Antiqua" w:hAnsi="Book Antiqua"/>
          <w:b/>
          <w:bCs/>
        </w:rPr>
        <w:t>Carter BW</w:t>
      </w:r>
      <w:r w:rsidRPr="006E6975">
        <w:rPr>
          <w:rFonts w:ascii="Book Antiqua" w:hAnsi="Book Antiqua"/>
        </w:rPr>
        <w:t xml:space="preserve">, Betancourt SL, Shroff GS, Lichtenberger JP 3rd. MR Imaging of Pleural Neoplasms. </w:t>
      </w:r>
      <w:r w:rsidRPr="006E6975">
        <w:rPr>
          <w:rFonts w:ascii="Book Antiqua" w:hAnsi="Book Antiqua"/>
          <w:i/>
          <w:iCs/>
        </w:rPr>
        <w:t>Top Magn Reson Imaging</w:t>
      </w:r>
      <w:r w:rsidRPr="006E6975">
        <w:rPr>
          <w:rFonts w:ascii="Book Antiqua" w:hAnsi="Book Antiqua"/>
        </w:rPr>
        <w:t xml:space="preserve"> 2018; </w:t>
      </w:r>
      <w:r w:rsidRPr="006E6975">
        <w:rPr>
          <w:rFonts w:ascii="Book Antiqua" w:hAnsi="Book Antiqua"/>
          <w:b/>
          <w:bCs/>
        </w:rPr>
        <w:t>27</w:t>
      </w:r>
      <w:r w:rsidRPr="006E6975">
        <w:rPr>
          <w:rFonts w:ascii="Book Antiqua" w:hAnsi="Book Antiqua"/>
        </w:rPr>
        <w:t>: 73-82 [PMID: 29613962 DOI: 10.1097/RMR.0000000000000162]</w:t>
      </w:r>
    </w:p>
    <w:p w14:paraId="40656107" w14:textId="77777777" w:rsidR="00FA181F" w:rsidRPr="006E6975" w:rsidRDefault="00A3669D" w:rsidP="006E6975">
      <w:pPr>
        <w:spacing w:line="360" w:lineRule="auto"/>
        <w:jc w:val="both"/>
        <w:rPr>
          <w:rFonts w:ascii="Book Antiqua" w:hAnsi="Book Antiqua"/>
          <w:b/>
          <w:bCs/>
        </w:rPr>
      </w:pPr>
      <w:r w:rsidRPr="006E6975">
        <w:rPr>
          <w:rFonts w:ascii="Book Antiqua" w:hAnsi="Book Antiqua"/>
        </w:rPr>
        <w:t>13</w:t>
      </w:r>
      <w:r w:rsidRPr="006E6975">
        <w:rPr>
          <w:rFonts w:ascii="Book Antiqua" w:hAnsi="Book Antiqua"/>
          <w:b/>
          <w:bCs/>
        </w:rPr>
        <w:t xml:space="preserve"> Carneiro SS</w:t>
      </w:r>
      <w:r w:rsidRPr="006E6975">
        <w:rPr>
          <w:rFonts w:ascii="Book Antiqua" w:hAnsi="Book Antiqua"/>
        </w:rPr>
        <w:t xml:space="preserve">, Scheithauer BW, Nascimento AG, Hirose T, Davis DH. Solitary fibrous tumor of the meninges: a lesion distinct from fibrous meningioma. A clinicopathologic and immunohistochemical study. </w:t>
      </w:r>
      <w:r w:rsidRPr="006E6975">
        <w:rPr>
          <w:rFonts w:ascii="Book Antiqua" w:hAnsi="Book Antiqua"/>
          <w:i/>
          <w:iCs/>
        </w:rPr>
        <w:t xml:space="preserve">Am J Clin Pathol </w:t>
      </w:r>
      <w:r w:rsidRPr="006E6975">
        <w:rPr>
          <w:rFonts w:ascii="Book Antiqua" w:hAnsi="Book Antiqua"/>
        </w:rPr>
        <w:t xml:space="preserve">1996; </w:t>
      </w:r>
      <w:r w:rsidRPr="006E6975">
        <w:rPr>
          <w:rFonts w:ascii="Book Antiqua" w:hAnsi="Book Antiqua"/>
          <w:b/>
          <w:bCs/>
        </w:rPr>
        <w:t>106</w:t>
      </w:r>
      <w:r w:rsidRPr="006E6975">
        <w:rPr>
          <w:rFonts w:ascii="Book Antiqua" w:hAnsi="Book Antiqua"/>
        </w:rPr>
        <w:t>: 217-224 [PMID: 8712177 DOI: 10.1093/ajcp/106.2.217]</w:t>
      </w:r>
    </w:p>
    <w:p w14:paraId="0C482962"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14 </w:t>
      </w:r>
      <w:r w:rsidRPr="006E6975">
        <w:rPr>
          <w:rFonts w:ascii="Book Antiqua" w:hAnsi="Book Antiqua"/>
          <w:b/>
          <w:bCs/>
        </w:rPr>
        <w:t>Osuga T</w:t>
      </w:r>
      <w:r w:rsidRPr="006E6975">
        <w:rPr>
          <w:rFonts w:ascii="Book Antiqua" w:hAnsi="Book Antiqua"/>
        </w:rPr>
        <w:t xml:space="preserve">, Hayashi T, Ishiwatari H, Ono M, Yoshida M, Kimura Y, Hasegawa T, Sato Y, Sato T, Miyanishi K, Takimoto R, Kobune M, Kato J. Pancreatic metastasis from a solitary fibrous tumor of the central nervous system. </w:t>
      </w:r>
      <w:r w:rsidRPr="006E6975">
        <w:rPr>
          <w:rFonts w:ascii="Book Antiqua" w:hAnsi="Book Antiqua"/>
          <w:i/>
          <w:iCs/>
        </w:rPr>
        <w:t>JOP</w:t>
      </w:r>
      <w:r w:rsidRPr="006E6975">
        <w:rPr>
          <w:rFonts w:ascii="Book Antiqua" w:hAnsi="Book Antiqua"/>
        </w:rPr>
        <w:t xml:space="preserve"> 2014; </w:t>
      </w:r>
      <w:r w:rsidRPr="006E6975">
        <w:rPr>
          <w:rFonts w:ascii="Book Antiqua" w:hAnsi="Book Antiqua"/>
          <w:b/>
          <w:bCs/>
        </w:rPr>
        <w:t>15</w:t>
      </w:r>
      <w:r w:rsidRPr="006E6975">
        <w:rPr>
          <w:rFonts w:ascii="Book Antiqua" w:hAnsi="Book Antiqua"/>
        </w:rPr>
        <w:t>: 58-62 [PMID: 24413787 DOI: 10.6092/1590-8577/1764]</w:t>
      </w:r>
    </w:p>
    <w:p w14:paraId="47683964"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15 </w:t>
      </w:r>
      <w:r w:rsidRPr="006E6975">
        <w:rPr>
          <w:rFonts w:ascii="Book Antiqua" w:hAnsi="Book Antiqua"/>
          <w:b/>
          <w:bCs/>
        </w:rPr>
        <w:t>Attanoos RL</w:t>
      </w:r>
      <w:r w:rsidRPr="006E6975">
        <w:rPr>
          <w:rFonts w:ascii="Book Antiqua" w:hAnsi="Book Antiqua"/>
        </w:rPr>
        <w:t xml:space="preserve">, Pugh MR. The Diagnosis of Pleural Tumors Other Than Mesothelioma. </w:t>
      </w:r>
      <w:r w:rsidRPr="006E6975">
        <w:rPr>
          <w:rFonts w:ascii="Book Antiqua" w:hAnsi="Book Antiqua"/>
          <w:i/>
          <w:iCs/>
        </w:rPr>
        <w:t>Arch Pathol Lab Med</w:t>
      </w:r>
      <w:r w:rsidRPr="006E6975">
        <w:rPr>
          <w:rFonts w:ascii="Book Antiqua" w:hAnsi="Book Antiqua"/>
        </w:rPr>
        <w:t xml:space="preserve"> 2018; </w:t>
      </w:r>
      <w:r w:rsidRPr="006E6975">
        <w:rPr>
          <w:rFonts w:ascii="Book Antiqua" w:hAnsi="Book Antiqua"/>
          <w:b/>
          <w:bCs/>
        </w:rPr>
        <w:t>142</w:t>
      </w:r>
      <w:r w:rsidRPr="006E6975">
        <w:rPr>
          <w:rFonts w:ascii="Book Antiqua" w:hAnsi="Book Antiqua"/>
        </w:rPr>
        <w:t>: 902-913 [PMID: 30040453 DOI: 10.5858/arpa.2017-0537-RA]</w:t>
      </w:r>
    </w:p>
    <w:p w14:paraId="046E924A"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16 </w:t>
      </w:r>
      <w:r w:rsidRPr="006E6975">
        <w:rPr>
          <w:rFonts w:ascii="Book Antiqua" w:hAnsi="Book Antiqua"/>
          <w:b/>
          <w:bCs/>
        </w:rPr>
        <w:t>Yanik F</w:t>
      </w:r>
      <w:r w:rsidRPr="006E6975">
        <w:rPr>
          <w:rFonts w:ascii="Book Antiqua" w:hAnsi="Book Antiqua"/>
        </w:rPr>
        <w:t xml:space="preserve">, Karamustafaoglu YA, Yoruk Y. Surgical outcomes and clinical courses of solitary fibrous tumors of pleura. </w:t>
      </w:r>
      <w:r w:rsidRPr="006E6975">
        <w:rPr>
          <w:rFonts w:ascii="Book Antiqua" w:hAnsi="Book Antiqua"/>
          <w:i/>
          <w:iCs/>
        </w:rPr>
        <w:t>Niger J Clin Pract</w:t>
      </w:r>
      <w:r w:rsidRPr="006E6975">
        <w:rPr>
          <w:rFonts w:ascii="Book Antiqua" w:hAnsi="Book Antiqua"/>
        </w:rPr>
        <w:t xml:space="preserve"> 2019; </w:t>
      </w:r>
      <w:r w:rsidRPr="006E6975">
        <w:rPr>
          <w:rFonts w:ascii="Book Antiqua" w:hAnsi="Book Antiqua"/>
          <w:b/>
          <w:bCs/>
        </w:rPr>
        <w:t>22</w:t>
      </w:r>
      <w:r w:rsidRPr="006E6975">
        <w:rPr>
          <w:rFonts w:ascii="Book Antiqua" w:hAnsi="Book Antiqua"/>
        </w:rPr>
        <w:t>: 1412-1416 [PMID: 31607732 DOI: 10.4103/njcp.njcp_213_18]</w:t>
      </w:r>
    </w:p>
    <w:p w14:paraId="20EED602"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17 </w:t>
      </w:r>
      <w:r w:rsidRPr="006E6975">
        <w:rPr>
          <w:rFonts w:ascii="Book Antiqua" w:hAnsi="Book Antiqua"/>
          <w:b/>
          <w:bCs/>
        </w:rPr>
        <w:t>DeVito N</w:t>
      </w:r>
      <w:r w:rsidRPr="006E6975">
        <w:rPr>
          <w:rFonts w:ascii="Book Antiqua" w:hAnsi="Book Antiqua"/>
        </w:rPr>
        <w:t xml:space="preserve">, Henderson E, Han G, Reed D, Bui MM, Lavey R, Robinson L, Zager JS, Gonzalez RJ, Sondak VK, Letson GD, Conley A. Clinical Characteristics and Outcomes for Solitary Fibrous Tumor (SFT): A Single Center Experience. </w:t>
      </w:r>
      <w:r w:rsidRPr="006E6975">
        <w:rPr>
          <w:rFonts w:ascii="Book Antiqua" w:hAnsi="Book Antiqua"/>
          <w:i/>
          <w:iCs/>
        </w:rPr>
        <w:t>PLoS One</w:t>
      </w:r>
      <w:r w:rsidRPr="006E6975">
        <w:rPr>
          <w:rFonts w:ascii="Book Antiqua" w:hAnsi="Book Antiqua"/>
        </w:rPr>
        <w:t xml:space="preserve"> 2015; </w:t>
      </w:r>
      <w:r w:rsidRPr="006E6975">
        <w:rPr>
          <w:rFonts w:ascii="Book Antiqua" w:hAnsi="Book Antiqua"/>
          <w:b/>
          <w:bCs/>
        </w:rPr>
        <w:t>10</w:t>
      </w:r>
      <w:r w:rsidRPr="006E6975">
        <w:rPr>
          <w:rFonts w:ascii="Book Antiqua" w:hAnsi="Book Antiqua"/>
        </w:rPr>
        <w:t>: e0140362 [PMID: 26469269 DOI: 10.1371/journal.pone.0140362]</w:t>
      </w:r>
    </w:p>
    <w:p w14:paraId="0594DC41"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18 </w:t>
      </w:r>
      <w:r w:rsidRPr="006E6975">
        <w:rPr>
          <w:rFonts w:ascii="Book Antiqua" w:hAnsi="Book Antiqua"/>
          <w:b/>
          <w:bCs/>
        </w:rPr>
        <w:t>Keraliya AR</w:t>
      </w:r>
      <w:r w:rsidRPr="006E6975">
        <w:rPr>
          <w:rFonts w:ascii="Book Antiqua" w:hAnsi="Book Antiqua"/>
        </w:rPr>
        <w:t xml:space="preserve">, Tirumani SH, Shinagare AB, Zaheer A, Ramaiya NH. Solitary Fibrous Tumors: 2016 Imaging Update. </w:t>
      </w:r>
      <w:r w:rsidRPr="006E6975">
        <w:rPr>
          <w:rFonts w:ascii="Book Antiqua" w:hAnsi="Book Antiqua"/>
          <w:i/>
          <w:iCs/>
        </w:rPr>
        <w:t>Radiol Clin North Am</w:t>
      </w:r>
      <w:r w:rsidRPr="006E6975">
        <w:rPr>
          <w:rFonts w:ascii="Book Antiqua" w:hAnsi="Book Antiqua"/>
        </w:rPr>
        <w:t xml:space="preserve"> 2016; </w:t>
      </w:r>
      <w:r w:rsidRPr="006E6975">
        <w:rPr>
          <w:rFonts w:ascii="Book Antiqua" w:hAnsi="Book Antiqua"/>
          <w:b/>
          <w:bCs/>
        </w:rPr>
        <w:t>54</w:t>
      </w:r>
      <w:r w:rsidRPr="006E6975">
        <w:rPr>
          <w:rFonts w:ascii="Book Antiqua" w:hAnsi="Book Antiqua"/>
        </w:rPr>
        <w:t>: 565-579 [PMID: 27153789 DOI: 10.1016/j.rcl.2015.12.006]</w:t>
      </w:r>
    </w:p>
    <w:p w14:paraId="3AD24EB4"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19 </w:t>
      </w:r>
      <w:r w:rsidRPr="006E6975">
        <w:rPr>
          <w:rFonts w:ascii="Book Antiqua" w:hAnsi="Book Antiqua"/>
          <w:b/>
          <w:bCs/>
        </w:rPr>
        <w:t>Ratneswaren T</w:t>
      </w:r>
      <w:r w:rsidRPr="006E6975">
        <w:rPr>
          <w:rFonts w:ascii="Book Antiqua" w:hAnsi="Book Antiqua"/>
        </w:rPr>
        <w:t xml:space="preserve">, Hogg FRA, Gallagher MJ, Ashkan K. Surveillance for metastatic hemangiopericytoma-solitary fibrous tumors-systematic literature review on incidence, predictors and diagnosis of extra-cranial disease. </w:t>
      </w:r>
      <w:r w:rsidRPr="006E6975">
        <w:rPr>
          <w:rFonts w:ascii="Book Antiqua" w:hAnsi="Book Antiqua"/>
          <w:i/>
          <w:iCs/>
        </w:rPr>
        <w:t>J Neurooncol</w:t>
      </w:r>
      <w:r w:rsidRPr="006E6975">
        <w:rPr>
          <w:rFonts w:ascii="Book Antiqua" w:hAnsi="Book Antiqua"/>
        </w:rPr>
        <w:t xml:space="preserve"> 2018; </w:t>
      </w:r>
      <w:r w:rsidRPr="006E6975">
        <w:rPr>
          <w:rFonts w:ascii="Book Antiqua" w:hAnsi="Book Antiqua"/>
          <w:b/>
          <w:bCs/>
        </w:rPr>
        <w:t>138</w:t>
      </w:r>
      <w:r w:rsidRPr="006E6975">
        <w:rPr>
          <w:rFonts w:ascii="Book Antiqua" w:hAnsi="Book Antiqua"/>
        </w:rPr>
        <w:t>: 447-467 [PMID: 29551003 DOI: 10.1007/s11060-018-2836-2]</w:t>
      </w:r>
    </w:p>
    <w:p w14:paraId="312225DC"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20 </w:t>
      </w:r>
      <w:r w:rsidRPr="006E6975">
        <w:rPr>
          <w:rFonts w:ascii="Book Antiqua" w:hAnsi="Book Antiqua"/>
          <w:b/>
          <w:bCs/>
        </w:rPr>
        <w:t>Yamada Y</w:t>
      </w:r>
      <w:r w:rsidRPr="006E6975">
        <w:rPr>
          <w:rFonts w:ascii="Book Antiqua" w:hAnsi="Book Antiqua"/>
        </w:rPr>
        <w:t xml:space="preserve">, Kohashi K, Kinoshita I, Yamamoto H, Iwasaki T, Yoshimoto M, Ishihara S, Toda Y, Itou Y, Koga Y, Hashisako M, Nozaki Y, Kiyozawa D, Kitahara D, Inoue T, Mukai M, Honda Y, Toyokawa G, Tsuchihashi K, Matsushita Y, Fushimi F, Taguchi K, Tamiya S, Oshiro Y, Furue M, Nakashima Y, Suzuki S, Iwaki T, Oda Y. Clinicopathological review of solitary fibrous tumors: dedifferentiation is a major cause of patient death. </w:t>
      </w:r>
      <w:r w:rsidRPr="006E6975">
        <w:rPr>
          <w:rFonts w:ascii="Book Antiqua" w:hAnsi="Book Antiqua"/>
          <w:i/>
          <w:iCs/>
        </w:rPr>
        <w:t>Virchows Arch</w:t>
      </w:r>
      <w:r w:rsidRPr="006E6975">
        <w:rPr>
          <w:rFonts w:ascii="Book Antiqua" w:hAnsi="Book Antiqua"/>
        </w:rPr>
        <w:t xml:space="preserve"> 2019; </w:t>
      </w:r>
      <w:r w:rsidRPr="006E6975">
        <w:rPr>
          <w:rFonts w:ascii="Book Antiqua" w:hAnsi="Book Antiqua"/>
          <w:b/>
          <w:bCs/>
        </w:rPr>
        <w:t>475</w:t>
      </w:r>
      <w:r w:rsidRPr="006E6975">
        <w:rPr>
          <w:rFonts w:ascii="Book Antiqua" w:hAnsi="Book Antiqua"/>
        </w:rPr>
        <w:t>: 467-477 [PMID: 31392468 DOI: 10.1007/s00428-019-02622-9]</w:t>
      </w:r>
    </w:p>
    <w:p w14:paraId="061333EE"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21 </w:t>
      </w:r>
      <w:r w:rsidRPr="006E6975">
        <w:rPr>
          <w:rFonts w:ascii="Book Antiqua" w:hAnsi="Book Antiqua"/>
          <w:b/>
          <w:bCs/>
        </w:rPr>
        <w:t>Tani E</w:t>
      </w:r>
      <w:r w:rsidRPr="006E6975">
        <w:rPr>
          <w:rFonts w:ascii="Book Antiqua" w:hAnsi="Book Antiqua"/>
        </w:rPr>
        <w:t xml:space="preserve">, Wejde J, Åström K, Wingmo IL, Larsson O, Haglund F. FNA cytology of solitary fibrous tumors and the diagnostic value of STAT6 immunocytochemistry. </w:t>
      </w:r>
      <w:r w:rsidRPr="006E6975">
        <w:rPr>
          <w:rFonts w:ascii="Book Antiqua" w:hAnsi="Book Antiqua"/>
          <w:i/>
          <w:iCs/>
        </w:rPr>
        <w:t>Cancer Cytopathol</w:t>
      </w:r>
      <w:r w:rsidRPr="006E6975">
        <w:rPr>
          <w:rFonts w:ascii="Book Antiqua" w:hAnsi="Book Antiqua"/>
        </w:rPr>
        <w:t xml:space="preserve"> 2018; </w:t>
      </w:r>
      <w:r w:rsidRPr="006E6975">
        <w:rPr>
          <w:rFonts w:ascii="Book Antiqua" w:hAnsi="Book Antiqua"/>
          <w:b/>
          <w:bCs/>
        </w:rPr>
        <w:t>126</w:t>
      </w:r>
      <w:r w:rsidRPr="006E6975">
        <w:rPr>
          <w:rFonts w:ascii="Book Antiqua" w:hAnsi="Book Antiqua"/>
        </w:rPr>
        <w:t>: 36-43 [PMID: 28914981 DOI: 10.1002/cncy.21923]</w:t>
      </w:r>
    </w:p>
    <w:p w14:paraId="29BBDE1F"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22 </w:t>
      </w:r>
      <w:r w:rsidRPr="006E6975">
        <w:rPr>
          <w:rFonts w:ascii="Book Antiqua" w:hAnsi="Book Antiqua"/>
          <w:b/>
          <w:bCs/>
        </w:rPr>
        <w:t>Lin Y</w:t>
      </w:r>
      <w:r w:rsidRPr="006E6975">
        <w:rPr>
          <w:rFonts w:ascii="Book Antiqua" w:hAnsi="Book Antiqua"/>
        </w:rPr>
        <w:t xml:space="preserve">, Seger N, Tsagkozis P, Hesla AC, Ghaderi M, Chen Y, Ehnman M, Warsito D, Wejde J, Larsson O, Haglund F. Telomerase promoter mutations and copy number alterations in solitary fibrous tumours. </w:t>
      </w:r>
      <w:r w:rsidRPr="006E6975">
        <w:rPr>
          <w:rFonts w:ascii="Book Antiqua" w:hAnsi="Book Antiqua"/>
          <w:i/>
          <w:iCs/>
        </w:rPr>
        <w:t>J Clin Pathol</w:t>
      </w:r>
      <w:r w:rsidRPr="006E6975">
        <w:rPr>
          <w:rFonts w:ascii="Book Antiqua" w:hAnsi="Book Antiqua"/>
        </w:rPr>
        <w:t xml:space="preserve"> 2018; </w:t>
      </w:r>
      <w:r w:rsidRPr="006E6975">
        <w:rPr>
          <w:rFonts w:ascii="Book Antiqua" w:hAnsi="Book Antiqua"/>
          <w:b/>
          <w:bCs/>
        </w:rPr>
        <w:t>71</w:t>
      </w:r>
      <w:r w:rsidRPr="006E6975">
        <w:rPr>
          <w:rFonts w:ascii="Book Antiqua" w:hAnsi="Book Antiqua"/>
        </w:rPr>
        <w:t>: 832-839 [PMID: 29703757 DOI: 10.1136/jclinpath-2018-205132]</w:t>
      </w:r>
    </w:p>
    <w:p w14:paraId="274508A1"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23 </w:t>
      </w:r>
      <w:r w:rsidRPr="006E6975">
        <w:rPr>
          <w:rFonts w:ascii="Book Antiqua" w:hAnsi="Book Antiqua"/>
          <w:b/>
          <w:bCs/>
        </w:rPr>
        <w:t>Demicco EG</w:t>
      </w:r>
      <w:r w:rsidRPr="006E6975">
        <w:rPr>
          <w:rFonts w:ascii="Book Antiqua" w:hAnsi="Book Antiqua"/>
        </w:rPr>
        <w:t xml:space="preserve">, Wagner MJ, Maki RG, Gupta V, Iofin I, Lazar AJ, Wang WL. Risk assessment in solitary fibrous tumors: validation and refinement of a risk stratification model. </w:t>
      </w:r>
      <w:r w:rsidRPr="006E6975">
        <w:rPr>
          <w:rFonts w:ascii="Book Antiqua" w:hAnsi="Book Antiqua"/>
          <w:i/>
          <w:iCs/>
        </w:rPr>
        <w:t>Mod Pathol</w:t>
      </w:r>
      <w:r w:rsidRPr="006E6975">
        <w:rPr>
          <w:rFonts w:ascii="Book Antiqua" w:hAnsi="Book Antiqua"/>
        </w:rPr>
        <w:t xml:space="preserve"> 2017; </w:t>
      </w:r>
      <w:r w:rsidRPr="006E6975">
        <w:rPr>
          <w:rFonts w:ascii="Book Antiqua" w:hAnsi="Book Antiqua"/>
          <w:b/>
          <w:bCs/>
        </w:rPr>
        <w:t>30</w:t>
      </w:r>
      <w:r w:rsidRPr="006E6975">
        <w:rPr>
          <w:rFonts w:ascii="Book Antiqua" w:hAnsi="Book Antiqua"/>
        </w:rPr>
        <w:t>: 1433-1442 [PMID: 28731041 DOI: 10.1038/modpathol.2017.54]</w:t>
      </w:r>
    </w:p>
    <w:p w14:paraId="1E68D943"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24 </w:t>
      </w:r>
      <w:r w:rsidRPr="006E6975">
        <w:rPr>
          <w:rFonts w:ascii="Book Antiqua" w:hAnsi="Book Antiqua"/>
          <w:b/>
          <w:bCs/>
        </w:rPr>
        <w:t>Park HK</w:t>
      </w:r>
      <w:r w:rsidRPr="006E6975">
        <w:rPr>
          <w:rFonts w:ascii="Book Antiqua" w:hAnsi="Book Antiqua"/>
        </w:rPr>
        <w:t xml:space="preserve">, Yu DB, Sung M, Oh E, Kim M, Song JY, Lee MS, Jung K, Noh KW, An S, Song K, Nam DH, Kim YJ, Choi YL. Molecular changes in solitary fibrous tumor progression. </w:t>
      </w:r>
      <w:r w:rsidRPr="006E6975">
        <w:rPr>
          <w:rFonts w:ascii="Book Antiqua" w:hAnsi="Book Antiqua"/>
          <w:i/>
          <w:iCs/>
        </w:rPr>
        <w:t>J Mol Med (Berl)</w:t>
      </w:r>
      <w:r w:rsidRPr="006E6975">
        <w:rPr>
          <w:rFonts w:ascii="Book Antiqua" w:hAnsi="Book Antiqua"/>
        </w:rPr>
        <w:t xml:space="preserve"> 2019; </w:t>
      </w:r>
      <w:r w:rsidRPr="006E6975">
        <w:rPr>
          <w:rFonts w:ascii="Book Antiqua" w:hAnsi="Book Antiqua"/>
          <w:b/>
          <w:bCs/>
        </w:rPr>
        <w:t>97</w:t>
      </w:r>
      <w:r w:rsidRPr="006E6975">
        <w:rPr>
          <w:rFonts w:ascii="Book Antiqua" w:hAnsi="Book Antiqua"/>
        </w:rPr>
        <w:t>: 1413-1425 [PMID: 31321477 DOI: 10.1007/s00109-019-01815-8]</w:t>
      </w:r>
    </w:p>
    <w:p w14:paraId="3763B1D6"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25 </w:t>
      </w:r>
      <w:r w:rsidRPr="006E6975">
        <w:rPr>
          <w:rFonts w:ascii="Book Antiqua" w:hAnsi="Book Antiqua"/>
          <w:b/>
          <w:bCs/>
        </w:rPr>
        <w:t>Schöffski P</w:t>
      </w:r>
      <w:r w:rsidRPr="006E6975">
        <w:rPr>
          <w:rFonts w:ascii="Book Antiqua" w:hAnsi="Book Antiqua"/>
        </w:rPr>
        <w:t xml:space="preserve">, Timmermans I, Hompes D, Stas M, Sinnaeve F, De Leyn P, Coosemans W, Van Raemdonck D, Hauben E, Sciot R, Clement P, Bechter O, Beuselinck B, Woei-A-Jin FJSH, Dumez H, Nafteux P, Wessels T. Clinical Presentation, Natural History, and Therapeutic Approach in Patients with Solitary Fibrous Tumor: A Retrospective Analysis. </w:t>
      </w:r>
      <w:r w:rsidRPr="006E6975">
        <w:rPr>
          <w:rFonts w:ascii="Book Antiqua" w:hAnsi="Book Antiqua"/>
          <w:i/>
          <w:iCs/>
        </w:rPr>
        <w:t>Sarcoma</w:t>
      </w:r>
      <w:r w:rsidRPr="006E6975">
        <w:rPr>
          <w:rFonts w:ascii="Book Antiqua" w:hAnsi="Book Antiqua"/>
        </w:rPr>
        <w:t xml:space="preserve"> 2020; </w:t>
      </w:r>
      <w:r w:rsidRPr="006E6975">
        <w:rPr>
          <w:rFonts w:ascii="Book Antiqua" w:hAnsi="Book Antiqua"/>
          <w:b/>
          <w:bCs/>
        </w:rPr>
        <w:t>2020</w:t>
      </w:r>
      <w:r w:rsidRPr="006E6975">
        <w:rPr>
          <w:rFonts w:ascii="Book Antiqua" w:hAnsi="Book Antiqua"/>
        </w:rPr>
        <w:t>: 1385978 [PMID: 32300277 DOI: 10.1155/2020/1385978]</w:t>
      </w:r>
    </w:p>
    <w:p w14:paraId="06AA380F"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26 </w:t>
      </w:r>
      <w:r w:rsidRPr="006E6975">
        <w:rPr>
          <w:rFonts w:ascii="Book Antiqua" w:hAnsi="Book Antiqua"/>
          <w:b/>
          <w:bCs/>
        </w:rPr>
        <w:t>Bishop AJ</w:t>
      </w:r>
      <w:r w:rsidRPr="006E6975">
        <w:rPr>
          <w:rFonts w:ascii="Book Antiqua" w:hAnsi="Book Antiqua"/>
        </w:rPr>
        <w:t xml:space="preserve">, Zagars GK, Demicco EG, Wang WL, Feig BW, Guadagnolo BA. Soft Tissue Solitary Fibrous Tumor: Combined Surgery and Radiation Therapy Results in Excellent Local Control. </w:t>
      </w:r>
      <w:r w:rsidRPr="006E6975">
        <w:rPr>
          <w:rFonts w:ascii="Book Antiqua" w:hAnsi="Book Antiqua"/>
          <w:i/>
          <w:iCs/>
        </w:rPr>
        <w:t>Am J Clin Oncol</w:t>
      </w:r>
      <w:r w:rsidRPr="006E6975">
        <w:rPr>
          <w:rFonts w:ascii="Book Antiqua" w:hAnsi="Book Antiqua"/>
        </w:rPr>
        <w:t xml:space="preserve"> 2018; </w:t>
      </w:r>
      <w:r w:rsidRPr="006E6975">
        <w:rPr>
          <w:rFonts w:ascii="Book Antiqua" w:hAnsi="Book Antiqua"/>
          <w:b/>
          <w:bCs/>
        </w:rPr>
        <w:t>41</w:t>
      </w:r>
      <w:r w:rsidRPr="006E6975">
        <w:rPr>
          <w:rFonts w:ascii="Book Antiqua" w:hAnsi="Book Antiqua"/>
        </w:rPr>
        <w:t>: 81-85 [PMID: 26270446 DOI: 10.1097/COC.0000000000000218]</w:t>
      </w:r>
    </w:p>
    <w:p w14:paraId="4B355EB5"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27 </w:t>
      </w:r>
      <w:r w:rsidRPr="006E6975">
        <w:rPr>
          <w:rFonts w:ascii="Book Antiqua" w:hAnsi="Book Antiqua"/>
          <w:b/>
          <w:bCs/>
        </w:rPr>
        <w:t>Bailly C</w:t>
      </w:r>
      <w:r w:rsidRPr="006E6975">
        <w:rPr>
          <w:rFonts w:ascii="Book Antiqua" w:hAnsi="Book Antiqua"/>
        </w:rPr>
        <w:t xml:space="preserve">, Bichali Alroumani M, Douane F, Ansquer C, Drui D. Metastatic Solitary Fibrous Tumor With Doege-Potter Syndrome: Hypoglycemia Treated by 90Y Radioembolization. </w:t>
      </w:r>
      <w:r w:rsidRPr="006E6975">
        <w:rPr>
          <w:rFonts w:ascii="Book Antiqua" w:hAnsi="Book Antiqua"/>
          <w:i/>
          <w:iCs/>
        </w:rPr>
        <w:t>Clin Nucl Med</w:t>
      </w:r>
      <w:r w:rsidRPr="006E6975">
        <w:rPr>
          <w:rFonts w:ascii="Book Antiqua" w:hAnsi="Book Antiqua"/>
        </w:rPr>
        <w:t xml:space="preserve"> 2018; </w:t>
      </w:r>
      <w:r w:rsidRPr="006E6975">
        <w:rPr>
          <w:rFonts w:ascii="Book Antiqua" w:hAnsi="Book Antiqua"/>
          <w:b/>
          <w:bCs/>
        </w:rPr>
        <w:t>43</w:t>
      </w:r>
      <w:r w:rsidRPr="006E6975">
        <w:rPr>
          <w:rFonts w:ascii="Book Antiqua" w:hAnsi="Book Antiqua"/>
        </w:rPr>
        <w:t>: e93-e95 [PMID: 29293132 DOI: 10.1097/RLU.0000000000001944]</w:t>
      </w:r>
    </w:p>
    <w:p w14:paraId="597F15A0"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28 </w:t>
      </w:r>
      <w:r w:rsidRPr="006E6975">
        <w:rPr>
          <w:rFonts w:ascii="Book Antiqua" w:hAnsi="Book Antiqua"/>
          <w:b/>
          <w:bCs/>
        </w:rPr>
        <w:t>Haas RL</w:t>
      </w:r>
      <w:r w:rsidRPr="006E6975">
        <w:rPr>
          <w:rFonts w:ascii="Book Antiqua" w:hAnsi="Book Antiqua"/>
        </w:rPr>
        <w:t xml:space="preserve">, Walraven I, Lecointe-Artzner E, Scholten AN, van Houdt WJ, Griffin AM, Ferguson PC, Miah AB, Zaidi S, DeLaney TF, Chen YL, Spalek M, Krol SDG, Moeri-Schimmel RG, van de Sande MAJ, Sangalli C, Stacchiotti S. Radiation Therapy as Sole Management for Solitary Fibrous Tumors (SFT): A Retrospective Study From the Global SFT Initiative in Collaboration With the Sarcoma Patients EuroNet. </w:t>
      </w:r>
      <w:r w:rsidRPr="006E6975">
        <w:rPr>
          <w:rFonts w:ascii="Book Antiqua" w:hAnsi="Book Antiqua"/>
          <w:i/>
          <w:iCs/>
        </w:rPr>
        <w:t>Int J Radiat Oncol Biol Phys</w:t>
      </w:r>
      <w:r w:rsidRPr="006E6975">
        <w:rPr>
          <w:rFonts w:ascii="Book Antiqua" w:hAnsi="Book Antiqua"/>
        </w:rPr>
        <w:t xml:space="preserve"> 2018; </w:t>
      </w:r>
      <w:r w:rsidRPr="006E6975">
        <w:rPr>
          <w:rFonts w:ascii="Book Antiqua" w:hAnsi="Book Antiqua"/>
          <w:b/>
          <w:bCs/>
        </w:rPr>
        <w:t>101</w:t>
      </w:r>
      <w:r w:rsidRPr="006E6975">
        <w:rPr>
          <w:rFonts w:ascii="Book Antiqua" w:hAnsi="Book Antiqua"/>
        </w:rPr>
        <w:t>: 1226-1233 [PMID: 29859795 DOI: 10.1016/j.ijrobp.2018.04.024]</w:t>
      </w:r>
    </w:p>
    <w:p w14:paraId="7B6D8D16"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29 </w:t>
      </w:r>
      <w:r w:rsidRPr="006E6975">
        <w:rPr>
          <w:rFonts w:ascii="Book Antiqua" w:hAnsi="Book Antiqua"/>
          <w:b/>
          <w:bCs/>
        </w:rPr>
        <w:t>Martin-Broto J</w:t>
      </w:r>
      <w:r w:rsidRPr="006E6975">
        <w:rPr>
          <w:rFonts w:ascii="Book Antiqua" w:hAnsi="Book Antiqua"/>
        </w:rPr>
        <w:t xml:space="preserve">, Stacchiotti S, Lopez-Pousa A, Redondo A, Bernabeu D, de Alava E, Casali PG, Italiano A, Gutierrez A, Moura DS, Peña-Chilet M, Diaz-Martin J, Biscuola M, Taron M, Collini P, Ranchere-Vince D, Garcia Del Muro X, Grignani G, Dumont S, Martinez-Trufero J, Palmerini E, Hindi N, Sebio A, Dopazo J, Dei Tos AP, LeCesne A, Blay JY, Cruz J. Pazopanib for treatment of advanced malignant and dedifferentiated solitary fibrous tumour: a multicentre, single-arm, phase 2 trial. </w:t>
      </w:r>
      <w:r w:rsidRPr="006E6975">
        <w:rPr>
          <w:rFonts w:ascii="Book Antiqua" w:hAnsi="Book Antiqua"/>
          <w:i/>
          <w:iCs/>
        </w:rPr>
        <w:t>Lancet Oncol</w:t>
      </w:r>
      <w:r w:rsidRPr="006E6975">
        <w:rPr>
          <w:rFonts w:ascii="Book Antiqua" w:hAnsi="Book Antiqua"/>
        </w:rPr>
        <w:t xml:space="preserve"> 2019; </w:t>
      </w:r>
      <w:r w:rsidRPr="006E6975">
        <w:rPr>
          <w:rFonts w:ascii="Book Antiqua" w:hAnsi="Book Antiqua"/>
          <w:b/>
          <w:bCs/>
        </w:rPr>
        <w:t>20</w:t>
      </w:r>
      <w:r w:rsidRPr="006E6975">
        <w:rPr>
          <w:rFonts w:ascii="Book Antiqua" w:hAnsi="Book Antiqua"/>
        </w:rPr>
        <w:t>: 134-144 [PMID: 30578023 DOI: 10.1016/S1470-2045(18)30676-4]</w:t>
      </w:r>
    </w:p>
    <w:p w14:paraId="34CA8FC3"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30 </w:t>
      </w:r>
      <w:r w:rsidRPr="006E6975">
        <w:rPr>
          <w:rFonts w:ascii="Book Antiqua" w:hAnsi="Book Antiqua"/>
          <w:b/>
          <w:bCs/>
        </w:rPr>
        <w:t>Ebata T</w:t>
      </w:r>
      <w:r w:rsidRPr="006E6975">
        <w:rPr>
          <w:rFonts w:ascii="Book Antiqua" w:hAnsi="Book Antiqua"/>
        </w:rPr>
        <w:t xml:space="preserve">, Shimoi T, Bun S, Miyake M, Yoshida A, Shimomura A, Noguchi E, Yonemori K, Shimizu C, Fujiwara Y, Narita Y, Tamura K. Efficacy and Safety of Pazopanib for Recurrent or Metastatic Solitary Fibrous Tumor. </w:t>
      </w:r>
      <w:r w:rsidRPr="006E6975">
        <w:rPr>
          <w:rFonts w:ascii="Book Antiqua" w:hAnsi="Book Antiqua"/>
          <w:i/>
          <w:iCs/>
        </w:rPr>
        <w:t>Oncology</w:t>
      </w:r>
      <w:r w:rsidRPr="006E6975">
        <w:rPr>
          <w:rFonts w:ascii="Book Antiqua" w:hAnsi="Book Antiqua"/>
        </w:rPr>
        <w:t xml:space="preserve"> 2018; </w:t>
      </w:r>
      <w:r w:rsidRPr="006E6975">
        <w:rPr>
          <w:rFonts w:ascii="Book Antiqua" w:hAnsi="Book Antiqua"/>
          <w:b/>
          <w:bCs/>
        </w:rPr>
        <w:t>94</w:t>
      </w:r>
      <w:r w:rsidRPr="006E6975">
        <w:rPr>
          <w:rFonts w:ascii="Book Antiqua" w:hAnsi="Book Antiqua"/>
        </w:rPr>
        <w:t>: 340-344 [PMID: 29614488 DOI: 10.1159/000486623]</w:t>
      </w:r>
    </w:p>
    <w:p w14:paraId="59F9EE9A"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31 </w:t>
      </w:r>
      <w:r w:rsidRPr="006E6975">
        <w:rPr>
          <w:rFonts w:ascii="Book Antiqua" w:hAnsi="Book Antiqua"/>
          <w:b/>
          <w:bCs/>
        </w:rPr>
        <w:t>Demicco EG</w:t>
      </w:r>
      <w:r w:rsidRPr="006E6975">
        <w:rPr>
          <w:rFonts w:ascii="Book Antiqua" w:hAnsi="Book Antiqua"/>
        </w:rPr>
        <w:t xml:space="preserve">, Griffin AM, Gladdy RA, Dickson BC, Ferguson PC, Swallow CJ, Wunder JS, Wang WL. Comparison of published risk models for prediction of outcome in patients with extrameningeal solitary fibrous tumour. </w:t>
      </w:r>
      <w:r w:rsidRPr="006E6975">
        <w:rPr>
          <w:rFonts w:ascii="Book Antiqua" w:hAnsi="Book Antiqua"/>
          <w:i/>
          <w:iCs/>
        </w:rPr>
        <w:t>Histopathology</w:t>
      </w:r>
      <w:r w:rsidRPr="006E6975">
        <w:rPr>
          <w:rFonts w:ascii="Book Antiqua" w:hAnsi="Book Antiqua"/>
        </w:rPr>
        <w:t xml:space="preserve"> 2019; </w:t>
      </w:r>
      <w:r w:rsidRPr="006E6975">
        <w:rPr>
          <w:rFonts w:ascii="Book Antiqua" w:hAnsi="Book Antiqua"/>
          <w:b/>
          <w:bCs/>
        </w:rPr>
        <w:t>75</w:t>
      </w:r>
      <w:r w:rsidRPr="006E6975">
        <w:rPr>
          <w:rFonts w:ascii="Book Antiqua" w:hAnsi="Book Antiqua"/>
        </w:rPr>
        <w:t>: 723-737 [PMID: 31206727 DOI: 10.1111/his.13940]</w:t>
      </w:r>
    </w:p>
    <w:p w14:paraId="64435DB7"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32 </w:t>
      </w:r>
      <w:r w:rsidRPr="006E6975">
        <w:rPr>
          <w:rFonts w:ascii="Book Antiqua" w:hAnsi="Book Antiqua"/>
          <w:b/>
          <w:bCs/>
        </w:rPr>
        <w:t>Lv G</w:t>
      </w:r>
      <w:r w:rsidRPr="006E6975">
        <w:rPr>
          <w:rFonts w:ascii="Book Antiqua" w:hAnsi="Book Antiqua"/>
        </w:rPr>
        <w:t xml:space="preserve">, Wang K, Li M, Li Z, Zheng A, Pang Q. Recurrence of multiple metastases after surgical removal of a primary malignant solitary fibrous tumor from the main bronchus: A case report. </w:t>
      </w:r>
      <w:r w:rsidRPr="006E6975">
        <w:rPr>
          <w:rFonts w:ascii="Book Antiqua" w:hAnsi="Book Antiqua"/>
          <w:i/>
          <w:iCs/>
        </w:rPr>
        <w:t>Medicine (Baltimore)</w:t>
      </w:r>
      <w:r w:rsidRPr="006E6975">
        <w:rPr>
          <w:rFonts w:ascii="Book Antiqua" w:hAnsi="Book Antiqua"/>
        </w:rPr>
        <w:t xml:space="preserve"> 2018; </w:t>
      </w:r>
      <w:r w:rsidRPr="006E6975">
        <w:rPr>
          <w:rFonts w:ascii="Book Antiqua" w:hAnsi="Book Antiqua"/>
          <w:b/>
          <w:bCs/>
        </w:rPr>
        <w:t>97</w:t>
      </w:r>
      <w:r w:rsidRPr="006E6975">
        <w:rPr>
          <w:rFonts w:ascii="Book Antiqua" w:hAnsi="Book Antiqua"/>
        </w:rPr>
        <w:t>: e13560 [PMID: 30558017 DOI: 10.1097/MD.0000000000013560]</w:t>
      </w:r>
    </w:p>
    <w:p w14:paraId="076F122C"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33 </w:t>
      </w:r>
      <w:r w:rsidRPr="006E6975">
        <w:rPr>
          <w:rFonts w:ascii="Book Antiqua" w:hAnsi="Book Antiqua"/>
          <w:b/>
          <w:bCs/>
        </w:rPr>
        <w:t>O'Neill AC</w:t>
      </w:r>
      <w:r w:rsidRPr="006E6975">
        <w:rPr>
          <w:rFonts w:ascii="Book Antiqua" w:hAnsi="Book Antiqua"/>
        </w:rPr>
        <w:t xml:space="preserve">, Tirumani SH, Do WS, Keraliya AR, Hornick JL, Shinagare AB, Ramaiya NH. Metastatic Patterns of Solitary Fibrous Tumors: A Single-Institution Experience. </w:t>
      </w:r>
      <w:r w:rsidRPr="006E6975">
        <w:rPr>
          <w:rFonts w:ascii="Book Antiqua" w:hAnsi="Book Antiqua"/>
          <w:i/>
          <w:iCs/>
        </w:rPr>
        <w:t>AJR Am J Roentgenol</w:t>
      </w:r>
      <w:r w:rsidRPr="006E6975">
        <w:rPr>
          <w:rFonts w:ascii="Book Antiqua" w:hAnsi="Book Antiqua"/>
        </w:rPr>
        <w:t xml:space="preserve"> 2017; </w:t>
      </w:r>
      <w:r w:rsidRPr="006E6975">
        <w:rPr>
          <w:rFonts w:ascii="Book Antiqua" w:hAnsi="Book Antiqua"/>
          <w:b/>
          <w:bCs/>
        </w:rPr>
        <w:t>208</w:t>
      </w:r>
      <w:r w:rsidRPr="006E6975">
        <w:rPr>
          <w:rFonts w:ascii="Book Antiqua" w:hAnsi="Book Antiqua"/>
        </w:rPr>
        <w:t>: 2-9 [PMID: 27762594 DOI: 10.2214/AJR.16.16662]</w:t>
      </w:r>
    </w:p>
    <w:p w14:paraId="4B18C98C"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34 </w:t>
      </w:r>
      <w:r w:rsidRPr="006E6975">
        <w:rPr>
          <w:rFonts w:ascii="Book Antiqua" w:hAnsi="Book Antiqua"/>
          <w:b/>
          <w:bCs/>
        </w:rPr>
        <w:t>Gholami S</w:t>
      </w:r>
      <w:r w:rsidRPr="006E6975">
        <w:rPr>
          <w:rFonts w:ascii="Book Antiqua" w:hAnsi="Book Antiqua"/>
        </w:rPr>
        <w:t xml:space="preserve">, Cassidy MR, Kirane A, Kuk D, Zanchelli B, Antonescu CR, Singer S, Brennan M. Size and Location are the Most Important Risk Factors for Malignant Behavior in Resected Solitary Fibrous Tumors. </w:t>
      </w:r>
      <w:r w:rsidRPr="006E6975">
        <w:rPr>
          <w:rFonts w:ascii="Book Antiqua" w:hAnsi="Book Antiqua"/>
          <w:i/>
          <w:iCs/>
        </w:rPr>
        <w:t>Ann Surg Oncol</w:t>
      </w:r>
      <w:r w:rsidRPr="006E6975">
        <w:rPr>
          <w:rFonts w:ascii="Book Antiqua" w:hAnsi="Book Antiqua"/>
        </w:rPr>
        <w:t xml:space="preserve"> 2017; </w:t>
      </w:r>
      <w:r w:rsidRPr="006E6975">
        <w:rPr>
          <w:rFonts w:ascii="Book Antiqua" w:hAnsi="Book Antiqua"/>
          <w:b/>
          <w:bCs/>
        </w:rPr>
        <w:t>24</w:t>
      </w:r>
      <w:r w:rsidRPr="006E6975">
        <w:rPr>
          <w:rFonts w:ascii="Book Antiqua" w:hAnsi="Book Antiqua"/>
        </w:rPr>
        <w:t>: 3865-3871 [PMID: 29039030 DOI: 10.1245/s10434-017-6092-z]</w:t>
      </w:r>
    </w:p>
    <w:p w14:paraId="10F8D61B"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35 </w:t>
      </w:r>
      <w:r w:rsidRPr="006E6975">
        <w:rPr>
          <w:rFonts w:ascii="Book Antiqua" w:hAnsi="Book Antiqua"/>
          <w:b/>
          <w:bCs/>
        </w:rPr>
        <w:t>Salas S</w:t>
      </w:r>
      <w:r w:rsidRPr="006E6975">
        <w:rPr>
          <w:rFonts w:ascii="Book Antiqua" w:hAnsi="Book Antiqua"/>
        </w:rPr>
        <w:t xml:space="preserve">, Resseguier N, Blay JY, Le Cesne A, Italiano A, Chevreau C, Rosset P, Isambert N, Soulie P, Cupissol D, Delcambre C, Bay JO, Dubray-Longeras P, Krengli M, De Bari B, Villa S, Kaanders JHAM, Torrente S, Pasquier D, Thariat JO, Myroslav L, Sole CV, Dincbas HF, Habboush JY, Zilli T, Dragan T, Khan R K, Ugurluer G, Cena T, Duffaud F, Penel N, Bertucci F, Ranchere-Vince D, Terrier P, Bonvalot S, Macagno N, Lemoine C, Lae M, Coindre JM, Bouvier C. Prediction of local and metastatic recurrence in solitary fibrous tumor: construction of a risk calculator in a multicenter cohort from the French Sarcoma Group (FSG) database. </w:t>
      </w:r>
      <w:r w:rsidRPr="006E6975">
        <w:rPr>
          <w:rFonts w:ascii="Book Antiqua" w:hAnsi="Book Antiqua"/>
          <w:i/>
          <w:iCs/>
        </w:rPr>
        <w:t>Ann Oncol</w:t>
      </w:r>
      <w:r w:rsidRPr="006E6975">
        <w:rPr>
          <w:rFonts w:ascii="Book Antiqua" w:hAnsi="Book Antiqua"/>
        </w:rPr>
        <w:t xml:space="preserve"> 2017; </w:t>
      </w:r>
      <w:r w:rsidRPr="006E6975">
        <w:rPr>
          <w:rFonts w:ascii="Book Antiqua" w:hAnsi="Book Antiqua"/>
          <w:b/>
          <w:bCs/>
        </w:rPr>
        <w:t>28</w:t>
      </w:r>
      <w:r w:rsidRPr="006E6975">
        <w:rPr>
          <w:rFonts w:ascii="Book Antiqua" w:hAnsi="Book Antiqua"/>
        </w:rPr>
        <w:t>: 1979-1987 [PMID: 28838212 DOI: 10.1093/annonc/mdx250]</w:t>
      </w:r>
    </w:p>
    <w:p w14:paraId="353A7FE8" w14:textId="77777777" w:rsidR="00FA181F" w:rsidRPr="006E6975" w:rsidRDefault="00FA181F" w:rsidP="006E6975">
      <w:pPr>
        <w:spacing w:line="360" w:lineRule="auto"/>
        <w:jc w:val="both"/>
        <w:rPr>
          <w:rFonts w:ascii="Book Antiqua" w:eastAsia="Book Antiqua" w:hAnsi="Book Antiqua" w:cs="Book Antiqua"/>
          <w:b/>
          <w:bCs/>
        </w:rPr>
      </w:pPr>
    </w:p>
    <w:p w14:paraId="2049C6AB" w14:textId="77777777" w:rsidR="00FA181F" w:rsidRPr="006E6975" w:rsidRDefault="00FA181F" w:rsidP="006E6975">
      <w:pPr>
        <w:spacing w:line="360" w:lineRule="auto"/>
        <w:jc w:val="both"/>
        <w:rPr>
          <w:rFonts w:ascii="Book Antiqua" w:hAnsi="Book Antiqua"/>
        </w:rPr>
        <w:sectPr w:rsidR="00FA181F" w:rsidRPr="006E6975">
          <w:pgSz w:w="12240" w:h="15840"/>
          <w:pgMar w:top="1440" w:right="1440" w:bottom="1440" w:left="1440" w:header="720" w:footer="720" w:gutter="0"/>
          <w:cols w:space="720"/>
          <w:docGrid w:linePitch="360"/>
        </w:sectPr>
      </w:pPr>
    </w:p>
    <w:p w14:paraId="49574A5D"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Footnotes</w:t>
      </w:r>
    </w:p>
    <w:p w14:paraId="34CCAD20"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Informed consent statement: </w:t>
      </w:r>
      <w:r w:rsidRPr="006E6975">
        <w:rPr>
          <w:rFonts w:ascii="Book Antiqua" w:eastAsia="Book Antiqua" w:hAnsi="Book Antiqua" w:cs="Book Antiqua"/>
        </w:rPr>
        <w:t>Written informed consent was obtained from the patient for publication of this case report and any accompanying images. Both written and verbal informed consent were obtained from the patient for publication of this case report and any accompanying images.</w:t>
      </w:r>
    </w:p>
    <w:p w14:paraId="2B1A6836" w14:textId="77777777" w:rsidR="00FA181F" w:rsidRPr="006E6975" w:rsidRDefault="00FA181F" w:rsidP="006E6975">
      <w:pPr>
        <w:spacing w:line="360" w:lineRule="auto"/>
        <w:jc w:val="both"/>
        <w:rPr>
          <w:rFonts w:ascii="Book Antiqua" w:hAnsi="Book Antiqua"/>
        </w:rPr>
      </w:pPr>
    </w:p>
    <w:p w14:paraId="2F1CB350"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Conflict-of-interest statement: </w:t>
      </w:r>
      <w:r w:rsidRPr="006E6975">
        <w:rPr>
          <w:rFonts w:ascii="Book Antiqua" w:eastAsia="Book Antiqua" w:hAnsi="Book Antiqua" w:cs="Book Antiqua"/>
        </w:rPr>
        <w:t>The authors declare that they have no conflict of interest.</w:t>
      </w:r>
    </w:p>
    <w:p w14:paraId="7B17D9C7" w14:textId="77777777" w:rsidR="00FA181F" w:rsidRPr="006E6975" w:rsidRDefault="00FA181F" w:rsidP="006E6975">
      <w:pPr>
        <w:spacing w:line="360" w:lineRule="auto"/>
        <w:jc w:val="both"/>
        <w:rPr>
          <w:rFonts w:ascii="Book Antiqua" w:hAnsi="Book Antiqua"/>
        </w:rPr>
      </w:pPr>
    </w:p>
    <w:p w14:paraId="5D0A9FB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CARE Checklist (2016) statement: </w:t>
      </w:r>
      <w:r w:rsidRPr="006E6975">
        <w:rPr>
          <w:rFonts w:ascii="Book Antiqua" w:eastAsia="Book Antiqua" w:hAnsi="Book Antiqua" w:cs="Book Antiqua"/>
        </w:rPr>
        <w:t>The authors have read the CARE Checklist (2016), and the manuscript was prepared and revised according to the CARE Checklist (2016).</w:t>
      </w:r>
    </w:p>
    <w:p w14:paraId="7B9D9254" w14:textId="77777777" w:rsidR="00FA181F" w:rsidRPr="006E6975" w:rsidRDefault="00FA181F" w:rsidP="006E6975">
      <w:pPr>
        <w:spacing w:line="360" w:lineRule="auto"/>
        <w:jc w:val="both"/>
        <w:rPr>
          <w:rFonts w:ascii="Book Antiqua" w:hAnsi="Book Antiqua"/>
        </w:rPr>
      </w:pPr>
    </w:p>
    <w:p w14:paraId="6703ADD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Open-Access: </w:t>
      </w:r>
      <w:r w:rsidRPr="006E697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308E09" w14:textId="77777777" w:rsidR="00FA181F" w:rsidRPr="006E6975" w:rsidRDefault="00FA181F" w:rsidP="006E6975">
      <w:pPr>
        <w:spacing w:line="360" w:lineRule="auto"/>
        <w:jc w:val="both"/>
        <w:rPr>
          <w:rFonts w:ascii="Book Antiqua" w:hAnsi="Book Antiqua"/>
        </w:rPr>
      </w:pPr>
    </w:p>
    <w:p w14:paraId="48C5B7F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Manuscript source: </w:t>
      </w:r>
      <w:r w:rsidRPr="006E6975">
        <w:rPr>
          <w:rFonts w:ascii="Book Antiqua" w:eastAsia="Book Antiqua" w:hAnsi="Book Antiqua" w:cs="Book Antiqua"/>
        </w:rPr>
        <w:t>Unsolicited manuscript</w:t>
      </w:r>
    </w:p>
    <w:p w14:paraId="642EC675" w14:textId="77777777" w:rsidR="00FA181F" w:rsidRPr="006E6975" w:rsidRDefault="00FA181F" w:rsidP="006E6975">
      <w:pPr>
        <w:spacing w:line="360" w:lineRule="auto"/>
        <w:jc w:val="both"/>
        <w:rPr>
          <w:rFonts w:ascii="Book Antiqua" w:hAnsi="Book Antiqua"/>
        </w:rPr>
      </w:pPr>
    </w:p>
    <w:p w14:paraId="718066E5"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Peer-review started: </w:t>
      </w:r>
      <w:r w:rsidRPr="006E6975">
        <w:rPr>
          <w:rFonts w:ascii="Book Antiqua" w:eastAsia="Book Antiqua" w:hAnsi="Book Antiqua" w:cs="Book Antiqua"/>
        </w:rPr>
        <w:t>July 16, 2020</w:t>
      </w:r>
    </w:p>
    <w:p w14:paraId="65F84AB6"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First decision: </w:t>
      </w:r>
      <w:r w:rsidRPr="006E6975">
        <w:rPr>
          <w:rFonts w:ascii="Book Antiqua" w:eastAsia="Book Antiqua" w:hAnsi="Book Antiqua" w:cs="Book Antiqua"/>
        </w:rPr>
        <w:t>August 21, 2020</w:t>
      </w:r>
    </w:p>
    <w:p w14:paraId="01571B23" w14:textId="0877A985"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Article in press: </w:t>
      </w:r>
      <w:r w:rsidR="00540834" w:rsidRPr="00FD48E5">
        <w:rPr>
          <w:rFonts w:ascii="Book Antiqua" w:eastAsia="Book Antiqua" w:hAnsi="Book Antiqua" w:cs="Book Antiqua"/>
        </w:rPr>
        <w:t>September 11, 2020</w:t>
      </w:r>
    </w:p>
    <w:p w14:paraId="05B8BA3A" w14:textId="77777777" w:rsidR="00FA181F" w:rsidRPr="006E6975" w:rsidRDefault="00FA181F" w:rsidP="006E6975">
      <w:pPr>
        <w:spacing w:line="360" w:lineRule="auto"/>
        <w:jc w:val="both"/>
        <w:rPr>
          <w:rFonts w:ascii="Book Antiqua" w:hAnsi="Book Antiqua"/>
        </w:rPr>
      </w:pPr>
    </w:p>
    <w:p w14:paraId="1ACCF281" w14:textId="77777777" w:rsidR="00FA181F" w:rsidRPr="006E6975" w:rsidRDefault="00A3669D" w:rsidP="006E6975">
      <w:pPr>
        <w:spacing w:line="360" w:lineRule="auto"/>
        <w:jc w:val="both"/>
        <w:rPr>
          <w:rFonts w:ascii="Book Antiqua" w:eastAsiaTheme="minorEastAsia" w:hAnsi="Book Antiqua"/>
          <w:lang w:eastAsia="zh-CN"/>
        </w:rPr>
      </w:pPr>
      <w:r w:rsidRPr="006E6975">
        <w:rPr>
          <w:rFonts w:ascii="Book Antiqua" w:eastAsia="Book Antiqua" w:hAnsi="Book Antiqua" w:cs="Book Antiqua"/>
          <w:b/>
        </w:rPr>
        <w:t xml:space="preserve">Specialty type: </w:t>
      </w:r>
      <w:r w:rsidRPr="006E6975">
        <w:rPr>
          <w:rFonts w:ascii="Book Antiqua" w:eastAsia="微软雅黑" w:hAnsi="Book Antiqua" w:cs="宋体"/>
        </w:rPr>
        <w:t>Medicine, research and experimental</w:t>
      </w:r>
    </w:p>
    <w:p w14:paraId="437FFD0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Country/Territory of origin: </w:t>
      </w:r>
      <w:r w:rsidRPr="006E6975">
        <w:rPr>
          <w:rFonts w:ascii="Book Antiqua" w:eastAsia="Book Antiqua" w:hAnsi="Book Antiqua" w:cs="Book Antiqua"/>
        </w:rPr>
        <w:t>Japan</w:t>
      </w:r>
    </w:p>
    <w:p w14:paraId="201A34D8"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Peer-review report’s scientific quality classification</w:t>
      </w:r>
    </w:p>
    <w:p w14:paraId="286A0F0C"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Grade A (Excellent): 0</w:t>
      </w:r>
    </w:p>
    <w:p w14:paraId="07D00B4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Grade B (Very good): B</w:t>
      </w:r>
    </w:p>
    <w:p w14:paraId="534CE341" w14:textId="77777777" w:rsidR="00FA181F" w:rsidRPr="006E6975" w:rsidRDefault="00A3669D" w:rsidP="006E6975">
      <w:pPr>
        <w:spacing w:line="360" w:lineRule="auto"/>
        <w:jc w:val="both"/>
        <w:rPr>
          <w:rFonts w:ascii="Book Antiqua" w:hAnsi="Book Antiqua"/>
          <w:lang w:eastAsia="zh-CN"/>
        </w:rPr>
      </w:pPr>
      <w:r w:rsidRPr="006E6975">
        <w:rPr>
          <w:rFonts w:ascii="Book Antiqua" w:eastAsia="Book Antiqua" w:hAnsi="Book Antiqua" w:cs="Book Antiqua"/>
        </w:rPr>
        <w:t>Grade C (Good): C, C</w:t>
      </w:r>
    </w:p>
    <w:p w14:paraId="47B70D4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Grade D (Fair): 0</w:t>
      </w:r>
    </w:p>
    <w:p w14:paraId="54844BE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Grade E (Poor): 0</w:t>
      </w:r>
    </w:p>
    <w:p w14:paraId="725FEBB3" w14:textId="77777777" w:rsidR="00FA181F" w:rsidRPr="006E6975" w:rsidRDefault="00FA181F" w:rsidP="006E6975">
      <w:pPr>
        <w:spacing w:line="360" w:lineRule="auto"/>
        <w:jc w:val="both"/>
        <w:rPr>
          <w:rFonts w:ascii="Book Antiqua" w:hAnsi="Book Antiqua"/>
        </w:rPr>
      </w:pPr>
    </w:p>
    <w:p w14:paraId="64E2209F" w14:textId="06FEC7C0" w:rsidR="00FA181F" w:rsidRPr="006E6975" w:rsidRDefault="00A3669D" w:rsidP="006E6975">
      <w:pPr>
        <w:spacing w:line="360" w:lineRule="auto"/>
        <w:jc w:val="both"/>
        <w:rPr>
          <w:rFonts w:ascii="Book Antiqua" w:hAnsi="Book Antiqua"/>
        </w:rPr>
        <w:sectPr w:rsidR="00FA181F" w:rsidRPr="006E6975">
          <w:pgSz w:w="12240" w:h="15840"/>
          <w:pgMar w:top="1440" w:right="1440" w:bottom="1440" w:left="1440" w:header="720" w:footer="720" w:gutter="0"/>
          <w:cols w:space="720"/>
          <w:docGrid w:linePitch="360"/>
        </w:sectPr>
      </w:pPr>
      <w:r w:rsidRPr="006E6975">
        <w:rPr>
          <w:rFonts w:ascii="Book Antiqua" w:eastAsia="Book Antiqua" w:hAnsi="Book Antiqua" w:cs="Book Antiqua"/>
          <w:b/>
        </w:rPr>
        <w:t xml:space="preserve">P-Reviewer: </w:t>
      </w:r>
      <w:r w:rsidRPr="006E6975">
        <w:rPr>
          <w:rFonts w:ascii="Book Antiqua" w:eastAsia="Book Antiqua" w:hAnsi="Book Antiqua" w:cs="Book Antiqua"/>
        </w:rPr>
        <w:t>Huo Q, Park SB</w:t>
      </w:r>
      <w:r w:rsidRPr="006E6975">
        <w:rPr>
          <w:rFonts w:ascii="Book Antiqua" w:eastAsia="Book Antiqua" w:hAnsi="Book Antiqua" w:cs="Book Antiqua"/>
          <w:b/>
        </w:rPr>
        <w:t xml:space="preserve"> S-Editor: </w:t>
      </w:r>
      <w:r w:rsidRPr="006E6975">
        <w:rPr>
          <w:rFonts w:ascii="Book Antiqua" w:eastAsia="宋体" w:hAnsi="Book Antiqua" w:cs="Book Antiqua"/>
          <w:lang w:eastAsia="zh-CN"/>
        </w:rPr>
        <w:t>Yan JP</w:t>
      </w:r>
      <w:r w:rsidRPr="006E6975">
        <w:rPr>
          <w:rFonts w:ascii="Book Antiqua" w:eastAsia="Book Antiqua" w:hAnsi="Book Antiqua" w:cs="Book Antiqua"/>
          <w:b/>
        </w:rPr>
        <w:t xml:space="preserve"> L-Editor:</w:t>
      </w:r>
      <w:r w:rsidR="00540834">
        <w:rPr>
          <w:rFonts w:ascii="Book Antiqua" w:eastAsiaTheme="minorEastAsia" w:hAnsi="Book Antiqua" w:cs="Book Antiqua" w:hint="eastAsia"/>
          <w:b/>
          <w:lang w:eastAsia="zh-CN"/>
        </w:rPr>
        <w:t xml:space="preserve"> </w:t>
      </w:r>
      <w:r w:rsidR="00540834" w:rsidRPr="00540834">
        <w:rPr>
          <w:rFonts w:ascii="Book Antiqua" w:eastAsiaTheme="minorEastAsia" w:hAnsi="Book Antiqua" w:cs="Book Antiqua" w:hint="eastAsia"/>
          <w:lang w:eastAsia="zh-CN"/>
        </w:rPr>
        <w:t>A</w:t>
      </w:r>
      <w:r w:rsidRPr="006E6975">
        <w:rPr>
          <w:rFonts w:ascii="Book Antiqua" w:eastAsia="Book Antiqua" w:hAnsi="Book Antiqua" w:cs="Book Antiqua"/>
          <w:b/>
        </w:rPr>
        <w:t xml:space="preserve"> P-Editor: </w:t>
      </w:r>
      <w:r w:rsidR="00540834" w:rsidRPr="00540834">
        <w:rPr>
          <w:rFonts w:ascii="Book Antiqua" w:eastAsia="Book Antiqua" w:hAnsi="Book Antiqua" w:cs="Book Antiqua"/>
        </w:rPr>
        <w:t>Xing YX</w:t>
      </w:r>
    </w:p>
    <w:p w14:paraId="520A517F"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Figure Legends</w:t>
      </w:r>
    </w:p>
    <w:p w14:paraId="2969AF1B" w14:textId="77777777" w:rsidR="00FA181F" w:rsidRPr="006E6975" w:rsidRDefault="00A3669D" w:rsidP="006E6975">
      <w:pPr>
        <w:spacing w:line="360" w:lineRule="auto"/>
        <w:jc w:val="both"/>
        <w:rPr>
          <w:rFonts w:ascii="Book Antiqua" w:eastAsia="Book Antiqua" w:hAnsi="Book Antiqua" w:cs="Book Antiqua"/>
          <w:b/>
          <w:bCs/>
        </w:rPr>
      </w:pPr>
      <w:r w:rsidRPr="006E6975">
        <w:rPr>
          <w:rFonts w:ascii="Book Antiqua" w:hAnsi="Book Antiqua"/>
          <w:noProof/>
          <w:lang w:eastAsia="zh-CN"/>
        </w:rPr>
        <w:drawing>
          <wp:inline distT="0" distB="0" distL="0" distR="0" wp14:anchorId="34C3102A" wp14:editId="3A4FE55D">
            <wp:extent cx="5796280" cy="35515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rcRect r="541"/>
                    <a:stretch>
                      <a:fillRect/>
                    </a:stretch>
                  </pic:blipFill>
                  <pic:spPr>
                    <a:xfrm>
                      <a:off x="0" y="0"/>
                      <a:ext cx="5797039" cy="3552381"/>
                    </a:xfrm>
                    <a:prstGeom prst="rect">
                      <a:avLst/>
                    </a:prstGeom>
                    <a:ln>
                      <a:noFill/>
                    </a:ln>
                  </pic:spPr>
                </pic:pic>
              </a:graphicData>
            </a:graphic>
          </wp:inline>
        </w:drawing>
      </w:r>
      <w:r w:rsidRPr="006E6975">
        <w:rPr>
          <w:rFonts w:ascii="Book Antiqua" w:hAnsi="Book Antiqua"/>
          <w:noProof/>
          <w:lang w:eastAsia="zh-CN"/>
        </w:rPr>
        <mc:AlternateContent>
          <mc:Choice Requires="wps">
            <w:drawing>
              <wp:anchor distT="0" distB="0" distL="114300" distR="114300" simplePos="0" relativeHeight="251662336" behindDoc="0" locked="0" layoutInCell="1" allowOverlap="1" wp14:anchorId="261EECEA" wp14:editId="0B739578">
                <wp:simplePos x="0" y="0"/>
                <wp:positionH relativeFrom="column">
                  <wp:posOffset>-609600</wp:posOffset>
                </wp:positionH>
                <wp:positionV relativeFrom="paragraph">
                  <wp:posOffset>156845</wp:posOffset>
                </wp:positionV>
                <wp:extent cx="311150" cy="341630"/>
                <wp:effectExtent l="635" t="0" r="2540" b="317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04A3724F" w14:textId="77777777" w:rsidR="00FA181F" w:rsidRDefault="00A3669D">
                            <w:pPr>
                              <w:rPr>
                                <w:rFonts w:ascii="Book Antiqua" w:eastAsiaTheme="minorEastAsia" w:hAnsi="Book Antiqua"/>
                                <w:b/>
                                <w:bCs/>
                                <w:color w:val="FFFFFF" w:themeColor="background1"/>
                                <w:lang w:eastAsia="zh-CN"/>
                              </w:rPr>
                            </w:pPr>
                            <w:r>
                              <w:rPr>
                                <w:rFonts w:ascii="Book Antiqua" w:eastAsiaTheme="minorEastAsia" w:hAnsi="Book Antiqua"/>
                                <w:b/>
                                <w:bCs/>
                                <w:color w:val="FFFFFF" w:themeColor="background1"/>
                                <w:lang w:eastAsia="zh-CN"/>
                              </w:rPr>
                              <w:t>A</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61EECEA" id="_x0000_t202" coordsize="21600,21600" o:spt="202" path="m,l,21600r21600,l21600,xe">
                <v:stroke joinstyle="miter"/>
                <v:path gradientshapeok="t" o:connecttype="rect"/>
              </v:shapetype>
              <v:shape id="Text Box 8" o:spid="_x0000_s1026" type="#_x0000_t202" style="position:absolute;left:0;text-align:left;margin-left:-48pt;margin-top:12.35pt;width:24.5pt;height:2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" filled="f" stroked="f">
                <v:textbox>
                  <w:txbxContent>
                    <w:p w14:paraId="04A3724F" w14:textId="77777777" w:rsidR="00FA181F" w:rsidRDefault="00A3669D">
                      <w:pPr>
                        <w:rPr>
                          <w:rFonts w:ascii="Book Antiqua" w:eastAsiaTheme="minorEastAsia" w:hAnsi="Book Antiqua"/>
                          <w:b/>
                          <w:bCs/>
                          <w:color w:val="FFFFFF" w:themeColor="background1"/>
                          <w:lang w:eastAsia="zh-CN"/>
                        </w:rPr>
                      </w:pPr>
                      <w:r>
                        <w:rPr>
                          <w:rFonts w:ascii="Book Antiqua" w:eastAsiaTheme="minorEastAsia" w:hAnsi="Book Antiqua"/>
                          <w:b/>
                          <w:bCs/>
                          <w:color w:val="FFFFFF" w:themeColor="background1"/>
                          <w:lang w:eastAsia="zh-CN"/>
                        </w:rPr>
                        <w:t>A</w:t>
                      </w:r>
                    </w:p>
                  </w:txbxContent>
                </v:textbox>
              </v:shape>
            </w:pict>
          </mc:Fallback>
        </mc:AlternateContent>
      </w:r>
    </w:p>
    <w:p w14:paraId="566F5A3A" w14:textId="63F0F34D" w:rsidR="00FA181F" w:rsidRPr="006E6975" w:rsidRDefault="00A3669D" w:rsidP="006E6975">
      <w:pPr>
        <w:spacing w:line="360" w:lineRule="auto"/>
        <w:jc w:val="both"/>
        <w:rPr>
          <w:rFonts w:ascii="Book Antiqua" w:eastAsia="Book Antiqua" w:hAnsi="Book Antiqua" w:cs="Book Antiqua"/>
        </w:rPr>
        <w:sectPr w:rsidR="00FA181F" w:rsidRPr="006E6975">
          <w:pgSz w:w="12240" w:h="15840"/>
          <w:pgMar w:top="1440" w:right="1440" w:bottom="1440" w:left="1440" w:header="720" w:footer="720" w:gutter="0"/>
          <w:cols w:space="720"/>
          <w:docGrid w:linePitch="360"/>
        </w:sectPr>
      </w:pPr>
      <w:r w:rsidRPr="006E6975">
        <w:rPr>
          <w:rFonts w:ascii="Book Antiqua" w:eastAsia="Book Antiqua" w:hAnsi="Book Antiqua" w:cs="Book Antiqua"/>
          <w:b/>
          <w:bCs/>
        </w:rPr>
        <w:t xml:space="preserve">Figure 1 </w:t>
      </w:r>
      <w:bookmarkStart w:id="22" w:name="OLE_LINK13"/>
      <w:r w:rsidRPr="006E6975">
        <w:rPr>
          <w:rFonts w:ascii="Book Antiqua" w:eastAsia="Book Antiqua" w:hAnsi="Book Antiqua" w:cs="Book Antiqua"/>
          <w:b/>
          <w:bCs/>
        </w:rPr>
        <w:t>Computed tomography scan at admission.</w:t>
      </w:r>
      <w:r w:rsidRPr="006E6975">
        <w:rPr>
          <w:rFonts w:ascii="Book Antiqua" w:eastAsia="Book Antiqua" w:hAnsi="Book Antiqua" w:cs="Book Antiqua"/>
        </w:rPr>
        <w:t xml:space="preserve"> A: A plain head computed tomography (CT) scan revealed the postoperative state and an 8 cm × 5.1 cm × 6.5 cm mixed-density mass at the left frontal lobe, accompanying a midline shift (</w:t>
      </w:r>
      <w:r w:rsidR="00540834">
        <w:rPr>
          <w:rFonts w:asciiTheme="minorEastAsia" w:eastAsiaTheme="minorEastAsia" w:hAnsiTheme="minorEastAsia" w:cs="Book Antiqua" w:hint="eastAsia"/>
          <w:lang w:eastAsia="zh-CN"/>
        </w:rPr>
        <w:t>orange</w:t>
      </w:r>
      <w:r w:rsidR="00540834">
        <w:rPr>
          <w:rFonts w:ascii="Book Antiqua" w:eastAsiaTheme="minorEastAsia" w:hAnsi="Book Antiqua" w:cs="Book Antiqua" w:hint="eastAsia"/>
          <w:lang w:eastAsia="zh-CN"/>
        </w:rPr>
        <w:t xml:space="preserve"> </w:t>
      </w:r>
      <w:r w:rsidRPr="006E6975">
        <w:rPr>
          <w:rFonts w:ascii="Book Antiqua" w:eastAsia="Book Antiqua" w:hAnsi="Book Antiqua" w:cs="Book Antiqua"/>
        </w:rPr>
        <w:t>arrow); B: A plain chest-abdomen CT scan revealed a 6 cm × 4.1 cm × 6.5 cm low-density mass in the chest wall at the superior segment of the left lung (</w:t>
      </w:r>
      <w:bookmarkStart w:id="23" w:name="OLE_LINK12"/>
      <w:r w:rsidR="00540834">
        <w:rPr>
          <w:rFonts w:asciiTheme="minorEastAsia" w:eastAsiaTheme="minorEastAsia" w:hAnsiTheme="minorEastAsia" w:cs="Book Antiqua" w:hint="eastAsia"/>
          <w:lang w:eastAsia="zh-CN"/>
        </w:rPr>
        <w:t>orange</w:t>
      </w:r>
      <w:r w:rsidRPr="006E6975">
        <w:rPr>
          <w:rFonts w:ascii="Book Antiqua" w:eastAsia="Book Antiqua" w:hAnsi="Book Antiqua" w:cs="Book Antiqua"/>
        </w:rPr>
        <w:t xml:space="preserve"> arrow</w:t>
      </w:r>
      <w:bookmarkEnd w:id="23"/>
      <w:r w:rsidRPr="006E6975">
        <w:rPr>
          <w:rFonts w:ascii="Book Antiqua" w:eastAsia="Book Antiqua" w:hAnsi="Book Antiqua" w:cs="Book Antiqua"/>
        </w:rPr>
        <w:t>).</w:t>
      </w:r>
      <w:bookmarkEnd w:id="22"/>
      <w:r w:rsidRPr="006E6975">
        <w:rPr>
          <w:rFonts w:ascii="Book Antiqua" w:eastAsia="Book Antiqua" w:hAnsi="Book Antiqua" w:cs="Book Antiqua"/>
        </w:rPr>
        <w:t xml:space="preserve"> </w:t>
      </w:r>
    </w:p>
    <w:p w14:paraId="08E53E7D" w14:textId="77777777" w:rsidR="00FA181F" w:rsidRPr="006E6975" w:rsidRDefault="00A3669D" w:rsidP="006E6975">
      <w:pPr>
        <w:spacing w:line="360" w:lineRule="auto"/>
        <w:jc w:val="both"/>
        <w:rPr>
          <w:rFonts w:ascii="Book Antiqua" w:eastAsia="Book Antiqua" w:hAnsi="Book Antiqua" w:cs="Book Antiqua"/>
        </w:rPr>
      </w:pPr>
      <w:r w:rsidRPr="006E6975">
        <w:rPr>
          <w:rFonts w:ascii="Book Antiqua" w:hAnsi="Book Antiqua"/>
          <w:noProof/>
          <w:lang w:eastAsia="zh-CN"/>
        </w:rPr>
        <mc:AlternateContent>
          <mc:Choice Requires="wps">
            <w:drawing>
              <wp:anchor distT="0" distB="0" distL="114300" distR="114300" simplePos="0" relativeHeight="251665408" behindDoc="0" locked="0" layoutInCell="1" allowOverlap="1" wp14:anchorId="6C39C281" wp14:editId="7EE7CB9E">
                <wp:simplePos x="0" y="0"/>
                <wp:positionH relativeFrom="column">
                  <wp:posOffset>2947035</wp:posOffset>
                </wp:positionH>
                <wp:positionV relativeFrom="paragraph">
                  <wp:posOffset>-6985</wp:posOffset>
                </wp:positionV>
                <wp:extent cx="311150" cy="341630"/>
                <wp:effectExtent l="3810" t="254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7320C93A"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B</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C39C281" id="Text Box 5" o:spid="_x0000_s1027" type="#_x0000_t202" style="position:absolute;left:0;text-align:left;margin-left:232.05pt;margin-top:-.55pt;width:24.5pt;height:26.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" filled="f" stroked="f">
                <v:textbox>
                  <w:txbxContent>
                    <w:p w14:paraId="7320C93A"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B</w:t>
                      </w:r>
                    </w:p>
                  </w:txbxContent>
                </v:textbox>
              </v:shape>
            </w:pict>
          </mc:Fallback>
        </mc:AlternateContent>
      </w:r>
      <w:r w:rsidRPr="006E6975">
        <w:rPr>
          <w:rFonts w:ascii="Book Antiqua" w:hAnsi="Book Antiqua"/>
          <w:noProof/>
          <w:lang w:eastAsia="zh-CN"/>
        </w:rPr>
        <mc:AlternateContent>
          <mc:Choice Requires="wps">
            <w:drawing>
              <wp:anchor distT="0" distB="0" distL="114300" distR="114300" simplePos="0" relativeHeight="251664384" behindDoc="0" locked="0" layoutInCell="1" allowOverlap="1" wp14:anchorId="1D7B56E0" wp14:editId="1FC08733">
                <wp:simplePos x="0" y="0"/>
                <wp:positionH relativeFrom="column">
                  <wp:posOffset>11430</wp:posOffset>
                </wp:positionH>
                <wp:positionV relativeFrom="paragraph">
                  <wp:posOffset>11430</wp:posOffset>
                </wp:positionV>
                <wp:extent cx="311150" cy="341630"/>
                <wp:effectExtent l="1905" t="1905" r="127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381CC74D"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A</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D7B56E0" id="Text Box 4" o:spid="_x0000_s1028" type="#_x0000_t202" style="position:absolute;left:0;text-align:left;margin-left:.9pt;margin-top:.9pt;width:24.5pt;height:26.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" filled="f" stroked="f">
                <v:textbox>
                  <w:txbxContent>
                    <w:p w14:paraId="381CC74D"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A</w:t>
                      </w:r>
                    </w:p>
                  </w:txbxContent>
                </v:textbox>
              </v:shape>
            </w:pict>
          </mc:Fallback>
        </mc:AlternateContent>
      </w:r>
      <w:r w:rsidRPr="006E6975">
        <w:rPr>
          <w:rFonts w:ascii="Book Antiqua" w:hAnsi="Book Antiqua"/>
          <w:noProof/>
          <w:lang w:eastAsia="zh-CN"/>
        </w:rPr>
        <w:drawing>
          <wp:inline distT="0" distB="0" distL="0" distR="0" wp14:anchorId="380F6F5E" wp14:editId="433039B2">
            <wp:extent cx="2947035" cy="2210435"/>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3"/>
                    <pic:cNvPicPr>
                      <a:picLocks noChangeAspect="1"/>
                    </pic:cNvPicPr>
                  </pic:nvPicPr>
                  <pic:blipFill>
                    <a:blip r:embed="rId10"/>
                    <a:stretch>
                      <a:fillRect/>
                    </a:stretch>
                  </pic:blipFill>
                  <pic:spPr>
                    <a:xfrm>
                      <a:off x="0" y="0"/>
                      <a:ext cx="2951509" cy="2213631"/>
                    </a:xfrm>
                    <a:prstGeom prst="rect">
                      <a:avLst/>
                    </a:prstGeom>
                  </pic:spPr>
                </pic:pic>
              </a:graphicData>
            </a:graphic>
          </wp:inline>
        </w:drawing>
      </w:r>
      <w:r w:rsidRPr="006E6975">
        <w:rPr>
          <w:rFonts w:ascii="Book Antiqua" w:hAnsi="Book Antiqua"/>
          <w:noProof/>
          <w:lang w:eastAsia="zh-CN"/>
        </w:rPr>
        <w:drawing>
          <wp:inline distT="0" distB="0" distL="0" distR="0" wp14:anchorId="2C22459F" wp14:editId="39D5A414">
            <wp:extent cx="2880360" cy="2230120"/>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1"/>
                    <a:stretch>
                      <a:fillRect/>
                    </a:stretch>
                  </pic:blipFill>
                  <pic:spPr>
                    <a:xfrm>
                      <a:off x="0" y="0"/>
                      <a:ext cx="2893471" cy="2240761"/>
                    </a:xfrm>
                    <a:prstGeom prst="rect">
                      <a:avLst/>
                    </a:prstGeom>
                  </pic:spPr>
                </pic:pic>
              </a:graphicData>
            </a:graphic>
          </wp:inline>
        </w:drawing>
      </w:r>
    </w:p>
    <w:p w14:paraId="5D9AE599" w14:textId="77777777" w:rsidR="00FA181F" w:rsidRPr="006E6975" w:rsidRDefault="00A3669D" w:rsidP="006E6975">
      <w:pPr>
        <w:spacing w:line="360" w:lineRule="auto"/>
        <w:jc w:val="both"/>
        <w:rPr>
          <w:rFonts w:ascii="Book Antiqua" w:eastAsia="Book Antiqua" w:hAnsi="Book Antiqua" w:cs="Book Antiqua"/>
        </w:rPr>
      </w:pPr>
      <w:r w:rsidRPr="006E6975">
        <w:rPr>
          <w:rFonts w:ascii="Book Antiqua" w:hAnsi="Book Antiqua"/>
          <w:noProof/>
          <w:lang w:eastAsia="zh-CN"/>
        </w:rPr>
        <mc:AlternateContent>
          <mc:Choice Requires="wps">
            <w:drawing>
              <wp:anchor distT="0" distB="0" distL="114300" distR="114300" simplePos="0" relativeHeight="251667456" behindDoc="0" locked="0" layoutInCell="1" allowOverlap="1" wp14:anchorId="54045966" wp14:editId="45E6787E">
                <wp:simplePos x="0" y="0"/>
                <wp:positionH relativeFrom="column">
                  <wp:posOffset>2936875</wp:posOffset>
                </wp:positionH>
                <wp:positionV relativeFrom="paragraph">
                  <wp:posOffset>16510</wp:posOffset>
                </wp:positionV>
                <wp:extent cx="311150" cy="341630"/>
                <wp:effectExtent l="3175" t="0" r="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577C9BE6"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D</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4045966" id="Text Box 3" o:spid="_x0000_s1029" type="#_x0000_t202" style="position:absolute;left:0;text-align:left;margin-left:231.25pt;margin-top:1.3pt;width:24.5pt;height:26.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" filled="f" stroked="f">
                <v:textbox>
                  <w:txbxContent>
                    <w:p w14:paraId="577C9BE6"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D</w:t>
                      </w:r>
                    </w:p>
                  </w:txbxContent>
                </v:textbox>
              </v:shape>
            </w:pict>
          </mc:Fallback>
        </mc:AlternateContent>
      </w:r>
      <w:r w:rsidRPr="006E6975">
        <w:rPr>
          <w:rFonts w:ascii="Book Antiqua" w:hAnsi="Book Antiqua"/>
          <w:noProof/>
          <w:lang w:eastAsia="zh-CN"/>
        </w:rPr>
        <mc:AlternateContent>
          <mc:Choice Requires="wps">
            <w:drawing>
              <wp:anchor distT="0" distB="0" distL="114300" distR="114300" simplePos="0" relativeHeight="251666432" behindDoc="0" locked="0" layoutInCell="1" allowOverlap="1" wp14:anchorId="35A95CD4" wp14:editId="3D5B0FCD">
                <wp:simplePos x="0" y="0"/>
                <wp:positionH relativeFrom="column">
                  <wp:posOffset>11430</wp:posOffset>
                </wp:positionH>
                <wp:positionV relativeFrom="paragraph">
                  <wp:posOffset>16510</wp:posOffset>
                </wp:positionV>
                <wp:extent cx="311150" cy="341630"/>
                <wp:effectExtent l="1905" t="0" r="127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56A82814"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C</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5A95CD4" id="Text Box 2" o:spid="_x0000_s1030" type="#_x0000_t202" style="position:absolute;left:0;text-align:left;margin-left:.9pt;margin-top:1.3pt;width:24.5pt;height:2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" filled="f" stroked="f">
                <v:textbox>
                  <w:txbxContent>
                    <w:p w14:paraId="56A82814"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C</w:t>
                      </w:r>
                    </w:p>
                  </w:txbxContent>
                </v:textbox>
              </v:shape>
            </w:pict>
          </mc:Fallback>
        </mc:AlternateContent>
      </w:r>
      <w:r w:rsidRPr="006E6975">
        <w:rPr>
          <w:rFonts w:ascii="Book Antiqua" w:hAnsi="Book Antiqua"/>
          <w:noProof/>
          <w:lang w:eastAsia="zh-CN"/>
        </w:rPr>
        <w:drawing>
          <wp:inline distT="0" distB="0" distL="0" distR="0" wp14:anchorId="6979FCB1" wp14:editId="07E00E9C">
            <wp:extent cx="2924810" cy="2200275"/>
            <wp:effectExtent l="0" t="0" r="0" b="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2"/>
                    <a:stretch>
                      <a:fillRect/>
                    </a:stretch>
                  </pic:blipFill>
                  <pic:spPr>
                    <a:xfrm>
                      <a:off x="0" y="0"/>
                      <a:ext cx="2942816" cy="2213936"/>
                    </a:xfrm>
                    <a:prstGeom prst="rect">
                      <a:avLst/>
                    </a:prstGeom>
                  </pic:spPr>
                </pic:pic>
              </a:graphicData>
            </a:graphic>
          </wp:inline>
        </w:drawing>
      </w:r>
      <w:r w:rsidRPr="006E6975">
        <w:rPr>
          <w:rFonts w:ascii="Book Antiqua" w:hAnsi="Book Antiqua"/>
          <w:noProof/>
          <w:lang w:eastAsia="zh-CN"/>
        </w:rPr>
        <w:drawing>
          <wp:inline distT="0" distB="0" distL="0" distR="0" wp14:anchorId="399D3743" wp14:editId="270A92CF">
            <wp:extent cx="2979292" cy="219456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pic:cNvPicPr>
                      <a:picLocks noChangeAspect="1"/>
                    </pic:cNvPicPr>
                  </pic:nvPicPr>
                  <pic:blipFill>
                    <a:blip r:embed="rId13"/>
                    <a:stretch>
                      <a:fillRect/>
                    </a:stretch>
                  </pic:blipFill>
                  <pic:spPr>
                    <a:xfrm>
                      <a:off x="0" y="0"/>
                      <a:ext cx="2999466" cy="2209421"/>
                    </a:xfrm>
                    <a:prstGeom prst="rect">
                      <a:avLst/>
                    </a:prstGeom>
                  </pic:spPr>
                </pic:pic>
              </a:graphicData>
            </a:graphic>
          </wp:inline>
        </w:drawing>
      </w:r>
    </w:p>
    <w:p w14:paraId="1A671486" w14:textId="77777777" w:rsidR="00FA181F" w:rsidRPr="006E6975" w:rsidRDefault="00A3669D" w:rsidP="006E6975">
      <w:pPr>
        <w:spacing w:line="360" w:lineRule="auto"/>
        <w:jc w:val="both"/>
        <w:rPr>
          <w:rFonts w:ascii="Book Antiqua" w:eastAsia="Book Antiqua" w:hAnsi="Book Antiqua" w:cs="Book Antiqua"/>
        </w:rPr>
        <w:sectPr w:rsidR="00FA181F" w:rsidRPr="006E6975">
          <w:pgSz w:w="12240" w:h="15840"/>
          <w:pgMar w:top="1440" w:right="1440" w:bottom="1440" w:left="1440" w:header="720" w:footer="720" w:gutter="0"/>
          <w:cols w:space="720"/>
          <w:docGrid w:linePitch="360"/>
        </w:sectPr>
      </w:pPr>
      <w:r w:rsidRPr="006E6975">
        <w:rPr>
          <w:rFonts w:ascii="Book Antiqua" w:eastAsia="Book Antiqua" w:hAnsi="Book Antiqua" w:cs="Book Antiqua"/>
          <w:b/>
          <w:bCs/>
        </w:rPr>
        <w:t>Figure 2 Histopathological image of the specimen.</w:t>
      </w:r>
      <w:r w:rsidRPr="006E6975">
        <w:rPr>
          <w:rFonts w:ascii="Book Antiqua" w:eastAsia="Book Antiqua" w:hAnsi="Book Antiqua" w:cs="Book Antiqua"/>
        </w:rPr>
        <w:t xml:space="preserve"> A: Specimen of left chest wall mass. A solid proliferation of atypical polymorphic cells, including spindle-shaped cells, multinucleated giant cells, and blood vessels with a wall irregularity are dominant. Mitosis and pericytomatous patterns were also confirmed in part. Hematoxylin and eosin staining (magnified 1000 ×); B: Specimen of left chest wall mass. CD34-positive cells were confirmed through immunohistochemical staining (magnified 1000 ×); C: Specimen of left chest wall mass. </w:t>
      </w:r>
      <w:bookmarkStart w:id="24" w:name="OLE_LINK1870"/>
      <w:bookmarkStart w:id="25" w:name="OLE_LINK1871"/>
      <w:r w:rsidRPr="006E6975">
        <w:rPr>
          <w:rFonts w:ascii="Book Antiqua" w:eastAsia="Book Antiqua" w:hAnsi="Book Antiqua" w:cs="Book Antiqua"/>
        </w:rPr>
        <w:t>STAT6</w:t>
      </w:r>
      <w:bookmarkEnd w:id="24"/>
      <w:bookmarkEnd w:id="25"/>
      <w:r w:rsidRPr="006E6975">
        <w:rPr>
          <w:rFonts w:ascii="Book Antiqua" w:eastAsia="Book Antiqua" w:hAnsi="Book Antiqua" w:cs="Book Antiqua"/>
        </w:rPr>
        <w:t>-positive cells were confirmed through immunohistochemical staining (magnified 1000 ×); D: A back-ordered specimen of intracranial tumor. A solid proliferation of atypical polymorphic cells, including spindle-shaped cells, multinucleated giant cells, and blood vessels with a wall irregularity are dominant. Mitosis and pericytomatous patterns were also confirmed in part. Hematoxylin and eosin staining (magnified 400 ×).</w:t>
      </w:r>
    </w:p>
    <w:p w14:paraId="7F8B0868" w14:textId="77777777" w:rsidR="00FA181F" w:rsidRPr="006E6975" w:rsidRDefault="00A3669D" w:rsidP="006E6975">
      <w:pPr>
        <w:spacing w:line="360" w:lineRule="auto"/>
        <w:jc w:val="both"/>
        <w:rPr>
          <w:rFonts w:ascii="Book Antiqua" w:eastAsiaTheme="minorEastAsia" w:hAnsi="Book Antiqua"/>
          <w:b/>
          <w:bCs/>
          <w:lang w:eastAsia="zh-CN"/>
        </w:rPr>
      </w:pPr>
      <w:r w:rsidRPr="006E6975">
        <w:rPr>
          <w:rFonts w:ascii="Book Antiqua" w:eastAsia="宋体" w:hAnsi="Book Antiqua" w:cs="Book Antiqua"/>
          <w:b/>
          <w:bCs/>
          <w:lang w:eastAsia="zh-CN"/>
        </w:rPr>
        <w:t xml:space="preserve">Table 1 </w:t>
      </w:r>
      <w:r w:rsidRPr="006E6975">
        <w:rPr>
          <w:rFonts w:ascii="Book Antiqua" w:hAnsi="Book Antiqua"/>
          <w:b/>
          <w:bCs/>
        </w:rPr>
        <w:t>Routine laboratory examination on admission</w:t>
      </w:r>
    </w:p>
    <w:tbl>
      <w:tblPr>
        <w:tblStyle w:val="a8"/>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984"/>
        <w:gridCol w:w="1984"/>
      </w:tblGrid>
      <w:tr w:rsidR="00FA181F" w:rsidRPr="006E6975" w14:paraId="4053430E" w14:textId="77777777">
        <w:trPr>
          <w:trHeight w:val="315"/>
        </w:trPr>
        <w:tc>
          <w:tcPr>
            <w:tcW w:w="4536" w:type="dxa"/>
            <w:tcBorders>
              <w:top w:val="single" w:sz="4" w:space="0" w:color="auto"/>
              <w:bottom w:val="single" w:sz="4" w:space="0" w:color="auto"/>
            </w:tcBorders>
            <w:noWrap/>
          </w:tcPr>
          <w:p w14:paraId="13CE72AC" w14:textId="77777777" w:rsidR="00FA181F" w:rsidRPr="006E6975" w:rsidRDefault="00A3669D" w:rsidP="006E6975">
            <w:pPr>
              <w:spacing w:line="360" w:lineRule="auto"/>
              <w:jc w:val="both"/>
              <w:rPr>
                <w:rFonts w:ascii="Book Antiqua" w:hAnsi="Book Antiqua"/>
                <w:b/>
                <w:bCs/>
              </w:rPr>
            </w:pPr>
            <w:r w:rsidRPr="006E6975">
              <w:rPr>
                <w:rFonts w:ascii="Book Antiqua" w:hAnsi="Book Antiqua"/>
                <w:b/>
                <w:bCs/>
              </w:rPr>
              <w:t>Parameter (units)</w:t>
            </w:r>
          </w:p>
        </w:tc>
        <w:tc>
          <w:tcPr>
            <w:tcW w:w="1984" w:type="dxa"/>
            <w:tcBorders>
              <w:top w:val="single" w:sz="4" w:space="0" w:color="auto"/>
              <w:bottom w:val="single" w:sz="4" w:space="0" w:color="auto"/>
            </w:tcBorders>
            <w:noWrap/>
          </w:tcPr>
          <w:p w14:paraId="7211F1BF" w14:textId="77777777" w:rsidR="00FA181F" w:rsidRPr="006E6975" w:rsidRDefault="00A3669D" w:rsidP="006E6975">
            <w:pPr>
              <w:spacing w:line="360" w:lineRule="auto"/>
              <w:jc w:val="both"/>
              <w:rPr>
                <w:rFonts w:ascii="Book Antiqua" w:hAnsi="Book Antiqua"/>
                <w:b/>
                <w:bCs/>
              </w:rPr>
            </w:pPr>
            <w:r w:rsidRPr="006E6975">
              <w:rPr>
                <w:rFonts w:ascii="Book Antiqua" w:hAnsi="Book Antiqua"/>
                <w:b/>
                <w:bCs/>
              </w:rPr>
              <w:t>Measured value</w:t>
            </w:r>
          </w:p>
        </w:tc>
        <w:tc>
          <w:tcPr>
            <w:tcW w:w="1984" w:type="dxa"/>
            <w:tcBorders>
              <w:top w:val="single" w:sz="4" w:space="0" w:color="auto"/>
              <w:bottom w:val="single" w:sz="4" w:space="0" w:color="auto"/>
            </w:tcBorders>
            <w:noWrap/>
          </w:tcPr>
          <w:p w14:paraId="35740E3E" w14:textId="77777777" w:rsidR="00FA181F" w:rsidRPr="006E6975" w:rsidRDefault="00A3669D" w:rsidP="006E6975">
            <w:pPr>
              <w:spacing w:line="360" w:lineRule="auto"/>
              <w:jc w:val="both"/>
              <w:rPr>
                <w:rFonts w:ascii="Book Antiqua" w:hAnsi="Book Antiqua"/>
                <w:b/>
                <w:bCs/>
              </w:rPr>
            </w:pPr>
            <w:r w:rsidRPr="006E6975">
              <w:rPr>
                <w:rFonts w:ascii="Book Antiqua" w:hAnsi="Book Antiqua"/>
                <w:b/>
                <w:bCs/>
              </w:rPr>
              <w:t>Normal value</w:t>
            </w:r>
          </w:p>
        </w:tc>
      </w:tr>
      <w:tr w:rsidR="00FA181F" w:rsidRPr="006E6975" w14:paraId="53C3F66D" w14:textId="77777777">
        <w:trPr>
          <w:trHeight w:val="315"/>
        </w:trPr>
        <w:tc>
          <w:tcPr>
            <w:tcW w:w="4536" w:type="dxa"/>
            <w:tcBorders>
              <w:top w:val="single" w:sz="4" w:space="0" w:color="auto"/>
            </w:tcBorders>
            <w:noWrap/>
          </w:tcPr>
          <w:p w14:paraId="55404474" w14:textId="77777777" w:rsidR="00FA181F" w:rsidRPr="006E6975" w:rsidRDefault="00A3669D" w:rsidP="006E6975">
            <w:pPr>
              <w:spacing w:line="360" w:lineRule="auto"/>
              <w:jc w:val="both"/>
              <w:rPr>
                <w:rFonts w:ascii="Book Antiqua" w:hAnsi="Book Antiqua"/>
              </w:rPr>
            </w:pPr>
            <w:r w:rsidRPr="006E6975">
              <w:rPr>
                <w:rFonts w:ascii="Book Antiqua" w:hAnsi="Book Antiqua"/>
              </w:rPr>
              <w:t>White blood cell (10</w:t>
            </w:r>
            <w:r w:rsidRPr="006E6975">
              <w:rPr>
                <w:rFonts w:ascii="Book Antiqua" w:hAnsi="Book Antiqua"/>
                <w:vertAlign w:val="superscript"/>
              </w:rPr>
              <w:t>3</w:t>
            </w:r>
            <w:r w:rsidRPr="006E6975">
              <w:rPr>
                <w:rFonts w:ascii="Book Antiqua" w:hAnsi="Book Antiqua"/>
              </w:rPr>
              <w:t>/µL)</w:t>
            </w:r>
          </w:p>
        </w:tc>
        <w:tc>
          <w:tcPr>
            <w:tcW w:w="1984" w:type="dxa"/>
            <w:tcBorders>
              <w:top w:val="single" w:sz="4" w:space="0" w:color="auto"/>
            </w:tcBorders>
            <w:noWrap/>
          </w:tcPr>
          <w:p w14:paraId="1D8F0436" w14:textId="77777777" w:rsidR="00FA181F" w:rsidRPr="006E6975" w:rsidRDefault="00A3669D" w:rsidP="006E6975">
            <w:pPr>
              <w:spacing w:line="360" w:lineRule="auto"/>
              <w:jc w:val="both"/>
              <w:rPr>
                <w:rFonts w:ascii="Book Antiqua" w:hAnsi="Book Antiqua"/>
              </w:rPr>
            </w:pPr>
            <w:r w:rsidRPr="006E6975">
              <w:rPr>
                <w:rFonts w:ascii="Book Antiqua" w:hAnsi="Book Antiqua"/>
              </w:rPr>
              <w:t>18</w:t>
            </w:r>
          </w:p>
        </w:tc>
        <w:tc>
          <w:tcPr>
            <w:tcW w:w="1984" w:type="dxa"/>
            <w:tcBorders>
              <w:top w:val="single" w:sz="4" w:space="0" w:color="auto"/>
            </w:tcBorders>
            <w:noWrap/>
          </w:tcPr>
          <w:p w14:paraId="12A15EF1" w14:textId="77777777" w:rsidR="00FA181F" w:rsidRPr="006E6975" w:rsidRDefault="00A3669D" w:rsidP="006E6975">
            <w:pPr>
              <w:spacing w:line="360" w:lineRule="auto"/>
              <w:jc w:val="both"/>
              <w:rPr>
                <w:rFonts w:ascii="Book Antiqua" w:hAnsi="Book Antiqua"/>
              </w:rPr>
            </w:pPr>
            <w:r w:rsidRPr="006E6975">
              <w:rPr>
                <w:rFonts w:ascii="Book Antiqua" w:hAnsi="Book Antiqua"/>
              </w:rPr>
              <w:t>3.8-8.5</w:t>
            </w:r>
          </w:p>
        </w:tc>
      </w:tr>
      <w:tr w:rsidR="00FA181F" w:rsidRPr="006E6975" w14:paraId="330E1176" w14:textId="77777777">
        <w:trPr>
          <w:trHeight w:val="315"/>
        </w:trPr>
        <w:tc>
          <w:tcPr>
            <w:tcW w:w="4536" w:type="dxa"/>
            <w:noWrap/>
          </w:tcPr>
          <w:p w14:paraId="1FD19A40" w14:textId="77777777" w:rsidR="00FA181F" w:rsidRPr="006E6975" w:rsidRDefault="00A3669D" w:rsidP="006E6975">
            <w:pPr>
              <w:spacing w:line="360" w:lineRule="auto"/>
              <w:jc w:val="both"/>
              <w:rPr>
                <w:rFonts w:ascii="Book Antiqua" w:hAnsi="Book Antiqua"/>
              </w:rPr>
            </w:pPr>
            <w:r w:rsidRPr="006E6975">
              <w:rPr>
                <w:rFonts w:ascii="Book Antiqua" w:hAnsi="Book Antiqua"/>
              </w:rPr>
              <w:t>Neutrophil (%)</w:t>
            </w:r>
          </w:p>
        </w:tc>
        <w:tc>
          <w:tcPr>
            <w:tcW w:w="1984" w:type="dxa"/>
            <w:noWrap/>
          </w:tcPr>
          <w:p w14:paraId="47175D3F" w14:textId="77777777" w:rsidR="00FA181F" w:rsidRPr="006E6975" w:rsidRDefault="00A3669D" w:rsidP="006E6975">
            <w:pPr>
              <w:spacing w:line="360" w:lineRule="auto"/>
              <w:jc w:val="both"/>
              <w:rPr>
                <w:rFonts w:ascii="Book Antiqua" w:hAnsi="Book Antiqua"/>
              </w:rPr>
            </w:pPr>
            <w:r w:rsidRPr="006E6975">
              <w:rPr>
                <w:rFonts w:ascii="Book Antiqua" w:hAnsi="Book Antiqua"/>
              </w:rPr>
              <w:t>84.4</w:t>
            </w:r>
          </w:p>
        </w:tc>
        <w:tc>
          <w:tcPr>
            <w:tcW w:w="1984" w:type="dxa"/>
            <w:noWrap/>
          </w:tcPr>
          <w:p w14:paraId="6661051D" w14:textId="77777777" w:rsidR="00FA181F" w:rsidRPr="006E6975" w:rsidRDefault="00A3669D" w:rsidP="006E6975">
            <w:pPr>
              <w:spacing w:line="360" w:lineRule="auto"/>
              <w:jc w:val="both"/>
              <w:rPr>
                <w:rFonts w:ascii="Book Antiqua" w:hAnsi="Book Antiqua"/>
              </w:rPr>
            </w:pPr>
            <w:r w:rsidRPr="006E6975">
              <w:rPr>
                <w:rFonts w:ascii="Book Antiqua" w:hAnsi="Book Antiqua"/>
              </w:rPr>
              <w:t>48-61</w:t>
            </w:r>
          </w:p>
        </w:tc>
      </w:tr>
      <w:tr w:rsidR="00FA181F" w:rsidRPr="006E6975" w14:paraId="6C3ED971" w14:textId="77777777">
        <w:trPr>
          <w:trHeight w:val="315"/>
        </w:trPr>
        <w:tc>
          <w:tcPr>
            <w:tcW w:w="4536" w:type="dxa"/>
            <w:noWrap/>
          </w:tcPr>
          <w:p w14:paraId="3DC0B33C" w14:textId="77777777" w:rsidR="00FA181F" w:rsidRPr="006E6975" w:rsidRDefault="00A3669D" w:rsidP="006E6975">
            <w:pPr>
              <w:spacing w:line="360" w:lineRule="auto"/>
              <w:jc w:val="both"/>
              <w:rPr>
                <w:rFonts w:ascii="Book Antiqua" w:hAnsi="Book Antiqua"/>
              </w:rPr>
            </w:pPr>
            <w:r w:rsidRPr="006E6975">
              <w:rPr>
                <w:rFonts w:ascii="Book Antiqua" w:hAnsi="Book Antiqua"/>
              </w:rPr>
              <w:t>Lymphocyte (%)</w:t>
            </w:r>
          </w:p>
        </w:tc>
        <w:tc>
          <w:tcPr>
            <w:tcW w:w="1984" w:type="dxa"/>
            <w:noWrap/>
          </w:tcPr>
          <w:p w14:paraId="24A8D6B2" w14:textId="77777777" w:rsidR="00FA181F" w:rsidRPr="006E6975" w:rsidRDefault="00A3669D" w:rsidP="006E6975">
            <w:pPr>
              <w:spacing w:line="360" w:lineRule="auto"/>
              <w:jc w:val="both"/>
              <w:rPr>
                <w:rFonts w:ascii="Book Antiqua" w:hAnsi="Book Antiqua"/>
              </w:rPr>
            </w:pPr>
            <w:r w:rsidRPr="006E6975">
              <w:rPr>
                <w:rFonts w:ascii="Book Antiqua" w:hAnsi="Book Antiqua"/>
              </w:rPr>
              <w:t>8.4</w:t>
            </w:r>
          </w:p>
        </w:tc>
        <w:tc>
          <w:tcPr>
            <w:tcW w:w="1984" w:type="dxa"/>
            <w:noWrap/>
          </w:tcPr>
          <w:p w14:paraId="7C413298" w14:textId="77777777" w:rsidR="00FA181F" w:rsidRPr="006E6975" w:rsidRDefault="00A3669D" w:rsidP="006E6975">
            <w:pPr>
              <w:spacing w:line="360" w:lineRule="auto"/>
              <w:jc w:val="both"/>
              <w:rPr>
                <w:rFonts w:ascii="Book Antiqua" w:hAnsi="Book Antiqua"/>
              </w:rPr>
            </w:pPr>
            <w:r w:rsidRPr="006E6975">
              <w:rPr>
                <w:rFonts w:ascii="Book Antiqua" w:hAnsi="Book Antiqua"/>
              </w:rPr>
              <w:t>25-45</w:t>
            </w:r>
          </w:p>
        </w:tc>
      </w:tr>
      <w:tr w:rsidR="00FA181F" w:rsidRPr="006E6975" w14:paraId="7EDF5FE2" w14:textId="77777777">
        <w:trPr>
          <w:trHeight w:val="315"/>
        </w:trPr>
        <w:tc>
          <w:tcPr>
            <w:tcW w:w="4536" w:type="dxa"/>
            <w:noWrap/>
          </w:tcPr>
          <w:p w14:paraId="4228B75E" w14:textId="77777777" w:rsidR="00FA181F" w:rsidRPr="006E6975" w:rsidRDefault="00A3669D" w:rsidP="006E6975">
            <w:pPr>
              <w:spacing w:line="360" w:lineRule="auto"/>
              <w:jc w:val="both"/>
              <w:rPr>
                <w:rFonts w:ascii="Book Antiqua" w:hAnsi="Book Antiqua"/>
              </w:rPr>
            </w:pPr>
            <w:r w:rsidRPr="006E6975">
              <w:rPr>
                <w:rFonts w:ascii="Book Antiqua" w:hAnsi="Book Antiqua"/>
              </w:rPr>
              <w:t>Monocyte (%)</w:t>
            </w:r>
          </w:p>
        </w:tc>
        <w:tc>
          <w:tcPr>
            <w:tcW w:w="1984" w:type="dxa"/>
            <w:noWrap/>
          </w:tcPr>
          <w:p w14:paraId="2F0F599B" w14:textId="77777777" w:rsidR="00FA181F" w:rsidRPr="006E6975" w:rsidRDefault="00A3669D" w:rsidP="006E6975">
            <w:pPr>
              <w:spacing w:line="360" w:lineRule="auto"/>
              <w:jc w:val="both"/>
              <w:rPr>
                <w:rFonts w:ascii="Book Antiqua" w:hAnsi="Book Antiqua"/>
              </w:rPr>
            </w:pPr>
            <w:r w:rsidRPr="006E6975">
              <w:rPr>
                <w:rFonts w:ascii="Book Antiqua" w:hAnsi="Book Antiqua"/>
              </w:rPr>
              <w:t>3.2</w:t>
            </w:r>
          </w:p>
        </w:tc>
        <w:tc>
          <w:tcPr>
            <w:tcW w:w="1984" w:type="dxa"/>
            <w:noWrap/>
          </w:tcPr>
          <w:p w14:paraId="7AED5B95" w14:textId="77777777" w:rsidR="00FA181F" w:rsidRPr="006E6975" w:rsidRDefault="00A3669D" w:rsidP="006E6975">
            <w:pPr>
              <w:spacing w:line="360" w:lineRule="auto"/>
              <w:jc w:val="both"/>
              <w:rPr>
                <w:rFonts w:ascii="Book Antiqua" w:hAnsi="Book Antiqua"/>
              </w:rPr>
            </w:pPr>
            <w:r w:rsidRPr="006E6975">
              <w:rPr>
                <w:rFonts w:ascii="Book Antiqua" w:hAnsi="Book Antiqua"/>
              </w:rPr>
              <w:t>4-7</w:t>
            </w:r>
          </w:p>
        </w:tc>
      </w:tr>
      <w:tr w:rsidR="00FA181F" w:rsidRPr="006E6975" w14:paraId="6377A136" w14:textId="77777777">
        <w:trPr>
          <w:trHeight w:val="315"/>
        </w:trPr>
        <w:tc>
          <w:tcPr>
            <w:tcW w:w="4536" w:type="dxa"/>
            <w:noWrap/>
          </w:tcPr>
          <w:p w14:paraId="5A6E4B93" w14:textId="77777777" w:rsidR="00FA181F" w:rsidRPr="006E6975" w:rsidRDefault="00A3669D" w:rsidP="006E6975">
            <w:pPr>
              <w:spacing w:line="360" w:lineRule="auto"/>
              <w:jc w:val="both"/>
              <w:rPr>
                <w:rFonts w:ascii="Book Antiqua" w:hAnsi="Book Antiqua"/>
              </w:rPr>
            </w:pPr>
            <w:r w:rsidRPr="006E6975">
              <w:rPr>
                <w:rFonts w:ascii="Book Antiqua" w:hAnsi="Book Antiqua"/>
              </w:rPr>
              <w:t>Eosinophil (%)</w:t>
            </w:r>
          </w:p>
        </w:tc>
        <w:tc>
          <w:tcPr>
            <w:tcW w:w="1984" w:type="dxa"/>
            <w:noWrap/>
          </w:tcPr>
          <w:p w14:paraId="54562496" w14:textId="77777777" w:rsidR="00FA181F" w:rsidRPr="006E6975" w:rsidRDefault="00A3669D" w:rsidP="006E6975">
            <w:pPr>
              <w:spacing w:line="360" w:lineRule="auto"/>
              <w:jc w:val="both"/>
              <w:rPr>
                <w:rFonts w:ascii="Book Antiqua" w:hAnsi="Book Antiqua"/>
              </w:rPr>
            </w:pPr>
            <w:r w:rsidRPr="006E6975">
              <w:rPr>
                <w:rFonts w:ascii="Book Antiqua" w:hAnsi="Book Antiqua"/>
              </w:rPr>
              <w:t>3.6</w:t>
            </w:r>
          </w:p>
        </w:tc>
        <w:tc>
          <w:tcPr>
            <w:tcW w:w="1984" w:type="dxa"/>
            <w:noWrap/>
          </w:tcPr>
          <w:p w14:paraId="07C674B3" w14:textId="77777777" w:rsidR="00FA181F" w:rsidRPr="006E6975" w:rsidRDefault="00A3669D" w:rsidP="006E6975">
            <w:pPr>
              <w:spacing w:line="360" w:lineRule="auto"/>
              <w:jc w:val="both"/>
              <w:rPr>
                <w:rFonts w:ascii="Book Antiqua" w:hAnsi="Book Antiqua"/>
              </w:rPr>
            </w:pPr>
            <w:r w:rsidRPr="006E6975">
              <w:rPr>
                <w:rFonts w:ascii="Book Antiqua" w:hAnsi="Book Antiqua"/>
              </w:rPr>
              <w:t>1-5</w:t>
            </w:r>
          </w:p>
        </w:tc>
      </w:tr>
      <w:tr w:rsidR="00FA181F" w:rsidRPr="006E6975" w14:paraId="6D5AF721" w14:textId="77777777">
        <w:trPr>
          <w:trHeight w:val="315"/>
        </w:trPr>
        <w:tc>
          <w:tcPr>
            <w:tcW w:w="4536" w:type="dxa"/>
            <w:noWrap/>
          </w:tcPr>
          <w:p w14:paraId="7F707891" w14:textId="77777777" w:rsidR="00FA181F" w:rsidRPr="006E6975" w:rsidRDefault="00A3669D" w:rsidP="006E6975">
            <w:pPr>
              <w:spacing w:line="360" w:lineRule="auto"/>
              <w:jc w:val="both"/>
              <w:rPr>
                <w:rFonts w:ascii="Book Antiqua" w:hAnsi="Book Antiqua"/>
              </w:rPr>
            </w:pPr>
            <w:r w:rsidRPr="006E6975">
              <w:rPr>
                <w:rFonts w:ascii="Book Antiqua" w:hAnsi="Book Antiqua"/>
              </w:rPr>
              <w:t>Basophil (%)</w:t>
            </w:r>
          </w:p>
        </w:tc>
        <w:tc>
          <w:tcPr>
            <w:tcW w:w="1984" w:type="dxa"/>
            <w:noWrap/>
          </w:tcPr>
          <w:p w14:paraId="18CE5EB8" w14:textId="77777777" w:rsidR="00FA181F" w:rsidRPr="006E6975" w:rsidRDefault="00A3669D" w:rsidP="006E6975">
            <w:pPr>
              <w:spacing w:line="360" w:lineRule="auto"/>
              <w:jc w:val="both"/>
              <w:rPr>
                <w:rFonts w:ascii="Book Antiqua" w:hAnsi="Book Antiqua"/>
              </w:rPr>
            </w:pPr>
            <w:r w:rsidRPr="006E6975">
              <w:rPr>
                <w:rFonts w:ascii="Book Antiqua" w:hAnsi="Book Antiqua"/>
              </w:rPr>
              <w:t>0.4</w:t>
            </w:r>
          </w:p>
        </w:tc>
        <w:tc>
          <w:tcPr>
            <w:tcW w:w="1984" w:type="dxa"/>
            <w:noWrap/>
          </w:tcPr>
          <w:p w14:paraId="40147F0D" w14:textId="77777777" w:rsidR="00FA181F" w:rsidRPr="006E6975" w:rsidRDefault="00A3669D" w:rsidP="006E6975">
            <w:pPr>
              <w:spacing w:line="360" w:lineRule="auto"/>
              <w:jc w:val="both"/>
              <w:rPr>
                <w:rFonts w:ascii="Book Antiqua" w:hAnsi="Book Antiqua"/>
              </w:rPr>
            </w:pPr>
            <w:r w:rsidRPr="006E6975">
              <w:rPr>
                <w:rFonts w:ascii="Book Antiqua" w:hAnsi="Book Antiqua"/>
              </w:rPr>
              <w:t>0-1</w:t>
            </w:r>
          </w:p>
        </w:tc>
      </w:tr>
      <w:tr w:rsidR="00FA181F" w:rsidRPr="006E6975" w14:paraId="43B0356B" w14:textId="77777777">
        <w:trPr>
          <w:trHeight w:val="315"/>
        </w:trPr>
        <w:tc>
          <w:tcPr>
            <w:tcW w:w="4536" w:type="dxa"/>
            <w:noWrap/>
          </w:tcPr>
          <w:p w14:paraId="55C78BEC" w14:textId="77777777" w:rsidR="00FA181F" w:rsidRPr="006E6975" w:rsidRDefault="00A3669D" w:rsidP="006E6975">
            <w:pPr>
              <w:spacing w:line="360" w:lineRule="auto"/>
              <w:jc w:val="both"/>
              <w:rPr>
                <w:rFonts w:ascii="Book Antiqua" w:hAnsi="Book Antiqua"/>
              </w:rPr>
            </w:pPr>
            <w:r w:rsidRPr="006E6975">
              <w:rPr>
                <w:rFonts w:ascii="Book Antiqua" w:hAnsi="Book Antiqua"/>
              </w:rPr>
              <w:t>Red blood cell (10</w:t>
            </w:r>
            <w:r w:rsidRPr="006E6975">
              <w:rPr>
                <w:rFonts w:ascii="Book Antiqua" w:hAnsi="Book Antiqua"/>
                <w:vertAlign w:val="superscript"/>
              </w:rPr>
              <w:t>6</w:t>
            </w:r>
            <w:r w:rsidRPr="006E6975">
              <w:rPr>
                <w:rFonts w:ascii="Book Antiqua" w:hAnsi="Book Antiqua"/>
              </w:rPr>
              <w:t>/µL)</w:t>
            </w:r>
          </w:p>
        </w:tc>
        <w:tc>
          <w:tcPr>
            <w:tcW w:w="1984" w:type="dxa"/>
            <w:noWrap/>
          </w:tcPr>
          <w:p w14:paraId="634FBBF7" w14:textId="77777777" w:rsidR="00FA181F" w:rsidRPr="006E6975" w:rsidRDefault="00A3669D" w:rsidP="006E6975">
            <w:pPr>
              <w:spacing w:line="360" w:lineRule="auto"/>
              <w:jc w:val="both"/>
              <w:rPr>
                <w:rFonts w:ascii="Book Antiqua" w:hAnsi="Book Antiqua"/>
              </w:rPr>
            </w:pPr>
            <w:r w:rsidRPr="006E6975">
              <w:rPr>
                <w:rFonts w:ascii="Book Antiqua" w:hAnsi="Book Antiqua"/>
              </w:rPr>
              <w:t>7.04</w:t>
            </w:r>
          </w:p>
        </w:tc>
        <w:tc>
          <w:tcPr>
            <w:tcW w:w="1984" w:type="dxa"/>
            <w:noWrap/>
          </w:tcPr>
          <w:p w14:paraId="04EAEDC4" w14:textId="77777777" w:rsidR="00FA181F" w:rsidRPr="006E6975" w:rsidRDefault="00A3669D" w:rsidP="006E6975">
            <w:pPr>
              <w:spacing w:line="360" w:lineRule="auto"/>
              <w:jc w:val="both"/>
              <w:rPr>
                <w:rFonts w:ascii="Book Antiqua" w:hAnsi="Book Antiqua"/>
              </w:rPr>
            </w:pPr>
            <w:r w:rsidRPr="006E6975">
              <w:rPr>
                <w:rFonts w:ascii="Book Antiqua" w:hAnsi="Book Antiqua"/>
              </w:rPr>
              <w:t>3.78-4.97</w:t>
            </w:r>
          </w:p>
        </w:tc>
      </w:tr>
      <w:tr w:rsidR="00FA181F" w:rsidRPr="006E6975" w14:paraId="3F2857B9" w14:textId="77777777">
        <w:trPr>
          <w:trHeight w:val="315"/>
        </w:trPr>
        <w:tc>
          <w:tcPr>
            <w:tcW w:w="4536" w:type="dxa"/>
            <w:noWrap/>
          </w:tcPr>
          <w:p w14:paraId="59FE3312" w14:textId="77777777" w:rsidR="00FA181F" w:rsidRPr="006E6975" w:rsidRDefault="00A3669D" w:rsidP="006E6975">
            <w:pPr>
              <w:spacing w:line="360" w:lineRule="auto"/>
              <w:jc w:val="both"/>
              <w:rPr>
                <w:rFonts w:ascii="Book Antiqua" w:hAnsi="Book Antiqua"/>
              </w:rPr>
            </w:pPr>
            <w:r w:rsidRPr="006E6975">
              <w:rPr>
                <w:rFonts w:ascii="Book Antiqua" w:hAnsi="Book Antiqua"/>
              </w:rPr>
              <w:t>Hemoglobin</w:t>
            </w:r>
          </w:p>
        </w:tc>
        <w:tc>
          <w:tcPr>
            <w:tcW w:w="1984" w:type="dxa"/>
            <w:noWrap/>
          </w:tcPr>
          <w:p w14:paraId="07FA1448" w14:textId="77777777" w:rsidR="00FA181F" w:rsidRPr="006E6975" w:rsidRDefault="00A3669D" w:rsidP="006E6975">
            <w:pPr>
              <w:spacing w:line="360" w:lineRule="auto"/>
              <w:jc w:val="both"/>
              <w:rPr>
                <w:rFonts w:ascii="Book Antiqua" w:hAnsi="Book Antiqua"/>
              </w:rPr>
            </w:pPr>
            <w:r w:rsidRPr="006E6975">
              <w:rPr>
                <w:rFonts w:ascii="Book Antiqua" w:hAnsi="Book Antiqua"/>
              </w:rPr>
              <w:t>17.8</w:t>
            </w:r>
          </w:p>
        </w:tc>
        <w:tc>
          <w:tcPr>
            <w:tcW w:w="1984" w:type="dxa"/>
            <w:noWrap/>
          </w:tcPr>
          <w:p w14:paraId="1FE8C05C" w14:textId="77777777" w:rsidR="00FA181F" w:rsidRPr="006E6975" w:rsidRDefault="00A3669D" w:rsidP="006E6975">
            <w:pPr>
              <w:spacing w:line="360" w:lineRule="auto"/>
              <w:jc w:val="both"/>
              <w:rPr>
                <w:rFonts w:ascii="Book Antiqua" w:hAnsi="Book Antiqua"/>
              </w:rPr>
            </w:pPr>
            <w:r w:rsidRPr="006E6975">
              <w:rPr>
                <w:rFonts w:ascii="Book Antiqua" w:hAnsi="Book Antiqua"/>
              </w:rPr>
              <w:t>13.7-17.4</w:t>
            </w:r>
          </w:p>
        </w:tc>
      </w:tr>
      <w:tr w:rsidR="00FA181F" w:rsidRPr="006E6975" w14:paraId="455BBE92" w14:textId="77777777">
        <w:trPr>
          <w:trHeight w:val="315"/>
        </w:trPr>
        <w:tc>
          <w:tcPr>
            <w:tcW w:w="4536" w:type="dxa"/>
            <w:noWrap/>
          </w:tcPr>
          <w:p w14:paraId="09BA26EE" w14:textId="77777777" w:rsidR="00FA181F" w:rsidRPr="006E6975" w:rsidRDefault="00A3669D" w:rsidP="006E6975">
            <w:pPr>
              <w:spacing w:line="360" w:lineRule="auto"/>
              <w:jc w:val="both"/>
              <w:rPr>
                <w:rFonts w:ascii="Book Antiqua" w:hAnsi="Book Antiqua"/>
              </w:rPr>
            </w:pPr>
            <w:r w:rsidRPr="006E6975">
              <w:rPr>
                <w:rFonts w:ascii="Book Antiqua" w:hAnsi="Book Antiqua"/>
              </w:rPr>
              <w:t>Hematocrit</w:t>
            </w:r>
          </w:p>
        </w:tc>
        <w:tc>
          <w:tcPr>
            <w:tcW w:w="1984" w:type="dxa"/>
            <w:noWrap/>
          </w:tcPr>
          <w:p w14:paraId="45744051" w14:textId="77777777" w:rsidR="00FA181F" w:rsidRPr="006E6975" w:rsidRDefault="00A3669D" w:rsidP="006E6975">
            <w:pPr>
              <w:spacing w:line="360" w:lineRule="auto"/>
              <w:jc w:val="both"/>
              <w:rPr>
                <w:rFonts w:ascii="Book Antiqua" w:hAnsi="Book Antiqua"/>
              </w:rPr>
            </w:pPr>
            <w:r w:rsidRPr="006E6975">
              <w:rPr>
                <w:rFonts w:ascii="Book Antiqua" w:hAnsi="Book Antiqua"/>
              </w:rPr>
              <w:t>56.9</w:t>
            </w:r>
          </w:p>
        </w:tc>
        <w:tc>
          <w:tcPr>
            <w:tcW w:w="1984" w:type="dxa"/>
            <w:noWrap/>
          </w:tcPr>
          <w:p w14:paraId="17D444AF" w14:textId="77777777" w:rsidR="00FA181F" w:rsidRPr="006E6975" w:rsidRDefault="00A3669D" w:rsidP="006E6975">
            <w:pPr>
              <w:spacing w:line="360" w:lineRule="auto"/>
              <w:jc w:val="both"/>
              <w:rPr>
                <w:rFonts w:ascii="Book Antiqua" w:hAnsi="Book Antiqua"/>
              </w:rPr>
            </w:pPr>
            <w:r w:rsidRPr="006E6975">
              <w:rPr>
                <w:rFonts w:ascii="Book Antiqua" w:hAnsi="Book Antiqua"/>
              </w:rPr>
              <w:t>40.2-51.5</w:t>
            </w:r>
          </w:p>
        </w:tc>
      </w:tr>
      <w:tr w:rsidR="00FA181F" w:rsidRPr="006E6975" w14:paraId="319D5C91" w14:textId="77777777">
        <w:trPr>
          <w:trHeight w:val="315"/>
        </w:trPr>
        <w:tc>
          <w:tcPr>
            <w:tcW w:w="4536" w:type="dxa"/>
            <w:noWrap/>
          </w:tcPr>
          <w:p w14:paraId="6BAACE70" w14:textId="77777777" w:rsidR="00FA181F" w:rsidRPr="006E6975" w:rsidRDefault="00A3669D" w:rsidP="006E6975">
            <w:pPr>
              <w:spacing w:line="360" w:lineRule="auto"/>
              <w:jc w:val="both"/>
              <w:rPr>
                <w:rFonts w:ascii="Book Antiqua" w:hAnsi="Book Antiqua"/>
              </w:rPr>
            </w:pPr>
            <w:r w:rsidRPr="006E6975">
              <w:rPr>
                <w:rFonts w:ascii="Book Antiqua" w:hAnsi="Book Antiqua"/>
              </w:rPr>
              <w:t>Platelet (10</w:t>
            </w:r>
            <w:r w:rsidRPr="006E6975">
              <w:rPr>
                <w:rFonts w:ascii="Book Antiqua" w:hAnsi="Book Antiqua"/>
                <w:vertAlign w:val="superscript"/>
              </w:rPr>
              <w:t>3</w:t>
            </w:r>
            <w:r w:rsidRPr="006E6975">
              <w:rPr>
                <w:rFonts w:ascii="Book Antiqua" w:hAnsi="Book Antiqua"/>
              </w:rPr>
              <w:t>/µL)</w:t>
            </w:r>
          </w:p>
        </w:tc>
        <w:tc>
          <w:tcPr>
            <w:tcW w:w="1984" w:type="dxa"/>
            <w:noWrap/>
          </w:tcPr>
          <w:p w14:paraId="12BE9201" w14:textId="77777777" w:rsidR="00FA181F" w:rsidRPr="006E6975" w:rsidRDefault="00A3669D" w:rsidP="006E6975">
            <w:pPr>
              <w:spacing w:line="360" w:lineRule="auto"/>
              <w:jc w:val="both"/>
              <w:rPr>
                <w:rFonts w:ascii="Book Antiqua" w:hAnsi="Book Antiqua"/>
              </w:rPr>
            </w:pPr>
            <w:r w:rsidRPr="006E6975">
              <w:rPr>
                <w:rFonts w:ascii="Book Antiqua" w:hAnsi="Book Antiqua"/>
              </w:rPr>
              <w:t>214</w:t>
            </w:r>
          </w:p>
        </w:tc>
        <w:tc>
          <w:tcPr>
            <w:tcW w:w="1984" w:type="dxa"/>
            <w:noWrap/>
          </w:tcPr>
          <w:p w14:paraId="33F3F8D2" w14:textId="77777777" w:rsidR="00FA181F" w:rsidRPr="006E6975" w:rsidRDefault="00A3669D" w:rsidP="006E6975">
            <w:pPr>
              <w:spacing w:line="360" w:lineRule="auto"/>
              <w:jc w:val="both"/>
              <w:rPr>
                <w:rFonts w:ascii="Book Antiqua" w:hAnsi="Book Antiqua"/>
              </w:rPr>
            </w:pPr>
            <w:r w:rsidRPr="006E6975">
              <w:rPr>
                <w:rFonts w:ascii="Book Antiqua" w:hAnsi="Book Antiqua"/>
              </w:rPr>
              <w:t>131-365</w:t>
            </w:r>
          </w:p>
        </w:tc>
      </w:tr>
      <w:tr w:rsidR="00FA181F" w:rsidRPr="006E6975" w14:paraId="3472F4DA" w14:textId="77777777">
        <w:trPr>
          <w:trHeight w:val="315"/>
        </w:trPr>
        <w:tc>
          <w:tcPr>
            <w:tcW w:w="4536" w:type="dxa"/>
            <w:noWrap/>
          </w:tcPr>
          <w:p w14:paraId="7CF4FD11" w14:textId="77777777" w:rsidR="00FA181F" w:rsidRPr="006E6975" w:rsidRDefault="00A3669D" w:rsidP="006E6975">
            <w:pPr>
              <w:spacing w:line="360" w:lineRule="auto"/>
              <w:jc w:val="both"/>
              <w:rPr>
                <w:rFonts w:ascii="Book Antiqua" w:hAnsi="Book Antiqua"/>
              </w:rPr>
            </w:pPr>
            <w:r w:rsidRPr="006E6975">
              <w:rPr>
                <w:rFonts w:ascii="Book Antiqua" w:hAnsi="Book Antiqua"/>
              </w:rPr>
              <w:t>Aspartate transaminase (IU/L)</w:t>
            </w:r>
          </w:p>
        </w:tc>
        <w:tc>
          <w:tcPr>
            <w:tcW w:w="1984" w:type="dxa"/>
            <w:noWrap/>
          </w:tcPr>
          <w:p w14:paraId="5D9D5F93" w14:textId="77777777" w:rsidR="00FA181F" w:rsidRPr="006E6975" w:rsidRDefault="00A3669D" w:rsidP="006E6975">
            <w:pPr>
              <w:spacing w:line="360" w:lineRule="auto"/>
              <w:jc w:val="both"/>
              <w:rPr>
                <w:rFonts w:ascii="Book Antiqua" w:hAnsi="Book Antiqua"/>
              </w:rPr>
            </w:pPr>
            <w:r w:rsidRPr="006E6975">
              <w:rPr>
                <w:rFonts w:ascii="Book Antiqua" w:hAnsi="Book Antiqua"/>
              </w:rPr>
              <w:t>65</w:t>
            </w:r>
          </w:p>
        </w:tc>
        <w:tc>
          <w:tcPr>
            <w:tcW w:w="1984" w:type="dxa"/>
            <w:noWrap/>
          </w:tcPr>
          <w:p w14:paraId="7968618A" w14:textId="77777777" w:rsidR="00FA181F" w:rsidRPr="006E6975" w:rsidRDefault="00A3669D" w:rsidP="006E6975">
            <w:pPr>
              <w:spacing w:line="360" w:lineRule="auto"/>
              <w:jc w:val="both"/>
              <w:rPr>
                <w:rFonts w:ascii="Book Antiqua" w:hAnsi="Book Antiqua"/>
              </w:rPr>
            </w:pPr>
            <w:r w:rsidRPr="006E6975">
              <w:rPr>
                <w:rFonts w:ascii="Book Antiqua" w:hAnsi="Book Antiqua"/>
              </w:rPr>
              <w:t>12-31</w:t>
            </w:r>
          </w:p>
        </w:tc>
      </w:tr>
      <w:tr w:rsidR="00FA181F" w:rsidRPr="006E6975" w14:paraId="24F9822E" w14:textId="77777777">
        <w:trPr>
          <w:trHeight w:val="315"/>
        </w:trPr>
        <w:tc>
          <w:tcPr>
            <w:tcW w:w="4536" w:type="dxa"/>
            <w:noWrap/>
          </w:tcPr>
          <w:p w14:paraId="392823A4" w14:textId="77777777" w:rsidR="00FA181F" w:rsidRPr="006E6975" w:rsidRDefault="00A3669D" w:rsidP="006E6975">
            <w:pPr>
              <w:spacing w:line="360" w:lineRule="auto"/>
              <w:jc w:val="both"/>
              <w:rPr>
                <w:rFonts w:ascii="Book Antiqua" w:hAnsi="Book Antiqua"/>
              </w:rPr>
            </w:pPr>
            <w:r w:rsidRPr="006E6975">
              <w:rPr>
                <w:rFonts w:ascii="Book Antiqua" w:hAnsi="Book Antiqua"/>
              </w:rPr>
              <w:t>Alanine aminotransferase (IU/L)</w:t>
            </w:r>
          </w:p>
        </w:tc>
        <w:tc>
          <w:tcPr>
            <w:tcW w:w="1984" w:type="dxa"/>
            <w:noWrap/>
          </w:tcPr>
          <w:p w14:paraId="53EC1940" w14:textId="77777777" w:rsidR="00FA181F" w:rsidRPr="006E6975" w:rsidRDefault="00A3669D" w:rsidP="006E6975">
            <w:pPr>
              <w:spacing w:line="360" w:lineRule="auto"/>
              <w:jc w:val="both"/>
              <w:rPr>
                <w:rFonts w:ascii="Book Antiqua" w:hAnsi="Book Antiqua"/>
              </w:rPr>
            </w:pPr>
            <w:r w:rsidRPr="006E6975">
              <w:rPr>
                <w:rFonts w:ascii="Book Antiqua" w:hAnsi="Book Antiqua"/>
              </w:rPr>
              <w:t>43</w:t>
            </w:r>
          </w:p>
        </w:tc>
        <w:tc>
          <w:tcPr>
            <w:tcW w:w="1984" w:type="dxa"/>
            <w:noWrap/>
          </w:tcPr>
          <w:p w14:paraId="2391A1D1" w14:textId="77777777" w:rsidR="00FA181F" w:rsidRPr="006E6975" w:rsidRDefault="00A3669D" w:rsidP="006E6975">
            <w:pPr>
              <w:spacing w:line="360" w:lineRule="auto"/>
              <w:jc w:val="both"/>
              <w:rPr>
                <w:rFonts w:ascii="Book Antiqua" w:hAnsi="Book Antiqua"/>
              </w:rPr>
            </w:pPr>
            <w:r w:rsidRPr="006E6975">
              <w:rPr>
                <w:rFonts w:ascii="Book Antiqua" w:hAnsi="Book Antiqua"/>
              </w:rPr>
              <w:t>8-40</w:t>
            </w:r>
          </w:p>
        </w:tc>
      </w:tr>
      <w:tr w:rsidR="00FA181F" w:rsidRPr="006E6975" w14:paraId="47FCAFAE" w14:textId="77777777">
        <w:trPr>
          <w:trHeight w:val="315"/>
        </w:trPr>
        <w:tc>
          <w:tcPr>
            <w:tcW w:w="4536" w:type="dxa"/>
            <w:noWrap/>
          </w:tcPr>
          <w:p w14:paraId="1303DB7B" w14:textId="77777777" w:rsidR="00FA181F" w:rsidRPr="006E6975" w:rsidRDefault="00A3669D" w:rsidP="006E6975">
            <w:pPr>
              <w:spacing w:line="360" w:lineRule="auto"/>
              <w:jc w:val="both"/>
              <w:rPr>
                <w:rFonts w:ascii="Book Antiqua" w:hAnsi="Book Antiqua"/>
              </w:rPr>
            </w:pPr>
            <w:r w:rsidRPr="006E6975">
              <w:rPr>
                <w:rFonts w:ascii="Book Antiqua" w:hAnsi="Book Antiqua"/>
              </w:rPr>
              <w:t>Lactic acid dehydrogenase (IU/L)</w:t>
            </w:r>
          </w:p>
        </w:tc>
        <w:tc>
          <w:tcPr>
            <w:tcW w:w="1984" w:type="dxa"/>
            <w:noWrap/>
          </w:tcPr>
          <w:p w14:paraId="1607BD13" w14:textId="77777777" w:rsidR="00FA181F" w:rsidRPr="006E6975" w:rsidRDefault="00A3669D" w:rsidP="006E6975">
            <w:pPr>
              <w:spacing w:line="360" w:lineRule="auto"/>
              <w:jc w:val="both"/>
              <w:rPr>
                <w:rFonts w:ascii="Book Antiqua" w:hAnsi="Book Antiqua"/>
              </w:rPr>
            </w:pPr>
            <w:r w:rsidRPr="006E6975">
              <w:rPr>
                <w:rFonts w:ascii="Book Antiqua" w:hAnsi="Book Antiqua"/>
              </w:rPr>
              <w:t>592</w:t>
            </w:r>
          </w:p>
        </w:tc>
        <w:tc>
          <w:tcPr>
            <w:tcW w:w="1984" w:type="dxa"/>
            <w:noWrap/>
          </w:tcPr>
          <w:p w14:paraId="41ED4F01" w14:textId="77777777" w:rsidR="00FA181F" w:rsidRPr="006E6975" w:rsidRDefault="00A3669D" w:rsidP="006E6975">
            <w:pPr>
              <w:spacing w:line="360" w:lineRule="auto"/>
              <w:jc w:val="both"/>
              <w:rPr>
                <w:rFonts w:ascii="Book Antiqua" w:hAnsi="Book Antiqua"/>
              </w:rPr>
            </w:pPr>
            <w:r w:rsidRPr="006E6975">
              <w:rPr>
                <w:rFonts w:ascii="Book Antiqua" w:hAnsi="Book Antiqua"/>
              </w:rPr>
              <w:t>110-210</w:t>
            </w:r>
          </w:p>
        </w:tc>
      </w:tr>
      <w:tr w:rsidR="00FA181F" w:rsidRPr="006E6975" w14:paraId="3AB4FDCF" w14:textId="77777777">
        <w:trPr>
          <w:trHeight w:val="315"/>
        </w:trPr>
        <w:tc>
          <w:tcPr>
            <w:tcW w:w="4536" w:type="dxa"/>
            <w:noWrap/>
          </w:tcPr>
          <w:p w14:paraId="43EC89A4" w14:textId="77777777" w:rsidR="00FA181F" w:rsidRPr="006E6975" w:rsidRDefault="00A3669D" w:rsidP="006E6975">
            <w:pPr>
              <w:spacing w:line="360" w:lineRule="auto"/>
              <w:jc w:val="both"/>
              <w:rPr>
                <w:rFonts w:ascii="Book Antiqua" w:hAnsi="Book Antiqua"/>
              </w:rPr>
            </w:pPr>
            <w:r w:rsidRPr="006E6975">
              <w:rPr>
                <w:rFonts w:ascii="Book Antiqua" w:hAnsi="Book Antiqua"/>
              </w:rPr>
              <w:t>Alkaline phosphatase (IU/L)</w:t>
            </w:r>
          </w:p>
        </w:tc>
        <w:tc>
          <w:tcPr>
            <w:tcW w:w="1984" w:type="dxa"/>
            <w:noWrap/>
          </w:tcPr>
          <w:p w14:paraId="646933D7" w14:textId="77777777" w:rsidR="00FA181F" w:rsidRPr="006E6975" w:rsidRDefault="00A3669D" w:rsidP="006E6975">
            <w:pPr>
              <w:spacing w:line="360" w:lineRule="auto"/>
              <w:jc w:val="both"/>
              <w:rPr>
                <w:rFonts w:ascii="Book Antiqua" w:hAnsi="Book Antiqua"/>
              </w:rPr>
            </w:pPr>
            <w:r w:rsidRPr="006E6975">
              <w:rPr>
                <w:rFonts w:ascii="Book Antiqua" w:hAnsi="Book Antiqua"/>
              </w:rPr>
              <w:t>1597</w:t>
            </w:r>
          </w:p>
        </w:tc>
        <w:tc>
          <w:tcPr>
            <w:tcW w:w="1984" w:type="dxa"/>
            <w:noWrap/>
          </w:tcPr>
          <w:p w14:paraId="32F6A216" w14:textId="77777777" w:rsidR="00FA181F" w:rsidRPr="006E6975" w:rsidRDefault="00A3669D" w:rsidP="006E6975">
            <w:pPr>
              <w:spacing w:line="360" w:lineRule="auto"/>
              <w:jc w:val="both"/>
              <w:rPr>
                <w:rFonts w:ascii="Book Antiqua" w:hAnsi="Book Antiqua"/>
              </w:rPr>
            </w:pPr>
            <w:r w:rsidRPr="006E6975">
              <w:rPr>
                <w:rFonts w:ascii="Book Antiqua" w:hAnsi="Book Antiqua"/>
              </w:rPr>
              <w:t>100-330</w:t>
            </w:r>
          </w:p>
        </w:tc>
      </w:tr>
      <w:tr w:rsidR="00FA181F" w:rsidRPr="006E6975" w14:paraId="0B3127B5" w14:textId="77777777">
        <w:trPr>
          <w:trHeight w:val="315"/>
        </w:trPr>
        <w:tc>
          <w:tcPr>
            <w:tcW w:w="4536" w:type="dxa"/>
            <w:noWrap/>
          </w:tcPr>
          <w:p w14:paraId="4C79C38B" w14:textId="77777777" w:rsidR="00FA181F" w:rsidRPr="006E6975" w:rsidRDefault="00A3669D" w:rsidP="006E6975">
            <w:pPr>
              <w:spacing w:line="360" w:lineRule="auto"/>
              <w:jc w:val="both"/>
              <w:rPr>
                <w:rFonts w:ascii="Book Antiqua" w:hAnsi="Book Antiqua"/>
              </w:rPr>
            </w:pPr>
            <w:r w:rsidRPr="006E6975">
              <w:rPr>
                <w:rFonts w:ascii="Book Antiqua" w:hAnsi="Book Antiqua"/>
              </w:rPr>
              <w:t>Gamma-glutamyl transpeptidase (IU/L)</w:t>
            </w:r>
          </w:p>
        </w:tc>
        <w:tc>
          <w:tcPr>
            <w:tcW w:w="1984" w:type="dxa"/>
            <w:noWrap/>
          </w:tcPr>
          <w:p w14:paraId="764F8110" w14:textId="77777777" w:rsidR="00FA181F" w:rsidRPr="006E6975" w:rsidRDefault="00A3669D" w:rsidP="006E6975">
            <w:pPr>
              <w:spacing w:line="360" w:lineRule="auto"/>
              <w:jc w:val="both"/>
              <w:rPr>
                <w:rFonts w:ascii="Book Antiqua" w:hAnsi="Book Antiqua"/>
              </w:rPr>
            </w:pPr>
            <w:r w:rsidRPr="006E6975">
              <w:rPr>
                <w:rFonts w:ascii="Book Antiqua" w:hAnsi="Book Antiqua"/>
              </w:rPr>
              <w:t>473</w:t>
            </w:r>
          </w:p>
        </w:tc>
        <w:tc>
          <w:tcPr>
            <w:tcW w:w="1984" w:type="dxa"/>
            <w:noWrap/>
          </w:tcPr>
          <w:p w14:paraId="63172D49" w14:textId="77777777" w:rsidR="00FA181F" w:rsidRPr="006E6975" w:rsidRDefault="00A3669D" w:rsidP="006E6975">
            <w:pPr>
              <w:spacing w:line="360" w:lineRule="auto"/>
              <w:jc w:val="both"/>
              <w:rPr>
                <w:rFonts w:ascii="Book Antiqua" w:hAnsi="Book Antiqua"/>
              </w:rPr>
            </w:pPr>
            <w:r w:rsidRPr="006E6975">
              <w:rPr>
                <w:rFonts w:ascii="Book Antiqua" w:hAnsi="Book Antiqua"/>
              </w:rPr>
              <w:t>9-49</w:t>
            </w:r>
          </w:p>
        </w:tc>
      </w:tr>
      <w:tr w:rsidR="00FA181F" w:rsidRPr="006E6975" w14:paraId="429FDC14" w14:textId="77777777">
        <w:trPr>
          <w:trHeight w:val="315"/>
        </w:trPr>
        <w:tc>
          <w:tcPr>
            <w:tcW w:w="4536" w:type="dxa"/>
            <w:noWrap/>
          </w:tcPr>
          <w:p w14:paraId="77CD0A97" w14:textId="77777777" w:rsidR="00FA181F" w:rsidRPr="006E6975" w:rsidRDefault="00A3669D" w:rsidP="006E6975">
            <w:pPr>
              <w:spacing w:line="360" w:lineRule="auto"/>
              <w:jc w:val="both"/>
              <w:rPr>
                <w:rFonts w:ascii="Book Antiqua" w:hAnsi="Book Antiqua"/>
              </w:rPr>
            </w:pPr>
            <w:r w:rsidRPr="006E6975">
              <w:rPr>
                <w:rFonts w:ascii="Book Antiqua" w:hAnsi="Book Antiqua"/>
              </w:rPr>
              <w:t>Total bilirubin (mg/dL)</w:t>
            </w:r>
          </w:p>
        </w:tc>
        <w:tc>
          <w:tcPr>
            <w:tcW w:w="1984" w:type="dxa"/>
            <w:noWrap/>
          </w:tcPr>
          <w:p w14:paraId="101C39C5" w14:textId="77777777" w:rsidR="00FA181F" w:rsidRPr="006E6975" w:rsidRDefault="00A3669D" w:rsidP="006E6975">
            <w:pPr>
              <w:spacing w:line="360" w:lineRule="auto"/>
              <w:jc w:val="both"/>
              <w:rPr>
                <w:rFonts w:ascii="Book Antiqua" w:hAnsi="Book Antiqua"/>
              </w:rPr>
            </w:pPr>
            <w:r w:rsidRPr="006E6975">
              <w:rPr>
                <w:rFonts w:ascii="Book Antiqua" w:hAnsi="Book Antiqua"/>
              </w:rPr>
              <w:t>0.56</w:t>
            </w:r>
          </w:p>
        </w:tc>
        <w:tc>
          <w:tcPr>
            <w:tcW w:w="1984" w:type="dxa"/>
            <w:noWrap/>
          </w:tcPr>
          <w:p w14:paraId="25E0F83C" w14:textId="77777777" w:rsidR="00FA181F" w:rsidRPr="006E6975" w:rsidRDefault="00A3669D" w:rsidP="006E6975">
            <w:pPr>
              <w:spacing w:line="360" w:lineRule="auto"/>
              <w:jc w:val="both"/>
              <w:rPr>
                <w:rFonts w:ascii="Book Antiqua" w:hAnsi="Book Antiqua"/>
              </w:rPr>
            </w:pPr>
            <w:r w:rsidRPr="006E6975">
              <w:rPr>
                <w:rFonts w:ascii="Book Antiqua" w:hAnsi="Book Antiqua"/>
              </w:rPr>
              <w:t>0.3-1.2</w:t>
            </w:r>
          </w:p>
        </w:tc>
      </w:tr>
      <w:tr w:rsidR="00FA181F" w:rsidRPr="006E6975" w14:paraId="2A35F477" w14:textId="77777777">
        <w:trPr>
          <w:trHeight w:val="315"/>
        </w:trPr>
        <w:tc>
          <w:tcPr>
            <w:tcW w:w="4536" w:type="dxa"/>
            <w:noWrap/>
          </w:tcPr>
          <w:p w14:paraId="09CAD3A5" w14:textId="77777777" w:rsidR="00FA181F" w:rsidRPr="006E6975" w:rsidRDefault="00A3669D" w:rsidP="006E6975">
            <w:pPr>
              <w:spacing w:line="360" w:lineRule="auto"/>
              <w:jc w:val="both"/>
              <w:rPr>
                <w:rFonts w:ascii="Book Antiqua" w:hAnsi="Book Antiqua"/>
              </w:rPr>
            </w:pPr>
            <w:r w:rsidRPr="006E6975">
              <w:rPr>
                <w:rFonts w:ascii="Book Antiqua" w:hAnsi="Book Antiqua"/>
              </w:rPr>
              <w:t>Total protein (g/dL)</w:t>
            </w:r>
          </w:p>
        </w:tc>
        <w:tc>
          <w:tcPr>
            <w:tcW w:w="1984" w:type="dxa"/>
            <w:noWrap/>
          </w:tcPr>
          <w:p w14:paraId="45261564" w14:textId="77777777" w:rsidR="00FA181F" w:rsidRPr="006E6975" w:rsidRDefault="00A3669D" w:rsidP="006E6975">
            <w:pPr>
              <w:spacing w:line="360" w:lineRule="auto"/>
              <w:jc w:val="both"/>
              <w:rPr>
                <w:rFonts w:ascii="Book Antiqua" w:hAnsi="Book Antiqua"/>
              </w:rPr>
            </w:pPr>
            <w:r w:rsidRPr="006E6975">
              <w:rPr>
                <w:rFonts w:ascii="Book Antiqua" w:hAnsi="Book Antiqua"/>
              </w:rPr>
              <w:t>6.9</w:t>
            </w:r>
          </w:p>
        </w:tc>
        <w:tc>
          <w:tcPr>
            <w:tcW w:w="1984" w:type="dxa"/>
            <w:noWrap/>
          </w:tcPr>
          <w:p w14:paraId="610F7CDC" w14:textId="77777777" w:rsidR="00FA181F" w:rsidRPr="006E6975" w:rsidRDefault="00A3669D" w:rsidP="006E6975">
            <w:pPr>
              <w:spacing w:line="360" w:lineRule="auto"/>
              <w:jc w:val="both"/>
              <w:rPr>
                <w:rFonts w:ascii="Book Antiqua" w:hAnsi="Book Antiqua"/>
              </w:rPr>
            </w:pPr>
            <w:r w:rsidRPr="006E6975">
              <w:rPr>
                <w:rFonts w:ascii="Book Antiqua" w:hAnsi="Book Antiqua"/>
              </w:rPr>
              <w:t>6.7-8.3</w:t>
            </w:r>
          </w:p>
        </w:tc>
      </w:tr>
      <w:tr w:rsidR="00FA181F" w:rsidRPr="006E6975" w14:paraId="7CC6B8B3" w14:textId="77777777">
        <w:trPr>
          <w:trHeight w:val="315"/>
        </w:trPr>
        <w:tc>
          <w:tcPr>
            <w:tcW w:w="4536" w:type="dxa"/>
            <w:noWrap/>
          </w:tcPr>
          <w:p w14:paraId="72F04C53" w14:textId="77777777" w:rsidR="00FA181F" w:rsidRPr="006E6975" w:rsidRDefault="00A3669D" w:rsidP="006E6975">
            <w:pPr>
              <w:spacing w:line="360" w:lineRule="auto"/>
              <w:jc w:val="both"/>
              <w:rPr>
                <w:rFonts w:ascii="Book Antiqua" w:hAnsi="Book Antiqua"/>
              </w:rPr>
            </w:pPr>
            <w:r w:rsidRPr="006E6975">
              <w:rPr>
                <w:rFonts w:ascii="Book Antiqua" w:hAnsi="Book Antiqua"/>
              </w:rPr>
              <w:t>Albumin (g/dL)</w:t>
            </w:r>
          </w:p>
        </w:tc>
        <w:tc>
          <w:tcPr>
            <w:tcW w:w="1984" w:type="dxa"/>
            <w:noWrap/>
          </w:tcPr>
          <w:p w14:paraId="07ACF6DB" w14:textId="77777777" w:rsidR="00FA181F" w:rsidRPr="006E6975" w:rsidRDefault="00A3669D" w:rsidP="006E6975">
            <w:pPr>
              <w:spacing w:line="360" w:lineRule="auto"/>
              <w:jc w:val="both"/>
              <w:rPr>
                <w:rFonts w:ascii="Book Antiqua" w:hAnsi="Book Antiqua"/>
              </w:rPr>
            </w:pPr>
            <w:r w:rsidRPr="006E6975">
              <w:rPr>
                <w:rFonts w:ascii="Book Antiqua" w:hAnsi="Book Antiqua"/>
              </w:rPr>
              <w:t>4.2</w:t>
            </w:r>
          </w:p>
        </w:tc>
        <w:tc>
          <w:tcPr>
            <w:tcW w:w="1984" w:type="dxa"/>
            <w:noWrap/>
          </w:tcPr>
          <w:p w14:paraId="1186D5DA" w14:textId="77777777" w:rsidR="00FA181F" w:rsidRPr="006E6975" w:rsidRDefault="00A3669D" w:rsidP="006E6975">
            <w:pPr>
              <w:spacing w:line="360" w:lineRule="auto"/>
              <w:jc w:val="both"/>
              <w:rPr>
                <w:rFonts w:ascii="Book Antiqua" w:hAnsi="Book Antiqua"/>
              </w:rPr>
            </w:pPr>
            <w:r w:rsidRPr="006E6975">
              <w:rPr>
                <w:rFonts w:ascii="Book Antiqua" w:hAnsi="Book Antiqua"/>
              </w:rPr>
              <w:t>3.9-4.9</w:t>
            </w:r>
          </w:p>
        </w:tc>
      </w:tr>
      <w:tr w:rsidR="00FA181F" w:rsidRPr="006E6975" w14:paraId="67100A90" w14:textId="77777777">
        <w:trPr>
          <w:trHeight w:val="315"/>
        </w:trPr>
        <w:tc>
          <w:tcPr>
            <w:tcW w:w="4536" w:type="dxa"/>
            <w:noWrap/>
          </w:tcPr>
          <w:p w14:paraId="6EA8A72E" w14:textId="77777777" w:rsidR="00FA181F" w:rsidRPr="006E6975" w:rsidRDefault="00A3669D" w:rsidP="006E6975">
            <w:pPr>
              <w:spacing w:line="360" w:lineRule="auto"/>
              <w:jc w:val="both"/>
              <w:rPr>
                <w:rFonts w:ascii="Book Antiqua" w:hAnsi="Book Antiqua"/>
              </w:rPr>
            </w:pPr>
            <w:r w:rsidRPr="006E6975">
              <w:rPr>
                <w:rFonts w:ascii="Book Antiqua" w:hAnsi="Book Antiqua"/>
              </w:rPr>
              <w:t>Creatine phosphokinase (IU/L)</w:t>
            </w:r>
          </w:p>
        </w:tc>
        <w:tc>
          <w:tcPr>
            <w:tcW w:w="1984" w:type="dxa"/>
            <w:noWrap/>
          </w:tcPr>
          <w:p w14:paraId="57228F2A" w14:textId="77777777" w:rsidR="00FA181F" w:rsidRPr="006E6975" w:rsidRDefault="00A3669D" w:rsidP="006E6975">
            <w:pPr>
              <w:spacing w:line="360" w:lineRule="auto"/>
              <w:jc w:val="both"/>
              <w:rPr>
                <w:rFonts w:ascii="Book Antiqua" w:hAnsi="Book Antiqua"/>
              </w:rPr>
            </w:pPr>
            <w:r w:rsidRPr="006E6975">
              <w:rPr>
                <w:rFonts w:ascii="Book Antiqua" w:hAnsi="Book Antiqua"/>
              </w:rPr>
              <w:t>25</w:t>
            </w:r>
          </w:p>
        </w:tc>
        <w:tc>
          <w:tcPr>
            <w:tcW w:w="1984" w:type="dxa"/>
            <w:noWrap/>
          </w:tcPr>
          <w:p w14:paraId="63DB170C" w14:textId="77777777" w:rsidR="00FA181F" w:rsidRPr="006E6975" w:rsidRDefault="00A3669D" w:rsidP="006E6975">
            <w:pPr>
              <w:spacing w:line="360" w:lineRule="auto"/>
              <w:jc w:val="both"/>
              <w:rPr>
                <w:rFonts w:ascii="Book Antiqua" w:hAnsi="Book Antiqua"/>
              </w:rPr>
            </w:pPr>
            <w:r w:rsidRPr="006E6975">
              <w:rPr>
                <w:rFonts w:ascii="Book Antiqua" w:hAnsi="Book Antiqua"/>
              </w:rPr>
              <w:t>65-275</w:t>
            </w:r>
          </w:p>
        </w:tc>
      </w:tr>
      <w:tr w:rsidR="00FA181F" w:rsidRPr="006E6975" w14:paraId="794FB732" w14:textId="77777777">
        <w:trPr>
          <w:trHeight w:val="315"/>
        </w:trPr>
        <w:tc>
          <w:tcPr>
            <w:tcW w:w="4536" w:type="dxa"/>
            <w:noWrap/>
          </w:tcPr>
          <w:p w14:paraId="6D722308" w14:textId="77777777" w:rsidR="00FA181F" w:rsidRPr="006E6975" w:rsidRDefault="00A3669D" w:rsidP="006E6975">
            <w:pPr>
              <w:spacing w:line="360" w:lineRule="auto"/>
              <w:jc w:val="both"/>
              <w:rPr>
                <w:rFonts w:ascii="Book Antiqua" w:hAnsi="Book Antiqua"/>
              </w:rPr>
            </w:pPr>
            <w:r w:rsidRPr="006E6975">
              <w:rPr>
                <w:rFonts w:ascii="Book Antiqua" w:hAnsi="Book Antiqua"/>
              </w:rPr>
              <w:t>Blood urea nitrogen (mg/dL)</w:t>
            </w:r>
          </w:p>
        </w:tc>
        <w:tc>
          <w:tcPr>
            <w:tcW w:w="1984" w:type="dxa"/>
            <w:noWrap/>
          </w:tcPr>
          <w:p w14:paraId="4EB6D940" w14:textId="77777777" w:rsidR="00FA181F" w:rsidRPr="006E6975" w:rsidRDefault="00A3669D" w:rsidP="006E6975">
            <w:pPr>
              <w:spacing w:line="360" w:lineRule="auto"/>
              <w:jc w:val="both"/>
              <w:rPr>
                <w:rFonts w:ascii="Book Antiqua" w:hAnsi="Book Antiqua"/>
              </w:rPr>
            </w:pPr>
            <w:r w:rsidRPr="006E6975">
              <w:rPr>
                <w:rFonts w:ascii="Book Antiqua" w:hAnsi="Book Antiqua"/>
              </w:rPr>
              <w:t>15.4</w:t>
            </w:r>
          </w:p>
        </w:tc>
        <w:tc>
          <w:tcPr>
            <w:tcW w:w="1984" w:type="dxa"/>
            <w:noWrap/>
          </w:tcPr>
          <w:p w14:paraId="57B94317" w14:textId="77777777" w:rsidR="00FA181F" w:rsidRPr="006E6975" w:rsidRDefault="00A3669D" w:rsidP="006E6975">
            <w:pPr>
              <w:spacing w:line="360" w:lineRule="auto"/>
              <w:jc w:val="both"/>
              <w:rPr>
                <w:rFonts w:ascii="Book Antiqua" w:hAnsi="Book Antiqua"/>
              </w:rPr>
            </w:pPr>
            <w:r w:rsidRPr="006E6975">
              <w:rPr>
                <w:rFonts w:ascii="Book Antiqua" w:hAnsi="Book Antiqua"/>
              </w:rPr>
              <w:t>8-22</w:t>
            </w:r>
          </w:p>
        </w:tc>
      </w:tr>
      <w:tr w:rsidR="00FA181F" w:rsidRPr="006E6975" w14:paraId="3C48C8EF" w14:textId="77777777">
        <w:trPr>
          <w:trHeight w:val="315"/>
        </w:trPr>
        <w:tc>
          <w:tcPr>
            <w:tcW w:w="4536" w:type="dxa"/>
            <w:noWrap/>
          </w:tcPr>
          <w:p w14:paraId="0234044F" w14:textId="77777777" w:rsidR="00FA181F" w:rsidRPr="006E6975" w:rsidRDefault="00A3669D" w:rsidP="006E6975">
            <w:pPr>
              <w:spacing w:line="360" w:lineRule="auto"/>
              <w:jc w:val="both"/>
              <w:rPr>
                <w:rFonts w:ascii="Book Antiqua" w:hAnsi="Book Antiqua"/>
              </w:rPr>
            </w:pPr>
            <w:r w:rsidRPr="006E6975">
              <w:rPr>
                <w:rFonts w:ascii="Book Antiqua" w:hAnsi="Book Antiqua"/>
              </w:rPr>
              <w:t>Creatinine (mg/dL)</w:t>
            </w:r>
          </w:p>
        </w:tc>
        <w:tc>
          <w:tcPr>
            <w:tcW w:w="1984" w:type="dxa"/>
            <w:noWrap/>
          </w:tcPr>
          <w:p w14:paraId="20960A04" w14:textId="77777777" w:rsidR="00FA181F" w:rsidRPr="006E6975" w:rsidRDefault="00A3669D" w:rsidP="006E6975">
            <w:pPr>
              <w:spacing w:line="360" w:lineRule="auto"/>
              <w:jc w:val="both"/>
              <w:rPr>
                <w:rFonts w:ascii="Book Antiqua" w:hAnsi="Book Antiqua"/>
              </w:rPr>
            </w:pPr>
            <w:r w:rsidRPr="006E6975">
              <w:rPr>
                <w:rFonts w:ascii="Book Antiqua" w:hAnsi="Book Antiqua"/>
              </w:rPr>
              <w:t>0.48</w:t>
            </w:r>
          </w:p>
        </w:tc>
        <w:tc>
          <w:tcPr>
            <w:tcW w:w="1984" w:type="dxa"/>
            <w:noWrap/>
          </w:tcPr>
          <w:p w14:paraId="370B0197" w14:textId="77777777" w:rsidR="00FA181F" w:rsidRPr="006E6975" w:rsidRDefault="00A3669D" w:rsidP="006E6975">
            <w:pPr>
              <w:spacing w:line="360" w:lineRule="auto"/>
              <w:jc w:val="both"/>
              <w:rPr>
                <w:rFonts w:ascii="Book Antiqua" w:hAnsi="Book Antiqua"/>
              </w:rPr>
            </w:pPr>
            <w:r w:rsidRPr="006E6975">
              <w:rPr>
                <w:rFonts w:ascii="Book Antiqua" w:hAnsi="Book Antiqua"/>
              </w:rPr>
              <w:t>0.4-0.8</w:t>
            </w:r>
          </w:p>
        </w:tc>
      </w:tr>
      <w:tr w:rsidR="00FA181F" w:rsidRPr="006E6975" w14:paraId="0C0F4968" w14:textId="77777777">
        <w:trPr>
          <w:trHeight w:val="315"/>
        </w:trPr>
        <w:tc>
          <w:tcPr>
            <w:tcW w:w="4536" w:type="dxa"/>
            <w:noWrap/>
          </w:tcPr>
          <w:p w14:paraId="4F5152D0" w14:textId="77777777" w:rsidR="00FA181F" w:rsidRPr="006E6975" w:rsidRDefault="00A3669D" w:rsidP="006E6975">
            <w:pPr>
              <w:spacing w:line="360" w:lineRule="auto"/>
              <w:jc w:val="both"/>
              <w:rPr>
                <w:rFonts w:ascii="Book Antiqua" w:hAnsi="Book Antiqua"/>
              </w:rPr>
            </w:pPr>
            <w:r w:rsidRPr="006E6975">
              <w:rPr>
                <w:rFonts w:ascii="Book Antiqua" w:hAnsi="Book Antiqua"/>
              </w:rPr>
              <w:t>Amylase (IU/L)</w:t>
            </w:r>
          </w:p>
        </w:tc>
        <w:tc>
          <w:tcPr>
            <w:tcW w:w="1984" w:type="dxa"/>
            <w:noWrap/>
          </w:tcPr>
          <w:p w14:paraId="7DE2D52B" w14:textId="77777777" w:rsidR="00FA181F" w:rsidRPr="006E6975" w:rsidRDefault="00A3669D" w:rsidP="006E6975">
            <w:pPr>
              <w:spacing w:line="360" w:lineRule="auto"/>
              <w:jc w:val="both"/>
              <w:rPr>
                <w:rFonts w:ascii="Book Antiqua" w:hAnsi="Book Antiqua"/>
              </w:rPr>
            </w:pPr>
            <w:r w:rsidRPr="006E6975">
              <w:rPr>
                <w:rFonts w:ascii="Book Antiqua" w:hAnsi="Book Antiqua"/>
              </w:rPr>
              <w:t>77</w:t>
            </w:r>
          </w:p>
        </w:tc>
        <w:tc>
          <w:tcPr>
            <w:tcW w:w="1984" w:type="dxa"/>
            <w:noWrap/>
          </w:tcPr>
          <w:p w14:paraId="0218CA23" w14:textId="77777777" w:rsidR="00FA181F" w:rsidRPr="006E6975" w:rsidRDefault="00A3669D" w:rsidP="006E6975">
            <w:pPr>
              <w:spacing w:line="360" w:lineRule="auto"/>
              <w:jc w:val="both"/>
              <w:rPr>
                <w:rFonts w:ascii="Book Antiqua" w:hAnsi="Book Antiqua"/>
              </w:rPr>
            </w:pPr>
            <w:r w:rsidRPr="006E6975">
              <w:rPr>
                <w:rFonts w:ascii="Book Antiqua" w:hAnsi="Book Antiqua"/>
              </w:rPr>
              <w:t>39-134</w:t>
            </w:r>
          </w:p>
        </w:tc>
      </w:tr>
      <w:tr w:rsidR="00FA181F" w:rsidRPr="006E6975" w14:paraId="5085B7D0" w14:textId="77777777">
        <w:trPr>
          <w:trHeight w:val="315"/>
        </w:trPr>
        <w:tc>
          <w:tcPr>
            <w:tcW w:w="4536" w:type="dxa"/>
            <w:noWrap/>
          </w:tcPr>
          <w:p w14:paraId="417FC019" w14:textId="77777777" w:rsidR="00FA181F" w:rsidRPr="006E6975" w:rsidRDefault="00A3669D" w:rsidP="006E6975">
            <w:pPr>
              <w:spacing w:line="360" w:lineRule="auto"/>
              <w:jc w:val="both"/>
              <w:rPr>
                <w:rFonts w:ascii="Book Antiqua" w:hAnsi="Book Antiqua"/>
              </w:rPr>
            </w:pPr>
            <w:r w:rsidRPr="006E6975">
              <w:rPr>
                <w:rFonts w:ascii="Book Antiqua" w:hAnsi="Book Antiqua"/>
              </w:rPr>
              <w:t>Sodium (mEq/L)</w:t>
            </w:r>
          </w:p>
        </w:tc>
        <w:tc>
          <w:tcPr>
            <w:tcW w:w="1984" w:type="dxa"/>
            <w:noWrap/>
          </w:tcPr>
          <w:p w14:paraId="5CF95B15" w14:textId="77777777" w:rsidR="00FA181F" w:rsidRPr="006E6975" w:rsidRDefault="00A3669D" w:rsidP="006E6975">
            <w:pPr>
              <w:spacing w:line="360" w:lineRule="auto"/>
              <w:jc w:val="both"/>
              <w:rPr>
                <w:rFonts w:ascii="Book Antiqua" w:hAnsi="Book Antiqua"/>
              </w:rPr>
            </w:pPr>
            <w:r w:rsidRPr="006E6975">
              <w:rPr>
                <w:rFonts w:ascii="Book Antiqua" w:hAnsi="Book Antiqua"/>
              </w:rPr>
              <w:t>137</w:t>
            </w:r>
          </w:p>
        </w:tc>
        <w:tc>
          <w:tcPr>
            <w:tcW w:w="1984" w:type="dxa"/>
            <w:noWrap/>
          </w:tcPr>
          <w:p w14:paraId="652827A4" w14:textId="77777777" w:rsidR="00FA181F" w:rsidRPr="006E6975" w:rsidRDefault="00A3669D" w:rsidP="006E6975">
            <w:pPr>
              <w:spacing w:line="360" w:lineRule="auto"/>
              <w:jc w:val="both"/>
              <w:rPr>
                <w:rFonts w:ascii="Book Antiqua" w:hAnsi="Book Antiqua"/>
              </w:rPr>
            </w:pPr>
            <w:r w:rsidRPr="006E6975">
              <w:rPr>
                <w:rFonts w:ascii="Book Antiqua" w:hAnsi="Book Antiqua"/>
              </w:rPr>
              <w:t>138-146</w:t>
            </w:r>
          </w:p>
        </w:tc>
      </w:tr>
      <w:tr w:rsidR="00FA181F" w:rsidRPr="006E6975" w14:paraId="41D94ABD" w14:textId="77777777">
        <w:trPr>
          <w:trHeight w:val="315"/>
        </w:trPr>
        <w:tc>
          <w:tcPr>
            <w:tcW w:w="4536" w:type="dxa"/>
            <w:noWrap/>
          </w:tcPr>
          <w:p w14:paraId="34E97C5B" w14:textId="77777777" w:rsidR="00FA181F" w:rsidRPr="006E6975" w:rsidRDefault="00A3669D" w:rsidP="006E6975">
            <w:pPr>
              <w:spacing w:line="360" w:lineRule="auto"/>
              <w:jc w:val="both"/>
              <w:rPr>
                <w:rFonts w:ascii="Book Antiqua" w:hAnsi="Book Antiqua"/>
              </w:rPr>
            </w:pPr>
            <w:r w:rsidRPr="006E6975">
              <w:rPr>
                <w:rFonts w:ascii="Book Antiqua" w:hAnsi="Book Antiqua"/>
              </w:rPr>
              <w:t>Potassium (mEq/L)</w:t>
            </w:r>
          </w:p>
        </w:tc>
        <w:tc>
          <w:tcPr>
            <w:tcW w:w="1984" w:type="dxa"/>
            <w:noWrap/>
          </w:tcPr>
          <w:p w14:paraId="7C548812" w14:textId="77777777" w:rsidR="00FA181F" w:rsidRPr="006E6975" w:rsidRDefault="00A3669D" w:rsidP="006E6975">
            <w:pPr>
              <w:spacing w:line="360" w:lineRule="auto"/>
              <w:jc w:val="both"/>
              <w:rPr>
                <w:rFonts w:ascii="Book Antiqua" w:hAnsi="Book Antiqua"/>
              </w:rPr>
            </w:pPr>
            <w:r w:rsidRPr="006E6975">
              <w:rPr>
                <w:rFonts w:ascii="Book Antiqua" w:hAnsi="Book Antiqua"/>
              </w:rPr>
              <w:t>4.8</w:t>
            </w:r>
          </w:p>
        </w:tc>
        <w:tc>
          <w:tcPr>
            <w:tcW w:w="1984" w:type="dxa"/>
            <w:noWrap/>
          </w:tcPr>
          <w:p w14:paraId="51F512A6" w14:textId="77777777" w:rsidR="00FA181F" w:rsidRPr="006E6975" w:rsidRDefault="00A3669D" w:rsidP="006E6975">
            <w:pPr>
              <w:spacing w:line="360" w:lineRule="auto"/>
              <w:jc w:val="both"/>
              <w:rPr>
                <w:rFonts w:ascii="Book Antiqua" w:hAnsi="Book Antiqua"/>
              </w:rPr>
            </w:pPr>
            <w:r w:rsidRPr="006E6975">
              <w:rPr>
                <w:rFonts w:ascii="Book Antiqua" w:hAnsi="Book Antiqua"/>
              </w:rPr>
              <w:t>3.6-4.9</w:t>
            </w:r>
          </w:p>
        </w:tc>
      </w:tr>
      <w:tr w:rsidR="00FA181F" w:rsidRPr="006E6975" w14:paraId="2389DC61" w14:textId="77777777">
        <w:trPr>
          <w:trHeight w:val="315"/>
        </w:trPr>
        <w:tc>
          <w:tcPr>
            <w:tcW w:w="4536" w:type="dxa"/>
            <w:noWrap/>
          </w:tcPr>
          <w:p w14:paraId="481505BB" w14:textId="77777777" w:rsidR="00FA181F" w:rsidRPr="006E6975" w:rsidRDefault="00A3669D" w:rsidP="006E6975">
            <w:pPr>
              <w:spacing w:line="360" w:lineRule="auto"/>
              <w:jc w:val="both"/>
              <w:rPr>
                <w:rFonts w:ascii="Book Antiqua" w:hAnsi="Book Antiqua"/>
              </w:rPr>
            </w:pPr>
            <w:r w:rsidRPr="006E6975">
              <w:rPr>
                <w:rFonts w:ascii="Book Antiqua" w:hAnsi="Book Antiqua"/>
              </w:rPr>
              <w:t>Chloride (mEq/L)</w:t>
            </w:r>
          </w:p>
        </w:tc>
        <w:tc>
          <w:tcPr>
            <w:tcW w:w="1984" w:type="dxa"/>
            <w:noWrap/>
          </w:tcPr>
          <w:p w14:paraId="6989C54D" w14:textId="77777777" w:rsidR="00FA181F" w:rsidRPr="006E6975" w:rsidRDefault="00A3669D" w:rsidP="006E6975">
            <w:pPr>
              <w:spacing w:line="360" w:lineRule="auto"/>
              <w:jc w:val="both"/>
              <w:rPr>
                <w:rFonts w:ascii="Book Antiqua" w:hAnsi="Book Antiqua"/>
              </w:rPr>
            </w:pPr>
            <w:r w:rsidRPr="006E6975">
              <w:rPr>
                <w:rFonts w:ascii="Book Antiqua" w:hAnsi="Book Antiqua"/>
              </w:rPr>
              <w:t>103</w:t>
            </w:r>
          </w:p>
        </w:tc>
        <w:tc>
          <w:tcPr>
            <w:tcW w:w="1984" w:type="dxa"/>
            <w:noWrap/>
          </w:tcPr>
          <w:p w14:paraId="65630A2A" w14:textId="77777777" w:rsidR="00FA181F" w:rsidRPr="006E6975" w:rsidRDefault="00A3669D" w:rsidP="006E6975">
            <w:pPr>
              <w:spacing w:line="360" w:lineRule="auto"/>
              <w:jc w:val="both"/>
              <w:rPr>
                <w:rFonts w:ascii="Book Antiqua" w:hAnsi="Book Antiqua"/>
              </w:rPr>
            </w:pPr>
            <w:r w:rsidRPr="006E6975">
              <w:rPr>
                <w:rFonts w:ascii="Book Antiqua" w:hAnsi="Book Antiqua"/>
              </w:rPr>
              <w:t>99-109</w:t>
            </w:r>
          </w:p>
        </w:tc>
      </w:tr>
      <w:tr w:rsidR="00FA181F" w:rsidRPr="006E6975" w14:paraId="34FCB5C6" w14:textId="77777777">
        <w:trPr>
          <w:trHeight w:val="315"/>
        </w:trPr>
        <w:tc>
          <w:tcPr>
            <w:tcW w:w="4536" w:type="dxa"/>
            <w:noWrap/>
          </w:tcPr>
          <w:p w14:paraId="7AD83706" w14:textId="77777777" w:rsidR="00FA181F" w:rsidRPr="006E6975" w:rsidRDefault="00A3669D" w:rsidP="006E6975">
            <w:pPr>
              <w:spacing w:line="360" w:lineRule="auto"/>
              <w:jc w:val="both"/>
              <w:rPr>
                <w:rFonts w:ascii="Book Antiqua" w:hAnsi="Book Antiqua"/>
              </w:rPr>
            </w:pPr>
            <w:r w:rsidRPr="006E6975">
              <w:rPr>
                <w:rFonts w:ascii="Book Antiqua" w:hAnsi="Book Antiqua"/>
              </w:rPr>
              <w:t>C-reactive protein (mg/dL)</w:t>
            </w:r>
          </w:p>
        </w:tc>
        <w:tc>
          <w:tcPr>
            <w:tcW w:w="1984" w:type="dxa"/>
            <w:noWrap/>
          </w:tcPr>
          <w:p w14:paraId="53C3CD73" w14:textId="77777777" w:rsidR="00FA181F" w:rsidRPr="006E6975" w:rsidRDefault="00A3669D" w:rsidP="006E6975">
            <w:pPr>
              <w:spacing w:line="360" w:lineRule="auto"/>
              <w:jc w:val="both"/>
              <w:rPr>
                <w:rFonts w:ascii="Book Antiqua" w:hAnsi="Book Antiqua"/>
              </w:rPr>
            </w:pPr>
            <w:r w:rsidRPr="006E6975">
              <w:rPr>
                <w:rFonts w:ascii="Book Antiqua" w:hAnsi="Book Antiqua"/>
              </w:rPr>
              <w:t>2.01</w:t>
            </w:r>
          </w:p>
        </w:tc>
        <w:tc>
          <w:tcPr>
            <w:tcW w:w="1984" w:type="dxa"/>
            <w:noWrap/>
          </w:tcPr>
          <w:p w14:paraId="19ADA0C0" w14:textId="77777777" w:rsidR="00FA181F" w:rsidRPr="006E6975" w:rsidRDefault="00A3669D" w:rsidP="006E6975">
            <w:pPr>
              <w:spacing w:line="360" w:lineRule="auto"/>
              <w:jc w:val="both"/>
              <w:rPr>
                <w:rFonts w:ascii="Book Antiqua" w:hAnsi="Book Antiqua"/>
              </w:rPr>
            </w:pPr>
            <w:r w:rsidRPr="006E6975">
              <w:rPr>
                <w:rFonts w:ascii="Book Antiqua" w:hAnsi="Book Antiqua"/>
              </w:rPr>
              <w:t>0-0.4</w:t>
            </w:r>
          </w:p>
        </w:tc>
      </w:tr>
      <w:tr w:rsidR="00FA181F" w:rsidRPr="006E6975" w14:paraId="15D444A4" w14:textId="77777777">
        <w:trPr>
          <w:trHeight w:val="315"/>
        </w:trPr>
        <w:tc>
          <w:tcPr>
            <w:tcW w:w="4536" w:type="dxa"/>
            <w:noWrap/>
          </w:tcPr>
          <w:p w14:paraId="5DD64678" w14:textId="77777777" w:rsidR="00FA181F" w:rsidRPr="006E6975" w:rsidRDefault="00A3669D" w:rsidP="006E6975">
            <w:pPr>
              <w:spacing w:line="360" w:lineRule="auto"/>
              <w:jc w:val="both"/>
              <w:rPr>
                <w:rFonts w:ascii="Book Antiqua" w:hAnsi="Book Antiqua"/>
              </w:rPr>
            </w:pPr>
            <w:r w:rsidRPr="006E6975">
              <w:rPr>
                <w:rFonts w:ascii="Book Antiqua" w:hAnsi="Book Antiqua"/>
              </w:rPr>
              <w:t>Plasma glucose (mg/dL)</w:t>
            </w:r>
          </w:p>
        </w:tc>
        <w:tc>
          <w:tcPr>
            <w:tcW w:w="1984" w:type="dxa"/>
            <w:noWrap/>
          </w:tcPr>
          <w:p w14:paraId="005A45C2" w14:textId="77777777" w:rsidR="00FA181F" w:rsidRPr="006E6975" w:rsidRDefault="00A3669D" w:rsidP="006E6975">
            <w:pPr>
              <w:spacing w:line="360" w:lineRule="auto"/>
              <w:jc w:val="both"/>
              <w:rPr>
                <w:rFonts w:ascii="Book Antiqua" w:hAnsi="Book Antiqua"/>
              </w:rPr>
            </w:pPr>
            <w:r w:rsidRPr="006E6975">
              <w:rPr>
                <w:rFonts w:ascii="Book Antiqua" w:hAnsi="Book Antiqua"/>
              </w:rPr>
              <w:t>128</w:t>
            </w:r>
          </w:p>
        </w:tc>
        <w:tc>
          <w:tcPr>
            <w:tcW w:w="1984" w:type="dxa"/>
            <w:noWrap/>
          </w:tcPr>
          <w:p w14:paraId="2232E6FD" w14:textId="77777777" w:rsidR="00FA181F" w:rsidRPr="006E6975" w:rsidRDefault="00A3669D" w:rsidP="006E6975">
            <w:pPr>
              <w:spacing w:line="360" w:lineRule="auto"/>
              <w:jc w:val="both"/>
              <w:rPr>
                <w:rFonts w:ascii="Book Antiqua" w:hAnsi="Book Antiqua"/>
              </w:rPr>
            </w:pPr>
            <w:r w:rsidRPr="006E6975">
              <w:rPr>
                <w:rFonts w:ascii="Book Antiqua" w:hAnsi="Book Antiqua"/>
              </w:rPr>
              <w:t>70-109</w:t>
            </w:r>
          </w:p>
        </w:tc>
      </w:tr>
      <w:tr w:rsidR="00FA181F" w:rsidRPr="006E6975" w14:paraId="68D839CD" w14:textId="77777777">
        <w:trPr>
          <w:trHeight w:val="315"/>
        </w:trPr>
        <w:tc>
          <w:tcPr>
            <w:tcW w:w="4536" w:type="dxa"/>
            <w:noWrap/>
          </w:tcPr>
          <w:p w14:paraId="0B5A0972" w14:textId="77777777" w:rsidR="00FA181F" w:rsidRPr="006E6975" w:rsidRDefault="00A3669D" w:rsidP="006E6975">
            <w:pPr>
              <w:spacing w:line="360" w:lineRule="auto"/>
              <w:jc w:val="both"/>
              <w:rPr>
                <w:rFonts w:ascii="Book Antiqua" w:hAnsi="Book Antiqua"/>
              </w:rPr>
            </w:pPr>
            <w:r w:rsidRPr="006E6975">
              <w:rPr>
                <w:rFonts w:ascii="Book Antiqua" w:hAnsi="Book Antiqua"/>
              </w:rPr>
              <w:t>Carcinoembryonic antigen (ng/mL)</w:t>
            </w:r>
          </w:p>
        </w:tc>
        <w:tc>
          <w:tcPr>
            <w:tcW w:w="1984" w:type="dxa"/>
            <w:noWrap/>
          </w:tcPr>
          <w:p w14:paraId="182900EE" w14:textId="77777777" w:rsidR="00FA181F" w:rsidRPr="006E6975" w:rsidRDefault="00A3669D" w:rsidP="006E6975">
            <w:pPr>
              <w:spacing w:line="360" w:lineRule="auto"/>
              <w:jc w:val="both"/>
              <w:rPr>
                <w:rFonts w:ascii="Book Antiqua" w:hAnsi="Book Antiqua"/>
              </w:rPr>
            </w:pPr>
            <w:r w:rsidRPr="006E6975">
              <w:rPr>
                <w:rFonts w:ascii="Book Antiqua" w:hAnsi="Book Antiqua"/>
              </w:rPr>
              <w:t>1</w:t>
            </w:r>
          </w:p>
        </w:tc>
        <w:tc>
          <w:tcPr>
            <w:tcW w:w="1984" w:type="dxa"/>
            <w:noWrap/>
          </w:tcPr>
          <w:p w14:paraId="78156BDF" w14:textId="77777777" w:rsidR="00FA181F" w:rsidRPr="006E6975" w:rsidRDefault="00A3669D" w:rsidP="006E6975">
            <w:pPr>
              <w:spacing w:line="360" w:lineRule="auto"/>
              <w:jc w:val="both"/>
              <w:rPr>
                <w:rFonts w:ascii="Book Antiqua" w:hAnsi="Book Antiqua"/>
              </w:rPr>
            </w:pPr>
            <w:r w:rsidRPr="006E6975">
              <w:rPr>
                <w:rFonts w:ascii="Book Antiqua" w:hAnsi="Book Antiqua"/>
              </w:rPr>
              <w:t>0-5</w:t>
            </w:r>
          </w:p>
        </w:tc>
      </w:tr>
      <w:tr w:rsidR="00FA181F" w:rsidRPr="006E6975" w14:paraId="1D8CC8DE" w14:textId="77777777">
        <w:trPr>
          <w:trHeight w:val="315"/>
        </w:trPr>
        <w:tc>
          <w:tcPr>
            <w:tcW w:w="4536" w:type="dxa"/>
            <w:noWrap/>
          </w:tcPr>
          <w:p w14:paraId="4A2E6DF9" w14:textId="77777777" w:rsidR="00FA181F" w:rsidRPr="006E6975" w:rsidRDefault="00A3669D" w:rsidP="006E6975">
            <w:pPr>
              <w:spacing w:line="360" w:lineRule="auto"/>
              <w:jc w:val="both"/>
              <w:rPr>
                <w:rFonts w:ascii="Book Antiqua" w:hAnsi="Book Antiqua"/>
              </w:rPr>
            </w:pPr>
            <w:r w:rsidRPr="006E6975">
              <w:rPr>
                <w:rFonts w:ascii="Book Antiqua" w:hAnsi="Book Antiqua"/>
              </w:rPr>
              <w:t>Carbohydrate antigen 19-9 (U/mL)</w:t>
            </w:r>
          </w:p>
        </w:tc>
        <w:tc>
          <w:tcPr>
            <w:tcW w:w="1984" w:type="dxa"/>
            <w:noWrap/>
          </w:tcPr>
          <w:p w14:paraId="723DD700" w14:textId="77777777" w:rsidR="00FA181F" w:rsidRPr="006E6975" w:rsidRDefault="00A3669D" w:rsidP="006E6975">
            <w:pPr>
              <w:spacing w:line="360" w:lineRule="auto"/>
              <w:jc w:val="both"/>
              <w:rPr>
                <w:rFonts w:ascii="Book Antiqua" w:hAnsi="Book Antiqua"/>
              </w:rPr>
            </w:pPr>
            <w:r w:rsidRPr="006E6975">
              <w:rPr>
                <w:rFonts w:ascii="Book Antiqua" w:hAnsi="Book Antiqua"/>
              </w:rPr>
              <w:t>11.4</w:t>
            </w:r>
          </w:p>
        </w:tc>
        <w:tc>
          <w:tcPr>
            <w:tcW w:w="1984" w:type="dxa"/>
            <w:noWrap/>
          </w:tcPr>
          <w:p w14:paraId="496E0A45" w14:textId="77777777" w:rsidR="00FA181F" w:rsidRPr="006E6975" w:rsidRDefault="00A3669D" w:rsidP="006E6975">
            <w:pPr>
              <w:spacing w:line="360" w:lineRule="auto"/>
              <w:jc w:val="both"/>
              <w:rPr>
                <w:rFonts w:ascii="Book Antiqua" w:hAnsi="Book Antiqua"/>
              </w:rPr>
            </w:pPr>
            <w:r w:rsidRPr="006E6975">
              <w:rPr>
                <w:rFonts w:ascii="Book Antiqua" w:hAnsi="Book Antiqua"/>
              </w:rPr>
              <w:t>0-37</w:t>
            </w:r>
          </w:p>
        </w:tc>
      </w:tr>
      <w:tr w:rsidR="00FA181F" w:rsidRPr="006E6975" w14:paraId="01F71AAA" w14:textId="77777777">
        <w:trPr>
          <w:trHeight w:val="315"/>
        </w:trPr>
        <w:tc>
          <w:tcPr>
            <w:tcW w:w="4536" w:type="dxa"/>
            <w:noWrap/>
          </w:tcPr>
          <w:p w14:paraId="3D02B149" w14:textId="77777777" w:rsidR="00FA181F" w:rsidRPr="006E6975" w:rsidRDefault="00A3669D" w:rsidP="006E6975">
            <w:pPr>
              <w:spacing w:line="360" w:lineRule="auto"/>
              <w:jc w:val="both"/>
              <w:rPr>
                <w:rFonts w:ascii="Book Antiqua" w:hAnsi="Book Antiqua"/>
              </w:rPr>
            </w:pPr>
            <w:r w:rsidRPr="006E6975">
              <w:rPr>
                <w:rFonts w:ascii="Book Antiqua" w:hAnsi="Book Antiqua"/>
              </w:rPr>
              <w:t>Squamous cell carcinoma related antigen antigen (ng/mL)</w:t>
            </w:r>
          </w:p>
        </w:tc>
        <w:tc>
          <w:tcPr>
            <w:tcW w:w="1984" w:type="dxa"/>
            <w:noWrap/>
          </w:tcPr>
          <w:p w14:paraId="2B57FFAF" w14:textId="77777777" w:rsidR="00FA181F" w:rsidRPr="006E6975" w:rsidRDefault="00A3669D" w:rsidP="006E6975">
            <w:pPr>
              <w:spacing w:line="360" w:lineRule="auto"/>
              <w:jc w:val="both"/>
              <w:rPr>
                <w:rFonts w:ascii="Book Antiqua" w:hAnsi="Book Antiqua"/>
              </w:rPr>
            </w:pPr>
            <w:r w:rsidRPr="006E6975">
              <w:rPr>
                <w:rFonts w:ascii="Book Antiqua" w:hAnsi="Book Antiqua"/>
              </w:rPr>
              <w:t>1.3</w:t>
            </w:r>
          </w:p>
        </w:tc>
        <w:tc>
          <w:tcPr>
            <w:tcW w:w="1984" w:type="dxa"/>
            <w:noWrap/>
          </w:tcPr>
          <w:p w14:paraId="69F89EF5" w14:textId="77777777" w:rsidR="00FA181F" w:rsidRPr="006E6975" w:rsidRDefault="00A3669D" w:rsidP="006E6975">
            <w:pPr>
              <w:spacing w:line="360" w:lineRule="auto"/>
              <w:jc w:val="both"/>
              <w:rPr>
                <w:rFonts w:ascii="Book Antiqua" w:hAnsi="Book Antiqua"/>
              </w:rPr>
            </w:pPr>
            <w:r w:rsidRPr="006E6975">
              <w:rPr>
                <w:rFonts w:ascii="Book Antiqua" w:hAnsi="Book Antiqua"/>
              </w:rPr>
              <w:t>0-1.5</w:t>
            </w:r>
          </w:p>
        </w:tc>
      </w:tr>
      <w:tr w:rsidR="00FA181F" w:rsidRPr="006E6975" w14:paraId="030957CC" w14:textId="77777777">
        <w:trPr>
          <w:trHeight w:val="315"/>
        </w:trPr>
        <w:tc>
          <w:tcPr>
            <w:tcW w:w="4536" w:type="dxa"/>
            <w:noWrap/>
          </w:tcPr>
          <w:p w14:paraId="7FC69052" w14:textId="77777777" w:rsidR="00FA181F" w:rsidRPr="006E6975" w:rsidRDefault="00A3669D" w:rsidP="006E6975">
            <w:pPr>
              <w:spacing w:line="360" w:lineRule="auto"/>
              <w:jc w:val="both"/>
              <w:rPr>
                <w:rFonts w:ascii="Book Antiqua" w:hAnsi="Book Antiqua"/>
              </w:rPr>
            </w:pPr>
            <w:r w:rsidRPr="006E6975">
              <w:rPr>
                <w:rFonts w:ascii="Book Antiqua" w:hAnsi="Book Antiqua"/>
              </w:rPr>
              <w:t>Pro-gastrin-releasing peptide (pg/mL)</w:t>
            </w:r>
          </w:p>
        </w:tc>
        <w:tc>
          <w:tcPr>
            <w:tcW w:w="1984" w:type="dxa"/>
            <w:noWrap/>
          </w:tcPr>
          <w:p w14:paraId="7F9B8C34" w14:textId="77777777" w:rsidR="00FA181F" w:rsidRPr="006E6975" w:rsidRDefault="00A3669D" w:rsidP="006E6975">
            <w:pPr>
              <w:spacing w:line="360" w:lineRule="auto"/>
              <w:jc w:val="both"/>
              <w:rPr>
                <w:rFonts w:ascii="Book Antiqua" w:hAnsi="Book Antiqua"/>
              </w:rPr>
            </w:pPr>
            <w:r w:rsidRPr="006E6975">
              <w:rPr>
                <w:rFonts w:ascii="Book Antiqua" w:hAnsi="Book Antiqua"/>
              </w:rPr>
              <w:t>45</w:t>
            </w:r>
          </w:p>
        </w:tc>
        <w:tc>
          <w:tcPr>
            <w:tcW w:w="1984" w:type="dxa"/>
            <w:noWrap/>
          </w:tcPr>
          <w:p w14:paraId="0D5EA5BF" w14:textId="77777777" w:rsidR="00FA181F" w:rsidRPr="006E6975" w:rsidRDefault="00A3669D" w:rsidP="006E6975">
            <w:pPr>
              <w:spacing w:line="360" w:lineRule="auto"/>
              <w:jc w:val="both"/>
              <w:rPr>
                <w:rFonts w:ascii="Book Antiqua" w:hAnsi="Book Antiqua"/>
              </w:rPr>
            </w:pPr>
            <w:r w:rsidRPr="006E6975">
              <w:rPr>
                <w:rFonts w:ascii="Book Antiqua" w:hAnsi="Book Antiqua"/>
              </w:rPr>
              <w:t>0-69</w:t>
            </w:r>
          </w:p>
        </w:tc>
      </w:tr>
      <w:tr w:rsidR="00FA181F" w:rsidRPr="006E6975" w14:paraId="5DE4E192" w14:textId="77777777">
        <w:trPr>
          <w:trHeight w:val="315"/>
        </w:trPr>
        <w:tc>
          <w:tcPr>
            <w:tcW w:w="4536" w:type="dxa"/>
            <w:noWrap/>
          </w:tcPr>
          <w:p w14:paraId="1879E48F" w14:textId="77777777" w:rsidR="00FA181F" w:rsidRPr="006E6975" w:rsidRDefault="00A3669D" w:rsidP="006E6975">
            <w:pPr>
              <w:spacing w:line="360" w:lineRule="auto"/>
              <w:jc w:val="both"/>
              <w:rPr>
                <w:rFonts w:ascii="Book Antiqua" w:hAnsi="Book Antiqua"/>
              </w:rPr>
            </w:pPr>
            <w:r w:rsidRPr="006E6975">
              <w:rPr>
                <w:rFonts w:ascii="Book Antiqua" w:hAnsi="Book Antiqua"/>
              </w:rPr>
              <w:t>Beta-D-glucan (pg/mL)</w:t>
            </w:r>
          </w:p>
        </w:tc>
        <w:tc>
          <w:tcPr>
            <w:tcW w:w="1984" w:type="dxa"/>
            <w:noWrap/>
          </w:tcPr>
          <w:p w14:paraId="17420551" w14:textId="77777777" w:rsidR="00FA181F" w:rsidRPr="006E6975" w:rsidRDefault="00A3669D" w:rsidP="006E6975">
            <w:pPr>
              <w:spacing w:line="360" w:lineRule="auto"/>
              <w:jc w:val="both"/>
              <w:rPr>
                <w:rFonts w:ascii="Book Antiqua" w:hAnsi="Book Antiqua"/>
              </w:rPr>
            </w:pPr>
            <w:r w:rsidRPr="006E6975">
              <w:rPr>
                <w:rFonts w:ascii="Book Antiqua" w:hAnsi="Book Antiqua"/>
              </w:rPr>
              <w:t>7.6</w:t>
            </w:r>
          </w:p>
        </w:tc>
        <w:tc>
          <w:tcPr>
            <w:tcW w:w="1984" w:type="dxa"/>
            <w:noWrap/>
          </w:tcPr>
          <w:p w14:paraId="5AD2A3DB" w14:textId="77777777" w:rsidR="00FA181F" w:rsidRPr="006E6975" w:rsidRDefault="00A3669D" w:rsidP="006E6975">
            <w:pPr>
              <w:spacing w:line="360" w:lineRule="auto"/>
              <w:jc w:val="both"/>
              <w:rPr>
                <w:rFonts w:ascii="Book Antiqua" w:hAnsi="Book Antiqua"/>
              </w:rPr>
            </w:pPr>
            <w:r w:rsidRPr="006E6975">
              <w:rPr>
                <w:rFonts w:ascii="Book Antiqua" w:hAnsi="Book Antiqua"/>
              </w:rPr>
              <w:t>0-20</w:t>
            </w:r>
          </w:p>
        </w:tc>
      </w:tr>
    </w:tbl>
    <w:p w14:paraId="30AE9626" w14:textId="77777777" w:rsidR="00FA181F" w:rsidRPr="006E6975" w:rsidRDefault="00FA181F" w:rsidP="006E6975">
      <w:pPr>
        <w:spacing w:line="360" w:lineRule="auto"/>
        <w:jc w:val="both"/>
        <w:rPr>
          <w:rFonts w:ascii="Book Antiqua" w:eastAsia="Book Antiqua" w:hAnsi="Book Antiqua" w:cs="Book Antiqua"/>
        </w:rPr>
      </w:pPr>
    </w:p>
    <w:sectPr w:rsidR="00FA181F" w:rsidRPr="006E69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E446E" w14:textId="77777777" w:rsidR="00215963" w:rsidRDefault="00215963">
      <w:r>
        <w:separator/>
      </w:r>
    </w:p>
  </w:endnote>
  <w:endnote w:type="continuationSeparator" w:id="0">
    <w:p w14:paraId="0B8A1EED" w14:textId="77777777" w:rsidR="00215963" w:rsidRDefault="0021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57E80" w14:textId="77777777" w:rsidR="00FA181F" w:rsidRDefault="00A3669D">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215963" w:rsidRPr="00215963">
      <w:rPr>
        <w:rFonts w:ascii="Book Antiqua" w:hAnsi="Book Antiqua"/>
        <w:noProof/>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215963" w:rsidRPr="00215963">
      <w:rPr>
        <w:rFonts w:ascii="Book Antiqua" w:hAnsi="Book Antiqua"/>
        <w:noProof/>
        <w:sz w:val="24"/>
        <w:szCs w:val="24"/>
        <w:lang w:val="zh-CN" w:eastAsia="zh-CN"/>
      </w:rPr>
      <w:t>1</w:t>
    </w:r>
    <w:r>
      <w:rPr>
        <w:rFonts w:ascii="Book Antiqua" w:hAnsi="Book Antiqua"/>
        <w:sz w:val="24"/>
        <w:szCs w:val="24"/>
      </w:rPr>
      <w:fldChar w:fldCharType="end"/>
    </w:r>
  </w:p>
  <w:p w14:paraId="1892B35E" w14:textId="77777777" w:rsidR="00FA181F" w:rsidRDefault="00FA18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89A9F" w14:textId="77777777" w:rsidR="00215963" w:rsidRDefault="00215963">
      <w:r>
        <w:separator/>
      </w:r>
    </w:p>
  </w:footnote>
  <w:footnote w:type="continuationSeparator" w:id="0">
    <w:p w14:paraId="5E6C58E5" w14:textId="77777777" w:rsidR="00215963" w:rsidRDefault="002159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7F6"/>
    <w:rsid w:val="000318D8"/>
    <w:rsid w:val="00037353"/>
    <w:rsid w:val="000904A3"/>
    <w:rsid w:val="000A721A"/>
    <w:rsid w:val="000B012A"/>
    <w:rsid w:val="000B6755"/>
    <w:rsid w:val="000C31DA"/>
    <w:rsid w:val="000D13BF"/>
    <w:rsid w:val="000F0218"/>
    <w:rsid w:val="0011542F"/>
    <w:rsid w:val="001354FD"/>
    <w:rsid w:val="0014521F"/>
    <w:rsid w:val="00177788"/>
    <w:rsid w:val="001D18BC"/>
    <w:rsid w:val="001E3E66"/>
    <w:rsid w:val="00215963"/>
    <w:rsid w:val="00283254"/>
    <w:rsid w:val="00290714"/>
    <w:rsid w:val="002D04F6"/>
    <w:rsid w:val="002D3BAD"/>
    <w:rsid w:val="003330B2"/>
    <w:rsid w:val="0038673B"/>
    <w:rsid w:val="003E5011"/>
    <w:rsid w:val="004217B5"/>
    <w:rsid w:val="00442C5D"/>
    <w:rsid w:val="004532EB"/>
    <w:rsid w:val="004B10E5"/>
    <w:rsid w:val="00500B9D"/>
    <w:rsid w:val="00514374"/>
    <w:rsid w:val="00516D70"/>
    <w:rsid w:val="00522EF3"/>
    <w:rsid w:val="00540834"/>
    <w:rsid w:val="00543991"/>
    <w:rsid w:val="0055462F"/>
    <w:rsid w:val="00561B78"/>
    <w:rsid w:val="00564B63"/>
    <w:rsid w:val="00574CFC"/>
    <w:rsid w:val="005A5630"/>
    <w:rsid w:val="005C58A5"/>
    <w:rsid w:val="00622551"/>
    <w:rsid w:val="0063131D"/>
    <w:rsid w:val="0063420B"/>
    <w:rsid w:val="00635573"/>
    <w:rsid w:val="0064691F"/>
    <w:rsid w:val="006657ED"/>
    <w:rsid w:val="006922CA"/>
    <w:rsid w:val="006A310B"/>
    <w:rsid w:val="006B604B"/>
    <w:rsid w:val="006B64A2"/>
    <w:rsid w:val="006C238B"/>
    <w:rsid w:val="006C4284"/>
    <w:rsid w:val="006E6975"/>
    <w:rsid w:val="007847EB"/>
    <w:rsid w:val="007D01C8"/>
    <w:rsid w:val="007D12D2"/>
    <w:rsid w:val="007D69C6"/>
    <w:rsid w:val="007E1476"/>
    <w:rsid w:val="007F72E6"/>
    <w:rsid w:val="00813203"/>
    <w:rsid w:val="00860D44"/>
    <w:rsid w:val="00892826"/>
    <w:rsid w:val="008C4CA1"/>
    <w:rsid w:val="008E48ED"/>
    <w:rsid w:val="008F2AE5"/>
    <w:rsid w:val="0091398E"/>
    <w:rsid w:val="0096125D"/>
    <w:rsid w:val="009751C8"/>
    <w:rsid w:val="009803D6"/>
    <w:rsid w:val="00994B97"/>
    <w:rsid w:val="00995EC0"/>
    <w:rsid w:val="009A0781"/>
    <w:rsid w:val="009B4080"/>
    <w:rsid w:val="009D1CE8"/>
    <w:rsid w:val="00A10678"/>
    <w:rsid w:val="00A14373"/>
    <w:rsid w:val="00A2498B"/>
    <w:rsid w:val="00A34568"/>
    <w:rsid w:val="00A3669D"/>
    <w:rsid w:val="00A60987"/>
    <w:rsid w:val="00A77B3E"/>
    <w:rsid w:val="00AB296E"/>
    <w:rsid w:val="00AE12D8"/>
    <w:rsid w:val="00AE6669"/>
    <w:rsid w:val="00B02255"/>
    <w:rsid w:val="00B04463"/>
    <w:rsid w:val="00B20ECE"/>
    <w:rsid w:val="00B314C9"/>
    <w:rsid w:val="00B56831"/>
    <w:rsid w:val="00B76757"/>
    <w:rsid w:val="00BA379E"/>
    <w:rsid w:val="00BC3A6C"/>
    <w:rsid w:val="00BC6187"/>
    <w:rsid w:val="00C35845"/>
    <w:rsid w:val="00C41BDE"/>
    <w:rsid w:val="00C75157"/>
    <w:rsid w:val="00C913DB"/>
    <w:rsid w:val="00CA2A55"/>
    <w:rsid w:val="00CB0CF7"/>
    <w:rsid w:val="00CC1AC5"/>
    <w:rsid w:val="00CC4354"/>
    <w:rsid w:val="00CC7B51"/>
    <w:rsid w:val="00CE4816"/>
    <w:rsid w:val="00D22127"/>
    <w:rsid w:val="00D52311"/>
    <w:rsid w:val="00D60F60"/>
    <w:rsid w:val="00D90D3A"/>
    <w:rsid w:val="00D93D1D"/>
    <w:rsid w:val="00D95D7D"/>
    <w:rsid w:val="00DF7C35"/>
    <w:rsid w:val="00E23E8A"/>
    <w:rsid w:val="00E47385"/>
    <w:rsid w:val="00E8380C"/>
    <w:rsid w:val="00E909CA"/>
    <w:rsid w:val="00EB4D1D"/>
    <w:rsid w:val="00F1256C"/>
    <w:rsid w:val="00F15E44"/>
    <w:rsid w:val="00F60FF9"/>
    <w:rsid w:val="00F61371"/>
    <w:rsid w:val="00F8100F"/>
    <w:rsid w:val="00FA181F"/>
    <w:rsid w:val="00FA52C7"/>
    <w:rsid w:val="00FC095A"/>
    <w:rsid w:val="00FC49E5"/>
    <w:rsid w:val="00FD48E5"/>
    <w:rsid w:val="00FE2E56"/>
    <w:rsid w:val="00FF27B7"/>
    <w:rsid w:val="03271E43"/>
    <w:rsid w:val="0B3C6DBE"/>
    <w:rsid w:val="115F4608"/>
    <w:rsid w:val="1B153957"/>
    <w:rsid w:val="288630FD"/>
    <w:rsid w:val="2AF80E35"/>
    <w:rsid w:val="2BBE116F"/>
    <w:rsid w:val="2EEB6D20"/>
    <w:rsid w:val="3C105D7A"/>
    <w:rsid w:val="47416F54"/>
    <w:rsid w:val="59B87BBD"/>
    <w:rsid w:val="60C40F8C"/>
    <w:rsid w:val="6190479E"/>
    <w:rsid w:val="67F9118F"/>
    <w:rsid w:val="74880137"/>
    <w:rsid w:val="75AF493F"/>
    <w:rsid w:val="7C876B04"/>
    <w:rsid w:val="7FC00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DA4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footer" w:uiPriority="99"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sz w:val="24"/>
      <w:szCs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qFormat/>
    <w:rPr>
      <w:sz w:val="16"/>
      <w:szCs w:val="16"/>
    </w:rPr>
  </w:style>
  <w:style w:type="character" w:customStyle="1" w:styleId="MsoCommentReference0">
    <w:name w:val="MsoCommentReference"/>
    <w:basedOn w:val="a0"/>
    <w:qFormat/>
  </w:style>
  <w:style w:type="character" w:customStyle="1" w:styleId="Char2">
    <w:name w:val="页眉 Char"/>
    <w:basedOn w:val="a0"/>
    <w:link w:val="a6"/>
    <w:qFormat/>
    <w:rPr>
      <w:rFonts w:ascii="Times New Roman" w:eastAsia="Times New Roman" w:hAnsi="Times New Roman" w:cs="Times New Roman"/>
      <w:sz w:val="18"/>
      <w:szCs w:val="18"/>
      <w:lang w:eastAsia="en-US"/>
    </w:rPr>
  </w:style>
  <w:style w:type="character" w:customStyle="1" w:styleId="Char1">
    <w:name w:val="页脚 Char"/>
    <w:basedOn w:val="a0"/>
    <w:link w:val="a5"/>
    <w:uiPriority w:val="99"/>
    <w:qFormat/>
    <w:rPr>
      <w:rFonts w:ascii="Times New Roman" w:eastAsia="Times New Roman" w:hAnsi="Times New Roman" w:cs="Times New Roman"/>
      <w:sz w:val="18"/>
      <w:szCs w:val="18"/>
      <w:lang w:eastAsia="en-US"/>
    </w:rPr>
  </w:style>
  <w:style w:type="character" w:customStyle="1" w:styleId="Char0">
    <w:name w:val="批注框文本 Char"/>
    <w:basedOn w:val="a0"/>
    <w:link w:val="a4"/>
    <w:rPr>
      <w:rFonts w:ascii="Times New Roman" w:eastAsia="Times New Roman" w:hAnsi="Times New Roman" w:cs="Times New Roman"/>
      <w:sz w:val="18"/>
      <w:szCs w:val="18"/>
      <w:lang w:eastAsia="en-US"/>
    </w:rPr>
  </w:style>
  <w:style w:type="character" w:customStyle="1" w:styleId="Char">
    <w:name w:val="批注文字 Char"/>
    <w:basedOn w:val="a0"/>
    <w:link w:val="a3"/>
    <w:uiPriority w:val="99"/>
    <w:semiHidden/>
    <w:rPr>
      <w:rFonts w:ascii="Times New Roman" w:eastAsia="Times New Roman" w:hAnsi="Times New Roman" w:cs="Times New Roman"/>
      <w:lang w:eastAsia="en-US"/>
    </w:rPr>
  </w:style>
  <w:style w:type="character" w:customStyle="1" w:styleId="Char3">
    <w:name w:val="批注主题 Char"/>
    <w:basedOn w:val="Char"/>
    <w:link w:val="a7"/>
    <w:rPr>
      <w:rFonts w:ascii="Times New Roman" w:eastAsia="Times New Roman" w:hAnsi="Times New Roman" w:cs="Times New Roman"/>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footer" w:uiPriority="99"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sz w:val="24"/>
      <w:szCs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qFormat/>
    <w:rPr>
      <w:sz w:val="16"/>
      <w:szCs w:val="16"/>
    </w:rPr>
  </w:style>
  <w:style w:type="character" w:customStyle="1" w:styleId="MsoCommentReference0">
    <w:name w:val="MsoCommentReference"/>
    <w:basedOn w:val="a0"/>
    <w:qFormat/>
  </w:style>
  <w:style w:type="character" w:customStyle="1" w:styleId="Char2">
    <w:name w:val="页眉 Char"/>
    <w:basedOn w:val="a0"/>
    <w:link w:val="a6"/>
    <w:qFormat/>
    <w:rPr>
      <w:rFonts w:ascii="Times New Roman" w:eastAsia="Times New Roman" w:hAnsi="Times New Roman" w:cs="Times New Roman"/>
      <w:sz w:val="18"/>
      <w:szCs w:val="18"/>
      <w:lang w:eastAsia="en-US"/>
    </w:rPr>
  </w:style>
  <w:style w:type="character" w:customStyle="1" w:styleId="Char1">
    <w:name w:val="页脚 Char"/>
    <w:basedOn w:val="a0"/>
    <w:link w:val="a5"/>
    <w:uiPriority w:val="99"/>
    <w:qFormat/>
    <w:rPr>
      <w:rFonts w:ascii="Times New Roman" w:eastAsia="Times New Roman" w:hAnsi="Times New Roman" w:cs="Times New Roman"/>
      <w:sz w:val="18"/>
      <w:szCs w:val="18"/>
      <w:lang w:eastAsia="en-US"/>
    </w:rPr>
  </w:style>
  <w:style w:type="character" w:customStyle="1" w:styleId="Char0">
    <w:name w:val="批注框文本 Char"/>
    <w:basedOn w:val="a0"/>
    <w:link w:val="a4"/>
    <w:rPr>
      <w:rFonts w:ascii="Times New Roman" w:eastAsia="Times New Roman" w:hAnsi="Times New Roman" w:cs="Times New Roman"/>
      <w:sz w:val="18"/>
      <w:szCs w:val="18"/>
      <w:lang w:eastAsia="en-US"/>
    </w:rPr>
  </w:style>
  <w:style w:type="character" w:customStyle="1" w:styleId="Char">
    <w:name w:val="批注文字 Char"/>
    <w:basedOn w:val="a0"/>
    <w:link w:val="a3"/>
    <w:uiPriority w:val="99"/>
    <w:semiHidden/>
    <w:rPr>
      <w:rFonts w:ascii="Times New Roman" w:eastAsia="Times New Roman" w:hAnsi="Times New Roman" w:cs="Times New Roman"/>
      <w:lang w:eastAsia="en-US"/>
    </w:rPr>
  </w:style>
  <w:style w:type="character" w:customStyle="1" w:styleId="Char3">
    <w:name w:val="批注主题 Char"/>
    <w:basedOn w:val="Char"/>
    <w:link w:val="a7"/>
    <w:rPr>
      <w:rFonts w:ascii="Times New Roman" w:eastAsia="Times New Roman" w:hAnsi="Times New Roman" w:cs="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24</Pages>
  <Words>5367</Words>
  <Characters>30592</Characters>
  <Application>Microsoft Office Word</Application>
  <DocSecurity>0</DocSecurity>
  <Lines>254</Lines>
  <Paragraphs>71</Paragraphs>
  <ScaleCrop>false</ScaleCrop>
  <Company/>
  <LinksUpToDate>false</LinksUpToDate>
  <CharactersWithSpaces>35888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liujihong2008@qq.con</cp:lastModifiedBy>
  <cp:revision>10</cp:revision>
  <dcterms:created xsi:type="dcterms:W3CDTF">2020-09-10T18:32:00Z</dcterms:created>
  <dcterms:modified xsi:type="dcterms:W3CDTF">2020-10-22T07:18:00Z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