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9B53" w14:textId="77777777" w:rsidR="00A77B3E" w:rsidRDefault="000728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F98B996" w14:textId="77777777" w:rsidR="00A77B3E" w:rsidRDefault="000728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58343</w:t>
      </w:r>
    </w:p>
    <w:p w14:paraId="111481D7" w14:textId="77777777" w:rsidR="00A77B3E" w:rsidRDefault="000728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AC5E07B" w14:textId="77777777" w:rsidR="00A77B3E" w:rsidRDefault="00A77B3E">
      <w:pPr>
        <w:spacing w:line="360" w:lineRule="auto"/>
        <w:jc w:val="both"/>
      </w:pPr>
    </w:p>
    <w:p w14:paraId="7441C48B" w14:textId="77777777" w:rsidR="00A77B3E" w:rsidRDefault="000728BB">
      <w:pPr>
        <w:spacing w:line="360" w:lineRule="auto"/>
        <w:jc w:val="both"/>
      </w:pPr>
      <w:bookmarkStart w:id="0" w:name="OLE_LINK5"/>
      <w:bookmarkStart w:id="1" w:name="OLE_LINK6"/>
      <w:r>
        <w:rPr>
          <w:rFonts w:ascii="Book Antiqua" w:eastAsia="Book Antiqua" w:hAnsi="Book Antiqua" w:cs="Book Antiqua"/>
          <w:b/>
          <w:bCs/>
          <w:color w:val="000000"/>
        </w:rPr>
        <w:t>Refractory case of ulcerative colitis with idiopathic thrombocytopenic purpura successfully treated by Janus kinase inhibitor tofacitinib: A case report</w:t>
      </w:r>
    </w:p>
    <w:bookmarkEnd w:id="0"/>
    <w:bookmarkEnd w:id="1"/>
    <w:p w14:paraId="1A1DFDFC" w14:textId="77777777" w:rsidR="00A77B3E" w:rsidRDefault="00A77B3E">
      <w:pPr>
        <w:spacing w:line="360" w:lineRule="auto"/>
        <w:jc w:val="both"/>
      </w:pPr>
    </w:p>
    <w:p w14:paraId="0BA57F32" w14:textId="77777777" w:rsidR="00A77B3E" w:rsidRDefault="000728BB">
      <w:pPr>
        <w:spacing w:line="360" w:lineRule="auto"/>
        <w:jc w:val="both"/>
      </w:pPr>
      <w:r>
        <w:rPr>
          <w:rFonts w:ascii="Book Antiqua" w:eastAsia="Book Antiqua" w:hAnsi="Book Antiqua" w:cs="Book Antiqua"/>
          <w:color w:val="000000"/>
        </w:rPr>
        <w:t xml:space="preserve">Komeda Y </w:t>
      </w:r>
      <w:r>
        <w:rPr>
          <w:rFonts w:ascii="Book Antiqua" w:eastAsia="Book Antiqua" w:hAnsi="Book Antiqua" w:cs="Book Antiqua"/>
          <w:i/>
          <w:iCs/>
          <w:color w:val="000000"/>
        </w:rPr>
        <w:t>et al</w:t>
      </w:r>
      <w:r>
        <w:rPr>
          <w:rFonts w:ascii="Book Antiqua" w:eastAsia="Book Antiqua" w:hAnsi="Book Antiqua" w:cs="Book Antiqua"/>
          <w:color w:val="000000"/>
        </w:rPr>
        <w:t>. Tofacitinib for UC and ITP</w:t>
      </w:r>
    </w:p>
    <w:p w14:paraId="670D620D" w14:textId="77777777" w:rsidR="00A77B3E" w:rsidRDefault="00A77B3E">
      <w:pPr>
        <w:spacing w:line="360" w:lineRule="auto"/>
        <w:jc w:val="both"/>
      </w:pPr>
    </w:p>
    <w:p w14:paraId="0777721B" w14:textId="77777777" w:rsidR="00A77B3E" w:rsidRDefault="000728BB">
      <w:pPr>
        <w:spacing w:line="360" w:lineRule="auto"/>
        <w:jc w:val="both"/>
      </w:pPr>
      <w:r>
        <w:rPr>
          <w:rFonts w:ascii="Book Antiqua" w:eastAsia="Book Antiqua" w:hAnsi="Book Antiqua" w:cs="Book Antiqua"/>
          <w:color w:val="000000"/>
        </w:rPr>
        <w:t>Yoriaki Komeda, Toshiharu Sakurai, Kazuko Sakai, Yasuyoshi Morita, Arito Hashimoto, Tomoyuki Nagai, Satoru Hagiwara, Itaru Matsumura, Kazuto Nishio, Masatoshi Kudo</w:t>
      </w:r>
    </w:p>
    <w:p w14:paraId="0C612012" w14:textId="77777777" w:rsidR="00A77B3E" w:rsidRDefault="00A77B3E">
      <w:pPr>
        <w:spacing w:line="360" w:lineRule="auto"/>
        <w:jc w:val="both"/>
      </w:pPr>
    </w:p>
    <w:p w14:paraId="0518171A" w14:textId="77777777" w:rsidR="00A77B3E" w:rsidRDefault="000728BB">
      <w:pPr>
        <w:spacing w:line="360" w:lineRule="auto"/>
        <w:jc w:val="both"/>
      </w:pPr>
      <w:r>
        <w:rPr>
          <w:rFonts w:ascii="Book Antiqua" w:eastAsia="Book Antiqua" w:hAnsi="Book Antiqua" w:cs="Book Antiqua"/>
          <w:b/>
          <w:bCs/>
          <w:color w:val="000000"/>
        </w:rPr>
        <w:t xml:space="preserve">Yoriaki Komeda, Toshiharu Sakurai, Arito Hashimoto, Tomoyuki Nagai, Satoru Hagiwara, Masatoshi Kudo, </w:t>
      </w:r>
      <w:r>
        <w:rPr>
          <w:rFonts w:ascii="Book Antiqua" w:eastAsia="Book Antiqua" w:hAnsi="Book Antiqua" w:cs="Book Antiqua"/>
          <w:color w:val="000000"/>
        </w:rPr>
        <w:t>Department of Gastroenterology and Hepatology, Kindai University Faculty of Medicine, Osaka 589-8511, Japan</w:t>
      </w:r>
    </w:p>
    <w:p w14:paraId="083AFBA4" w14:textId="77777777" w:rsidR="00A77B3E" w:rsidRDefault="00A77B3E">
      <w:pPr>
        <w:spacing w:line="360" w:lineRule="auto"/>
        <w:jc w:val="both"/>
      </w:pPr>
    </w:p>
    <w:p w14:paraId="59D48916" w14:textId="77777777" w:rsidR="00A77B3E" w:rsidRDefault="000728BB">
      <w:pPr>
        <w:spacing w:line="360" w:lineRule="auto"/>
        <w:jc w:val="both"/>
      </w:pPr>
      <w:r>
        <w:rPr>
          <w:rFonts w:ascii="Book Antiqua" w:eastAsia="Book Antiqua" w:hAnsi="Book Antiqua" w:cs="Book Antiqua"/>
          <w:b/>
          <w:bCs/>
          <w:color w:val="000000"/>
        </w:rPr>
        <w:t xml:space="preserve">Kazuko Sakai, Kazuto Nishio, </w:t>
      </w:r>
      <w:r>
        <w:rPr>
          <w:rFonts w:ascii="Book Antiqua" w:eastAsia="Book Antiqua" w:hAnsi="Book Antiqua" w:cs="Book Antiqua"/>
          <w:color w:val="000000"/>
        </w:rPr>
        <w:t>Department of Genome Biology, Kindai University Faculty of Medicine, Osaka 589-8511, Japan</w:t>
      </w:r>
    </w:p>
    <w:p w14:paraId="499BE7E9" w14:textId="77777777" w:rsidR="00A77B3E" w:rsidRDefault="00A77B3E">
      <w:pPr>
        <w:spacing w:line="360" w:lineRule="auto"/>
        <w:jc w:val="both"/>
      </w:pPr>
    </w:p>
    <w:p w14:paraId="7D1CA417" w14:textId="77777777" w:rsidR="00A77B3E" w:rsidRDefault="000728BB">
      <w:pPr>
        <w:spacing w:line="360" w:lineRule="auto"/>
        <w:jc w:val="both"/>
      </w:pPr>
      <w:r>
        <w:rPr>
          <w:rFonts w:ascii="Book Antiqua" w:eastAsia="Book Antiqua" w:hAnsi="Book Antiqua" w:cs="Book Antiqua"/>
          <w:b/>
          <w:bCs/>
          <w:color w:val="000000"/>
        </w:rPr>
        <w:t xml:space="preserve">Yasuyoshi Morita, Itaru Matsumura, </w:t>
      </w:r>
      <w:r>
        <w:rPr>
          <w:rFonts w:ascii="Book Antiqua" w:eastAsia="Book Antiqua" w:hAnsi="Book Antiqua" w:cs="Book Antiqua"/>
          <w:color w:val="000000"/>
        </w:rPr>
        <w:t>Department of Hematology and Rheumatology, Kindai University Faculty of Medicine, Osaka 589-8511, Japan</w:t>
      </w:r>
    </w:p>
    <w:p w14:paraId="4ED00D60" w14:textId="77777777" w:rsidR="00A77B3E" w:rsidRDefault="00A77B3E">
      <w:pPr>
        <w:spacing w:line="360" w:lineRule="auto"/>
        <w:jc w:val="both"/>
      </w:pPr>
    </w:p>
    <w:p w14:paraId="1E9E0201" w14:textId="77777777" w:rsidR="00A77B3E" w:rsidRDefault="000728B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Komeda K and Sakurai T wrote the manuscript. Komeda K, Sakurai T, Morita Y and Hashimoto A was the patient’s doctor in charge and was responsible for collecting medical history. Komeda Y, Sakurai T, Sakai K, Nagai T, Hagiwara S, Matsumura I, Nishio K and Kudo M contributed data analysis and interpretation of data.</w:t>
      </w:r>
    </w:p>
    <w:p w14:paraId="2EBFA9F2" w14:textId="77777777" w:rsidR="00A77B3E" w:rsidRDefault="00A77B3E">
      <w:pPr>
        <w:spacing w:line="360" w:lineRule="auto"/>
        <w:jc w:val="both"/>
      </w:pPr>
    </w:p>
    <w:p w14:paraId="09E76AA1" w14:textId="77777777" w:rsidR="00A77B3E" w:rsidRDefault="000728B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JSPS KAKENHI, No. 17K09396, No. 17H06404, and No. 20K08368.</w:t>
      </w:r>
    </w:p>
    <w:p w14:paraId="0DF2616E" w14:textId="77777777" w:rsidR="00A77B3E" w:rsidRDefault="00A77B3E">
      <w:pPr>
        <w:spacing w:line="360" w:lineRule="auto"/>
        <w:jc w:val="both"/>
      </w:pPr>
    </w:p>
    <w:p w14:paraId="2690829E" w14:textId="77777777" w:rsidR="00A77B3E" w:rsidRDefault="000728BB">
      <w:pPr>
        <w:spacing w:line="360" w:lineRule="auto"/>
        <w:jc w:val="both"/>
      </w:pPr>
      <w:r>
        <w:rPr>
          <w:rFonts w:ascii="Book Antiqua" w:eastAsia="Book Antiqua" w:hAnsi="Book Antiqua" w:cs="Book Antiqua"/>
          <w:b/>
          <w:bCs/>
          <w:color w:val="000000"/>
        </w:rPr>
        <w:lastRenderedPageBreak/>
        <w:t xml:space="preserve">Corresponding author: Toshiharu Sakurai, MD, PhD, Assistant Professor, Senior Lecturer, </w:t>
      </w:r>
      <w:r>
        <w:rPr>
          <w:rFonts w:ascii="Book Antiqua" w:eastAsia="Book Antiqua" w:hAnsi="Book Antiqua" w:cs="Book Antiqua"/>
          <w:color w:val="000000"/>
        </w:rPr>
        <w:t>Department of Gastroenterology and Hepatology, Kindai University Faculty of Medicine, 377-2 Ohno-Higashi, Osaka 589-8511, Japan. sakurai@med.kindai.ac.jp</w:t>
      </w:r>
    </w:p>
    <w:p w14:paraId="10EFB015" w14:textId="77777777" w:rsidR="00A77B3E" w:rsidRDefault="00A77B3E">
      <w:pPr>
        <w:spacing w:line="360" w:lineRule="auto"/>
        <w:jc w:val="both"/>
      </w:pPr>
    </w:p>
    <w:p w14:paraId="5642D072" w14:textId="77777777" w:rsidR="00A77B3E" w:rsidRDefault="000728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 2020</w:t>
      </w:r>
    </w:p>
    <w:p w14:paraId="5C4395CE" w14:textId="77777777" w:rsidR="00A77B3E" w:rsidRDefault="000728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2020</w:t>
      </w:r>
    </w:p>
    <w:p w14:paraId="27D6EB5C" w14:textId="3F323238" w:rsidR="00A77B3E" w:rsidRDefault="000728BB">
      <w:pPr>
        <w:spacing w:line="360" w:lineRule="auto"/>
        <w:jc w:val="both"/>
      </w:pPr>
      <w:r>
        <w:rPr>
          <w:rFonts w:ascii="Book Antiqua" w:eastAsia="Book Antiqua" w:hAnsi="Book Antiqua" w:cs="Book Antiqua"/>
          <w:b/>
          <w:bCs/>
          <w:color w:val="000000"/>
        </w:rPr>
        <w:t xml:space="preserve">Accepted: </w:t>
      </w:r>
      <w:r w:rsidR="001E5FED" w:rsidRPr="001E5FED">
        <w:rPr>
          <w:rFonts w:ascii="Book Antiqua" w:eastAsia="Book Antiqua" w:hAnsi="Book Antiqua" w:cs="Book Antiqua"/>
          <w:color w:val="000000"/>
        </w:rPr>
        <w:t>November 4, 2020</w:t>
      </w:r>
    </w:p>
    <w:p w14:paraId="7B0FF4FF" w14:textId="77777777" w:rsidR="00A77B3E" w:rsidRDefault="000728BB">
      <w:pPr>
        <w:spacing w:line="360" w:lineRule="auto"/>
        <w:jc w:val="both"/>
      </w:pPr>
      <w:r>
        <w:rPr>
          <w:rFonts w:ascii="Book Antiqua" w:eastAsia="Book Antiqua" w:hAnsi="Book Antiqua" w:cs="Book Antiqua"/>
          <w:b/>
          <w:bCs/>
          <w:color w:val="000000"/>
        </w:rPr>
        <w:t xml:space="preserve">Published online: </w:t>
      </w:r>
    </w:p>
    <w:p w14:paraId="2E36CCE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75F93E9" w14:textId="77777777" w:rsidR="00A77B3E" w:rsidRDefault="000728BB">
      <w:pPr>
        <w:spacing w:line="360" w:lineRule="auto"/>
        <w:jc w:val="both"/>
      </w:pPr>
      <w:r>
        <w:rPr>
          <w:rFonts w:ascii="Book Antiqua" w:eastAsia="Book Antiqua" w:hAnsi="Book Antiqua" w:cs="Book Antiqua"/>
          <w:b/>
          <w:color w:val="000000"/>
        </w:rPr>
        <w:lastRenderedPageBreak/>
        <w:t>Abstract</w:t>
      </w:r>
    </w:p>
    <w:p w14:paraId="78BA0AE3" w14:textId="77777777" w:rsidR="00A77B3E" w:rsidRDefault="000728BB">
      <w:pPr>
        <w:spacing w:line="360" w:lineRule="auto"/>
        <w:jc w:val="both"/>
      </w:pPr>
      <w:r>
        <w:rPr>
          <w:rFonts w:ascii="Book Antiqua" w:eastAsia="Book Antiqua" w:hAnsi="Book Antiqua" w:cs="Book Antiqua"/>
          <w:color w:val="000000"/>
        </w:rPr>
        <w:t>BACKGROUND</w:t>
      </w:r>
    </w:p>
    <w:p w14:paraId="14409DFA" w14:textId="77777777" w:rsidR="00A77B3E" w:rsidRDefault="000728BB">
      <w:pPr>
        <w:spacing w:line="360" w:lineRule="auto"/>
        <w:jc w:val="both"/>
      </w:pPr>
      <w:r>
        <w:rPr>
          <w:rFonts w:ascii="Book Antiqua" w:eastAsia="Book Antiqua" w:hAnsi="Book Antiqua" w:cs="Book Antiqua"/>
          <w:color w:val="000000"/>
        </w:rPr>
        <w:t>Concomitant ulcerative colitis (UC) and idiopathic thrombocytopenic purpura (ITP) is a rare phenomenon. The management of UC with ITP can be challenging, since a decreased platelet count augments UC.</w:t>
      </w:r>
    </w:p>
    <w:p w14:paraId="0DF94EDF" w14:textId="77777777" w:rsidR="00A77B3E" w:rsidRDefault="00A77B3E">
      <w:pPr>
        <w:spacing w:line="360" w:lineRule="auto"/>
        <w:jc w:val="both"/>
      </w:pPr>
    </w:p>
    <w:p w14:paraId="30538CB1" w14:textId="77777777" w:rsidR="00A77B3E" w:rsidRDefault="000728BB">
      <w:pPr>
        <w:spacing w:line="360" w:lineRule="auto"/>
        <w:jc w:val="both"/>
      </w:pPr>
      <w:r>
        <w:rPr>
          <w:rFonts w:ascii="Book Antiqua" w:eastAsia="Book Antiqua" w:hAnsi="Book Antiqua" w:cs="Book Antiqua"/>
          <w:color w:val="000000"/>
        </w:rPr>
        <w:t>CASE SUMMARY</w:t>
      </w:r>
    </w:p>
    <w:p w14:paraId="10492750" w14:textId="77777777" w:rsidR="00A77B3E" w:rsidRDefault="000728BB">
      <w:pPr>
        <w:spacing w:line="360" w:lineRule="auto"/>
        <w:jc w:val="both"/>
      </w:pPr>
      <w:r>
        <w:rPr>
          <w:rFonts w:ascii="Book Antiqua" w:eastAsia="Book Antiqua" w:hAnsi="Book Antiqua" w:cs="Book Antiqua"/>
          <w:color w:val="000000"/>
        </w:rPr>
        <w:t>A 24-year-old man with UC and steroid-resistant ITP experienced UC flare. Although continuous infusion of cyclosporine was initiated, UC did not improve. The administration of tofacitinib subsequently led to the induction of remission. The patient has maintained remission of UC and ITP for over one year on tofacitinib treatment. Whole transcriptomic sequencing was performed for inflamed rectal mucosae obtained before and after the initiation of Janus kinase (JAK) inhibitor, suggesting that distinct molecular signatures seemed to be regulated by JAK inhibitors and other conventional therapies including tumor necrosis factor lockers.</w:t>
      </w:r>
    </w:p>
    <w:p w14:paraId="6175E6B3" w14:textId="77777777" w:rsidR="00A77B3E" w:rsidRDefault="00A77B3E">
      <w:pPr>
        <w:spacing w:line="360" w:lineRule="auto"/>
        <w:jc w:val="both"/>
      </w:pPr>
    </w:p>
    <w:p w14:paraId="03205B8A" w14:textId="77777777" w:rsidR="00A77B3E" w:rsidRDefault="000728BB">
      <w:pPr>
        <w:spacing w:line="360" w:lineRule="auto"/>
        <w:jc w:val="both"/>
      </w:pPr>
      <w:r>
        <w:rPr>
          <w:rFonts w:ascii="Book Antiqua" w:eastAsia="Book Antiqua" w:hAnsi="Book Antiqua" w:cs="Book Antiqua"/>
          <w:color w:val="000000"/>
        </w:rPr>
        <w:t>CONCLUSION</w:t>
      </w:r>
    </w:p>
    <w:p w14:paraId="0B646FF0" w14:textId="77777777" w:rsidR="00A77B3E" w:rsidRDefault="000728BB">
      <w:pPr>
        <w:spacing w:line="360" w:lineRule="auto"/>
        <w:jc w:val="both"/>
      </w:pPr>
      <w:r>
        <w:rPr>
          <w:rFonts w:ascii="Book Antiqua" w:eastAsia="Book Antiqua" w:hAnsi="Book Antiqua" w:cs="Book Antiqua"/>
          <w:color w:val="000000"/>
        </w:rPr>
        <w:t>Tofacitinib should be considered in refractory cases of UC with ITP.</w:t>
      </w:r>
    </w:p>
    <w:p w14:paraId="27270383" w14:textId="77777777" w:rsidR="00A77B3E" w:rsidRDefault="00A77B3E">
      <w:pPr>
        <w:spacing w:line="360" w:lineRule="auto"/>
        <w:jc w:val="both"/>
      </w:pPr>
    </w:p>
    <w:p w14:paraId="1EBE8157" w14:textId="77777777" w:rsidR="00A77B3E" w:rsidRDefault="000728B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Ulcerative colitis; Idiopathic thrombocytopenic purpura; Tofacitinib; Whole transcriptome analysis; Case report; Predictive biomarker</w:t>
      </w:r>
    </w:p>
    <w:p w14:paraId="0D749926" w14:textId="77777777" w:rsidR="00A77B3E" w:rsidRDefault="00A77B3E">
      <w:pPr>
        <w:spacing w:line="360" w:lineRule="auto"/>
        <w:jc w:val="both"/>
      </w:pPr>
    </w:p>
    <w:p w14:paraId="4D23FAEB" w14:textId="77777777" w:rsidR="00A77B3E" w:rsidRDefault="000728BB">
      <w:pPr>
        <w:spacing w:line="360" w:lineRule="auto"/>
        <w:jc w:val="both"/>
      </w:pPr>
      <w:r>
        <w:rPr>
          <w:rFonts w:ascii="Book Antiqua" w:eastAsia="Book Antiqua" w:hAnsi="Book Antiqua" w:cs="Book Antiqua"/>
          <w:color w:val="000000"/>
        </w:rPr>
        <w:t xml:space="preserve">Komeda Y, Sakurai T, Sakai K, Morita Y, Hashimoto A, Nagai T, Hagiwara S, Matsumura I, Nishio K, Kudo M. Refractory case of ulcerative colitis with idiopathic thrombocytopenic purpura successfully treated by Janus kinase inhibitor tofacitinib: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785DDCBA" w14:textId="77777777" w:rsidR="00A77B3E" w:rsidRDefault="00A77B3E">
      <w:pPr>
        <w:spacing w:line="360" w:lineRule="auto"/>
        <w:jc w:val="both"/>
      </w:pPr>
    </w:p>
    <w:p w14:paraId="43E9BB83" w14:textId="2A56E1BA" w:rsidR="00041C21" w:rsidRDefault="000728B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herein report a refractory case of ulcerative colitis associated with idiopathic thrombocytopenic purpura successfully treated with tofacitinib. The </w:t>
      </w:r>
      <w:r>
        <w:rPr>
          <w:rFonts w:ascii="Book Antiqua" w:eastAsia="Book Antiqua" w:hAnsi="Book Antiqua" w:cs="Book Antiqua"/>
          <w:color w:val="000000"/>
        </w:rPr>
        <w:lastRenderedPageBreak/>
        <w:t>relationship between these two disease entities underscore treatment implications, given their potentially shared immunological pathway and responses to similar medications. To investigate changes in gene signatures during tofacitinib therapy, whole transcriptomic sequencing was performed for inflamed rectal mucosae obtained before and after the initiation of Janus kinase (JAK) inhibitor. Distinct molecular signatures seemed to be regulated by JAK inhibition and tumor necrosis factor blockade, suggesting that the identification of gene sets may be able to predict therapeutic responses to medications.</w:t>
      </w:r>
    </w:p>
    <w:p w14:paraId="30E6B6CE" w14:textId="43D1616A" w:rsidR="00A77B3E" w:rsidRDefault="00041C21">
      <w:pPr>
        <w:spacing w:line="360" w:lineRule="auto"/>
        <w:jc w:val="both"/>
      </w:pPr>
      <w:r>
        <w:rPr>
          <w:rFonts w:ascii="Book Antiqua" w:eastAsia="Book Antiqua" w:hAnsi="Book Antiqua" w:cs="Book Antiqua"/>
          <w:color w:val="000000"/>
        </w:rPr>
        <w:br w:type="page"/>
      </w:r>
      <w:r w:rsidR="000728BB">
        <w:rPr>
          <w:rFonts w:ascii="Book Antiqua" w:eastAsia="Book Antiqua" w:hAnsi="Book Antiqua" w:cs="Book Antiqua"/>
          <w:b/>
          <w:caps/>
          <w:color w:val="000000"/>
          <w:u w:val="single"/>
        </w:rPr>
        <w:lastRenderedPageBreak/>
        <w:t>INTRODUCTION</w:t>
      </w:r>
    </w:p>
    <w:p w14:paraId="1DFFBE67" w14:textId="77777777" w:rsidR="00A77B3E" w:rsidRDefault="000728BB">
      <w:pPr>
        <w:spacing w:line="360" w:lineRule="auto"/>
        <w:jc w:val="both"/>
      </w:pPr>
      <w:r>
        <w:rPr>
          <w:rFonts w:ascii="Book Antiqua" w:eastAsia="Book Antiqua" w:hAnsi="Book Antiqua" w:cs="Book Antiqua"/>
          <w:color w:val="000000"/>
        </w:rPr>
        <w:t>Inflammatory bowel disease (IBD), including ulcerative colitis (UC) and Crohn’s disease, is characterized by chronic relapsing inflammation of the gastrointestinal tract. The precise etiology of UC remains unknown. It has been associated with extraintestinal manifestations, including musculoskeletal diseases, mucocutaneous diseases, and hepatobiliary diseases</w:t>
      </w:r>
      <w:r>
        <w:rPr>
          <w:rFonts w:ascii="Book Antiqua" w:eastAsia="Book Antiqua" w:hAnsi="Book Antiqua" w:cs="Book Antiqua"/>
          <w:color w:val="000000"/>
          <w:szCs w:val="20"/>
          <w:vertAlign w:val="superscript"/>
        </w:rPr>
        <w:t>[</w:t>
      </w:r>
      <w:hyperlink r:id="rId7" w:anchor="B1" w:history="1">
        <w:r>
          <w:rPr>
            <w:rFonts w:ascii="Book Antiqua" w:eastAsia="Book Antiqua" w:hAnsi="Book Antiqua" w:cs="Book Antiqua"/>
            <w:color w:val="000000"/>
            <w:szCs w:val="20"/>
            <w:u w:val="single" w:color="0000EE"/>
            <w:vertAlign w:val="superscript"/>
          </w:rPr>
          <w:t>1</w:t>
        </w:r>
      </w:hyperlink>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association between UC and idiopathic thrombocytopenic purpura (ITP) has also been described. The proposed pathogenesis of the concurrence of UC and ITP is antigenic mimicry between luminal antigens and platelet surface antigens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concurrence of UC with ITP adds complexity to the clinical course, since the number of bloody bowel movements is an important criterion for assessing the disease severity of UC. In addition, treatment of underlying UC flare can be challenging, since a decreased platelet count worsens the UC symptom, hematochezia. While treatment with anti-tumor necrosis factor (TNF) agents and cyclosporin as well as colectomy are acceptable options in refractory cases of UC associated with ITP</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there are currently no recommended therapeutic strategies. The Janus kinase (JAK) inhibitor tofacitinib was recently introduced for the treatment of refractory UC, but its effectiveness has not been determined for UC with ITP. We herein report a refractory case of UC associated with ITP successfully treated with tofacitinib. </w:t>
      </w:r>
    </w:p>
    <w:p w14:paraId="7738266B" w14:textId="77777777" w:rsidR="00A77B3E" w:rsidRDefault="00A77B3E">
      <w:pPr>
        <w:spacing w:line="360" w:lineRule="auto"/>
        <w:jc w:val="both"/>
      </w:pPr>
    </w:p>
    <w:p w14:paraId="4026CF22" w14:textId="77777777" w:rsidR="00A77B3E" w:rsidRDefault="000728BB">
      <w:pPr>
        <w:spacing w:line="360" w:lineRule="auto"/>
        <w:jc w:val="both"/>
      </w:pPr>
      <w:r>
        <w:rPr>
          <w:rFonts w:ascii="Book Antiqua" w:eastAsia="Book Antiqua" w:hAnsi="Book Antiqua" w:cs="Book Antiqua"/>
          <w:b/>
          <w:caps/>
          <w:color w:val="000000"/>
          <w:u w:val="single"/>
        </w:rPr>
        <w:t>CASE PRESENTATION</w:t>
      </w:r>
    </w:p>
    <w:p w14:paraId="2BE5135C" w14:textId="77777777" w:rsidR="00A77B3E" w:rsidRDefault="000728BB">
      <w:pPr>
        <w:spacing w:line="360" w:lineRule="auto"/>
        <w:jc w:val="both"/>
      </w:pPr>
      <w:r>
        <w:rPr>
          <w:rFonts w:ascii="Book Antiqua" w:eastAsia="Book Antiqua" w:hAnsi="Book Antiqua" w:cs="Book Antiqua"/>
          <w:b/>
          <w:i/>
          <w:color w:val="000000"/>
        </w:rPr>
        <w:t>Chief complaints</w:t>
      </w:r>
    </w:p>
    <w:p w14:paraId="0E247941" w14:textId="77777777" w:rsidR="00A77B3E" w:rsidRDefault="000728BB">
      <w:pPr>
        <w:spacing w:line="360" w:lineRule="auto"/>
        <w:jc w:val="both"/>
      </w:pPr>
      <w:r>
        <w:rPr>
          <w:rFonts w:ascii="Book Antiqua" w:eastAsia="Book Antiqua" w:hAnsi="Book Antiqua" w:cs="Book Antiqua"/>
          <w:color w:val="000000"/>
        </w:rPr>
        <w:t xml:space="preserve">A 24-year-old Japanese male presented to the Gastroenterology Department of our hospital with diarrhea and hematochezia. </w:t>
      </w:r>
    </w:p>
    <w:p w14:paraId="284C7B5F" w14:textId="77777777" w:rsidR="00A77B3E" w:rsidRDefault="00A77B3E">
      <w:pPr>
        <w:spacing w:line="360" w:lineRule="auto"/>
        <w:jc w:val="both"/>
      </w:pPr>
    </w:p>
    <w:p w14:paraId="1925AD4D" w14:textId="77777777" w:rsidR="00A77B3E" w:rsidRDefault="000728BB">
      <w:pPr>
        <w:spacing w:line="360" w:lineRule="auto"/>
        <w:jc w:val="both"/>
      </w:pPr>
      <w:r>
        <w:rPr>
          <w:rFonts w:ascii="Book Antiqua" w:eastAsia="Book Antiqua" w:hAnsi="Book Antiqua" w:cs="Book Antiqua"/>
          <w:b/>
          <w:i/>
          <w:color w:val="000000"/>
        </w:rPr>
        <w:t>History of present illness</w:t>
      </w:r>
    </w:p>
    <w:p w14:paraId="557628E1" w14:textId="77777777" w:rsidR="00A77B3E" w:rsidRDefault="000728BB">
      <w:pPr>
        <w:spacing w:line="360" w:lineRule="auto"/>
        <w:jc w:val="both"/>
      </w:pPr>
      <w:r>
        <w:rPr>
          <w:rFonts w:ascii="Book Antiqua" w:eastAsia="Book Antiqua" w:hAnsi="Book Antiqua" w:cs="Book Antiqua"/>
          <w:color w:val="000000"/>
        </w:rPr>
        <w:t>The patient was diagnosed with UC in 2015. At the onset, the disease was localized to the entire colon, and the patient was initially treated with mesalazine (3600 mg/d) for one year. In 2016, following a relapse, he was hospitalized. He then presented with anemia (hemoglobin 4 g/L) and thrombocytopenia (platelet count 5 ×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/μL). Further </w:t>
      </w:r>
      <w:r>
        <w:rPr>
          <w:rFonts w:ascii="Book Antiqua" w:eastAsia="Book Antiqua" w:hAnsi="Book Antiqua" w:cs="Book Antiqua"/>
          <w:color w:val="000000"/>
        </w:rPr>
        <w:lastRenderedPageBreak/>
        <w:t>examinations, including bone marrow puncture, led to a diagnosis of concurrence of UC and ITP. The patient then started on prednisolone (30 mg/d) and achieved clinical and endoscopic remission for UC. However, since ITP was resistant to steroid and immunoglobulin treatments, he started oral cyclosporine and achieved remission for ITP. Thereafter, the patient maintained overall good health on oral mesalazine, prednisolone (5 mg/d), and cyclosporin (150 mg/d). His history was unremarkable. His family history was negative for hematological disease or inflammatory bowel disease.</w:t>
      </w:r>
    </w:p>
    <w:p w14:paraId="310B2BA3" w14:textId="77777777" w:rsidR="00A77B3E" w:rsidRDefault="000728BB">
      <w:pPr>
        <w:spacing w:line="360" w:lineRule="auto"/>
        <w:ind w:firstLine="360"/>
        <w:jc w:val="both"/>
      </w:pPr>
      <w:r>
        <w:rPr>
          <w:rFonts w:ascii="Book Antiqua" w:eastAsia="Book Antiqua" w:hAnsi="Book Antiqua" w:cs="Book Antiqua"/>
          <w:color w:val="000000"/>
        </w:rPr>
        <w:t>In April 2019, the patient experienced a flare of UC characterized by six bowel movements/day of liquid and bloody stool and abdominal pain. The partial Mayo index score was 7, indicating severe disease. Laboratory exams revealed anemia but not thrombocytopenia (Table 1). After the exclusion of intestinal infections, oral cyclosporine initially changed to a continuous infusion of cyclosporine to control the blood concentration strictly. The patient reported little clinical benefit. He then started tofacitinib and achieved clinical remission (Figure 1A). The patient underwent colonoscopy in September 2019, which showed endoscopic remission (Figure 1B). Prednisolone was stopped, and the patient has maintained remission in UC and ITP for over one year on mesalazine and tofacitinib.</w:t>
      </w:r>
    </w:p>
    <w:p w14:paraId="1495D546" w14:textId="77777777" w:rsidR="00A77B3E" w:rsidRDefault="00A77B3E">
      <w:pPr>
        <w:spacing w:line="360" w:lineRule="auto"/>
        <w:ind w:firstLine="360"/>
        <w:jc w:val="both"/>
      </w:pPr>
    </w:p>
    <w:p w14:paraId="532395BA" w14:textId="77777777" w:rsidR="00A77B3E" w:rsidRDefault="000728BB">
      <w:pPr>
        <w:spacing w:line="360" w:lineRule="auto"/>
        <w:jc w:val="both"/>
      </w:pPr>
      <w:r>
        <w:rPr>
          <w:rFonts w:ascii="Book Antiqua" w:eastAsia="Book Antiqua" w:hAnsi="Book Antiqua" w:cs="Book Antiqua"/>
          <w:b/>
          <w:i/>
          <w:color w:val="000000"/>
        </w:rPr>
        <w:t>History of past illness</w:t>
      </w:r>
    </w:p>
    <w:p w14:paraId="1733DC5C" w14:textId="77777777" w:rsidR="00A77B3E" w:rsidRDefault="000728BB">
      <w:pPr>
        <w:spacing w:line="360" w:lineRule="auto"/>
        <w:jc w:val="both"/>
      </w:pPr>
      <w:r>
        <w:rPr>
          <w:rFonts w:ascii="Book Antiqua" w:eastAsia="Book Antiqua" w:hAnsi="Book Antiqua" w:cs="Book Antiqua"/>
          <w:color w:val="000000"/>
        </w:rPr>
        <w:t>Past history is unremarkable except for UC and ITP.</w:t>
      </w:r>
    </w:p>
    <w:p w14:paraId="3B997C74" w14:textId="77777777" w:rsidR="00A77B3E" w:rsidRDefault="00A77B3E">
      <w:pPr>
        <w:spacing w:line="360" w:lineRule="auto"/>
        <w:jc w:val="both"/>
      </w:pPr>
    </w:p>
    <w:p w14:paraId="0A484F7A" w14:textId="77777777" w:rsidR="00A77B3E" w:rsidRDefault="000728BB">
      <w:pPr>
        <w:spacing w:line="360" w:lineRule="auto"/>
        <w:jc w:val="both"/>
      </w:pPr>
      <w:r>
        <w:rPr>
          <w:rFonts w:ascii="Book Antiqua" w:eastAsia="Book Antiqua" w:hAnsi="Book Antiqua" w:cs="Book Antiqua"/>
          <w:b/>
          <w:i/>
          <w:color w:val="000000"/>
        </w:rPr>
        <w:t>Personal and family history</w:t>
      </w:r>
    </w:p>
    <w:p w14:paraId="131DACED" w14:textId="77777777" w:rsidR="00A77B3E" w:rsidRDefault="000728BB">
      <w:pPr>
        <w:spacing w:line="360" w:lineRule="auto"/>
        <w:jc w:val="both"/>
      </w:pPr>
      <w:r>
        <w:rPr>
          <w:rFonts w:ascii="Book Antiqua" w:eastAsia="Book Antiqua" w:hAnsi="Book Antiqua" w:cs="Book Antiqua"/>
          <w:color w:val="000000"/>
        </w:rPr>
        <w:t>Personal and family history is unremarkable.</w:t>
      </w:r>
    </w:p>
    <w:p w14:paraId="747FBD03" w14:textId="77777777" w:rsidR="00A77B3E" w:rsidRDefault="00A77B3E">
      <w:pPr>
        <w:spacing w:line="360" w:lineRule="auto"/>
        <w:jc w:val="both"/>
      </w:pPr>
    </w:p>
    <w:p w14:paraId="63830FC7" w14:textId="77777777" w:rsidR="00A77B3E" w:rsidRDefault="000728BB">
      <w:pPr>
        <w:spacing w:line="360" w:lineRule="auto"/>
        <w:jc w:val="both"/>
      </w:pPr>
      <w:r>
        <w:rPr>
          <w:rFonts w:ascii="Book Antiqua" w:eastAsia="Book Antiqua" w:hAnsi="Book Antiqua" w:cs="Book Antiqua"/>
          <w:b/>
          <w:i/>
          <w:color w:val="000000"/>
        </w:rPr>
        <w:t>Physical examination</w:t>
      </w:r>
    </w:p>
    <w:p w14:paraId="36013084" w14:textId="77777777" w:rsidR="00A77B3E" w:rsidRDefault="000728BB">
      <w:pPr>
        <w:spacing w:line="360" w:lineRule="auto"/>
        <w:jc w:val="both"/>
      </w:pPr>
      <w:r>
        <w:rPr>
          <w:rFonts w:ascii="Book Antiqua" w:eastAsia="Book Antiqua" w:hAnsi="Book Antiqua" w:cs="Book Antiqua"/>
          <w:color w:val="000000"/>
        </w:rPr>
        <w:t>The patient did not have a fever. Physical examination showed slight tenderness in the left lower abdomen.</w:t>
      </w:r>
    </w:p>
    <w:p w14:paraId="66AF0F05" w14:textId="77777777" w:rsidR="00A77B3E" w:rsidRDefault="00A77B3E">
      <w:pPr>
        <w:spacing w:line="360" w:lineRule="auto"/>
        <w:jc w:val="both"/>
      </w:pPr>
    </w:p>
    <w:p w14:paraId="64E00F33" w14:textId="77777777" w:rsidR="00A77B3E" w:rsidRDefault="000728BB">
      <w:pPr>
        <w:spacing w:line="360" w:lineRule="auto"/>
        <w:jc w:val="both"/>
      </w:pPr>
      <w:r>
        <w:rPr>
          <w:rFonts w:ascii="Book Antiqua" w:eastAsia="Book Antiqua" w:hAnsi="Book Antiqua" w:cs="Book Antiqua"/>
          <w:b/>
          <w:i/>
          <w:color w:val="000000"/>
        </w:rPr>
        <w:t>Laboratory examinations</w:t>
      </w:r>
    </w:p>
    <w:p w14:paraId="02B4164F" w14:textId="77777777" w:rsidR="00A77B3E" w:rsidRDefault="000728BB">
      <w:pPr>
        <w:spacing w:line="360" w:lineRule="auto"/>
        <w:jc w:val="both"/>
      </w:pPr>
      <w:r>
        <w:rPr>
          <w:rFonts w:ascii="Book Antiqua" w:eastAsia="Book Antiqua" w:hAnsi="Book Antiqua" w:cs="Book Antiqua"/>
          <w:color w:val="000000"/>
        </w:rPr>
        <w:lastRenderedPageBreak/>
        <w:t>Laboratory exams revealed anemia but not thrombocytopenia (Table 1).</w:t>
      </w:r>
    </w:p>
    <w:p w14:paraId="51C89510" w14:textId="77777777" w:rsidR="00A77B3E" w:rsidRDefault="00A77B3E">
      <w:pPr>
        <w:spacing w:line="360" w:lineRule="auto"/>
        <w:jc w:val="both"/>
      </w:pPr>
    </w:p>
    <w:p w14:paraId="170B61C8" w14:textId="77777777" w:rsidR="00A77B3E" w:rsidRDefault="000728BB">
      <w:pPr>
        <w:spacing w:line="360" w:lineRule="auto"/>
        <w:jc w:val="both"/>
      </w:pPr>
      <w:r>
        <w:rPr>
          <w:rFonts w:ascii="Book Antiqua" w:eastAsia="Book Antiqua" w:hAnsi="Book Antiqua" w:cs="Book Antiqua"/>
          <w:b/>
          <w:i/>
          <w:color w:val="000000"/>
        </w:rPr>
        <w:t>Imaging examinations</w:t>
      </w:r>
    </w:p>
    <w:p w14:paraId="2AB2ED68" w14:textId="51AF9683" w:rsidR="00A77B3E" w:rsidRDefault="000728BB">
      <w:pPr>
        <w:spacing w:line="360" w:lineRule="auto"/>
        <w:jc w:val="both"/>
      </w:pPr>
      <w:r>
        <w:rPr>
          <w:rFonts w:ascii="Book Antiqua" w:eastAsia="Book Antiqua" w:hAnsi="Book Antiqua" w:cs="Book Antiqua"/>
          <w:color w:val="000000"/>
        </w:rPr>
        <w:t xml:space="preserve">To further analyze the molecular mechanism underlying tofacitinib therapy, whole transcriptomic sequencing was performed for inflamed rectal mucosae obtained before and after the initiation of JAK inhibitor (Supplementary </w:t>
      </w:r>
      <w:r w:rsidR="00545C6D">
        <w:rPr>
          <w:rFonts w:ascii="Book Antiqua" w:eastAsia="Book Antiqua" w:hAnsi="Book Antiqua" w:cs="Book Antiqua"/>
          <w:color w:val="000000"/>
        </w:rPr>
        <w:t>M</w:t>
      </w:r>
      <w:r>
        <w:rPr>
          <w:rFonts w:ascii="Book Antiqua" w:eastAsia="Book Antiqua" w:hAnsi="Book Antiqua" w:cs="Book Antiqua"/>
          <w:color w:val="000000"/>
        </w:rPr>
        <w:t xml:space="preserve">aterial). Compared with the gene expression before tofacitinib treatment, the top 10 downregulated genes during tofacitinib treatment were </w:t>
      </w:r>
      <w:r>
        <w:rPr>
          <w:rFonts w:ascii="Book Antiqua" w:eastAsia="Book Antiqua" w:hAnsi="Book Antiqua" w:cs="Book Antiqua"/>
          <w:i/>
          <w:iCs/>
          <w:color w:val="000000"/>
        </w:rPr>
        <w:t>REG1A</w:t>
      </w:r>
      <w:r>
        <w:rPr>
          <w:rFonts w:ascii="Book Antiqua" w:eastAsia="Book Antiqua" w:hAnsi="Book Antiqua" w:cs="Book Antiqua"/>
          <w:color w:val="000000"/>
        </w:rPr>
        <w:t xml:space="preserve">, </w:t>
      </w:r>
      <w:r>
        <w:rPr>
          <w:rFonts w:ascii="Book Antiqua" w:eastAsia="Book Antiqua" w:hAnsi="Book Antiqua" w:cs="Book Antiqua"/>
          <w:i/>
          <w:iCs/>
          <w:color w:val="000000"/>
        </w:rPr>
        <w:t>REG1B</w:t>
      </w:r>
      <w:r>
        <w:rPr>
          <w:rFonts w:ascii="Book Antiqua" w:eastAsia="Book Antiqua" w:hAnsi="Book Antiqua" w:cs="Book Antiqua"/>
          <w:color w:val="000000"/>
        </w:rPr>
        <w:t xml:space="preserve">, </w:t>
      </w:r>
      <w:r>
        <w:rPr>
          <w:rFonts w:ascii="Book Antiqua" w:eastAsia="Book Antiqua" w:hAnsi="Book Antiqua" w:cs="Book Antiqua"/>
          <w:i/>
          <w:iCs/>
          <w:color w:val="000000"/>
        </w:rPr>
        <w:t>REG3A</w:t>
      </w:r>
      <w:r>
        <w:rPr>
          <w:rFonts w:ascii="Book Antiqua" w:eastAsia="Book Antiqua" w:hAnsi="Book Antiqua" w:cs="Book Antiqua"/>
          <w:color w:val="000000"/>
        </w:rPr>
        <w:t>,</w:t>
      </w:r>
      <w:r>
        <w:rPr>
          <w:rFonts w:ascii="Book Antiqua" w:eastAsia="Book Antiqua" w:hAnsi="Book Antiqua" w:cs="Book Antiqua"/>
          <w:i/>
          <w:iCs/>
          <w:color w:val="000000"/>
        </w:rPr>
        <w:t xml:space="preserve"> SPINK4</w:t>
      </w:r>
      <w:r>
        <w:rPr>
          <w:rFonts w:ascii="Book Antiqua" w:eastAsia="Book Antiqua" w:hAnsi="Book Antiqua" w:cs="Book Antiqua"/>
          <w:color w:val="000000"/>
        </w:rPr>
        <w:t xml:space="preserve">, </w:t>
      </w:r>
      <w:r>
        <w:rPr>
          <w:rFonts w:ascii="Book Antiqua" w:eastAsia="Book Antiqua" w:hAnsi="Book Antiqua" w:cs="Book Antiqua"/>
          <w:i/>
          <w:iCs/>
          <w:color w:val="000000"/>
        </w:rPr>
        <w:t>DUOXA2</w:t>
      </w:r>
      <w:r>
        <w:rPr>
          <w:rFonts w:ascii="Book Antiqua" w:eastAsia="Book Antiqua" w:hAnsi="Book Antiqua" w:cs="Book Antiqua"/>
          <w:color w:val="000000"/>
        </w:rPr>
        <w:t xml:space="preserve">, </w:t>
      </w:r>
      <w:r>
        <w:rPr>
          <w:rFonts w:ascii="Book Antiqua" w:eastAsia="Book Antiqua" w:hAnsi="Book Antiqua" w:cs="Book Antiqua"/>
          <w:i/>
          <w:iCs/>
          <w:color w:val="000000"/>
        </w:rPr>
        <w:t>TNIP3</w:t>
      </w:r>
      <w:r>
        <w:rPr>
          <w:rFonts w:ascii="Book Antiqua" w:eastAsia="Book Antiqua" w:hAnsi="Book Antiqua" w:cs="Book Antiqua"/>
          <w:color w:val="000000"/>
        </w:rPr>
        <w:t xml:space="preserve">, </w:t>
      </w:r>
      <w:r>
        <w:rPr>
          <w:rFonts w:ascii="Book Antiqua" w:eastAsia="Book Antiqua" w:hAnsi="Book Antiqua" w:cs="Book Antiqua"/>
          <w:i/>
          <w:iCs/>
          <w:color w:val="000000"/>
        </w:rPr>
        <w:t>DEFB4A</w:t>
      </w:r>
      <w:r>
        <w:rPr>
          <w:rFonts w:ascii="Book Antiqua" w:eastAsia="Book Antiqua" w:hAnsi="Book Antiqua" w:cs="Book Antiqua"/>
          <w:color w:val="000000"/>
        </w:rPr>
        <w:t xml:space="preserve">, </w:t>
      </w:r>
      <w:r>
        <w:rPr>
          <w:rFonts w:ascii="Book Antiqua" w:eastAsia="Book Antiqua" w:hAnsi="Book Antiqua" w:cs="Book Antiqua"/>
          <w:i/>
          <w:iCs/>
          <w:color w:val="000000"/>
        </w:rPr>
        <w:t>SAA2</w:t>
      </w:r>
      <w:r>
        <w:rPr>
          <w:rFonts w:ascii="Book Antiqua" w:eastAsia="Book Antiqua" w:hAnsi="Book Antiqua" w:cs="Book Antiqua"/>
          <w:color w:val="000000"/>
        </w:rPr>
        <w:t xml:space="preserve">, </w:t>
      </w:r>
      <w:r>
        <w:rPr>
          <w:rFonts w:ascii="Book Antiqua" w:eastAsia="Book Antiqua" w:hAnsi="Book Antiqua" w:cs="Book Antiqua"/>
          <w:i/>
          <w:iCs/>
          <w:color w:val="000000"/>
        </w:rPr>
        <w:t>CXCL5</w:t>
      </w:r>
      <w:r>
        <w:rPr>
          <w:rFonts w:ascii="Book Antiqua" w:eastAsia="Book Antiqua" w:hAnsi="Book Antiqua" w:cs="Book Antiqua"/>
          <w:color w:val="000000"/>
        </w:rPr>
        <w:t xml:space="preserve">, and </w:t>
      </w:r>
      <w:r>
        <w:rPr>
          <w:rFonts w:ascii="Book Antiqua" w:eastAsia="Book Antiqua" w:hAnsi="Book Antiqua" w:cs="Book Antiqua"/>
          <w:i/>
          <w:iCs/>
          <w:color w:val="000000"/>
        </w:rPr>
        <w:t>CXCL1</w:t>
      </w:r>
      <w:r>
        <w:rPr>
          <w:rFonts w:ascii="Book Antiqua" w:eastAsia="Book Antiqua" w:hAnsi="Book Antiqua" w:cs="Book Antiqua"/>
          <w:color w:val="000000"/>
        </w:rPr>
        <w:t xml:space="preserve">. In contrast, the top 10 upregulated genes after the initiation of tofacitinib treatment were </w:t>
      </w:r>
      <w:r>
        <w:rPr>
          <w:rFonts w:ascii="Book Antiqua" w:eastAsia="Book Antiqua" w:hAnsi="Book Antiqua" w:cs="Book Antiqua"/>
          <w:i/>
          <w:iCs/>
          <w:color w:val="000000"/>
        </w:rPr>
        <w:t>HMGCS2</w:t>
      </w:r>
      <w:r>
        <w:rPr>
          <w:rFonts w:ascii="Book Antiqua" w:eastAsia="Book Antiqua" w:hAnsi="Book Antiqua" w:cs="Book Antiqua"/>
          <w:color w:val="000000"/>
        </w:rPr>
        <w:t xml:space="preserve">, </w:t>
      </w:r>
      <w:r>
        <w:rPr>
          <w:rFonts w:ascii="Book Antiqua" w:eastAsia="Book Antiqua" w:hAnsi="Book Antiqua" w:cs="Book Antiqua"/>
          <w:i/>
          <w:iCs/>
          <w:color w:val="000000"/>
        </w:rPr>
        <w:t>AQP8</w:t>
      </w:r>
      <w:r>
        <w:rPr>
          <w:rFonts w:ascii="Book Antiqua" w:eastAsia="Book Antiqua" w:hAnsi="Book Antiqua" w:cs="Book Antiqua"/>
          <w:color w:val="000000"/>
        </w:rPr>
        <w:t xml:space="preserve">, </w:t>
      </w:r>
      <w:r>
        <w:rPr>
          <w:rFonts w:ascii="Book Antiqua" w:eastAsia="Book Antiqua" w:hAnsi="Book Antiqua" w:cs="Book Antiqua"/>
          <w:i/>
          <w:iCs/>
          <w:color w:val="000000"/>
        </w:rPr>
        <w:t>SLC6A19</w:t>
      </w:r>
      <w:r>
        <w:rPr>
          <w:rFonts w:ascii="Book Antiqua" w:eastAsia="Book Antiqua" w:hAnsi="Book Antiqua" w:cs="Book Antiqua"/>
          <w:color w:val="000000"/>
        </w:rPr>
        <w:t xml:space="preserve">, </w:t>
      </w:r>
      <w:r>
        <w:rPr>
          <w:rFonts w:ascii="Book Antiqua" w:eastAsia="Book Antiqua" w:hAnsi="Book Antiqua" w:cs="Book Antiqua"/>
          <w:i/>
          <w:iCs/>
          <w:color w:val="000000"/>
        </w:rPr>
        <w:t>MT1H</w:t>
      </w:r>
      <w:r>
        <w:rPr>
          <w:rFonts w:ascii="Book Antiqua" w:eastAsia="Book Antiqua" w:hAnsi="Book Antiqua" w:cs="Book Antiqua"/>
          <w:color w:val="000000"/>
        </w:rPr>
        <w:t xml:space="preserve">, </w:t>
      </w:r>
      <w:r>
        <w:rPr>
          <w:rFonts w:ascii="Book Antiqua" w:eastAsia="Book Antiqua" w:hAnsi="Book Antiqua" w:cs="Book Antiqua"/>
          <w:i/>
          <w:iCs/>
          <w:color w:val="000000"/>
        </w:rPr>
        <w:t>UGT2A3</w:t>
      </w:r>
      <w:r>
        <w:rPr>
          <w:rFonts w:ascii="Book Antiqua" w:eastAsia="Book Antiqua" w:hAnsi="Book Antiqua" w:cs="Book Antiqua"/>
          <w:color w:val="000000"/>
        </w:rPr>
        <w:t xml:space="preserve">, </w:t>
      </w:r>
      <w:r>
        <w:rPr>
          <w:rFonts w:ascii="Book Antiqua" w:eastAsia="Book Antiqua" w:hAnsi="Book Antiqua" w:cs="Book Antiqua"/>
          <w:i/>
          <w:iCs/>
          <w:color w:val="000000"/>
        </w:rPr>
        <w:t>CLDN8</w:t>
      </w:r>
      <w:r>
        <w:rPr>
          <w:rFonts w:ascii="Book Antiqua" w:eastAsia="Book Antiqua" w:hAnsi="Book Antiqua" w:cs="Book Antiqua"/>
          <w:color w:val="000000"/>
        </w:rPr>
        <w:t xml:space="preserve">, </w:t>
      </w:r>
      <w:r>
        <w:rPr>
          <w:rFonts w:ascii="Book Antiqua" w:eastAsia="Book Antiqua" w:hAnsi="Book Antiqua" w:cs="Book Antiqua"/>
          <w:i/>
          <w:iCs/>
          <w:color w:val="000000"/>
        </w:rPr>
        <w:t>MT1M</w:t>
      </w:r>
      <w:r>
        <w:rPr>
          <w:rFonts w:ascii="Book Antiqua" w:eastAsia="Book Antiqua" w:hAnsi="Book Antiqua" w:cs="Book Antiqua"/>
          <w:color w:val="000000"/>
        </w:rPr>
        <w:t xml:space="preserve">, </w:t>
      </w:r>
      <w:r>
        <w:rPr>
          <w:rFonts w:ascii="Book Antiqua" w:eastAsia="Book Antiqua" w:hAnsi="Book Antiqua" w:cs="Book Antiqua"/>
          <w:i/>
          <w:iCs/>
          <w:color w:val="000000"/>
        </w:rPr>
        <w:t>SLC51A</w:t>
      </w:r>
      <w:r>
        <w:rPr>
          <w:rFonts w:ascii="Book Antiqua" w:eastAsia="Book Antiqua" w:hAnsi="Book Antiqua" w:cs="Book Antiqua"/>
          <w:color w:val="000000"/>
        </w:rPr>
        <w:t xml:space="preserve">, </w:t>
      </w:r>
      <w:r>
        <w:rPr>
          <w:rFonts w:ascii="Book Antiqua" w:eastAsia="Book Antiqua" w:hAnsi="Book Antiqua" w:cs="Book Antiqua"/>
          <w:i/>
          <w:iCs/>
          <w:color w:val="000000"/>
        </w:rPr>
        <w:t>PRKG2</w:t>
      </w:r>
      <w:r>
        <w:rPr>
          <w:rFonts w:ascii="Book Antiqua" w:eastAsia="Book Antiqua" w:hAnsi="Book Antiqua" w:cs="Book Antiqua"/>
          <w:color w:val="000000"/>
        </w:rPr>
        <w:t xml:space="preserve">, and </w:t>
      </w:r>
      <w:r>
        <w:rPr>
          <w:rFonts w:ascii="Book Antiqua" w:eastAsia="Book Antiqua" w:hAnsi="Book Antiqua" w:cs="Book Antiqua"/>
          <w:i/>
          <w:iCs/>
          <w:color w:val="000000"/>
        </w:rPr>
        <w:t>MT1G</w:t>
      </w:r>
      <w:r>
        <w:rPr>
          <w:rFonts w:ascii="Book Antiqua" w:eastAsia="Book Antiqua" w:hAnsi="Book Antiqua" w:cs="Book Antiqua"/>
          <w:color w:val="000000"/>
        </w:rPr>
        <w:t xml:space="preserve">. </w:t>
      </w:r>
    </w:p>
    <w:p w14:paraId="2D4A67A7" w14:textId="77777777" w:rsidR="00A77B3E" w:rsidRDefault="00A77B3E">
      <w:pPr>
        <w:spacing w:line="360" w:lineRule="auto"/>
        <w:jc w:val="both"/>
      </w:pPr>
    </w:p>
    <w:p w14:paraId="1A774657" w14:textId="77777777" w:rsidR="00A77B3E" w:rsidRDefault="000728BB">
      <w:pPr>
        <w:spacing w:line="360" w:lineRule="auto"/>
        <w:jc w:val="both"/>
      </w:pPr>
      <w:r>
        <w:rPr>
          <w:rFonts w:ascii="Book Antiqua" w:eastAsia="Book Antiqua" w:hAnsi="Book Antiqua" w:cs="Book Antiqua"/>
          <w:b/>
          <w:caps/>
          <w:color w:val="000000"/>
          <w:u w:val="single"/>
        </w:rPr>
        <w:t>FINAL DIAGNOSIS</w:t>
      </w:r>
    </w:p>
    <w:p w14:paraId="6CD234D2" w14:textId="77777777" w:rsidR="00A77B3E" w:rsidRDefault="000728BB">
      <w:pPr>
        <w:spacing w:line="360" w:lineRule="auto"/>
        <w:jc w:val="both"/>
      </w:pPr>
      <w:r>
        <w:rPr>
          <w:rFonts w:ascii="Book Antiqua" w:eastAsia="Book Antiqua" w:hAnsi="Book Antiqua" w:cs="Book Antiqua"/>
          <w:color w:val="000000"/>
        </w:rPr>
        <w:t>A refractory case of ulcerative colitis with idiopathic thrombocytopenic purpura.</w:t>
      </w:r>
    </w:p>
    <w:p w14:paraId="5741457D" w14:textId="77777777" w:rsidR="00A77B3E" w:rsidRDefault="00A77B3E">
      <w:pPr>
        <w:spacing w:line="360" w:lineRule="auto"/>
        <w:jc w:val="both"/>
      </w:pPr>
    </w:p>
    <w:p w14:paraId="7E13A725" w14:textId="77777777" w:rsidR="00A77B3E" w:rsidRDefault="000728BB">
      <w:pPr>
        <w:spacing w:line="360" w:lineRule="auto"/>
        <w:jc w:val="both"/>
      </w:pPr>
      <w:r>
        <w:rPr>
          <w:rFonts w:ascii="Book Antiqua" w:eastAsia="Book Antiqua" w:hAnsi="Book Antiqua" w:cs="Book Antiqua"/>
          <w:b/>
          <w:caps/>
          <w:color w:val="000000"/>
          <w:u w:val="single"/>
        </w:rPr>
        <w:t>TREATMENT</w:t>
      </w:r>
    </w:p>
    <w:p w14:paraId="5300355E" w14:textId="77777777" w:rsidR="00A77B3E" w:rsidRDefault="000728BB">
      <w:pPr>
        <w:spacing w:line="360" w:lineRule="auto"/>
        <w:jc w:val="both"/>
      </w:pPr>
      <w:r>
        <w:rPr>
          <w:rFonts w:ascii="Book Antiqua" w:eastAsia="Book Antiqua" w:hAnsi="Book Antiqua" w:cs="Book Antiqua"/>
          <w:color w:val="000000"/>
        </w:rPr>
        <w:t>The patient was successfully treated with tofacitinib.</w:t>
      </w:r>
    </w:p>
    <w:p w14:paraId="4A0C4BF6" w14:textId="77777777" w:rsidR="00A77B3E" w:rsidRDefault="00A77B3E">
      <w:pPr>
        <w:spacing w:line="360" w:lineRule="auto"/>
        <w:jc w:val="both"/>
      </w:pPr>
    </w:p>
    <w:p w14:paraId="54CAFD06" w14:textId="77777777" w:rsidR="00A77B3E" w:rsidRDefault="000728BB">
      <w:pPr>
        <w:spacing w:line="360" w:lineRule="auto"/>
        <w:jc w:val="both"/>
      </w:pPr>
      <w:r>
        <w:rPr>
          <w:rFonts w:ascii="Book Antiqua" w:eastAsia="Book Antiqua" w:hAnsi="Book Antiqua" w:cs="Book Antiqua"/>
          <w:b/>
          <w:caps/>
          <w:color w:val="000000"/>
          <w:u w:val="single"/>
        </w:rPr>
        <w:t>OUTCOME AND FOLLOW-UP</w:t>
      </w:r>
    </w:p>
    <w:p w14:paraId="0A59B529" w14:textId="77777777" w:rsidR="00A77B3E" w:rsidRDefault="000728BB">
      <w:pPr>
        <w:spacing w:line="360" w:lineRule="auto"/>
        <w:jc w:val="both"/>
      </w:pPr>
      <w:r>
        <w:rPr>
          <w:rFonts w:ascii="Book Antiqua" w:eastAsia="Book Antiqua" w:hAnsi="Book Antiqua" w:cs="Book Antiqua"/>
          <w:color w:val="000000"/>
        </w:rPr>
        <w:t>The patient has maintained remission in UC and ITP for over one year on mesalazine and tofacitinib.</w:t>
      </w:r>
    </w:p>
    <w:p w14:paraId="2E87A18A" w14:textId="77777777" w:rsidR="00A77B3E" w:rsidRDefault="00A77B3E">
      <w:pPr>
        <w:spacing w:line="360" w:lineRule="auto"/>
        <w:jc w:val="both"/>
      </w:pPr>
    </w:p>
    <w:p w14:paraId="244CF517" w14:textId="77777777" w:rsidR="00A77B3E" w:rsidRDefault="000728BB">
      <w:pPr>
        <w:spacing w:line="360" w:lineRule="auto"/>
        <w:jc w:val="both"/>
      </w:pPr>
      <w:r>
        <w:rPr>
          <w:rFonts w:ascii="Book Antiqua" w:eastAsia="Book Antiqua" w:hAnsi="Book Antiqua" w:cs="Book Antiqua"/>
          <w:b/>
          <w:caps/>
          <w:color w:val="000000"/>
          <w:u w:val="single"/>
        </w:rPr>
        <w:t>DISCUSSION</w:t>
      </w:r>
    </w:p>
    <w:p w14:paraId="3763318C" w14:textId="77777777" w:rsidR="00A77B3E" w:rsidRDefault="000728BB">
      <w:pPr>
        <w:spacing w:line="360" w:lineRule="auto"/>
        <w:jc w:val="both"/>
      </w:pPr>
      <w:r>
        <w:rPr>
          <w:rFonts w:ascii="Book Antiqua" w:eastAsia="Book Antiqua" w:hAnsi="Book Antiqua" w:cs="Book Antiqua"/>
          <w:color w:val="000000"/>
        </w:rPr>
        <w:t xml:space="preserve">Major concerns of tofacitinib include the risk of hematologic toxicity, such as pancytopenia, agranulocytosis, and thrombocytopenia. The patient has maintained corticosteroid-free remission for UC and ITP for one year on tofacitinib treatment. The platelet count remained within the normal range despite stopping specific treatment for ITP. The relationship between these two entities underscore treatment implications, given their potentially shared immunological pathway and responses to similar </w:t>
      </w:r>
      <w:r>
        <w:rPr>
          <w:rFonts w:ascii="Book Antiqua" w:eastAsia="Book Antiqua" w:hAnsi="Book Antiqua" w:cs="Book Antiqua"/>
          <w:color w:val="000000"/>
        </w:rPr>
        <w:lastRenderedPageBreak/>
        <w:t xml:space="preserve">medications. To our knowledge, this study is the first to report a UC patient with ITP who was successfully treated with tofacitinib. </w:t>
      </w:r>
    </w:p>
    <w:p w14:paraId="7370988E" w14:textId="77777777" w:rsidR="00A77B3E" w:rsidRDefault="000728BB">
      <w:pPr>
        <w:spacing w:line="360" w:lineRule="auto"/>
        <w:ind w:firstLine="720"/>
        <w:jc w:val="both"/>
      </w:pPr>
      <w:r>
        <w:rPr>
          <w:rFonts w:ascii="Book Antiqua" w:eastAsia="Book Antiqua" w:hAnsi="Book Antiqua" w:cs="Book Antiqua"/>
          <w:i/>
          <w:iCs/>
          <w:color w:val="000000"/>
        </w:rPr>
        <w:t>REG1A</w:t>
      </w:r>
      <w:r>
        <w:rPr>
          <w:rFonts w:ascii="Book Antiqua" w:eastAsia="Book Antiqua" w:hAnsi="Book Antiqua" w:cs="Book Antiqua"/>
          <w:color w:val="000000"/>
        </w:rPr>
        <w:t xml:space="preserve"> and </w:t>
      </w:r>
      <w:r>
        <w:rPr>
          <w:rFonts w:ascii="Book Antiqua" w:eastAsia="Book Antiqua" w:hAnsi="Book Antiqua" w:cs="Book Antiqua"/>
          <w:i/>
          <w:iCs/>
          <w:color w:val="000000"/>
        </w:rPr>
        <w:t>REG1B</w:t>
      </w:r>
      <w:r>
        <w:rPr>
          <w:rFonts w:ascii="Book Antiqua" w:eastAsia="Book Antiqua" w:hAnsi="Book Antiqua" w:cs="Book Antiqua"/>
          <w:color w:val="000000"/>
        </w:rPr>
        <w:t xml:space="preserve"> are upregulated in human colonic mucosa with UC</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IL-22 stimulation of </w:t>
      </w:r>
      <w:r>
        <w:rPr>
          <w:rFonts w:ascii="Book Antiqua" w:eastAsia="Book Antiqua" w:hAnsi="Book Antiqua" w:cs="Book Antiqua"/>
          <w:i/>
          <w:iCs/>
          <w:color w:val="000000"/>
        </w:rPr>
        <w:t>REG1A</w:t>
      </w:r>
      <w:r>
        <w:rPr>
          <w:rFonts w:ascii="Book Antiqua" w:eastAsia="Book Antiqua" w:hAnsi="Book Antiqua" w:cs="Book Antiqua"/>
          <w:color w:val="000000"/>
        </w:rPr>
        <w:t xml:space="preserve"> is based on the presence of IL-activatable elements of the </w:t>
      </w:r>
      <w:r>
        <w:rPr>
          <w:rFonts w:ascii="Book Antiqua" w:eastAsia="Book Antiqua" w:hAnsi="Book Antiqua" w:cs="Book Antiqua"/>
          <w:i/>
          <w:iCs/>
          <w:color w:val="000000"/>
        </w:rPr>
        <w:t>REG1A</w:t>
      </w:r>
      <w:r>
        <w:rPr>
          <w:rFonts w:ascii="Book Antiqua" w:eastAsia="Book Antiqua" w:hAnsi="Book Antiqua" w:cs="Book Antiqua"/>
          <w:color w:val="000000"/>
        </w:rPr>
        <w:t xml:space="preserve"> promoter and may be mediated through STAT3 tyrosine phosphorylation, located downstream of the JAK signaling pathway</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Consistently, the expression of these genes was substantially reduced through JAK inhibition in our case. Hyams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reported that 33 genes were differentially expressed in the rectum of patients with moderate-to-severe UC who did and did not achieve corticosteroid-free remission after conventional treatments including anti-TNF therapy. The mucosal expression of </w:t>
      </w:r>
      <w:r>
        <w:rPr>
          <w:rFonts w:ascii="Book Antiqua" w:eastAsia="Book Antiqua" w:hAnsi="Book Antiqua" w:cs="Book Antiqua"/>
          <w:i/>
          <w:iCs/>
          <w:color w:val="000000"/>
        </w:rPr>
        <w:t>DEFB4A</w:t>
      </w:r>
      <w:r>
        <w:rPr>
          <w:rFonts w:ascii="Book Antiqua" w:eastAsia="Book Antiqua" w:hAnsi="Book Antiqua" w:cs="Book Antiqua"/>
          <w:color w:val="000000"/>
        </w:rPr>
        <w:t xml:space="preserve">, </w:t>
      </w:r>
      <w:r>
        <w:rPr>
          <w:rFonts w:ascii="Book Antiqua" w:eastAsia="Book Antiqua" w:hAnsi="Book Antiqua" w:cs="Book Antiqua"/>
          <w:i/>
          <w:iCs/>
          <w:color w:val="000000"/>
        </w:rPr>
        <w:t>KRT6B</w:t>
      </w:r>
      <w:r>
        <w:rPr>
          <w:rFonts w:ascii="Book Antiqua" w:eastAsia="Book Antiqua" w:hAnsi="Book Antiqua" w:cs="Book Antiqua"/>
          <w:color w:val="000000"/>
        </w:rPr>
        <w:t xml:space="preserve">, </w:t>
      </w:r>
      <w:r>
        <w:rPr>
          <w:rFonts w:ascii="Book Antiqua" w:eastAsia="Book Antiqua" w:hAnsi="Book Antiqua" w:cs="Book Antiqua"/>
          <w:i/>
          <w:iCs/>
          <w:color w:val="000000"/>
        </w:rPr>
        <w:t>SPRR1B</w:t>
      </w:r>
      <w:r>
        <w:rPr>
          <w:rFonts w:ascii="Book Antiqua" w:eastAsia="Book Antiqua" w:hAnsi="Book Antiqua" w:cs="Book Antiqua"/>
          <w:color w:val="000000"/>
        </w:rPr>
        <w:t xml:space="preserve">, </w:t>
      </w:r>
      <w:r>
        <w:rPr>
          <w:rFonts w:ascii="Book Antiqua" w:eastAsia="Book Antiqua" w:hAnsi="Book Antiqua" w:cs="Book Antiqua"/>
          <w:i/>
          <w:iCs/>
          <w:color w:val="000000"/>
        </w:rPr>
        <w:t>TCN1</w:t>
      </w:r>
      <w:r>
        <w:rPr>
          <w:rFonts w:ascii="Book Antiqua" w:eastAsia="Book Antiqua" w:hAnsi="Book Antiqua" w:cs="Book Antiqua"/>
          <w:color w:val="000000"/>
        </w:rPr>
        <w:t xml:space="preserve">, and </w:t>
      </w:r>
      <w:r>
        <w:rPr>
          <w:rFonts w:ascii="Book Antiqua" w:eastAsia="Book Antiqua" w:hAnsi="Book Antiqua" w:cs="Book Antiqua"/>
          <w:i/>
          <w:iCs/>
          <w:color w:val="000000"/>
        </w:rPr>
        <w:t>SAA4</w:t>
      </w:r>
      <w:r>
        <w:rPr>
          <w:rFonts w:ascii="Book Antiqua" w:eastAsia="Book Antiqua" w:hAnsi="Book Antiqua" w:cs="Book Antiqua"/>
          <w:color w:val="000000"/>
        </w:rPr>
        <w:t xml:space="preserve"> was high in our case, a responder to tofacitinib, while the expression was reduced in responders to conventional UC treatments, including anti-TNF therapy, compared with non-responders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expression of </w:t>
      </w:r>
      <w:r>
        <w:rPr>
          <w:rFonts w:ascii="Book Antiqua" w:eastAsia="Book Antiqua" w:hAnsi="Book Antiqua" w:cs="Book Antiqua"/>
          <w:i/>
          <w:iCs/>
          <w:color w:val="000000"/>
        </w:rPr>
        <w:t>CHP2</w:t>
      </w:r>
      <w:r>
        <w:rPr>
          <w:rFonts w:ascii="Book Antiqua" w:eastAsia="Book Antiqua" w:hAnsi="Book Antiqua" w:cs="Book Antiqua"/>
          <w:color w:val="000000"/>
        </w:rPr>
        <w:t xml:space="preserve">, </w:t>
      </w:r>
      <w:r>
        <w:rPr>
          <w:rFonts w:ascii="Book Antiqua" w:eastAsia="Book Antiqua" w:hAnsi="Book Antiqua" w:cs="Book Antiqua"/>
          <w:i/>
          <w:iCs/>
          <w:color w:val="000000"/>
        </w:rPr>
        <w:t>GUCA2A</w:t>
      </w:r>
      <w:r>
        <w:rPr>
          <w:rFonts w:ascii="Book Antiqua" w:eastAsia="Book Antiqua" w:hAnsi="Book Antiqua" w:cs="Book Antiqua"/>
          <w:color w:val="000000"/>
        </w:rPr>
        <w:t>,</w:t>
      </w:r>
      <w:r>
        <w:rPr>
          <w:rFonts w:ascii="Book Antiqua" w:eastAsia="Book Antiqua" w:hAnsi="Book Antiqua" w:cs="Book Antiqua"/>
          <w:i/>
          <w:iCs/>
          <w:color w:val="000000"/>
        </w:rPr>
        <w:t>CA1</w:t>
      </w:r>
      <w:r>
        <w:rPr>
          <w:rFonts w:ascii="Book Antiqua" w:eastAsia="Book Antiqua" w:hAnsi="Book Antiqua" w:cs="Book Antiqua"/>
          <w:color w:val="000000"/>
        </w:rPr>
        <w:t xml:space="preserve">, </w:t>
      </w:r>
      <w:r>
        <w:rPr>
          <w:rFonts w:ascii="Book Antiqua" w:eastAsia="Book Antiqua" w:hAnsi="Book Antiqua" w:cs="Book Antiqua"/>
          <w:i/>
          <w:iCs/>
          <w:color w:val="000000"/>
        </w:rPr>
        <w:t>SLC26A2</w:t>
      </w:r>
      <w:r>
        <w:rPr>
          <w:rFonts w:ascii="Book Antiqua" w:eastAsia="Book Antiqua" w:hAnsi="Book Antiqua" w:cs="Book Antiqua"/>
          <w:color w:val="000000"/>
        </w:rPr>
        <w:t xml:space="preserve">, </w:t>
      </w:r>
      <w:r>
        <w:rPr>
          <w:rFonts w:ascii="Book Antiqua" w:eastAsia="Book Antiqua" w:hAnsi="Book Antiqua" w:cs="Book Antiqua"/>
          <w:i/>
          <w:iCs/>
          <w:color w:val="000000"/>
        </w:rPr>
        <w:t>PCK1</w:t>
      </w:r>
      <w:r>
        <w:rPr>
          <w:rFonts w:ascii="Book Antiqua" w:eastAsia="Book Antiqua" w:hAnsi="Book Antiqua" w:cs="Book Antiqua"/>
          <w:color w:val="000000"/>
        </w:rPr>
        <w:t xml:space="preserve">, </w:t>
      </w:r>
      <w:r>
        <w:rPr>
          <w:rFonts w:ascii="Book Antiqua" w:eastAsia="Book Antiqua" w:hAnsi="Book Antiqua" w:cs="Book Antiqua"/>
          <w:i/>
          <w:iCs/>
          <w:color w:val="000000"/>
        </w:rPr>
        <w:t>GLRA2</w:t>
      </w:r>
      <w:r>
        <w:rPr>
          <w:rFonts w:ascii="Book Antiqua" w:eastAsia="Book Antiqua" w:hAnsi="Book Antiqua" w:cs="Book Antiqua"/>
          <w:color w:val="000000"/>
        </w:rPr>
        <w:t xml:space="preserve">, </w:t>
      </w:r>
      <w:r>
        <w:rPr>
          <w:rFonts w:ascii="Book Antiqua" w:eastAsia="Book Antiqua" w:hAnsi="Book Antiqua" w:cs="Book Antiqua"/>
          <w:i/>
          <w:iCs/>
          <w:color w:val="000000"/>
        </w:rPr>
        <w:t>HAVCR1</w:t>
      </w:r>
      <w:r>
        <w:rPr>
          <w:rFonts w:ascii="Book Antiqua" w:eastAsia="Book Antiqua" w:hAnsi="Book Antiqua" w:cs="Book Antiqua"/>
          <w:color w:val="000000"/>
        </w:rPr>
        <w:t xml:space="preserve">, and </w:t>
      </w:r>
      <w:r>
        <w:rPr>
          <w:rFonts w:ascii="Book Antiqua" w:eastAsia="Book Antiqua" w:hAnsi="Book Antiqua" w:cs="Book Antiqua"/>
          <w:i/>
          <w:iCs/>
          <w:color w:val="000000"/>
        </w:rPr>
        <w:t>ABCG2</w:t>
      </w:r>
      <w:r>
        <w:rPr>
          <w:rFonts w:ascii="Book Antiqua" w:eastAsia="Book Antiqua" w:hAnsi="Book Antiqua" w:cs="Book Antiqua"/>
          <w:color w:val="000000"/>
        </w:rPr>
        <w:t xml:space="preserve"> was low in our case that was successfully treated with tofacitinib and high in responders to conventional UC treatments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responders to tofacitinib, the expression of genes associated with resistance to conventional UC therapies was shown to be upregulated. The opposite trend in the signatures of genes related to the therapeutic response might be due to different mechanisms of action between JAK inhibitors and other therapies. Based on the findings of the present patient and another patient treated with anti-TNF antibodies who had RNA sequencing data, unsupervised hierarchal clustering of the gene panel and t-distributed Stochastic Neighbor Embedding visualization were defined (Figure 2). Consistently, distinct molecular signatures seemed to be regulated by JAK inhibition and TNF blockade, suggesting that the identification of gene sets may be able to predict therapeutic responses to medications. We have no data regarding biomarkers predicting the response to JAK inhibitors at present. Further investigations will be required to establish predictive biomarkers and personalized therapeutic strategies in IBD patients.</w:t>
      </w:r>
    </w:p>
    <w:p w14:paraId="4199717A" w14:textId="77777777" w:rsidR="00A77B3E" w:rsidRDefault="00A77B3E">
      <w:pPr>
        <w:spacing w:line="360" w:lineRule="auto"/>
        <w:ind w:firstLine="720"/>
        <w:jc w:val="both"/>
      </w:pPr>
    </w:p>
    <w:p w14:paraId="36A332C2" w14:textId="77777777" w:rsidR="00A77B3E" w:rsidRDefault="000728BB">
      <w:pPr>
        <w:spacing w:line="360" w:lineRule="auto"/>
        <w:jc w:val="both"/>
      </w:pPr>
      <w:r>
        <w:rPr>
          <w:rFonts w:ascii="Book Antiqua" w:eastAsia="Book Antiqua" w:hAnsi="Book Antiqua" w:cs="Book Antiqua"/>
          <w:b/>
          <w:caps/>
          <w:color w:val="000000"/>
          <w:u w:val="single"/>
        </w:rPr>
        <w:lastRenderedPageBreak/>
        <w:t>CONCLUSION</w:t>
      </w:r>
    </w:p>
    <w:p w14:paraId="2DDF035C" w14:textId="77777777" w:rsidR="00A77B3E" w:rsidRDefault="000728BB">
      <w:pPr>
        <w:spacing w:line="360" w:lineRule="auto"/>
        <w:jc w:val="both"/>
      </w:pPr>
      <w:r>
        <w:rPr>
          <w:rFonts w:ascii="Book Antiqua" w:eastAsia="Book Antiqua" w:hAnsi="Book Antiqua" w:cs="Book Antiqua"/>
          <w:color w:val="000000"/>
        </w:rPr>
        <w:t>Tofacitinib should be considered in refractory cases of UC with ITP.</w:t>
      </w:r>
    </w:p>
    <w:p w14:paraId="5F90B3D1" w14:textId="77777777" w:rsidR="00A77B3E" w:rsidRDefault="00A77B3E">
      <w:pPr>
        <w:spacing w:line="360" w:lineRule="auto"/>
        <w:jc w:val="both"/>
      </w:pPr>
    </w:p>
    <w:p w14:paraId="4D4F3922" w14:textId="77777777" w:rsidR="00A77B3E" w:rsidRDefault="000728BB">
      <w:pPr>
        <w:spacing w:line="360" w:lineRule="auto"/>
        <w:jc w:val="both"/>
      </w:pPr>
      <w:r>
        <w:rPr>
          <w:rFonts w:ascii="Book Antiqua" w:eastAsia="Book Antiqua" w:hAnsi="Book Antiqua" w:cs="Book Antiqua"/>
          <w:b/>
          <w:color w:val="000000"/>
        </w:rPr>
        <w:t>REFERENCES</w:t>
      </w:r>
    </w:p>
    <w:p w14:paraId="734FAFE1" w14:textId="77777777" w:rsidR="00A77B3E" w:rsidRDefault="000728B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Greenstein AJ</w:t>
      </w:r>
      <w:r>
        <w:rPr>
          <w:rFonts w:ascii="Book Antiqua" w:eastAsia="Book Antiqua" w:hAnsi="Book Antiqua" w:cs="Book Antiqua"/>
          <w:color w:val="000000"/>
        </w:rPr>
        <w:t xml:space="preserve">, Janowitz HD, Sachar DB. The extra-intestinal complications of Crohn's disease and ulcerative colitis: a study of 700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1976; </w:t>
      </w:r>
      <w:r>
        <w:rPr>
          <w:rFonts w:ascii="Book Antiqua" w:eastAsia="Book Antiqua" w:hAnsi="Book Antiqua" w:cs="Book Antiqua"/>
          <w:b/>
          <w:bCs/>
          <w:color w:val="000000"/>
        </w:rPr>
        <w:t>55</w:t>
      </w:r>
      <w:r>
        <w:rPr>
          <w:rFonts w:ascii="Book Antiqua" w:eastAsia="Book Antiqua" w:hAnsi="Book Antiqua" w:cs="Book Antiqua"/>
          <w:color w:val="000000"/>
        </w:rPr>
        <w:t>: 401-412 [PMID: 957999 DOI: 10.1097/00005792-197609000-00004]</w:t>
      </w:r>
    </w:p>
    <w:p w14:paraId="531B4578" w14:textId="77777777" w:rsidR="00A77B3E" w:rsidRDefault="000728B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Veloso FT</w:t>
      </w:r>
      <w:r>
        <w:rPr>
          <w:rFonts w:ascii="Book Antiqua" w:eastAsia="Book Antiqua" w:hAnsi="Book Antiqua" w:cs="Book Antiqua"/>
          <w:color w:val="000000"/>
        </w:rPr>
        <w:t xml:space="preserve">, Carvalho J, Magro F. Immune-related systemic manifestations of inflammatory bowel disease. A prospective study of 792 patients.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29-34 [PMID: 8835896 DOI: 10.1097/00004836-199607000-00009]</w:t>
      </w:r>
    </w:p>
    <w:p w14:paraId="5844FAD0" w14:textId="4B333A32" w:rsidR="00A77B3E" w:rsidRDefault="000728B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Chandra S</w:t>
      </w:r>
      <w:r>
        <w:rPr>
          <w:rFonts w:ascii="Book Antiqua" w:eastAsia="Book Antiqua" w:hAnsi="Book Antiqua" w:cs="Book Antiqua"/>
          <w:color w:val="000000"/>
        </w:rPr>
        <w:t xml:space="preserve">, Finn S, Obah E. Immune thrombocytopenic purpura in ulcerative colitis: a case report and systematic review. </w:t>
      </w:r>
      <w:r>
        <w:rPr>
          <w:rFonts w:ascii="Book Antiqua" w:eastAsia="Book Antiqua" w:hAnsi="Book Antiqua" w:cs="Book Antiqua"/>
          <w:i/>
          <w:iCs/>
          <w:color w:val="000000"/>
        </w:rPr>
        <w:t>J Community Hosp Intern Med Perspect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24765254 DOI: 10.3402/jchimp.v4.23386]</w:t>
      </w:r>
    </w:p>
    <w:p w14:paraId="6956DED1" w14:textId="77777777" w:rsidR="00A77B3E" w:rsidRDefault="000728B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Hisada T</w:t>
      </w:r>
      <w:r>
        <w:rPr>
          <w:rFonts w:ascii="Book Antiqua" w:eastAsia="Book Antiqua" w:hAnsi="Book Antiqua" w:cs="Book Antiqua"/>
          <w:color w:val="000000"/>
        </w:rPr>
        <w:t xml:space="preserve">, Miyamae Y, Mizuide M, Shibusawa N, Iida T, Masuo T, Okada S, Sagawa T, Ishizuka T, Kusano M, Mori M. Acute thrombocytopenia associated with preexisting ulcerative colitis successfully treated with colectomy.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45</w:t>
      </w:r>
      <w:r>
        <w:rPr>
          <w:rFonts w:ascii="Book Antiqua" w:eastAsia="Book Antiqua" w:hAnsi="Book Antiqua" w:cs="Book Antiqua"/>
          <w:color w:val="000000"/>
        </w:rPr>
        <w:t>: 87-91 [PMID: 16484745 DOI: 10.2169/internalmedicine.45.1465]</w:t>
      </w:r>
    </w:p>
    <w:p w14:paraId="44AEEF49" w14:textId="77777777" w:rsidR="00A77B3E" w:rsidRDefault="000728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Mares WG</w:t>
      </w:r>
      <w:r>
        <w:rPr>
          <w:rFonts w:ascii="Book Antiqua" w:eastAsia="Book Antiqua" w:hAnsi="Book Antiqua" w:cs="Book Antiqua"/>
          <w:color w:val="000000"/>
        </w:rPr>
        <w:t xml:space="preserve">, Gerver J, Masclee AA, Pierik M. Anti-TNF treatment of ulcerative colitis associated with idiopathic thrombocytopenic purpura.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864-865 [PMID: 20848499 DOI: 10.1002/ibd.21327]</w:t>
      </w:r>
    </w:p>
    <w:p w14:paraId="061EAAED" w14:textId="77777777" w:rsidR="00A77B3E" w:rsidRDefault="000728B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Iwasa T</w:t>
      </w:r>
      <w:r>
        <w:rPr>
          <w:rFonts w:ascii="Book Antiqua" w:eastAsia="Book Antiqua" w:hAnsi="Book Antiqua" w:cs="Book Antiqua"/>
          <w:color w:val="000000"/>
        </w:rPr>
        <w:t xml:space="preserve">, Nakamura K, Ihara E, Aso A, Ito T. The Effective Treatment with Cyclosporine of a Ulcerative Colitis Patient with Concurrent Idiopathic Thrombocytopenic Purpura Who Subsequently Developed Spontaneous Pneumomediastinum.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1331-1337 [PMID: 28566594 DOI: 10.2169/internalmedicine.56.7909]</w:t>
      </w:r>
    </w:p>
    <w:p w14:paraId="618FECAF" w14:textId="77777777" w:rsidR="00A77B3E" w:rsidRDefault="000728B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Tsuchida C</w:t>
      </w:r>
      <w:r>
        <w:rPr>
          <w:rFonts w:ascii="Book Antiqua" w:eastAsia="Book Antiqua" w:hAnsi="Book Antiqua" w:cs="Book Antiqua"/>
          <w:color w:val="000000"/>
        </w:rPr>
        <w:t xml:space="preserve">, Sakuramoto-Tsuchida S, Taked M, Itaya-Hironaka A, Yamauchi A, Misu M, Shobatake R, Uchiyama T, Makino M, Pujol-Autonell I, Vives-Pi M, Ohbayashi C, Takasawa S. Expression of </w:t>
      </w:r>
      <w:r>
        <w:rPr>
          <w:rFonts w:ascii="Book Antiqua" w:eastAsia="Book Antiqua" w:hAnsi="Book Antiqua" w:cs="Book Antiqua"/>
          <w:i/>
          <w:iCs/>
          <w:color w:val="000000"/>
        </w:rPr>
        <w:t>REG</w:t>
      </w:r>
      <w:r>
        <w:rPr>
          <w:rFonts w:ascii="Book Antiqua" w:eastAsia="Book Antiqua" w:hAnsi="Book Antiqua" w:cs="Book Antiqua"/>
          <w:color w:val="000000"/>
        </w:rPr>
        <w:t xml:space="preserve"> family genes in human inflammatory bowel diseases </w:t>
      </w:r>
      <w:r>
        <w:rPr>
          <w:rFonts w:ascii="Book Antiqua" w:eastAsia="Book Antiqua" w:hAnsi="Book Antiqua" w:cs="Book Antiqua"/>
          <w:color w:val="000000"/>
        </w:rPr>
        <w:lastRenderedPageBreak/>
        <w:t xml:space="preserve">and its regulation. </w:t>
      </w:r>
      <w:r>
        <w:rPr>
          <w:rFonts w:ascii="Book Antiqua" w:eastAsia="Book Antiqua" w:hAnsi="Book Antiqua" w:cs="Book Antiqua"/>
          <w:i/>
          <w:iCs/>
          <w:color w:val="000000"/>
        </w:rPr>
        <w:t>Biochem Biophys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198-205 [PMID: 29090282 DOI: 10.1016/j.bbrep.2017.10.003]</w:t>
      </w:r>
    </w:p>
    <w:p w14:paraId="6977E451" w14:textId="77777777" w:rsidR="00A77B3E" w:rsidRDefault="000728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Sekikawa A</w:t>
      </w:r>
      <w:r>
        <w:rPr>
          <w:rFonts w:ascii="Book Antiqua" w:eastAsia="Book Antiqua" w:hAnsi="Book Antiqua" w:cs="Book Antiqua"/>
          <w:color w:val="000000"/>
        </w:rPr>
        <w:t xml:space="preserve">, Fukui H, Suzuki K, Karibe T, Fujii S, Ichikawa K, Tomita S, Imura J, Shiratori K, Chiba T, Fujimori T. Involvement of the IL-22/REG Ialpha axis in ulcerative colitis.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2010; </w:t>
      </w:r>
      <w:r>
        <w:rPr>
          <w:rFonts w:ascii="Book Antiqua" w:eastAsia="Book Antiqua" w:hAnsi="Book Antiqua" w:cs="Book Antiqua"/>
          <w:b/>
          <w:bCs/>
          <w:color w:val="000000"/>
        </w:rPr>
        <w:t>90</w:t>
      </w:r>
      <w:r>
        <w:rPr>
          <w:rFonts w:ascii="Book Antiqua" w:eastAsia="Book Antiqua" w:hAnsi="Book Antiqua" w:cs="Book Antiqua"/>
          <w:color w:val="000000"/>
        </w:rPr>
        <w:t>: 496-505 [PMID: 20065946 DOI: 10.1038/Labinvest.2009.147]</w:t>
      </w:r>
    </w:p>
    <w:p w14:paraId="377EE319" w14:textId="77777777" w:rsidR="00A77B3E" w:rsidRDefault="000728B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Hyams JS</w:t>
      </w:r>
      <w:r>
        <w:rPr>
          <w:rFonts w:ascii="Book Antiqua" w:eastAsia="Book Antiqua" w:hAnsi="Book Antiqua" w:cs="Book Antiqua"/>
          <w:color w:val="000000"/>
        </w:rPr>
        <w:t xml:space="preserve">, Davis Thomas S, Gotman N, Haberman Y, Karns R, Schirmer M, Mo A, Mack DR, Boyle B, Griffiths AM, LeLeiko NS, Sauer CG, Keljo DJ, Markowitz J, Baker SS, Rosh J, Baldassano RN, Patel A, Pfefferkorn M, Otley A, Heyman M, Noe J, Oliva-Hemker M, Rufo PA, Strople J, Ziring D, Guthery SL, Sudel B, Benkov K, Wali P, Moulton D, Evans J, Kappelman MD, Marquis MA, Sylvester FA, Collins MH, Venkateswaran S, Dubinsky M, Tangpricha V, Spada KL, Saul B, Wang J, Serrano J, Hommel K, Marigorta UM, Gibson G, Xavier RJ, Kugathasan S, Walters T, Denson LA. Clinical and biological predictors of response to standardised paediatric colitis therapy (PROTECT): a multicentre inception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1708-1720 [PMID: 30935734 DOI: 10.1016/S0140-6736(18)32592-3]</w:t>
      </w:r>
    </w:p>
    <w:p w14:paraId="19DB109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18813F" w14:textId="77777777" w:rsidR="00A77B3E" w:rsidRDefault="000728BB">
      <w:pPr>
        <w:spacing w:line="360" w:lineRule="auto"/>
        <w:jc w:val="both"/>
      </w:pPr>
      <w:r>
        <w:rPr>
          <w:rFonts w:ascii="Book Antiqua" w:eastAsia="Book Antiqua" w:hAnsi="Book Antiqua" w:cs="Book Antiqua"/>
          <w:b/>
          <w:color w:val="000000"/>
        </w:rPr>
        <w:lastRenderedPageBreak/>
        <w:t>Footnotes</w:t>
      </w:r>
    </w:p>
    <w:p w14:paraId="3B230230" w14:textId="77777777" w:rsidR="00A77B3E" w:rsidRDefault="000728B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 The study was approved by the relevant institutional review boards (#28-224).</w:t>
      </w:r>
    </w:p>
    <w:p w14:paraId="4917BD09" w14:textId="77777777" w:rsidR="00A77B3E" w:rsidRDefault="00A77B3E">
      <w:pPr>
        <w:spacing w:line="360" w:lineRule="auto"/>
        <w:jc w:val="both"/>
      </w:pPr>
    </w:p>
    <w:p w14:paraId="2EBBD4B1" w14:textId="77777777" w:rsidR="00A77B3E" w:rsidRDefault="000728B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76DB5CA5" w14:textId="77777777" w:rsidR="00A77B3E" w:rsidRDefault="00A77B3E">
      <w:pPr>
        <w:spacing w:line="360" w:lineRule="auto"/>
        <w:jc w:val="both"/>
      </w:pPr>
    </w:p>
    <w:p w14:paraId="587E17AE" w14:textId="77777777" w:rsidR="00A77B3E" w:rsidRDefault="000728BB">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85F6438" w14:textId="77777777" w:rsidR="00A77B3E" w:rsidRDefault="00A77B3E">
      <w:pPr>
        <w:spacing w:line="360" w:lineRule="auto"/>
        <w:jc w:val="both"/>
      </w:pPr>
    </w:p>
    <w:p w14:paraId="7E94BBC4" w14:textId="77777777" w:rsidR="00A77B3E" w:rsidRDefault="000728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F43F1F" w14:textId="77777777" w:rsidR="00A77B3E" w:rsidRDefault="00A77B3E">
      <w:pPr>
        <w:spacing w:line="360" w:lineRule="auto"/>
        <w:jc w:val="both"/>
      </w:pPr>
    </w:p>
    <w:p w14:paraId="772657E8" w14:textId="458AF0E6" w:rsidR="00A77B3E" w:rsidRDefault="000728B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C134E">
        <w:rPr>
          <w:rFonts w:ascii="Book Antiqua" w:eastAsia="Book Antiqua" w:hAnsi="Book Antiqua" w:cs="Book Antiqua"/>
          <w:color w:val="000000"/>
        </w:rPr>
        <w:t>m</w:t>
      </w:r>
      <w:r>
        <w:rPr>
          <w:rFonts w:ascii="Book Antiqua" w:eastAsia="Book Antiqua" w:hAnsi="Book Antiqua" w:cs="Book Antiqua"/>
          <w:color w:val="000000"/>
        </w:rPr>
        <w:t>anuscript</w:t>
      </w:r>
    </w:p>
    <w:p w14:paraId="150762B5" w14:textId="77777777" w:rsidR="00A77B3E" w:rsidRDefault="00A77B3E">
      <w:pPr>
        <w:spacing w:line="360" w:lineRule="auto"/>
        <w:jc w:val="both"/>
      </w:pPr>
    </w:p>
    <w:p w14:paraId="5762844E" w14:textId="77777777" w:rsidR="00A77B3E" w:rsidRDefault="000728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2020</w:t>
      </w:r>
    </w:p>
    <w:p w14:paraId="797A9A45" w14:textId="77777777" w:rsidR="00A77B3E" w:rsidRDefault="000728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6F7D4585" w14:textId="77777777" w:rsidR="00A77B3E" w:rsidRDefault="000728BB">
      <w:pPr>
        <w:spacing w:line="360" w:lineRule="auto"/>
        <w:jc w:val="both"/>
      </w:pPr>
      <w:r>
        <w:rPr>
          <w:rFonts w:ascii="Book Antiqua" w:eastAsia="Book Antiqua" w:hAnsi="Book Antiqua" w:cs="Book Antiqua"/>
          <w:b/>
          <w:color w:val="000000"/>
        </w:rPr>
        <w:t xml:space="preserve">Article in press: </w:t>
      </w:r>
    </w:p>
    <w:p w14:paraId="33E0F448" w14:textId="77777777" w:rsidR="00A77B3E" w:rsidRDefault="00A77B3E">
      <w:pPr>
        <w:spacing w:line="360" w:lineRule="auto"/>
        <w:jc w:val="both"/>
      </w:pPr>
    </w:p>
    <w:p w14:paraId="58083676" w14:textId="5941FAB5" w:rsidR="00A77B3E" w:rsidRDefault="000728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E7261">
        <w:rPr>
          <w:rFonts w:ascii="Book Antiqua" w:eastAsia="Book Antiqua" w:hAnsi="Book Antiqua" w:cs="Book Antiqua"/>
          <w:color w:val="000000"/>
        </w:rPr>
        <w:t>h</w:t>
      </w:r>
      <w:r>
        <w:rPr>
          <w:rFonts w:ascii="Book Antiqua" w:eastAsia="Book Antiqua" w:hAnsi="Book Antiqua" w:cs="Book Antiqua"/>
          <w:color w:val="000000"/>
        </w:rPr>
        <w:t>epatology</w:t>
      </w:r>
    </w:p>
    <w:p w14:paraId="4E1E3192" w14:textId="77777777" w:rsidR="00A77B3E" w:rsidRDefault="000728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7608CAC" w14:textId="77777777" w:rsidR="00A77B3E" w:rsidRDefault="000728BB">
      <w:pPr>
        <w:spacing w:line="360" w:lineRule="auto"/>
        <w:jc w:val="both"/>
      </w:pPr>
      <w:r>
        <w:rPr>
          <w:rFonts w:ascii="Book Antiqua" w:eastAsia="Book Antiqua" w:hAnsi="Book Antiqua" w:cs="Book Antiqua"/>
          <w:b/>
          <w:color w:val="000000"/>
        </w:rPr>
        <w:t>Peer-review report’s scientific quality classification</w:t>
      </w:r>
    </w:p>
    <w:p w14:paraId="4E018C22" w14:textId="77777777" w:rsidR="00A77B3E" w:rsidRDefault="000728BB">
      <w:pPr>
        <w:spacing w:line="360" w:lineRule="auto"/>
        <w:jc w:val="both"/>
      </w:pPr>
      <w:r>
        <w:rPr>
          <w:rFonts w:ascii="Book Antiqua" w:eastAsia="Book Antiqua" w:hAnsi="Book Antiqua" w:cs="Book Antiqua"/>
          <w:color w:val="000000"/>
        </w:rPr>
        <w:t>Grade A (Excellent): 0</w:t>
      </w:r>
    </w:p>
    <w:p w14:paraId="2C69D2B0" w14:textId="77777777" w:rsidR="00A77B3E" w:rsidRDefault="000728BB">
      <w:pPr>
        <w:spacing w:line="360" w:lineRule="auto"/>
        <w:jc w:val="both"/>
      </w:pPr>
      <w:r>
        <w:rPr>
          <w:rFonts w:ascii="Book Antiqua" w:eastAsia="Book Antiqua" w:hAnsi="Book Antiqua" w:cs="Book Antiqua"/>
          <w:color w:val="000000"/>
        </w:rPr>
        <w:t>Grade B (Very good): B</w:t>
      </w:r>
    </w:p>
    <w:p w14:paraId="72C477B6" w14:textId="77777777" w:rsidR="00A77B3E" w:rsidRDefault="000728BB">
      <w:pPr>
        <w:spacing w:line="360" w:lineRule="auto"/>
        <w:jc w:val="both"/>
      </w:pPr>
      <w:r>
        <w:rPr>
          <w:rFonts w:ascii="Book Antiqua" w:eastAsia="Book Antiqua" w:hAnsi="Book Antiqua" w:cs="Book Antiqua"/>
          <w:color w:val="000000"/>
        </w:rPr>
        <w:lastRenderedPageBreak/>
        <w:t>Grade C (Good): C</w:t>
      </w:r>
    </w:p>
    <w:p w14:paraId="76316FC9" w14:textId="77777777" w:rsidR="00A77B3E" w:rsidRDefault="000728BB">
      <w:pPr>
        <w:spacing w:line="360" w:lineRule="auto"/>
        <w:jc w:val="both"/>
      </w:pPr>
      <w:r>
        <w:rPr>
          <w:rFonts w:ascii="Book Antiqua" w:eastAsia="Book Antiqua" w:hAnsi="Book Antiqua" w:cs="Book Antiqua"/>
          <w:color w:val="000000"/>
        </w:rPr>
        <w:t>Grade D (Fair): 0</w:t>
      </w:r>
    </w:p>
    <w:p w14:paraId="619A56CC" w14:textId="77777777" w:rsidR="00A77B3E" w:rsidRDefault="000728BB">
      <w:pPr>
        <w:spacing w:line="360" w:lineRule="auto"/>
        <w:jc w:val="both"/>
      </w:pPr>
      <w:r>
        <w:rPr>
          <w:rFonts w:ascii="Book Antiqua" w:eastAsia="Book Antiqua" w:hAnsi="Book Antiqua" w:cs="Book Antiqua"/>
          <w:color w:val="000000"/>
        </w:rPr>
        <w:t>Grade E (Poor): 0</w:t>
      </w:r>
    </w:p>
    <w:p w14:paraId="7900B5C9" w14:textId="77777777" w:rsidR="00A77B3E" w:rsidRDefault="00A77B3E">
      <w:pPr>
        <w:spacing w:line="360" w:lineRule="auto"/>
        <w:jc w:val="both"/>
      </w:pPr>
    </w:p>
    <w:p w14:paraId="2B4ACC84" w14:textId="6CF56CC4" w:rsidR="00A77B3E" w:rsidRDefault="000728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 TL, Suppiah A</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w:t>
      </w:r>
      <w:r w:rsidR="00DC6B54">
        <w:rPr>
          <w:rFonts w:ascii="Book Antiqua" w:eastAsia="Book Antiqua" w:hAnsi="Book Antiqua" w:cs="Book Antiqua"/>
          <w:color w:val="000000"/>
        </w:rPr>
        <w:t>M</w:t>
      </w:r>
      <w:r w:rsidR="00164508">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P-Editor: </w:t>
      </w:r>
    </w:p>
    <w:p w14:paraId="5FA15F13" w14:textId="77777777" w:rsidR="00A74AAF" w:rsidRDefault="00A74AAF">
      <w:pPr>
        <w:spacing w:line="360" w:lineRule="auto"/>
        <w:jc w:val="both"/>
        <w:sectPr w:rsidR="00A74AAF">
          <w:pgSz w:w="12240" w:h="15840"/>
          <w:pgMar w:top="1440" w:right="1440" w:bottom="1440" w:left="1440" w:header="720" w:footer="720" w:gutter="0"/>
          <w:cols w:space="720"/>
          <w:docGrid w:linePitch="360"/>
        </w:sectPr>
      </w:pPr>
    </w:p>
    <w:p w14:paraId="6F94BE64" w14:textId="57B45F6C" w:rsidR="00A77B3E" w:rsidRDefault="000728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DBD9D15" w14:textId="64A3EDFF" w:rsidR="00DC6B54" w:rsidRDefault="00DC6B54">
      <w:pPr>
        <w:spacing w:line="360" w:lineRule="auto"/>
        <w:jc w:val="both"/>
      </w:pPr>
      <w:r w:rsidRPr="00A50FD1">
        <w:rPr>
          <w:rFonts w:ascii="Book Antiqua" w:hAnsi="Book Antiqua"/>
          <w:noProof/>
          <w:lang w:eastAsia="zh-CN"/>
        </w:rPr>
        <w:drawing>
          <wp:inline distT="0" distB="0" distL="0" distR="0" wp14:anchorId="7FEE47F8" wp14:editId="44245F1A">
            <wp:extent cx="5927499" cy="17890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75" cy="1797909"/>
                    </a:xfrm>
                    <a:prstGeom prst="rect">
                      <a:avLst/>
                    </a:prstGeom>
                    <a:noFill/>
                  </pic:spPr>
                </pic:pic>
              </a:graphicData>
            </a:graphic>
          </wp:inline>
        </w:drawing>
      </w:r>
    </w:p>
    <w:p w14:paraId="3858E562" w14:textId="5E4AC5A5" w:rsidR="00DC6B54" w:rsidRDefault="0009075A">
      <w:pPr>
        <w:spacing w:line="360" w:lineRule="auto"/>
        <w:jc w:val="both"/>
        <w:rPr>
          <w:rFonts w:ascii="Book Antiqua" w:eastAsia="Book Antiqua" w:hAnsi="Book Antiqua" w:cs="Book Antiqua"/>
          <w:color w:val="000000"/>
        </w:rPr>
      </w:pPr>
      <w:r w:rsidRPr="00A50FD1">
        <w:rPr>
          <w:rFonts w:ascii="Book Antiqua" w:eastAsia="Book Antiqua" w:hAnsi="Book Antiqua" w:cs="Book Antiqua"/>
          <w:b/>
          <w:bCs/>
          <w:color w:val="000000"/>
        </w:rPr>
        <w:t xml:space="preserve">Figure </w:t>
      </w:r>
      <w:r>
        <w:rPr>
          <w:rFonts w:ascii="Book Antiqua" w:eastAsia="Book Antiqua" w:hAnsi="Book Antiqua" w:cs="Book Antiqua"/>
          <w:b/>
          <w:bCs/>
          <w:color w:val="000000"/>
        </w:rPr>
        <w:t xml:space="preserve">1 </w:t>
      </w:r>
      <w:r w:rsidR="000728BB">
        <w:rPr>
          <w:rFonts w:ascii="Book Antiqua" w:eastAsia="Book Antiqua" w:hAnsi="Book Antiqua" w:cs="Book Antiqua"/>
          <w:b/>
          <w:bCs/>
          <w:color w:val="000000"/>
        </w:rPr>
        <w:t xml:space="preserve">The administration of tofacitinib subsequently led to the induction of remission. </w:t>
      </w:r>
      <w:r w:rsidR="000728BB">
        <w:rPr>
          <w:rFonts w:ascii="Book Antiqua" w:eastAsia="Book Antiqua" w:hAnsi="Book Antiqua" w:cs="Book Antiqua"/>
          <w:color w:val="000000"/>
        </w:rPr>
        <w:t>A: The clinical course before and after tofacitinib therapy; B: Endoscopic aspects of the colon before and after tofacitinib treatment. There are spontaneous bleeding and ulcerations before tofacitinib treatment, and they improved after tofacitinib treatment.</w:t>
      </w:r>
    </w:p>
    <w:p w14:paraId="1ED1D3C4" w14:textId="77777777" w:rsidR="00DC6B54" w:rsidRPr="00A50FD1" w:rsidRDefault="00DC6B54" w:rsidP="00DC6B54">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sidRPr="00A50FD1">
        <w:rPr>
          <w:rFonts w:ascii="Book Antiqua" w:eastAsia="Book Antiqua" w:hAnsi="Book Antiqua" w:cs="Book Antiqua"/>
          <w:noProof/>
          <w:color w:val="000000"/>
          <w:lang w:eastAsia="zh-CN"/>
        </w:rPr>
        <w:lastRenderedPageBreak/>
        <w:drawing>
          <wp:inline distT="0" distB="0" distL="0" distR="0" wp14:anchorId="6B6E3970" wp14:editId="7E9E6922">
            <wp:extent cx="5578475" cy="34427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4631" cy="3446508"/>
                    </a:xfrm>
                    <a:prstGeom prst="rect">
                      <a:avLst/>
                    </a:prstGeom>
                    <a:noFill/>
                  </pic:spPr>
                </pic:pic>
              </a:graphicData>
            </a:graphic>
          </wp:inline>
        </w:drawing>
      </w:r>
    </w:p>
    <w:p w14:paraId="72B5BCD3" w14:textId="77777777" w:rsidR="00DC6B54" w:rsidRPr="00A50FD1" w:rsidRDefault="00DC6B54" w:rsidP="00DC6B54">
      <w:pPr>
        <w:adjustRightInd w:val="0"/>
        <w:snapToGrid w:val="0"/>
        <w:spacing w:line="360" w:lineRule="auto"/>
        <w:jc w:val="both"/>
        <w:rPr>
          <w:rFonts w:ascii="Book Antiqua" w:eastAsia="Book Antiqua" w:hAnsi="Book Antiqua" w:cs="Book Antiqua"/>
          <w:color w:val="000000"/>
        </w:rPr>
      </w:pPr>
      <w:r w:rsidRPr="00A50FD1">
        <w:rPr>
          <w:rFonts w:ascii="Book Antiqua" w:eastAsia="Book Antiqua" w:hAnsi="Book Antiqua" w:cs="Book Antiqua"/>
          <w:b/>
          <w:bCs/>
          <w:color w:val="000000"/>
        </w:rPr>
        <w:t>Figure 2 Distinct molecular signatures seemed to be regulated by Janus kinase inhibitors and tumor necrosis factor blockers.</w:t>
      </w:r>
      <w:r w:rsidRPr="00A50FD1">
        <w:rPr>
          <w:rFonts w:ascii="Book Antiqua" w:eastAsia="Book Antiqua" w:hAnsi="Book Antiqua" w:cs="Book Antiqua"/>
          <w:color w:val="000000"/>
        </w:rPr>
        <w:t xml:space="preserve"> A: Heatmap of the expression of selected genes from inflamed rectal tissue biopsies taken before and after the initiation of tofacitinib (before and after Janus kinase inhibitor) and adalimumab (before and after anti-tumor necrosis factor therapy); B: T-distributed Stochastic Neighbor Embedding visualization in 2 dimensions for 500 genes. TNF: </w:t>
      </w:r>
      <w:bookmarkStart w:id="2" w:name="_Hlk54908858"/>
      <w:r w:rsidRPr="00A50FD1">
        <w:rPr>
          <w:rFonts w:ascii="Book Antiqua" w:eastAsia="Book Antiqua" w:hAnsi="Book Antiqua" w:cs="Book Antiqua"/>
          <w:color w:val="000000"/>
        </w:rPr>
        <w:t>Tumor necrosis factor</w:t>
      </w:r>
      <w:bookmarkEnd w:id="2"/>
      <w:r w:rsidRPr="00A50FD1">
        <w:rPr>
          <w:rFonts w:ascii="Book Antiqua" w:eastAsia="Book Antiqua" w:hAnsi="Book Antiqua" w:cs="Book Antiqua"/>
          <w:color w:val="000000"/>
        </w:rPr>
        <w:t xml:space="preserve">; JAK: </w:t>
      </w:r>
      <w:bookmarkStart w:id="3" w:name="_Hlk54908837"/>
      <w:r w:rsidRPr="00A50FD1">
        <w:rPr>
          <w:rFonts w:ascii="Book Antiqua" w:eastAsia="Book Antiqua" w:hAnsi="Book Antiqua" w:cs="Book Antiqua"/>
          <w:color w:val="000000"/>
        </w:rPr>
        <w:t>Janus kinase</w:t>
      </w:r>
      <w:bookmarkEnd w:id="3"/>
      <w:r w:rsidRPr="00A50FD1">
        <w:rPr>
          <w:rFonts w:ascii="Book Antiqua" w:eastAsia="Book Antiqua" w:hAnsi="Book Antiqua" w:cs="Book Antiqua"/>
          <w:color w:val="000000"/>
        </w:rPr>
        <w:t>.</w:t>
      </w:r>
    </w:p>
    <w:tbl>
      <w:tblPr>
        <w:tblStyle w:val="1"/>
        <w:tblpPr w:leftFromText="142" w:rightFromText="142" w:vertAnchor="page" w:horzAnchor="margin" w:tblpY="196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26"/>
        <w:gridCol w:w="2891"/>
      </w:tblGrid>
      <w:tr w:rsidR="00DC6B54" w:rsidRPr="00A50FD1" w14:paraId="57893D40" w14:textId="77777777" w:rsidTr="002E0469">
        <w:tc>
          <w:tcPr>
            <w:tcW w:w="3519" w:type="dxa"/>
            <w:tcBorders>
              <w:top w:val="single" w:sz="4" w:space="0" w:color="auto"/>
              <w:bottom w:val="single" w:sz="4" w:space="0" w:color="auto"/>
            </w:tcBorders>
          </w:tcPr>
          <w:p w14:paraId="4119D474" w14:textId="77777777" w:rsidR="00DC6B54" w:rsidRPr="00A50FD1" w:rsidRDefault="00DC6B54" w:rsidP="002E0469">
            <w:pPr>
              <w:widowControl w:val="0"/>
              <w:adjustRightInd w:val="0"/>
              <w:snapToGrid w:val="0"/>
              <w:spacing w:line="360" w:lineRule="auto"/>
              <w:jc w:val="both"/>
              <w:rPr>
                <w:rFonts w:ascii="Book Antiqua" w:eastAsia="Yu Mincho" w:hAnsi="Book Antiqua" w:cs="Arial"/>
                <w:b/>
                <w:bCs/>
              </w:rPr>
            </w:pPr>
            <w:r w:rsidRPr="0037228D">
              <w:rPr>
                <w:rFonts w:ascii="Book Antiqua" w:hAnsi="Book Antiqua"/>
                <w:b/>
                <w:bCs/>
              </w:rPr>
              <w:lastRenderedPageBreak/>
              <w:br w:type="page"/>
            </w:r>
            <w:r w:rsidRPr="00A50FD1">
              <w:rPr>
                <w:rFonts w:ascii="Book Antiqua" w:eastAsia="Yu Mincho" w:hAnsi="Book Antiqua" w:cs="Arial"/>
                <w:b/>
                <w:bCs/>
              </w:rPr>
              <w:t>Laboratory test</w:t>
            </w:r>
          </w:p>
        </w:tc>
        <w:tc>
          <w:tcPr>
            <w:tcW w:w="3099" w:type="dxa"/>
            <w:tcBorders>
              <w:top w:val="single" w:sz="4" w:space="0" w:color="auto"/>
              <w:bottom w:val="single" w:sz="4" w:space="0" w:color="auto"/>
            </w:tcBorders>
          </w:tcPr>
          <w:p w14:paraId="16F82BE7" w14:textId="77777777" w:rsidR="00DC6B54" w:rsidRPr="00A50FD1" w:rsidRDefault="00DC6B54" w:rsidP="002E0469">
            <w:pPr>
              <w:widowControl w:val="0"/>
              <w:adjustRightInd w:val="0"/>
              <w:snapToGrid w:val="0"/>
              <w:spacing w:line="360" w:lineRule="auto"/>
              <w:jc w:val="both"/>
              <w:rPr>
                <w:rFonts w:ascii="Book Antiqua" w:eastAsia="Yu Mincho" w:hAnsi="Book Antiqua" w:cs="Arial"/>
                <w:b/>
                <w:bCs/>
              </w:rPr>
            </w:pPr>
            <w:r w:rsidRPr="00A50FD1">
              <w:rPr>
                <w:rFonts w:ascii="Book Antiqua" w:eastAsia="Yu Mincho" w:hAnsi="Book Antiqua" w:cs="Arial"/>
                <w:b/>
                <w:bCs/>
              </w:rPr>
              <w:t xml:space="preserve">Before </w:t>
            </w:r>
            <w:r w:rsidRPr="0037228D">
              <w:rPr>
                <w:rFonts w:ascii="Book Antiqua" w:eastAsia="Yu Mincho" w:hAnsi="Book Antiqua" w:cs="Arial"/>
                <w:b/>
                <w:bCs/>
              </w:rPr>
              <w:t>t</w:t>
            </w:r>
            <w:r w:rsidRPr="00A50FD1">
              <w:rPr>
                <w:rFonts w:ascii="Book Antiqua" w:eastAsia="Yu Mincho" w:hAnsi="Book Antiqua" w:cs="Arial"/>
                <w:b/>
                <w:bCs/>
              </w:rPr>
              <w:t>ofacitinib</w:t>
            </w:r>
          </w:p>
        </w:tc>
        <w:tc>
          <w:tcPr>
            <w:tcW w:w="2958" w:type="dxa"/>
            <w:tcBorders>
              <w:top w:val="single" w:sz="4" w:space="0" w:color="auto"/>
              <w:bottom w:val="single" w:sz="4" w:space="0" w:color="auto"/>
            </w:tcBorders>
          </w:tcPr>
          <w:p w14:paraId="49B8F484" w14:textId="77777777" w:rsidR="00DC6B54" w:rsidRPr="00A50FD1" w:rsidRDefault="00DC6B54" w:rsidP="002E0469">
            <w:pPr>
              <w:widowControl w:val="0"/>
              <w:adjustRightInd w:val="0"/>
              <w:snapToGrid w:val="0"/>
              <w:spacing w:line="360" w:lineRule="auto"/>
              <w:jc w:val="both"/>
              <w:rPr>
                <w:rFonts w:ascii="Book Antiqua" w:eastAsia="Yu Mincho" w:hAnsi="Book Antiqua" w:cs="Arial"/>
                <w:b/>
                <w:bCs/>
              </w:rPr>
            </w:pPr>
            <w:r w:rsidRPr="00A50FD1">
              <w:rPr>
                <w:rFonts w:ascii="Book Antiqua" w:eastAsia="Yu Mincho" w:hAnsi="Book Antiqua" w:cs="Arial"/>
                <w:b/>
                <w:bCs/>
              </w:rPr>
              <w:t xml:space="preserve">After </w:t>
            </w:r>
            <w:r w:rsidRPr="0037228D">
              <w:rPr>
                <w:rFonts w:ascii="Book Antiqua" w:eastAsia="Yu Mincho" w:hAnsi="Book Antiqua" w:cs="Arial"/>
                <w:b/>
                <w:bCs/>
              </w:rPr>
              <w:t>t</w:t>
            </w:r>
            <w:r w:rsidRPr="00A50FD1">
              <w:rPr>
                <w:rFonts w:ascii="Book Antiqua" w:eastAsia="Yu Mincho" w:hAnsi="Book Antiqua" w:cs="Arial"/>
                <w:b/>
                <w:bCs/>
              </w:rPr>
              <w:t>ofacitinib</w:t>
            </w:r>
          </w:p>
        </w:tc>
      </w:tr>
      <w:tr w:rsidR="00DC6B54" w:rsidRPr="00A50FD1" w14:paraId="05BB0E5E" w14:textId="77777777" w:rsidTr="002E0469">
        <w:tc>
          <w:tcPr>
            <w:tcW w:w="3519" w:type="dxa"/>
            <w:tcBorders>
              <w:top w:val="single" w:sz="4" w:space="0" w:color="auto"/>
            </w:tcBorders>
          </w:tcPr>
          <w:p w14:paraId="46FF9D29"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 xml:space="preserve">Albumin </w:t>
            </w:r>
          </w:p>
        </w:tc>
        <w:tc>
          <w:tcPr>
            <w:tcW w:w="3099" w:type="dxa"/>
            <w:tcBorders>
              <w:top w:val="single" w:sz="4" w:space="0" w:color="auto"/>
            </w:tcBorders>
          </w:tcPr>
          <w:p w14:paraId="573D10B9"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3.6 g/</w:t>
            </w:r>
            <w:r>
              <w:rPr>
                <w:rFonts w:ascii="Book Antiqua" w:eastAsia="Yu Mincho" w:hAnsi="Book Antiqua" w:cs="Arial"/>
              </w:rPr>
              <w:t>dL</w:t>
            </w:r>
          </w:p>
        </w:tc>
        <w:tc>
          <w:tcPr>
            <w:tcW w:w="2958" w:type="dxa"/>
            <w:tcBorders>
              <w:top w:val="single" w:sz="4" w:space="0" w:color="auto"/>
            </w:tcBorders>
          </w:tcPr>
          <w:p w14:paraId="5CB77973"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4.8 g/</w:t>
            </w:r>
            <w:r>
              <w:rPr>
                <w:rFonts w:ascii="Book Antiqua" w:eastAsia="Yu Mincho" w:hAnsi="Book Antiqua" w:cs="Arial"/>
              </w:rPr>
              <w:t>dL</w:t>
            </w:r>
          </w:p>
        </w:tc>
      </w:tr>
      <w:tr w:rsidR="00DC6B54" w:rsidRPr="00A50FD1" w14:paraId="4D7A7C16" w14:textId="77777777" w:rsidTr="002E0469">
        <w:tc>
          <w:tcPr>
            <w:tcW w:w="3519" w:type="dxa"/>
          </w:tcPr>
          <w:p w14:paraId="7422DA9A"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C-reactive protein</w:t>
            </w:r>
          </w:p>
        </w:tc>
        <w:tc>
          <w:tcPr>
            <w:tcW w:w="3099" w:type="dxa"/>
          </w:tcPr>
          <w:p w14:paraId="78293775"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3.9 mg/</w:t>
            </w:r>
            <w:r>
              <w:rPr>
                <w:rFonts w:ascii="Book Antiqua" w:eastAsia="Yu Mincho" w:hAnsi="Book Antiqua" w:cs="Arial"/>
              </w:rPr>
              <w:t>dL</w:t>
            </w:r>
          </w:p>
        </w:tc>
        <w:tc>
          <w:tcPr>
            <w:tcW w:w="2958" w:type="dxa"/>
          </w:tcPr>
          <w:p w14:paraId="60418AE6"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0.0 mg/</w:t>
            </w:r>
            <w:r>
              <w:rPr>
                <w:rFonts w:ascii="Book Antiqua" w:eastAsia="Yu Mincho" w:hAnsi="Book Antiqua" w:cs="Arial"/>
              </w:rPr>
              <w:t>dL</w:t>
            </w:r>
          </w:p>
        </w:tc>
      </w:tr>
      <w:tr w:rsidR="00DC6B54" w:rsidRPr="00A50FD1" w14:paraId="3DBE9DD4" w14:textId="77777777" w:rsidTr="002E0469">
        <w:tc>
          <w:tcPr>
            <w:tcW w:w="3519" w:type="dxa"/>
          </w:tcPr>
          <w:p w14:paraId="6EF72C5C"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White blood cell count</w:t>
            </w:r>
          </w:p>
        </w:tc>
        <w:tc>
          <w:tcPr>
            <w:tcW w:w="3099" w:type="dxa"/>
          </w:tcPr>
          <w:p w14:paraId="1B6DB37E" w14:textId="1B1EC1A2"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11200</w:t>
            </w:r>
            <w:r w:rsidRPr="00A50FD1">
              <w:rPr>
                <w:rFonts w:ascii="Book Antiqua" w:eastAsia="MS PGothic" w:hAnsi="Book Antiqua" w:cs="Arial"/>
              </w:rPr>
              <w:t>/μ</w:t>
            </w:r>
            <w:r>
              <w:rPr>
                <w:rFonts w:ascii="Book Antiqua" w:eastAsia="MS PGothic" w:hAnsi="Book Antiqua" w:cs="Arial"/>
              </w:rPr>
              <w:t>L</w:t>
            </w:r>
          </w:p>
        </w:tc>
        <w:tc>
          <w:tcPr>
            <w:tcW w:w="2958" w:type="dxa"/>
          </w:tcPr>
          <w:p w14:paraId="5A8BBC2B" w14:textId="05F7340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4500</w:t>
            </w:r>
            <w:r w:rsidRPr="00A50FD1">
              <w:rPr>
                <w:rFonts w:ascii="Book Antiqua" w:eastAsia="MS PGothic" w:hAnsi="Book Antiqua" w:cs="Arial"/>
              </w:rPr>
              <w:t>/μ</w:t>
            </w:r>
            <w:r>
              <w:rPr>
                <w:rFonts w:ascii="Book Antiqua" w:eastAsia="MS PGothic" w:hAnsi="Book Antiqua" w:cs="Arial"/>
              </w:rPr>
              <w:t>L</w:t>
            </w:r>
          </w:p>
        </w:tc>
      </w:tr>
      <w:tr w:rsidR="00DC6B54" w:rsidRPr="00A50FD1" w14:paraId="2505F27A" w14:textId="77777777" w:rsidTr="002E0469">
        <w:tc>
          <w:tcPr>
            <w:tcW w:w="3519" w:type="dxa"/>
          </w:tcPr>
          <w:p w14:paraId="54B9B08C"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Erythrocyte sedimentation rate</w:t>
            </w:r>
          </w:p>
        </w:tc>
        <w:tc>
          <w:tcPr>
            <w:tcW w:w="3099" w:type="dxa"/>
          </w:tcPr>
          <w:p w14:paraId="72B6BF3A"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20 mm</w:t>
            </w:r>
          </w:p>
        </w:tc>
        <w:tc>
          <w:tcPr>
            <w:tcW w:w="2958" w:type="dxa"/>
          </w:tcPr>
          <w:p w14:paraId="67D30223"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10 mm</w:t>
            </w:r>
          </w:p>
        </w:tc>
      </w:tr>
      <w:tr w:rsidR="00DC6B54" w:rsidRPr="00A50FD1" w14:paraId="223599B1" w14:textId="77777777" w:rsidTr="002E0469">
        <w:tc>
          <w:tcPr>
            <w:tcW w:w="3519" w:type="dxa"/>
          </w:tcPr>
          <w:p w14:paraId="7033EC2A"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Red blood cell count</w:t>
            </w:r>
          </w:p>
        </w:tc>
        <w:tc>
          <w:tcPr>
            <w:tcW w:w="3099" w:type="dxa"/>
          </w:tcPr>
          <w:p w14:paraId="12F7E9CB" w14:textId="5161419B"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413</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c>
          <w:tcPr>
            <w:tcW w:w="2958" w:type="dxa"/>
          </w:tcPr>
          <w:p w14:paraId="4BD0BED4" w14:textId="7793B1A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448</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r>
      <w:tr w:rsidR="00DC6B54" w:rsidRPr="00A50FD1" w14:paraId="58B6A882" w14:textId="77777777" w:rsidTr="002E0469">
        <w:tc>
          <w:tcPr>
            <w:tcW w:w="3519" w:type="dxa"/>
          </w:tcPr>
          <w:p w14:paraId="7D55EA7F"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Hemoglobin</w:t>
            </w:r>
          </w:p>
        </w:tc>
        <w:tc>
          <w:tcPr>
            <w:tcW w:w="3099" w:type="dxa"/>
          </w:tcPr>
          <w:p w14:paraId="64120A1D" w14:textId="4C8625B4"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12.4 g/</w:t>
            </w:r>
            <w:r>
              <w:rPr>
                <w:rFonts w:ascii="Book Antiqua" w:eastAsia="Yu Mincho" w:hAnsi="Book Antiqua" w:cs="Arial"/>
              </w:rPr>
              <w:t>dL</w:t>
            </w:r>
          </w:p>
        </w:tc>
        <w:tc>
          <w:tcPr>
            <w:tcW w:w="2958" w:type="dxa"/>
          </w:tcPr>
          <w:p w14:paraId="231ADDAB" w14:textId="24DE7480"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14.3 g/</w:t>
            </w:r>
            <w:r>
              <w:rPr>
                <w:rFonts w:ascii="Book Antiqua" w:eastAsia="Yu Mincho" w:hAnsi="Book Antiqua" w:cs="Arial"/>
              </w:rPr>
              <w:t>dL</w:t>
            </w:r>
          </w:p>
        </w:tc>
      </w:tr>
      <w:tr w:rsidR="00DC6B54" w:rsidRPr="00A50FD1" w14:paraId="5BF17A47" w14:textId="77777777" w:rsidTr="002E0469">
        <w:tc>
          <w:tcPr>
            <w:tcW w:w="3519" w:type="dxa"/>
          </w:tcPr>
          <w:p w14:paraId="726B76B0"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Hematocrit</w:t>
            </w:r>
          </w:p>
        </w:tc>
        <w:tc>
          <w:tcPr>
            <w:tcW w:w="3099" w:type="dxa"/>
          </w:tcPr>
          <w:p w14:paraId="1FB53A9F"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 xml:space="preserve">36.5 </w:t>
            </w:r>
            <w:r w:rsidRPr="00A50FD1">
              <w:rPr>
                <w:rFonts w:ascii="Book Antiqua" w:eastAsia="MS PGothic" w:hAnsi="Book Antiqua" w:cs="Arial"/>
                <w:color w:val="000000"/>
              </w:rPr>
              <w:t>%</w:t>
            </w:r>
          </w:p>
        </w:tc>
        <w:tc>
          <w:tcPr>
            <w:tcW w:w="2958" w:type="dxa"/>
          </w:tcPr>
          <w:p w14:paraId="0696A2D5"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41.7 %</w:t>
            </w:r>
          </w:p>
        </w:tc>
      </w:tr>
      <w:tr w:rsidR="00DC6B54" w:rsidRPr="00A50FD1" w14:paraId="66E81293" w14:textId="77777777" w:rsidTr="002E0469">
        <w:tc>
          <w:tcPr>
            <w:tcW w:w="3519" w:type="dxa"/>
          </w:tcPr>
          <w:p w14:paraId="59ECD8C6"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Platelet count</w:t>
            </w:r>
          </w:p>
        </w:tc>
        <w:tc>
          <w:tcPr>
            <w:tcW w:w="3099" w:type="dxa"/>
          </w:tcPr>
          <w:p w14:paraId="6E44FBBE" w14:textId="0DF00896"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14.5</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c>
          <w:tcPr>
            <w:tcW w:w="2958" w:type="dxa"/>
          </w:tcPr>
          <w:p w14:paraId="677AA3BA" w14:textId="0528090D"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25.2</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r>
    </w:tbl>
    <w:p w14:paraId="701D82D7" w14:textId="77777777" w:rsidR="00DC6B54" w:rsidRPr="00A50FD1" w:rsidRDefault="00DC6B54" w:rsidP="00DC6B54">
      <w:pPr>
        <w:widowControl w:val="0"/>
        <w:adjustRightInd w:val="0"/>
        <w:snapToGrid w:val="0"/>
        <w:spacing w:line="360" w:lineRule="auto"/>
        <w:jc w:val="both"/>
        <w:rPr>
          <w:rFonts w:ascii="Book Antiqua" w:eastAsia="Yu Mincho" w:hAnsi="Book Antiqua" w:cs="Arial"/>
          <w:b/>
          <w:bCs/>
          <w:kern w:val="2"/>
          <w:lang w:eastAsia="ja-JP"/>
        </w:rPr>
      </w:pPr>
      <w:r w:rsidRPr="00A50FD1">
        <w:rPr>
          <w:rFonts w:ascii="Book Antiqua" w:eastAsia="Yu Mincho" w:hAnsi="Book Antiqua" w:cs="Arial"/>
          <w:b/>
          <w:bCs/>
          <w:kern w:val="2"/>
          <w:lang w:eastAsia="ja-JP"/>
        </w:rPr>
        <w:t xml:space="preserve"> Table </w:t>
      </w:r>
      <w:r w:rsidRPr="00A50FD1">
        <w:rPr>
          <w:rFonts w:ascii="Book Antiqua" w:eastAsia="等线" w:hAnsi="Book Antiqua" w:cs="Arial"/>
          <w:b/>
          <w:bCs/>
          <w:kern w:val="2"/>
          <w:lang w:eastAsia="zh-CN"/>
        </w:rPr>
        <w:t>1</w:t>
      </w:r>
      <w:r w:rsidRPr="00A50FD1">
        <w:rPr>
          <w:rFonts w:ascii="Book Antiqua" w:eastAsia="Yu Mincho" w:hAnsi="Book Antiqua" w:cs="Arial"/>
          <w:b/>
          <w:bCs/>
          <w:kern w:val="2"/>
          <w:lang w:eastAsia="ja-JP"/>
        </w:rPr>
        <w:t xml:space="preserve"> Serum laboratory values on before and after administration of tofacitinib.</w:t>
      </w:r>
    </w:p>
    <w:p w14:paraId="6A610BF6" w14:textId="7EC35FC2" w:rsidR="00A77B3E" w:rsidRPr="00A27BB6" w:rsidRDefault="00DC6B54" w:rsidP="00A27BB6">
      <w:pPr>
        <w:widowControl w:val="0"/>
        <w:adjustRightInd w:val="0"/>
        <w:snapToGrid w:val="0"/>
        <w:spacing w:line="360" w:lineRule="auto"/>
        <w:jc w:val="both"/>
        <w:rPr>
          <w:rFonts w:ascii="Book Antiqua" w:eastAsia="Yu Mincho" w:hAnsi="Book Antiqua" w:cs="Arial"/>
          <w:kern w:val="2"/>
          <w:lang w:eastAsia="ja-JP"/>
        </w:rPr>
      </w:pPr>
      <w:r w:rsidRPr="00A50FD1">
        <w:rPr>
          <w:rFonts w:ascii="Book Antiqua" w:eastAsia="Yu Mincho" w:hAnsi="Book Antiqua" w:cs="Arial"/>
          <w:kern w:val="2"/>
          <w:lang w:eastAsia="ja-JP"/>
        </w:rPr>
        <w:t xml:space="preserve">After Tofacitinib: 6 mo after the initiation of </w:t>
      </w:r>
      <w:r>
        <w:rPr>
          <w:rFonts w:ascii="Book Antiqua" w:eastAsia="Yu Mincho" w:hAnsi="Book Antiqua" w:cs="Arial"/>
          <w:kern w:val="2"/>
          <w:lang w:eastAsia="ja-JP"/>
        </w:rPr>
        <w:t>t</w:t>
      </w:r>
      <w:r w:rsidRPr="00A50FD1">
        <w:rPr>
          <w:rFonts w:ascii="Book Antiqua" w:eastAsia="Yu Mincho" w:hAnsi="Book Antiqua" w:cs="Arial"/>
          <w:kern w:val="2"/>
          <w:lang w:eastAsia="ja-JP"/>
        </w:rPr>
        <w:t>ofacitinib</w:t>
      </w:r>
      <w:r w:rsidR="00293259">
        <w:rPr>
          <w:rFonts w:ascii="Book Antiqua" w:eastAsia="Yu Mincho" w:hAnsi="Book Antiqua" w:cs="Arial"/>
          <w:kern w:val="2"/>
          <w:lang w:eastAsia="ja-JP"/>
        </w:rPr>
        <w:t>.</w:t>
      </w:r>
    </w:p>
    <w:sectPr w:rsidR="00A77B3E" w:rsidRPr="00A27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E2285" w14:textId="77777777" w:rsidR="00B171ED" w:rsidRDefault="00B171ED" w:rsidP="00041C21">
      <w:r>
        <w:separator/>
      </w:r>
    </w:p>
  </w:endnote>
  <w:endnote w:type="continuationSeparator" w:id="0">
    <w:p w14:paraId="2610A467" w14:textId="77777777" w:rsidR="00B171ED" w:rsidRDefault="00B171ED" w:rsidP="0004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962777"/>
      <w:docPartObj>
        <w:docPartGallery w:val="Page Numbers (Bottom of Page)"/>
        <w:docPartUnique/>
      </w:docPartObj>
    </w:sdtPr>
    <w:sdtEndPr/>
    <w:sdtContent>
      <w:sdt>
        <w:sdtPr>
          <w:id w:val="-1705238520"/>
          <w:docPartObj>
            <w:docPartGallery w:val="Page Numbers (Top of Page)"/>
            <w:docPartUnique/>
          </w:docPartObj>
        </w:sdtPr>
        <w:sdtEndPr/>
        <w:sdtContent>
          <w:p w14:paraId="6385D003" w14:textId="091DEEEB" w:rsidR="00041C21" w:rsidRDefault="00041C21" w:rsidP="00041C21">
            <w:pPr>
              <w:pStyle w:val="a6"/>
              <w:jc w:val="right"/>
            </w:pPr>
            <w:r w:rsidRPr="00041C21">
              <w:rPr>
                <w:rFonts w:ascii="Book Antiqua" w:hAnsi="Book Antiqua"/>
                <w:sz w:val="24"/>
                <w:szCs w:val="24"/>
                <w:lang w:val="zh-CN" w:eastAsia="zh-CN"/>
              </w:rPr>
              <w:t xml:space="preserve"> </w:t>
            </w:r>
            <w:r w:rsidRPr="00041C21">
              <w:rPr>
                <w:rFonts w:ascii="Book Antiqua" w:hAnsi="Book Antiqua"/>
                <w:b/>
                <w:bCs/>
                <w:sz w:val="24"/>
                <w:szCs w:val="24"/>
              </w:rPr>
              <w:fldChar w:fldCharType="begin"/>
            </w:r>
            <w:r w:rsidRPr="00041C21">
              <w:rPr>
                <w:rFonts w:ascii="Book Antiqua" w:hAnsi="Book Antiqua"/>
                <w:b/>
                <w:bCs/>
                <w:sz w:val="24"/>
                <w:szCs w:val="24"/>
              </w:rPr>
              <w:instrText>PAGE</w:instrText>
            </w:r>
            <w:r w:rsidRPr="00041C21">
              <w:rPr>
                <w:rFonts w:ascii="Book Antiqua" w:hAnsi="Book Antiqua"/>
                <w:b/>
                <w:bCs/>
                <w:sz w:val="24"/>
                <w:szCs w:val="24"/>
              </w:rPr>
              <w:fldChar w:fldCharType="separate"/>
            </w:r>
            <w:r w:rsidR="005A1306">
              <w:rPr>
                <w:rFonts w:ascii="Book Antiqua" w:hAnsi="Book Antiqua"/>
                <w:b/>
                <w:bCs/>
                <w:noProof/>
                <w:sz w:val="24"/>
                <w:szCs w:val="24"/>
              </w:rPr>
              <w:t>14</w:t>
            </w:r>
            <w:r w:rsidRPr="00041C21">
              <w:rPr>
                <w:rFonts w:ascii="Book Antiqua" w:hAnsi="Book Antiqua"/>
                <w:b/>
                <w:bCs/>
                <w:sz w:val="24"/>
                <w:szCs w:val="24"/>
              </w:rPr>
              <w:fldChar w:fldCharType="end"/>
            </w:r>
            <w:r w:rsidRPr="00041C21">
              <w:rPr>
                <w:rFonts w:ascii="Book Antiqua" w:hAnsi="Book Antiqua"/>
                <w:sz w:val="24"/>
                <w:szCs w:val="24"/>
                <w:lang w:val="zh-CN" w:eastAsia="zh-CN"/>
              </w:rPr>
              <w:t xml:space="preserve"> / </w:t>
            </w:r>
            <w:r w:rsidRPr="00041C21">
              <w:rPr>
                <w:rFonts w:ascii="Book Antiqua" w:hAnsi="Book Antiqua"/>
                <w:b/>
                <w:bCs/>
                <w:sz w:val="24"/>
                <w:szCs w:val="24"/>
              </w:rPr>
              <w:fldChar w:fldCharType="begin"/>
            </w:r>
            <w:r w:rsidRPr="00041C21">
              <w:rPr>
                <w:rFonts w:ascii="Book Antiqua" w:hAnsi="Book Antiqua"/>
                <w:b/>
                <w:bCs/>
                <w:sz w:val="24"/>
                <w:szCs w:val="24"/>
              </w:rPr>
              <w:instrText>NUMPAGES</w:instrText>
            </w:r>
            <w:r w:rsidRPr="00041C21">
              <w:rPr>
                <w:rFonts w:ascii="Book Antiqua" w:hAnsi="Book Antiqua"/>
                <w:b/>
                <w:bCs/>
                <w:sz w:val="24"/>
                <w:szCs w:val="24"/>
              </w:rPr>
              <w:fldChar w:fldCharType="separate"/>
            </w:r>
            <w:r w:rsidR="005A1306">
              <w:rPr>
                <w:rFonts w:ascii="Book Antiqua" w:hAnsi="Book Antiqua"/>
                <w:b/>
                <w:bCs/>
                <w:noProof/>
                <w:sz w:val="24"/>
                <w:szCs w:val="24"/>
              </w:rPr>
              <w:t>15</w:t>
            </w:r>
            <w:r w:rsidRPr="00041C21">
              <w:rPr>
                <w:rFonts w:ascii="Book Antiqua" w:hAnsi="Book Antiqua"/>
                <w:b/>
                <w:bCs/>
                <w:sz w:val="24"/>
                <w:szCs w:val="24"/>
              </w:rPr>
              <w:fldChar w:fldCharType="end"/>
            </w:r>
          </w:p>
        </w:sdtContent>
      </w:sdt>
    </w:sdtContent>
  </w:sdt>
  <w:p w14:paraId="119DAD78" w14:textId="77777777" w:rsidR="00041C21" w:rsidRDefault="00041C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5314" w14:textId="77777777" w:rsidR="00B171ED" w:rsidRDefault="00B171ED" w:rsidP="00041C21">
      <w:r>
        <w:separator/>
      </w:r>
    </w:p>
  </w:footnote>
  <w:footnote w:type="continuationSeparator" w:id="0">
    <w:p w14:paraId="69124646" w14:textId="77777777" w:rsidR="00B171ED" w:rsidRDefault="00B171ED" w:rsidP="00041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C9"/>
    <w:rsid w:val="00041C21"/>
    <w:rsid w:val="000728BB"/>
    <w:rsid w:val="00087EE7"/>
    <w:rsid w:val="0009075A"/>
    <w:rsid w:val="00164508"/>
    <w:rsid w:val="001E5FED"/>
    <w:rsid w:val="001E7261"/>
    <w:rsid w:val="00293259"/>
    <w:rsid w:val="00332BAD"/>
    <w:rsid w:val="004056B6"/>
    <w:rsid w:val="00456500"/>
    <w:rsid w:val="00545C6D"/>
    <w:rsid w:val="005A1306"/>
    <w:rsid w:val="005C338E"/>
    <w:rsid w:val="00624ED7"/>
    <w:rsid w:val="007E1EB3"/>
    <w:rsid w:val="00A27BB6"/>
    <w:rsid w:val="00A74AAF"/>
    <w:rsid w:val="00A77B3E"/>
    <w:rsid w:val="00A92FAA"/>
    <w:rsid w:val="00B171ED"/>
    <w:rsid w:val="00CA2A55"/>
    <w:rsid w:val="00CC134E"/>
    <w:rsid w:val="00DC6B54"/>
    <w:rsid w:val="00EF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4C9EE"/>
  <w15:docId w15:val="{A0D033DF-E3D7-4064-B0F2-6B009F50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DC6B54"/>
    <w:rPr>
      <w:rFonts w:ascii="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DC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41C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41C21"/>
    <w:rPr>
      <w:sz w:val="18"/>
      <w:szCs w:val="18"/>
    </w:rPr>
  </w:style>
  <w:style w:type="paragraph" w:styleId="a6">
    <w:name w:val="footer"/>
    <w:basedOn w:val="a"/>
    <w:link w:val="a7"/>
    <w:uiPriority w:val="99"/>
    <w:unhideWhenUsed/>
    <w:rsid w:val="00041C21"/>
    <w:pPr>
      <w:tabs>
        <w:tab w:val="center" w:pos="4153"/>
        <w:tab w:val="right" w:pos="8306"/>
      </w:tabs>
      <w:snapToGrid w:val="0"/>
    </w:pPr>
    <w:rPr>
      <w:sz w:val="18"/>
      <w:szCs w:val="18"/>
    </w:rPr>
  </w:style>
  <w:style w:type="character" w:customStyle="1" w:styleId="a7">
    <w:name w:val="页脚 字符"/>
    <w:basedOn w:val="a0"/>
    <w:link w:val="a6"/>
    <w:uiPriority w:val="99"/>
    <w:rsid w:val="00041C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5498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2020-11-04T03:44:00Z</dcterms:created>
  <dcterms:modified xsi:type="dcterms:W3CDTF">2020-11-04T03:44:00Z</dcterms:modified>
</cp:coreProperties>
</file>