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44C7F" w14:textId="77777777" w:rsidR="00A77B3E" w:rsidRDefault="00B005F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Endoscopy</w:t>
      </w:r>
    </w:p>
    <w:p w14:paraId="38A7A8C3" w14:textId="77777777" w:rsidR="00A77B3E" w:rsidRDefault="00B005F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58517</w:t>
      </w:r>
    </w:p>
    <w:p w14:paraId="130207CD" w14:textId="77777777" w:rsidR="00A77B3E" w:rsidRDefault="00B005F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4FF1F779" w14:textId="77777777" w:rsidR="00A77B3E" w:rsidRDefault="00A77B3E">
      <w:pPr>
        <w:spacing w:line="360" w:lineRule="auto"/>
        <w:jc w:val="both"/>
      </w:pPr>
    </w:p>
    <w:p w14:paraId="10AFB90C" w14:textId="75CDD77B" w:rsidR="00A77B3E" w:rsidRDefault="00B005F6">
      <w:pPr>
        <w:spacing w:line="360" w:lineRule="auto"/>
        <w:jc w:val="both"/>
      </w:pPr>
      <w:r>
        <w:rPr>
          <w:rFonts w:ascii="Book Antiqua" w:eastAsia="Book Antiqua" w:hAnsi="Book Antiqua" w:cs="Book Antiqua"/>
          <w:b/>
          <w:color w:val="000000"/>
        </w:rPr>
        <w:t>Real-world clinical data of endoscopy-based cancer detection during the emergency declaration for COVID-19 in Japan</w:t>
      </w:r>
    </w:p>
    <w:p w14:paraId="405ABDE7" w14:textId="77777777" w:rsidR="00A77B3E" w:rsidRDefault="00A77B3E">
      <w:pPr>
        <w:spacing w:line="360" w:lineRule="auto"/>
        <w:jc w:val="both"/>
      </w:pPr>
    </w:p>
    <w:p w14:paraId="743417C3" w14:textId="3A90B2D1" w:rsidR="00A77B3E" w:rsidRDefault="0019330D">
      <w:pPr>
        <w:spacing w:line="360" w:lineRule="auto"/>
        <w:jc w:val="both"/>
      </w:pPr>
      <w:r>
        <w:rPr>
          <w:rFonts w:ascii="Book Antiqua" w:eastAsia="Book Antiqua" w:hAnsi="Book Antiqua" w:cs="Book Antiqua"/>
          <w:color w:val="000000"/>
        </w:rPr>
        <w:t>Yoshida S</w:t>
      </w:r>
      <w:r>
        <w:rPr>
          <w:rFonts w:ascii="Book Antiqua" w:eastAsia="Book Antiqua" w:hAnsi="Book Antiqua" w:cs="Book Antiqua"/>
          <w:color w:val="000000"/>
          <w:szCs w:val="21"/>
        </w:rPr>
        <w:t xml:space="preserve"> </w:t>
      </w:r>
      <w:r w:rsidRPr="0019330D">
        <w:rPr>
          <w:rFonts w:ascii="Book Antiqua" w:eastAsia="Book Antiqua" w:hAnsi="Book Antiqua" w:cs="Book Antiqua"/>
          <w:i/>
          <w:iCs/>
          <w:color w:val="000000"/>
          <w:szCs w:val="21"/>
        </w:rPr>
        <w:t>et al</w:t>
      </w:r>
      <w:r>
        <w:rPr>
          <w:rFonts w:ascii="Book Antiqua" w:eastAsia="Book Antiqua" w:hAnsi="Book Antiqua" w:cs="Book Antiqua"/>
          <w:color w:val="000000"/>
          <w:szCs w:val="21"/>
        </w:rPr>
        <w:t xml:space="preserve">. </w:t>
      </w:r>
      <w:r w:rsidR="00B005F6">
        <w:rPr>
          <w:rFonts w:ascii="Book Antiqua" w:eastAsia="Book Antiqua" w:hAnsi="Book Antiqua" w:cs="Book Antiqua"/>
          <w:color w:val="000000"/>
          <w:szCs w:val="21"/>
        </w:rPr>
        <w:t>Gastrointestinal endoscopy under the COVID-19 pandemic</w:t>
      </w:r>
    </w:p>
    <w:p w14:paraId="0D8093AC" w14:textId="77777777" w:rsidR="00A77B3E" w:rsidRDefault="00A77B3E">
      <w:pPr>
        <w:spacing w:line="360" w:lineRule="auto"/>
        <w:jc w:val="both"/>
      </w:pPr>
    </w:p>
    <w:p w14:paraId="18ADDC78" w14:textId="77777777" w:rsidR="00A77B3E" w:rsidRDefault="00B005F6">
      <w:pPr>
        <w:spacing w:line="360" w:lineRule="auto"/>
        <w:jc w:val="both"/>
      </w:pPr>
      <w:proofErr w:type="spellStart"/>
      <w:r>
        <w:rPr>
          <w:rFonts w:ascii="Book Antiqua" w:eastAsia="Book Antiqua" w:hAnsi="Book Antiqua" w:cs="Book Antiqua"/>
          <w:color w:val="000000"/>
        </w:rPr>
        <w:t>Shuntaro</w:t>
      </w:r>
      <w:proofErr w:type="spellEnd"/>
      <w:r>
        <w:rPr>
          <w:rFonts w:ascii="Book Antiqua" w:eastAsia="Book Antiqua" w:hAnsi="Book Antiqua" w:cs="Book Antiqua"/>
          <w:color w:val="000000"/>
        </w:rPr>
        <w:t xml:space="preserve"> Yoshida, Toshihiro Nishizawa, Osamu Toyoshima</w:t>
      </w:r>
    </w:p>
    <w:p w14:paraId="60EF96CC" w14:textId="77777777" w:rsidR="00A77B3E" w:rsidRDefault="00A77B3E">
      <w:pPr>
        <w:spacing w:line="360" w:lineRule="auto"/>
        <w:jc w:val="both"/>
      </w:pPr>
    </w:p>
    <w:p w14:paraId="6278FA95" w14:textId="77777777" w:rsidR="00A77B3E" w:rsidRDefault="00B005F6">
      <w:pPr>
        <w:spacing w:line="360" w:lineRule="auto"/>
        <w:jc w:val="both"/>
      </w:pPr>
      <w:proofErr w:type="spellStart"/>
      <w:r>
        <w:rPr>
          <w:rFonts w:ascii="Book Antiqua" w:eastAsia="Book Antiqua" w:hAnsi="Book Antiqua" w:cs="Book Antiqua"/>
          <w:b/>
          <w:bCs/>
          <w:color w:val="000000"/>
        </w:rPr>
        <w:t>Shuntaro</w:t>
      </w:r>
      <w:proofErr w:type="spellEnd"/>
      <w:r>
        <w:rPr>
          <w:rFonts w:ascii="Book Antiqua" w:eastAsia="Book Antiqua" w:hAnsi="Book Antiqua" w:cs="Book Antiqua"/>
          <w:b/>
          <w:bCs/>
          <w:color w:val="000000"/>
        </w:rPr>
        <w:t xml:space="preserve"> Yoshida, Osamu Toyoshima, </w:t>
      </w:r>
      <w:r>
        <w:rPr>
          <w:rFonts w:ascii="Book Antiqua" w:eastAsia="Book Antiqua" w:hAnsi="Book Antiqua" w:cs="Book Antiqua"/>
          <w:color w:val="000000"/>
        </w:rPr>
        <w:t>Department of Gastroenterology, Toyoshima Endoscopy Clinic, Tokyo 157-0066, Japan</w:t>
      </w:r>
    </w:p>
    <w:p w14:paraId="5632043D" w14:textId="77777777" w:rsidR="00A77B3E" w:rsidRDefault="00A77B3E">
      <w:pPr>
        <w:spacing w:line="360" w:lineRule="auto"/>
        <w:jc w:val="both"/>
      </w:pPr>
    </w:p>
    <w:p w14:paraId="57D97765" w14:textId="280226EE" w:rsidR="00A77B3E" w:rsidRDefault="00B005F6">
      <w:pPr>
        <w:spacing w:line="360" w:lineRule="auto"/>
        <w:jc w:val="both"/>
      </w:pPr>
      <w:r>
        <w:rPr>
          <w:rFonts w:ascii="Book Antiqua" w:eastAsia="Book Antiqua" w:hAnsi="Book Antiqua" w:cs="Book Antiqua"/>
          <w:b/>
          <w:bCs/>
          <w:color w:val="000000"/>
        </w:rPr>
        <w:t xml:space="preserve">Toshihiro Nishizawa, </w:t>
      </w:r>
      <w:r>
        <w:rPr>
          <w:rFonts w:ascii="Book Antiqua" w:eastAsia="Book Antiqua" w:hAnsi="Book Antiqua" w:cs="Book Antiqua"/>
          <w:color w:val="000000"/>
        </w:rPr>
        <w:t>Department of Gastroenterology, International University of Health and Welfare, Narita Hospital,</w:t>
      </w:r>
      <w:r w:rsidR="008B1E34">
        <w:rPr>
          <w:rFonts w:ascii="Book Antiqua" w:eastAsia="Book Antiqua" w:hAnsi="Book Antiqua" w:cs="Book Antiqua"/>
          <w:color w:val="000000"/>
        </w:rPr>
        <w:t xml:space="preserve"> </w:t>
      </w:r>
      <w:r>
        <w:rPr>
          <w:rFonts w:ascii="Book Antiqua" w:eastAsia="Book Antiqua" w:hAnsi="Book Antiqua" w:cs="Book Antiqua"/>
          <w:color w:val="000000"/>
        </w:rPr>
        <w:t>Chiba 2868520, Japan</w:t>
      </w:r>
    </w:p>
    <w:p w14:paraId="4CC6325C" w14:textId="62C9F3CA" w:rsidR="00A77B3E" w:rsidRDefault="00A77B3E">
      <w:pPr>
        <w:spacing w:line="360" w:lineRule="auto"/>
        <w:jc w:val="both"/>
      </w:pPr>
    </w:p>
    <w:p w14:paraId="6A86D700" w14:textId="32CCF6EA" w:rsidR="00A77B3E" w:rsidRDefault="00B005F6">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szCs w:val="21"/>
        </w:rPr>
        <w:t>Yoshida</w:t>
      </w:r>
      <w:r w:rsidR="000F5D2A" w:rsidRPr="000F5D2A">
        <w:rPr>
          <w:rFonts w:ascii="Book Antiqua" w:eastAsia="Book Antiqua" w:hAnsi="Book Antiqua" w:cs="Book Antiqua"/>
          <w:color w:val="000000"/>
          <w:szCs w:val="21"/>
        </w:rPr>
        <w:t xml:space="preserve"> </w:t>
      </w:r>
      <w:r w:rsidR="000F5D2A">
        <w:rPr>
          <w:rFonts w:ascii="Book Antiqua" w:eastAsia="Book Antiqua" w:hAnsi="Book Antiqua" w:cs="Book Antiqua"/>
          <w:color w:val="000000"/>
          <w:szCs w:val="21"/>
        </w:rPr>
        <w:t>S contributed to d</w:t>
      </w:r>
      <w:r>
        <w:rPr>
          <w:rFonts w:ascii="Book Antiqua" w:eastAsia="Book Antiqua" w:hAnsi="Book Antiqua" w:cs="Book Antiqua"/>
          <w:color w:val="000000"/>
          <w:szCs w:val="21"/>
        </w:rPr>
        <w:t>ata curation</w:t>
      </w:r>
      <w:r w:rsidR="000F5D2A">
        <w:rPr>
          <w:rFonts w:ascii="Book Antiqua" w:eastAsia="Book Antiqua" w:hAnsi="Book Antiqua" w:cs="Book Antiqua"/>
          <w:color w:val="000000"/>
          <w:szCs w:val="21"/>
        </w:rPr>
        <w:t xml:space="preserve"> and w</w:t>
      </w:r>
      <w:r>
        <w:rPr>
          <w:rFonts w:ascii="Book Antiqua" w:eastAsia="Book Antiqua" w:hAnsi="Book Antiqua" w:cs="Book Antiqua"/>
          <w:color w:val="000000"/>
          <w:szCs w:val="21"/>
        </w:rPr>
        <w:t>riting</w:t>
      </w:r>
      <w:r w:rsidR="000F5D2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original draft; </w:t>
      </w:r>
      <w:r w:rsidR="000F5D2A">
        <w:rPr>
          <w:rFonts w:ascii="Book Antiqua" w:eastAsia="Book Antiqua" w:hAnsi="Book Antiqua" w:cs="Book Antiqua"/>
          <w:color w:val="000000"/>
        </w:rPr>
        <w:t xml:space="preserve">Nishizawa T </w:t>
      </w:r>
      <w:r w:rsidR="000F5D2A">
        <w:rPr>
          <w:rFonts w:ascii="Book Antiqua" w:eastAsia="Book Antiqua" w:hAnsi="Book Antiqua" w:cs="Book Antiqua"/>
          <w:color w:val="000000"/>
          <w:szCs w:val="21"/>
        </w:rPr>
        <w:t>contributed to</w:t>
      </w:r>
      <w:r>
        <w:rPr>
          <w:rFonts w:ascii="Book Antiqua" w:eastAsia="Book Antiqua" w:hAnsi="Book Antiqua" w:cs="Book Antiqua"/>
          <w:color w:val="000000"/>
          <w:szCs w:val="21"/>
        </w:rPr>
        <w:t xml:space="preserve"> </w:t>
      </w:r>
      <w:r w:rsidR="000F5D2A">
        <w:rPr>
          <w:rFonts w:ascii="Book Antiqua" w:eastAsia="Book Antiqua" w:hAnsi="Book Antiqua" w:cs="Book Antiqua"/>
          <w:color w:val="000000"/>
          <w:szCs w:val="21"/>
        </w:rPr>
        <w:t>w</w:t>
      </w:r>
      <w:r>
        <w:rPr>
          <w:rFonts w:ascii="Book Antiqua" w:eastAsia="Book Antiqua" w:hAnsi="Book Antiqua" w:cs="Book Antiqua"/>
          <w:color w:val="000000"/>
          <w:szCs w:val="21"/>
        </w:rPr>
        <w:t xml:space="preserve">riting – review &amp; editing; </w:t>
      </w:r>
      <w:r w:rsidR="000F5D2A">
        <w:rPr>
          <w:rFonts w:ascii="Book Antiqua" w:eastAsia="Book Antiqua" w:hAnsi="Book Antiqua" w:cs="Book Antiqua"/>
          <w:color w:val="000000"/>
        </w:rPr>
        <w:t>Toyoshima O</w:t>
      </w:r>
      <w:r w:rsidR="000F5D2A">
        <w:rPr>
          <w:rFonts w:ascii="Book Antiqua" w:eastAsia="Book Antiqua" w:hAnsi="Book Antiqua" w:cs="Book Antiqua"/>
          <w:color w:val="000000"/>
          <w:szCs w:val="21"/>
        </w:rPr>
        <w:t xml:space="preserve"> contributed to c</w:t>
      </w:r>
      <w:r>
        <w:rPr>
          <w:rFonts w:ascii="Book Antiqua" w:eastAsia="Book Antiqua" w:hAnsi="Book Antiqua" w:cs="Book Antiqua"/>
          <w:color w:val="000000"/>
          <w:szCs w:val="21"/>
        </w:rPr>
        <w:t>onceptualization</w:t>
      </w:r>
      <w:r w:rsidR="000F5D2A">
        <w:rPr>
          <w:rFonts w:ascii="Book Antiqua" w:eastAsia="Book Antiqua" w:hAnsi="Book Antiqua" w:cs="Book Antiqua"/>
          <w:color w:val="000000"/>
          <w:szCs w:val="21"/>
        </w:rPr>
        <w:t>, f</w:t>
      </w:r>
      <w:r>
        <w:rPr>
          <w:rFonts w:ascii="Book Antiqua" w:eastAsia="Book Antiqua" w:hAnsi="Book Antiqua" w:cs="Book Antiqua"/>
          <w:color w:val="000000"/>
          <w:szCs w:val="21"/>
        </w:rPr>
        <w:t>ormal analysis</w:t>
      </w:r>
      <w:r w:rsidR="000F5D2A">
        <w:rPr>
          <w:rFonts w:ascii="Book Antiqua" w:eastAsia="Book Antiqua" w:hAnsi="Book Antiqua" w:cs="Book Antiqua"/>
          <w:color w:val="000000"/>
          <w:szCs w:val="21"/>
        </w:rPr>
        <w:t>, and m</w:t>
      </w:r>
      <w:r>
        <w:rPr>
          <w:rFonts w:ascii="Book Antiqua" w:eastAsia="Book Antiqua" w:hAnsi="Book Antiqua" w:cs="Book Antiqua"/>
          <w:color w:val="000000"/>
          <w:szCs w:val="21"/>
        </w:rPr>
        <w:t>ethodology.</w:t>
      </w:r>
    </w:p>
    <w:p w14:paraId="51F30433" w14:textId="77777777" w:rsidR="00A77B3E" w:rsidRDefault="00A77B3E">
      <w:pPr>
        <w:spacing w:line="360" w:lineRule="auto"/>
        <w:jc w:val="both"/>
      </w:pPr>
    </w:p>
    <w:p w14:paraId="44853584" w14:textId="77777777" w:rsidR="00A77B3E" w:rsidRDefault="00B005F6">
      <w:pPr>
        <w:spacing w:line="360" w:lineRule="auto"/>
        <w:jc w:val="both"/>
      </w:pPr>
      <w:r>
        <w:rPr>
          <w:rFonts w:ascii="Book Antiqua" w:eastAsia="Book Antiqua" w:hAnsi="Book Antiqua" w:cs="Book Antiqua"/>
          <w:b/>
          <w:bCs/>
          <w:color w:val="000000"/>
        </w:rPr>
        <w:t xml:space="preserve">Corresponding author: Osamu Toyoshima, MD, Doctor, </w:t>
      </w:r>
      <w:r>
        <w:rPr>
          <w:rFonts w:ascii="Book Antiqua" w:eastAsia="Book Antiqua" w:hAnsi="Book Antiqua" w:cs="Book Antiqua"/>
          <w:color w:val="000000"/>
        </w:rPr>
        <w:t xml:space="preserve">Department of Gastroenterology, Toyoshima Endoscopy Clinic, 6-17-5 </w:t>
      </w:r>
      <w:proofErr w:type="spellStart"/>
      <w:r>
        <w:rPr>
          <w:rFonts w:ascii="Book Antiqua" w:eastAsia="Book Antiqua" w:hAnsi="Book Antiqua" w:cs="Book Antiqua"/>
          <w:color w:val="000000"/>
        </w:rPr>
        <w:t>Seijo</w:t>
      </w:r>
      <w:proofErr w:type="spellEnd"/>
      <w:r>
        <w:rPr>
          <w:rFonts w:ascii="Book Antiqua" w:eastAsia="Book Antiqua" w:hAnsi="Book Antiqua" w:cs="Book Antiqua"/>
          <w:color w:val="000000"/>
        </w:rPr>
        <w:t>, Setagaya-</w:t>
      </w:r>
      <w:proofErr w:type="spellStart"/>
      <w:r>
        <w:rPr>
          <w:rFonts w:ascii="Book Antiqua" w:eastAsia="Book Antiqua" w:hAnsi="Book Antiqua" w:cs="Book Antiqua"/>
          <w:color w:val="000000"/>
        </w:rPr>
        <w:t>ku</w:t>
      </w:r>
      <w:proofErr w:type="spellEnd"/>
      <w:r>
        <w:rPr>
          <w:rFonts w:ascii="Book Antiqua" w:eastAsia="Book Antiqua" w:hAnsi="Book Antiqua" w:cs="Book Antiqua"/>
          <w:color w:val="000000"/>
        </w:rPr>
        <w:t>, Tokyo 157-0066, Japan. t@ichou.com</w:t>
      </w:r>
    </w:p>
    <w:p w14:paraId="4562E99C" w14:textId="77777777" w:rsidR="00A77B3E" w:rsidRDefault="00A77B3E">
      <w:pPr>
        <w:spacing w:line="360" w:lineRule="auto"/>
        <w:jc w:val="both"/>
      </w:pPr>
    </w:p>
    <w:p w14:paraId="7EA8EBA5" w14:textId="77777777" w:rsidR="00A77B3E" w:rsidRDefault="00B005F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26, 2020</w:t>
      </w:r>
    </w:p>
    <w:p w14:paraId="31652150" w14:textId="77777777" w:rsidR="00A77B3E" w:rsidRDefault="00B005F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11, 2020</w:t>
      </w:r>
    </w:p>
    <w:p w14:paraId="0FBBC405" w14:textId="145C77E8" w:rsidR="00A77B3E" w:rsidRDefault="00B005F6">
      <w:pPr>
        <w:spacing w:line="360" w:lineRule="auto"/>
        <w:jc w:val="both"/>
      </w:pPr>
      <w:r>
        <w:rPr>
          <w:rFonts w:ascii="Book Antiqua" w:eastAsia="Book Antiqua" w:hAnsi="Book Antiqua" w:cs="Book Antiqua"/>
          <w:b/>
          <w:bCs/>
          <w:color w:val="000000"/>
        </w:rPr>
        <w:t xml:space="preserve">Accepted: </w:t>
      </w:r>
      <w:r w:rsidR="002036F9" w:rsidRPr="002036F9">
        <w:rPr>
          <w:rFonts w:ascii="Book Antiqua" w:eastAsia="Book Antiqua" w:hAnsi="Book Antiqua" w:cs="Book Antiqua"/>
          <w:bCs/>
          <w:color w:val="000000"/>
        </w:rPr>
        <w:t>October 5, 2020</w:t>
      </w:r>
    </w:p>
    <w:p w14:paraId="315BB202" w14:textId="77777777" w:rsidR="00A77B3E" w:rsidRDefault="00B005F6">
      <w:pPr>
        <w:spacing w:line="360" w:lineRule="auto"/>
        <w:jc w:val="both"/>
      </w:pPr>
      <w:r>
        <w:rPr>
          <w:rFonts w:ascii="Book Antiqua" w:eastAsia="Book Antiqua" w:hAnsi="Book Antiqua" w:cs="Book Antiqua"/>
          <w:b/>
          <w:bCs/>
          <w:color w:val="000000"/>
        </w:rPr>
        <w:t xml:space="preserve">Published online: </w:t>
      </w:r>
    </w:p>
    <w:p w14:paraId="25C8C76D"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bookmarkStart w:id="0" w:name="_GoBack"/>
      <w:bookmarkEnd w:id="0"/>
    </w:p>
    <w:p w14:paraId="22976C21" w14:textId="77777777" w:rsidR="00A77B3E" w:rsidRDefault="00B005F6">
      <w:pPr>
        <w:spacing w:line="360" w:lineRule="auto"/>
        <w:jc w:val="both"/>
      </w:pPr>
      <w:r>
        <w:rPr>
          <w:rFonts w:ascii="Book Antiqua" w:eastAsia="Book Antiqua" w:hAnsi="Book Antiqua" w:cs="Book Antiqua"/>
          <w:b/>
          <w:color w:val="000000"/>
        </w:rPr>
        <w:lastRenderedPageBreak/>
        <w:t>Abstract</w:t>
      </w:r>
    </w:p>
    <w:p w14:paraId="261BE510" w14:textId="3881B977" w:rsidR="00A77B3E" w:rsidRDefault="00B005F6">
      <w:pPr>
        <w:spacing w:line="360" w:lineRule="auto"/>
        <w:jc w:val="both"/>
      </w:pPr>
      <w:r>
        <w:rPr>
          <w:rFonts w:ascii="Book Antiqua" w:eastAsia="Book Antiqua" w:hAnsi="Book Antiqua" w:cs="Book Antiqua"/>
          <w:color w:val="000000"/>
          <w:szCs w:val="21"/>
        </w:rPr>
        <w:t xml:space="preserve">The impact of the </w:t>
      </w:r>
      <w:r w:rsidR="00A634BC">
        <w:rPr>
          <w:rFonts w:ascii="Book Antiqua" w:eastAsia="Book Antiqua" w:hAnsi="Book Antiqua" w:cs="Book Antiqua"/>
          <w:color w:val="000000"/>
          <w:szCs w:val="21"/>
        </w:rPr>
        <w:t>c</w:t>
      </w:r>
      <w:r>
        <w:rPr>
          <w:rFonts w:ascii="Book Antiqua" w:eastAsia="Book Antiqua" w:hAnsi="Book Antiqua" w:cs="Book Antiqua"/>
          <w:color w:val="000000"/>
          <w:szCs w:val="21"/>
        </w:rPr>
        <w:t>oronavirus disease 2019 (COVID-19) pandemic is widespread throughout the world, causing serious damage to healthcare systems. Therefore, we examined the significance of endoscopy based on the recommendation of</w:t>
      </w:r>
      <w:r w:rsidR="00374126">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Asian-Pacific Society for Digestive Endoscopy</w:t>
      </w:r>
      <w:r w:rsidR="00374126">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374126">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Japan Gastroenterological Endoscopy Society</w:t>
      </w:r>
      <w:r w:rsidR="00374126">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during the COVID-19 pandemic by evaluating the details of gastrointestinal endoscopy performed during the declaration of emergency in Japan. We have continued performing gastrointestinal endoscopy at an outpatient clinic that specialized in endoscopic medical care in Tokyo, Japan. During the emergency declaration period, 544 patients underwent gastrointestinal endoscopy. As a control, we investigated 1327 patients who underwent gastrointestinal endoscopy during the same period in 2019. Although the total number of endoscopies during the emergency declaration was halved, the advanced cancer detection rate during the emergency declaration was significantly higher than that in 2019 (</w:t>
      </w:r>
      <w:r>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 0.04). Additionally, no COVID-19 infection was observed in healthcare workers, staff, or patients during this period. It is possible that an outpatient endoscopy units can contribute to the detection of advanced cancer, while the hospital in charge for patients with COVID-19 infection could not perform endoscopy during the declaration of emergency.</w:t>
      </w:r>
    </w:p>
    <w:p w14:paraId="172F5DB3" w14:textId="77777777" w:rsidR="00A77B3E" w:rsidRDefault="00A77B3E">
      <w:pPr>
        <w:spacing w:line="360" w:lineRule="auto"/>
        <w:jc w:val="both"/>
      </w:pPr>
    </w:p>
    <w:p w14:paraId="0F2A4910" w14:textId="77275A65" w:rsidR="00A77B3E" w:rsidRDefault="00B005F6">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COVID-19; </w:t>
      </w:r>
      <w:r w:rsidR="00955C14">
        <w:rPr>
          <w:rFonts w:ascii="Book Antiqua" w:eastAsia="Book Antiqua" w:hAnsi="Book Antiqua" w:cs="Book Antiqua"/>
          <w:color w:val="000000"/>
        </w:rPr>
        <w:t>P</w:t>
      </w:r>
      <w:r>
        <w:rPr>
          <w:rFonts w:ascii="Book Antiqua" w:eastAsia="Book Antiqua" w:hAnsi="Book Antiqua" w:cs="Book Antiqua"/>
          <w:color w:val="000000"/>
        </w:rPr>
        <w:t xml:space="preserve">andemics; </w:t>
      </w:r>
      <w:r w:rsidR="00955C14">
        <w:rPr>
          <w:rFonts w:ascii="Book Antiqua" w:eastAsia="Book Antiqua" w:hAnsi="Book Antiqua" w:cs="Book Antiqua"/>
          <w:color w:val="000000"/>
        </w:rPr>
        <w:t>G</w:t>
      </w:r>
      <w:r>
        <w:rPr>
          <w:rFonts w:ascii="Book Antiqua" w:eastAsia="Book Antiqua" w:hAnsi="Book Antiqua" w:cs="Book Antiqua"/>
          <w:color w:val="000000"/>
        </w:rPr>
        <w:t xml:space="preserve">astrointestinal; </w:t>
      </w:r>
      <w:r w:rsidR="00955C14">
        <w:rPr>
          <w:rFonts w:ascii="Book Antiqua" w:eastAsia="Book Antiqua" w:hAnsi="Book Antiqua" w:cs="Book Antiqua"/>
          <w:color w:val="000000"/>
        </w:rPr>
        <w:t>E</w:t>
      </w:r>
      <w:r>
        <w:rPr>
          <w:rFonts w:ascii="Book Antiqua" w:eastAsia="Book Antiqua" w:hAnsi="Book Antiqua" w:cs="Book Antiqua"/>
          <w:color w:val="000000"/>
        </w:rPr>
        <w:t xml:space="preserve">ndoscopy; </w:t>
      </w:r>
      <w:r w:rsidR="00955C14">
        <w:rPr>
          <w:rFonts w:ascii="Book Antiqua" w:eastAsia="Book Antiqua" w:hAnsi="Book Antiqua" w:cs="Book Antiqua"/>
          <w:color w:val="000000"/>
        </w:rPr>
        <w:t>N</w:t>
      </w:r>
      <w:r>
        <w:rPr>
          <w:rFonts w:ascii="Book Antiqua" w:eastAsia="Book Antiqua" w:hAnsi="Book Antiqua" w:cs="Book Antiqua"/>
          <w:color w:val="000000"/>
        </w:rPr>
        <w:t xml:space="preserve">eoplasms; </w:t>
      </w:r>
      <w:r w:rsidR="00955C14">
        <w:rPr>
          <w:rFonts w:ascii="Book Antiqua" w:eastAsia="Book Antiqua" w:hAnsi="Book Antiqua" w:cs="Book Antiqua"/>
          <w:color w:val="000000"/>
        </w:rPr>
        <w:t>P</w:t>
      </w:r>
      <w:r>
        <w:rPr>
          <w:rFonts w:ascii="Book Antiqua" w:eastAsia="Book Antiqua" w:hAnsi="Book Antiqua" w:cs="Book Antiqua"/>
          <w:color w:val="000000"/>
        </w:rPr>
        <w:t>ersonal protective equipment</w:t>
      </w:r>
    </w:p>
    <w:p w14:paraId="6441A4A8" w14:textId="77777777" w:rsidR="00A77B3E" w:rsidRDefault="00A77B3E">
      <w:pPr>
        <w:spacing w:line="360" w:lineRule="auto"/>
        <w:jc w:val="both"/>
      </w:pPr>
    </w:p>
    <w:p w14:paraId="4556A390" w14:textId="77777777" w:rsidR="00A77B3E" w:rsidRDefault="00B005F6">
      <w:pPr>
        <w:spacing w:line="360" w:lineRule="auto"/>
        <w:jc w:val="both"/>
      </w:pPr>
      <w:r>
        <w:rPr>
          <w:rFonts w:ascii="Book Antiqua" w:eastAsia="Book Antiqua" w:hAnsi="Book Antiqua" w:cs="Book Antiqua"/>
          <w:color w:val="000000"/>
        </w:rPr>
        <w:t xml:space="preserve">Yoshida S, Nishizawa T, Toyoshima O. Real-world clinical data of endoscopy-based cancer detection during the emergency declaration for COVID-19 in Japan.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In press</w:t>
      </w:r>
    </w:p>
    <w:p w14:paraId="27CD9FAF" w14:textId="77777777" w:rsidR="00A77B3E" w:rsidRDefault="00A77B3E">
      <w:pPr>
        <w:spacing w:line="360" w:lineRule="auto"/>
        <w:jc w:val="both"/>
      </w:pPr>
    </w:p>
    <w:p w14:paraId="723DD179" w14:textId="13DA2BCF" w:rsidR="00A77B3E" w:rsidRDefault="00B005F6">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szCs w:val="21"/>
        </w:rPr>
        <w:t xml:space="preserve">It is possible that an outpatient endoscopy units can contribute to the detection of advanced cancer, while the hospital in charge for patients with </w:t>
      </w:r>
      <w:r w:rsidR="00A634BC">
        <w:rPr>
          <w:rFonts w:ascii="Book Antiqua" w:eastAsia="Book Antiqua" w:hAnsi="Book Antiqua" w:cs="Book Antiqua"/>
          <w:color w:val="000000"/>
          <w:szCs w:val="21"/>
        </w:rPr>
        <w:t>c</w:t>
      </w:r>
      <w:r w:rsidR="008F513B">
        <w:rPr>
          <w:rFonts w:ascii="Book Antiqua" w:eastAsia="Book Antiqua" w:hAnsi="Book Antiqua" w:cs="Book Antiqua"/>
          <w:color w:val="000000"/>
          <w:szCs w:val="21"/>
        </w:rPr>
        <w:t>oronavirus disease 2019 (COVID-19)</w:t>
      </w:r>
      <w:r>
        <w:rPr>
          <w:rFonts w:ascii="Book Antiqua" w:eastAsia="Book Antiqua" w:hAnsi="Book Antiqua" w:cs="Book Antiqua"/>
          <w:color w:val="000000"/>
          <w:szCs w:val="21"/>
        </w:rPr>
        <w:t xml:space="preserve"> infection could not perform endoscopy during the declaration </w:t>
      </w:r>
      <w:r>
        <w:rPr>
          <w:rFonts w:ascii="Book Antiqua" w:eastAsia="Book Antiqua" w:hAnsi="Book Antiqua" w:cs="Book Antiqua"/>
          <w:color w:val="000000"/>
          <w:szCs w:val="21"/>
        </w:rPr>
        <w:lastRenderedPageBreak/>
        <w:t>of emergency. Gastrointestinal endoscopy may be one of the safety nets in the COVID-19 pandemic to not delay the diagnosis of advanced, life-threatening cancers.</w:t>
      </w:r>
    </w:p>
    <w:p w14:paraId="489A0E8F" w14:textId="0AE123C5" w:rsidR="00A77B3E" w:rsidRDefault="008F513B">
      <w:pPr>
        <w:spacing w:line="360" w:lineRule="auto"/>
        <w:jc w:val="both"/>
      </w:pPr>
      <w:r>
        <w:rPr>
          <w:rFonts w:ascii="Book Antiqua" w:eastAsia="Book Antiqua" w:hAnsi="Book Antiqua" w:cs="Book Antiqua"/>
          <w:b/>
          <w:caps/>
          <w:color w:val="000000"/>
          <w:u w:val="single"/>
        </w:rPr>
        <w:br w:type="page"/>
      </w:r>
      <w:r w:rsidR="00B005F6">
        <w:rPr>
          <w:rFonts w:ascii="Book Antiqua" w:eastAsia="Book Antiqua" w:hAnsi="Book Antiqua" w:cs="Book Antiqua"/>
          <w:b/>
          <w:caps/>
          <w:color w:val="000000"/>
          <w:u w:val="single"/>
        </w:rPr>
        <w:lastRenderedPageBreak/>
        <w:t>TO THE EDITOR</w:t>
      </w:r>
    </w:p>
    <w:p w14:paraId="592D6AAD" w14:textId="33CF5893" w:rsidR="00A77B3E" w:rsidRDefault="00B005F6" w:rsidP="0059152C">
      <w:pPr>
        <w:spacing w:line="360" w:lineRule="auto"/>
        <w:jc w:val="both"/>
      </w:pPr>
      <w:r>
        <w:rPr>
          <w:rFonts w:ascii="Book Antiqua" w:eastAsia="Book Antiqua" w:hAnsi="Book Antiqua" w:cs="Book Antiqua"/>
          <w:color w:val="000000"/>
          <w:szCs w:val="21"/>
        </w:rPr>
        <w:t xml:space="preserve">We read with interest the recent paper by Olszewski </w:t>
      </w:r>
      <w:r>
        <w:rPr>
          <w:rFonts w:ascii="Book Antiqua" w:eastAsia="Book Antiqua" w:hAnsi="Book Antiqua" w:cs="Book Antiqua"/>
          <w:i/>
          <w:iCs/>
          <w:color w:val="000000"/>
          <w:szCs w:val="21"/>
        </w:rPr>
        <w:t>et al</w:t>
      </w:r>
      <w:r w:rsidR="00A634BC">
        <w:rPr>
          <w:rFonts w:ascii="Book Antiqua" w:eastAsia="Book Antiqua" w:hAnsi="Book Antiqua" w:cs="Book Antiqua"/>
          <w:color w:val="000000"/>
          <w:szCs w:val="26"/>
          <w:vertAlign w:val="superscript"/>
        </w:rPr>
        <w:t>[1]</w:t>
      </w:r>
      <w:r>
        <w:rPr>
          <w:rFonts w:ascii="Book Antiqua" w:eastAsia="Book Antiqua" w:hAnsi="Book Antiqua" w:cs="Book Antiqua"/>
          <w:color w:val="000000"/>
          <w:szCs w:val="21"/>
        </w:rPr>
        <w:t xml:space="preserve"> reporting their best practice outline for endoscopy during the coronavirus disease 2019 (COVID-19) outbreak. As the authors describe, we strongly feel the need to change our practice to incorporate these factors to improve the safety of patients, health care providers, and community as a whole during this disaster.</w:t>
      </w:r>
    </w:p>
    <w:p w14:paraId="3E6249D0" w14:textId="00326663" w:rsidR="00A77B3E" w:rsidRDefault="00B005F6" w:rsidP="00930146">
      <w:pPr>
        <w:spacing w:line="360" w:lineRule="auto"/>
        <w:ind w:firstLineChars="100" w:firstLine="240"/>
        <w:jc w:val="both"/>
      </w:pPr>
      <w:r>
        <w:rPr>
          <w:rFonts w:ascii="Book Antiqua" w:eastAsia="Book Antiqua" w:hAnsi="Book Antiqua" w:cs="Book Antiqua"/>
          <w:color w:val="000000"/>
          <w:szCs w:val="21"/>
        </w:rPr>
        <w:t xml:space="preserve">Our facility is an outpatient clinic that specialized in endoscopic medical care in Tokyo, Japan. We have continued performing gastrointestinal endoscopy according to the recommendations of </w:t>
      </w:r>
      <w:r w:rsidR="00A634BC">
        <w:rPr>
          <w:rFonts w:ascii="Book Antiqua" w:eastAsia="Book Antiqua" w:hAnsi="Book Antiqua" w:cs="Book Antiqua"/>
          <w:color w:val="000000"/>
          <w:szCs w:val="21"/>
        </w:rPr>
        <w:t>Asian-Pacific Society for Digestive Endoscopy (</w:t>
      </w:r>
      <w:r>
        <w:rPr>
          <w:rFonts w:ascii="Book Antiqua" w:eastAsia="Book Antiqua" w:hAnsi="Book Antiqua" w:cs="Book Antiqua"/>
          <w:color w:val="000000"/>
          <w:szCs w:val="21"/>
        </w:rPr>
        <w:t>APSDE</w:t>
      </w:r>
      <w:r w:rsidR="00A634BC">
        <w:rPr>
          <w:rFonts w:ascii="Book Antiqua" w:eastAsia="Book Antiqua" w:hAnsi="Book Antiqua" w:cs="Book Antiqua"/>
          <w:color w:val="000000"/>
          <w:szCs w:val="21"/>
        </w:rPr>
        <w:t>)</w:t>
      </w:r>
      <w:r>
        <w:rPr>
          <w:rFonts w:ascii="Book Antiqua" w:eastAsia="Book Antiqua" w:hAnsi="Book Antiqua" w:cs="Book Antiqua"/>
          <w:color w:val="000000"/>
          <w:szCs w:val="26"/>
          <w:vertAlign w:val="superscript"/>
        </w:rPr>
        <w:t>[2]</w:t>
      </w:r>
      <w:r>
        <w:rPr>
          <w:rFonts w:ascii="Book Antiqua" w:eastAsia="Book Antiqua" w:hAnsi="Book Antiqua" w:cs="Book Antiqua"/>
          <w:color w:val="000000"/>
          <w:szCs w:val="21"/>
        </w:rPr>
        <w:t xml:space="preserve"> and </w:t>
      </w:r>
      <w:r w:rsidR="00930146">
        <w:rPr>
          <w:rFonts w:ascii="Book Antiqua" w:eastAsia="Book Antiqua" w:hAnsi="Book Antiqua" w:cs="Book Antiqua"/>
          <w:color w:val="000000"/>
          <w:szCs w:val="21"/>
        </w:rPr>
        <w:t xml:space="preserve">Japan Gastroenterological Endoscopy Society </w:t>
      </w:r>
      <w:r>
        <w:rPr>
          <w:rFonts w:ascii="Book Antiqua" w:eastAsia="Book Antiqua" w:hAnsi="Book Antiqua" w:cs="Book Antiqua"/>
          <w:color w:val="000000"/>
          <w:szCs w:val="21"/>
        </w:rPr>
        <w:t>(</w:t>
      </w:r>
      <w:r w:rsidR="00930146">
        <w:rPr>
          <w:rFonts w:ascii="Book Antiqua" w:eastAsia="Book Antiqua" w:hAnsi="Book Antiqua" w:cs="Book Antiqua"/>
          <w:color w:val="000000"/>
          <w:szCs w:val="21"/>
        </w:rPr>
        <w:t>JGES</w:t>
      </w:r>
      <w:r>
        <w:rPr>
          <w:rFonts w:ascii="Book Antiqua" w:eastAsia="Book Antiqua" w:hAnsi="Book Antiqua" w:cs="Book Antiqua"/>
          <w:color w:val="000000"/>
          <w:szCs w:val="21"/>
        </w:rPr>
        <w:t>)</w:t>
      </w:r>
      <w:r>
        <w:rPr>
          <w:rFonts w:ascii="Book Antiqua" w:eastAsia="Book Antiqua" w:hAnsi="Book Antiqua" w:cs="Book Antiqua"/>
          <w:color w:val="000000"/>
          <w:szCs w:val="26"/>
          <w:vertAlign w:val="superscript"/>
        </w:rPr>
        <w:t>[3]</w:t>
      </w:r>
      <w:r>
        <w:rPr>
          <w:rFonts w:ascii="Book Antiqua" w:eastAsia="Book Antiqua" w:hAnsi="Book Antiqua" w:cs="Book Antiqua"/>
          <w:color w:val="000000"/>
          <w:szCs w:val="21"/>
        </w:rPr>
        <w:t>. We would like to introduce our successful approach.</w:t>
      </w:r>
    </w:p>
    <w:p w14:paraId="5BB677AB" w14:textId="3358CB83" w:rsidR="00A77B3E" w:rsidRDefault="00B005F6" w:rsidP="00930146">
      <w:pPr>
        <w:spacing w:line="360" w:lineRule="auto"/>
        <w:ind w:firstLineChars="100" w:firstLine="240"/>
        <w:jc w:val="both"/>
      </w:pPr>
      <w:r>
        <w:rPr>
          <w:rFonts w:ascii="Book Antiqua" w:eastAsia="Book Antiqua" w:hAnsi="Book Antiqua" w:cs="Book Antiqua"/>
          <w:color w:val="000000"/>
          <w:szCs w:val="21"/>
        </w:rPr>
        <w:t xml:space="preserve">First, patients were categorized as high-risk or low-risk using the ASPDE and JGES risk assessment at reception and endoscopy was only performed in low-risk patients. Endoscopy was not applicable when any of the following criteria were met: </w:t>
      </w:r>
      <w:r w:rsidR="00930146">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1) </w:t>
      </w:r>
      <w:r w:rsidR="00930146">
        <w:rPr>
          <w:rFonts w:ascii="Book Antiqua" w:eastAsia="Book Antiqua" w:hAnsi="Book Antiqua" w:cs="Book Antiqua"/>
          <w:color w:val="000000"/>
          <w:szCs w:val="21"/>
        </w:rPr>
        <w:t>P</w:t>
      </w:r>
      <w:r>
        <w:rPr>
          <w:rFonts w:ascii="Book Antiqua" w:eastAsia="Book Antiqua" w:hAnsi="Book Antiqua" w:cs="Book Antiqua"/>
          <w:color w:val="000000"/>
          <w:szCs w:val="21"/>
        </w:rPr>
        <w:t>atients with respiratory infection</w:t>
      </w:r>
      <w:r w:rsidR="00930146">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w:t>
      </w:r>
      <w:r w:rsidR="00930146">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2) </w:t>
      </w:r>
      <w:r w:rsidR="00930146">
        <w:rPr>
          <w:rFonts w:ascii="Book Antiqua" w:eastAsia="Book Antiqua" w:hAnsi="Book Antiqua" w:cs="Book Antiqua"/>
          <w:color w:val="000000"/>
          <w:szCs w:val="21"/>
        </w:rPr>
        <w:t>P</w:t>
      </w:r>
      <w:r>
        <w:rPr>
          <w:rFonts w:ascii="Book Antiqua" w:eastAsia="Book Antiqua" w:hAnsi="Book Antiqua" w:cs="Book Antiqua"/>
          <w:color w:val="000000"/>
          <w:szCs w:val="21"/>
        </w:rPr>
        <w:t xml:space="preserve">atients with a body temperature ≥ 37.5 </w:t>
      </w:r>
      <w:r w:rsidR="00930146">
        <w:rPr>
          <w:rFonts w:ascii="Book Antiqua" w:eastAsia="Book Antiqua" w:hAnsi="Book Antiqua" w:cs="Book Antiqua"/>
          <w:color w:val="000000"/>
          <w:szCs w:val="21"/>
        </w:rPr>
        <w:t>°C;</w:t>
      </w:r>
      <w:r>
        <w:rPr>
          <w:rFonts w:ascii="Book Antiqua" w:eastAsia="Book Antiqua" w:hAnsi="Book Antiqua" w:cs="Book Antiqua"/>
          <w:color w:val="000000"/>
          <w:szCs w:val="21"/>
        </w:rPr>
        <w:t xml:space="preserve"> </w:t>
      </w:r>
      <w:r w:rsidR="00930146">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3) </w:t>
      </w:r>
      <w:r w:rsidR="00930146">
        <w:rPr>
          <w:rFonts w:ascii="Book Antiqua" w:eastAsia="Book Antiqua" w:hAnsi="Book Antiqua" w:cs="Book Antiqua"/>
          <w:color w:val="000000"/>
          <w:szCs w:val="21"/>
        </w:rPr>
        <w:t>P</w:t>
      </w:r>
      <w:r>
        <w:rPr>
          <w:rFonts w:ascii="Book Antiqua" w:eastAsia="Book Antiqua" w:hAnsi="Book Antiqua" w:cs="Book Antiqua"/>
          <w:color w:val="000000"/>
          <w:szCs w:val="21"/>
        </w:rPr>
        <w:t xml:space="preserve">atients who were in close contact with subjects in an endemic area within the last 2 </w:t>
      </w:r>
      <w:proofErr w:type="spellStart"/>
      <w:r>
        <w:rPr>
          <w:rFonts w:ascii="Book Antiqua" w:eastAsia="Book Antiqua" w:hAnsi="Book Antiqua" w:cs="Book Antiqua"/>
          <w:color w:val="000000"/>
          <w:szCs w:val="21"/>
        </w:rPr>
        <w:t>wk</w:t>
      </w:r>
      <w:proofErr w:type="spellEnd"/>
      <w:r w:rsidR="00930146">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w:t>
      </w:r>
      <w:r w:rsidR="00930146">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4) </w:t>
      </w:r>
      <w:r w:rsidR="00930146">
        <w:rPr>
          <w:rFonts w:ascii="Book Antiqua" w:eastAsia="Book Antiqua" w:hAnsi="Book Antiqua" w:cs="Book Antiqua"/>
          <w:color w:val="000000"/>
          <w:szCs w:val="21"/>
        </w:rPr>
        <w:t>P</w:t>
      </w:r>
      <w:r>
        <w:rPr>
          <w:rFonts w:ascii="Book Antiqua" w:eastAsia="Book Antiqua" w:hAnsi="Book Antiqua" w:cs="Book Antiqua"/>
          <w:color w:val="000000"/>
          <w:szCs w:val="21"/>
        </w:rPr>
        <w:t xml:space="preserve">atients who traveled to endemic areas within the last 2 </w:t>
      </w:r>
      <w:proofErr w:type="spellStart"/>
      <w:r>
        <w:rPr>
          <w:rFonts w:ascii="Book Antiqua" w:eastAsia="Book Antiqua" w:hAnsi="Book Antiqua" w:cs="Book Antiqua"/>
          <w:color w:val="000000"/>
          <w:szCs w:val="21"/>
        </w:rPr>
        <w:t>wk</w:t>
      </w:r>
      <w:proofErr w:type="spellEnd"/>
      <w:r w:rsidR="00930146">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w:t>
      </w:r>
      <w:r w:rsidR="00930146">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5) </w:t>
      </w:r>
      <w:r w:rsidR="00930146">
        <w:rPr>
          <w:rFonts w:ascii="Book Antiqua" w:eastAsia="Book Antiqua" w:hAnsi="Book Antiqua" w:cs="Book Antiqua"/>
          <w:color w:val="000000"/>
          <w:szCs w:val="21"/>
        </w:rPr>
        <w:t>P</w:t>
      </w:r>
      <w:r>
        <w:rPr>
          <w:rFonts w:ascii="Book Antiqua" w:eastAsia="Book Antiqua" w:hAnsi="Book Antiqua" w:cs="Book Antiqua"/>
          <w:color w:val="000000"/>
          <w:szCs w:val="21"/>
        </w:rPr>
        <w:t>atients complaining of symptoms due to COVID-19 infection.</w:t>
      </w:r>
    </w:p>
    <w:p w14:paraId="0219C36D" w14:textId="1C7A575C" w:rsidR="00A77B3E" w:rsidRDefault="00B005F6" w:rsidP="00930146">
      <w:pPr>
        <w:spacing w:line="360" w:lineRule="auto"/>
        <w:ind w:firstLineChars="100" w:firstLine="240"/>
        <w:jc w:val="both"/>
      </w:pPr>
      <w:r>
        <w:rPr>
          <w:rFonts w:ascii="Book Antiqua" w:eastAsia="Book Antiqua" w:hAnsi="Book Antiqua" w:cs="Book Antiqua"/>
          <w:color w:val="000000"/>
          <w:szCs w:val="21"/>
        </w:rPr>
        <w:t xml:space="preserve">Second, the indications for endoscopy were limited as follows: </w:t>
      </w:r>
      <w:r w:rsidR="00930146">
        <w:rPr>
          <w:rFonts w:ascii="Book Antiqua" w:eastAsia="Book Antiqua" w:hAnsi="Book Antiqua" w:cs="Book Antiqua"/>
          <w:color w:val="000000"/>
          <w:szCs w:val="21"/>
        </w:rPr>
        <w:t>S</w:t>
      </w:r>
      <w:r>
        <w:rPr>
          <w:rFonts w:ascii="Book Antiqua" w:eastAsia="Book Antiqua" w:hAnsi="Book Antiqua" w:cs="Book Antiqua"/>
          <w:color w:val="000000"/>
          <w:szCs w:val="21"/>
        </w:rPr>
        <w:t>ymptomatic patients, patients with abnormalities in other tests, patients with previous appointments, and patients who strongly wished for investigation. A new reservation for asymptomatic patients or surveillance endoscopy was not accepted.</w:t>
      </w:r>
    </w:p>
    <w:p w14:paraId="316ADA15" w14:textId="679C2F55" w:rsidR="00A77B3E" w:rsidRDefault="00B005F6" w:rsidP="00930146">
      <w:pPr>
        <w:spacing w:line="360" w:lineRule="auto"/>
        <w:ind w:firstLineChars="100" w:firstLine="240"/>
        <w:jc w:val="both"/>
      </w:pPr>
      <w:r>
        <w:rPr>
          <w:rFonts w:ascii="Book Antiqua" w:eastAsia="Book Antiqua" w:hAnsi="Book Antiqua" w:cs="Book Antiqua"/>
          <w:color w:val="000000"/>
          <w:szCs w:val="21"/>
        </w:rPr>
        <w:t>We were focused on preventing COVID-19 infection in healthcare workers using personal protective equipment, including gloves, hairnets, protective eyewear (goggles or face shield), and waterproof gowns. To prevent the inhalation of airborne droplets and aerosolized virus</w:t>
      </w:r>
      <w:r>
        <w:rPr>
          <w:rFonts w:ascii="Book Antiqua" w:eastAsia="Book Antiqua" w:hAnsi="Book Antiqua" w:cs="Book Antiqua"/>
          <w:color w:val="000000"/>
          <w:szCs w:val="26"/>
          <w:vertAlign w:val="superscript"/>
        </w:rPr>
        <w:t>[4</w:t>
      </w:r>
      <w:r w:rsidR="00930146">
        <w:rPr>
          <w:rFonts w:ascii="Book Antiqua" w:eastAsia="Book Antiqua" w:hAnsi="Book Antiqua" w:cs="Book Antiqua"/>
          <w:color w:val="000000"/>
          <w:szCs w:val="26"/>
          <w:vertAlign w:val="superscript"/>
        </w:rPr>
        <w:t>,</w:t>
      </w:r>
      <w:r>
        <w:rPr>
          <w:rFonts w:ascii="Book Antiqua" w:eastAsia="Book Antiqua" w:hAnsi="Book Antiqua" w:cs="Book Antiqua"/>
          <w:color w:val="000000"/>
          <w:szCs w:val="26"/>
          <w:vertAlign w:val="superscript"/>
        </w:rPr>
        <w:t>5]</w:t>
      </w:r>
      <w:r>
        <w:rPr>
          <w:rFonts w:ascii="Book Antiqua" w:eastAsia="Book Antiqua" w:hAnsi="Book Antiqua" w:cs="Book Antiqua"/>
          <w:color w:val="000000"/>
          <w:szCs w:val="21"/>
        </w:rPr>
        <w:t>, we wore a surgical mask or N95 during the endoscopy procedure. We also applied a surgical mask with a handmade scope insertion port (Figure 1) for patients during the upper-endoscopy procedure. The patients changed their shoes to slippers at the entrance, measured their body temperature, washed their hands and gargled in the washroom, wore a mask, and maintained social distancing.</w:t>
      </w:r>
    </w:p>
    <w:p w14:paraId="6B3D14EC" w14:textId="7ACF1535" w:rsidR="00A77B3E" w:rsidRDefault="00B005F6" w:rsidP="00930146">
      <w:pPr>
        <w:spacing w:line="360" w:lineRule="auto"/>
        <w:ind w:firstLineChars="100" w:firstLine="240"/>
        <w:jc w:val="both"/>
      </w:pPr>
      <w:r>
        <w:rPr>
          <w:rFonts w:ascii="Book Antiqua" w:eastAsia="Book Antiqua" w:hAnsi="Book Antiqua" w:cs="Book Antiqua"/>
          <w:color w:val="000000"/>
          <w:szCs w:val="21"/>
        </w:rPr>
        <w:lastRenderedPageBreak/>
        <w:t>To improve the environment of the endoscopic room, we ventilated the examination room and the waiting rooms about 6 times/h (about 2 times/h of the outside air volume), installed an air purifier, and employed specialized staff to clean the clinic.</w:t>
      </w:r>
    </w:p>
    <w:p w14:paraId="2158828B" w14:textId="77777777" w:rsidR="00A77B3E" w:rsidRDefault="00B005F6" w:rsidP="00930146">
      <w:pPr>
        <w:spacing w:line="360" w:lineRule="auto"/>
        <w:ind w:firstLineChars="100" w:firstLine="240"/>
        <w:jc w:val="both"/>
      </w:pPr>
      <w:r>
        <w:rPr>
          <w:rFonts w:ascii="Book Antiqua" w:eastAsia="Book Antiqua" w:hAnsi="Book Antiqua" w:cs="Book Antiqua"/>
          <w:color w:val="000000"/>
          <w:szCs w:val="21"/>
        </w:rPr>
        <w:t>During the emergency declaration period (between April 7th and May 26th in 2020), 544 patients (302 for upper endoscopy and 537 for colonoscopy) underwent gastrointestinal endoscopy. Table 1 shows the comparison of gastrointestinal endoscopy performed in 2020 and the same period in 2019. The total number of endoscopies during the emergency declaration was halved. There was no significant difference in the cancer detection rate between 2019 and 2020. For advanced cancer, the detection rate during the emergency declaration period was higher than that during the same period in the last year (</w:t>
      </w:r>
      <w:r>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 0.04). As a result of the above precautions, no COVID-19 infection was observed in healthcare workers, staff, or patients during this period.</w:t>
      </w:r>
    </w:p>
    <w:p w14:paraId="5B94DC0C" w14:textId="756D9740" w:rsidR="00A77B3E" w:rsidRDefault="00B005F6" w:rsidP="00930146">
      <w:pPr>
        <w:spacing w:line="360" w:lineRule="auto"/>
        <w:ind w:firstLineChars="100" w:firstLine="240"/>
        <w:jc w:val="both"/>
      </w:pPr>
      <w:r>
        <w:rPr>
          <w:rFonts w:ascii="Book Antiqua" w:eastAsia="Book Antiqua" w:hAnsi="Book Antiqua" w:cs="Book Antiqua"/>
          <w:color w:val="000000"/>
          <w:szCs w:val="21"/>
        </w:rPr>
        <w:t>As one of the factors of this higher detection rate in advanced lesion, it may have been possible to enrich cases with findings based on strict adaptation criteria of the endoscope. It is possible that an outpatient endoscopy units can contribute to the detection of advanced cancer, while the hospital in charge for patients with COVID-19 infection could not perform endoscopy during the declaration of emergency.</w:t>
      </w:r>
    </w:p>
    <w:p w14:paraId="78CA921F" w14:textId="77777777" w:rsidR="00A77B3E" w:rsidRDefault="00B005F6" w:rsidP="00930146">
      <w:pPr>
        <w:spacing w:line="360" w:lineRule="auto"/>
        <w:ind w:firstLineChars="100" w:firstLine="240"/>
        <w:jc w:val="both"/>
      </w:pPr>
      <w:r>
        <w:rPr>
          <w:rFonts w:ascii="Book Antiqua" w:eastAsia="Book Antiqua" w:hAnsi="Book Antiqua" w:cs="Book Antiqua"/>
          <w:color w:val="000000"/>
          <w:szCs w:val="21"/>
        </w:rPr>
        <w:t>Gastrointestinal endoscopy based on the recommendations of APSDE and JGES may be one of the safety nets in the COVID-19 pandemic to not delay the diagnosis of advanced, life-threatening cancers. Our clinic was able to play an important role even during the declaration of emergency.</w:t>
      </w:r>
    </w:p>
    <w:p w14:paraId="0E54A055" w14:textId="77777777" w:rsidR="00A77B3E" w:rsidRDefault="00A77B3E">
      <w:pPr>
        <w:spacing w:line="360" w:lineRule="auto"/>
        <w:jc w:val="both"/>
      </w:pPr>
    </w:p>
    <w:p w14:paraId="00D2CF85" w14:textId="77777777" w:rsidR="00A77B3E" w:rsidRDefault="00B005F6">
      <w:pPr>
        <w:spacing w:line="360" w:lineRule="auto"/>
        <w:jc w:val="both"/>
      </w:pPr>
      <w:r>
        <w:rPr>
          <w:rFonts w:ascii="Book Antiqua" w:eastAsia="Book Antiqua" w:hAnsi="Book Antiqua" w:cs="Book Antiqua"/>
          <w:b/>
          <w:color w:val="000000"/>
        </w:rPr>
        <w:t>REFERENCES</w:t>
      </w:r>
    </w:p>
    <w:p w14:paraId="326FD671" w14:textId="2F9E84EE" w:rsidR="00A77B3E" w:rsidRDefault="00B005F6">
      <w:pPr>
        <w:spacing w:line="360" w:lineRule="auto"/>
        <w:jc w:val="both"/>
      </w:pPr>
      <w:r>
        <w:rPr>
          <w:rFonts w:ascii="Book Antiqua" w:eastAsia="Book Antiqua" w:hAnsi="Book Antiqua" w:cs="Book Antiqua"/>
          <w:color w:val="000000"/>
          <w:szCs w:val="20"/>
        </w:rPr>
        <w:t>1</w:t>
      </w:r>
      <w:r w:rsidR="00930146">
        <w:rPr>
          <w:rFonts w:ascii="Book Antiqua" w:eastAsia="Book Antiqua" w:hAnsi="Book Antiqua" w:cs="Book Antiqua"/>
          <w:color w:val="000000"/>
          <w:szCs w:val="20"/>
        </w:rPr>
        <w:t xml:space="preserve"> </w:t>
      </w:r>
      <w:r w:rsidRPr="00930146">
        <w:rPr>
          <w:rFonts w:ascii="Book Antiqua" w:eastAsia="Book Antiqua" w:hAnsi="Book Antiqua" w:cs="Book Antiqua"/>
          <w:b/>
          <w:bCs/>
          <w:color w:val="000000"/>
          <w:szCs w:val="20"/>
        </w:rPr>
        <w:t>Olszewski T</w:t>
      </w:r>
      <w:r>
        <w:rPr>
          <w:rFonts w:ascii="Book Antiqua" w:eastAsia="Book Antiqua" w:hAnsi="Book Antiqua" w:cs="Book Antiqua"/>
          <w:color w:val="000000"/>
          <w:szCs w:val="20"/>
        </w:rPr>
        <w:t xml:space="preserve">, </w:t>
      </w:r>
      <w:proofErr w:type="spellStart"/>
      <w:r>
        <w:rPr>
          <w:rFonts w:ascii="Book Antiqua" w:eastAsia="Book Antiqua" w:hAnsi="Book Antiqua" w:cs="Book Antiqua"/>
          <w:color w:val="000000"/>
          <w:szCs w:val="20"/>
        </w:rPr>
        <w:t>Grubic</w:t>
      </w:r>
      <w:proofErr w:type="spellEnd"/>
      <w:r>
        <w:rPr>
          <w:rFonts w:ascii="Book Antiqua" w:eastAsia="Book Antiqua" w:hAnsi="Book Antiqua" w:cs="Book Antiqua"/>
          <w:color w:val="000000"/>
          <w:szCs w:val="20"/>
        </w:rPr>
        <w:t xml:space="preserve"> AD, </w:t>
      </w:r>
      <w:proofErr w:type="spellStart"/>
      <w:r>
        <w:rPr>
          <w:rFonts w:ascii="Book Antiqua" w:eastAsia="Book Antiqua" w:hAnsi="Book Antiqua" w:cs="Book Antiqua"/>
          <w:color w:val="000000"/>
          <w:szCs w:val="20"/>
        </w:rPr>
        <w:t>Ayazi</w:t>
      </w:r>
      <w:proofErr w:type="spellEnd"/>
      <w:r>
        <w:rPr>
          <w:rFonts w:ascii="Book Antiqua" w:eastAsia="Book Antiqua" w:hAnsi="Book Antiqua" w:cs="Book Antiqua"/>
          <w:color w:val="000000"/>
          <w:szCs w:val="20"/>
        </w:rPr>
        <w:t xml:space="preserve"> S, </w:t>
      </w:r>
      <w:proofErr w:type="spellStart"/>
      <w:r>
        <w:rPr>
          <w:rFonts w:ascii="Book Antiqua" w:eastAsia="Book Antiqua" w:hAnsi="Book Antiqua" w:cs="Book Antiqua"/>
          <w:color w:val="000000"/>
          <w:szCs w:val="20"/>
        </w:rPr>
        <w:t>Jobe</w:t>
      </w:r>
      <w:proofErr w:type="spellEnd"/>
      <w:r>
        <w:rPr>
          <w:rFonts w:ascii="Book Antiqua" w:eastAsia="Book Antiqua" w:hAnsi="Book Antiqua" w:cs="Book Antiqua"/>
          <w:color w:val="000000"/>
          <w:szCs w:val="20"/>
        </w:rPr>
        <w:t xml:space="preserve"> BA. COVID-19 outbreak and endoscopy: Considerations in patients encountered in a foregut surgery practice.</w:t>
      </w:r>
      <w:r>
        <w:rPr>
          <w:rFonts w:ascii="Book Antiqua" w:eastAsia="Book Antiqua" w:hAnsi="Book Antiqua" w:cs="Book Antiqua"/>
          <w:i/>
          <w:iCs/>
          <w:color w:val="000000"/>
          <w:szCs w:val="20"/>
        </w:rPr>
        <w:t xml:space="preserve"> World J </w:t>
      </w:r>
      <w:proofErr w:type="spellStart"/>
      <w:r>
        <w:rPr>
          <w:rFonts w:ascii="Book Antiqua" w:eastAsia="Book Antiqua" w:hAnsi="Book Antiqua" w:cs="Book Antiqua"/>
          <w:i/>
          <w:iCs/>
          <w:color w:val="000000"/>
          <w:szCs w:val="20"/>
        </w:rPr>
        <w:t>Gastrointest</w:t>
      </w:r>
      <w:proofErr w:type="spellEnd"/>
      <w:r>
        <w:rPr>
          <w:rFonts w:ascii="Book Antiqua" w:eastAsia="Book Antiqua" w:hAnsi="Book Antiqua" w:cs="Book Antiqua"/>
          <w:i/>
          <w:iCs/>
          <w:color w:val="000000"/>
          <w:szCs w:val="20"/>
        </w:rPr>
        <w:t xml:space="preserve"> </w:t>
      </w:r>
      <w:proofErr w:type="spellStart"/>
      <w:r>
        <w:rPr>
          <w:rFonts w:ascii="Book Antiqua" w:eastAsia="Book Antiqua" w:hAnsi="Book Antiqua" w:cs="Book Antiqua"/>
          <w:i/>
          <w:iCs/>
          <w:color w:val="000000"/>
          <w:szCs w:val="20"/>
        </w:rPr>
        <w:t>Surg</w:t>
      </w:r>
      <w:proofErr w:type="spellEnd"/>
      <w:r>
        <w:rPr>
          <w:rFonts w:ascii="Book Antiqua" w:eastAsia="Book Antiqua" w:hAnsi="Book Antiqua" w:cs="Book Antiqua"/>
          <w:i/>
          <w:iCs/>
          <w:color w:val="000000"/>
          <w:szCs w:val="20"/>
        </w:rPr>
        <w:t xml:space="preserve"> </w:t>
      </w:r>
      <w:r>
        <w:rPr>
          <w:rFonts w:ascii="Book Antiqua" w:eastAsia="Book Antiqua" w:hAnsi="Book Antiqua" w:cs="Book Antiqua"/>
          <w:color w:val="000000"/>
          <w:szCs w:val="20"/>
        </w:rPr>
        <w:t xml:space="preserve">2020; </w:t>
      </w:r>
      <w:r>
        <w:rPr>
          <w:rFonts w:ascii="Book Antiqua" w:eastAsia="Book Antiqua" w:hAnsi="Book Antiqua" w:cs="Book Antiqua"/>
          <w:b/>
          <w:bCs/>
          <w:color w:val="000000"/>
          <w:szCs w:val="20"/>
        </w:rPr>
        <w:t>12</w:t>
      </w:r>
      <w:r>
        <w:rPr>
          <w:rFonts w:ascii="Book Antiqua" w:eastAsia="Book Antiqua" w:hAnsi="Book Antiqua" w:cs="Book Antiqua"/>
          <w:color w:val="000000"/>
        </w:rPr>
        <w:t>: 197-202 [PMID: 32551025 DOI: 10.4240/wjgs.v12.i5.197]</w:t>
      </w:r>
    </w:p>
    <w:p w14:paraId="07827E94" w14:textId="0F3716A9" w:rsidR="00A77B3E" w:rsidRDefault="00B005F6">
      <w:pPr>
        <w:spacing w:line="360" w:lineRule="auto"/>
        <w:jc w:val="both"/>
      </w:pPr>
      <w:r>
        <w:rPr>
          <w:rFonts w:ascii="Book Antiqua" w:eastAsia="Book Antiqua" w:hAnsi="Book Antiqua" w:cs="Book Antiqua"/>
          <w:color w:val="000000"/>
          <w:szCs w:val="20"/>
        </w:rPr>
        <w:t>2</w:t>
      </w:r>
      <w:r w:rsidR="00930146">
        <w:rPr>
          <w:rFonts w:ascii="Book Antiqua" w:eastAsia="Book Antiqua" w:hAnsi="Book Antiqua" w:cs="Book Antiqua"/>
          <w:color w:val="000000"/>
          <w:szCs w:val="20"/>
        </w:rPr>
        <w:t xml:space="preserve"> </w:t>
      </w:r>
      <w:r w:rsidRPr="00930146">
        <w:rPr>
          <w:rFonts w:ascii="Book Antiqua" w:eastAsia="Book Antiqua" w:hAnsi="Book Antiqua" w:cs="Book Antiqua"/>
          <w:b/>
          <w:bCs/>
          <w:color w:val="000000"/>
          <w:szCs w:val="20"/>
        </w:rPr>
        <w:t>Chiu PWY</w:t>
      </w:r>
      <w:r>
        <w:rPr>
          <w:rFonts w:ascii="Book Antiqua" w:eastAsia="Book Antiqua" w:hAnsi="Book Antiqua" w:cs="Book Antiqua"/>
          <w:color w:val="000000"/>
          <w:szCs w:val="20"/>
        </w:rPr>
        <w:t xml:space="preserve">, Ng SC, Inoue H, Reddy DN, Ling Hu E, Cho JY, Ho LK, Hewett DG, Chiu HM, </w:t>
      </w:r>
      <w:proofErr w:type="spellStart"/>
      <w:r>
        <w:rPr>
          <w:rFonts w:ascii="Book Antiqua" w:eastAsia="Book Antiqua" w:hAnsi="Book Antiqua" w:cs="Book Antiqua"/>
          <w:color w:val="000000"/>
          <w:szCs w:val="20"/>
        </w:rPr>
        <w:t>Rerknimitr</w:t>
      </w:r>
      <w:proofErr w:type="spellEnd"/>
      <w:r>
        <w:rPr>
          <w:rFonts w:ascii="Book Antiqua" w:eastAsia="Book Antiqua" w:hAnsi="Book Antiqua" w:cs="Book Antiqua"/>
          <w:color w:val="000000"/>
          <w:szCs w:val="20"/>
        </w:rPr>
        <w:t xml:space="preserve"> R, Wang HP, Ho SH, </w:t>
      </w:r>
      <w:proofErr w:type="spellStart"/>
      <w:r>
        <w:rPr>
          <w:rFonts w:ascii="Book Antiqua" w:eastAsia="Book Antiqua" w:hAnsi="Book Antiqua" w:cs="Book Antiqua"/>
          <w:color w:val="000000"/>
          <w:szCs w:val="20"/>
        </w:rPr>
        <w:t>Seo</w:t>
      </w:r>
      <w:proofErr w:type="spellEnd"/>
      <w:r>
        <w:rPr>
          <w:rFonts w:ascii="Book Antiqua" w:eastAsia="Book Antiqua" w:hAnsi="Book Antiqua" w:cs="Book Antiqua"/>
          <w:color w:val="000000"/>
          <w:szCs w:val="20"/>
        </w:rPr>
        <w:t xml:space="preserve"> DW, Goh KL, Tajiri H, Kitano S, Chan FKL. Practice of endoscopy during COVID-19 pandemic: position statements of the Asian </w:t>
      </w:r>
      <w:r>
        <w:rPr>
          <w:rFonts w:ascii="Book Antiqua" w:eastAsia="Book Antiqua" w:hAnsi="Book Antiqua" w:cs="Book Antiqua"/>
          <w:color w:val="000000"/>
          <w:szCs w:val="20"/>
        </w:rPr>
        <w:lastRenderedPageBreak/>
        <w:t>Pacific Society for Digestive Endoscopy (APSDE-COVID statements).</w:t>
      </w:r>
      <w:r>
        <w:rPr>
          <w:rFonts w:ascii="Book Antiqua" w:eastAsia="Book Antiqua" w:hAnsi="Book Antiqua" w:cs="Book Antiqua"/>
          <w:i/>
          <w:iCs/>
          <w:color w:val="000000"/>
          <w:szCs w:val="20"/>
        </w:rPr>
        <w:t xml:space="preserve"> Gut </w:t>
      </w:r>
      <w:r>
        <w:rPr>
          <w:rFonts w:ascii="Book Antiqua" w:eastAsia="Book Antiqua" w:hAnsi="Book Antiqua" w:cs="Book Antiqua"/>
          <w:color w:val="000000"/>
          <w:szCs w:val="20"/>
        </w:rPr>
        <w:t xml:space="preserve">2020; </w:t>
      </w:r>
      <w:r>
        <w:rPr>
          <w:rFonts w:ascii="Book Antiqua" w:eastAsia="Book Antiqua" w:hAnsi="Book Antiqua" w:cs="Book Antiqua"/>
          <w:b/>
          <w:bCs/>
          <w:color w:val="000000"/>
          <w:szCs w:val="20"/>
        </w:rPr>
        <w:t>69</w:t>
      </w:r>
      <w:r>
        <w:rPr>
          <w:rFonts w:ascii="Book Antiqua" w:eastAsia="Book Antiqua" w:hAnsi="Book Antiqua" w:cs="Book Antiqua"/>
          <w:color w:val="000000"/>
        </w:rPr>
        <w:t>: 991-996 [PMID: 32241897 DOI: 10.1136/gutjnl-2020-321185]</w:t>
      </w:r>
    </w:p>
    <w:p w14:paraId="343EA45C" w14:textId="075ACF89" w:rsidR="00A77B3E" w:rsidRDefault="00B005F6">
      <w:pPr>
        <w:spacing w:line="360" w:lineRule="auto"/>
        <w:jc w:val="both"/>
      </w:pPr>
      <w:r>
        <w:rPr>
          <w:rFonts w:ascii="Book Antiqua" w:eastAsia="Book Antiqua" w:hAnsi="Book Antiqua" w:cs="Book Antiqua"/>
          <w:color w:val="000000"/>
          <w:szCs w:val="20"/>
        </w:rPr>
        <w:t>3</w:t>
      </w:r>
      <w:r w:rsidR="00930146">
        <w:rPr>
          <w:rFonts w:ascii="Book Antiqua" w:eastAsia="Book Antiqua" w:hAnsi="Book Antiqua" w:cs="Book Antiqua"/>
          <w:color w:val="000000"/>
          <w:szCs w:val="20"/>
        </w:rPr>
        <w:t xml:space="preserve"> </w:t>
      </w:r>
      <w:proofErr w:type="spellStart"/>
      <w:r w:rsidRPr="00930146">
        <w:rPr>
          <w:rFonts w:ascii="Book Antiqua" w:eastAsia="Book Antiqua" w:hAnsi="Book Antiqua" w:cs="Book Antiqua"/>
          <w:b/>
          <w:bCs/>
          <w:color w:val="000000"/>
          <w:szCs w:val="20"/>
        </w:rPr>
        <w:t>Irisawa</w:t>
      </w:r>
      <w:proofErr w:type="spellEnd"/>
      <w:r w:rsidRPr="00930146">
        <w:rPr>
          <w:rFonts w:ascii="Book Antiqua" w:eastAsia="Book Antiqua" w:hAnsi="Book Antiqua" w:cs="Book Antiqua"/>
          <w:b/>
          <w:bCs/>
          <w:color w:val="000000"/>
          <w:szCs w:val="20"/>
        </w:rPr>
        <w:t xml:space="preserve"> A</w:t>
      </w:r>
      <w:r>
        <w:rPr>
          <w:rFonts w:ascii="Book Antiqua" w:eastAsia="Book Antiqua" w:hAnsi="Book Antiqua" w:cs="Book Antiqua"/>
          <w:color w:val="000000"/>
          <w:szCs w:val="20"/>
        </w:rPr>
        <w:t xml:space="preserve">, </w:t>
      </w:r>
      <w:proofErr w:type="spellStart"/>
      <w:r>
        <w:rPr>
          <w:rFonts w:ascii="Book Antiqua" w:eastAsia="Book Antiqua" w:hAnsi="Book Antiqua" w:cs="Book Antiqua"/>
          <w:color w:val="000000"/>
          <w:szCs w:val="20"/>
        </w:rPr>
        <w:t>Furuta</w:t>
      </w:r>
      <w:proofErr w:type="spellEnd"/>
      <w:r>
        <w:rPr>
          <w:rFonts w:ascii="Book Antiqua" w:eastAsia="Book Antiqua" w:hAnsi="Book Antiqua" w:cs="Book Antiqua"/>
          <w:color w:val="000000"/>
          <w:szCs w:val="20"/>
        </w:rPr>
        <w:t xml:space="preserve"> T, Matsumoto T, Kawai T, Inaba T, </w:t>
      </w:r>
      <w:proofErr w:type="spellStart"/>
      <w:r>
        <w:rPr>
          <w:rFonts w:ascii="Book Antiqua" w:eastAsia="Book Antiqua" w:hAnsi="Book Antiqua" w:cs="Book Antiqua"/>
          <w:color w:val="000000"/>
          <w:szCs w:val="20"/>
        </w:rPr>
        <w:t>Kanno</w:t>
      </w:r>
      <w:proofErr w:type="spellEnd"/>
      <w:r>
        <w:rPr>
          <w:rFonts w:ascii="Book Antiqua" w:eastAsia="Book Antiqua" w:hAnsi="Book Antiqua" w:cs="Book Antiqua"/>
          <w:color w:val="000000"/>
          <w:szCs w:val="20"/>
        </w:rPr>
        <w:t xml:space="preserve"> A, </w:t>
      </w:r>
      <w:proofErr w:type="spellStart"/>
      <w:r>
        <w:rPr>
          <w:rFonts w:ascii="Book Antiqua" w:eastAsia="Book Antiqua" w:hAnsi="Book Antiqua" w:cs="Book Antiqua"/>
          <w:color w:val="000000"/>
          <w:szCs w:val="20"/>
        </w:rPr>
        <w:t>Katanuma</w:t>
      </w:r>
      <w:proofErr w:type="spellEnd"/>
      <w:r>
        <w:rPr>
          <w:rFonts w:ascii="Book Antiqua" w:eastAsia="Book Antiqua" w:hAnsi="Book Antiqua" w:cs="Book Antiqua"/>
          <w:color w:val="000000"/>
          <w:szCs w:val="20"/>
        </w:rPr>
        <w:t xml:space="preserve"> A, Kawahara Y, Matsuda K, Mizukami K, Otsuka T, Yasuda I, Tanaka S, Fujimoto K, Fukuda S, </w:t>
      </w:r>
      <w:proofErr w:type="spellStart"/>
      <w:r>
        <w:rPr>
          <w:rFonts w:ascii="Book Antiqua" w:eastAsia="Book Antiqua" w:hAnsi="Book Antiqua" w:cs="Book Antiqua"/>
          <w:color w:val="000000"/>
          <w:szCs w:val="20"/>
        </w:rPr>
        <w:t>Iishi</w:t>
      </w:r>
      <w:proofErr w:type="spellEnd"/>
      <w:r>
        <w:rPr>
          <w:rFonts w:ascii="Book Antiqua" w:eastAsia="Book Antiqua" w:hAnsi="Book Antiqua" w:cs="Book Antiqua"/>
          <w:color w:val="000000"/>
          <w:szCs w:val="20"/>
        </w:rPr>
        <w:t xml:space="preserve"> H, Igarashi Y, Inui K, Ueki T, Ogata H, Kato M, </w:t>
      </w:r>
      <w:proofErr w:type="spellStart"/>
      <w:r>
        <w:rPr>
          <w:rFonts w:ascii="Book Antiqua" w:eastAsia="Book Antiqua" w:hAnsi="Book Antiqua" w:cs="Book Antiqua"/>
          <w:color w:val="000000"/>
          <w:szCs w:val="20"/>
        </w:rPr>
        <w:t>Shiotani</w:t>
      </w:r>
      <w:proofErr w:type="spellEnd"/>
      <w:r>
        <w:rPr>
          <w:rFonts w:ascii="Book Antiqua" w:eastAsia="Book Antiqua" w:hAnsi="Book Antiqua" w:cs="Book Antiqua"/>
          <w:color w:val="000000"/>
          <w:szCs w:val="20"/>
        </w:rPr>
        <w:t xml:space="preserve"> A, Higuchi K, Fujita N, Murakami K, Yamamoto H, Ito T, Okazaki K, Kitagawa Y, Mine T, Tajiri H, Inoue H. Gastrointestinal endoscopy in the era of the acute pandemic of </w:t>
      </w:r>
      <w:r w:rsidR="00930146" w:rsidRPr="00930146">
        <w:rPr>
          <w:rFonts w:ascii="Book Antiqua" w:eastAsia="Book Antiqua" w:hAnsi="Book Antiqua" w:cs="Book Antiqua"/>
          <w:color w:val="000000"/>
          <w:szCs w:val="20"/>
        </w:rPr>
        <w:t>coronavirus disease 2019</w:t>
      </w:r>
      <w:r>
        <w:rPr>
          <w:rFonts w:ascii="Book Antiqua" w:eastAsia="Book Antiqua" w:hAnsi="Book Antiqua" w:cs="Book Antiqua"/>
          <w:color w:val="000000"/>
          <w:szCs w:val="20"/>
        </w:rPr>
        <w:t>: Recommendations by Japan Gastroenterological Endoscopy Society (Issued on April 9th , 2020).</w:t>
      </w:r>
      <w:r>
        <w:rPr>
          <w:rFonts w:ascii="Book Antiqua" w:eastAsia="Book Antiqua" w:hAnsi="Book Antiqua" w:cs="Book Antiqua"/>
          <w:i/>
          <w:iCs/>
          <w:color w:val="000000"/>
          <w:szCs w:val="20"/>
        </w:rPr>
        <w:t xml:space="preserve"> Dig </w:t>
      </w:r>
      <w:proofErr w:type="spellStart"/>
      <w:r>
        <w:rPr>
          <w:rFonts w:ascii="Book Antiqua" w:eastAsia="Book Antiqua" w:hAnsi="Book Antiqua" w:cs="Book Antiqua"/>
          <w:i/>
          <w:iCs/>
          <w:color w:val="000000"/>
          <w:szCs w:val="20"/>
        </w:rPr>
        <w:t>Endosc</w:t>
      </w:r>
      <w:proofErr w:type="spellEnd"/>
      <w:r>
        <w:rPr>
          <w:rFonts w:ascii="Book Antiqua" w:eastAsia="Book Antiqua" w:hAnsi="Book Antiqua" w:cs="Book Antiqua"/>
          <w:i/>
          <w:iCs/>
          <w:color w:val="000000"/>
          <w:szCs w:val="20"/>
        </w:rPr>
        <w:t xml:space="preserve"> </w:t>
      </w:r>
      <w:r>
        <w:rPr>
          <w:rFonts w:ascii="Book Antiqua" w:eastAsia="Book Antiqua" w:hAnsi="Book Antiqua" w:cs="Book Antiqua"/>
          <w:color w:val="000000"/>
        </w:rPr>
        <w:t>2020</w:t>
      </w:r>
      <w:r w:rsidR="00930146">
        <w:rPr>
          <w:rFonts w:ascii="Book Antiqua" w:eastAsia="Book Antiqua" w:hAnsi="Book Antiqua" w:cs="Book Antiqua"/>
          <w:color w:val="000000"/>
        </w:rPr>
        <w:t>;</w:t>
      </w:r>
      <w:r w:rsidR="00591B00">
        <w:rPr>
          <w:rFonts w:ascii="Book Antiqua" w:eastAsia="Book Antiqua" w:hAnsi="Book Antiqua" w:cs="Book Antiqua"/>
          <w:color w:val="000000"/>
        </w:rPr>
        <w:t xml:space="preserve"> </w:t>
      </w:r>
      <w:r w:rsidR="00591B00" w:rsidRPr="00591B00">
        <w:rPr>
          <w:rFonts w:ascii="Book Antiqua" w:eastAsia="Book Antiqua" w:hAnsi="Book Antiqua" w:cs="Book Antiqua"/>
          <w:color w:val="000000"/>
        </w:rPr>
        <w:t>Online ahead of print</w:t>
      </w:r>
      <w:r w:rsidR="00591B00">
        <w:rPr>
          <w:rFonts w:ascii="Book Antiqua" w:eastAsia="Book Antiqua" w:hAnsi="Book Antiqua" w:cs="Book Antiqua"/>
          <w:color w:val="000000"/>
        </w:rPr>
        <w:t xml:space="preserve"> </w:t>
      </w:r>
      <w:r>
        <w:rPr>
          <w:rFonts w:ascii="Book Antiqua" w:eastAsia="Book Antiqua" w:hAnsi="Book Antiqua" w:cs="Book Antiqua"/>
          <w:color w:val="000000"/>
        </w:rPr>
        <w:t>[PMID: 32335946 DOI: 10.1111/den.13703]</w:t>
      </w:r>
    </w:p>
    <w:p w14:paraId="62341C2C" w14:textId="51DD9865" w:rsidR="00A77B3E" w:rsidRDefault="00B005F6">
      <w:pPr>
        <w:spacing w:line="360" w:lineRule="auto"/>
        <w:jc w:val="both"/>
      </w:pPr>
      <w:r>
        <w:rPr>
          <w:rFonts w:ascii="Book Antiqua" w:eastAsia="Book Antiqua" w:hAnsi="Book Antiqua" w:cs="Book Antiqua"/>
          <w:color w:val="000000"/>
          <w:szCs w:val="20"/>
        </w:rPr>
        <w:t>4</w:t>
      </w:r>
      <w:r w:rsidR="00930146">
        <w:rPr>
          <w:rFonts w:ascii="Book Antiqua" w:eastAsia="Book Antiqua" w:hAnsi="Book Antiqua" w:cs="Book Antiqua"/>
          <w:color w:val="000000"/>
          <w:szCs w:val="20"/>
        </w:rPr>
        <w:t xml:space="preserve"> </w:t>
      </w:r>
      <w:r w:rsidRPr="00930146">
        <w:rPr>
          <w:rFonts w:ascii="Book Antiqua" w:eastAsia="Book Antiqua" w:hAnsi="Book Antiqua" w:cs="Book Antiqua"/>
          <w:b/>
          <w:bCs/>
          <w:color w:val="000000"/>
          <w:szCs w:val="20"/>
        </w:rPr>
        <w:t>Hindson J</w:t>
      </w:r>
      <w:r>
        <w:rPr>
          <w:rFonts w:ascii="Book Antiqua" w:eastAsia="Book Antiqua" w:hAnsi="Book Antiqua" w:cs="Book Antiqua"/>
          <w:color w:val="000000"/>
          <w:szCs w:val="20"/>
        </w:rPr>
        <w:t xml:space="preserve">. COVID-19: </w:t>
      </w:r>
      <w:proofErr w:type="spellStart"/>
      <w:r>
        <w:rPr>
          <w:rFonts w:ascii="Book Antiqua" w:eastAsia="Book Antiqua" w:hAnsi="Book Antiqua" w:cs="Book Antiqua"/>
          <w:color w:val="000000"/>
          <w:szCs w:val="20"/>
        </w:rPr>
        <w:t>faecal</w:t>
      </w:r>
      <w:proofErr w:type="spellEnd"/>
      <w:r>
        <w:rPr>
          <w:rFonts w:ascii="Book Antiqua" w:eastAsia="Book Antiqua" w:hAnsi="Book Antiqua" w:cs="Book Antiqua"/>
          <w:color w:val="000000"/>
          <w:szCs w:val="20"/>
        </w:rPr>
        <w:t>-oral transmission?</w:t>
      </w:r>
      <w:r>
        <w:rPr>
          <w:rFonts w:ascii="Book Antiqua" w:eastAsia="Book Antiqua" w:hAnsi="Book Antiqua" w:cs="Book Antiqua"/>
          <w:i/>
          <w:iCs/>
          <w:color w:val="000000"/>
          <w:szCs w:val="20"/>
        </w:rPr>
        <w:t xml:space="preserve"> Nat Rev Gastroenterol </w:t>
      </w:r>
      <w:proofErr w:type="spellStart"/>
      <w:r>
        <w:rPr>
          <w:rFonts w:ascii="Book Antiqua" w:eastAsia="Book Antiqua" w:hAnsi="Book Antiqua" w:cs="Book Antiqua"/>
          <w:i/>
          <w:iCs/>
          <w:color w:val="000000"/>
          <w:szCs w:val="20"/>
        </w:rPr>
        <w:t>Hepatol</w:t>
      </w:r>
      <w:proofErr w:type="spellEnd"/>
      <w:r>
        <w:rPr>
          <w:rFonts w:ascii="Book Antiqua" w:eastAsia="Book Antiqua" w:hAnsi="Book Antiqua" w:cs="Book Antiqua"/>
          <w:i/>
          <w:iCs/>
          <w:color w:val="000000"/>
          <w:szCs w:val="20"/>
        </w:rPr>
        <w:t xml:space="preserve"> </w:t>
      </w:r>
      <w:r>
        <w:rPr>
          <w:rFonts w:ascii="Book Antiqua" w:eastAsia="Book Antiqua" w:hAnsi="Book Antiqua" w:cs="Book Antiqua"/>
          <w:color w:val="000000"/>
          <w:szCs w:val="20"/>
        </w:rPr>
        <w:t xml:space="preserve">2020; </w:t>
      </w:r>
      <w:r>
        <w:rPr>
          <w:rFonts w:ascii="Book Antiqua" w:eastAsia="Book Antiqua" w:hAnsi="Book Antiqua" w:cs="Book Antiqua"/>
          <w:b/>
          <w:bCs/>
          <w:color w:val="000000"/>
          <w:szCs w:val="20"/>
        </w:rPr>
        <w:t>17</w:t>
      </w:r>
      <w:r>
        <w:rPr>
          <w:rFonts w:ascii="Book Antiqua" w:eastAsia="Book Antiqua" w:hAnsi="Book Antiqua" w:cs="Book Antiqua"/>
          <w:color w:val="000000"/>
        </w:rPr>
        <w:t>: 259 [PMID: 32214231 DOI: 10.1038/s41575-020-0295-7]</w:t>
      </w:r>
    </w:p>
    <w:p w14:paraId="0429B5C4" w14:textId="74044F46" w:rsidR="00A77B3E" w:rsidRDefault="00B005F6">
      <w:pPr>
        <w:spacing w:line="360" w:lineRule="auto"/>
        <w:jc w:val="both"/>
      </w:pPr>
      <w:r>
        <w:rPr>
          <w:rFonts w:ascii="Book Antiqua" w:eastAsia="Book Antiqua" w:hAnsi="Book Antiqua" w:cs="Book Antiqua"/>
          <w:color w:val="000000"/>
          <w:szCs w:val="20"/>
        </w:rPr>
        <w:t>5</w:t>
      </w:r>
      <w:r w:rsidR="00930146">
        <w:rPr>
          <w:rFonts w:ascii="Book Antiqua" w:eastAsia="Book Antiqua" w:hAnsi="Book Antiqua" w:cs="Book Antiqua"/>
          <w:color w:val="000000"/>
          <w:szCs w:val="20"/>
        </w:rPr>
        <w:t xml:space="preserve"> </w:t>
      </w:r>
      <w:r w:rsidRPr="00930146">
        <w:rPr>
          <w:rFonts w:ascii="Book Antiqua" w:eastAsia="Book Antiqua" w:hAnsi="Book Antiqua" w:cs="Book Antiqua"/>
          <w:b/>
          <w:bCs/>
          <w:color w:val="000000"/>
          <w:szCs w:val="20"/>
        </w:rPr>
        <w:t>Xiao F</w:t>
      </w:r>
      <w:r>
        <w:rPr>
          <w:rFonts w:ascii="Book Antiqua" w:eastAsia="Book Antiqua" w:hAnsi="Book Antiqua" w:cs="Book Antiqua"/>
          <w:color w:val="000000"/>
          <w:szCs w:val="20"/>
        </w:rPr>
        <w:t>, Tang M, Zheng X, Liu Y, Li X, Shan H. Evidence for Gastrointestinal Infection of SARS-CoV-2.</w:t>
      </w:r>
      <w:r>
        <w:rPr>
          <w:rFonts w:ascii="Book Antiqua" w:eastAsia="Book Antiqua" w:hAnsi="Book Antiqua" w:cs="Book Antiqua"/>
          <w:i/>
          <w:iCs/>
          <w:color w:val="000000"/>
          <w:szCs w:val="20"/>
        </w:rPr>
        <w:t xml:space="preserve"> Gastroenterology </w:t>
      </w:r>
      <w:r>
        <w:rPr>
          <w:rFonts w:ascii="Book Antiqua" w:eastAsia="Book Antiqua" w:hAnsi="Book Antiqua" w:cs="Book Antiqua"/>
          <w:color w:val="000000"/>
          <w:szCs w:val="20"/>
        </w:rPr>
        <w:t xml:space="preserve">2020; </w:t>
      </w:r>
      <w:r>
        <w:rPr>
          <w:rFonts w:ascii="Book Antiqua" w:eastAsia="Book Antiqua" w:hAnsi="Book Antiqua" w:cs="Book Antiqua"/>
          <w:b/>
          <w:bCs/>
          <w:color w:val="000000"/>
          <w:szCs w:val="20"/>
        </w:rPr>
        <w:t>158</w:t>
      </w:r>
      <w:r>
        <w:rPr>
          <w:rFonts w:ascii="Book Antiqua" w:eastAsia="Book Antiqua" w:hAnsi="Book Antiqua" w:cs="Book Antiqua"/>
          <w:color w:val="000000"/>
        </w:rPr>
        <w:t>: 1831-1833</w:t>
      </w:r>
      <w:r w:rsidR="00930146">
        <w:rPr>
          <w:rFonts w:ascii="Book Antiqua" w:eastAsia="Book Antiqua" w:hAnsi="Book Antiqua" w:cs="Book Antiqua"/>
          <w:color w:val="000000"/>
        </w:rPr>
        <w:t>.</w:t>
      </w:r>
      <w:r>
        <w:rPr>
          <w:rFonts w:ascii="Book Antiqua" w:eastAsia="Book Antiqua" w:hAnsi="Book Antiqua" w:cs="Book Antiqua"/>
          <w:color w:val="000000"/>
        </w:rPr>
        <w:t>e3 [PMID: 32142773 DOI: 10.1053/j.gastro.2020.02.055]</w:t>
      </w:r>
    </w:p>
    <w:p w14:paraId="4F2EE00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455D68B" w14:textId="77777777" w:rsidR="00A77B3E" w:rsidRDefault="00B005F6">
      <w:pPr>
        <w:spacing w:line="360" w:lineRule="auto"/>
        <w:jc w:val="both"/>
      </w:pPr>
      <w:r>
        <w:rPr>
          <w:rFonts w:ascii="Book Antiqua" w:eastAsia="Book Antiqua" w:hAnsi="Book Antiqua" w:cs="Book Antiqua"/>
          <w:b/>
          <w:color w:val="000000"/>
        </w:rPr>
        <w:lastRenderedPageBreak/>
        <w:t>Footnotes</w:t>
      </w:r>
    </w:p>
    <w:p w14:paraId="7C147672" w14:textId="77777777" w:rsidR="00A77B3E" w:rsidRDefault="00B005F6">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szCs w:val="21"/>
        </w:rPr>
        <w:t>The authors disclose no conflicts.</w:t>
      </w:r>
    </w:p>
    <w:p w14:paraId="3810FF75" w14:textId="77777777" w:rsidR="00A77B3E" w:rsidRDefault="00A77B3E">
      <w:pPr>
        <w:spacing w:line="360" w:lineRule="auto"/>
        <w:jc w:val="both"/>
      </w:pPr>
    </w:p>
    <w:p w14:paraId="7F24F1B5" w14:textId="77777777" w:rsidR="00A77B3E" w:rsidRDefault="00B005F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759B486" w14:textId="77777777" w:rsidR="00A77B3E" w:rsidRDefault="00A77B3E">
      <w:pPr>
        <w:spacing w:line="360" w:lineRule="auto"/>
        <w:jc w:val="both"/>
      </w:pPr>
    </w:p>
    <w:p w14:paraId="576F579D" w14:textId="06779A3F" w:rsidR="00A77B3E" w:rsidRDefault="00B005F6">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4C15BA">
        <w:rPr>
          <w:rFonts w:ascii="Book Antiqua" w:eastAsia="Book Antiqua" w:hAnsi="Book Antiqua" w:cs="Book Antiqua"/>
          <w:color w:val="000000"/>
        </w:rPr>
        <w:t>m</w:t>
      </w:r>
      <w:r>
        <w:rPr>
          <w:rFonts w:ascii="Book Antiqua" w:eastAsia="Book Antiqua" w:hAnsi="Book Antiqua" w:cs="Book Antiqua"/>
          <w:color w:val="000000"/>
        </w:rPr>
        <w:t>anuscript</w:t>
      </w:r>
    </w:p>
    <w:p w14:paraId="65810131" w14:textId="77777777" w:rsidR="00A77B3E" w:rsidRDefault="00A77B3E">
      <w:pPr>
        <w:spacing w:line="360" w:lineRule="auto"/>
        <w:jc w:val="both"/>
      </w:pPr>
    </w:p>
    <w:p w14:paraId="2117A8DE" w14:textId="77777777" w:rsidR="00A77B3E" w:rsidRDefault="00B005F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26, 2020</w:t>
      </w:r>
    </w:p>
    <w:p w14:paraId="23B60DFD" w14:textId="77777777" w:rsidR="00A77B3E" w:rsidRDefault="00B005F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9, 2020</w:t>
      </w:r>
    </w:p>
    <w:p w14:paraId="1A436560" w14:textId="77777777" w:rsidR="00A77B3E" w:rsidRDefault="00B005F6">
      <w:pPr>
        <w:spacing w:line="360" w:lineRule="auto"/>
        <w:jc w:val="both"/>
      </w:pPr>
      <w:r>
        <w:rPr>
          <w:rFonts w:ascii="Book Antiqua" w:eastAsia="Book Antiqua" w:hAnsi="Book Antiqua" w:cs="Book Antiqua"/>
          <w:b/>
          <w:color w:val="000000"/>
        </w:rPr>
        <w:t xml:space="preserve">Article in press: </w:t>
      </w:r>
    </w:p>
    <w:p w14:paraId="2694CBC6" w14:textId="77777777" w:rsidR="00A77B3E" w:rsidRDefault="00A77B3E">
      <w:pPr>
        <w:spacing w:line="360" w:lineRule="auto"/>
        <w:jc w:val="both"/>
      </w:pPr>
    </w:p>
    <w:p w14:paraId="355A31BD" w14:textId="4BBA1C7A" w:rsidR="00A77B3E" w:rsidRDefault="00B005F6">
      <w:pPr>
        <w:spacing w:line="360" w:lineRule="auto"/>
        <w:jc w:val="both"/>
      </w:pPr>
      <w:r>
        <w:rPr>
          <w:rFonts w:ascii="Book Antiqua" w:eastAsia="Book Antiqua" w:hAnsi="Book Antiqua" w:cs="Book Antiqua"/>
          <w:b/>
          <w:color w:val="000000"/>
        </w:rPr>
        <w:t xml:space="preserve">Specialty type: </w:t>
      </w:r>
      <w:r w:rsidR="001C589D" w:rsidRPr="001C589D">
        <w:rPr>
          <w:rFonts w:ascii="Book Antiqua" w:eastAsia="Book Antiqua" w:hAnsi="Book Antiqua" w:cs="Book Antiqua"/>
          <w:color w:val="000000"/>
        </w:rPr>
        <w:t>Gastroenterology and hepatology</w:t>
      </w:r>
    </w:p>
    <w:p w14:paraId="6032EC16" w14:textId="77777777" w:rsidR="00A77B3E" w:rsidRDefault="00B005F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1C97EC53" w14:textId="77777777" w:rsidR="00A77B3E" w:rsidRDefault="00B005F6">
      <w:pPr>
        <w:spacing w:line="360" w:lineRule="auto"/>
        <w:jc w:val="both"/>
      </w:pPr>
      <w:r>
        <w:rPr>
          <w:rFonts w:ascii="Book Antiqua" w:eastAsia="Book Antiqua" w:hAnsi="Book Antiqua" w:cs="Book Antiqua"/>
          <w:b/>
          <w:color w:val="000000"/>
        </w:rPr>
        <w:t>Peer-review report’s scientific quality classification</w:t>
      </w:r>
    </w:p>
    <w:p w14:paraId="0B51E7F3" w14:textId="77777777" w:rsidR="00A77B3E" w:rsidRDefault="00B005F6">
      <w:pPr>
        <w:spacing w:line="360" w:lineRule="auto"/>
        <w:jc w:val="both"/>
      </w:pPr>
      <w:r>
        <w:rPr>
          <w:rFonts w:ascii="Book Antiqua" w:eastAsia="Book Antiqua" w:hAnsi="Book Antiqua" w:cs="Book Antiqua"/>
          <w:color w:val="000000"/>
        </w:rPr>
        <w:t>Grade A (Excellent): 0</w:t>
      </w:r>
    </w:p>
    <w:p w14:paraId="603C06CE" w14:textId="77777777" w:rsidR="00A77B3E" w:rsidRDefault="00B005F6">
      <w:pPr>
        <w:spacing w:line="360" w:lineRule="auto"/>
        <w:jc w:val="both"/>
      </w:pPr>
      <w:r>
        <w:rPr>
          <w:rFonts w:ascii="Book Antiqua" w:eastAsia="Book Antiqua" w:hAnsi="Book Antiqua" w:cs="Book Antiqua"/>
          <w:color w:val="000000"/>
        </w:rPr>
        <w:t>Grade B (Very good): 0</w:t>
      </w:r>
    </w:p>
    <w:p w14:paraId="79DDE925" w14:textId="77777777" w:rsidR="00A77B3E" w:rsidRDefault="00B005F6">
      <w:pPr>
        <w:spacing w:line="360" w:lineRule="auto"/>
        <w:jc w:val="both"/>
      </w:pPr>
      <w:r>
        <w:rPr>
          <w:rFonts w:ascii="Book Antiqua" w:eastAsia="Book Antiqua" w:hAnsi="Book Antiqua" w:cs="Book Antiqua"/>
          <w:color w:val="000000"/>
        </w:rPr>
        <w:t>Grade C (Good): C</w:t>
      </w:r>
    </w:p>
    <w:p w14:paraId="51462840" w14:textId="77777777" w:rsidR="00A77B3E" w:rsidRDefault="00B005F6">
      <w:pPr>
        <w:spacing w:line="360" w:lineRule="auto"/>
        <w:jc w:val="both"/>
      </w:pPr>
      <w:r>
        <w:rPr>
          <w:rFonts w:ascii="Book Antiqua" w:eastAsia="Book Antiqua" w:hAnsi="Book Antiqua" w:cs="Book Antiqua"/>
          <w:color w:val="000000"/>
        </w:rPr>
        <w:t>Grade D (Fair): 0</w:t>
      </w:r>
    </w:p>
    <w:p w14:paraId="0B830A2D" w14:textId="77777777" w:rsidR="00A77B3E" w:rsidRDefault="00B005F6">
      <w:pPr>
        <w:spacing w:line="360" w:lineRule="auto"/>
        <w:jc w:val="both"/>
      </w:pPr>
      <w:r>
        <w:rPr>
          <w:rFonts w:ascii="Book Antiqua" w:eastAsia="Book Antiqua" w:hAnsi="Book Antiqua" w:cs="Book Antiqua"/>
          <w:color w:val="000000"/>
        </w:rPr>
        <w:t>Grade E (Poor): 0</w:t>
      </w:r>
    </w:p>
    <w:p w14:paraId="3D2A1B8B" w14:textId="77777777" w:rsidR="00A77B3E" w:rsidRDefault="00A77B3E">
      <w:pPr>
        <w:spacing w:line="360" w:lineRule="auto"/>
        <w:jc w:val="both"/>
      </w:pPr>
    </w:p>
    <w:p w14:paraId="136F6A02" w14:textId="77777777" w:rsidR="00A77B3E" w:rsidRDefault="00B005F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Lui</w:t>
      </w:r>
      <w:proofErr w:type="spellEnd"/>
      <w:r>
        <w:rPr>
          <w:rFonts w:ascii="Book Antiqua" w:eastAsia="Book Antiqua" w:hAnsi="Book Antiqua" w:cs="Book Antiqua"/>
          <w:color w:val="000000"/>
        </w:rPr>
        <w:t xml:space="preserve"> RN</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P-Editor: </w:t>
      </w:r>
    </w:p>
    <w:p w14:paraId="3F1024EE" w14:textId="77777777" w:rsidR="008A069F" w:rsidRDefault="008A069F">
      <w:pPr>
        <w:spacing w:line="360" w:lineRule="auto"/>
        <w:jc w:val="both"/>
        <w:sectPr w:rsidR="008A069F">
          <w:pgSz w:w="12240" w:h="15840"/>
          <w:pgMar w:top="1440" w:right="1440" w:bottom="1440" w:left="1440" w:header="720" w:footer="720" w:gutter="0"/>
          <w:cols w:space="720"/>
          <w:docGrid w:linePitch="360"/>
        </w:sectPr>
      </w:pPr>
    </w:p>
    <w:p w14:paraId="34427F48" w14:textId="357C0205" w:rsidR="00A77B3E" w:rsidRDefault="00B005F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16658E6" w14:textId="56279724" w:rsidR="006512D2" w:rsidRDefault="006512D2">
      <w:pPr>
        <w:spacing w:line="360" w:lineRule="auto"/>
        <w:jc w:val="both"/>
      </w:pPr>
      <w:r w:rsidRPr="006512D2">
        <w:rPr>
          <w:noProof/>
          <w:lang w:eastAsia="zh-CN"/>
        </w:rPr>
        <w:drawing>
          <wp:inline distT="0" distB="0" distL="0" distR="0" wp14:anchorId="47DE162C" wp14:editId="3DABCFCE">
            <wp:extent cx="4888230" cy="5652809"/>
            <wp:effectExtent l="381000" t="0" r="369570" b="0"/>
            <wp:docPr id="7" name="図 6">
              <a:extLst xmlns:a="http://schemas.openxmlformats.org/drawingml/2006/main">
                <a:ext uri="{FF2B5EF4-FFF2-40B4-BE49-F238E27FC236}">
                  <a16:creationId xmlns:a16="http://schemas.microsoft.com/office/drawing/2014/main" id="{1DB0E41C-C1EB-484A-81BD-FA4EEC88B0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a:extLst>
                        <a:ext uri="{FF2B5EF4-FFF2-40B4-BE49-F238E27FC236}">
                          <a16:creationId xmlns:a16="http://schemas.microsoft.com/office/drawing/2014/main" id="{1DB0E41C-C1EB-484A-81BD-FA4EEC88B03A}"/>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l="15786" r="19357"/>
                    <a:stretch/>
                  </pic:blipFill>
                  <pic:spPr>
                    <a:xfrm rot="5400000">
                      <a:off x="0" y="0"/>
                      <a:ext cx="4889172" cy="5653898"/>
                    </a:xfrm>
                    <a:prstGeom prst="rect">
                      <a:avLst/>
                    </a:prstGeom>
                  </pic:spPr>
                </pic:pic>
              </a:graphicData>
            </a:graphic>
          </wp:inline>
        </w:drawing>
      </w:r>
    </w:p>
    <w:p w14:paraId="7619BB9A" w14:textId="144B7C39" w:rsidR="006512D2" w:rsidRDefault="00B005F6">
      <w:pPr>
        <w:spacing w:line="360" w:lineRule="auto"/>
        <w:jc w:val="both"/>
        <w:rPr>
          <w:rFonts w:ascii="Book Antiqua" w:eastAsia="Book Antiqua" w:hAnsi="Book Antiqua" w:cs="Book Antiqua"/>
          <w:b/>
          <w:bCs/>
          <w:color w:val="000000"/>
          <w:szCs w:val="21"/>
        </w:rPr>
      </w:pPr>
      <w:r>
        <w:rPr>
          <w:rFonts w:ascii="Book Antiqua" w:eastAsia="Book Antiqua" w:hAnsi="Book Antiqua" w:cs="Book Antiqua"/>
          <w:b/>
          <w:bCs/>
          <w:color w:val="000000"/>
          <w:szCs w:val="21"/>
        </w:rPr>
        <w:t xml:space="preserve">Figure 1 </w:t>
      </w:r>
      <w:r w:rsidRPr="006512D2">
        <w:rPr>
          <w:rFonts w:ascii="Book Antiqua" w:eastAsia="Book Antiqua" w:hAnsi="Book Antiqua" w:cs="Book Antiqua"/>
          <w:b/>
          <w:bCs/>
          <w:color w:val="000000"/>
          <w:szCs w:val="21"/>
        </w:rPr>
        <w:t>A surgical mask for patient during procedure with a handmade scope insertion port</w:t>
      </w:r>
      <w:r w:rsidR="006512D2" w:rsidRPr="006512D2">
        <w:rPr>
          <w:rFonts w:ascii="Book Antiqua" w:eastAsia="Book Antiqua" w:hAnsi="Book Antiqua" w:cs="Book Antiqua"/>
          <w:b/>
          <w:bCs/>
          <w:color w:val="000000"/>
          <w:szCs w:val="21"/>
        </w:rPr>
        <w:t>.</w:t>
      </w:r>
    </w:p>
    <w:p w14:paraId="543F09F7" w14:textId="02339BF4" w:rsidR="00A77B3E" w:rsidRPr="00853035" w:rsidRDefault="006512D2">
      <w:pPr>
        <w:spacing w:line="360" w:lineRule="auto"/>
        <w:jc w:val="both"/>
        <w:rPr>
          <w:rFonts w:ascii="Book Antiqua" w:eastAsia="Book Antiqua" w:hAnsi="Book Antiqua" w:cs="Book Antiqua"/>
          <w:b/>
          <w:bCs/>
          <w:color w:val="000000"/>
          <w:szCs w:val="21"/>
        </w:rPr>
      </w:pPr>
      <w:r>
        <w:rPr>
          <w:rFonts w:ascii="Book Antiqua" w:eastAsia="Book Antiqua" w:hAnsi="Book Antiqua" w:cs="Book Antiqua"/>
          <w:b/>
          <w:bCs/>
          <w:color w:val="000000"/>
          <w:szCs w:val="21"/>
        </w:rPr>
        <w:br w:type="page"/>
      </w:r>
      <w:r w:rsidR="00B005F6">
        <w:rPr>
          <w:rFonts w:ascii="Book Antiqua" w:eastAsia="Book Antiqua" w:hAnsi="Book Antiqua" w:cs="Book Antiqua"/>
          <w:b/>
          <w:bCs/>
          <w:color w:val="000000"/>
          <w:szCs w:val="21"/>
        </w:rPr>
        <w:lastRenderedPageBreak/>
        <w:t xml:space="preserve">Table 1 </w:t>
      </w:r>
      <w:r w:rsidR="00B005F6" w:rsidRPr="00853035">
        <w:rPr>
          <w:rFonts w:ascii="Book Antiqua" w:eastAsia="Book Antiqua" w:hAnsi="Book Antiqua" w:cs="Book Antiqua"/>
          <w:b/>
          <w:bCs/>
          <w:color w:val="000000"/>
          <w:szCs w:val="21"/>
        </w:rPr>
        <w:t>Comparison of gastrointestinal endoscopy performed in 2019 and 2020</w:t>
      </w:r>
    </w:p>
    <w:tbl>
      <w:tblPr>
        <w:tblStyle w:val="1"/>
        <w:tblW w:w="9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2117"/>
        <w:gridCol w:w="2056"/>
        <w:gridCol w:w="1552"/>
      </w:tblGrid>
      <w:tr w:rsidR="00853035" w:rsidRPr="00853035" w14:paraId="2E012965" w14:textId="77777777" w:rsidTr="00E15BE6">
        <w:trPr>
          <w:trHeight w:val="429"/>
        </w:trPr>
        <w:tc>
          <w:tcPr>
            <w:tcW w:w="3867" w:type="dxa"/>
            <w:tcBorders>
              <w:top w:val="single" w:sz="4" w:space="0" w:color="auto"/>
              <w:bottom w:val="single" w:sz="4" w:space="0" w:color="auto"/>
            </w:tcBorders>
          </w:tcPr>
          <w:p w14:paraId="4D79D1C3" w14:textId="77777777" w:rsidR="00853035" w:rsidRPr="00853035" w:rsidRDefault="00853035" w:rsidP="00853035">
            <w:pPr>
              <w:spacing w:line="360" w:lineRule="auto"/>
              <w:rPr>
                <w:rFonts w:ascii="Book Antiqua" w:hAnsi="Book Antiqua" w:cs="Times New Roman"/>
                <w:b/>
                <w:bCs/>
                <w:color w:val="000000" w:themeColor="text1"/>
                <w:szCs w:val="21"/>
              </w:rPr>
            </w:pPr>
          </w:p>
        </w:tc>
        <w:tc>
          <w:tcPr>
            <w:tcW w:w="2117" w:type="dxa"/>
            <w:tcBorders>
              <w:top w:val="single" w:sz="4" w:space="0" w:color="auto"/>
              <w:bottom w:val="single" w:sz="4" w:space="0" w:color="auto"/>
            </w:tcBorders>
          </w:tcPr>
          <w:p w14:paraId="55711123" w14:textId="77777777" w:rsidR="00853035" w:rsidRPr="00853035" w:rsidRDefault="00853035" w:rsidP="00853035">
            <w:pPr>
              <w:spacing w:line="360" w:lineRule="auto"/>
              <w:rPr>
                <w:rFonts w:ascii="Book Antiqua" w:hAnsi="Book Antiqua" w:cs="Times New Roman"/>
                <w:b/>
                <w:bCs/>
                <w:color w:val="000000" w:themeColor="text1"/>
                <w:szCs w:val="21"/>
              </w:rPr>
            </w:pPr>
            <w:r w:rsidRPr="00853035">
              <w:rPr>
                <w:rFonts w:ascii="Book Antiqua" w:hAnsi="Book Antiqua" w:cs="Times New Roman"/>
                <w:b/>
                <w:bCs/>
                <w:color w:val="000000" w:themeColor="text1"/>
                <w:szCs w:val="21"/>
              </w:rPr>
              <w:t>2020</w:t>
            </w:r>
          </w:p>
        </w:tc>
        <w:tc>
          <w:tcPr>
            <w:tcW w:w="2056" w:type="dxa"/>
            <w:tcBorders>
              <w:top w:val="single" w:sz="4" w:space="0" w:color="auto"/>
              <w:bottom w:val="single" w:sz="4" w:space="0" w:color="auto"/>
            </w:tcBorders>
          </w:tcPr>
          <w:p w14:paraId="6DAB49BF" w14:textId="77777777" w:rsidR="00853035" w:rsidRPr="00853035" w:rsidRDefault="00853035" w:rsidP="00853035">
            <w:pPr>
              <w:spacing w:line="360" w:lineRule="auto"/>
              <w:rPr>
                <w:rFonts w:ascii="Book Antiqua" w:hAnsi="Book Antiqua" w:cs="Times New Roman"/>
                <w:b/>
                <w:bCs/>
                <w:color w:val="000000" w:themeColor="text1"/>
                <w:szCs w:val="21"/>
              </w:rPr>
            </w:pPr>
            <w:r w:rsidRPr="00853035">
              <w:rPr>
                <w:rFonts w:ascii="Book Antiqua" w:hAnsi="Book Antiqua" w:cs="Times New Roman"/>
                <w:b/>
                <w:bCs/>
                <w:color w:val="000000" w:themeColor="text1"/>
                <w:szCs w:val="21"/>
              </w:rPr>
              <w:t>2019</w:t>
            </w:r>
          </w:p>
        </w:tc>
        <w:tc>
          <w:tcPr>
            <w:tcW w:w="1552" w:type="dxa"/>
            <w:tcBorders>
              <w:top w:val="single" w:sz="4" w:space="0" w:color="auto"/>
              <w:bottom w:val="single" w:sz="4" w:space="0" w:color="auto"/>
            </w:tcBorders>
          </w:tcPr>
          <w:p w14:paraId="5F392304" w14:textId="15A33FCF" w:rsidR="00853035" w:rsidRPr="00853035" w:rsidRDefault="00853035" w:rsidP="00853035">
            <w:pPr>
              <w:spacing w:line="360" w:lineRule="auto"/>
              <w:rPr>
                <w:rFonts w:ascii="Book Antiqua" w:hAnsi="Book Antiqua" w:cs="Times New Roman"/>
                <w:b/>
                <w:bCs/>
                <w:color w:val="000000" w:themeColor="text1"/>
                <w:szCs w:val="21"/>
              </w:rPr>
            </w:pPr>
            <w:r w:rsidRPr="00853035">
              <w:rPr>
                <w:rFonts w:ascii="Book Antiqua" w:hAnsi="Book Antiqua" w:cs="Times New Roman"/>
                <w:b/>
                <w:bCs/>
                <w:i/>
                <w:iCs/>
                <w:color w:val="000000" w:themeColor="text1"/>
                <w:szCs w:val="21"/>
              </w:rPr>
              <w:t>P</w:t>
            </w:r>
            <w:r>
              <w:rPr>
                <w:rFonts w:ascii="Book Antiqua" w:hAnsi="Book Antiqua" w:cs="Times New Roman"/>
                <w:b/>
                <w:bCs/>
                <w:color w:val="000000" w:themeColor="text1"/>
                <w:szCs w:val="21"/>
              </w:rPr>
              <w:t xml:space="preserve"> </w:t>
            </w:r>
            <w:r w:rsidRPr="00853035">
              <w:rPr>
                <w:rFonts w:ascii="Book Antiqua" w:hAnsi="Book Antiqua" w:cs="Times New Roman"/>
                <w:b/>
                <w:bCs/>
                <w:color w:val="000000" w:themeColor="text1"/>
                <w:szCs w:val="21"/>
              </w:rPr>
              <w:t>value</w:t>
            </w:r>
          </w:p>
        </w:tc>
      </w:tr>
      <w:tr w:rsidR="00853035" w:rsidRPr="00853035" w14:paraId="22F47774" w14:textId="77777777" w:rsidTr="00E15BE6">
        <w:trPr>
          <w:trHeight w:val="454"/>
        </w:trPr>
        <w:tc>
          <w:tcPr>
            <w:tcW w:w="3867" w:type="dxa"/>
            <w:tcBorders>
              <w:top w:val="single" w:sz="4" w:space="0" w:color="auto"/>
            </w:tcBorders>
          </w:tcPr>
          <w:p w14:paraId="7D9DD277" w14:textId="77777777" w:rsidR="00853035" w:rsidRPr="00853035" w:rsidRDefault="00853035" w:rsidP="00853035">
            <w:pPr>
              <w:spacing w:line="360" w:lineRule="auto"/>
              <w:rPr>
                <w:rFonts w:ascii="Book Antiqua" w:hAnsi="Book Antiqua" w:cs="Times New Roman"/>
                <w:color w:val="000000" w:themeColor="text1"/>
                <w:szCs w:val="21"/>
              </w:rPr>
            </w:pPr>
            <w:r w:rsidRPr="00853035">
              <w:rPr>
                <w:rFonts w:ascii="Book Antiqua" w:hAnsi="Book Antiqua" w:cs="Times New Roman"/>
                <w:color w:val="000000" w:themeColor="text1"/>
                <w:szCs w:val="21"/>
              </w:rPr>
              <w:t xml:space="preserve">Upper endoscopy, </w:t>
            </w:r>
            <w:r w:rsidRPr="00853035">
              <w:rPr>
                <w:rFonts w:ascii="Book Antiqua" w:hAnsi="Book Antiqua" w:cs="Times New Roman"/>
                <w:i/>
                <w:iCs/>
                <w:color w:val="000000" w:themeColor="text1"/>
                <w:szCs w:val="21"/>
              </w:rPr>
              <w:t>n</w:t>
            </w:r>
          </w:p>
        </w:tc>
        <w:tc>
          <w:tcPr>
            <w:tcW w:w="2117" w:type="dxa"/>
            <w:tcBorders>
              <w:top w:val="single" w:sz="4" w:space="0" w:color="auto"/>
            </w:tcBorders>
          </w:tcPr>
          <w:p w14:paraId="2AA02A13" w14:textId="77777777" w:rsidR="00853035" w:rsidRPr="00853035" w:rsidRDefault="00853035" w:rsidP="00853035">
            <w:pPr>
              <w:spacing w:line="360" w:lineRule="auto"/>
              <w:rPr>
                <w:rFonts w:ascii="Book Antiqua" w:hAnsi="Book Antiqua" w:cs="Times New Roman"/>
                <w:color w:val="000000" w:themeColor="text1"/>
                <w:szCs w:val="21"/>
              </w:rPr>
            </w:pPr>
            <w:r w:rsidRPr="00853035">
              <w:rPr>
                <w:rFonts w:ascii="Book Antiqua" w:hAnsi="Book Antiqua" w:cs="Times New Roman"/>
                <w:color w:val="000000" w:themeColor="text1"/>
                <w:szCs w:val="21"/>
              </w:rPr>
              <w:t>311</w:t>
            </w:r>
          </w:p>
        </w:tc>
        <w:tc>
          <w:tcPr>
            <w:tcW w:w="2056" w:type="dxa"/>
            <w:tcBorders>
              <w:top w:val="single" w:sz="4" w:space="0" w:color="auto"/>
            </w:tcBorders>
          </w:tcPr>
          <w:p w14:paraId="5D7AE4B5" w14:textId="77777777" w:rsidR="00853035" w:rsidRPr="00853035" w:rsidRDefault="00853035" w:rsidP="00853035">
            <w:pPr>
              <w:spacing w:line="360" w:lineRule="auto"/>
              <w:rPr>
                <w:rFonts w:ascii="Book Antiqua" w:hAnsi="Book Antiqua" w:cs="Times New Roman"/>
                <w:color w:val="000000" w:themeColor="text1"/>
                <w:szCs w:val="21"/>
              </w:rPr>
            </w:pPr>
            <w:r w:rsidRPr="00853035">
              <w:rPr>
                <w:rFonts w:ascii="Book Antiqua" w:hAnsi="Book Antiqua" w:cs="Times New Roman"/>
                <w:color w:val="000000" w:themeColor="text1"/>
                <w:szCs w:val="21"/>
              </w:rPr>
              <w:t>790</w:t>
            </w:r>
          </w:p>
        </w:tc>
        <w:tc>
          <w:tcPr>
            <w:tcW w:w="1552" w:type="dxa"/>
            <w:tcBorders>
              <w:top w:val="single" w:sz="4" w:space="0" w:color="auto"/>
            </w:tcBorders>
          </w:tcPr>
          <w:p w14:paraId="4EA4CA5F" w14:textId="77777777" w:rsidR="00853035" w:rsidRPr="00853035" w:rsidRDefault="00853035" w:rsidP="00853035">
            <w:pPr>
              <w:spacing w:line="360" w:lineRule="auto"/>
              <w:rPr>
                <w:rFonts w:ascii="Book Antiqua" w:hAnsi="Book Antiqua" w:cs="Times New Roman"/>
                <w:color w:val="000000" w:themeColor="text1"/>
                <w:szCs w:val="21"/>
              </w:rPr>
            </w:pPr>
          </w:p>
        </w:tc>
      </w:tr>
      <w:tr w:rsidR="00853035" w:rsidRPr="00853035" w14:paraId="04725574" w14:textId="77777777" w:rsidTr="00E15BE6">
        <w:trPr>
          <w:trHeight w:val="454"/>
        </w:trPr>
        <w:tc>
          <w:tcPr>
            <w:tcW w:w="3867" w:type="dxa"/>
          </w:tcPr>
          <w:p w14:paraId="179767EC" w14:textId="77777777" w:rsidR="00853035" w:rsidRPr="00853035" w:rsidRDefault="00853035" w:rsidP="00853035">
            <w:pPr>
              <w:spacing w:line="360" w:lineRule="auto"/>
              <w:rPr>
                <w:rFonts w:ascii="Book Antiqua" w:hAnsi="Book Antiqua" w:cs="Times New Roman"/>
                <w:color w:val="000000" w:themeColor="text1"/>
                <w:szCs w:val="21"/>
              </w:rPr>
            </w:pPr>
            <w:r w:rsidRPr="00853035">
              <w:rPr>
                <w:rFonts w:ascii="Book Antiqua" w:hAnsi="Book Antiqua" w:cs="Times New Roman"/>
                <w:color w:val="000000" w:themeColor="text1"/>
                <w:szCs w:val="21"/>
              </w:rPr>
              <w:t xml:space="preserve">Colonoscopy, </w:t>
            </w:r>
            <w:r w:rsidRPr="00853035">
              <w:rPr>
                <w:rFonts w:ascii="Book Antiqua" w:hAnsi="Book Antiqua" w:cs="Times New Roman"/>
                <w:i/>
                <w:iCs/>
                <w:color w:val="000000" w:themeColor="text1"/>
                <w:szCs w:val="21"/>
              </w:rPr>
              <w:t>n</w:t>
            </w:r>
          </w:p>
        </w:tc>
        <w:tc>
          <w:tcPr>
            <w:tcW w:w="2117" w:type="dxa"/>
          </w:tcPr>
          <w:p w14:paraId="267A86DA" w14:textId="77777777" w:rsidR="00853035" w:rsidRPr="00853035" w:rsidRDefault="00853035" w:rsidP="00853035">
            <w:pPr>
              <w:spacing w:line="360" w:lineRule="auto"/>
              <w:rPr>
                <w:rFonts w:ascii="Book Antiqua" w:hAnsi="Book Antiqua" w:cs="Times New Roman"/>
                <w:color w:val="000000" w:themeColor="text1"/>
                <w:szCs w:val="21"/>
              </w:rPr>
            </w:pPr>
            <w:r w:rsidRPr="00853035">
              <w:rPr>
                <w:rFonts w:ascii="Book Antiqua" w:hAnsi="Book Antiqua" w:cs="Times New Roman"/>
                <w:color w:val="000000" w:themeColor="text1"/>
                <w:szCs w:val="21"/>
              </w:rPr>
              <w:t>233</w:t>
            </w:r>
          </w:p>
        </w:tc>
        <w:tc>
          <w:tcPr>
            <w:tcW w:w="2056" w:type="dxa"/>
          </w:tcPr>
          <w:p w14:paraId="459422ED" w14:textId="77777777" w:rsidR="00853035" w:rsidRPr="00853035" w:rsidRDefault="00853035" w:rsidP="00853035">
            <w:pPr>
              <w:spacing w:line="360" w:lineRule="auto"/>
              <w:rPr>
                <w:rFonts w:ascii="Book Antiqua" w:hAnsi="Book Antiqua" w:cs="Times New Roman"/>
                <w:color w:val="000000" w:themeColor="text1"/>
                <w:szCs w:val="21"/>
              </w:rPr>
            </w:pPr>
            <w:r w:rsidRPr="00853035">
              <w:rPr>
                <w:rFonts w:ascii="Book Antiqua" w:hAnsi="Book Antiqua" w:cs="Times New Roman"/>
                <w:color w:val="000000" w:themeColor="text1"/>
                <w:szCs w:val="21"/>
              </w:rPr>
              <w:t>537</w:t>
            </w:r>
          </w:p>
        </w:tc>
        <w:tc>
          <w:tcPr>
            <w:tcW w:w="1552" w:type="dxa"/>
          </w:tcPr>
          <w:p w14:paraId="5F0CADBF" w14:textId="77777777" w:rsidR="00853035" w:rsidRPr="00853035" w:rsidRDefault="00853035" w:rsidP="00853035">
            <w:pPr>
              <w:spacing w:line="360" w:lineRule="auto"/>
              <w:rPr>
                <w:rFonts w:ascii="Book Antiqua" w:hAnsi="Book Antiqua" w:cs="Times New Roman"/>
                <w:color w:val="000000" w:themeColor="text1"/>
                <w:szCs w:val="21"/>
              </w:rPr>
            </w:pPr>
          </w:p>
        </w:tc>
      </w:tr>
      <w:tr w:rsidR="00853035" w:rsidRPr="00853035" w14:paraId="362DE9AE" w14:textId="77777777" w:rsidTr="00E15BE6">
        <w:trPr>
          <w:trHeight w:val="441"/>
        </w:trPr>
        <w:tc>
          <w:tcPr>
            <w:tcW w:w="3867" w:type="dxa"/>
          </w:tcPr>
          <w:p w14:paraId="3144E72F" w14:textId="77777777" w:rsidR="00853035" w:rsidRPr="00853035" w:rsidRDefault="00853035" w:rsidP="00853035">
            <w:pPr>
              <w:spacing w:line="360" w:lineRule="auto"/>
              <w:rPr>
                <w:rFonts w:ascii="Book Antiqua" w:hAnsi="Book Antiqua" w:cs="Times New Roman"/>
                <w:color w:val="000000" w:themeColor="text1"/>
                <w:szCs w:val="21"/>
              </w:rPr>
            </w:pPr>
            <w:r w:rsidRPr="00853035">
              <w:rPr>
                <w:rFonts w:ascii="Book Antiqua" w:hAnsi="Book Antiqua" w:cs="Times New Roman"/>
                <w:color w:val="000000" w:themeColor="text1"/>
                <w:szCs w:val="21"/>
              </w:rPr>
              <w:t xml:space="preserve">Total, </w:t>
            </w:r>
            <w:r w:rsidRPr="00853035">
              <w:rPr>
                <w:rFonts w:ascii="Book Antiqua" w:hAnsi="Book Antiqua" w:cs="Times New Roman"/>
                <w:i/>
                <w:iCs/>
                <w:color w:val="000000" w:themeColor="text1"/>
                <w:szCs w:val="21"/>
              </w:rPr>
              <w:t>n</w:t>
            </w:r>
          </w:p>
        </w:tc>
        <w:tc>
          <w:tcPr>
            <w:tcW w:w="2117" w:type="dxa"/>
          </w:tcPr>
          <w:p w14:paraId="3B65B7B6" w14:textId="77777777" w:rsidR="00853035" w:rsidRPr="00853035" w:rsidRDefault="00853035" w:rsidP="00853035">
            <w:pPr>
              <w:spacing w:line="360" w:lineRule="auto"/>
              <w:rPr>
                <w:rFonts w:ascii="Book Antiqua" w:hAnsi="Book Antiqua" w:cs="Times New Roman"/>
                <w:color w:val="000000" w:themeColor="text1"/>
                <w:szCs w:val="21"/>
              </w:rPr>
            </w:pPr>
            <w:r w:rsidRPr="00853035">
              <w:rPr>
                <w:rFonts w:ascii="Book Antiqua" w:hAnsi="Book Antiqua" w:cs="Times New Roman"/>
                <w:color w:val="000000" w:themeColor="text1"/>
                <w:szCs w:val="21"/>
              </w:rPr>
              <w:t>544</w:t>
            </w:r>
          </w:p>
        </w:tc>
        <w:tc>
          <w:tcPr>
            <w:tcW w:w="2056" w:type="dxa"/>
          </w:tcPr>
          <w:p w14:paraId="48459F74" w14:textId="77777777" w:rsidR="00853035" w:rsidRPr="00853035" w:rsidRDefault="00853035" w:rsidP="00853035">
            <w:pPr>
              <w:spacing w:line="360" w:lineRule="auto"/>
              <w:rPr>
                <w:rFonts w:ascii="Book Antiqua" w:hAnsi="Book Antiqua" w:cs="Times New Roman"/>
                <w:color w:val="000000" w:themeColor="text1"/>
                <w:szCs w:val="21"/>
              </w:rPr>
            </w:pPr>
            <w:r w:rsidRPr="00853035">
              <w:rPr>
                <w:rFonts w:ascii="Book Antiqua" w:hAnsi="Book Antiqua" w:cs="Times New Roman"/>
                <w:color w:val="000000" w:themeColor="text1"/>
                <w:szCs w:val="21"/>
              </w:rPr>
              <w:t>1327</w:t>
            </w:r>
          </w:p>
        </w:tc>
        <w:tc>
          <w:tcPr>
            <w:tcW w:w="1552" w:type="dxa"/>
          </w:tcPr>
          <w:p w14:paraId="3202F2EB" w14:textId="77777777" w:rsidR="00853035" w:rsidRPr="00853035" w:rsidRDefault="00853035" w:rsidP="00853035">
            <w:pPr>
              <w:spacing w:line="360" w:lineRule="auto"/>
              <w:rPr>
                <w:rFonts w:ascii="Book Antiqua" w:hAnsi="Book Antiqua" w:cs="Times New Roman"/>
                <w:color w:val="000000" w:themeColor="text1"/>
                <w:szCs w:val="21"/>
              </w:rPr>
            </w:pPr>
          </w:p>
        </w:tc>
      </w:tr>
      <w:tr w:rsidR="00853035" w:rsidRPr="00853035" w14:paraId="11A4115B" w14:textId="77777777" w:rsidTr="00E15BE6">
        <w:trPr>
          <w:trHeight w:val="454"/>
        </w:trPr>
        <w:tc>
          <w:tcPr>
            <w:tcW w:w="3867" w:type="dxa"/>
          </w:tcPr>
          <w:p w14:paraId="1A6A768E" w14:textId="76C3951C" w:rsidR="00853035" w:rsidRPr="00853035" w:rsidRDefault="00853035" w:rsidP="00853035">
            <w:pPr>
              <w:spacing w:line="360" w:lineRule="auto"/>
              <w:rPr>
                <w:rFonts w:ascii="Book Antiqua" w:hAnsi="Book Antiqua" w:cs="Times New Roman"/>
                <w:color w:val="000000" w:themeColor="text1"/>
                <w:szCs w:val="21"/>
              </w:rPr>
            </w:pPr>
            <w:r w:rsidRPr="00853035">
              <w:rPr>
                <w:rFonts w:ascii="Book Antiqua" w:hAnsi="Book Antiqua" w:cs="Times New Roman"/>
                <w:color w:val="000000" w:themeColor="text1"/>
                <w:szCs w:val="21"/>
              </w:rPr>
              <w:t>Age</w:t>
            </w:r>
            <w:r>
              <w:rPr>
                <w:rFonts w:ascii="Book Antiqua" w:hAnsi="Book Antiqua" w:cs="Times New Roman"/>
                <w:color w:val="000000" w:themeColor="text1"/>
                <w:szCs w:val="21"/>
              </w:rPr>
              <w:t xml:space="preserve"> (</w:t>
            </w:r>
            <w:proofErr w:type="spellStart"/>
            <w:r w:rsidRPr="00853035">
              <w:rPr>
                <w:rFonts w:ascii="Book Antiqua" w:hAnsi="Book Antiqua" w:cs="Times New Roman"/>
                <w:color w:val="000000" w:themeColor="text1"/>
                <w:szCs w:val="21"/>
              </w:rPr>
              <w:t>y</w:t>
            </w:r>
            <w:r>
              <w:rPr>
                <w:rFonts w:ascii="Book Antiqua" w:hAnsi="Book Antiqua" w:cs="Times New Roman"/>
                <w:color w:val="000000" w:themeColor="text1"/>
                <w:szCs w:val="21"/>
              </w:rPr>
              <w:t>r</w:t>
            </w:r>
            <w:proofErr w:type="spellEnd"/>
            <w:r>
              <w:rPr>
                <w:rFonts w:ascii="Book Antiqua" w:hAnsi="Book Antiqua" w:cs="Times New Roman"/>
                <w:color w:val="000000" w:themeColor="text1"/>
                <w:szCs w:val="21"/>
              </w:rPr>
              <w:t xml:space="preserve"> </w:t>
            </w:r>
            <w:r w:rsidRPr="00853035">
              <w:rPr>
                <w:rFonts w:ascii="Book Antiqua" w:hAnsi="Book Antiqua" w:cs="Times New Roman"/>
                <w:color w:val="000000" w:themeColor="text1"/>
                <w:szCs w:val="21"/>
              </w:rPr>
              <w:t xml:space="preserve">± </w:t>
            </w:r>
            <w:r>
              <w:rPr>
                <w:rFonts w:ascii="Book Antiqua" w:hAnsi="Book Antiqua" w:cs="Times New Roman"/>
                <w:color w:val="000000" w:themeColor="text1"/>
                <w:szCs w:val="21"/>
              </w:rPr>
              <w:t>SD)</w:t>
            </w:r>
          </w:p>
        </w:tc>
        <w:tc>
          <w:tcPr>
            <w:tcW w:w="2117" w:type="dxa"/>
          </w:tcPr>
          <w:p w14:paraId="0152DDDC" w14:textId="77777777" w:rsidR="00853035" w:rsidRPr="00853035" w:rsidRDefault="00853035" w:rsidP="00853035">
            <w:pPr>
              <w:spacing w:line="360" w:lineRule="auto"/>
              <w:rPr>
                <w:rFonts w:ascii="Book Antiqua" w:hAnsi="Book Antiqua" w:cs="Times New Roman"/>
                <w:color w:val="000000" w:themeColor="text1"/>
                <w:szCs w:val="21"/>
              </w:rPr>
            </w:pPr>
            <w:r w:rsidRPr="00853035">
              <w:rPr>
                <w:rFonts w:ascii="Book Antiqua" w:hAnsi="Book Antiqua" w:cs="Times New Roman"/>
                <w:color w:val="000000" w:themeColor="text1"/>
                <w:szCs w:val="21"/>
              </w:rPr>
              <w:t>55.2 ± 13.4</w:t>
            </w:r>
          </w:p>
        </w:tc>
        <w:tc>
          <w:tcPr>
            <w:tcW w:w="2056" w:type="dxa"/>
          </w:tcPr>
          <w:p w14:paraId="63160435" w14:textId="77777777" w:rsidR="00853035" w:rsidRPr="00853035" w:rsidRDefault="00853035" w:rsidP="00853035">
            <w:pPr>
              <w:spacing w:line="360" w:lineRule="auto"/>
              <w:rPr>
                <w:rFonts w:ascii="Book Antiqua" w:hAnsi="Book Antiqua" w:cs="Times New Roman"/>
                <w:color w:val="000000" w:themeColor="text1"/>
                <w:szCs w:val="21"/>
              </w:rPr>
            </w:pPr>
            <w:r w:rsidRPr="00853035">
              <w:rPr>
                <w:rFonts w:ascii="Book Antiqua" w:hAnsi="Book Antiqua" w:cs="Times New Roman"/>
                <w:color w:val="000000" w:themeColor="text1"/>
                <w:szCs w:val="21"/>
              </w:rPr>
              <w:t>55.8 ± 13.2</w:t>
            </w:r>
          </w:p>
        </w:tc>
        <w:tc>
          <w:tcPr>
            <w:tcW w:w="1552" w:type="dxa"/>
          </w:tcPr>
          <w:p w14:paraId="5EAC4370" w14:textId="77777777" w:rsidR="00853035" w:rsidRPr="00853035" w:rsidRDefault="00853035" w:rsidP="00853035">
            <w:pPr>
              <w:spacing w:line="360" w:lineRule="auto"/>
              <w:rPr>
                <w:rFonts w:ascii="Book Antiqua" w:hAnsi="Book Antiqua" w:cs="Times New Roman"/>
                <w:color w:val="000000" w:themeColor="text1"/>
                <w:szCs w:val="21"/>
              </w:rPr>
            </w:pPr>
            <w:r w:rsidRPr="00853035">
              <w:rPr>
                <w:rFonts w:ascii="Book Antiqua" w:hAnsi="Book Antiqua" w:cs="Times New Roman"/>
                <w:color w:val="000000" w:themeColor="text1"/>
                <w:szCs w:val="21"/>
              </w:rPr>
              <w:t>0.34</w:t>
            </w:r>
          </w:p>
        </w:tc>
      </w:tr>
      <w:tr w:rsidR="00853035" w:rsidRPr="00853035" w14:paraId="6D32373B" w14:textId="77777777" w:rsidTr="00E15BE6">
        <w:trPr>
          <w:trHeight w:val="454"/>
        </w:trPr>
        <w:tc>
          <w:tcPr>
            <w:tcW w:w="3867" w:type="dxa"/>
          </w:tcPr>
          <w:p w14:paraId="5E3A9896" w14:textId="77777777" w:rsidR="00853035" w:rsidRPr="00853035" w:rsidRDefault="00853035" w:rsidP="00853035">
            <w:pPr>
              <w:spacing w:line="360" w:lineRule="auto"/>
              <w:rPr>
                <w:rFonts w:ascii="Book Antiqua" w:hAnsi="Book Antiqua" w:cs="Times New Roman"/>
                <w:color w:val="000000" w:themeColor="text1"/>
                <w:szCs w:val="21"/>
              </w:rPr>
            </w:pPr>
            <w:r w:rsidRPr="00853035">
              <w:rPr>
                <w:rFonts w:ascii="Book Antiqua" w:hAnsi="Book Antiqua" w:cs="Times New Roman"/>
                <w:color w:val="000000" w:themeColor="text1"/>
                <w:szCs w:val="21"/>
              </w:rPr>
              <w:t>Sex, male (%)</w:t>
            </w:r>
          </w:p>
        </w:tc>
        <w:tc>
          <w:tcPr>
            <w:tcW w:w="2117" w:type="dxa"/>
          </w:tcPr>
          <w:p w14:paraId="08FCAC1B" w14:textId="77777777" w:rsidR="00853035" w:rsidRPr="00853035" w:rsidRDefault="00853035" w:rsidP="00853035">
            <w:pPr>
              <w:spacing w:line="360" w:lineRule="auto"/>
              <w:rPr>
                <w:rFonts w:ascii="Book Antiqua" w:hAnsi="Book Antiqua" w:cs="Times New Roman"/>
                <w:color w:val="000000" w:themeColor="text1"/>
                <w:szCs w:val="21"/>
              </w:rPr>
            </w:pPr>
            <w:r w:rsidRPr="00853035">
              <w:rPr>
                <w:rFonts w:ascii="Book Antiqua" w:hAnsi="Book Antiqua" w:cs="Times New Roman"/>
                <w:color w:val="000000" w:themeColor="text1"/>
                <w:szCs w:val="21"/>
              </w:rPr>
              <w:t>53.9</w:t>
            </w:r>
          </w:p>
        </w:tc>
        <w:tc>
          <w:tcPr>
            <w:tcW w:w="2056" w:type="dxa"/>
          </w:tcPr>
          <w:p w14:paraId="606333B7" w14:textId="77777777" w:rsidR="00853035" w:rsidRPr="00853035" w:rsidRDefault="00853035" w:rsidP="00853035">
            <w:pPr>
              <w:spacing w:line="360" w:lineRule="auto"/>
              <w:rPr>
                <w:rFonts w:ascii="Book Antiqua" w:hAnsi="Book Antiqua" w:cs="Times New Roman"/>
                <w:color w:val="000000" w:themeColor="text1"/>
                <w:szCs w:val="21"/>
              </w:rPr>
            </w:pPr>
            <w:r w:rsidRPr="00853035">
              <w:rPr>
                <w:rFonts w:ascii="Book Antiqua" w:hAnsi="Book Antiqua" w:cs="Times New Roman"/>
                <w:color w:val="000000" w:themeColor="text1"/>
                <w:szCs w:val="21"/>
              </w:rPr>
              <w:t>47.3</w:t>
            </w:r>
          </w:p>
        </w:tc>
        <w:tc>
          <w:tcPr>
            <w:tcW w:w="1552" w:type="dxa"/>
          </w:tcPr>
          <w:p w14:paraId="58C3DE41" w14:textId="77777777" w:rsidR="00853035" w:rsidRPr="00853035" w:rsidRDefault="00853035" w:rsidP="00853035">
            <w:pPr>
              <w:spacing w:line="360" w:lineRule="auto"/>
              <w:rPr>
                <w:rFonts w:ascii="Book Antiqua" w:hAnsi="Book Antiqua" w:cs="Times New Roman"/>
                <w:color w:val="000000" w:themeColor="text1"/>
                <w:szCs w:val="21"/>
              </w:rPr>
            </w:pPr>
            <w:r w:rsidRPr="00853035">
              <w:rPr>
                <w:rFonts w:ascii="Book Antiqua" w:hAnsi="Book Antiqua" w:cs="Times New Roman"/>
                <w:color w:val="000000" w:themeColor="text1"/>
                <w:szCs w:val="21"/>
              </w:rPr>
              <w:t>0.01</w:t>
            </w:r>
          </w:p>
        </w:tc>
      </w:tr>
      <w:tr w:rsidR="00853035" w:rsidRPr="00853035" w14:paraId="1CFCA85E" w14:textId="77777777" w:rsidTr="00E15BE6">
        <w:trPr>
          <w:trHeight w:val="454"/>
        </w:trPr>
        <w:tc>
          <w:tcPr>
            <w:tcW w:w="3867" w:type="dxa"/>
          </w:tcPr>
          <w:p w14:paraId="3A7DC78C" w14:textId="77777777" w:rsidR="00853035" w:rsidRPr="00853035" w:rsidRDefault="00853035" w:rsidP="00853035">
            <w:pPr>
              <w:spacing w:line="360" w:lineRule="auto"/>
              <w:rPr>
                <w:rFonts w:ascii="Book Antiqua" w:hAnsi="Book Antiqua" w:cs="Times New Roman"/>
                <w:color w:val="000000" w:themeColor="text1"/>
                <w:szCs w:val="21"/>
              </w:rPr>
            </w:pPr>
            <w:r w:rsidRPr="00853035">
              <w:rPr>
                <w:rFonts w:ascii="Book Antiqua" w:hAnsi="Book Antiqua" w:cs="Times New Roman"/>
                <w:color w:val="000000" w:themeColor="text1"/>
                <w:szCs w:val="21"/>
              </w:rPr>
              <w:t xml:space="preserve">All malignancies, </w:t>
            </w:r>
            <w:r w:rsidRPr="00853035">
              <w:rPr>
                <w:rFonts w:ascii="Book Antiqua" w:hAnsi="Book Antiqua" w:cs="Times New Roman"/>
                <w:i/>
                <w:iCs/>
                <w:color w:val="000000" w:themeColor="text1"/>
                <w:szCs w:val="21"/>
              </w:rPr>
              <w:t>n</w:t>
            </w:r>
            <w:r w:rsidRPr="00853035">
              <w:rPr>
                <w:rFonts w:ascii="Book Antiqua" w:hAnsi="Book Antiqua" w:cs="Times New Roman"/>
                <w:color w:val="000000" w:themeColor="text1"/>
                <w:szCs w:val="21"/>
              </w:rPr>
              <w:t xml:space="preserve"> (%)</w:t>
            </w:r>
          </w:p>
        </w:tc>
        <w:tc>
          <w:tcPr>
            <w:tcW w:w="2117" w:type="dxa"/>
          </w:tcPr>
          <w:p w14:paraId="065D1C1B" w14:textId="77777777" w:rsidR="00853035" w:rsidRPr="00853035" w:rsidRDefault="00853035" w:rsidP="00853035">
            <w:pPr>
              <w:spacing w:line="360" w:lineRule="auto"/>
              <w:rPr>
                <w:rFonts w:ascii="Book Antiqua" w:hAnsi="Book Antiqua" w:cs="Times New Roman"/>
                <w:color w:val="000000" w:themeColor="text1"/>
                <w:szCs w:val="21"/>
              </w:rPr>
            </w:pPr>
            <w:r w:rsidRPr="00853035">
              <w:rPr>
                <w:rFonts w:ascii="Book Antiqua" w:hAnsi="Book Antiqua" w:cs="Times New Roman"/>
                <w:color w:val="000000" w:themeColor="text1"/>
                <w:szCs w:val="21"/>
              </w:rPr>
              <w:t>6 (1.1)</w:t>
            </w:r>
          </w:p>
        </w:tc>
        <w:tc>
          <w:tcPr>
            <w:tcW w:w="2056" w:type="dxa"/>
          </w:tcPr>
          <w:p w14:paraId="3D0BEDE8" w14:textId="77777777" w:rsidR="00853035" w:rsidRPr="00853035" w:rsidRDefault="00853035" w:rsidP="00853035">
            <w:pPr>
              <w:spacing w:line="360" w:lineRule="auto"/>
              <w:rPr>
                <w:rFonts w:ascii="Book Antiqua" w:hAnsi="Book Antiqua" w:cs="Times New Roman"/>
                <w:color w:val="000000" w:themeColor="text1"/>
                <w:szCs w:val="21"/>
              </w:rPr>
            </w:pPr>
            <w:r w:rsidRPr="00853035">
              <w:rPr>
                <w:rFonts w:ascii="Book Antiqua" w:hAnsi="Book Antiqua" w:cs="Times New Roman"/>
                <w:color w:val="000000" w:themeColor="text1"/>
                <w:szCs w:val="21"/>
              </w:rPr>
              <w:t>8 (0.6)</w:t>
            </w:r>
          </w:p>
        </w:tc>
        <w:tc>
          <w:tcPr>
            <w:tcW w:w="1552" w:type="dxa"/>
          </w:tcPr>
          <w:p w14:paraId="0DB2BCAB" w14:textId="77777777" w:rsidR="00853035" w:rsidRPr="00853035" w:rsidRDefault="00853035" w:rsidP="00853035">
            <w:pPr>
              <w:spacing w:line="360" w:lineRule="auto"/>
              <w:rPr>
                <w:rFonts w:ascii="Book Antiqua" w:hAnsi="Book Antiqua" w:cs="Times New Roman"/>
                <w:color w:val="000000" w:themeColor="text1"/>
                <w:szCs w:val="21"/>
              </w:rPr>
            </w:pPr>
            <w:r w:rsidRPr="00853035">
              <w:rPr>
                <w:rFonts w:ascii="Book Antiqua" w:hAnsi="Book Antiqua" w:cs="Times New Roman"/>
                <w:color w:val="000000" w:themeColor="text1"/>
                <w:szCs w:val="21"/>
              </w:rPr>
              <w:t>0.40</w:t>
            </w:r>
          </w:p>
        </w:tc>
      </w:tr>
      <w:tr w:rsidR="00853035" w:rsidRPr="00853035" w14:paraId="222AA5B4" w14:textId="77777777" w:rsidTr="00E15BE6">
        <w:trPr>
          <w:trHeight w:val="441"/>
        </w:trPr>
        <w:tc>
          <w:tcPr>
            <w:tcW w:w="3867" w:type="dxa"/>
          </w:tcPr>
          <w:p w14:paraId="23D3D320" w14:textId="77777777" w:rsidR="00853035" w:rsidRPr="00853035" w:rsidRDefault="00853035" w:rsidP="00853035">
            <w:pPr>
              <w:spacing w:line="360" w:lineRule="auto"/>
              <w:rPr>
                <w:rFonts w:ascii="Book Antiqua" w:hAnsi="Book Antiqua" w:cs="Times New Roman"/>
                <w:color w:val="000000" w:themeColor="text1"/>
                <w:szCs w:val="21"/>
              </w:rPr>
            </w:pPr>
            <w:r w:rsidRPr="00853035">
              <w:rPr>
                <w:rFonts w:ascii="Book Antiqua" w:hAnsi="Book Antiqua" w:cs="Times New Roman"/>
                <w:color w:val="000000" w:themeColor="text1"/>
                <w:szCs w:val="21"/>
              </w:rPr>
              <w:t xml:space="preserve">Advanced lesion, </w:t>
            </w:r>
            <w:r w:rsidRPr="00853035">
              <w:rPr>
                <w:rFonts w:ascii="Book Antiqua" w:hAnsi="Book Antiqua" w:cs="Times New Roman"/>
                <w:i/>
                <w:iCs/>
                <w:color w:val="000000" w:themeColor="text1"/>
                <w:szCs w:val="21"/>
              </w:rPr>
              <w:t>n</w:t>
            </w:r>
            <w:r w:rsidRPr="00853035">
              <w:rPr>
                <w:rFonts w:ascii="Book Antiqua" w:hAnsi="Book Antiqua" w:cs="Times New Roman"/>
                <w:color w:val="000000" w:themeColor="text1"/>
                <w:szCs w:val="21"/>
              </w:rPr>
              <w:t xml:space="preserve"> (%)</w:t>
            </w:r>
          </w:p>
        </w:tc>
        <w:tc>
          <w:tcPr>
            <w:tcW w:w="2117" w:type="dxa"/>
          </w:tcPr>
          <w:p w14:paraId="10573637" w14:textId="77777777" w:rsidR="00853035" w:rsidRPr="00853035" w:rsidRDefault="00853035" w:rsidP="00853035">
            <w:pPr>
              <w:spacing w:line="360" w:lineRule="auto"/>
              <w:rPr>
                <w:rFonts w:ascii="Book Antiqua" w:hAnsi="Book Antiqua" w:cs="Times New Roman"/>
                <w:color w:val="000000" w:themeColor="text1"/>
                <w:szCs w:val="21"/>
              </w:rPr>
            </w:pPr>
            <w:r w:rsidRPr="00853035">
              <w:rPr>
                <w:rFonts w:ascii="Book Antiqua" w:hAnsi="Book Antiqua" w:cs="Times New Roman"/>
                <w:color w:val="000000" w:themeColor="text1"/>
                <w:szCs w:val="21"/>
              </w:rPr>
              <w:t>5 (0.9)</w:t>
            </w:r>
          </w:p>
        </w:tc>
        <w:tc>
          <w:tcPr>
            <w:tcW w:w="2056" w:type="dxa"/>
          </w:tcPr>
          <w:p w14:paraId="7CC7894F" w14:textId="77777777" w:rsidR="00853035" w:rsidRPr="00853035" w:rsidRDefault="00853035" w:rsidP="00853035">
            <w:pPr>
              <w:spacing w:line="360" w:lineRule="auto"/>
              <w:rPr>
                <w:rFonts w:ascii="Book Antiqua" w:hAnsi="Book Antiqua" w:cs="Times New Roman"/>
                <w:color w:val="000000" w:themeColor="text1"/>
                <w:szCs w:val="21"/>
              </w:rPr>
            </w:pPr>
            <w:r w:rsidRPr="00853035">
              <w:rPr>
                <w:rFonts w:ascii="Book Antiqua" w:hAnsi="Book Antiqua" w:cs="Times New Roman"/>
                <w:color w:val="000000" w:themeColor="text1"/>
                <w:szCs w:val="21"/>
              </w:rPr>
              <w:t>2 (0.2)</w:t>
            </w:r>
          </w:p>
        </w:tc>
        <w:tc>
          <w:tcPr>
            <w:tcW w:w="1552" w:type="dxa"/>
          </w:tcPr>
          <w:p w14:paraId="0DEB97C9" w14:textId="77777777" w:rsidR="00853035" w:rsidRPr="00853035" w:rsidRDefault="00853035" w:rsidP="00853035">
            <w:pPr>
              <w:spacing w:line="360" w:lineRule="auto"/>
              <w:rPr>
                <w:rFonts w:ascii="Book Antiqua" w:hAnsi="Book Antiqua" w:cs="Times New Roman"/>
                <w:color w:val="000000" w:themeColor="text1"/>
                <w:szCs w:val="21"/>
              </w:rPr>
            </w:pPr>
            <w:r w:rsidRPr="00853035">
              <w:rPr>
                <w:rFonts w:ascii="Book Antiqua" w:hAnsi="Book Antiqua" w:cs="Times New Roman"/>
                <w:color w:val="000000" w:themeColor="text1"/>
                <w:szCs w:val="21"/>
              </w:rPr>
              <w:t>0.04</w:t>
            </w:r>
          </w:p>
        </w:tc>
      </w:tr>
      <w:tr w:rsidR="00853035" w:rsidRPr="00853035" w14:paraId="180EA963" w14:textId="77777777" w:rsidTr="00E15BE6">
        <w:trPr>
          <w:trHeight w:val="466"/>
        </w:trPr>
        <w:tc>
          <w:tcPr>
            <w:tcW w:w="3867" w:type="dxa"/>
            <w:tcBorders>
              <w:bottom w:val="single" w:sz="4" w:space="0" w:color="auto"/>
            </w:tcBorders>
          </w:tcPr>
          <w:p w14:paraId="5923C042" w14:textId="0C395475" w:rsidR="00853035" w:rsidRPr="00853035" w:rsidRDefault="00853035" w:rsidP="00853035">
            <w:pPr>
              <w:spacing w:line="360" w:lineRule="auto"/>
              <w:rPr>
                <w:rFonts w:ascii="Book Antiqua" w:hAnsi="Book Antiqua" w:cs="Times New Roman"/>
                <w:color w:val="000000" w:themeColor="text1"/>
                <w:szCs w:val="21"/>
              </w:rPr>
            </w:pPr>
            <w:r w:rsidRPr="00853035">
              <w:rPr>
                <w:rFonts w:ascii="Book Antiqua" w:hAnsi="Book Antiqua" w:cs="Times New Roman"/>
                <w:color w:val="000000" w:themeColor="text1"/>
                <w:szCs w:val="21"/>
              </w:rPr>
              <w:t xml:space="preserve">Early lesion, </w:t>
            </w:r>
            <w:r w:rsidR="00977EA9" w:rsidRPr="00853035">
              <w:rPr>
                <w:rFonts w:ascii="Book Antiqua" w:hAnsi="Book Antiqua" w:cs="Times New Roman"/>
                <w:i/>
                <w:iCs/>
                <w:color w:val="000000" w:themeColor="text1"/>
                <w:szCs w:val="21"/>
              </w:rPr>
              <w:t>n</w:t>
            </w:r>
            <w:r w:rsidR="00977EA9" w:rsidRPr="00853035">
              <w:rPr>
                <w:rFonts w:ascii="Book Antiqua" w:hAnsi="Book Antiqua" w:cs="Times New Roman"/>
                <w:color w:val="000000" w:themeColor="text1"/>
                <w:szCs w:val="21"/>
              </w:rPr>
              <w:t xml:space="preserve"> (%)</w:t>
            </w:r>
          </w:p>
        </w:tc>
        <w:tc>
          <w:tcPr>
            <w:tcW w:w="2117" w:type="dxa"/>
            <w:tcBorders>
              <w:bottom w:val="single" w:sz="4" w:space="0" w:color="auto"/>
            </w:tcBorders>
          </w:tcPr>
          <w:p w14:paraId="4B9383F6" w14:textId="77777777" w:rsidR="00853035" w:rsidRPr="00853035" w:rsidRDefault="00853035" w:rsidP="00853035">
            <w:pPr>
              <w:spacing w:line="360" w:lineRule="auto"/>
              <w:rPr>
                <w:rFonts w:ascii="Book Antiqua" w:hAnsi="Book Antiqua" w:cs="Times New Roman"/>
                <w:color w:val="000000" w:themeColor="text1"/>
                <w:szCs w:val="21"/>
              </w:rPr>
            </w:pPr>
            <w:r w:rsidRPr="00853035">
              <w:rPr>
                <w:rFonts w:ascii="Book Antiqua" w:hAnsi="Book Antiqua" w:cs="Times New Roman"/>
                <w:color w:val="000000" w:themeColor="text1"/>
                <w:szCs w:val="21"/>
              </w:rPr>
              <w:t>1 (0.2)</w:t>
            </w:r>
          </w:p>
        </w:tc>
        <w:tc>
          <w:tcPr>
            <w:tcW w:w="2056" w:type="dxa"/>
            <w:tcBorders>
              <w:bottom w:val="single" w:sz="4" w:space="0" w:color="auto"/>
            </w:tcBorders>
          </w:tcPr>
          <w:p w14:paraId="753A41FD" w14:textId="77777777" w:rsidR="00853035" w:rsidRPr="00853035" w:rsidRDefault="00853035" w:rsidP="00853035">
            <w:pPr>
              <w:spacing w:line="360" w:lineRule="auto"/>
              <w:rPr>
                <w:rFonts w:ascii="Book Antiqua" w:hAnsi="Book Antiqua" w:cs="Times New Roman"/>
                <w:color w:val="000000" w:themeColor="text1"/>
                <w:szCs w:val="21"/>
              </w:rPr>
            </w:pPr>
            <w:r w:rsidRPr="00853035">
              <w:rPr>
                <w:rFonts w:ascii="Book Antiqua" w:hAnsi="Book Antiqua" w:cs="Times New Roman"/>
                <w:color w:val="000000" w:themeColor="text1"/>
                <w:szCs w:val="21"/>
              </w:rPr>
              <w:t>6 (0.5)</w:t>
            </w:r>
          </w:p>
        </w:tc>
        <w:tc>
          <w:tcPr>
            <w:tcW w:w="1552" w:type="dxa"/>
            <w:tcBorders>
              <w:bottom w:val="single" w:sz="4" w:space="0" w:color="auto"/>
            </w:tcBorders>
          </w:tcPr>
          <w:p w14:paraId="57028E01" w14:textId="77777777" w:rsidR="00853035" w:rsidRPr="00853035" w:rsidRDefault="00853035" w:rsidP="00853035">
            <w:pPr>
              <w:spacing w:line="360" w:lineRule="auto"/>
              <w:rPr>
                <w:rFonts w:ascii="Book Antiqua" w:hAnsi="Book Antiqua" w:cs="Times New Roman"/>
                <w:color w:val="000000" w:themeColor="text1"/>
                <w:szCs w:val="21"/>
              </w:rPr>
            </w:pPr>
            <w:r w:rsidRPr="00853035">
              <w:rPr>
                <w:rFonts w:ascii="Book Antiqua" w:hAnsi="Book Antiqua" w:cs="Times New Roman"/>
                <w:color w:val="000000" w:themeColor="text1"/>
                <w:szCs w:val="21"/>
              </w:rPr>
              <w:t>0.66</w:t>
            </w:r>
          </w:p>
        </w:tc>
      </w:tr>
    </w:tbl>
    <w:p w14:paraId="3419B8E2" w14:textId="77777777" w:rsidR="006512D2" w:rsidRPr="006512D2" w:rsidRDefault="006512D2">
      <w:pPr>
        <w:spacing w:line="360" w:lineRule="auto"/>
        <w:jc w:val="both"/>
        <w:rPr>
          <w:b/>
          <w:bCs/>
        </w:rPr>
      </w:pPr>
    </w:p>
    <w:sectPr w:rsidR="006512D2" w:rsidRPr="006512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757A9" w14:textId="77777777" w:rsidR="00186575" w:rsidRDefault="00186575" w:rsidP="00D358D3">
      <w:r>
        <w:separator/>
      </w:r>
    </w:p>
  </w:endnote>
  <w:endnote w:type="continuationSeparator" w:id="0">
    <w:p w14:paraId="3517B6C0" w14:textId="77777777" w:rsidR="00186575" w:rsidRDefault="00186575" w:rsidP="00D35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571137"/>
      <w:docPartObj>
        <w:docPartGallery w:val="Page Numbers (Bottom of Page)"/>
        <w:docPartUnique/>
      </w:docPartObj>
    </w:sdtPr>
    <w:sdtEndPr/>
    <w:sdtContent>
      <w:sdt>
        <w:sdtPr>
          <w:id w:val="-1705238520"/>
          <w:docPartObj>
            <w:docPartGallery w:val="Page Numbers (Top of Page)"/>
            <w:docPartUnique/>
          </w:docPartObj>
        </w:sdtPr>
        <w:sdtEndPr/>
        <w:sdtContent>
          <w:p w14:paraId="4FC12962" w14:textId="5A5D227D" w:rsidR="00D358D3" w:rsidRDefault="00D358D3" w:rsidP="00D358D3">
            <w:pPr>
              <w:pStyle w:val="Footer"/>
              <w:jc w:val="right"/>
            </w:pPr>
            <w:r w:rsidRPr="00D358D3">
              <w:rPr>
                <w:rFonts w:ascii="Book Antiqua" w:hAnsi="Book Antiqua"/>
                <w:b/>
                <w:bCs/>
                <w:sz w:val="21"/>
                <w:szCs w:val="21"/>
                <w:lang w:val="zh-CN" w:eastAsia="zh-CN"/>
              </w:rPr>
              <w:t xml:space="preserve"> </w:t>
            </w:r>
            <w:r w:rsidRPr="00D358D3">
              <w:rPr>
                <w:rFonts w:ascii="Book Antiqua" w:hAnsi="Book Antiqua"/>
                <w:b/>
                <w:bCs/>
                <w:sz w:val="21"/>
                <w:szCs w:val="21"/>
              </w:rPr>
              <w:fldChar w:fldCharType="begin"/>
            </w:r>
            <w:r w:rsidRPr="00D358D3">
              <w:rPr>
                <w:rFonts w:ascii="Book Antiqua" w:hAnsi="Book Antiqua"/>
                <w:b/>
                <w:bCs/>
                <w:sz w:val="21"/>
                <w:szCs w:val="21"/>
              </w:rPr>
              <w:instrText>PAGE</w:instrText>
            </w:r>
            <w:r w:rsidRPr="00D358D3">
              <w:rPr>
                <w:rFonts w:ascii="Book Antiqua" w:hAnsi="Book Antiqua"/>
                <w:b/>
                <w:bCs/>
                <w:sz w:val="21"/>
                <w:szCs w:val="21"/>
              </w:rPr>
              <w:fldChar w:fldCharType="separate"/>
            </w:r>
            <w:r w:rsidR="00977EA9">
              <w:rPr>
                <w:rFonts w:ascii="Book Antiqua" w:hAnsi="Book Antiqua"/>
                <w:b/>
                <w:bCs/>
                <w:noProof/>
                <w:sz w:val="21"/>
                <w:szCs w:val="21"/>
              </w:rPr>
              <w:t>9</w:t>
            </w:r>
            <w:r w:rsidRPr="00D358D3">
              <w:rPr>
                <w:rFonts w:ascii="Book Antiqua" w:hAnsi="Book Antiqua"/>
                <w:b/>
                <w:bCs/>
                <w:sz w:val="21"/>
                <w:szCs w:val="21"/>
              </w:rPr>
              <w:fldChar w:fldCharType="end"/>
            </w:r>
            <w:r w:rsidRPr="00D358D3">
              <w:rPr>
                <w:rFonts w:ascii="Book Antiqua" w:hAnsi="Book Antiqua"/>
                <w:b/>
                <w:bCs/>
                <w:sz w:val="21"/>
                <w:szCs w:val="21"/>
                <w:lang w:val="zh-CN" w:eastAsia="zh-CN"/>
              </w:rPr>
              <w:t xml:space="preserve"> / </w:t>
            </w:r>
            <w:r w:rsidRPr="00D358D3">
              <w:rPr>
                <w:rFonts w:ascii="Book Antiqua" w:hAnsi="Book Antiqua"/>
                <w:b/>
                <w:bCs/>
                <w:sz w:val="21"/>
                <w:szCs w:val="21"/>
              </w:rPr>
              <w:fldChar w:fldCharType="begin"/>
            </w:r>
            <w:r w:rsidRPr="00D358D3">
              <w:rPr>
                <w:rFonts w:ascii="Book Antiqua" w:hAnsi="Book Antiqua"/>
                <w:b/>
                <w:bCs/>
                <w:sz w:val="21"/>
                <w:szCs w:val="21"/>
              </w:rPr>
              <w:instrText>NUMPAGES</w:instrText>
            </w:r>
            <w:r w:rsidRPr="00D358D3">
              <w:rPr>
                <w:rFonts w:ascii="Book Antiqua" w:hAnsi="Book Antiqua"/>
                <w:b/>
                <w:bCs/>
                <w:sz w:val="21"/>
                <w:szCs w:val="21"/>
              </w:rPr>
              <w:fldChar w:fldCharType="separate"/>
            </w:r>
            <w:r w:rsidR="00977EA9">
              <w:rPr>
                <w:rFonts w:ascii="Book Antiqua" w:hAnsi="Book Antiqua"/>
                <w:b/>
                <w:bCs/>
                <w:noProof/>
                <w:sz w:val="21"/>
                <w:szCs w:val="21"/>
              </w:rPr>
              <w:t>9</w:t>
            </w:r>
            <w:r w:rsidRPr="00D358D3">
              <w:rPr>
                <w:rFonts w:ascii="Book Antiqua" w:hAnsi="Book Antiqua"/>
                <w:b/>
                <w:bCs/>
                <w:sz w:val="21"/>
                <w:szCs w:val="21"/>
              </w:rPr>
              <w:fldChar w:fldCharType="end"/>
            </w:r>
          </w:p>
        </w:sdtContent>
      </w:sdt>
    </w:sdtContent>
  </w:sdt>
  <w:p w14:paraId="6BAD6FBC" w14:textId="77777777" w:rsidR="00D358D3" w:rsidRDefault="00D35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7BEC1" w14:textId="77777777" w:rsidR="00186575" w:rsidRDefault="00186575" w:rsidP="00D358D3">
      <w:r>
        <w:separator/>
      </w:r>
    </w:p>
  </w:footnote>
  <w:footnote w:type="continuationSeparator" w:id="0">
    <w:p w14:paraId="5EA69971" w14:textId="77777777" w:rsidR="00186575" w:rsidRDefault="00186575" w:rsidP="00D358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3A91"/>
    <w:rsid w:val="000973C6"/>
    <w:rsid w:val="000D6B7E"/>
    <w:rsid w:val="000D77DF"/>
    <w:rsid w:val="000F5D2A"/>
    <w:rsid w:val="00176109"/>
    <w:rsid w:val="00186575"/>
    <w:rsid w:val="0019330D"/>
    <w:rsid w:val="001C589D"/>
    <w:rsid w:val="00202212"/>
    <w:rsid w:val="002036F9"/>
    <w:rsid w:val="00263E77"/>
    <w:rsid w:val="00370329"/>
    <w:rsid w:val="00374126"/>
    <w:rsid w:val="00466142"/>
    <w:rsid w:val="004C15BA"/>
    <w:rsid w:val="0059152C"/>
    <w:rsid w:val="00591B00"/>
    <w:rsid w:val="005A784B"/>
    <w:rsid w:val="006512D2"/>
    <w:rsid w:val="007C6104"/>
    <w:rsid w:val="007D5240"/>
    <w:rsid w:val="00853035"/>
    <w:rsid w:val="008A069F"/>
    <w:rsid w:val="008B1E34"/>
    <w:rsid w:val="008C7556"/>
    <w:rsid w:val="008F513B"/>
    <w:rsid w:val="0090561B"/>
    <w:rsid w:val="00930146"/>
    <w:rsid w:val="00955C14"/>
    <w:rsid w:val="00977EA9"/>
    <w:rsid w:val="009C0C3D"/>
    <w:rsid w:val="009F76FE"/>
    <w:rsid w:val="00A60266"/>
    <w:rsid w:val="00A634BC"/>
    <w:rsid w:val="00A77B3E"/>
    <w:rsid w:val="00AD7700"/>
    <w:rsid w:val="00B005F6"/>
    <w:rsid w:val="00BD596F"/>
    <w:rsid w:val="00C009A1"/>
    <w:rsid w:val="00CA2A55"/>
    <w:rsid w:val="00CA3788"/>
    <w:rsid w:val="00D358D3"/>
    <w:rsid w:val="00E15BE6"/>
    <w:rsid w:val="00E82398"/>
    <w:rsid w:val="00F97B75"/>
    <w:rsid w:val="00FB1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087780"/>
  <w15:docId w15:val="{57241698-8DA1-4D19-949E-6C881C014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358D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D358D3"/>
    <w:rPr>
      <w:sz w:val="18"/>
      <w:szCs w:val="18"/>
    </w:rPr>
  </w:style>
  <w:style w:type="paragraph" w:styleId="Footer">
    <w:name w:val="footer"/>
    <w:basedOn w:val="Normal"/>
    <w:link w:val="FooterChar"/>
    <w:uiPriority w:val="99"/>
    <w:unhideWhenUsed/>
    <w:rsid w:val="00D358D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358D3"/>
    <w:rPr>
      <w:sz w:val="18"/>
      <w:szCs w:val="18"/>
    </w:rPr>
  </w:style>
  <w:style w:type="table" w:customStyle="1" w:styleId="1">
    <w:name w:val="表 (格子)1"/>
    <w:basedOn w:val="TableNormal"/>
    <w:next w:val="TableGrid"/>
    <w:uiPriority w:val="39"/>
    <w:rsid w:val="00853035"/>
    <w:rPr>
      <w:rFonts w:asciiTheme="minorHAnsi"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53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1529</Words>
  <Characters>8719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 Ma</cp:lastModifiedBy>
  <cp:revision>2</cp:revision>
  <dcterms:created xsi:type="dcterms:W3CDTF">2020-10-05T17:28:00Z</dcterms:created>
  <dcterms:modified xsi:type="dcterms:W3CDTF">2020-10-05T17:28:00Z</dcterms:modified>
</cp:coreProperties>
</file>