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66761"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Name of Journal: </w:t>
      </w:r>
      <w:r w:rsidRPr="00CB4850">
        <w:rPr>
          <w:rFonts w:ascii="Book Antiqua" w:eastAsia="Book Antiqua" w:hAnsi="Book Antiqua" w:cs="Book Antiqua"/>
          <w:i/>
          <w:color w:val="000000"/>
        </w:rPr>
        <w:t>World Journal of Clinical Cases</w:t>
      </w:r>
    </w:p>
    <w:p w14:paraId="44E8D066"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Manuscript NO: </w:t>
      </w:r>
      <w:r w:rsidRPr="00CB4850">
        <w:rPr>
          <w:rFonts w:ascii="Book Antiqua" w:eastAsia="Book Antiqua" w:hAnsi="Book Antiqua" w:cs="Book Antiqua"/>
          <w:color w:val="000000"/>
        </w:rPr>
        <w:t>58532</w:t>
      </w:r>
    </w:p>
    <w:p w14:paraId="328FC2EE"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Manuscript Type: </w:t>
      </w:r>
      <w:r w:rsidRPr="00CB4850">
        <w:rPr>
          <w:rFonts w:ascii="Book Antiqua" w:eastAsia="Book Antiqua" w:hAnsi="Book Antiqua" w:cs="Book Antiqua"/>
          <w:color w:val="000000"/>
        </w:rPr>
        <w:t>CASE REPORT</w:t>
      </w:r>
    </w:p>
    <w:p w14:paraId="5035F130" w14:textId="77777777" w:rsidR="00A77B3E" w:rsidRPr="00CB4850" w:rsidRDefault="00A77B3E" w:rsidP="00CB4850">
      <w:pPr>
        <w:snapToGrid w:val="0"/>
        <w:spacing w:line="360" w:lineRule="auto"/>
        <w:jc w:val="both"/>
        <w:rPr>
          <w:rFonts w:ascii="Book Antiqua" w:hAnsi="Book Antiqua"/>
        </w:rPr>
      </w:pPr>
    </w:p>
    <w:p w14:paraId="40729847"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Subchondral bone as a </w:t>
      </w:r>
      <w:r w:rsidRPr="00CB4850">
        <w:rPr>
          <w:rFonts w:ascii="Book Antiqua" w:eastAsia="Book Antiqua" w:hAnsi="Book Antiqua" w:cs="Book Antiqua"/>
          <w:b/>
          <w:bCs/>
          <w:color w:val="000000"/>
          <w:shd w:val="clear" w:color="auto" w:fill="FFFFFF"/>
        </w:rPr>
        <w:t xml:space="preserve">novel </w:t>
      </w:r>
      <w:r w:rsidRPr="00CB4850">
        <w:rPr>
          <w:rFonts w:ascii="Book Antiqua" w:eastAsia="Book Antiqua" w:hAnsi="Book Antiqua" w:cs="Book Antiqua"/>
          <w:b/>
          <w:bCs/>
          <w:color w:val="000000"/>
        </w:rPr>
        <w:t>target for regenerative therapy of osteochondritis dissecans: A case report</w:t>
      </w:r>
    </w:p>
    <w:p w14:paraId="0748AD78" w14:textId="77777777" w:rsidR="00A77B3E" w:rsidRPr="00CB4850" w:rsidRDefault="00A77B3E" w:rsidP="00CB4850">
      <w:pPr>
        <w:snapToGrid w:val="0"/>
        <w:spacing w:line="360" w:lineRule="auto"/>
        <w:jc w:val="both"/>
        <w:rPr>
          <w:rFonts w:ascii="Book Antiqua" w:hAnsi="Book Antiqua"/>
        </w:rPr>
      </w:pPr>
    </w:p>
    <w:p w14:paraId="0A3387A0"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Zhang SY </w:t>
      </w:r>
      <w:r w:rsidRPr="00CB4850">
        <w:rPr>
          <w:rFonts w:ascii="Book Antiqua" w:eastAsia="Book Antiqua" w:hAnsi="Book Antiqua" w:cs="Book Antiqua"/>
          <w:i/>
          <w:iCs/>
          <w:color w:val="000000"/>
        </w:rPr>
        <w:t>et al</w:t>
      </w:r>
      <w:r w:rsidRPr="00CB4850">
        <w:rPr>
          <w:rFonts w:ascii="Book Antiqua" w:eastAsia="Book Antiqua" w:hAnsi="Book Antiqua" w:cs="Book Antiqua"/>
          <w:color w:val="000000"/>
        </w:rPr>
        <w:t xml:space="preserve">. </w:t>
      </w:r>
      <w:bookmarkStart w:id="0" w:name="OLE_LINK3"/>
      <w:bookmarkStart w:id="1" w:name="OLE_LINK4"/>
      <w:r w:rsidRPr="00CB4850">
        <w:rPr>
          <w:rFonts w:ascii="Book Antiqua" w:eastAsia="Book Antiqua" w:hAnsi="Book Antiqua" w:cs="Book Antiqua"/>
          <w:color w:val="000000"/>
        </w:rPr>
        <w:t>Subchondral bone as a target for osteochondritis dissecans</w:t>
      </w:r>
    </w:p>
    <w:bookmarkEnd w:id="0"/>
    <w:bookmarkEnd w:id="1"/>
    <w:p w14:paraId="75E6ACFC" w14:textId="77777777" w:rsidR="00A77B3E" w:rsidRPr="00CB4850" w:rsidRDefault="00A77B3E" w:rsidP="00CB4850">
      <w:pPr>
        <w:snapToGrid w:val="0"/>
        <w:spacing w:line="360" w:lineRule="auto"/>
        <w:jc w:val="both"/>
        <w:rPr>
          <w:rFonts w:ascii="Book Antiqua" w:hAnsi="Book Antiqua"/>
        </w:rPr>
      </w:pPr>
    </w:p>
    <w:p w14:paraId="2D8731A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Sheng-Yang Zhang, Hui-Hui Xu, Miao-Miao Xiao, Jing-Jing Zhang, Qiang Mao, Bang-Jian He, Pei-Jian Tong</w:t>
      </w:r>
    </w:p>
    <w:p w14:paraId="368912D0" w14:textId="77777777" w:rsidR="00A77B3E" w:rsidRPr="00CB4850" w:rsidRDefault="00A77B3E" w:rsidP="00CB4850">
      <w:pPr>
        <w:snapToGrid w:val="0"/>
        <w:spacing w:line="360" w:lineRule="auto"/>
        <w:jc w:val="both"/>
        <w:rPr>
          <w:rFonts w:ascii="Book Antiqua" w:hAnsi="Book Antiqua"/>
        </w:rPr>
      </w:pPr>
    </w:p>
    <w:p w14:paraId="43A3770D" w14:textId="0D5F5EF8"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Sheng-Yang Zhang, Hui-Hui Xu, Jing-Jing Zhang, </w:t>
      </w:r>
      <w:r w:rsidRPr="00CB4850">
        <w:rPr>
          <w:rFonts w:ascii="Book Antiqua" w:eastAsia="Book Antiqua" w:hAnsi="Book Antiqua" w:cs="Book Antiqua"/>
          <w:color w:val="000000"/>
        </w:rPr>
        <w:t xml:space="preserve">Institute of </w:t>
      </w:r>
      <w:r w:rsidR="00642099" w:rsidRPr="00CB4850">
        <w:rPr>
          <w:rFonts w:ascii="Book Antiqua" w:eastAsia="Book Antiqua" w:hAnsi="Book Antiqua" w:cs="Book Antiqua"/>
          <w:color w:val="000000"/>
        </w:rPr>
        <w:t>Orthopedics</w:t>
      </w:r>
      <w:r w:rsidRPr="00CB4850">
        <w:rPr>
          <w:rFonts w:ascii="Book Antiqua" w:eastAsia="Book Antiqua" w:hAnsi="Book Antiqua" w:cs="Book Antiqua"/>
          <w:color w:val="000000"/>
        </w:rPr>
        <w:t xml:space="preserve"> and </w:t>
      </w:r>
      <w:r w:rsidR="00642099" w:rsidRPr="00CB4850">
        <w:rPr>
          <w:rFonts w:ascii="Book Antiqua" w:eastAsia="Book Antiqua" w:hAnsi="Book Antiqua" w:cs="Book Antiqua"/>
          <w:color w:val="000000"/>
        </w:rPr>
        <w:t>Traumatology</w:t>
      </w:r>
      <w:r w:rsidRPr="00CB4850">
        <w:rPr>
          <w:rFonts w:ascii="Book Antiqua" w:eastAsia="Book Antiqua" w:hAnsi="Book Antiqua" w:cs="Book Antiqua"/>
          <w:color w:val="000000"/>
        </w:rPr>
        <w:t>, The First College of Clinical Medicine, Zhejiang Chinese Medical University, Hangzhou 310053, Zhejiang Province, China</w:t>
      </w:r>
    </w:p>
    <w:p w14:paraId="711AFE1E" w14:textId="77777777" w:rsidR="00A77B3E" w:rsidRPr="00CB4850" w:rsidRDefault="00A77B3E" w:rsidP="00CB4850">
      <w:pPr>
        <w:snapToGrid w:val="0"/>
        <w:spacing w:line="360" w:lineRule="auto"/>
        <w:jc w:val="both"/>
        <w:rPr>
          <w:rFonts w:ascii="Book Antiqua" w:hAnsi="Book Antiqua"/>
        </w:rPr>
      </w:pPr>
    </w:p>
    <w:p w14:paraId="3393C14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Miao-Miao Xiao, </w:t>
      </w:r>
      <w:r w:rsidRPr="00CB4850">
        <w:rPr>
          <w:rFonts w:ascii="Book Antiqua" w:eastAsia="Book Antiqua" w:hAnsi="Book Antiqua" w:cs="Book Antiqua"/>
          <w:color w:val="000000"/>
        </w:rPr>
        <w:t>The First College of Clinical Medicine, Zhejiang Chinese Medical University, Hangzhou 310053, Zhejiang Province, China</w:t>
      </w:r>
    </w:p>
    <w:p w14:paraId="466AAEB6" w14:textId="77777777" w:rsidR="00A77B3E" w:rsidRPr="00CB4850" w:rsidRDefault="00A77B3E" w:rsidP="00CB4850">
      <w:pPr>
        <w:snapToGrid w:val="0"/>
        <w:spacing w:line="360" w:lineRule="auto"/>
        <w:jc w:val="both"/>
        <w:rPr>
          <w:rFonts w:ascii="Book Antiqua" w:hAnsi="Book Antiqua"/>
        </w:rPr>
      </w:pPr>
    </w:p>
    <w:p w14:paraId="05BD67DE" w14:textId="6F37B3FB"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Qiang Mao, Bang-Jian He, Pei-Jian Tong, </w:t>
      </w:r>
      <w:r w:rsidRPr="00CB4850">
        <w:rPr>
          <w:rFonts w:ascii="Book Antiqua" w:eastAsia="Book Antiqua" w:hAnsi="Book Antiqua" w:cs="Book Antiqua"/>
          <w:color w:val="000000"/>
        </w:rPr>
        <w:t xml:space="preserve">Department of </w:t>
      </w:r>
      <w:r w:rsidR="00642099" w:rsidRPr="00CB4850">
        <w:rPr>
          <w:rFonts w:ascii="Book Antiqua" w:eastAsia="Book Antiqua" w:hAnsi="Book Antiqua" w:cs="Book Antiqua"/>
          <w:color w:val="000000"/>
        </w:rPr>
        <w:t>Orthopedics</w:t>
      </w:r>
      <w:r w:rsidRPr="00CB4850">
        <w:rPr>
          <w:rFonts w:ascii="Book Antiqua" w:eastAsia="Book Antiqua" w:hAnsi="Book Antiqua" w:cs="Book Antiqua"/>
          <w:color w:val="000000"/>
        </w:rPr>
        <w:t xml:space="preserve"> and </w:t>
      </w:r>
      <w:r w:rsidR="00642099" w:rsidRPr="00CB4850">
        <w:rPr>
          <w:rFonts w:ascii="Book Antiqua" w:eastAsia="Book Antiqua" w:hAnsi="Book Antiqua" w:cs="Book Antiqua"/>
          <w:color w:val="000000"/>
        </w:rPr>
        <w:t>Traumatology</w:t>
      </w:r>
      <w:r w:rsidRPr="00CB4850">
        <w:rPr>
          <w:rFonts w:ascii="Book Antiqua" w:eastAsia="Book Antiqua" w:hAnsi="Book Antiqua" w:cs="Book Antiqua"/>
          <w:color w:val="000000"/>
        </w:rPr>
        <w:t>, The First Affiliated Hospital of Zhejiang Chinese Medical University, Hangzhou 310006, Zhejiang Province, China</w:t>
      </w:r>
    </w:p>
    <w:p w14:paraId="4E466AC4" w14:textId="77777777" w:rsidR="00A77B3E" w:rsidRPr="00CB4850" w:rsidRDefault="00A77B3E" w:rsidP="00CB4850">
      <w:pPr>
        <w:snapToGrid w:val="0"/>
        <w:spacing w:line="360" w:lineRule="auto"/>
        <w:jc w:val="both"/>
        <w:rPr>
          <w:rFonts w:ascii="Book Antiqua" w:hAnsi="Book Antiqua"/>
        </w:rPr>
      </w:pPr>
    </w:p>
    <w:p w14:paraId="7E7AC71A" w14:textId="3E8856E5"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Author contributions: </w:t>
      </w:r>
      <w:r w:rsidRPr="00CB4850">
        <w:rPr>
          <w:rFonts w:ascii="Book Antiqua" w:eastAsia="Book Antiqua" w:hAnsi="Book Antiqua" w:cs="Book Antiqua"/>
          <w:color w:val="000000"/>
        </w:rPr>
        <w:t xml:space="preserve">Zhang SY, Xu HH, Xiao MM, </w:t>
      </w:r>
      <w:r w:rsidR="00591D22">
        <w:rPr>
          <w:rFonts w:ascii="Book Antiqua" w:eastAsia="Book Antiqua" w:hAnsi="Book Antiqua" w:cs="Book Antiqua"/>
          <w:color w:val="000000"/>
        </w:rPr>
        <w:t xml:space="preserve">and </w:t>
      </w:r>
      <w:r w:rsidRPr="00CB4850">
        <w:rPr>
          <w:rFonts w:ascii="Book Antiqua" w:eastAsia="Book Antiqua" w:hAnsi="Book Antiqua" w:cs="Book Antiqua"/>
          <w:color w:val="000000"/>
        </w:rPr>
        <w:t>Zhang JJ collected the information, followed the patient</w:t>
      </w:r>
      <w:r w:rsidR="00591D22">
        <w:rPr>
          <w:rFonts w:ascii="Book Antiqua" w:eastAsia="Book Antiqua" w:hAnsi="Book Antiqua" w:cs="Book Antiqua"/>
          <w:color w:val="000000"/>
        </w:rPr>
        <w:t>,</w:t>
      </w:r>
      <w:r w:rsidRPr="00CB4850">
        <w:rPr>
          <w:rFonts w:ascii="Book Antiqua" w:eastAsia="Book Antiqua" w:hAnsi="Book Antiqua" w:cs="Book Antiqua"/>
          <w:color w:val="000000"/>
        </w:rPr>
        <w:t xml:space="preserve"> and wrote the paper; Mao Q and He BJ revised the paper; Tong PJ was the patient’s orthopedic surgeon and performed the surgery; all authors read and approved the final manuscript.</w:t>
      </w:r>
    </w:p>
    <w:p w14:paraId="473531D9" w14:textId="77777777" w:rsidR="00A77B3E" w:rsidRPr="00CB4850" w:rsidRDefault="00A77B3E" w:rsidP="00CB4850">
      <w:pPr>
        <w:snapToGrid w:val="0"/>
        <w:spacing w:line="360" w:lineRule="auto"/>
        <w:jc w:val="both"/>
        <w:rPr>
          <w:rFonts w:ascii="Book Antiqua" w:hAnsi="Book Antiqua"/>
        </w:rPr>
      </w:pPr>
    </w:p>
    <w:p w14:paraId="5EC61FFB" w14:textId="2B763AB5"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lastRenderedPageBreak/>
        <w:t xml:space="preserve">Corresponding author: Pei-Jian Tong, MD, Chief Doctor, Professor, </w:t>
      </w:r>
      <w:r w:rsidRPr="00CB4850">
        <w:rPr>
          <w:rFonts w:ascii="Book Antiqua" w:eastAsia="Book Antiqua" w:hAnsi="Book Antiqua" w:cs="Book Antiqua"/>
          <w:color w:val="000000"/>
        </w:rPr>
        <w:t xml:space="preserve">Department of </w:t>
      </w:r>
      <w:r w:rsidR="00642099" w:rsidRPr="00CB4850">
        <w:rPr>
          <w:rFonts w:ascii="Book Antiqua" w:eastAsia="Book Antiqua" w:hAnsi="Book Antiqua" w:cs="Book Antiqua"/>
          <w:color w:val="000000"/>
        </w:rPr>
        <w:t>Orthopedics</w:t>
      </w:r>
      <w:r w:rsidRPr="00CB4850">
        <w:rPr>
          <w:rFonts w:ascii="Book Antiqua" w:eastAsia="Book Antiqua" w:hAnsi="Book Antiqua" w:cs="Book Antiqua"/>
          <w:color w:val="000000"/>
        </w:rPr>
        <w:t xml:space="preserve"> and </w:t>
      </w:r>
      <w:r w:rsidR="00642099" w:rsidRPr="00CB4850">
        <w:rPr>
          <w:rFonts w:ascii="Book Antiqua" w:eastAsia="Book Antiqua" w:hAnsi="Book Antiqua" w:cs="Book Antiqua"/>
          <w:color w:val="000000"/>
        </w:rPr>
        <w:t>Traumatology</w:t>
      </w:r>
      <w:r w:rsidRPr="00CB4850">
        <w:rPr>
          <w:rFonts w:ascii="Book Antiqua" w:eastAsia="Book Antiqua" w:hAnsi="Book Antiqua" w:cs="Book Antiqua"/>
          <w:color w:val="000000"/>
        </w:rPr>
        <w:t xml:space="preserve">, The First Affiliated Hospital of Zhejiang Chinese Medical University, </w:t>
      </w:r>
      <w:r w:rsidR="00B356D8" w:rsidRPr="00CB4850">
        <w:rPr>
          <w:rFonts w:ascii="Book Antiqua" w:eastAsia="Book Antiqua" w:hAnsi="Book Antiqua" w:cs="Book Antiqua"/>
          <w:color w:val="000000"/>
        </w:rPr>
        <w:t>N</w:t>
      </w:r>
      <w:r w:rsidR="00B356D8" w:rsidRPr="00CB4850">
        <w:rPr>
          <w:rFonts w:ascii="Book Antiqua" w:hAnsi="Book Antiqua" w:cs="Book Antiqua"/>
          <w:color w:val="000000"/>
          <w:lang w:eastAsia="zh-CN"/>
        </w:rPr>
        <w:t>o</w:t>
      </w:r>
      <w:r w:rsidR="00B356D8" w:rsidRPr="00CB4850">
        <w:rPr>
          <w:rFonts w:ascii="Book Antiqua" w:eastAsia="Book Antiqua" w:hAnsi="Book Antiqua" w:cs="Book Antiqua"/>
          <w:color w:val="000000"/>
        </w:rPr>
        <w:t>. 54</w:t>
      </w:r>
      <w:r w:rsidR="00B356D8">
        <w:rPr>
          <w:rFonts w:ascii="Book Antiqua" w:eastAsia="Book Antiqua" w:hAnsi="Book Antiqua" w:cs="Book Antiqua"/>
          <w:color w:val="000000"/>
        </w:rPr>
        <w:t xml:space="preserve"> You</w:t>
      </w:r>
      <w:r w:rsidR="00B356D8" w:rsidRPr="00CB4850">
        <w:rPr>
          <w:rFonts w:ascii="Book Antiqua" w:eastAsia="Book Antiqua" w:hAnsi="Book Antiqua" w:cs="Book Antiqua"/>
          <w:color w:val="000000"/>
        </w:rPr>
        <w:t>d</w:t>
      </w:r>
      <w:r w:rsidRPr="00CB4850">
        <w:rPr>
          <w:rFonts w:ascii="Book Antiqua" w:eastAsia="Book Antiqua" w:hAnsi="Book Antiqua" w:cs="Book Antiqua"/>
          <w:color w:val="000000"/>
        </w:rPr>
        <w:t>ian Road, Hangzhou 310006, Zhejiang Province, China. tongpeijian@163.com</w:t>
      </w:r>
    </w:p>
    <w:p w14:paraId="71C5CB54" w14:textId="77777777" w:rsidR="00A77B3E" w:rsidRPr="00CB4850" w:rsidRDefault="00A77B3E" w:rsidP="00CB4850">
      <w:pPr>
        <w:snapToGrid w:val="0"/>
        <w:spacing w:line="360" w:lineRule="auto"/>
        <w:jc w:val="both"/>
        <w:rPr>
          <w:rFonts w:ascii="Book Antiqua" w:hAnsi="Book Antiqua"/>
        </w:rPr>
      </w:pPr>
    </w:p>
    <w:p w14:paraId="4C164BF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Received: </w:t>
      </w:r>
      <w:r w:rsidRPr="00CB4850">
        <w:rPr>
          <w:rFonts w:ascii="Book Antiqua" w:eastAsia="Book Antiqua" w:hAnsi="Book Antiqua" w:cs="Book Antiqua"/>
          <w:color w:val="000000"/>
        </w:rPr>
        <w:t>January 5, 2021</w:t>
      </w:r>
    </w:p>
    <w:p w14:paraId="0E6D966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Revised: </w:t>
      </w:r>
      <w:r w:rsidRPr="00CB4850">
        <w:rPr>
          <w:rFonts w:ascii="Book Antiqua" w:eastAsia="Book Antiqua" w:hAnsi="Book Antiqua" w:cs="Book Antiqua"/>
          <w:color w:val="000000"/>
        </w:rPr>
        <w:t>January 28, 2021</w:t>
      </w:r>
    </w:p>
    <w:p w14:paraId="1D2FCC6E" w14:textId="42BD00B0"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Accepted: </w:t>
      </w:r>
      <w:r w:rsidR="00240D37" w:rsidRPr="00240D37">
        <w:rPr>
          <w:rFonts w:ascii="Book Antiqua" w:eastAsia="Book Antiqua" w:hAnsi="Book Antiqua" w:cs="Book Antiqua"/>
          <w:color w:val="000000"/>
        </w:rPr>
        <w:t>March 3, 2021</w:t>
      </w:r>
    </w:p>
    <w:p w14:paraId="4DC257B9" w14:textId="50728BAE"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Published online: </w:t>
      </w:r>
      <w:r w:rsidR="00823C6B" w:rsidRPr="00156D49">
        <w:rPr>
          <w:rFonts w:ascii="Book Antiqua" w:eastAsia="Book Antiqua" w:hAnsi="Book Antiqua" w:cs="Book Antiqua"/>
          <w:bCs/>
          <w:color w:val="000000"/>
        </w:rPr>
        <w:t xml:space="preserve">May </w:t>
      </w:r>
      <w:r w:rsidR="003308C5">
        <w:rPr>
          <w:rFonts w:ascii="Book Antiqua" w:hAnsi="Book Antiqua" w:cs="Book Antiqua" w:hint="eastAsia"/>
          <w:bCs/>
          <w:color w:val="000000"/>
          <w:lang w:eastAsia="zh-CN"/>
        </w:rPr>
        <w:t>2</w:t>
      </w:r>
      <w:r w:rsidR="00823C6B" w:rsidRPr="00C04B8E">
        <w:rPr>
          <w:rFonts w:ascii="Book Antiqua" w:hAnsi="Book Antiqua" w:cs="Book Antiqua" w:hint="eastAsia"/>
          <w:bCs/>
          <w:color w:val="000000"/>
          <w:lang w:eastAsia="zh-CN"/>
        </w:rPr>
        <w:t>6, 2021</w:t>
      </w:r>
    </w:p>
    <w:p w14:paraId="33AC4427" w14:textId="77777777" w:rsidR="00A77B3E" w:rsidRPr="00CB4850" w:rsidRDefault="00A77B3E" w:rsidP="00CB4850">
      <w:pPr>
        <w:snapToGrid w:val="0"/>
        <w:spacing w:line="360" w:lineRule="auto"/>
        <w:jc w:val="both"/>
        <w:rPr>
          <w:rFonts w:ascii="Book Antiqua" w:hAnsi="Book Antiqua"/>
        </w:rPr>
        <w:sectPr w:rsidR="00A77B3E" w:rsidRPr="00CB4850" w:rsidSect="00B37B93">
          <w:footerReference w:type="default" r:id="rId7"/>
          <w:pgSz w:w="12240" w:h="15840"/>
          <w:pgMar w:top="1440" w:right="1800" w:bottom="1440" w:left="1800" w:header="720" w:footer="720" w:gutter="0"/>
          <w:cols w:space="720"/>
          <w:docGrid w:linePitch="360"/>
        </w:sectPr>
      </w:pPr>
    </w:p>
    <w:p w14:paraId="72BF4DE1"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Abstract</w:t>
      </w:r>
    </w:p>
    <w:p w14:paraId="301B960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BACKGROUND</w:t>
      </w:r>
    </w:p>
    <w:p w14:paraId="2D57EDA7" w14:textId="77777777" w:rsidR="00A77B3E" w:rsidRPr="00CB4850" w:rsidRDefault="00A84E93" w:rsidP="00CB4850">
      <w:pPr>
        <w:snapToGrid w:val="0"/>
        <w:spacing w:line="360" w:lineRule="auto"/>
        <w:jc w:val="both"/>
        <w:rPr>
          <w:rFonts w:ascii="Book Antiqua" w:hAnsi="Book Antiqua"/>
        </w:rPr>
      </w:pPr>
      <w:bookmarkStart w:id="2" w:name="OLE_LINK5"/>
      <w:bookmarkStart w:id="3" w:name="OLE_LINK6"/>
      <w:r w:rsidRPr="00CB4850">
        <w:rPr>
          <w:rFonts w:ascii="Book Antiqua" w:eastAsia="Book Antiqua" w:hAnsi="Book Antiqua" w:cs="Book Antiqua"/>
          <w:color w:val="000000"/>
        </w:rPr>
        <w:t>Osteochondritis dissecans (OCD) is a rare disease of unclear cause characterized by subchondral bone damage and overlying cartilage defects. The current report presents the results of subchondral bone as a novel target for implantation of peripheral blood stem cells (PBSCs) in the treatment of OCD.</w:t>
      </w:r>
    </w:p>
    <w:bookmarkEnd w:id="2"/>
    <w:bookmarkEnd w:id="3"/>
    <w:p w14:paraId="2144E85A" w14:textId="77777777" w:rsidR="00A77B3E" w:rsidRPr="00CB4850" w:rsidRDefault="00A77B3E" w:rsidP="00CB4850">
      <w:pPr>
        <w:snapToGrid w:val="0"/>
        <w:spacing w:line="360" w:lineRule="auto"/>
        <w:jc w:val="both"/>
        <w:rPr>
          <w:rFonts w:ascii="Book Antiqua" w:hAnsi="Book Antiqua"/>
        </w:rPr>
      </w:pPr>
    </w:p>
    <w:p w14:paraId="6B927F83"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CASE SUMMARY</w:t>
      </w:r>
    </w:p>
    <w:p w14:paraId="6E32B4FB" w14:textId="698BF0D6" w:rsidR="00A77B3E" w:rsidRPr="00CB4850" w:rsidRDefault="00A84E93" w:rsidP="00CB4850">
      <w:pPr>
        <w:snapToGrid w:val="0"/>
        <w:spacing w:line="360" w:lineRule="auto"/>
        <w:jc w:val="both"/>
        <w:rPr>
          <w:rFonts w:ascii="Book Antiqua" w:hAnsi="Book Antiqua"/>
        </w:rPr>
      </w:pPr>
      <w:bookmarkStart w:id="4" w:name="OLE_LINK7"/>
      <w:bookmarkStart w:id="5" w:name="OLE_LINK8"/>
      <w:r w:rsidRPr="00CB4850">
        <w:rPr>
          <w:rFonts w:ascii="Book Antiqua" w:eastAsia="Book Antiqua" w:hAnsi="Book Antiqua" w:cs="Book Antiqua"/>
          <w:color w:val="000000"/>
        </w:rPr>
        <w:t>A 16-year-old patient diagnosed with OCD underwent subchondral bone implantation of PBSCs. Four months later, the patient's visual analog scale scores, Western Ontario and McMaster University osteoarthritis index</w:t>
      </w:r>
      <w:r w:rsidR="00591D22">
        <w:rPr>
          <w:rFonts w:ascii="Book Antiqua" w:eastAsia="Book Antiqua" w:hAnsi="Book Antiqua" w:cs="Book Antiqua"/>
          <w:color w:val="000000"/>
        </w:rPr>
        <w:t>,</w:t>
      </w:r>
      <w:r w:rsidRPr="00CB4850">
        <w:rPr>
          <w:rFonts w:ascii="Book Antiqua" w:eastAsia="Book Antiqua" w:hAnsi="Book Antiqua" w:cs="Book Antiqua"/>
          <w:color w:val="000000"/>
        </w:rPr>
        <w:t xml:space="preserve"> and whole</w:t>
      </w:r>
      <w:r w:rsidR="005B1623" w:rsidRPr="00CB4850">
        <w:rPr>
          <w:rFonts w:ascii="Book Antiqua" w:eastAsia="Book Antiqua" w:hAnsi="Book Antiqua" w:cs="Book Antiqua"/>
          <w:color w:val="000000"/>
        </w:rPr>
        <w:t>-</w:t>
      </w:r>
      <w:r w:rsidRPr="00CB4850">
        <w:rPr>
          <w:rFonts w:ascii="Book Antiqua" w:eastAsia="Book Antiqua" w:hAnsi="Book Antiqua" w:cs="Book Antiqua"/>
          <w:color w:val="000000"/>
        </w:rPr>
        <w:t>organ magnetic resonance imaging score improved significantly, and regeneration of cartilage and subchondral bone was observed on magnetic resonance imaging.</w:t>
      </w:r>
    </w:p>
    <w:bookmarkEnd w:id="4"/>
    <w:bookmarkEnd w:id="5"/>
    <w:p w14:paraId="2A55ECB5" w14:textId="77777777" w:rsidR="00A77B3E" w:rsidRPr="00CB4850" w:rsidRDefault="00A77B3E" w:rsidP="00CB4850">
      <w:pPr>
        <w:snapToGrid w:val="0"/>
        <w:spacing w:line="360" w:lineRule="auto"/>
        <w:jc w:val="both"/>
        <w:rPr>
          <w:rFonts w:ascii="Book Antiqua" w:hAnsi="Book Antiqua"/>
        </w:rPr>
      </w:pPr>
    </w:p>
    <w:p w14:paraId="3D66A86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CONCLUSION</w:t>
      </w:r>
    </w:p>
    <w:p w14:paraId="265770A7" w14:textId="77777777" w:rsidR="00A77B3E" w:rsidRPr="00CB4850" w:rsidRDefault="00A84E93" w:rsidP="00CB4850">
      <w:pPr>
        <w:snapToGrid w:val="0"/>
        <w:spacing w:line="360" w:lineRule="auto"/>
        <w:jc w:val="both"/>
        <w:rPr>
          <w:rFonts w:ascii="Book Antiqua" w:hAnsi="Book Antiqua"/>
        </w:rPr>
      </w:pPr>
      <w:bookmarkStart w:id="6" w:name="OLE_LINK9"/>
      <w:bookmarkStart w:id="7" w:name="OLE_LINK10"/>
      <w:r w:rsidRPr="00CB4850">
        <w:rPr>
          <w:rFonts w:ascii="Book Antiqua" w:eastAsia="Book Antiqua" w:hAnsi="Book Antiqua" w:cs="Book Antiqua"/>
          <w:color w:val="000000"/>
        </w:rPr>
        <w:t>This is the first case of OCD treated with subchondral bone as an implantation target of PBSCs, which highlights the importance of subchondral bone for cartilage repair. This treatment could be a potential option for articular cartilage and subchondral bone recovery in OCD.</w:t>
      </w:r>
    </w:p>
    <w:p w14:paraId="03898C77" w14:textId="77777777" w:rsidR="00A77B3E" w:rsidRPr="00CB4850" w:rsidRDefault="00A77B3E" w:rsidP="00CB4850">
      <w:pPr>
        <w:snapToGrid w:val="0"/>
        <w:spacing w:line="360" w:lineRule="auto"/>
        <w:jc w:val="both"/>
        <w:rPr>
          <w:rFonts w:ascii="Book Antiqua" w:hAnsi="Book Antiqua"/>
        </w:rPr>
      </w:pPr>
    </w:p>
    <w:bookmarkEnd w:id="6"/>
    <w:bookmarkEnd w:id="7"/>
    <w:p w14:paraId="4EDE63E2" w14:textId="258967B8"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Key Words: </w:t>
      </w:r>
      <w:r w:rsidRPr="00CB4850">
        <w:rPr>
          <w:rFonts w:ascii="Book Antiqua" w:eastAsia="Book Antiqua" w:hAnsi="Book Antiqua" w:cs="Book Antiqua"/>
          <w:color w:val="000000"/>
        </w:rPr>
        <w:t>Osteochondritis dissecans; Peripheral blood stem cells; Subchondral bone; Cartilage; Case report</w:t>
      </w:r>
    </w:p>
    <w:p w14:paraId="6D44E4D7" w14:textId="77777777" w:rsidR="008A4EDD" w:rsidRDefault="008A4EDD" w:rsidP="008A4EDD">
      <w:pPr>
        <w:spacing w:line="360" w:lineRule="auto"/>
        <w:jc w:val="both"/>
        <w:rPr>
          <w:lang w:eastAsia="zh-CN"/>
        </w:rPr>
      </w:pPr>
    </w:p>
    <w:p w14:paraId="070BFC21" w14:textId="77777777" w:rsidR="008A4EDD" w:rsidRPr="00026CB8" w:rsidRDefault="008A4EDD" w:rsidP="008A4ED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4AAA6D9" w14:textId="77777777" w:rsidR="00A77B3E" w:rsidRPr="00CB4850" w:rsidRDefault="00A77B3E" w:rsidP="00CB4850">
      <w:pPr>
        <w:snapToGrid w:val="0"/>
        <w:spacing w:line="360" w:lineRule="auto"/>
        <w:jc w:val="both"/>
        <w:rPr>
          <w:rFonts w:ascii="Book Antiqua" w:hAnsi="Book Antiqua"/>
        </w:rPr>
      </w:pPr>
    </w:p>
    <w:p w14:paraId="0021C9D5" w14:textId="4FCA4E07" w:rsidR="008F73A4" w:rsidRDefault="008F73A4" w:rsidP="00CB4850">
      <w:pPr>
        <w:snapToGrid w:val="0"/>
        <w:spacing w:line="360" w:lineRule="auto"/>
        <w:jc w:val="both"/>
        <w:rPr>
          <w:rFonts w:ascii="Book Antiqua" w:hAnsi="Book Antiqua" w:hint="eastAsia"/>
          <w:lang w:eastAsia="zh-CN"/>
        </w:rPr>
      </w:pPr>
      <w:bookmarkStart w:id="8" w:name="OLE_LINK33"/>
      <w:bookmarkStart w:id="9" w:name="OLE_LINK34"/>
      <w:r w:rsidRPr="008F73A4">
        <w:rPr>
          <w:rFonts w:ascii="Book Antiqua" w:hAnsi="Book Antiqua" w:cs="Book Antiqua" w:hint="eastAsia"/>
          <w:b/>
          <w:color w:val="000000"/>
          <w:lang w:eastAsia="zh-CN"/>
        </w:rPr>
        <w:t xml:space="preserve">Citation: </w:t>
      </w:r>
      <w:r w:rsidR="00A84E93" w:rsidRPr="00CB4850">
        <w:rPr>
          <w:rFonts w:ascii="Book Antiqua" w:eastAsia="Book Antiqua" w:hAnsi="Book Antiqua" w:cs="Book Antiqua"/>
          <w:color w:val="000000"/>
        </w:rPr>
        <w:t>Zhang SY, Xu HH, Xiao MM, Zhang JJ, Mao Q, He BJ, Tong PJ. Subchondral bone as a novel target for regenerative therapy of osteochon</w:t>
      </w:r>
      <w:r w:rsidR="004146EE" w:rsidRPr="00CB4850">
        <w:rPr>
          <w:rFonts w:ascii="Book Antiqua" w:eastAsia="Book Antiqua" w:hAnsi="Book Antiqua" w:cs="Book Antiqua"/>
          <w:color w:val="000000"/>
        </w:rPr>
        <w:t>dritis dissecans: A case report</w:t>
      </w:r>
      <w:r w:rsidR="00A84E93" w:rsidRPr="00CB4850">
        <w:rPr>
          <w:rFonts w:ascii="Book Antiqua" w:eastAsia="Book Antiqua" w:hAnsi="Book Antiqua" w:cs="Book Antiqua"/>
          <w:color w:val="000000"/>
        </w:rPr>
        <w:t xml:space="preserve">. </w:t>
      </w:r>
      <w:r w:rsidR="00A84E93" w:rsidRPr="00CB4850">
        <w:rPr>
          <w:rFonts w:ascii="Book Antiqua" w:eastAsia="Book Antiqua" w:hAnsi="Book Antiqua" w:cs="Book Antiqua"/>
          <w:i/>
          <w:iCs/>
          <w:color w:val="000000"/>
        </w:rPr>
        <w:t>World J Clin Cases</w:t>
      </w:r>
      <w:r w:rsidR="00A84E93" w:rsidRPr="00CB4850">
        <w:rPr>
          <w:rFonts w:ascii="Book Antiqua" w:eastAsia="Book Antiqua" w:hAnsi="Book Antiqua" w:cs="Book Antiqua"/>
          <w:color w:val="000000"/>
        </w:rPr>
        <w:t xml:space="preserve"> </w:t>
      </w:r>
      <w:r w:rsidR="00B91723" w:rsidRPr="00EE6A3B">
        <w:rPr>
          <w:rFonts w:ascii="Book Antiqua" w:hAnsi="Book Antiqua"/>
        </w:rPr>
        <w:t>202</w:t>
      </w:r>
      <w:r w:rsidR="00B91723">
        <w:rPr>
          <w:rFonts w:ascii="Book Antiqua" w:hAnsi="Book Antiqua" w:hint="eastAsia"/>
          <w:lang w:eastAsia="zh-CN"/>
        </w:rPr>
        <w:t>1</w:t>
      </w:r>
      <w:r w:rsidR="00B91723" w:rsidRPr="00EE6A3B">
        <w:rPr>
          <w:rFonts w:ascii="Book Antiqua" w:hAnsi="Book Antiqua"/>
        </w:rPr>
        <w:t xml:space="preserve">; </w:t>
      </w:r>
      <w:r w:rsidR="00B91723">
        <w:rPr>
          <w:rFonts w:ascii="Book Antiqua" w:hAnsi="Book Antiqua" w:hint="eastAsia"/>
          <w:lang w:eastAsia="zh-CN"/>
        </w:rPr>
        <w:t>9</w:t>
      </w:r>
      <w:r w:rsidR="00B91723" w:rsidRPr="00EE6A3B">
        <w:rPr>
          <w:rFonts w:ascii="Book Antiqua" w:hAnsi="Book Antiqua"/>
        </w:rPr>
        <w:t>(</w:t>
      </w:r>
      <w:r w:rsidR="00B91723">
        <w:rPr>
          <w:rFonts w:ascii="Book Antiqua" w:hAnsi="Book Antiqua" w:hint="eastAsia"/>
          <w:lang w:eastAsia="zh-CN"/>
        </w:rPr>
        <w:t>15</w:t>
      </w:r>
      <w:r w:rsidR="00B91723" w:rsidRPr="00EE6A3B">
        <w:rPr>
          <w:rFonts w:ascii="Book Antiqua" w:hAnsi="Book Antiqua"/>
        </w:rPr>
        <w:t xml:space="preserve">): </w:t>
      </w:r>
      <w:r w:rsidR="0027758C" w:rsidRPr="0027758C">
        <w:rPr>
          <w:rFonts w:ascii="Book Antiqua" w:hAnsi="Book Antiqua"/>
        </w:rPr>
        <w:t>3623-3630</w:t>
      </w:r>
      <w:r w:rsidR="00B91723" w:rsidRPr="00EE6A3B">
        <w:rPr>
          <w:rFonts w:ascii="Book Antiqua" w:hAnsi="Book Antiqua"/>
        </w:rPr>
        <w:t xml:space="preserve">  </w:t>
      </w:r>
    </w:p>
    <w:p w14:paraId="24A455FC" w14:textId="2B48B371" w:rsidR="008F73A4" w:rsidRDefault="00B91723" w:rsidP="00CB4850">
      <w:pPr>
        <w:snapToGrid w:val="0"/>
        <w:spacing w:line="360" w:lineRule="auto"/>
        <w:jc w:val="both"/>
        <w:rPr>
          <w:rFonts w:ascii="Book Antiqua" w:hAnsi="Book Antiqua" w:hint="eastAsia"/>
          <w:lang w:eastAsia="zh-CN"/>
        </w:rPr>
      </w:pPr>
      <w:r w:rsidRPr="008F73A4">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15</w:t>
      </w:r>
      <w:r w:rsidRPr="00EE6A3B">
        <w:rPr>
          <w:rFonts w:ascii="Book Antiqua" w:hAnsi="Book Antiqua"/>
        </w:rPr>
        <w:t>/</w:t>
      </w:r>
      <w:r w:rsidR="00256A9E">
        <w:rPr>
          <w:rFonts w:ascii="Book Antiqua" w:hAnsi="Book Antiqua" w:hint="eastAsia"/>
          <w:lang w:eastAsia="zh-CN"/>
        </w:rPr>
        <w:t>3623</w:t>
      </w:r>
      <w:r w:rsidRPr="00EE6A3B">
        <w:rPr>
          <w:rFonts w:ascii="Book Antiqua" w:hAnsi="Book Antiqua"/>
        </w:rPr>
        <w:t xml:space="preserve">.htm  </w:t>
      </w:r>
    </w:p>
    <w:p w14:paraId="61CFB330" w14:textId="4F836E0D" w:rsidR="00A77B3E" w:rsidRPr="00CB4850" w:rsidRDefault="00B91723" w:rsidP="00CB4850">
      <w:pPr>
        <w:snapToGrid w:val="0"/>
        <w:spacing w:line="360" w:lineRule="auto"/>
        <w:jc w:val="both"/>
        <w:rPr>
          <w:rFonts w:ascii="Book Antiqua" w:hAnsi="Book Antiqua" w:hint="eastAsia"/>
          <w:lang w:eastAsia="zh-CN"/>
        </w:rPr>
      </w:pPr>
      <w:r w:rsidRPr="008F73A4">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15</w:t>
      </w:r>
      <w:r w:rsidRPr="00EE6A3B">
        <w:rPr>
          <w:rFonts w:ascii="Book Antiqua" w:hAnsi="Book Antiqua"/>
        </w:rPr>
        <w:t>.</w:t>
      </w:r>
      <w:r w:rsidR="00801832">
        <w:rPr>
          <w:rFonts w:ascii="Book Antiqua" w:hAnsi="Book Antiqua" w:hint="eastAsia"/>
          <w:lang w:eastAsia="zh-CN"/>
        </w:rPr>
        <w:t>3623</w:t>
      </w:r>
    </w:p>
    <w:bookmarkEnd w:id="8"/>
    <w:bookmarkEnd w:id="9"/>
    <w:p w14:paraId="781A28E7" w14:textId="77777777" w:rsidR="00A77B3E" w:rsidRPr="00CB4850" w:rsidRDefault="00A77B3E" w:rsidP="00CB4850">
      <w:pPr>
        <w:snapToGrid w:val="0"/>
        <w:spacing w:line="360" w:lineRule="auto"/>
        <w:jc w:val="both"/>
        <w:rPr>
          <w:rFonts w:ascii="Book Antiqua" w:hAnsi="Book Antiqua"/>
        </w:rPr>
      </w:pPr>
    </w:p>
    <w:p w14:paraId="1EA01869" w14:textId="4877CC09"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Core Tip: </w:t>
      </w:r>
      <w:r w:rsidRPr="00CB4850">
        <w:rPr>
          <w:rFonts w:ascii="Book Antiqua" w:eastAsia="Book Antiqua" w:hAnsi="Book Antiqua" w:cs="Book Antiqua"/>
          <w:color w:val="000000"/>
        </w:rPr>
        <w:t xml:space="preserve">Osteochondritis dissecans is a relatively rare disease, and we used an unreported treatment that focused on subchondral bone as a novel target for implantation using peripheral blood stem cells. </w:t>
      </w:r>
      <w:r w:rsidR="00CA0FFC" w:rsidRPr="00CB4850">
        <w:rPr>
          <w:rFonts w:ascii="Book Antiqua" w:eastAsia="Book Antiqua" w:hAnsi="Book Antiqua" w:cs="Book Antiqua"/>
          <w:color w:val="000000"/>
        </w:rPr>
        <w:t>Magnetic resonance imaging</w:t>
      </w:r>
      <w:r w:rsidRPr="00CB4850">
        <w:rPr>
          <w:rFonts w:ascii="Book Antiqua" w:eastAsia="Book Antiqua" w:hAnsi="Book Antiqua" w:cs="Book Antiqua"/>
          <w:color w:val="000000"/>
        </w:rPr>
        <w:t xml:space="preserve"> at 4 mo postoperatively showed repair of both cartilage and subchondral bone, and the patient's knee function and pain improved.</w:t>
      </w:r>
    </w:p>
    <w:p w14:paraId="7ED53C99" w14:textId="77777777" w:rsidR="00A77B3E" w:rsidRPr="00CB4850" w:rsidRDefault="00A77B3E" w:rsidP="00CB4850">
      <w:pPr>
        <w:snapToGrid w:val="0"/>
        <w:spacing w:line="360" w:lineRule="auto"/>
        <w:jc w:val="both"/>
        <w:rPr>
          <w:rFonts w:ascii="Book Antiqua" w:hAnsi="Book Antiqua"/>
        </w:rPr>
      </w:pPr>
    </w:p>
    <w:p w14:paraId="5582AC39" w14:textId="28DAE66B" w:rsidR="00A77B3E" w:rsidRPr="00CB4850" w:rsidRDefault="005B162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br w:type="page"/>
      </w:r>
      <w:r w:rsidR="00A84E93" w:rsidRPr="00CB4850">
        <w:rPr>
          <w:rFonts w:ascii="Book Antiqua" w:eastAsia="Book Antiqua" w:hAnsi="Book Antiqua" w:cs="Book Antiqua"/>
          <w:b/>
          <w:caps/>
          <w:color w:val="000000"/>
          <w:u w:val="single"/>
        </w:rPr>
        <w:t>INTRODUCTION</w:t>
      </w:r>
    </w:p>
    <w:p w14:paraId="1115DD41" w14:textId="77777777" w:rsidR="00A77B3E" w:rsidRPr="00CB4850" w:rsidRDefault="00A84E93" w:rsidP="00CB4850">
      <w:pPr>
        <w:snapToGrid w:val="0"/>
        <w:spacing w:line="360" w:lineRule="auto"/>
        <w:jc w:val="both"/>
        <w:rPr>
          <w:rFonts w:ascii="Book Antiqua" w:hAnsi="Book Antiqua"/>
        </w:rPr>
      </w:pPr>
      <w:bookmarkStart w:id="10" w:name="OLE_LINK11"/>
      <w:bookmarkStart w:id="11" w:name="OLE_LINK12"/>
      <w:r w:rsidRPr="00CB4850">
        <w:rPr>
          <w:rFonts w:ascii="Book Antiqua" w:eastAsia="Book Antiqua" w:hAnsi="Book Antiqua" w:cs="Book Antiqua"/>
          <w:color w:val="000000"/>
        </w:rPr>
        <w:t>Extensive cartilage and subchondral bone lesions in osteochondritis dissecans (OCD) appear to be difficult to regenerate with repeated friction on exposed articular surfaces, causing persistent pain and dysfunction</w:t>
      </w:r>
      <w:r w:rsidRPr="00CB4850">
        <w:rPr>
          <w:rFonts w:ascii="Book Antiqua" w:eastAsia="Book Antiqua" w:hAnsi="Book Antiqua" w:cs="Book Antiqua"/>
          <w:color w:val="000000"/>
          <w:vertAlign w:val="superscript"/>
        </w:rPr>
        <w:t>[1]</w:t>
      </w:r>
      <w:r w:rsidRPr="00CB4850">
        <w:rPr>
          <w:rFonts w:ascii="Book Antiqua" w:eastAsia="Book Antiqua" w:hAnsi="Book Antiqua" w:cs="Book Antiqua"/>
          <w:color w:val="000000"/>
        </w:rPr>
        <w:t>.</w:t>
      </w:r>
    </w:p>
    <w:p w14:paraId="0ED5B23A" w14:textId="0783AFE1" w:rsidR="00A77B3E" w:rsidRPr="00CB4850" w:rsidRDefault="00A84E93" w:rsidP="00CB4850">
      <w:pPr>
        <w:snapToGrid w:val="0"/>
        <w:spacing w:line="360" w:lineRule="auto"/>
        <w:ind w:firstLine="240"/>
        <w:jc w:val="both"/>
        <w:rPr>
          <w:rFonts w:ascii="Book Antiqua" w:hAnsi="Book Antiqua"/>
        </w:rPr>
      </w:pPr>
      <w:r w:rsidRPr="00CB4850">
        <w:rPr>
          <w:rFonts w:ascii="Book Antiqua" w:eastAsia="Book Antiqua" w:hAnsi="Book Antiqua" w:cs="Book Antiqua"/>
          <w:color w:val="000000"/>
        </w:rPr>
        <w:t xml:space="preserve">Mesenchymal stromal stem cell therapy is a recently emerging approach that has been applied to diseases associated with cartilage damage based on stem cell </w:t>
      </w:r>
      <w:r w:rsidR="00591D22" w:rsidRPr="00CB4850">
        <w:rPr>
          <w:rFonts w:ascii="Book Antiqua" w:eastAsia="Book Antiqua" w:hAnsi="Book Antiqua" w:cs="Book Antiqua"/>
          <w:color w:val="000000"/>
        </w:rPr>
        <w:t>multi</w:t>
      </w:r>
      <w:r w:rsidR="00591D22">
        <w:rPr>
          <w:rFonts w:ascii="Book Antiqua" w:eastAsia="Book Antiqua" w:hAnsi="Book Antiqua" w:cs="Book Antiqua"/>
          <w:color w:val="000000"/>
        </w:rPr>
        <w:t>-</w:t>
      </w:r>
      <w:r w:rsidR="00642099" w:rsidRPr="00CB4850">
        <w:rPr>
          <w:rFonts w:ascii="Book Antiqua" w:eastAsia="Book Antiqua" w:hAnsi="Book Antiqua" w:cs="Book Antiqua"/>
          <w:color w:val="000000"/>
        </w:rPr>
        <w:t>differentiation</w:t>
      </w:r>
      <w:r w:rsidRPr="00CB4850">
        <w:rPr>
          <w:rFonts w:ascii="Book Antiqua" w:eastAsia="Book Antiqua" w:hAnsi="Book Antiqua" w:cs="Book Antiqua"/>
          <w:color w:val="000000"/>
        </w:rPr>
        <w:t xml:space="preserve"> potential (osteogenic, chondrogenic, </w:t>
      </w:r>
      <w:r w:rsidRPr="00CB4850">
        <w:rPr>
          <w:rFonts w:ascii="Book Antiqua" w:eastAsia="Book Antiqua" w:hAnsi="Book Antiqua" w:cs="Book Antiqua"/>
          <w:i/>
          <w:iCs/>
          <w:color w:val="000000"/>
        </w:rPr>
        <w:t>etc</w:t>
      </w:r>
      <w:r w:rsidRPr="00CB4850">
        <w:rPr>
          <w:rFonts w:ascii="Book Antiqua" w:eastAsia="Book Antiqua" w:hAnsi="Book Antiqua" w:cs="Book Antiqua"/>
          <w:color w:val="000000"/>
        </w:rPr>
        <w:t>.)</w:t>
      </w:r>
      <w:r w:rsidRPr="00CB4850">
        <w:rPr>
          <w:rFonts w:ascii="Book Antiqua" w:eastAsia="Book Antiqua" w:hAnsi="Book Antiqua" w:cs="Book Antiqua"/>
          <w:color w:val="000000"/>
          <w:vertAlign w:val="superscript"/>
        </w:rPr>
        <w:t>[2]</w:t>
      </w:r>
      <w:r w:rsidRPr="00CB4850">
        <w:rPr>
          <w:rFonts w:ascii="Book Antiqua" w:eastAsia="Book Antiqua" w:hAnsi="Book Antiqua" w:cs="Book Antiqua"/>
          <w:color w:val="000000"/>
        </w:rPr>
        <w:t>. Although there are clinical cases where stem cells injected into the joint cavity have been reported to relieve pain and improve function in patients with OCD</w:t>
      </w:r>
      <w:r w:rsidRPr="00CB4850">
        <w:rPr>
          <w:rFonts w:ascii="Book Antiqua" w:eastAsia="Book Antiqua" w:hAnsi="Book Antiqua" w:cs="Book Antiqua"/>
          <w:color w:val="000000"/>
          <w:vertAlign w:val="superscript"/>
        </w:rPr>
        <w:t>[3]</w:t>
      </w:r>
      <w:r w:rsidRPr="00CB4850">
        <w:rPr>
          <w:rFonts w:ascii="Book Antiqua" w:eastAsia="Book Antiqua" w:hAnsi="Book Antiqua" w:cs="Book Antiqua"/>
          <w:color w:val="000000"/>
        </w:rPr>
        <w:t xml:space="preserve">, it is easily overlooked that the distribution of commonly used intra-articular implanted stem cells in the joint cavity is unclear. </w:t>
      </w:r>
      <w:r w:rsidR="004146EE" w:rsidRPr="00CB4850">
        <w:rPr>
          <w:rFonts w:ascii="Book Antiqua" w:eastAsia="Book Antiqua" w:hAnsi="Book Antiqua" w:cs="Book Antiqua"/>
          <w:bCs/>
          <w:color w:val="000000"/>
        </w:rPr>
        <w:t>Markides</w:t>
      </w:r>
      <w:r w:rsidRPr="00CB4850">
        <w:rPr>
          <w:rFonts w:ascii="Book Antiqua" w:eastAsia="Book Antiqua" w:hAnsi="Book Antiqua" w:cs="Book Antiqua"/>
          <w:color w:val="000000"/>
        </w:rPr>
        <w:t xml:space="preserve"> </w:t>
      </w:r>
      <w:r w:rsidRPr="00CB4850">
        <w:rPr>
          <w:rFonts w:ascii="Book Antiqua" w:eastAsia="Book Antiqua" w:hAnsi="Book Antiqua" w:cs="Book Antiqua"/>
          <w:i/>
          <w:iCs/>
          <w:color w:val="000000"/>
        </w:rPr>
        <w:t>et al</w:t>
      </w:r>
      <w:r w:rsidRPr="00CB4850">
        <w:rPr>
          <w:rFonts w:ascii="Book Antiqua" w:eastAsia="Book Antiqua" w:hAnsi="Book Antiqua" w:cs="Book Antiqua"/>
          <w:color w:val="000000"/>
          <w:vertAlign w:val="superscript"/>
        </w:rPr>
        <w:t>[4]</w:t>
      </w:r>
      <w:r w:rsidRPr="00CB4850">
        <w:rPr>
          <w:rFonts w:ascii="Book Antiqua" w:eastAsia="Book Antiqua" w:hAnsi="Book Antiqua" w:cs="Book Antiqua"/>
          <w:color w:val="000000"/>
        </w:rPr>
        <w:t xml:space="preserve"> tracked superparamagnetic iron oxide nanoparticle-labeled stem cells by </w:t>
      </w:r>
      <w:r w:rsidR="00CA0FFC" w:rsidRPr="00CB4850">
        <w:rPr>
          <w:rFonts w:ascii="Book Antiqua" w:eastAsia="Book Antiqua" w:hAnsi="Book Antiqua" w:cs="Book Antiqua"/>
          <w:color w:val="000000"/>
        </w:rPr>
        <w:t>magnetic resonance imaging (</w:t>
      </w:r>
      <w:r w:rsidRPr="00CB4850">
        <w:rPr>
          <w:rFonts w:ascii="Book Antiqua" w:eastAsia="Book Antiqua" w:hAnsi="Book Antiqua" w:cs="Book Antiqua"/>
          <w:color w:val="000000"/>
        </w:rPr>
        <w:t>MRI</w:t>
      </w:r>
      <w:r w:rsidR="00CA0FFC" w:rsidRPr="00CB4850">
        <w:rPr>
          <w:rFonts w:ascii="Book Antiqua" w:eastAsia="Book Antiqua" w:hAnsi="Book Antiqua" w:cs="Book Antiqua"/>
          <w:color w:val="000000"/>
        </w:rPr>
        <w:t>)</w:t>
      </w:r>
      <w:r w:rsidRPr="00CB4850">
        <w:rPr>
          <w:rFonts w:ascii="Book Antiqua" w:eastAsia="Book Antiqua" w:hAnsi="Book Antiqua" w:cs="Book Antiqua"/>
          <w:color w:val="000000"/>
        </w:rPr>
        <w:t xml:space="preserve"> and found that stem cells implanted </w:t>
      </w:r>
      <w:r w:rsidRPr="00CB4850">
        <w:rPr>
          <w:rFonts w:ascii="Book Antiqua" w:eastAsia="Book Antiqua" w:hAnsi="Book Antiqua" w:cs="Book Antiqua"/>
          <w:i/>
          <w:iCs/>
          <w:color w:val="000000"/>
        </w:rPr>
        <w:t>via</w:t>
      </w:r>
      <w:r w:rsidRPr="00CB4850">
        <w:rPr>
          <w:rFonts w:ascii="Book Antiqua" w:eastAsia="Book Antiqua" w:hAnsi="Book Antiqua" w:cs="Book Antiqua"/>
          <w:color w:val="000000"/>
        </w:rPr>
        <w:t xml:space="preserve"> the joint cavity did not accumulate at the site of the cartilage defect. </w:t>
      </w:r>
      <w:r w:rsidRPr="00CB4850">
        <w:rPr>
          <w:rFonts w:ascii="Book Antiqua" w:hAnsi="Book Antiqua"/>
          <w:noProof/>
          <w:lang w:eastAsia="zh-CN"/>
        </w:rPr>
        <w:drawing>
          <wp:inline distT="0" distB="0" distL="0" distR="0" wp14:anchorId="3C2A227E" wp14:editId="377A03B5">
            <wp:extent cx="9525" cy="952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9525" cy="9525"/>
                    </a:xfrm>
                    <a:prstGeom prst="rect">
                      <a:avLst/>
                    </a:prstGeom>
                  </pic:spPr>
                </pic:pic>
              </a:graphicData>
            </a:graphic>
          </wp:inline>
        </w:drawing>
      </w:r>
      <w:r w:rsidRPr="00CB4850">
        <w:rPr>
          <w:rFonts w:ascii="Book Antiqua" w:eastAsia="Book Antiqua" w:hAnsi="Book Antiqua" w:cs="Book Antiqua"/>
          <w:color w:val="000000"/>
        </w:rPr>
        <w:t xml:space="preserve">Therefore, anchoring stem cells to the defective surface </w:t>
      </w:r>
      <w:r w:rsidRPr="00CB4850">
        <w:rPr>
          <w:rFonts w:ascii="Book Antiqua" w:eastAsia="Book Antiqua" w:hAnsi="Book Antiqua" w:cs="Book Antiqua"/>
          <w:i/>
          <w:iCs/>
          <w:color w:val="000000"/>
        </w:rPr>
        <w:t>via</w:t>
      </w:r>
      <w:r w:rsidRPr="00CB4850">
        <w:rPr>
          <w:rFonts w:ascii="Book Antiqua" w:eastAsia="Book Antiqua" w:hAnsi="Book Antiqua" w:cs="Book Antiqua"/>
          <w:color w:val="000000"/>
        </w:rPr>
        <w:t xml:space="preserve"> a biological scaffold may increase the likelihood that stem cells will function, but this procedure typically involves a highly invasive and prolonged surgery and has so far failed to produce sufficient clinical results to support clinical adoption</w:t>
      </w:r>
      <w:r w:rsidRPr="00CB4850">
        <w:rPr>
          <w:rFonts w:ascii="Book Antiqua" w:eastAsia="Book Antiqua" w:hAnsi="Book Antiqua" w:cs="Book Antiqua"/>
          <w:color w:val="000000"/>
          <w:vertAlign w:val="superscript"/>
        </w:rPr>
        <w:t>[5,6]</w:t>
      </w:r>
      <w:r w:rsidRPr="00CB4850">
        <w:rPr>
          <w:rFonts w:ascii="Book Antiqua" w:eastAsia="Book Antiqua" w:hAnsi="Book Antiqua" w:cs="Book Antiqua"/>
          <w:color w:val="000000"/>
        </w:rPr>
        <w:t>. A recent study revealed that resident skeletal stem cells present in the subchondral bone that undergo activation from minor injuries (such as microfractures) can regenerate cartilage</w:t>
      </w:r>
      <w:r w:rsidRPr="00CB4850">
        <w:rPr>
          <w:rFonts w:ascii="Book Antiqua" w:eastAsia="Book Antiqua" w:hAnsi="Book Antiqua" w:cs="Book Antiqua"/>
          <w:color w:val="000000"/>
          <w:vertAlign w:val="superscript"/>
        </w:rPr>
        <w:t>[7]</w:t>
      </w:r>
      <w:r w:rsidRPr="00CB4850">
        <w:rPr>
          <w:rFonts w:ascii="Book Antiqua" w:eastAsia="Book Antiqua" w:hAnsi="Book Antiqua" w:cs="Book Antiqua"/>
          <w:color w:val="000000"/>
        </w:rPr>
        <w:t>. However, OCD often has large subchondral bone defects and large subchondral bone marrow lesions (BMLs) accompanied by a consequent impact on resident skeletal stem cell function</w:t>
      </w:r>
      <w:r w:rsidRPr="00CB4850">
        <w:rPr>
          <w:rFonts w:ascii="Book Antiqua" w:eastAsia="Book Antiqua" w:hAnsi="Book Antiqua" w:cs="Book Antiqua"/>
          <w:color w:val="000000"/>
          <w:vertAlign w:val="superscript"/>
        </w:rPr>
        <w:t>[8]</w:t>
      </w:r>
      <w:r w:rsidRPr="00CB4850">
        <w:rPr>
          <w:rFonts w:ascii="Book Antiqua" w:eastAsia="Book Antiqua" w:hAnsi="Book Antiqua" w:cs="Book Antiqua"/>
          <w:color w:val="000000"/>
        </w:rPr>
        <w:t>, thus increasing the probability of regenerative failure. Since no studies have shown that stem cells injected into the joint cavity can enter the subchondral bone, we hypothesize</w:t>
      </w:r>
      <w:r w:rsidR="00591D22">
        <w:rPr>
          <w:rFonts w:ascii="Book Antiqua" w:eastAsia="Book Antiqua" w:hAnsi="Book Antiqua" w:cs="Book Antiqua"/>
          <w:color w:val="000000"/>
        </w:rPr>
        <w:t>d</w:t>
      </w:r>
      <w:r w:rsidRPr="00CB4850">
        <w:rPr>
          <w:rFonts w:ascii="Book Antiqua" w:eastAsia="Book Antiqua" w:hAnsi="Book Antiqua" w:cs="Book Antiqua"/>
          <w:color w:val="000000"/>
        </w:rPr>
        <w:t xml:space="preserve"> that when exogenous stem cells are implanted directly into the subchondral bone, these cells can concentrate more at the site of injury to repair BMLs and act as resident skeletal stem cells for cartilage regeneration.</w:t>
      </w:r>
    </w:p>
    <w:p w14:paraId="3723039B" w14:textId="77777777" w:rsidR="00A77B3E" w:rsidRPr="00CB4850" w:rsidRDefault="00A84E93" w:rsidP="00CB4850">
      <w:pPr>
        <w:snapToGrid w:val="0"/>
        <w:spacing w:line="360" w:lineRule="auto"/>
        <w:ind w:firstLine="240"/>
        <w:jc w:val="both"/>
        <w:rPr>
          <w:rFonts w:ascii="Book Antiqua" w:hAnsi="Book Antiqua"/>
        </w:rPr>
      </w:pPr>
      <w:r w:rsidRPr="00CB4850">
        <w:rPr>
          <w:rFonts w:ascii="Book Antiqua" w:eastAsia="Book Antiqua" w:hAnsi="Book Antiqua" w:cs="Book Antiqua"/>
          <w:color w:val="000000"/>
        </w:rPr>
        <w:t>Previous studies have shown that autologous peripheral blood stem cells (PBSCs) also contain CD34+ cells (CD34 is an antigen expressed on stem and progenitor cells) and have the advantages of being easy to collect and safe to use with few complications</w:t>
      </w:r>
      <w:r w:rsidRPr="00CB4850">
        <w:rPr>
          <w:rFonts w:ascii="Book Antiqua" w:eastAsia="Book Antiqua" w:hAnsi="Book Antiqua" w:cs="Book Antiqua"/>
          <w:color w:val="000000"/>
          <w:vertAlign w:val="superscript"/>
        </w:rPr>
        <w:t>[9]</w:t>
      </w:r>
      <w:r w:rsidRPr="00CB4850">
        <w:rPr>
          <w:rFonts w:ascii="Book Antiqua" w:eastAsia="Book Antiqua" w:hAnsi="Book Antiqua" w:cs="Book Antiqua"/>
          <w:color w:val="000000"/>
        </w:rPr>
        <w:t>. Therefore, in this case, we ultimately implanted PBSCs into the subchondral bone in an attempt to exogenously replenish stem cells into the subchondral bone and to assist in the regeneration of cartilage. This study was approved by an institutional review board and registered</w:t>
      </w:r>
      <w:r w:rsidRPr="00CB4850">
        <w:rPr>
          <w:rFonts w:ascii="Book Antiqua" w:eastAsia="Book Antiqua" w:hAnsi="Book Antiqua" w:cs="Book Antiqua"/>
          <w:color w:val="000000"/>
          <w:shd w:val="clear" w:color="auto" w:fill="FFFFFF"/>
        </w:rPr>
        <w:t xml:space="preserve"> (registration number ChiCTR-OCN-15006356)</w:t>
      </w:r>
      <w:r w:rsidRPr="00CB4850">
        <w:rPr>
          <w:rFonts w:ascii="Book Antiqua" w:eastAsia="Book Antiqua" w:hAnsi="Book Antiqua" w:cs="Book Antiqua"/>
          <w:color w:val="000000"/>
        </w:rPr>
        <w:t>, and the patient who participated in this study provided informed consent.</w:t>
      </w:r>
    </w:p>
    <w:bookmarkEnd w:id="10"/>
    <w:bookmarkEnd w:id="11"/>
    <w:p w14:paraId="554E3569" w14:textId="77777777" w:rsidR="00A77B3E" w:rsidRPr="00CB4850" w:rsidRDefault="00A77B3E" w:rsidP="00CB4850">
      <w:pPr>
        <w:snapToGrid w:val="0"/>
        <w:spacing w:line="360" w:lineRule="auto"/>
        <w:jc w:val="both"/>
        <w:rPr>
          <w:rFonts w:ascii="Book Antiqua" w:hAnsi="Book Antiqua"/>
        </w:rPr>
      </w:pPr>
    </w:p>
    <w:p w14:paraId="3463F0C3"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t>CASE PRESENTATION</w:t>
      </w:r>
    </w:p>
    <w:p w14:paraId="791826B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i/>
          <w:color w:val="000000"/>
        </w:rPr>
        <w:t>Chief complaints</w:t>
      </w:r>
    </w:p>
    <w:p w14:paraId="2E92AF1F" w14:textId="19308EFD"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The patient, a 16-year-old </w:t>
      </w:r>
      <w:r w:rsidR="00591D22" w:rsidRPr="00CB4850">
        <w:rPr>
          <w:rFonts w:ascii="Book Antiqua" w:eastAsia="Book Antiqua" w:hAnsi="Book Antiqua" w:cs="Book Antiqua"/>
          <w:color w:val="000000"/>
        </w:rPr>
        <w:t>ma</w:t>
      </w:r>
      <w:r w:rsidR="00591D22">
        <w:rPr>
          <w:rFonts w:ascii="Book Antiqua" w:eastAsia="Book Antiqua" w:hAnsi="Book Antiqua" w:cs="Book Antiqua"/>
          <w:color w:val="000000"/>
        </w:rPr>
        <w:t>n</w:t>
      </w:r>
      <w:r w:rsidRPr="00CB4850">
        <w:rPr>
          <w:rFonts w:ascii="Book Antiqua" w:eastAsia="Book Antiqua" w:hAnsi="Book Antiqua" w:cs="Book Antiqua"/>
          <w:color w:val="000000"/>
        </w:rPr>
        <w:t xml:space="preserve">, presented to our orthopedic outpatient clinic with right knee pain and occasional locking after one basketball game </w:t>
      </w:r>
      <w:r w:rsidR="00591D22">
        <w:rPr>
          <w:rFonts w:ascii="Book Antiqua" w:eastAsia="Book Antiqua" w:hAnsi="Book Antiqua" w:cs="Book Antiqua"/>
          <w:color w:val="000000"/>
        </w:rPr>
        <w:t>3</w:t>
      </w:r>
      <w:r w:rsidR="00591D22" w:rsidRPr="00CB4850">
        <w:rPr>
          <w:rFonts w:ascii="Book Antiqua" w:eastAsia="Book Antiqua" w:hAnsi="Book Antiqua" w:cs="Book Antiqua"/>
          <w:color w:val="000000"/>
        </w:rPr>
        <w:t xml:space="preserve"> </w:t>
      </w:r>
      <w:r w:rsidRPr="00CB4850">
        <w:rPr>
          <w:rFonts w:ascii="Book Antiqua" w:eastAsia="Book Antiqua" w:hAnsi="Book Antiqua" w:cs="Book Antiqua"/>
          <w:color w:val="000000"/>
        </w:rPr>
        <w:t>mo ago.</w:t>
      </w:r>
    </w:p>
    <w:p w14:paraId="4C551459" w14:textId="77777777" w:rsidR="00A77B3E" w:rsidRPr="00CB4850" w:rsidRDefault="00A77B3E" w:rsidP="00CB4850">
      <w:pPr>
        <w:snapToGrid w:val="0"/>
        <w:spacing w:line="360" w:lineRule="auto"/>
        <w:jc w:val="both"/>
        <w:rPr>
          <w:rFonts w:ascii="Book Antiqua" w:hAnsi="Book Antiqua"/>
        </w:rPr>
      </w:pPr>
    </w:p>
    <w:p w14:paraId="76FA7D3C"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i/>
          <w:color w:val="000000"/>
        </w:rPr>
        <w:t>History of present illness</w:t>
      </w:r>
    </w:p>
    <w:p w14:paraId="02A35E03" w14:textId="1285A5D8"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The pain appeared first after one basketball game, was followed by locking, and progressively worsened over </w:t>
      </w:r>
      <w:r w:rsidR="00591D22">
        <w:rPr>
          <w:rFonts w:ascii="Book Antiqua" w:eastAsia="Book Antiqua" w:hAnsi="Book Antiqua" w:cs="Book Antiqua"/>
          <w:color w:val="000000"/>
        </w:rPr>
        <w:t>3</w:t>
      </w:r>
      <w:r w:rsidR="00591D22" w:rsidRPr="00CB4850">
        <w:rPr>
          <w:rFonts w:ascii="Book Antiqua" w:eastAsia="Book Antiqua" w:hAnsi="Book Antiqua" w:cs="Book Antiqua"/>
          <w:color w:val="000000"/>
        </w:rPr>
        <w:t xml:space="preserve"> </w:t>
      </w:r>
      <w:r w:rsidRPr="00CB4850">
        <w:rPr>
          <w:rFonts w:ascii="Book Antiqua" w:eastAsia="Book Antiqua" w:hAnsi="Book Antiqua" w:cs="Book Antiqua"/>
          <w:color w:val="000000"/>
        </w:rPr>
        <w:t>mo. During this period, the patient received pain medication and physical therapy, which failed to relieve his symptoms. The patient presented with right knee pain and occasional locking and underwent an MRI examination at the outpatient clinic.</w:t>
      </w:r>
    </w:p>
    <w:p w14:paraId="3CBE9812" w14:textId="77777777" w:rsidR="00A77B3E" w:rsidRPr="00CB4850" w:rsidRDefault="00A77B3E" w:rsidP="00CB4850">
      <w:pPr>
        <w:snapToGrid w:val="0"/>
        <w:spacing w:line="360" w:lineRule="auto"/>
        <w:jc w:val="both"/>
        <w:rPr>
          <w:rFonts w:ascii="Book Antiqua" w:hAnsi="Book Antiqua"/>
        </w:rPr>
      </w:pPr>
    </w:p>
    <w:p w14:paraId="76DCBCE2"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i/>
          <w:color w:val="000000"/>
        </w:rPr>
        <w:t>Physical examination</w:t>
      </w:r>
    </w:p>
    <w:p w14:paraId="0D471BD9"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The patient had tenderness and swelling in the right knee, which was worse when the limb was moved with flexion or extension. The neurovascular status was normal.</w:t>
      </w:r>
    </w:p>
    <w:p w14:paraId="618F3C4E" w14:textId="77777777" w:rsidR="00A77B3E" w:rsidRPr="00CB4850" w:rsidRDefault="00A77B3E" w:rsidP="00CB4850">
      <w:pPr>
        <w:snapToGrid w:val="0"/>
        <w:spacing w:line="360" w:lineRule="auto"/>
        <w:jc w:val="both"/>
        <w:rPr>
          <w:rFonts w:ascii="Book Antiqua" w:hAnsi="Book Antiqua"/>
        </w:rPr>
      </w:pPr>
    </w:p>
    <w:p w14:paraId="4F0978C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i/>
          <w:color w:val="000000"/>
        </w:rPr>
        <w:t>Imaging examinations</w:t>
      </w:r>
    </w:p>
    <w:p w14:paraId="396BD246" w14:textId="77777777" w:rsidR="00A77B3E" w:rsidRPr="00CB4850" w:rsidRDefault="00A84E93" w:rsidP="00CB4850">
      <w:pPr>
        <w:snapToGrid w:val="0"/>
        <w:spacing w:line="360" w:lineRule="auto"/>
        <w:jc w:val="both"/>
        <w:rPr>
          <w:rFonts w:ascii="Book Antiqua" w:hAnsi="Book Antiqua"/>
        </w:rPr>
      </w:pPr>
      <w:bookmarkStart w:id="12" w:name="OLE_LINK13"/>
      <w:bookmarkStart w:id="13" w:name="OLE_LINK14"/>
      <w:r w:rsidRPr="00CB4850">
        <w:rPr>
          <w:rFonts w:ascii="Book Antiqua" w:eastAsia="Book Antiqua" w:hAnsi="Book Antiqua" w:cs="Book Antiqua"/>
          <w:color w:val="000000"/>
        </w:rPr>
        <w:t xml:space="preserve">MRI (3.0 T) was used to assess the lesions of the right knee. T2-weighted imaging revealed localized cartilage and corresponding subchondral bone defects in the lower right femur with </w:t>
      </w:r>
      <w:r w:rsidRPr="00CB4850">
        <w:rPr>
          <w:rFonts w:ascii="Book Antiqua" w:eastAsia="Book Antiqua" w:hAnsi="Book Antiqua" w:cs="Book Antiqua"/>
          <w:color w:val="000000"/>
          <w:shd w:val="clear" w:color="auto" w:fill="FFFFFF"/>
        </w:rPr>
        <w:t>BMLs</w:t>
      </w:r>
      <w:r w:rsidRPr="00CB4850">
        <w:rPr>
          <w:rFonts w:ascii="Book Antiqua" w:eastAsia="Book Antiqua" w:hAnsi="Book Antiqua" w:cs="Book Antiqua"/>
          <w:color w:val="000000"/>
        </w:rPr>
        <w:t xml:space="preserve"> below and in front of the femoral condyle</w:t>
      </w:r>
      <w:r w:rsidRPr="00CB4850">
        <w:rPr>
          <w:rFonts w:ascii="Book Antiqua" w:eastAsia="Book Antiqua" w:hAnsi="Book Antiqua" w:cs="Book Antiqua"/>
          <w:color w:val="000000"/>
          <w:shd w:val="clear" w:color="auto" w:fill="FFFFFF"/>
        </w:rPr>
        <w:t>.</w:t>
      </w:r>
      <w:r w:rsidRPr="00CB4850">
        <w:rPr>
          <w:rFonts w:ascii="Book Antiqua" w:eastAsia="Book Antiqua" w:hAnsi="Book Antiqua" w:cs="Book Antiqua"/>
          <w:color w:val="000000"/>
        </w:rPr>
        <w:t xml:space="preserve"> </w:t>
      </w:r>
      <w:r w:rsidRPr="00CB4850">
        <w:rPr>
          <w:rFonts w:ascii="Book Antiqua" w:eastAsia="Book Antiqua" w:hAnsi="Book Antiqua" w:cs="Book Antiqua"/>
          <w:color w:val="000000"/>
          <w:shd w:val="clear" w:color="auto" w:fill="FFFFFF"/>
        </w:rPr>
        <w:t>The joint cavity and suprapatellar capsule had a large amount of fluid.</w:t>
      </w:r>
      <w:r w:rsidRPr="00CB4850">
        <w:rPr>
          <w:rFonts w:ascii="Book Antiqua" w:eastAsia="Book Antiqua" w:hAnsi="Book Antiqua" w:cs="Book Antiqua"/>
          <w:color w:val="000000"/>
        </w:rPr>
        <w:t xml:space="preserve"> The loose body was formed from partially low-signal subchondral bone and medium- to high-signal cartilaginous material (Figure 1).</w:t>
      </w:r>
    </w:p>
    <w:p w14:paraId="786E88B0" w14:textId="77777777" w:rsidR="00A77B3E" w:rsidRPr="00CB4850" w:rsidRDefault="00A77B3E" w:rsidP="00CB4850">
      <w:pPr>
        <w:snapToGrid w:val="0"/>
        <w:spacing w:line="360" w:lineRule="auto"/>
        <w:jc w:val="both"/>
        <w:rPr>
          <w:rFonts w:ascii="Book Antiqua" w:hAnsi="Book Antiqua"/>
        </w:rPr>
      </w:pPr>
    </w:p>
    <w:bookmarkEnd w:id="12"/>
    <w:bookmarkEnd w:id="13"/>
    <w:p w14:paraId="7304710F"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i/>
          <w:iCs/>
          <w:color w:val="000000"/>
        </w:rPr>
        <w:t>Preoperative diagnosis and treatment plan</w:t>
      </w:r>
    </w:p>
    <w:p w14:paraId="0C72472F" w14:textId="1CB7E9E7" w:rsidR="00A77B3E" w:rsidRPr="00CB4850" w:rsidRDefault="00A84E93" w:rsidP="00CB4850">
      <w:pPr>
        <w:snapToGrid w:val="0"/>
        <w:spacing w:line="360" w:lineRule="auto"/>
        <w:jc w:val="both"/>
        <w:rPr>
          <w:rFonts w:ascii="Book Antiqua" w:hAnsi="Book Antiqua"/>
        </w:rPr>
      </w:pPr>
      <w:bookmarkStart w:id="14" w:name="OLE_LINK15"/>
      <w:bookmarkStart w:id="15" w:name="OLE_LINK16"/>
      <w:r w:rsidRPr="00CB4850">
        <w:rPr>
          <w:rFonts w:ascii="Book Antiqua" w:eastAsia="Book Antiqua" w:hAnsi="Book Antiqua" w:cs="Book Antiqua"/>
          <w:color w:val="000000"/>
        </w:rPr>
        <w:t>The patient was diagnosed with OCD based on symptoms, physical examination</w:t>
      </w:r>
      <w:r w:rsidR="00591D22">
        <w:rPr>
          <w:rFonts w:ascii="Book Antiqua" w:eastAsia="Book Antiqua" w:hAnsi="Book Antiqua" w:cs="Book Antiqua"/>
          <w:color w:val="000000"/>
        </w:rPr>
        <w:t>,</w:t>
      </w:r>
      <w:r w:rsidRPr="00CB4850">
        <w:rPr>
          <w:rFonts w:ascii="Book Antiqua" w:eastAsia="Book Antiqua" w:hAnsi="Book Antiqua" w:cs="Book Antiqua"/>
          <w:color w:val="000000"/>
        </w:rPr>
        <w:t xml:space="preserve"> and imaging and was scheduled for subchondral bone implantation combined with intra-articular injection of PBSCs. The patient's right knee was braced and braked with the knee-aiding system preoperatively. The loose body was not removed prior to injection due to the patient's lack of surgical intent.</w:t>
      </w:r>
    </w:p>
    <w:bookmarkEnd w:id="14"/>
    <w:bookmarkEnd w:id="15"/>
    <w:p w14:paraId="17219DEF" w14:textId="77777777" w:rsidR="00A77B3E" w:rsidRPr="00CB4850" w:rsidRDefault="00A77B3E" w:rsidP="00CB4850">
      <w:pPr>
        <w:snapToGrid w:val="0"/>
        <w:spacing w:line="360" w:lineRule="auto"/>
        <w:jc w:val="both"/>
        <w:rPr>
          <w:rFonts w:ascii="Book Antiqua" w:hAnsi="Book Antiqua"/>
        </w:rPr>
      </w:pPr>
    </w:p>
    <w:p w14:paraId="7FB494B7" w14:textId="57726D95" w:rsidR="00A77B3E" w:rsidRPr="00CB4850" w:rsidRDefault="005B1623" w:rsidP="00CB4850">
      <w:pPr>
        <w:snapToGrid w:val="0"/>
        <w:spacing w:line="360" w:lineRule="auto"/>
        <w:jc w:val="both"/>
        <w:rPr>
          <w:rFonts w:ascii="Book Antiqua" w:hAnsi="Book Antiqua"/>
        </w:rPr>
      </w:pPr>
      <w:r w:rsidRPr="00CB4850">
        <w:rPr>
          <w:rFonts w:ascii="Book Antiqua" w:eastAsia="Book Antiqua" w:hAnsi="Book Antiqua" w:cs="Book Antiqua"/>
          <w:b/>
          <w:bCs/>
          <w:i/>
          <w:iCs/>
          <w:color w:val="000000"/>
        </w:rPr>
        <w:t xml:space="preserve">Preparation of therapeutic </w:t>
      </w:r>
      <w:r w:rsidR="004146EE" w:rsidRPr="00CB4850">
        <w:rPr>
          <w:rFonts w:ascii="Book Antiqua" w:eastAsia="Book Antiqua" w:hAnsi="Book Antiqua" w:cs="Book Antiqua"/>
          <w:b/>
          <w:bCs/>
          <w:i/>
          <w:iCs/>
          <w:color w:val="000000"/>
        </w:rPr>
        <w:t>PBSC</w:t>
      </w:r>
      <w:r w:rsidRPr="00CB4850">
        <w:rPr>
          <w:rFonts w:ascii="Book Antiqua" w:eastAsia="Book Antiqua" w:hAnsi="Book Antiqua" w:cs="Book Antiqua"/>
          <w:b/>
          <w:bCs/>
          <w:i/>
          <w:iCs/>
          <w:color w:val="000000"/>
        </w:rPr>
        <w:t>s</w:t>
      </w:r>
    </w:p>
    <w:p w14:paraId="79974A94" w14:textId="7FC9A20F"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The patient was subcutaneously injected with recombinant human granulocyte stimulating factor (150 μg each time, twice a day for 5 d). When the patient's white blood cell count was &gt; 25 × 10</w:t>
      </w:r>
      <w:r w:rsidRPr="00CB4850">
        <w:rPr>
          <w:rFonts w:ascii="Book Antiqua" w:eastAsia="Book Antiqua" w:hAnsi="Book Antiqua" w:cs="Book Antiqua"/>
          <w:color w:val="000000"/>
          <w:vertAlign w:val="superscript"/>
        </w:rPr>
        <w:t>9</w:t>
      </w:r>
      <w:r w:rsidRPr="00CB4850">
        <w:rPr>
          <w:rFonts w:ascii="Book Antiqua" w:eastAsia="Book Antiqua" w:hAnsi="Book Antiqua" w:cs="Book Antiqua"/>
          <w:color w:val="000000"/>
        </w:rPr>
        <w:t xml:space="preserve">, 50 mL of peripheral blood stem cell suspension was collected </w:t>
      </w:r>
      <w:r w:rsidR="00591D22">
        <w:rPr>
          <w:rFonts w:ascii="Book Antiqua" w:eastAsia="Book Antiqua" w:hAnsi="Book Antiqua" w:cs="Book Antiqua"/>
          <w:color w:val="000000"/>
        </w:rPr>
        <w:t>with a</w:t>
      </w:r>
      <w:r w:rsidR="00591D22" w:rsidRPr="00CB4850">
        <w:rPr>
          <w:rFonts w:ascii="Book Antiqua" w:eastAsia="Book Antiqua" w:hAnsi="Book Antiqua" w:cs="Book Antiqua"/>
          <w:color w:val="000000"/>
        </w:rPr>
        <w:t xml:space="preserve"> </w:t>
      </w:r>
      <w:r w:rsidRPr="00CB4850">
        <w:rPr>
          <w:rFonts w:ascii="Book Antiqua" w:eastAsia="Book Antiqua" w:hAnsi="Book Antiqua" w:cs="Book Antiqua"/>
          <w:color w:val="000000"/>
        </w:rPr>
        <w:t xml:space="preserve">COM. TEC blood cell separator (Fresenius HemoCare </w:t>
      </w:r>
      <w:r w:rsidRPr="00114772">
        <w:rPr>
          <w:rFonts w:ascii="Book Antiqua" w:eastAsia="Book Antiqua" w:hAnsi="Book Antiqua" w:cs="Book Antiqua"/>
          <w:caps/>
          <w:color w:val="000000"/>
        </w:rPr>
        <w:t>c</w:t>
      </w:r>
      <w:r w:rsidRPr="00CB4850">
        <w:rPr>
          <w:rFonts w:ascii="Book Antiqua" w:eastAsia="Book Antiqua" w:hAnsi="Book Antiqua" w:cs="Book Antiqua"/>
          <w:color w:val="000000"/>
        </w:rPr>
        <w:t>ompany). Forty milliliters of stem cell suspension and an equal volume of normal saline were mixed and diluted 1:1, and the diluted stem cell suspension was packed in 16 split-core tubes in equal volume. Five milliliters of human peripheral blood lymphocyte separation solution was added into each split-core tube and centrifuged at 2000 r/min for 20 min at room temperature (eccentric radius: 7.5 cm). The sucked stem cell layer was transferred to another centrifuge tube, and centrifuged at room temperature at 1800 r/min for 20 min (centrifugal radius: 7.5 cm). The supernatant was discarded to obtain relatively pure stem cells. The CD34+ cell count in the purified solution of peripheral blood stem cells was 3 × 10</w:t>
      </w:r>
      <w:r w:rsidRPr="00CB4850">
        <w:rPr>
          <w:rFonts w:ascii="Book Antiqua" w:eastAsia="Book Antiqua" w:hAnsi="Book Antiqua" w:cs="Book Antiqua"/>
          <w:color w:val="000000"/>
          <w:vertAlign w:val="superscript"/>
        </w:rPr>
        <w:t>7</w:t>
      </w:r>
      <w:r w:rsidRPr="00CB4850">
        <w:rPr>
          <w:rFonts w:ascii="Book Antiqua" w:eastAsia="Book Antiqua" w:hAnsi="Book Antiqua" w:cs="Book Antiqua"/>
          <w:color w:val="000000"/>
        </w:rPr>
        <w:t>/L.</w:t>
      </w:r>
    </w:p>
    <w:p w14:paraId="3C150A0D" w14:textId="77777777" w:rsidR="00A77B3E" w:rsidRPr="00CB4850" w:rsidRDefault="00A77B3E" w:rsidP="00CB4850">
      <w:pPr>
        <w:snapToGrid w:val="0"/>
        <w:spacing w:line="360" w:lineRule="auto"/>
        <w:jc w:val="both"/>
        <w:rPr>
          <w:rFonts w:ascii="Book Antiqua" w:hAnsi="Book Antiqua"/>
        </w:rPr>
      </w:pPr>
    </w:p>
    <w:p w14:paraId="0E2F58FC" w14:textId="58DE3BB2" w:rsidR="00A77B3E" w:rsidRPr="00CB4850" w:rsidRDefault="005B1623" w:rsidP="00CB4850">
      <w:pPr>
        <w:snapToGrid w:val="0"/>
        <w:spacing w:line="360" w:lineRule="auto"/>
        <w:jc w:val="both"/>
        <w:rPr>
          <w:rFonts w:ascii="Book Antiqua" w:hAnsi="Book Antiqua"/>
        </w:rPr>
      </w:pPr>
      <w:r w:rsidRPr="00CB4850">
        <w:rPr>
          <w:rFonts w:ascii="Book Antiqua" w:eastAsia="Book Antiqua" w:hAnsi="Book Antiqua" w:cs="Book Antiqua"/>
          <w:b/>
          <w:bCs/>
          <w:i/>
          <w:iCs/>
          <w:color w:val="000000"/>
        </w:rPr>
        <w:t>Implantation method</w:t>
      </w:r>
    </w:p>
    <w:p w14:paraId="4975813B" w14:textId="755B2064"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Based on the MRI results, the location of the lesion area was marked with fine metal wires on the surface of the knee in both the frontal and lateral positions. With routine disinfection and anesthesia of the surgical area, a bone marrow needle was percutaneously punctured to the subchondral bone site under C-arm fluoroscopy, as shown by MRI </w:t>
      </w:r>
      <w:r w:rsidRPr="00CB4850">
        <w:rPr>
          <w:rFonts w:ascii="Book Antiqua" w:eastAsia="Book Antiqua" w:hAnsi="Book Antiqua" w:cs="Book Antiqua"/>
          <w:i/>
          <w:iCs/>
          <w:color w:val="000000"/>
        </w:rPr>
        <w:t>via</w:t>
      </w:r>
      <w:r w:rsidRPr="00CB4850">
        <w:rPr>
          <w:rFonts w:ascii="Book Antiqua" w:eastAsia="Book Antiqua" w:hAnsi="Book Antiqua" w:cs="Book Antiqua"/>
          <w:color w:val="000000"/>
        </w:rPr>
        <w:t xml:space="preserve"> the lateral knee approach. When the needle made contact with the subchondral bone, the needle was rotated to the left and right, slowly drilling into the bone. After the puncture needle was fixed in the subchondral bone, the needle core was removed, and the syringe was attached to inject PBSCs into the subchondral bone through the needle channel. Removing the needle, pressure was applied to the puncture point to stop bleeding for 5 min. The operation </w:t>
      </w:r>
      <w:r w:rsidR="00591D22">
        <w:rPr>
          <w:rFonts w:ascii="Book Antiqua" w:eastAsia="Book Antiqua" w:hAnsi="Book Antiqua" w:cs="Book Antiqua"/>
          <w:color w:val="000000"/>
        </w:rPr>
        <w:t>i</w:t>
      </w:r>
      <w:r w:rsidR="00591D22" w:rsidRPr="00CB4850">
        <w:rPr>
          <w:rFonts w:ascii="Book Antiqua" w:eastAsia="Book Antiqua" w:hAnsi="Book Antiqua" w:cs="Book Antiqua"/>
          <w:color w:val="000000"/>
        </w:rPr>
        <w:t xml:space="preserve">s </w:t>
      </w:r>
      <w:r w:rsidRPr="00CB4850">
        <w:rPr>
          <w:rFonts w:ascii="Book Antiqua" w:eastAsia="Book Antiqua" w:hAnsi="Book Antiqua" w:cs="Book Antiqua"/>
          <w:color w:val="000000"/>
        </w:rPr>
        <w:t>illustrated in Figures 2 and 3.</w:t>
      </w:r>
    </w:p>
    <w:p w14:paraId="3BEB8B6D" w14:textId="77777777" w:rsidR="00A77B3E" w:rsidRPr="00CB4850" w:rsidRDefault="00A77B3E" w:rsidP="00CB4850">
      <w:pPr>
        <w:snapToGrid w:val="0"/>
        <w:spacing w:line="360" w:lineRule="auto"/>
        <w:jc w:val="both"/>
        <w:rPr>
          <w:rFonts w:ascii="Book Antiqua" w:hAnsi="Book Antiqua"/>
        </w:rPr>
      </w:pPr>
    </w:p>
    <w:p w14:paraId="5650AA04" w14:textId="407610DB" w:rsidR="00A77B3E" w:rsidRPr="00CB4850" w:rsidRDefault="005B1623" w:rsidP="00CB4850">
      <w:pPr>
        <w:snapToGrid w:val="0"/>
        <w:spacing w:line="360" w:lineRule="auto"/>
        <w:jc w:val="both"/>
        <w:rPr>
          <w:rFonts w:ascii="Book Antiqua" w:hAnsi="Book Antiqua"/>
        </w:rPr>
      </w:pPr>
      <w:r w:rsidRPr="00CB4850">
        <w:rPr>
          <w:rFonts w:ascii="Book Antiqua" w:eastAsia="Book Antiqua" w:hAnsi="Book Antiqua" w:cs="Book Antiqua"/>
          <w:b/>
          <w:bCs/>
          <w:i/>
          <w:iCs/>
          <w:color w:val="000000"/>
        </w:rPr>
        <w:t>Postoperative rehabilitation</w:t>
      </w:r>
    </w:p>
    <w:p w14:paraId="6F9737FD" w14:textId="2A3510A0"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The patient's right knee was braced with the knee-aiding system to prevent further damage due to knee instability for 1 mo. During this period, the patient was advised to complete 20-30 min of a range of motion knee flexion and extension exercises once a day. Then, the patient was allowed to partly bear weight and gradually transitioned to weight-bearing as tolerated. After 2 mo, the patient was allowed </w:t>
      </w:r>
      <w:r w:rsidR="00591D22">
        <w:rPr>
          <w:rFonts w:ascii="Book Antiqua" w:eastAsia="Book Antiqua" w:hAnsi="Book Antiqua" w:cs="Book Antiqua"/>
          <w:color w:val="000000"/>
        </w:rPr>
        <w:t xml:space="preserve">to conduct </w:t>
      </w:r>
      <w:r w:rsidRPr="00CB4850">
        <w:rPr>
          <w:rFonts w:ascii="Book Antiqua" w:eastAsia="Book Antiqua" w:hAnsi="Book Antiqua" w:cs="Book Antiqua"/>
          <w:color w:val="000000"/>
        </w:rPr>
        <w:t>mild physical activity within tolerable limits and gradually increased activity levels.</w:t>
      </w:r>
    </w:p>
    <w:p w14:paraId="174BCB44" w14:textId="77777777" w:rsidR="00A77B3E" w:rsidRPr="00CB4850" w:rsidRDefault="00A77B3E" w:rsidP="00CB4850">
      <w:pPr>
        <w:snapToGrid w:val="0"/>
        <w:spacing w:line="360" w:lineRule="auto"/>
        <w:jc w:val="both"/>
        <w:rPr>
          <w:rFonts w:ascii="Book Antiqua" w:hAnsi="Book Antiqua"/>
        </w:rPr>
      </w:pPr>
    </w:p>
    <w:p w14:paraId="51C1A7F9"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t>FINAL DIAGNOSIS</w:t>
      </w:r>
    </w:p>
    <w:p w14:paraId="0D55E51C"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The patient was diagnosed with </w:t>
      </w:r>
      <w:bookmarkStart w:id="16" w:name="OLE_LINK1"/>
      <w:bookmarkStart w:id="17" w:name="OLE_LINK2"/>
      <w:r w:rsidRPr="00CB4850">
        <w:rPr>
          <w:rFonts w:ascii="Book Antiqua" w:eastAsia="Book Antiqua" w:hAnsi="Book Antiqua" w:cs="Book Antiqua"/>
          <w:color w:val="000000"/>
        </w:rPr>
        <w:t>OCD</w:t>
      </w:r>
      <w:bookmarkEnd w:id="16"/>
      <w:bookmarkEnd w:id="17"/>
      <w:r w:rsidRPr="00CB4850">
        <w:rPr>
          <w:rFonts w:ascii="Book Antiqua" w:eastAsia="Book Antiqua" w:hAnsi="Book Antiqua" w:cs="Book Antiqua"/>
          <w:color w:val="000000"/>
        </w:rPr>
        <w:t xml:space="preserve"> with a total cartilage defect, an underlying subchondral bone defect, and an articular loose body.</w:t>
      </w:r>
    </w:p>
    <w:p w14:paraId="33431AFF" w14:textId="77777777" w:rsidR="00A77B3E" w:rsidRPr="00CB4850" w:rsidRDefault="00A77B3E" w:rsidP="00CB4850">
      <w:pPr>
        <w:snapToGrid w:val="0"/>
        <w:spacing w:line="360" w:lineRule="auto"/>
        <w:jc w:val="both"/>
        <w:rPr>
          <w:rFonts w:ascii="Book Antiqua" w:hAnsi="Book Antiqua"/>
        </w:rPr>
      </w:pPr>
    </w:p>
    <w:p w14:paraId="306F687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t>TREATMENT</w:t>
      </w:r>
    </w:p>
    <w:p w14:paraId="3D07E0DE"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The patient was treated with PBSCs </w:t>
      </w:r>
      <w:r w:rsidRPr="00CB4850">
        <w:rPr>
          <w:rFonts w:ascii="Book Antiqua" w:eastAsia="Book Antiqua" w:hAnsi="Book Antiqua" w:cs="Book Antiqua"/>
          <w:i/>
          <w:iCs/>
          <w:color w:val="000000"/>
        </w:rPr>
        <w:t>via</w:t>
      </w:r>
      <w:r w:rsidRPr="00CB4850">
        <w:rPr>
          <w:rFonts w:ascii="Book Antiqua" w:eastAsia="Book Antiqua" w:hAnsi="Book Antiqua" w:cs="Book Antiqua"/>
          <w:color w:val="000000"/>
        </w:rPr>
        <w:t xml:space="preserve"> minimal C-arm X-ray-guided subchondral bone implantation.</w:t>
      </w:r>
    </w:p>
    <w:p w14:paraId="724A889A" w14:textId="77777777" w:rsidR="00A77B3E" w:rsidRPr="00CB4850" w:rsidRDefault="00A77B3E" w:rsidP="00CB4850">
      <w:pPr>
        <w:snapToGrid w:val="0"/>
        <w:spacing w:line="360" w:lineRule="auto"/>
        <w:jc w:val="both"/>
        <w:rPr>
          <w:rFonts w:ascii="Book Antiqua" w:hAnsi="Book Antiqua"/>
        </w:rPr>
      </w:pPr>
    </w:p>
    <w:p w14:paraId="306761A0"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t>OUTCOME AND FOLLOW-UP</w:t>
      </w:r>
    </w:p>
    <w:p w14:paraId="0918FD56" w14:textId="668BCD57" w:rsidR="00A77B3E" w:rsidRPr="00CB4850" w:rsidRDefault="00A84E93" w:rsidP="00CB4850">
      <w:pPr>
        <w:snapToGrid w:val="0"/>
        <w:spacing w:line="360" w:lineRule="auto"/>
        <w:jc w:val="both"/>
        <w:rPr>
          <w:rFonts w:ascii="Book Antiqua" w:hAnsi="Book Antiqua"/>
        </w:rPr>
      </w:pPr>
      <w:bookmarkStart w:id="18" w:name="OLE_LINK17"/>
      <w:bookmarkStart w:id="19" w:name="OLE_LINK18"/>
      <w:r w:rsidRPr="00CB4850">
        <w:rPr>
          <w:rFonts w:ascii="Book Antiqua" w:eastAsia="Book Antiqua" w:hAnsi="Book Antiqua" w:cs="Book Antiqua"/>
          <w:color w:val="000000"/>
        </w:rPr>
        <w:t xml:space="preserve">The patient was followed 4 mo postoperatively with no adverse effects. No other treatment was used during this period, and no adverse effects occurred. The Western Ontario and McMaster University osteoarthritis indexes preoperatively and postoperatively were 23 and 6, respectively, with pain, stiffness, and function scores dropping from 9, 4, and 10 to 2, 0, and 4, respectively. </w:t>
      </w:r>
      <w:r w:rsidR="00642099" w:rsidRPr="00CB4850">
        <w:rPr>
          <w:rFonts w:ascii="Book Antiqua" w:eastAsia="Book Antiqua" w:hAnsi="Book Antiqua" w:cs="Book Antiqua"/>
          <w:color w:val="000000"/>
        </w:rPr>
        <w:t>The pain</w:t>
      </w:r>
      <w:r w:rsidRPr="00CB4850">
        <w:rPr>
          <w:rFonts w:ascii="Book Antiqua" w:eastAsia="Book Antiqua" w:hAnsi="Book Antiqua" w:cs="Book Antiqua"/>
          <w:color w:val="000000"/>
        </w:rPr>
        <w:t xml:space="preserve"> subsided with visual analog scale scores decreasing from 4 to 1. The range of motion in knee flexion and extension increased from 0°-80° to 0°-130°. The patient has resumed mild physical activity. It should be mentioned that the patient still disagreed with further arthroscopic surgery to remove the loose body because of satisfactory pain relief.</w:t>
      </w:r>
    </w:p>
    <w:p w14:paraId="1EBB874A" w14:textId="77777777" w:rsidR="00A77B3E" w:rsidRPr="00CB4850" w:rsidRDefault="00A84E93" w:rsidP="00CB4850">
      <w:pPr>
        <w:snapToGrid w:val="0"/>
        <w:spacing w:line="360" w:lineRule="auto"/>
        <w:ind w:firstLine="240"/>
        <w:jc w:val="both"/>
        <w:rPr>
          <w:rFonts w:ascii="Book Antiqua" w:hAnsi="Book Antiqua"/>
        </w:rPr>
      </w:pPr>
      <w:r w:rsidRPr="00CB4850">
        <w:rPr>
          <w:rFonts w:ascii="Book Antiqua" w:eastAsia="Book Antiqua" w:hAnsi="Book Antiqua" w:cs="Book Antiqua"/>
          <w:color w:val="000000"/>
        </w:rPr>
        <w:t>Significant improvement was observed in MRI. Compared to the previous area, in the defect area, the subchondral bone was thickened, and normal signal cartilage could be seen on the coronal surface. Initial integration was observed between regenerative and native subchondral bone and cartilage. The area of BMLs and fluid were reduced. The loose body was still noted in the right knee intraarticular space, and subchondral bone continuity seemed to be disrupted (Figure 1). The preoperative whole-organ magnetic resonance imaging scores</w:t>
      </w:r>
      <w:r w:rsidRPr="00CB4850">
        <w:rPr>
          <w:rFonts w:ascii="Book Antiqua" w:eastAsia="Book Antiqua" w:hAnsi="Book Antiqua" w:cs="Book Antiqua"/>
          <w:color w:val="000000"/>
          <w:vertAlign w:val="superscript"/>
        </w:rPr>
        <w:t xml:space="preserve">[10] </w:t>
      </w:r>
      <w:r w:rsidRPr="00CB4850">
        <w:rPr>
          <w:rFonts w:ascii="Book Antiqua" w:eastAsia="Book Antiqua" w:hAnsi="Book Antiqua" w:cs="Book Antiqua"/>
          <w:color w:val="000000"/>
        </w:rPr>
        <w:t>were 25 and 14, in which cartilage scores were 13 and 9, subchondral bone attrition scores were 5 and 3, and bone marrow abnormality scores were 4 and 1 (Table 1).</w:t>
      </w:r>
    </w:p>
    <w:p w14:paraId="1B41DA75" w14:textId="77777777" w:rsidR="00A77B3E" w:rsidRPr="00CB4850" w:rsidRDefault="00A77B3E" w:rsidP="00CB4850">
      <w:pPr>
        <w:snapToGrid w:val="0"/>
        <w:spacing w:line="360" w:lineRule="auto"/>
        <w:ind w:firstLine="240"/>
        <w:jc w:val="both"/>
        <w:rPr>
          <w:rFonts w:ascii="Book Antiqua" w:hAnsi="Book Antiqua"/>
        </w:rPr>
      </w:pPr>
    </w:p>
    <w:bookmarkEnd w:id="18"/>
    <w:bookmarkEnd w:id="19"/>
    <w:p w14:paraId="4866734D"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t>DISCUSSION</w:t>
      </w:r>
    </w:p>
    <w:p w14:paraId="1D621EAD" w14:textId="2375445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Due to the lack of blood supply to the cartilage and undifferentiated cells that can migrate, proliferate</w:t>
      </w:r>
      <w:r w:rsidR="00591D22">
        <w:rPr>
          <w:rFonts w:ascii="Book Antiqua" w:eastAsia="Book Antiqua" w:hAnsi="Book Antiqua" w:cs="Book Antiqua"/>
          <w:color w:val="000000"/>
        </w:rPr>
        <w:t>,</w:t>
      </w:r>
      <w:r w:rsidRPr="00CB4850">
        <w:rPr>
          <w:rFonts w:ascii="Book Antiqua" w:eastAsia="Book Antiqua" w:hAnsi="Book Antiqua" w:cs="Book Antiqua"/>
          <w:color w:val="000000"/>
        </w:rPr>
        <w:t xml:space="preserve"> and participate in the repair response, restoring the structure and function of the cartilage becomes a challenge in OCD treatment</w:t>
      </w:r>
      <w:r w:rsidRPr="00CB4850">
        <w:rPr>
          <w:rFonts w:ascii="Book Antiqua" w:eastAsia="Book Antiqua" w:hAnsi="Book Antiqua" w:cs="Book Antiqua"/>
          <w:color w:val="000000"/>
          <w:vertAlign w:val="superscript"/>
        </w:rPr>
        <w:t>[11,12]</w:t>
      </w:r>
      <w:r w:rsidRPr="00CB4850">
        <w:rPr>
          <w:rFonts w:ascii="Book Antiqua" w:eastAsia="Book Antiqua" w:hAnsi="Book Antiqua" w:cs="Book Antiqua"/>
          <w:color w:val="000000"/>
        </w:rPr>
        <w:t>. There are drawbacks to these procedures used to regenerate cartilage, such as ACI and OAT. Both damage the cartilage in the sampling area and have limitations in the effectiveness of the treatment when the cartilage defect extends to the subchondral bone</w:t>
      </w:r>
      <w:r w:rsidRPr="00CB4850">
        <w:rPr>
          <w:rFonts w:ascii="Book Antiqua" w:eastAsia="Book Antiqua" w:hAnsi="Book Antiqua" w:cs="Book Antiqua"/>
          <w:color w:val="000000"/>
          <w:vertAlign w:val="superscript"/>
        </w:rPr>
        <w:t>[1,13]</w:t>
      </w:r>
      <w:r w:rsidRPr="00CB4850">
        <w:rPr>
          <w:rFonts w:ascii="Book Antiqua" w:eastAsia="Book Antiqua" w:hAnsi="Book Antiqua" w:cs="Book Antiqua"/>
          <w:color w:val="000000"/>
        </w:rPr>
        <w:t>. The subchondral bone consists of the subchondral bone plate and the trabecular, vascular</w:t>
      </w:r>
      <w:r w:rsidR="00591D22">
        <w:rPr>
          <w:rFonts w:ascii="Book Antiqua" w:eastAsia="Book Antiqua" w:hAnsi="Book Antiqua" w:cs="Book Antiqua"/>
          <w:color w:val="000000"/>
        </w:rPr>
        <w:t>,</w:t>
      </w:r>
      <w:r w:rsidRPr="00CB4850">
        <w:rPr>
          <w:rFonts w:ascii="Book Antiqua" w:eastAsia="Book Antiqua" w:hAnsi="Book Antiqua" w:cs="Book Antiqua"/>
          <w:color w:val="000000"/>
        </w:rPr>
        <w:t xml:space="preserve"> and intertrabecular spaces beneath it, which are essential functional units of articular cartilage and provide mechanical and metabolic protection for the cartilage</w:t>
      </w:r>
      <w:r w:rsidRPr="00CB4850">
        <w:rPr>
          <w:rFonts w:ascii="Book Antiqua" w:eastAsia="Book Antiqua" w:hAnsi="Book Antiqua" w:cs="Book Antiqua"/>
          <w:color w:val="000000"/>
          <w:vertAlign w:val="superscript"/>
        </w:rPr>
        <w:t>[14]</w:t>
      </w:r>
      <w:r w:rsidRPr="00CB4850">
        <w:rPr>
          <w:rFonts w:ascii="Book Antiqua" w:eastAsia="Book Antiqua" w:hAnsi="Book Antiqua" w:cs="Book Antiqua"/>
          <w:color w:val="000000"/>
        </w:rPr>
        <w:t>. Current studies suggest that subchondral bone plays an important role in cartilage degeneration and that complete subchondral bone, especially tidemark leveling, appears to be necessary for cartilage regeneration</w:t>
      </w:r>
      <w:r w:rsidRPr="00CB4850">
        <w:rPr>
          <w:rFonts w:ascii="Book Antiqua" w:eastAsia="Book Antiqua" w:hAnsi="Book Antiqua" w:cs="Book Antiqua"/>
          <w:color w:val="000000"/>
          <w:vertAlign w:val="superscript"/>
        </w:rPr>
        <w:t>[15,16]</w:t>
      </w:r>
      <w:r w:rsidRPr="00CB4850">
        <w:rPr>
          <w:rFonts w:ascii="Book Antiqua" w:eastAsia="Book Antiqua" w:hAnsi="Book Antiqua" w:cs="Book Antiqua"/>
          <w:color w:val="000000"/>
        </w:rPr>
        <w:t>. We hypothesize that this mechanism is partly due to shear forces from the formation of uneven subchondral bone that disrupt cartilage regeneration and may partially be due to inadequate recruitment and activation of skeletal stem cells in the extensively damaged subchondral bone</w:t>
      </w:r>
      <w:r w:rsidRPr="00CB4850">
        <w:rPr>
          <w:rFonts w:ascii="Book Antiqua" w:eastAsia="Book Antiqua" w:hAnsi="Book Antiqua" w:cs="Book Antiqua"/>
          <w:color w:val="000000"/>
          <w:vertAlign w:val="superscript"/>
        </w:rPr>
        <w:t>[7]</w:t>
      </w:r>
      <w:r w:rsidRPr="00CB4850">
        <w:rPr>
          <w:rFonts w:ascii="Book Antiqua" w:eastAsia="Book Antiqua" w:hAnsi="Book Antiqua" w:cs="Book Antiqua"/>
          <w:color w:val="000000"/>
        </w:rPr>
        <w:t>. Therefore, OCD repair techniques should first restore the subchondral bone both structurally and functionally. Second, when the damaged subchondral bone is insufficient to recruit and activate sufficient skeletal stem cells to regenerate cartilage, exogenous stem cell input may be able to compensate. These are the two main reasons why subchondral bone can be a precise therapeutic target, unlike the aimlessness of intra-articular injection.</w:t>
      </w:r>
    </w:p>
    <w:p w14:paraId="583F942F" w14:textId="7A9BD8D4" w:rsidR="00A77B3E" w:rsidRPr="00CB4850" w:rsidRDefault="00A84E93" w:rsidP="00CB4850">
      <w:pPr>
        <w:snapToGrid w:val="0"/>
        <w:spacing w:line="360" w:lineRule="auto"/>
        <w:ind w:firstLine="240"/>
        <w:jc w:val="both"/>
        <w:rPr>
          <w:rFonts w:ascii="Book Antiqua" w:hAnsi="Book Antiqua"/>
        </w:rPr>
      </w:pPr>
      <w:r w:rsidRPr="00CB4850">
        <w:rPr>
          <w:rFonts w:ascii="Book Antiqua" w:eastAsia="Book Antiqua" w:hAnsi="Book Antiqua" w:cs="Book Antiqua"/>
          <w:color w:val="000000"/>
        </w:rPr>
        <w:t>The use of PBSCs for cartilage repair and regeneration has been demonstrated to be safe in animal and human studies</w:t>
      </w:r>
      <w:r w:rsidRPr="00CB4850">
        <w:rPr>
          <w:rFonts w:ascii="Book Antiqua" w:eastAsia="Book Antiqua" w:hAnsi="Book Antiqua" w:cs="Book Antiqua"/>
          <w:color w:val="000000"/>
          <w:vertAlign w:val="superscript"/>
        </w:rPr>
        <w:t>[17]</w:t>
      </w:r>
      <w:r w:rsidRPr="00CB4850">
        <w:rPr>
          <w:rFonts w:ascii="Book Antiqua" w:eastAsia="Book Antiqua" w:hAnsi="Book Antiqua" w:cs="Book Antiqua"/>
          <w:color w:val="000000"/>
        </w:rPr>
        <w:t xml:space="preserve">. In this study, PBSCs were applied for the first time to treat OCD, thus avoiding more tedious collection and </w:t>
      </w:r>
      <w:r w:rsidRPr="00CB4850">
        <w:rPr>
          <w:rFonts w:ascii="Book Antiqua" w:eastAsia="Book Antiqua" w:hAnsi="Book Antiqua" w:cs="Book Antiqua"/>
          <w:i/>
          <w:iCs/>
          <w:color w:val="000000"/>
        </w:rPr>
        <w:t>in vitro</w:t>
      </w:r>
      <w:r w:rsidRPr="00CB4850">
        <w:rPr>
          <w:rFonts w:ascii="Book Antiqua" w:eastAsia="Book Antiqua" w:hAnsi="Book Antiqua" w:cs="Book Antiqua"/>
          <w:color w:val="000000"/>
        </w:rPr>
        <w:t xml:space="preserve"> expansion, such as those of adipose-and bone marrow-derived stem cells. Four months after surgery, the subchondral bone had regained some thickness and was nearly complete with signs of cartilage regeneration on the subchondral surface. As a result, whole-organ magnetic resonance imaging scores, which </w:t>
      </w:r>
      <w:r w:rsidR="00642099" w:rsidRPr="00CB4850">
        <w:rPr>
          <w:rFonts w:ascii="Book Antiqua" w:hAnsi="Book Antiqua" w:cs="Book Antiqua"/>
          <w:color w:val="000000"/>
          <w:lang w:eastAsia="zh-CN"/>
        </w:rPr>
        <w:t>reflect</w:t>
      </w:r>
      <w:r w:rsidRPr="00CB4850">
        <w:rPr>
          <w:rFonts w:ascii="Book Antiqua" w:eastAsia="Book Antiqua" w:hAnsi="Book Antiqua" w:cs="Book Antiqua"/>
          <w:color w:val="000000"/>
        </w:rPr>
        <w:t xml:space="preserve"> the overall condition of the knee, </w:t>
      </w:r>
      <w:r w:rsidR="00642099" w:rsidRPr="00CB4850">
        <w:rPr>
          <w:rFonts w:ascii="Book Antiqua" w:hAnsi="Book Antiqua" w:cs="Book Antiqua"/>
          <w:color w:val="000000"/>
          <w:lang w:eastAsia="zh-CN"/>
        </w:rPr>
        <w:t>were</w:t>
      </w:r>
      <w:r w:rsidRPr="00CB4850">
        <w:rPr>
          <w:rFonts w:ascii="Book Antiqua" w:eastAsia="Book Antiqua" w:hAnsi="Book Antiqua" w:cs="Book Antiqua"/>
          <w:color w:val="000000"/>
        </w:rPr>
        <w:t xml:space="preserve"> improved, as were knee symptom scores (Western Ontario and McMaster University and visual analog scale). Another advantage of puncture injection is that it avoids the trauma of open surgery.</w:t>
      </w:r>
    </w:p>
    <w:p w14:paraId="1A24B7E7" w14:textId="0525508E" w:rsidR="00A77B3E" w:rsidRPr="00CB4850" w:rsidRDefault="00A84E93" w:rsidP="00CB4850">
      <w:pPr>
        <w:snapToGrid w:val="0"/>
        <w:spacing w:line="360" w:lineRule="auto"/>
        <w:ind w:firstLine="240"/>
        <w:jc w:val="both"/>
        <w:rPr>
          <w:rFonts w:ascii="Book Antiqua" w:hAnsi="Book Antiqua"/>
        </w:rPr>
      </w:pPr>
      <w:r w:rsidRPr="00CB4850">
        <w:rPr>
          <w:rFonts w:ascii="Book Antiqua" w:eastAsia="Book Antiqua" w:hAnsi="Book Antiqua" w:cs="Book Antiqua"/>
          <w:color w:val="000000"/>
        </w:rPr>
        <w:t xml:space="preserve">In the coronal T2 image at 4 mo, there seemed to be an interruption in the continuity of the subchondral bone. Nevertheless, there were signals similar to the new cartilage in the interruption. One of the bone formation methods is </w:t>
      </w:r>
      <w:r w:rsidRPr="00CB4850">
        <w:rPr>
          <w:rFonts w:ascii="Book Antiqua" w:eastAsia="Book Antiqua" w:hAnsi="Book Antiqua" w:cs="Book Antiqua"/>
          <w:color w:val="000000"/>
          <w:shd w:val="clear" w:color="auto" w:fill="FFFFFF"/>
        </w:rPr>
        <w:t xml:space="preserve">endochondral </w:t>
      </w:r>
      <w:r w:rsidRPr="00CB4850">
        <w:rPr>
          <w:rFonts w:ascii="Book Antiqua" w:eastAsia="Book Antiqua" w:hAnsi="Book Antiqua" w:cs="Book Antiqua"/>
          <w:color w:val="000000"/>
        </w:rPr>
        <w:t>ossification</w:t>
      </w:r>
      <w:r w:rsidRPr="00CB4850">
        <w:rPr>
          <w:rFonts w:ascii="Book Antiqua" w:eastAsia="Book Antiqua" w:hAnsi="Book Antiqua" w:cs="Book Antiqua"/>
          <w:color w:val="000000"/>
          <w:vertAlign w:val="superscript"/>
        </w:rPr>
        <w:t>[18]</w:t>
      </w:r>
      <w:r w:rsidRPr="00CB4850">
        <w:rPr>
          <w:rFonts w:ascii="Book Antiqua" w:eastAsia="Book Antiqua" w:hAnsi="Book Antiqua" w:cs="Book Antiqua"/>
          <w:color w:val="000000"/>
        </w:rPr>
        <w:t>. Therefore, we presume that the disrupted area was still in the process of repair but slower than the surrounding repair due to the tiny puncture damage in the center. The patient's pain relief seemed to go so far beyond what we would have expected from the MRI improvement that he ultimately decided not to undergo further surgery. Reviewing the literature, we found that BMLs are necrotic and fibrotic according to pathology slides and release inflammatory factors that can cause pain</w:t>
      </w:r>
      <w:r w:rsidRPr="00CB4850">
        <w:rPr>
          <w:rFonts w:ascii="Book Antiqua" w:eastAsia="Book Antiqua" w:hAnsi="Book Antiqua" w:cs="Book Antiqua"/>
          <w:color w:val="000000"/>
          <w:vertAlign w:val="superscript"/>
        </w:rPr>
        <w:t>[19,20]</w:t>
      </w:r>
      <w:r w:rsidRPr="00CB4850">
        <w:rPr>
          <w:rFonts w:ascii="Book Antiqua" w:eastAsia="Book Antiqua" w:hAnsi="Book Antiqua" w:cs="Book Antiqua"/>
          <w:color w:val="000000"/>
        </w:rPr>
        <w:t>. The reduction of the BML areas (the BMLs in front of the femoral condyles have largely disappeared) and fluid was more intuitive than incomplete repair of the cartilage, which may be a function of paracrine cytokines, exosomes, and other active substances</w:t>
      </w:r>
      <w:r w:rsidRPr="00CB4850">
        <w:rPr>
          <w:rFonts w:ascii="Book Antiqua" w:eastAsia="Book Antiqua" w:hAnsi="Book Antiqua" w:cs="Book Antiqua"/>
          <w:color w:val="000000"/>
          <w:shd w:val="clear" w:color="auto" w:fill="F6F6F6"/>
        </w:rPr>
        <w:t xml:space="preserve"> </w:t>
      </w:r>
      <w:r w:rsidRPr="00CB4850">
        <w:rPr>
          <w:rFonts w:ascii="Book Antiqua" w:eastAsia="Book Antiqua" w:hAnsi="Book Antiqua" w:cs="Book Antiqua"/>
          <w:color w:val="000000"/>
        </w:rPr>
        <w:t>of stem cells</w:t>
      </w:r>
      <w:r w:rsidRPr="00CB4850">
        <w:rPr>
          <w:rFonts w:ascii="Book Antiqua" w:eastAsia="Book Antiqua" w:hAnsi="Book Antiqua" w:cs="Book Antiqua"/>
          <w:color w:val="000000"/>
          <w:vertAlign w:val="superscript"/>
        </w:rPr>
        <w:t>[21]</w:t>
      </w:r>
      <w:r w:rsidRPr="00CB4850">
        <w:rPr>
          <w:rFonts w:ascii="Book Antiqua" w:eastAsia="Book Antiqua" w:hAnsi="Book Antiqua" w:cs="Book Antiqua"/>
          <w:color w:val="000000"/>
        </w:rPr>
        <w:t xml:space="preserve">. In addition to pain, previous studies found </w:t>
      </w:r>
      <w:r w:rsidR="00642099" w:rsidRPr="00CB4850">
        <w:rPr>
          <w:rFonts w:ascii="Book Antiqua" w:eastAsia="Book Antiqua" w:hAnsi="Book Antiqua" w:cs="Book Antiqua"/>
          <w:color w:val="000000"/>
        </w:rPr>
        <w:t>dysfunction</w:t>
      </w:r>
      <w:r w:rsidRPr="00CB4850">
        <w:rPr>
          <w:rFonts w:ascii="Book Antiqua" w:eastAsia="Book Antiqua" w:hAnsi="Book Antiqua" w:cs="Book Antiqua"/>
          <w:color w:val="000000"/>
        </w:rPr>
        <w:t xml:space="preserve"> of resident stem cells in the BML region, exhibiting lower proliferation and mineralization capacity, which may lead to abnormal bone remodeling and thus affect the overlying cartilage</w:t>
      </w:r>
      <w:r w:rsidRPr="00CB4850">
        <w:rPr>
          <w:rFonts w:ascii="Book Antiqua" w:eastAsia="Book Antiqua" w:hAnsi="Book Antiqua" w:cs="Book Antiqua"/>
          <w:color w:val="000000"/>
          <w:vertAlign w:val="superscript"/>
        </w:rPr>
        <w:t>[8,22]</w:t>
      </w:r>
      <w:r w:rsidRPr="00CB4850">
        <w:rPr>
          <w:rFonts w:ascii="Book Antiqua" w:eastAsia="Book Antiqua" w:hAnsi="Book Antiqua" w:cs="Book Antiqua"/>
          <w:color w:val="000000"/>
        </w:rPr>
        <w:t>. This finding suggests that the reduction in BMLs by subchondral bone mesenchymal stem cell manipulation may be a secondary therapeutic target for OCD.</w:t>
      </w:r>
    </w:p>
    <w:p w14:paraId="0DAFD0D1" w14:textId="77777777" w:rsidR="00A77B3E" w:rsidRPr="00CB4850" w:rsidRDefault="00A77B3E" w:rsidP="00CB4850">
      <w:pPr>
        <w:snapToGrid w:val="0"/>
        <w:spacing w:line="360" w:lineRule="auto"/>
        <w:ind w:firstLine="240"/>
        <w:jc w:val="both"/>
        <w:rPr>
          <w:rFonts w:ascii="Book Antiqua" w:hAnsi="Book Antiqua"/>
        </w:rPr>
      </w:pPr>
    </w:p>
    <w:p w14:paraId="2CEAA8BC"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aps/>
          <w:color w:val="000000"/>
          <w:u w:val="single"/>
        </w:rPr>
        <w:t>CONCLUSION</w:t>
      </w:r>
    </w:p>
    <w:p w14:paraId="415800B9" w14:textId="43F6A1C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We report a novel treatment for osteochondritis dissecans based on the </w:t>
      </w:r>
      <w:r w:rsidR="00642099" w:rsidRPr="00CB4850">
        <w:rPr>
          <w:rFonts w:ascii="Book Antiqua" w:eastAsia="Book Antiqua" w:hAnsi="Book Antiqua" w:cs="Book Antiqua"/>
          <w:color w:val="000000"/>
        </w:rPr>
        <w:t>multi</w:t>
      </w:r>
      <w:r w:rsidR="00C43938">
        <w:rPr>
          <w:rFonts w:ascii="Book Antiqua" w:eastAsia="Book Antiqua" w:hAnsi="Book Antiqua" w:cs="Book Antiqua"/>
          <w:color w:val="000000"/>
        </w:rPr>
        <w:t>-</w:t>
      </w:r>
      <w:r w:rsidR="00642099" w:rsidRPr="00CB4850">
        <w:rPr>
          <w:rFonts w:ascii="Book Antiqua" w:eastAsia="Book Antiqua" w:hAnsi="Book Antiqua" w:cs="Book Antiqua"/>
          <w:color w:val="000000"/>
        </w:rPr>
        <w:t>differentiation</w:t>
      </w:r>
      <w:r w:rsidRPr="00CB4850">
        <w:rPr>
          <w:rFonts w:ascii="Book Antiqua" w:eastAsia="Book Antiqua" w:hAnsi="Book Antiqua" w:cs="Book Antiqua"/>
          <w:color w:val="000000"/>
        </w:rPr>
        <w:t xml:space="preserve"> ability of peripheral blood stem cells with subchondral bone implantation, which effectively restored cartilage and subchondral bone and relieved </w:t>
      </w:r>
      <w:r w:rsidR="00642099" w:rsidRPr="00CB4850">
        <w:rPr>
          <w:rFonts w:ascii="Book Antiqua" w:eastAsia="Book Antiqua" w:hAnsi="Book Antiqua" w:cs="Book Antiqua"/>
          <w:color w:val="000000"/>
        </w:rPr>
        <w:t>the patient's</w:t>
      </w:r>
      <w:r w:rsidRPr="00CB4850">
        <w:rPr>
          <w:rFonts w:ascii="Book Antiqua" w:eastAsia="Book Antiqua" w:hAnsi="Book Antiqua" w:cs="Book Antiqua"/>
          <w:color w:val="000000"/>
        </w:rPr>
        <w:t xml:space="preserve"> symptoms in a short period. We suggest that repair of subchondral bone damage is the basis for good cartilage regeneration. However, randomized controlled studies with larger samples are still needed to demonstrate the effectiveness and safety of this approach.</w:t>
      </w:r>
    </w:p>
    <w:p w14:paraId="68209D89" w14:textId="77777777" w:rsidR="00A77B3E" w:rsidRPr="00CB4850" w:rsidRDefault="00A77B3E" w:rsidP="00CB4850">
      <w:pPr>
        <w:snapToGrid w:val="0"/>
        <w:spacing w:line="360" w:lineRule="auto"/>
        <w:jc w:val="both"/>
        <w:rPr>
          <w:rFonts w:ascii="Book Antiqua" w:hAnsi="Book Antiqua"/>
        </w:rPr>
      </w:pPr>
    </w:p>
    <w:p w14:paraId="464872ED"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REFERENCES</w:t>
      </w:r>
    </w:p>
    <w:p w14:paraId="646DC5FD"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 </w:t>
      </w:r>
      <w:r w:rsidRPr="00CB4850">
        <w:rPr>
          <w:rFonts w:ascii="Book Antiqua" w:eastAsia="Book Antiqua" w:hAnsi="Book Antiqua" w:cs="Book Antiqua"/>
          <w:b/>
          <w:bCs/>
          <w:color w:val="000000"/>
        </w:rPr>
        <w:t>Paatela T</w:t>
      </w:r>
      <w:r w:rsidRPr="00CB4850">
        <w:rPr>
          <w:rFonts w:ascii="Book Antiqua" w:eastAsia="Book Antiqua" w:hAnsi="Book Antiqua" w:cs="Book Antiqua"/>
          <w:color w:val="000000"/>
        </w:rPr>
        <w:t xml:space="preserve">, Vasara A, Sormaala M, Nurmi H, Kautiainen H, Kiviranta I. Chondral and Osteochondritis Dissecans Lesions Treated by Autologous Chondrocytes Implantation: A Mid- to Long-Term Nonrandomized Comparison. </w:t>
      </w:r>
      <w:r w:rsidRPr="00CB4850">
        <w:rPr>
          <w:rFonts w:ascii="Book Antiqua" w:eastAsia="Book Antiqua" w:hAnsi="Book Antiqua" w:cs="Book Antiqua"/>
          <w:i/>
          <w:iCs/>
          <w:color w:val="000000"/>
        </w:rPr>
        <w:t>Cartilage</w:t>
      </w:r>
      <w:r w:rsidRPr="00CB4850">
        <w:rPr>
          <w:rFonts w:ascii="Book Antiqua" w:eastAsia="Book Antiqua" w:hAnsi="Book Antiqua" w:cs="Book Antiqua"/>
          <w:color w:val="000000"/>
        </w:rPr>
        <w:t xml:space="preserve"> 2020: 1947603520935953 [PMID: 32602351 DOI: 10.1177/1947603520935953]</w:t>
      </w:r>
    </w:p>
    <w:p w14:paraId="6251573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2 </w:t>
      </w:r>
      <w:r w:rsidRPr="00CB4850">
        <w:rPr>
          <w:rFonts w:ascii="Book Antiqua" w:eastAsia="Book Antiqua" w:hAnsi="Book Antiqua" w:cs="Book Antiqua"/>
          <w:b/>
          <w:bCs/>
          <w:color w:val="000000"/>
        </w:rPr>
        <w:t>Kong L</w:t>
      </w:r>
      <w:r w:rsidRPr="00CB4850">
        <w:rPr>
          <w:rFonts w:ascii="Book Antiqua" w:eastAsia="Book Antiqua" w:hAnsi="Book Antiqua" w:cs="Book Antiqua"/>
          <w:color w:val="000000"/>
        </w:rPr>
        <w:t xml:space="preserve">, Zheng LZ, Qin L, Ho KKW. Role of mesenchymal stem cells in osteoarthritis treatment. </w:t>
      </w:r>
      <w:r w:rsidRPr="00CB4850">
        <w:rPr>
          <w:rFonts w:ascii="Book Antiqua" w:eastAsia="Book Antiqua" w:hAnsi="Book Antiqua" w:cs="Book Antiqua"/>
          <w:i/>
          <w:iCs/>
          <w:color w:val="000000"/>
        </w:rPr>
        <w:t>J Orthop Translat</w:t>
      </w:r>
      <w:r w:rsidRPr="00CB4850">
        <w:rPr>
          <w:rFonts w:ascii="Book Antiqua" w:eastAsia="Book Antiqua" w:hAnsi="Book Antiqua" w:cs="Book Antiqua"/>
          <w:color w:val="000000"/>
        </w:rPr>
        <w:t xml:space="preserve"> 2017; </w:t>
      </w:r>
      <w:r w:rsidRPr="00CB4850">
        <w:rPr>
          <w:rFonts w:ascii="Book Antiqua" w:eastAsia="Book Antiqua" w:hAnsi="Book Antiqua" w:cs="Book Antiqua"/>
          <w:b/>
          <w:bCs/>
          <w:color w:val="000000"/>
        </w:rPr>
        <w:t>9</w:t>
      </w:r>
      <w:r w:rsidRPr="00CB4850">
        <w:rPr>
          <w:rFonts w:ascii="Book Antiqua" w:eastAsia="Book Antiqua" w:hAnsi="Book Antiqua" w:cs="Book Antiqua"/>
          <w:color w:val="000000"/>
        </w:rPr>
        <w:t>: 89-103 [PMID: 29662803 DOI: 10.1016/j.jot.2017.03.006]</w:t>
      </w:r>
    </w:p>
    <w:p w14:paraId="658BF727"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3 </w:t>
      </w:r>
      <w:r w:rsidRPr="00CB4850">
        <w:rPr>
          <w:rFonts w:ascii="Book Antiqua" w:eastAsia="Book Antiqua" w:hAnsi="Book Antiqua" w:cs="Book Antiqua"/>
          <w:b/>
          <w:bCs/>
          <w:color w:val="000000"/>
        </w:rPr>
        <w:t>Freitag J</w:t>
      </w:r>
      <w:r w:rsidRPr="00CB4850">
        <w:rPr>
          <w:rFonts w:ascii="Book Antiqua" w:eastAsia="Book Antiqua" w:hAnsi="Book Antiqua" w:cs="Book Antiqua"/>
          <w:color w:val="000000"/>
        </w:rPr>
        <w:t xml:space="preserve">, Shah K, Wickham J, Li D, Norsworthy C, Tenen A. Evaluation of autologous adipose-derived mesenchymal stem cell therapy in focal chondral defects of the knee: a pilot case series. </w:t>
      </w:r>
      <w:r w:rsidRPr="00CB4850">
        <w:rPr>
          <w:rFonts w:ascii="Book Antiqua" w:eastAsia="Book Antiqua" w:hAnsi="Book Antiqua" w:cs="Book Antiqua"/>
          <w:i/>
          <w:iCs/>
          <w:color w:val="000000"/>
        </w:rPr>
        <w:t>Regen Med</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15</w:t>
      </w:r>
      <w:r w:rsidRPr="00CB4850">
        <w:rPr>
          <w:rFonts w:ascii="Book Antiqua" w:eastAsia="Book Antiqua" w:hAnsi="Book Antiqua" w:cs="Book Antiqua"/>
          <w:color w:val="000000"/>
        </w:rPr>
        <w:t>: 1703-1717 [PMID: 32735154 DOI: 10.2217/rme-2020-0027]</w:t>
      </w:r>
    </w:p>
    <w:p w14:paraId="45957E04"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4 </w:t>
      </w:r>
      <w:r w:rsidRPr="00CB4850">
        <w:rPr>
          <w:rFonts w:ascii="Book Antiqua" w:eastAsia="Book Antiqua" w:hAnsi="Book Antiqua" w:cs="Book Antiqua"/>
          <w:b/>
          <w:bCs/>
          <w:color w:val="000000"/>
        </w:rPr>
        <w:t>Markides H</w:t>
      </w:r>
      <w:r w:rsidRPr="00CB4850">
        <w:rPr>
          <w:rFonts w:ascii="Book Antiqua" w:eastAsia="Book Antiqua" w:hAnsi="Book Antiqua" w:cs="Book Antiqua"/>
          <w:color w:val="000000"/>
        </w:rPr>
        <w:t xml:space="preserve">, Newell KJ, Rudorf H, Ferreras LB, Dixon JE, Morris RH, Graves M, Kaggie J, Henson F, El Haj AJ. Ex vivo MRI cell tracking of autologous mesenchymal stromal cells in an ovine osteochondral defect model. </w:t>
      </w:r>
      <w:r w:rsidRPr="00CB4850">
        <w:rPr>
          <w:rFonts w:ascii="Book Antiqua" w:eastAsia="Book Antiqua" w:hAnsi="Book Antiqua" w:cs="Book Antiqua"/>
          <w:i/>
          <w:iCs/>
          <w:color w:val="000000"/>
        </w:rPr>
        <w:t>Stem Cell Res Ther</w:t>
      </w:r>
      <w:r w:rsidRPr="00CB4850">
        <w:rPr>
          <w:rFonts w:ascii="Book Antiqua" w:eastAsia="Book Antiqua" w:hAnsi="Book Antiqua" w:cs="Book Antiqua"/>
          <w:color w:val="000000"/>
        </w:rPr>
        <w:t xml:space="preserve"> 2019; </w:t>
      </w:r>
      <w:r w:rsidRPr="00CB4850">
        <w:rPr>
          <w:rFonts w:ascii="Book Antiqua" w:eastAsia="Book Antiqua" w:hAnsi="Book Antiqua" w:cs="Book Antiqua"/>
          <w:b/>
          <w:bCs/>
          <w:color w:val="000000"/>
        </w:rPr>
        <w:t>10</w:t>
      </w:r>
      <w:r w:rsidRPr="00CB4850">
        <w:rPr>
          <w:rFonts w:ascii="Book Antiqua" w:eastAsia="Book Antiqua" w:hAnsi="Book Antiqua" w:cs="Book Antiqua"/>
          <w:color w:val="000000"/>
        </w:rPr>
        <w:t>: 25 [PMID: 30635066 DOI: 10.1186/s13287-018-1123-7]</w:t>
      </w:r>
    </w:p>
    <w:p w14:paraId="13103A0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5 </w:t>
      </w:r>
      <w:r w:rsidRPr="00CB4850">
        <w:rPr>
          <w:rFonts w:ascii="Book Antiqua" w:eastAsia="Book Antiqua" w:hAnsi="Book Antiqua" w:cs="Book Antiqua"/>
          <w:b/>
          <w:bCs/>
          <w:color w:val="000000"/>
        </w:rPr>
        <w:t>Chimutengwende-Gordon M</w:t>
      </w:r>
      <w:r w:rsidRPr="00CB4850">
        <w:rPr>
          <w:rFonts w:ascii="Book Antiqua" w:eastAsia="Book Antiqua" w:hAnsi="Book Antiqua" w:cs="Book Antiqua"/>
          <w:color w:val="000000"/>
        </w:rPr>
        <w:t xml:space="preserve">, Ahmad MA, Bentley G, Brammah J, Carrington R, Miles J, Donaldson J. Stem cell transplantation for the treatment of osteochondral defects of the knee: Operative technique for a single-stage transplantation procedure using bone marrow-derived mesenchymal stem cells. </w:t>
      </w:r>
      <w:r w:rsidRPr="00CB4850">
        <w:rPr>
          <w:rFonts w:ascii="Book Antiqua" w:eastAsia="Book Antiqua" w:hAnsi="Book Antiqua" w:cs="Book Antiqua"/>
          <w:i/>
          <w:iCs/>
          <w:color w:val="000000"/>
        </w:rPr>
        <w:t>Knee</w:t>
      </w:r>
      <w:r w:rsidRPr="00CB4850">
        <w:rPr>
          <w:rFonts w:ascii="Book Antiqua" w:eastAsia="Book Antiqua" w:hAnsi="Book Antiqua" w:cs="Book Antiqua"/>
          <w:color w:val="000000"/>
        </w:rPr>
        <w:t xml:space="preserve"> 2020 [PMID: 32680778 DOI: 10.1016/j.knee.2020.05.004]</w:t>
      </w:r>
    </w:p>
    <w:p w14:paraId="708F829F"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6 </w:t>
      </w:r>
      <w:r w:rsidRPr="00CB4850">
        <w:rPr>
          <w:rFonts w:ascii="Book Antiqua" w:eastAsia="Book Antiqua" w:hAnsi="Book Antiqua" w:cs="Book Antiqua"/>
          <w:b/>
          <w:bCs/>
          <w:color w:val="000000"/>
        </w:rPr>
        <w:t>Guerra E</w:t>
      </w:r>
      <w:r w:rsidRPr="00CB4850">
        <w:rPr>
          <w:rFonts w:ascii="Book Antiqua" w:eastAsia="Book Antiqua" w:hAnsi="Book Antiqua" w:cs="Book Antiqua"/>
          <w:color w:val="000000"/>
        </w:rPr>
        <w:t xml:space="preserve">, Fabbri D, Cavallo M, Marinelli A, Rotini R. Treatment of Capitellar Osteochondritis Dissecans With a Novel Regenerative Technique: Case Report of 3 Patients After 4 Years. </w:t>
      </w:r>
      <w:r w:rsidRPr="00CB4850">
        <w:rPr>
          <w:rFonts w:ascii="Book Antiqua" w:eastAsia="Book Antiqua" w:hAnsi="Book Antiqua" w:cs="Book Antiqua"/>
          <w:i/>
          <w:iCs/>
          <w:color w:val="000000"/>
        </w:rPr>
        <w:t>Orthop J Sports Med</w:t>
      </w:r>
      <w:r w:rsidRPr="00CB4850">
        <w:rPr>
          <w:rFonts w:ascii="Book Antiqua" w:eastAsia="Book Antiqua" w:hAnsi="Book Antiqua" w:cs="Book Antiqua"/>
          <w:color w:val="000000"/>
        </w:rPr>
        <w:t xml:space="preserve"> 2018; </w:t>
      </w:r>
      <w:r w:rsidRPr="00CB4850">
        <w:rPr>
          <w:rFonts w:ascii="Book Antiqua" w:eastAsia="Book Antiqua" w:hAnsi="Book Antiqua" w:cs="Book Antiqua"/>
          <w:b/>
          <w:bCs/>
          <w:color w:val="000000"/>
        </w:rPr>
        <w:t>6</w:t>
      </w:r>
      <w:r w:rsidRPr="00CB4850">
        <w:rPr>
          <w:rFonts w:ascii="Book Antiqua" w:eastAsia="Book Antiqua" w:hAnsi="Book Antiqua" w:cs="Book Antiqua"/>
          <w:color w:val="000000"/>
        </w:rPr>
        <w:t>: 2325967118795831 [PMID: 30228993 DOI: 10.1177/2325967118795831]</w:t>
      </w:r>
    </w:p>
    <w:p w14:paraId="4C930AA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7 </w:t>
      </w:r>
      <w:r w:rsidRPr="00CB4850">
        <w:rPr>
          <w:rFonts w:ascii="Book Antiqua" w:eastAsia="Book Antiqua" w:hAnsi="Book Antiqua" w:cs="Book Antiqua"/>
          <w:b/>
          <w:bCs/>
          <w:color w:val="000000"/>
        </w:rPr>
        <w:t>Murphy MP</w:t>
      </w:r>
      <w:r w:rsidRPr="00CB4850">
        <w:rPr>
          <w:rFonts w:ascii="Book Antiqua" w:eastAsia="Book Antiqua" w:hAnsi="Book Antiqua" w:cs="Book Antiqua"/>
          <w:color w:val="000000"/>
        </w:rPr>
        <w:t xml:space="preserve">, Koepke LS, Lopez MT, Tong X, Ambrosi TH, Gulati GS, Marecic O, Wang Y, Ransom RC, Hoover MY, Steininger H, Zhao L, Walkiewicz MP, Quarto N, Levi B, Wan DC, Weissman IL, Goodman SB, Yang F, Longaker MT, Chan CKF. Articular cartilage regeneration by activated skeletal stem cells. </w:t>
      </w:r>
      <w:r w:rsidRPr="00CB4850">
        <w:rPr>
          <w:rFonts w:ascii="Book Antiqua" w:eastAsia="Book Antiqua" w:hAnsi="Book Antiqua" w:cs="Book Antiqua"/>
          <w:i/>
          <w:iCs/>
          <w:color w:val="000000"/>
        </w:rPr>
        <w:t>Nat Med</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26</w:t>
      </w:r>
      <w:r w:rsidRPr="00CB4850">
        <w:rPr>
          <w:rFonts w:ascii="Book Antiqua" w:eastAsia="Book Antiqua" w:hAnsi="Book Antiqua" w:cs="Book Antiqua"/>
          <w:color w:val="000000"/>
        </w:rPr>
        <w:t>: 1583-1592 [PMID: 32807933 DOI: 10.1038/s41591-020-1013-2]</w:t>
      </w:r>
    </w:p>
    <w:p w14:paraId="400D142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8 </w:t>
      </w:r>
      <w:r w:rsidRPr="00CB4850">
        <w:rPr>
          <w:rFonts w:ascii="Book Antiqua" w:eastAsia="Book Antiqua" w:hAnsi="Book Antiqua" w:cs="Book Antiqua"/>
          <w:b/>
          <w:bCs/>
          <w:color w:val="000000"/>
        </w:rPr>
        <w:t>Campbell TM</w:t>
      </w:r>
      <w:r w:rsidRPr="00CB4850">
        <w:rPr>
          <w:rFonts w:ascii="Book Antiqua" w:eastAsia="Book Antiqua" w:hAnsi="Book Antiqua" w:cs="Book Antiqua"/>
          <w:color w:val="000000"/>
        </w:rPr>
        <w:t xml:space="preserve">, Churchman SM, Gomez A, McGonagle D, Conaghan PG, Ponchel F, Jones E. Mesenchymal Stem Cell Alterations in Bone Marrow Lesions in Patients With Hip Osteoarthritis. </w:t>
      </w:r>
      <w:r w:rsidRPr="00CB4850">
        <w:rPr>
          <w:rFonts w:ascii="Book Antiqua" w:eastAsia="Book Antiqua" w:hAnsi="Book Antiqua" w:cs="Book Antiqua"/>
          <w:i/>
          <w:iCs/>
          <w:color w:val="000000"/>
        </w:rPr>
        <w:t>Arthritis Rheumatol</w:t>
      </w:r>
      <w:r w:rsidRPr="00CB4850">
        <w:rPr>
          <w:rFonts w:ascii="Book Antiqua" w:eastAsia="Book Antiqua" w:hAnsi="Book Antiqua" w:cs="Book Antiqua"/>
          <w:color w:val="000000"/>
        </w:rPr>
        <w:t xml:space="preserve"> 2016; </w:t>
      </w:r>
      <w:r w:rsidRPr="00CB4850">
        <w:rPr>
          <w:rFonts w:ascii="Book Antiqua" w:eastAsia="Book Antiqua" w:hAnsi="Book Antiqua" w:cs="Book Antiqua"/>
          <w:b/>
          <w:bCs/>
          <w:color w:val="000000"/>
        </w:rPr>
        <w:t>68</w:t>
      </w:r>
      <w:r w:rsidRPr="00CB4850">
        <w:rPr>
          <w:rFonts w:ascii="Book Antiqua" w:eastAsia="Book Antiqua" w:hAnsi="Book Antiqua" w:cs="Book Antiqua"/>
          <w:color w:val="000000"/>
        </w:rPr>
        <w:t>: 1648-1659 [PMID: 26866940 DOI: 10.1002/art.39622]</w:t>
      </w:r>
    </w:p>
    <w:p w14:paraId="50CB8B7D"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9 </w:t>
      </w:r>
      <w:r w:rsidRPr="00CB4850">
        <w:rPr>
          <w:rFonts w:ascii="Book Antiqua" w:eastAsia="Book Antiqua" w:hAnsi="Book Antiqua" w:cs="Book Antiqua"/>
          <w:b/>
          <w:bCs/>
          <w:color w:val="000000"/>
        </w:rPr>
        <w:t>Saw KY</w:t>
      </w:r>
      <w:r w:rsidRPr="00CB4850">
        <w:rPr>
          <w:rFonts w:ascii="Book Antiqua" w:eastAsia="Book Antiqua" w:hAnsi="Book Antiqua" w:cs="Book Antiqua"/>
          <w:color w:val="000000"/>
        </w:rPr>
        <w:t xml:space="preserve">, Anz A, Siew-Yoke Jee C, Merican S, Ching-Soong Ng R, Roohi SA, Ragavanaidu K. Articular cartilage regeneration with autologous peripheral blood stem cells </w:t>
      </w:r>
      <w:r w:rsidRPr="00CB4850">
        <w:rPr>
          <w:rFonts w:ascii="Book Antiqua" w:eastAsia="Book Antiqua" w:hAnsi="Book Antiqua" w:cs="Book Antiqua"/>
          <w:i/>
          <w:iCs/>
          <w:color w:val="000000"/>
        </w:rPr>
        <w:t>vs</w:t>
      </w:r>
      <w:r w:rsidRPr="00CB4850">
        <w:rPr>
          <w:rFonts w:ascii="Book Antiqua" w:eastAsia="Book Antiqua" w:hAnsi="Book Antiqua" w:cs="Book Antiqua"/>
          <w:color w:val="000000"/>
        </w:rPr>
        <w:t xml:space="preserve"> hyaluronic acid: a randomized controlled trial. </w:t>
      </w:r>
      <w:r w:rsidRPr="00CB4850">
        <w:rPr>
          <w:rFonts w:ascii="Book Antiqua" w:eastAsia="Book Antiqua" w:hAnsi="Book Antiqua" w:cs="Book Antiqua"/>
          <w:i/>
          <w:iCs/>
          <w:color w:val="000000"/>
        </w:rPr>
        <w:t>Arthroscopy</w:t>
      </w:r>
      <w:r w:rsidRPr="00CB4850">
        <w:rPr>
          <w:rFonts w:ascii="Book Antiqua" w:eastAsia="Book Antiqua" w:hAnsi="Book Antiqua" w:cs="Book Antiqua"/>
          <w:color w:val="000000"/>
        </w:rPr>
        <w:t xml:space="preserve"> 2013; </w:t>
      </w:r>
      <w:r w:rsidRPr="00CB4850">
        <w:rPr>
          <w:rFonts w:ascii="Book Antiqua" w:eastAsia="Book Antiqua" w:hAnsi="Book Antiqua" w:cs="Book Antiqua"/>
          <w:b/>
          <w:bCs/>
          <w:color w:val="000000"/>
        </w:rPr>
        <w:t>29</w:t>
      </w:r>
      <w:r w:rsidRPr="00CB4850">
        <w:rPr>
          <w:rFonts w:ascii="Book Antiqua" w:eastAsia="Book Antiqua" w:hAnsi="Book Antiqua" w:cs="Book Antiqua"/>
          <w:color w:val="000000"/>
        </w:rPr>
        <w:t>: 684-694 [PMID: 23380230 DOI: 10.1016/j.arthro.2012.12.008]</w:t>
      </w:r>
    </w:p>
    <w:p w14:paraId="2BB31A65"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10 </w:t>
      </w:r>
      <w:r w:rsidRPr="00CB4850">
        <w:rPr>
          <w:rFonts w:ascii="Book Antiqua" w:eastAsia="Book Antiqua" w:hAnsi="Book Antiqua" w:cs="Book Antiqua"/>
          <w:b/>
          <w:bCs/>
          <w:color w:val="000000"/>
        </w:rPr>
        <w:t>Peterfy CG</w:t>
      </w:r>
      <w:r w:rsidRPr="00CB4850">
        <w:rPr>
          <w:rFonts w:ascii="Book Antiqua" w:eastAsia="Book Antiqua" w:hAnsi="Book Antiqua" w:cs="Book Antiqua"/>
          <w:color w:val="000000"/>
        </w:rPr>
        <w:t xml:space="preserve">, Guermazi A, Zaim S, Tirman PF, Miaux Y, White D, Kothari M, Lu Y, Fye K, Zhao S, Genant HK. Whole-Organ Magnetic Resonance Imaging Score (WORMS) of the knee in osteoarthritis. </w:t>
      </w:r>
      <w:r w:rsidRPr="00CB4850">
        <w:rPr>
          <w:rFonts w:ascii="Book Antiqua" w:eastAsia="Book Antiqua" w:hAnsi="Book Antiqua" w:cs="Book Antiqua"/>
          <w:i/>
          <w:iCs/>
          <w:color w:val="000000"/>
        </w:rPr>
        <w:t>Osteoarthritis Cartilage</w:t>
      </w:r>
      <w:r w:rsidRPr="00CB4850">
        <w:rPr>
          <w:rFonts w:ascii="Book Antiqua" w:eastAsia="Book Antiqua" w:hAnsi="Book Antiqua" w:cs="Book Antiqua"/>
          <w:color w:val="000000"/>
        </w:rPr>
        <w:t xml:space="preserve"> 2004; </w:t>
      </w:r>
      <w:r w:rsidRPr="00CB4850">
        <w:rPr>
          <w:rFonts w:ascii="Book Antiqua" w:eastAsia="Book Antiqua" w:hAnsi="Book Antiqua" w:cs="Book Antiqua"/>
          <w:b/>
          <w:bCs/>
          <w:color w:val="000000"/>
        </w:rPr>
        <w:t>12</w:t>
      </w:r>
      <w:r w:rsidRPr="00CB4850">
        <w:rPr>
          <w:rFonts w:ascii="Book Antiqua" w:eastAsia="Book Antiqua" w:hAnsi="Book Antiqua" w:cs="Book Antiqua"/>
          <w:color w:val="000000"/>
        </w:rPr>
        <w:t>: 177-190 [PMID: 14972335 DOI: 10.1016/j.joca.2003.11.003]</w:t>
      </w:r>
    </w:p>
    <w:p w14:paraId="11086252"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11 </w:t>
      </w:r>
      <w:r w:rsidRPr="00CB4850">
        <w:rPr>
          <w:rFonts w:ascii="Book Antiqua" w:eastAsia="Book Antiqua" w:hAnsi="Book Antiqua" w:cs="Book Antiqua"/>
          <w:b/>
          <w:bCs/>
          <w:color w:val="000000"/>
        </w:rPr>
        <w:t>Fang J</w:t>
      </w:r>
      <w:r w:rsidRPr="00CB4850">
        <w:rPr>
          <w:rFonts w:ascii="Book Antiqua" w:eastAsia="Book Antiqua" w:hAnsi="Book Antiqua" w:cs="Book Antiqua"/>
          <w:color w:val="000000"/>
        </w:rPr>
        <w:t xml:space="preserve">, Wang X, Jiang W, Zhu Y, Hu Y, Zhao Y, Song X, Zhao J, Zhang W, Peng J, Wang Y. Platelet-Rich Plasma Therapy in the Treatment of Diseases Associated with Orthopedic Injuries. </w:t>
      </w:r>
      <w:r w:rsidRPr="00CB4850">
        <w:rPr>
          <w:rFonts w:ascii="Book Antiqua" w:eastAsia="Book Antiqua" w:hAnsi="Book Antiqua" w:cs="Book Antiqua"/>
          <w:i/>
          <w:iCs/>
          <w:color w:val="000000"/>
        </w:rPr>
        <w:t>Tissue Eng Part B Rev</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26</w:t>
      </w:r>
      <w:r w:rsidRPr="00CB4850">
        <w:rPr>
          <w:rFonts w:ascii="Book Antiqua" w:eastAsia="Book Antiqua" w:hAnsi="Book Antiqua" w:cs="Book Antiqua"/>
          <w:color w:val="000000"/>
        </w:rPr>
        <w:t>: 571-585 [PMID: 32380937 DOI: 10.1089/ten.TEB.2019.0292]</w:t>
      </w:r>
    </w:p>
    <w:p w14:paraId="09B09E29"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12 </w:t>
      </w:r>
      <w:r w:rsidRPr="00CB4850">
        <w:rPr>
          <w:rFonts w:ascii="Book Antiqua" w:eastAsia="Book Antiqua" w:hAnsi="Book Antiqua" w:cs="Book Antiqua"/>
          <w:b/>
          <w:bCs/>
          <w:color w:val="000000"/>
        </w:rPr>
        <w:t>Olstad K</w:t>
      </w:r>
      <w:r w:rsidRPr="00CB4850">
        <w:rPr>
          <w:rFonts w:ascii="Book Antiqua" w:eastAsia="Book Antiqua" w:hAnsi="Book Antiqua" w:cs="Book Antiqua"/>
          <w:color w:val="000000"/>
        </w:rPr>
        <w:t xml:space="preserve">, Shea KG, Cannamela PC, Polousky JD, Ekman S, Ytrehus B, Carlson CS. Juvenile osteochondritis dissecans of the knee is a result of failure of the blood supply to growth cartilage and osteochondrosis. </w:t>
      </w:r>
      <w:r w:rsidRPr="00CB4850">
        <w:rPr>
          <w:rFonts w:ascii="Book Antiqua" w:eastAsia="Book Antiqua" w:hAnsi="Book Antiqua" w:cs="Book Antiqua"/>
          <w:i/>
          <w:iCs/>
          <w:color w:val="000000"/>
        </w:rPr>
        <w:t>Osteoarthritis Cartilage</w:t>
      </w:r>
      <w:r w:rsidRPr="00CB4850">
        <w:rPr>
          <w:rFonts w:ascii="Book Antiqua" w:eastAsia="Book Antiqua" w:hAnsi="Book Antiqua" w:cs="Book Antiqua"/>
          <w:color w:val="000000"/>
        </w:rPr>
        <w:t xml:space="preserve"> 2018; </w:t>
      </w:r>
      <w:r w:rsidRPr="00CB4850">
        <w:rPr>
          <w:rFonts w:ascii="Book Antiqua" w:eastAsia="Book Antiqua" w:hAnsi="Book Antiqua" w:cs="Book Antiqua"/>
          <w:b/>
          <w:bCs/>
          <w:color w:val="000000"/>
        </w:rPr>
        <w:t>26</w:t>
      </w:r>
      <w:r w:rsidRPr="00CB4850">
        <w:rPr>
          <w:rFonts w:ascii="Book Antiqua" w:eastAsia="Book Antiqua" w:hAnsi="Book Antiqua" w:cs="Book Antiqua"/>
          <w:color w:val="000000"/>
        </w:rPr>
        <w:t>: 1691-1698 [PMID: 30248503 DOI: 10.1016/j.joca.2018.06.019]</w:t>
      </w:r>
    </w:p>
    <w:p w14:paraId="57B0517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13 </w:t>
      </w:r>
      <w:r w:rsidRPr="00CB4850">
        <w:rPr>
          <w:rFonts w:ascii="Book Antiqua" w:eastAsia="Book Antiqua" w:hAnsi="Book Antiqua" w:cs="Book Antiqua"/>
          <w:b/>
          <w:bCs/>
          <w:color w:val="000000"/>
        </w:rPr>
        <w:t>Masquijo J</w:t>
      </w:r>
      <w:r w:rsidRPr="00CB4850">
        <w:rPr>
          <w:rFonts w:ascii="Book Antiqua" w:eastAsia="Book Antiqua" w:hAnsi="Book Antiqua" w:cs="Book Antiqua"/>
          <w:color w:val="000000"/>
        </w:rPr>
        <w:t xml:space="preserve">, Kothari A. Juvenile osteochondritis dissecans (JOCD) of the knee: current concepts review. </w:t>
      </w:r>
      <w:r w:rsidRPr="00CB4850">
        <w:rPr>
          <w:rFonts w:ascii="Book Antiqua" w:eastAsia="Book Antiqua" w:hAnsi="Book Antiqua" w:cs="Book Antiqua"/>
          <w:i/>
          <w:iCs/>
          <w:color w:val="000000"/>
        </w:rPr>
        <w:t>EFORT Open Rev</w:t>
      </w:r>
      <w:r w:rsidRPr="00CB4850">
        <w:rPr>
          <w:rFonts w:ascii="Book Antiqua" w:eastAsia="Book Antiqua" w:hAnsi="Book Antiqua" w:cs="Book Antiqua"/>
          <w:color w:val="000000"/>
        </w:rPr>
        <w:t xml:space="preserve"> 2019; </w:t>
      </w:r>
      <w:r w:rsidRPr="00CB4850">
        <w:rPr>
          <w:rFonts w:ascii="Book Antiqua" w:eastAsia="Book Antiqua" w:hAnsi="Book Antiqua" w:cs="Book Antiqua"/>
          <w:b/>
          <w:bCs/>
          <w:color w:val="000000"/>
        </w:rPr>
        <w:t>4</w:t>
      </w:r>
      <w:r w:rsidRPr="00CB4850">
        <w:rPr>
          <w:rFonts w:ascii="Book Antiqua" w:eastAsia="Book Antiqua" w:hAnsi="Book Antiqua" w:cs="Book Antiqua"/>
          <w:color w:val="000000"/>
        </w:rPr>
        <w:t>: 201-212 [PMID: 31191988 DOI: 10.1302/2058-5241.4.180079]</w:t>
      </w:r>
    </w:p>
    <w:p w14:paraId="22329335"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14 </w:t>
      </w:r>
      <w:r w:rsidRPr="00CB4850">
        <w:rPr>
          <w:rFonts w:ascii="Book Antiqua" w:eastAsia="Book Antiqua" w:hAnsi="Book Antiqua" w:cs="Book Antiqua"/>
          <w:b/>
          <w:bCs/>
          <w:color w:val="000000"/>
        </w:rPr>
        <w:t>Pan J</w:t>
      </w:r>
      <w:r w:rsidRPr="00CB4850">
        <w:rPr>
          <w:rFonts w:ascii="Book Antiqua" w:eastAsia="Book Antiqua" w:hAnsi="Book Antiqua" w:cs="Book Antiqua"/>
          <w:color w:val="000000"/>
        </w:rPr>
        <w:t xml:space="preserve">, Wang B, Li W, Zhou X, Scherr T, Yang Y, Price C, Wang L. Elevated cross-talk between subchondral bone and cartilage in osteoarthritic joints. </w:t>
      </w:r>
      <w:r w:rsidRPr="00CB4850">
        <w:rPr>
          <w:rFonts w:ascii="Book Antiqua" w:eastAsia="Book Antiqua" w:hAnsi="Book Antiqua" w:cs="Book Antiqua"/>
          <w:i/>
          <w:iCs/>
          <w:color w:val="000000"/>
        </w:rPr>
        <w:t>Bone</w:t>
      </w:r>
      <w:r w:rsidRPr="00CB4850">
        <w:rPr>
          <w:rFonts w:ascii="Book Antiqua" w:eastAsia="Book Antiqua" w:hAnsi="Book Antiqua" w:cs="Book Antiqua"/>
          <w:color w:val="000000"/>
        </w:rPr>
        <w:t xml:space="preserve"> 2012; </w:t>
      </w:r>
      <w:r w:rsidRPr="00CB4850">
        <w:rPr>
          <w:rFonts w:ascii="Book Antiqua" w:eastAsia="Book Antiqua" w:hAnsi="Book Antiqua" w:cs="Book Antiqua"/>
          <w:b/>
          <w:bCs/>
          <w:color w:val="000000"/>
        </w:rPr>
        <w:t>51</w:t>
      </w:r>
      <w:r w:rsidRPr="00CB4850">
        <w:rPr>
          <w:rFonts w:ascii="Book Antiqua" w:eastAsia="Book Antiqua" w:hAnsi="Book Antiqua" w:cs="Book Antiqua"/>
          <w:color w:val="000000"/>
        </w:rPr>
        <w:t>: 212-217 [PMID: 22197997 DOI: 10.1016/j.bone.2011.11.030]</w:t>
      </w:r>
    </w:p>
    <w:p w14:paraId="09462296"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15 </w:t>
      </w:r>
      <w:r w:rsidRPr="00CB4850">
        <w:rPr>
          <w:rFonts w:ascii="Book Antiqua" w:eastAsia="Book Antiqua" w:hAnsi="Book Antiqua" w:cs="Book Antiqua"/>
          <w:b/>
          <w:bCs/>
          <w:color w:val="000000"/>
        </w:rPr>
        <w:t>Hernigou P</w:t>
      </w:r>
      <w:r w:rsidRPr="00CB4850">
        <w:rPr>
          <w:rFonts w:ascii="Book Antiqua" w:eastAsia="Book Antiqua" w:hAnsi="Book Antiqua" w:cs="Book Antiqua"/>
          <w:color w:val="000000"/>
        </w:rPr>
        <w:t xml:space="preserve">, Bouthors C, Bastard C, Flouzat Lachaniette CH, Rouard H, Dubory A. Subchondral bone or intra-articular injection of bone marrow concentrate mesenchymal stem cells in bilateral knee osteoarthritis: what better postpone knee arthroplasty at fifteen years? A randomized study. </w:t>
      </w:r>
      <w:r w:rsidRPr="00CB4850">
        <w:rPr>
          <w:rFonts w:ascii="Book Antiqua" w:eastAsia="Book Antiqua" w:hAnsi="Book Antiqua" w:cs="Book Antiqua"/>
          <w:i/>
          <w:iCs/>
          <w:color w:val="000000"/>
        </w:rPr>
        <w:t>Int Orthop</w:t>
      </w:r>
      <w:r w:rsidRPr="00CB4850">
        <w:rPr>
          <w:rFonts w:ascii="Book Antiqua" w:eastAsia="Book Antiqua" w:hAnsi="Book Antiqua" w:cs="Book Antiqua"/>
          <w:color w:val="000000"/>
        </w:rPr>
        <w:t xml:space="preserve"> 2021; </w:t>
      </w:r>
      <w:r w:rsidRPr="00CB4850">
        <w:rPr>
          <w:rFonts w:ascii="Book Antiqua" w:eastAsia="Book Antiqua" w:hAnsi="Book Antiqua" w:cs="Book Antiqua"/>
          <w:b/>
          <w:bCs/>
          <w:color w:val="000000"/>
        </w:rPr>
        <w:t>45</w:t>
      </w:r>
      <w:r w:rsidRPr="00CB4850">
        <w:rPr>
          <w:rFonts w:ascii="Book Antiqua" w:eastAsia="Book Antiqua" w:hAnsi="Book Antiqua" w:cs="Book Antiqua"/>
          <w:color w:val="000000"/>
        </w:rPr>
        <w:t>: 391-399 [PMID: 32617651 DOI: 10.1007/s00264-020-04687-7]</w:t>
      </w:r>
    </w:p>
    <w:p w14:paraId="62A98F29"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16 </w:t>
      </w:r>
      <w:r w:rsidRPr="00CB4850">
        <w:rPr>
          <w:rFonts w:ascii="Book Antiqua" w:eastAsia="Book Antiqua" w:hAnsi="Book Antiqua" w:cs="Book Antiqua"/>
          <w:b/>
          <w:bCs/>
          <w:color w:val="000000"/>
        </w:rPr>
        <w:t>Smaida R</w:t>
      </w:r>
      <w:r w:rsidRPr="00CB4850">
        <w:rPr>
          <w:rFonts w:ascii="Book Antiqua" w:eastAsia="Book Antiqua" w:hAnsi="Book Antiqua" w:cs="Book Antiqua"/>
          <w:color w:val="000000"/>
        </w:rPr>
        <w:t xml:space="preserve">, Pijnenburg L, Irusta S, Himawan E, Mendoza G, Harmouch E, Idoux-Gillet Y, Kuchler-Bopp S, Benkirane-Jessel N, Hua G. Potential Implantable Nanofibrous Biomaterials Combined with Stem Cells for Subchondral Bone Regeneration. </w:t>
      </w:r>
      <w:r w:rsidRPr="00CB4850">
        <w:rPr>
          <w:rFonts w:ascii="Book Antiqua" w:eastAsia="Book Antiqua" w:hAnsi="Book Antiqua" w:cs="Book Antiqua"/>
          <w:i/>
          <w:iCs/>
          <w:color w:val="000000"/>
        </w:rPr>
        <w:t>Materials (Basel)</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13</w:t>
      </w:r>
      <w:r w:rsidRPr="00CB4850">
        <w:rPr>
          <w:rFonts w:ascii="Book Antiqua" w:eastAsia="Book Antiqua" w:hAnsi="Book Antiqua" w:cs="Book Antiqua"/>
          <w:color w:val="000000"/>
        </w:rPr>
        <w:t xml:space="preserve"> [PMID: 32664278 DOI: 10.3390/ma13143087]</w:t>
      </w:r>
    </w:p>
    <w:p w14:paraId="1DE5FA5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17 </w:t>
      </w:r>
      <w:r w:rsidRPr="00CB4850">
        <w:rPr>
          <w:rFonts w:ascii="Book Antiqua" w:eastAsia="Book Antiqua" w:hAnsi="Book Antiqua" w:cs="Book Antiqua"/>
          <w:b/>
          <w:bCs/>
          <w:color w:val="000000"/>
        </w:rPr>
        <w:t>Chen YR</w:t>
      </w:r>
      <w:r w:rsidRPr="00CB4850">
        <w:rPr>
          <w:rFonts w:ascii="Book Antiqua" w:eastAsia="Book Antiqua" w:hAnsi="Book Antiqua" w:cs="Book Antiqua"/>
          <w:color w:val="000000"/>
        </w:rPr>
        <w:t xml:space="preserve">, Yan X, Yuan FZ, Ye J, Xu BB, Zhou ZX, Mao ZM, Guan J, Song YF, Sun ZW, Wang XJ, Chen ZY, Wang DY, Fan BS, Yang M, Song ST, Jiang D, Yu JK. The Use of Peripheral Blood-Derived Stem Cells for Cartilage Repair and Regeneration </w:t>
      </w:r>
      <w:r w:rsidRPr="00CB4850">
        <w:rPr>
          <w:rFonts w:ascii="Book Antiqua" w:eastAsia="Book Antiqua" w:hAnsi="Book Antiqua" w:cs="Book Antiqua"/>
          <w:i/>
          <w:iCs/>
          <w:color w:val="000000"/>
        </w:rPr>
        <w:t>In Vivo</w:t>
      </w:r>
      <w:r w:rsidRPr="00CB4850">
        <w:rPr>
          <w:rFonts w:ascii="Book Antiqua" w:eastAsia="Book Antiqua" w:hAnsi="Book Antiqua" w:cs="Book Antiqua"/>
          <w:color w:val="000000"/>
        </w:rPr>
        <w:t xml:space="preserve">: A Review. </w:t>
      </w:r>
      <w:r w:rsidRPr="00CB4850">
        <w:rPr>
          <w:rFonts w:ascii="Book Antiqua" w:eastAsia="Book Antiqua" w:hAnsi="Book Antiqua" w:cs="Book Antiqua"/>
          <w:i/>
          <w:iCs/>
          <w:color w:val="000000"/>
        </w:rPr>
        <w:t>Front Pharmacol</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11</w:t>
      </w:r>
      <w:r w:rsidRPr="00CB4850">
        <w:rPr>
          <w:rFonts w:ascii="Book Antiqua" w:eastAsia="Book Antiqua" w:hAnsi="Book Antiqua" w:cs="Book Antiqua"/>
          <w:color w:val="000000"/>
        </w:rPr>
        <w:t>: 404 [PMID: 32308625 DOI: 10.3389/fphar.2020.00404]</w:t>
      </w:r>
    </w:p>
    <w:p w14:paraId="1AC21C19"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18 </w:t>
      </w:r>
      <w:r w:rsidRPr="00CB4850">
        <w:rPr>
          <w:rFonts w:ascii="Book Antiqua" w:eastAsia="Book Antiqua" w:hAnsi="Book Antiqua" w:cs="Book Antiqua"/>
          <w:b/>
          <w:bCs/>
          <w:color w:val="000000"/>
        </w:rPr>
        <w:t>Jing Y</w:t>
      </w:r>
      <w:r w:rsidRPr="00CB4850">
        <w:rPr>
          <w:rFonts w:ascii="Book Antiqua" w:eastAsia="Book Antiqua" w:hAnsi="Book Antiqua" w:cs="Book Antiqua"/>
          <w:color w:val="000000"/>
        </w:rPr>
        <w:t xml:space="preserve">, Zhou X, Han X, Jing J, von der Mark K, Wang J, de Crombrugghe B, Hinton RJ, Feng JQ. Chondrocytes Directly Transform into Bone Cells in Mandibular Condyle Growth. </w:t>
      </w:r>
      <w:r w:rsidRPr="00CB4850">
        <w:rPr>
          <w:rFonts w:ascii="Book Antiqua" w:eastAsia="Book Antiqua" w:hAnsi="Book Antiqua" w:cs="Book Antiqua"/>
          <w:i/>
          <w:iCs/>
          <w:color w:val="000000"/>
        </w:rPr>
        <w:t>J Dent Res</w:t>
      </w:r>
      <w:r w:rsidRPr="00CB4850">
        <w:rPr>
          <w:rFonts w:ascii="Book Antiqua" w:eastAsia="Book Antiqua" w:hAnsi="Book Antiqua" w:cs="Book Antiqua"/>
          <w:color w:val="000000"/>
        </w:rPr>
        <w:t xml:space="preserve"> 2015; </w:t>
      </w:r>
      <w:r w:rsidRPr="00CB4850">
        <w:rPr>
          <w:rFonts w:ascii="Book Antiqua" w:eastAsia="Book Antiqua" w:hAnsi="Book Antiqua" w:cs="Book Antiqua"/>
          <w:b/>
          <w:bCs/>
          <w:color w:val="000000"/>
        </w:rPr>
        <w:t>94</w:t>
      </w:r>
      <w:r w:rsidRPr="00CB4850">
        <w:rPr>
          <w:rFonts w:ascii="Book Antiqua" w:eastAsia="Book Antiqua" w:hAnsi="Book Antiqua" w:cs="Book Antiqua"/>
          <w:color w:val="000000"/>
        </w:rPr>
        <w:t>: 1668-1675 [PMID: 26341973 DOI: 10.1177/0022034515598135]</w:t>
      </w:r>
    </w:p>
    <w:p w14:paraId="23BCB6E9"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19 </w:t>
      </w:r>
      <w:r w:rsidRPr="00CB4850">
        <w:rPr>
          <w:rFonts w:ascii="Book Antiqua" w:eastAsia="Book Antiqua" w:hAnsi="Book Antiqua" w:cs="Book Antiqua"/>
          <w:b/>
          <w:bCs/>
          <w:color w:val="000000"/>
        </w:rPr>
        <w:t>Zhou J</w:t>
      </w:r>
      <w:r w:rsidRPr="00CB4850">
        <w:rPr>
          <w:rFonts w:ascii="Book Antiqua" w:eastAsia="Book Antiqua" w:hAnsi="Book Antiqua" w:cs="Book Antiqua"/>
          <w:color w:val="000000"/>
        </w:rPr>
        <w:t xml:space="preserve">, Xiong W, Gou P, Chen Z, Guo X, Huo X, Xue Y. Clinical effect of intramuscular calcitonin compared with oral celecoxib in the treatment of knee bone marrow lesions: a retrospective study. </w:t>
      </w:r>
      <w:r w:rsidRPr="00CB4850">
        <w:rPr>
          <w:rFonts w:ascii="Book Antiqua" w:eastAsia="Book Antiqua" w:hAnsi="Book Antiqua" w:cs="Book Antiqua"/>
          <w:i/>
          <w:iCs/>
          <w:color w:val="000000"/>
        </w:rPr>
        <w:t>J Orthop Surg Res</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15</w:t>
      </w:r>
      <w:r w:rsidRPr="00CB4850">
        <w:rPr>
          <w:rFonts w:ascii="Book Antiqua" w:eastAsia="Book Antiqua" w:hAnsi="Book Antiqua" w:cs="Book Antiqua"/>
          <w:color w:val="000000"/>
        </w:rPr>
        <w:t>: 230 [PMID: 32576210 DOI: 10.1186/s13018-020-01746-y]</w:t>
      </w:r>
    </w:p>
    <w:p w14:paraId="19C1DB9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20 </w:t>
      </w:r>
      <w:r w:rsidRPr="00CB4850">
        <w:rPr>
          <w:rFonts w:ascii="Book Antiqua" w:eastAsia="Book Antiqua" w:hAnsi="Book Antiqua" w:cs="Book Antiqua"/>
          <w:b/>
          <w:bCs/>
          <w:color w:val="000000"/>
        </w:rPr>
        <w:t>Higuchi J</w:t>
      </w:r>
      <w:r w:rsidRPr="00CB4850">
        <w:rPr>
          <w:rFonts w:ascii="Book Antiqua" w:eastAsia="Book Antiqua" w:hAnsi="Book Antiqua" w:cs="Book Antiqua"/>
          <w:color w:val="000000"/>
        </w:rPr>
        <w:t xml:space="preserve">, Yamagami R, Matsumoto T, Terao T, Inoue K, Tsuji S, Maenohara Y, Matsuzaki T, Chijimatsu R, Omata Y, Yano F, Tanaka S, Saito T. Associations of clinical outcomes and MRI findings in intra-articular administration of autologous adipose-derived stem cells for knee osteoarthritis. </w:t>
      </w:r>
      <w:r w:rsidRPr="00CB4850">
        <w:rPr>
          <w:rFonts w:ascii="Book Antiqua" w:eastAsia="Book Antiqua" w:hAnsi="Book Antiqua" w:cs="Book Antiqua"/>
          <w:i/>
          <w:iCs/>
          <w:color w:val="000000"/>
        </w:rPr>
        <w:t>Regen Ther</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14</w:t>
      </w:r>
      <w:r w:rsidRPr="00CB4850">
        <w:rPr>
          <w:rFonts w:ascii="Book Antiqua" w:eastAsia="Book Antiqua" w:hAnsi="Book Antiqua" w:cs="Book Antiqua"/>
          <w:color w:val="000000"/>
        </w:rPr>
        <w:t>: 332-340 [PMID: 32490058 DOI: 10.1016/j.reth.2020.04.003]</w:t>
      </w:r>
    </w:p>
    <w:p w14:paraId="3D120C9E"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21 </w:t>
      </w:r>
      <w:r w:rsidRPr="00CB4850">
        <w:rPr>
          <w:rFonts w:ascii="Book Antiqua" w:eastAsia="Book Antiqua" w:hAnsi="Book Antiqua" w:cs="Book Antiqua"/>
          <w:b/>
          <w:bCs/>
          <w:color w:val="000000"/>
        </w:rPr>
        <w:t>Cai Y</w:t>
      </w:r>
      <w:r w:rsidRPr="00CB4850">
        <w:rPr>
          <w:rFonts w:ascii="Book Antiqua" w:eastAsia="Book Antiqua" w:hAnsi="Book Antiqua" w:cs="Book Antiqua"/>
          <w:color w:val="000000"/>
        </w:rPr>
        <w:t xml:space="preserve">, Li J, Jia C, He Y, Deng C. Therapeutic applications of adipose cell-free derivatives: a review. </w:t>
      </w:r>
      <w:r w:rsidRPr="00CB4850">
        <w:rPr>
          <w:rFonts w:ascii="Book Antiqua" w:eastAsia="Book Antiqua" w:hAnsi="Book Antiqua" w:cs="Book Antiqua"/>
          <w:i/>
          <w:iCs/>
          <w:color w:val="000000"/>
        </w:rPr>
        <w:t>Stem Cell Res Ther</w:t>
      </w:r>
      <w:r w:rsidRPr="00CB4850">
        <w:rPr>
          <w:rFonts w:ascii="Book Antiqua" w:eastAsia="Book Antiqua" w:hAnsi="Book Antiqua" w:cs="Book Antiqua"/>
          <w:color w:val="000000"/>
        </w:rPr>
        <w:t xml:space="preserve"> 2020; </w:t>
      </w:r>
      <w:r w:rsidRPr="00CB4850">
        <w:rPr>
          <w:rFonts w:ascii="Book Antiqua" w:eastAsia="Book Antiqua" w:hAnsi="Book Antiqua" w:cs="Book Antiqua"/>
          <w:b/>
          <w:bCs/>
          <w:color w:val="000000"/>
        </w:rPr>
        <w:t>11</w:t>
      </w:r>
      <w:r w:rsidRPr="00CB4850">
        <w:rPr>
          <w:rFonts w:ascii="Book Antiqua" w:eastAsia="Book Antiqua" w:hAnsi="Book Antiqua" w:cs="Book Antiqua"/>
          <w:color w:val="000000"/>
        </w:rPr>
        <w:t>: 312 [PMID: 32698868 DOI: 10.1186/s13287-020-01831-3]</w:t>
      </w:r>
    </w:p>
    <w:p w14:paraId="787ADE4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 xml:space="preserve">22 </w:t>
      </w:r>
      <w:r w:rsidRPr="00CB4850">
        <w:rPr>
          <w:rFonts w:ascii="Book Antiqua" w:eastAsia="Book Antiqua" w:hAnsi="Book Antiqua" w:cs="Book Antiqua"/>
          <w:b/>
          <w:bCs/>
          <w:color w:val="000000"/>
        </w:rPr>
        <w:t>Goldring MB</w:t>
      </w:r>
      <w:r w:rsidRPr="00CB4850">
        <w:rPr>
          <w:rFonts w:ascii="Book Antiqua" w:eastAsia="Book Antiqua" w:hAnsi="Book Antiqua" w:cs="Book Antiqua"/>
          <w:color w:val="000000"/>
        </w:rPr>
        <w:t xml:space="preserve">, Goldring SR. Articular cartilage and subchondral bone in the pathogenesis of osteoarthritis. </w:t>
      </w:r>
      <w:r w:rsidRPr="00CB4850">
        <w:rPr>
          <w:rFonts w:ascii="Book Antiqua" w:eastAsia="Book Antiqua" w:hAnsi="Book Antiqua" w:cs="Book Antiqua"/>
          <w:i/>
          <w:iCs/>
          <w:color w:val="000000"/>
        </w:rPr>
        <w:t>Ann N Y Acad Sci</w:t>
      </w:r>
      <w:r w:rsidRPr="00CB4850">
        <w:rPr>
          <w:rFonts w:ascii="Book Antiqua" w:eastAsia="Book Antiqua" w:hAnsi="Book Antiqua" w:cs="Book Antiqua"/>
          <w:color w:val="000000"/>
        </w:rPr>
        <w:t xml:space="preserve"> 2010; </w:t>
      </w:r>
      <w:r w:rsidRPr="00CB4850">
        <w:rPr>
          <w:rFonts w:ascii="Book Antiqua" w:eastAsia="Book Antiqua" w:hAnsi="Book Antiqua" w:cs="Book Antiqua"/>
          <w:b/>
          <w:bCs/>
          <w:color w:val="000000"/>
        </w:rPr>
        <w:t>1192</w:t>
      </w:r>
      <w:r w:rsidRPr="00CB4850">
        <w:rPr>
          <w:rFonts w:ascii="Book Antiqua" w:eastAsia="Book Antiqua" w:hAnsi="Book Antiqua" w:cs="Book Antiqua"/>
          <w:color w:val="000000"/>
        </w:rPr>
        <w:t>: 230-237 [PMID: 20392241 DOI: 10.1111/j.1749-6632.2009.05240.x]</w:t>
      </w:r>
    </w:p>
    <w:p w14:paraId="1CAEB55F" w14:textId="77777777" w:rsidR="00A77B3E" w:rsidRPr="00CB4850" w:rsidRDefault="00A77B3E" w:rsidP="00CB4850">
      <w:pPr>
        <w:snapToGrid w:val="0"/>
        <w:spacing w:line="360" w:lineRule="auto"/>
        <w:jc w:val="both"/>
        <w:rPr>
          <w:rFonts w:ascii="Book Antiqua" w:hAnsi="Book Antiqua"/>
        </w:rPr>
        <w:sectPr w:rsidR="00A77B3E" w:rsidRPr="00CB4850" w:rsidSect="00B37B93">
          <w:pgSz w:w="12240" w:h="15840"/>
          <w:pgMar w:top="1440" w:right="1800" w:bottom="1440" w:left="1800" w:header="720" w:footer="720" w:gutter="0"/>
          <w:cols w:space="720"/>
          <w:docGrid w:linePitch="360"/>
        </w:sectPr>
      </w:pPr>
    </w:p>
    <w:p w14:paraId="7570B3F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Footnotes</w:t>
      </w:r>
    </w:p>
    <w:p w14:paraId="7FB5A668" w14:textId="104669D9"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Informed consent statement: </w:t>
      </w:r>
      <w:r w:rsidRPr="00CB4850">
        <w:rPr>
          <w:rFonts w:ascii="Book Antiqua" w:eastAsia="Book Antiqua" w:hAnsi="Book Antiqua" w:cs="Book Antiqua"/>
          <w:color w:val="000000"/>
        </w:rPr>
        <w:t>The patient provided informed written consent prior to study enrollment.</w:t>
      </w:r>
    </w:p>
    <w:p w14:paraId="76BDD84B" w14:textId="77777777" w:rsidR="00A77B3E" w:rsidRPr="00CB4850" w:rsidRDefault="00A77B3E" w:rsidP="00CB4850">
      <w:pPr>
        <w:snapToGrid w:val="0"/>
        <w:spacing w:line="360" w:lineRule="auto"/>
        <w:jc w:val="both"/>
        <w:rPr>
          <w:rFonts w:ascii="Book Antiqua" w:hAnsi="Book Antiqua"/>
        </w:rPr>
      </w:pPr>
    </w:p>
    <w:p w14:paraId="6C1FA077" w14:textId="6D4BADCF"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Conflict-of-interest statement: </w:t>
      </w:r>
      <w:r w:rsidRPr="00CB4850">
        <w:rPr>
          <w:rFonts w:ascii="Book Antiqua" w:eastAsia="Book Antiqua" w:hAnsi="Book Antiqua" w:cs="Book Antiqua"/>
          <w:color w:val="000000"/>
        </w:rPr>
        <w:t>The authors declare that they have no conflict of interest</w:t>
      </w:r>
      <w:r w:rsidR="00C43938">
        <w:rPr>
          <w:rFonts w:ascii="Book Antiqua" w:eastAsia="Book Antiqua" w:hAnsi="Book Antiqua" w:cs="Book Antiqua"/>
          <w:color w:val="000000"/>
        </w:rPr>
        <w:t xml:space="preserve"> to disclose</w:t>
      </w:r>
      <w:r w:rsidRPr="00CB4850">
        <w:rPr>
          <w:rFonts w:ascii="Book Antiqua" w:eastAsia="Book Antiqua" w:hAnsi="Book Antiqua" w:cs="Book Antiqua"/>
          <w:color w:val="000000"/>
        </w:rPr>
        <w:t>.</w:t>
      </w:r>
    </w:p>
    <w:p w14:paraId="145BF2BD" w14:textId="77777777" w:rsidR="00A77B3E" w:rsidRPr="00CB4850" w:rsidRDefault="00A77B3E" w:rsidP="00CB4850">
      <w:pPr>
        <w:snapToGrid w:val="0"/>
        <w:spacing w:line="360" w:lineRule="auto"/>
        <w:jc w:val="both"/>
        <w:rPr>
          <w:rFonts w:ascii="Book Antiqua" w:hAnsi="Book Antiqua"/>
        </w:rPr>
      </w:pPr>
    </w:p>
    <w:p w14:paraId="267BF9BB"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CARE Checklist (2016) statement: </w:t>
      </w:r>
      <w:r w:rsidRPr="00CB4850">
        <w:rPr>
          <w:rFonts w:ascii="Book Antiqua" w:eastAsia="Book Antiqua" w:hAnsi="Book Antiqua" w:cs="Book Antiqua"/>
          <w:color w:val="000000"/>
        </w:rPr>
        <w:t>The authors have read the CARE Checklist (2016), and the manuscript was prepared and revised according to the CARE Checklist (2016).</w:t>
      </w:r>
    </w:p>
    <w:p w14:paraId="7D282FD4" w14:textId="77777777" w:rsidR="00A77B3E" w:rsidRPr="00CB4850" w:rsidRDefault="00A77B3E" w:rsidP="00CB4850">
      <w:pPr>
        <w:snapToGrid w:val="0"/>
        <w:spacing w:line="360" w:lineRule="auto"/>
        <w:jc w:val="both"/>
        <w:rPr>
          <w:rFonts w:ascii="Book Antiqua" w:hAnsi="Book Antiqua"/>
        </w:rPr>
      </w:pPr>
    </w:p>
    <w:p w14:paraId="09BFE15D"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Open-Access: </w:t>
      </w:r>
      <w:bookmarkStart w:id="20" w:name="OLE_LINK31"/>
      <w:bookmarkStart w:id="21" w:name="OLE_LINK32"/>
      <w:r w:rsidRPr="00CB485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p w14:paraId="21355E51" w14:textId="77777777" w:rsidR="00A77B3E" w:rsidRPr="00CB4850" w:rsidRDefault="00A77B3E" w:rsidP="00CB4850">
      <w:pPr>
        <w:snapToGrid w:val="0"/>
        <w:spacing w:line="360" w:lineRule="auto"/>
        <w:jc w:val="both"/>
        <w:rPr>
          <w:rFonts w:ascii="Book Antiqua" w:hAnsi="Book Antiqua"/>
        </w:rPr>
      </w:pPr>
    </w:p>
    <w:p w14:paraId="176FFF61" w14:textId="5CFDA9FE"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Manuscript source: </w:t>
      </w:r>
      <w:r w:rsidRPr="00CB4850">
        <w:rPr>
          <w:rFonts w:ascii="Book Antiqua" w:eastAsia="Book Antiqua" w:hAnsi="Book Antiqua" w:cs="Book Antiqua"/>
          <w:color w:val="000000"/>
        </w:rPr>
        <w:t xml:space="preserve">Unsolicited </w:t>
      </w:r>
      <w:r w:rsidR="00CA0FFC" w:rsidRPr="00CB4850">
        <w:rPr>
          <w:rFonts w:ascii="Book Antiqua" w:eastAsia="Book Antiqua" w:hAnsi="Book Antiqua" w:cs="Book Antiqua"/>
          <w:color w:val="000000"/>
        </w:rPr>
        <w:t>manuscript</w:t>
      </w:r>
    </w:p>
    <w:p w14:paraId="3EA4D753" w14:textId="77777777" w:rsidR="00A77B3E" w:rsidRPr="00CB4850" w:rsidRDefault="00A77B3E" w:rsidP="00CB4850">
      <w:pPr>
        <w:snapToGrid w:val="0"/>
        <w:spacing w:line="360" w:lineRule="auto"/>
        <w:jc w:val="both"/>
        <w:rPr>
          <w:rFonts w:ascii="Book Antiqua" w:hAnsi="Book Antiqua"/>
        </w:rPr>
      </w:pPr>
    </w:p>
    <w:p w14:paraId="54E54FA3"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Peer-review started: </w:t>
      </w:r>
      <w:r w:rsidRPr="00CB4850">
        <w:rPr>
          <w:rFonts w:ascii="Book Antiqua" w:eastAsia="Book Antiqua" w:hAnsi="Book Antiqua" w:cs="Book Antiqua"/>
          <w:color w:val="000000"/>
        </w:rPr>
        <w:t>January 5, 2021</w:t>
      </w:r>
    </w:p>
    <w:p w14:paraId="7C2CFACD"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First decision: </w:t>
      </w:r>
      <w:r w:rsidRPr="00CB4850">
        <w:rPr>
          <w:rFonts w:ascii="Book Antiqua" w:eastAsia="Book Antiqua" w:hAnsi="Book Antiqua" w:cs="Book Antiqua"/>
          <w:color w:val="000000"/>
        </w:rPr>
        <w:t>January 17, 2021</w:t>
      </w:r>
    </w:p>
    <w:p w14:paraId="649E7B76" w14:textId="30E64839"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Article in press: </w:t>
      </w:r>
      <w:r w:rsidR="00823C6B" w:rsidRPr="00240D37">
        <w:rPr>
          <w:rFonts w:ascii="Book Antiqua" w:eastAsia="Book Antiqua" w:hAnsi="Book Antiqua" w:cs="Book Antiqua"/>
          <w:color w:val="000000"/>
        </w:rPr>
        <w:t>March 3, 2021</w:t>
      </w:r>
    </w:p>
    <w:p w14:paraId="2EF35AC6" w14:textId="77777777" w:rsidR="00A77B3E" w:rsidRPr="00CB4850" w:rsidRDefault="00A77B3E" w:rsidP="00CB4850">
      <w:pPr>
        <w:snapToGrid w:val="0"/>
        <w:spacing w:line="360" w:lineRule="auto"/>
        <w:jc w:val="both"/>
        <w:rPr>
          <w:rFonts w:ascii="Book Antiqua" w:hAnsi="Book Antiqua"/>
        </w:rPr>
      </w:pPr>
    </w:p>
    <w:p w14:paraId="48EE2FE7" w14:textId="0920A771"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Specialty type: </w:t>
      </w:r>
      <w:r w:rsidR="004146EE" w:rsidRPr="00CB4850">
        <w:rPr>
          <w:rFonts w:ascii="Book Antiqua" w:eastAsia="Book Antiqua" w:hAnsi="Book Antiqua" w:cs="Book Antiqua"/>
          <w:color w:val="000000"/>
        </w:rPr>
        <w:t>Medicine, research and experimental</w:t>
      </w:r>
    </w:p>
    <w:p w14:paraId="74B07FD1"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 xml:space="preserve">Country/Territory of origin: </w:t>
      </w:r>
      <w:r w:rsidRPr="00CB4850">
        <w:rPr>
          <w:rFonts w:ascii="Book Antiqua" w:eastAsia="Book Antiqua" w:hAnsi="Book Antiqua" w:cs="Book Antiqua"/>
          <w:color w:val="000000"/>
        </w:rPr>
        <w:t>China</w:t>
      </w:r>
    </w:p>
    <w:p w14:paraId="3224590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color w:val="000000"/>
        </w:rPr>
        <w:t>Peer-review report’s scientific quality classification</w:t>
      </w:r>
    </w:p>
    <w:p w14:paraId="37785528"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Grade A (Excellent): 0</w:t>
      </w:r>
    </w:p>
    <w:p w14:paraId="1E67C3CA"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Grade B (Very good): B</w:t>
      </w:r>
    </w:p>
    <w:p w14:paraId="0DCED136"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Grade C (Good): C</w:t>
      </w:r>
    </w:p>
    <w:p w14:paraId="523CBA44"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Grade D (Fair): 0</w:t>
      </w:r>
    </w:p>
    <w:p w14:paraId="7EC29EA3" w14:textId="77777777"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color w:val="000000"/>
        </w:rPr>
        <w:t>Grade E (Poor): 0</w:t>
      </w:r>
    </w:p>
    <w:p w14:paraId="0B4CCE8D" w14:textId="77777777" w:rsidR="00A77B3E" w:rsidRPr="00CB4850" w:rsidRDefault="00A77B3E" w:rsidP="00CB4850">
      <w:pPr>
        <w:snapToGrid w:val="0"/>
        <w:spacing w:line="360" w:lineRule="auto"/>
        <w:jc w:val="both"/>
        <w:rPr>
          <w:rFonts w:ascii="Book Antiqua" w:hAnsi="Book Antiqua"/>
        </w:rPr>
      </w:pPr>
    </w:p>
    <w:p w14:paraId="1C9CAA1A" w14:textId="043EC6F1" w:rsidR="00A77B3E" w:rsidRPr="008304F9" w:rsidRDefault="00A84E93" w:rsidP="00CB4850">
      <w:pPr>
        <w:snapToGrid w:val="0"/>
        <w:spacing w:line="360" w:lineRule="auto"/>
        <w:jc w:val="both"/>
        <w:rPr>
          <w:rFonts w:ascii="Book Antiqua" w:hAnsi="Book Antiqua" w:cs="Book Antiqua"/>
          <w:b/>
          <w:color w:val="000000"/>
          <w:lang w:eastAsia="zh-CN"/>
        </w:rPr>
      </w:pPr>
      <w:r w:rsidRPr="00CB4850">
        <w:rPr>
          <w:rFonts w:ascii="Book Antiqua" w:eastAsia="Book Antiqua" w:hAnsi="Book Antiqua" w:cs="Book Antiqua"/>
          <w:b/>
          <w:color w:val="000000"/>
        </w:rPr>
        <w:t xml:space="preserve">P-Reviewer: </w:t>
      </w:r>
      <w:r w:rsidRPr="00CB4850">
        <w:rPr>
          <w:rFonts w:ascii="Book Antiqua" w:eastAsia="Book Antiqua" w:hAnsi="Book Antiqua" w:cs="Book Antiqua"/>
          <w:color w:val="000000"/>
        </w:rPr>
        <w:t>Vynios D</w:t>
      </w:r>
      <w:r w:rsidRPr="00CB4850">
        <w:rPr>
          <w:rFonts w:ascii="Book Antiqua" w:eastAsia="Book Antiqua" w:hAnsi="Book Antiqua" w:cs="Book Antiqua"/>
          <w:b/>
          <w:color w:val="000000"/>
        </w:rPr>
        <w:t xml:space="preserve"> S-Editor: </w:t>
      </w:r>
      <w:r w:rsidRPr="00CB4850">
        <w:rPr>
          <w:rFonts w:ascii="Book Antiqua" w:eastAsia="Book Antiqua" w:hAnsi="Book Antiqua" w:cs="Book Antiqua"/>
          <w:color w:val="000000"/>
        </w:rPr>
        <w:t>Zhang L</w:t>
      </w:r>
      <w:r w:rsidRPr="00CB4850">
        <w:rPr>
          <w:rFonts w:ascii="Book Antiqua" w:eastAsia="Book Antiqua" w:hAnsi="Book Antiqua" w:cs="Book Antiqua"/>
          <w:b/>
          <w:color w:val="000000"/>
        </w:rPr>
        <w:t xml:space="preserve"> L-Editor: </w:t>
      </w:r>
      <w:r w:rsidR="00C43938" w:rsidRPr="004E62BA">
        <w:rPr>
          <w:rFonts w:ascii="Book Antiqua" w:eastAsia="Book Antiqua" w:hAnsi="Book Antiqua" w:cs="Book Antiqua"/>
          <w:color w:val="000000"/>
        </w:rPr>
        <w:t>Wang TQ</w:t>
      </w:r>
      <w:r w:rsidRPr="00CB4850">
        <w:rPr>
          <w:rFonts w:ascii="Book Antiqua" w:eastAsia="Book Antiqua" w:hAnsi="Book Antiqua" w:cs="Book Antiqua"/>
          <w:b/>
          <w:color w:val="000000"/>
        </w:rPr>
        <w:t xml:space="preserve"> P-Editor: </w:t>
      </w:r>
      <w:r w:rsidR="008304F9" w:rsidRPr="008304F9">
        <w:rPr>
          <w:rFonts w:ascii="Book Antiqua" w:hAnsi="Book Antiqua" w:cs="Book Antiqua" w:hint="eastAsia"/>
          <w:color w:val="000000"/>
          <w:lang w:eastAsia="zh-CN"/>
        </w:rPr>
        <w:t>Liu JH</w:t>
      </w:r>
    </w:p>
    <w:p w14:paraId="3EC50FCC" w14:textId="77777777" w:rsidR="004146EE" w:rsidRPr="00CB4850" w:rsidRDefault="004146EE" w:rsidP="00CB4850">
      <w:pPr>
        <w:snapToGrid w:val="0"/>
        <w:spacing w:line="360" w:lineRule="auto"/>
        <w:jc w:val="both"/>
        <w:rPr>
          <w:rFonts w:ascii="Book Antiqua" w:hAnsi="Book Antiqua"/>
        </w:rPr>
        <w:sectPr w:rsidR="004146EE" w:rsidRPr="00CB4850" w:rsidSect="00B37B93">
          <w:pgSz w:w="12240" w:h="15840"/>
          <w:pgMar w:top="1440" w:right="1800" w:bottom="1440" w:left="1800" w:header="720" w:footer="720" w:gutter="0"/>
          <w:cols w:space="720"/>
          <w:docGrid w:linePitch="360"/>
        </w:sectPr>
      </w:pPr>
    </w:p>
    <w:p w14:paraId="413667BC" w14:textId="0F7338DC" w:rsidR="00A77B3E" w:rsidRPr="00CB4850" w:rsidRDefault="00A84E93" w:rsidP="00CB4850">
      <w:pPr>
        <w:snapToGrid w:val="0"/>
        <w:spacing w:line="360" w:lineRule="auto"/>
        <w:jc w:val="both"/>
        <w:rPr>
          <w:rFonts w:ascii="Book Antiqua" w:eastAsia="Book Antiqua" w:hAnsi="Book Antiqua" w:cs="Book Antiqua"/>
          <w:b/>
          <w:color w:val="000000"/>
        </w:rPr>
      </w:pPr>
      <w:r w:rsidRPr="00CB4850">
        <w:rPr>
          <w:rFonts w:ascii="Book Antiqua" w:eastAsia="Book Antiqua" w:hAnsi="Book Antiqua" w:cs="Book Antiqua"/>
          <w:b/>
          <w:color w:val="000000"/>
        </w:rPr>
        <w:t>Figure Legends</w:t>
      </w:r>
    </w:p>
    <w:p w14:paraId="52590E56" w14:textId="54A50687" w:rsidR="00CA0FFC" w:rsidRPr="00CB4850" w:rsidRDefault="00CA0FFC" w:rsidP="00CB4850">
      <w:pPr>
        <w:snapToGrid w:val="0"/>
        <w:spacing w:line="360" w:lineRule="auto"/>
        <w:jc w:val="both"/>
        <w:rPr>
          <w:rFonts w:ascii="Book Antiqua" w:hAnsi="Book Antiqua"/>
        </w:rPr>
      </w:pPr>
      <w:r w:rsidRPr="00CB4850">
        <w:rPr>
          <w:rFonts w:ascii="Book Antiqua" w:hAnsi="Book Antiqua"/>
          <w:noProof/>
          <w:lang w:eastAsia="zh-CN"/>
        </w:rPr>
        <w:drawing>
          <wp:inline distT="0" distB="0" distL="0" distR="0" wp14:anchorId="59F859CF" wp14:editId="7F7294F7">
            <wp:extent cx="5597897" cy="17068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8863" cy="1707175"/>
                    </a:xfrm>
                    <a:prstGeom prst="rect">
                      <a:avLst/>
                    </a:prstGeom>
                  </pic:spPr>
                </pic:pic>
              </a:graphicData>
            </a:graphic>
          </wp:inline>
        </w:drawing>
      </w:r>
    </w:p>
    <w:p w14:paraId="5F366B4A" w14:textId="67A91619" w:rsidR="00A77B3E" w:rsidRPr="00CB4850" w:rsidRDefault="00A84E93" w:rsidP="00CB4850">
      <w:pPr>
        <w:snapToGrid w:val="0"/>
        <w:spacing w:line="360" w:lineRule="auto"/>
        <w:jc w:val="both"/>
        <w:rPr>
          <w:rFonts w:ascii="Book Antiqua" w:hAnsi="Book Antiqua"/>
        </w:rPr>
      </w:pPr>
      <w:bookmarkStart w:id="22" w:name="OLE_LINK19"/>
      <w:bookmarkStart w:id="23" w:name="OLE_LINK20"/>
      <w:r w:rsidRPr="00CB4850">
        <w:rPr>
          <w:rFonts w:ascii="Book Antiqua" w:eastAsia="Book Antiqua" w:hAnsi="Book Antiqua" w:cs="Book Antiqua"/>
          <w:b/>
          <w:bCs/>
          <w:color w:val="000000"/>
        </w:rPr>
        <w:t xml:space="preserve">Figure 1 Sequential coronal and sagittal T2-weighted </w:t>
      </w:r>
      <w:r w:rsidR="00CA0FFC" w:rsidRPr="00CB4850">
        <w:rPr>
          <w:rFonts w:ascii="Book Antiqua" w:eastAsia="Book Antiqua" w:hAnsi="Book Antiqua" w:cs="Book Antiqua"/>
          <w:b/>
          <w:bCs/>
          <w:color w:val="000000"/>
        </w:rPr>
        <w:t>magnetic resonance imaging</w:t>
      </w:r>
      <w:r w:rsidRPr="00CB4850">
        <w:rPr>
          <w:rFonts w:ascii="Book Antiqua" w:eastAsia="Book Antiqua" w:hAnsi="Book Antiqua" w:cs="Book Antiqua"/>
          <w:b/>
          <w:bCs/>
          <w:color w:val="000000"/>
        </w:rPr>
        <w:t xml:space="preserve"> images at baseline and 4 mo.</w:t>
      </w:r>
      <w:r w:rsidRPr="00CB4850">
        <w:rPr>
          <w:rFonts w:ascii="Book Antiqua" w:eastAsia="Book Antiqua" w:hAnsi="Book Antiqua" w:cs="Book Antiqua"/>
          <w:color w:val="000000"/>
        </w:rPr>
        <w:t xml:space="preserve"> The focal subchondral bone and cartilage defect (blue circle) improved progressively over time, and the whole-organ magnetic resonance imaging score improved from 25 at baseline to 14 at 4 mo. Initial integration </w:t>
      </w:r>
      <w:r w:rsidR="00C43938">
        <w:rPr>
          <w:rFonts w:ascii="Book Antiqua" w:eastAsia="Book Antiqua" w:hAnsi="Book Antiqua" w:cs="Book Antiqua"/>
          <w:color w:val="000000"/>
        </w:rPr>
        <w:t>was</w:t>
      </w:r>
      <w:r w:rsidR="00C43938" w:rsidRPr="00CB4850">
        <w:rPr>
          <w:rFonts w:ascii="Book Antiqua" w:eastAsia="Book Antiqua" w:hAnsi="Book Antiqua" w:cs="Book Antiqua"/>
          <w:color w:val="000000"/>
        </w:rPr>
        <w:t xml:space="preserve"> </w:t>
      </w:r>
      <w:r w:rsidRPr="00CB4850">
        <w:rPr>
          <w:rFonts w:ascii="Book Antiqua" w:eastAsia="Book Antiqua" w:hAnsi="Book Antiqua" w:cs="Book Antiqua"/>
          <w:color w:val="000000"/>
        </w:rPr>
        <w:t>observed between regenerative and native subchondral bone and cartilage. The loose body still exists.</w:t>
      </w:r>
    </w:p>
    <w:bookmarkEnd w:id="22"/>
    <w:bookmarkEnd w:id="23"/>
    <w:p w14:paraId="37EB31DA" w14:textId="5B27D19A" w:rsidR="00CA0FFC" w:rsidRPr="00CB4850" w:rsidRDefault="00CA0FFC" w:rsidP="00CB4850">
      <w:pPr>
        <w:snapToGrid w:val="0"/>
        <w:spacing w:line="360" w:lineRule="auto"/>
        <w:jc w:val="both"/>
        <w:rPr>
          <w:rFonts w:ascii="Book Antiqua" w:eastAsia="Book Antiqua" w:hAnsi="Book Antiqua" w:cs="Book Antiqua"/>
          <w:b/>
          <w:bCs/>
          <w:color w:val="000000"/>
        </w:rPr>
      </w:pPr>
      <w:r w:rsidRPr="00CB4850">
        <w:rPr>
          <w:rFonts w:ascii="Book Antiqua" w:eastAsia="Book Antiqua" w:hAnsi="Book Antiqua" w:cs="Book Antiqua"/>
          <w:b/>
          <w:bCs/>
          <w:color w:val="000000"/>
        </w:rPr>
        <w:br w:type="page"/>
      </w:r>
      <w:r w:rsidRPr="00CB4850">
        <w:rPr>
          <w:rFonts w:ascii="Book Antiqua" w:eastAsia="Book Antiqua" w:hAnsi="Book Antiqua" w:cs="Book Antiqua"/>
          <w:b/>
          <w:bCs/>
          <w:noProof/>
          <w:color w:val="000000"/>
          <w:lang w:eastAsia="zh-CN"/>
        </w:rPr>
        <w:drawing>
          <wp:inline distT="0" distB="0" distL="0" distR="0" wp14:anchorId="21A0DF95" wp14:editId="2876E24A">
            <wp:extent cx="5475002" cy="34031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477988" cy="3405014"/>
                    </a:xfrm>
                    <a:prstGeom prst="rect">
                      <a:avLst/>
                    </a:prstGeom>
                  </pic:spPr>
                </pic:pic>
              </a:graphicData>
            </a:graphic>
          </wp:inline>
        </w:drawing>
      </w:r>
    </w:p>
    <w:p w14:paraId="45BEE779" w14:textId="0D84E258" w:rsidR="00A77B3E" w:rsidRPr="00CB4850" w:rsidRDefault="00CA0FFC" w:rsidP="00CB4850">
      <w:pPr>
        <w:snapToGrid w:val="0"/>
        <w:spacing w:line="360" w:lineRule="auto"/>
        <w:jc w:val="both"/>
        <w:rPr>
          <w:rFonts w:ascii="Book Antiqua" w:eastAsia="Book Antiqua" w:hAnsi="Book Antiqua" w:cs="Book Antiqua"/>
          <w:b/>
          <w:bCs/>
          <w:color w:val="000000"/>
        </w:rPr>
      </w:pPr>
      <w:r w:rsidRPr="00CB4850">
        <w:rPr>
          <w:rFonts w:ascii="Book Antiqua" w:eastAsia="Book Antiqua" w:hAnsi="Book Antiqua" w:cs="Book Antiqua"/>
          <w:b/>
          <w:bCs/>
          <w:color w:val="000000"/>
        </w:rPr>
        <w:t xml:space="preserve">Figure 2 </w:t>
      </w:r>
      <w:r w:rsidR="004146EE" w:rsidRPr="00CB4850">
        <w:rPr>
          <w:rFonts w:ascii="Book Antiqua" w:eastAsia="Book Antiqua" w:hAnsi="Book Antiqua" w:cs="Book Antiqua"/>
          <w:b/>
          <w:color w:val="000000"/>
        </w:rPr>
        <w:t xml:space="preserve">The operation </w:t>
      </w:r>
      <w:r w:rsidR="00C43938">
        <w:rPr>
          <w:rFonts w:ascii="Book Antiqua" w:eastAsia="Book Antiqua" w:hAnsi="Book Antiqua" w:cs="Book Antiqua"/>
          <w:b/>
          <w:color w:val="000000"/>
        </w:rPr>
        <w:t>i</w:t>
      </w:r>
      <w:r w:rsidR="00C43938" w:rsidRPr="00CB4850">
        <w:rPr>
          <w:rFonts w:ascii="Book Antiqua" w:eastAsia="Book Antiqua" w:hAnsi="Book Antiqua" w:cs="Book Antiqua"/>
          <w:b/>
          <w:color w:val="000000"/>
        </w:rPr>
        <w:t xml:space="preserve">s </w:t>
      </w:r>
      <w:r w:rsidR="004146EE" w:rsidRPr="00CB4850">
        <w:rPr>
          <w:rFonts w:ascii="Book Antiqua" w:eastAsia="Book Antiqua" w:hAnsi="Book Antiqua" w:cs="Book Antiqua"/>
          <w:b/>
          <w:color w:val="000000"/>
        </w:rPr>
        <w:t>illustrated.</w:t>
      </w:r>
      <w:r w:rsidR="004146EE" w:rsidRPr="00CB4850">
        <w:rPr>
          <w:rFonts w:ascii="Book Antiqua" w:hAnsi="Book Antiqua" w:cs="Book Antiqua"/>
          <w:b/>
          <w:bCs/>
          <w:color w:val="000000"/>
          <w:lang w:eastAsia="zh-CN"/>
        </w:rPr>
        <w:t xml:space="preserve"> </w:t>
      </w:r>
      <w:r w:rsidR="00A84E93" w:rsidRPr="00CB4850">
        <w:rPr>
          <w:rFonts w:ascii="Book Antiqua" w:eastAsia="Book Antiqua" w:hAnsi="Book Antiqua" w:cs="Book Antiqua"/>
          <w:color w:val="000000"/>
        </w:rPr>
        <w:t>A and B: Anteroposterior and lateral view radiography under a C-arm machine; C: Puncture with a bone marrow needle to the subchondral bone under C-arm fluoroscopy; D: Aspiration of peripheral blood stem cells with a syringe; E: Subchondral bone injection of peripheral blood stem cells through the bone marrow needle.</w:t>
      </w:r>
    </w:p>
    <w:p w14:paraId="7720D719" w14:textId="1911620D" w:rsidR="00CA0FFC" w:rsidRPr="00CB4850" w:rsidRDefault="00CA0FFC" w:rsidP="00CB4850">
      <w:pPr>
        <w:snapToGrid w:val="0"/>
        <w:spacing w:line="360" w:lineRule="auto"/>
        <w:jc w:val="both"/>
        <w:rPr>
          <w:rFonts w:ascii="Book Antiqua" w:eastAsia="Book Antiqua" w:hAnsi="Book Antiqua" w:cs="Book Antiqua"/>
          <w:b/>
          <w:bCs/>
          <w:color w:val="000000"/>
        </w:rPr>
      </w:pPr>
      <w:r w:rsidRPr="00CB4850">
        <w:rPr>
          <w:rFonts w:ascii="Book Antiqua" w:eastAsia="Book Antiqua" w:hAnsi="Book Antiqua" w:cs="Book Antiqua"/>
          <w:b/>
          <w:bCs/>
          <w:color w:val="000000"/>
        </w:rPr>
        <w:br w:type="page"/>
      </w:r>
      <w:r w:rsidRPr="00CB4850">
        <w:rPr>
          <w:rFonts w:ascii="Book Antiqua" w:eastAsia="Book Antiqua" w:hAnsi="Book Antiqua" w:cs="Book Antiqua"/>
          <w:b/>
          <w:bCs/>
          <w:noProof/>
          <w:color w:val="000000"/>
          <w:lang w:eastAsia="zh-CN"/>
        </w:rPr>
        <w:drawing>
          <wp:inline distT="0" distB="0" distL="0" distR="0" wp14:anchorId="4AEB47C4" wp14:editId="2490A68F">
            <wp:extent cx="4086079" cy="293403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6254" cy="2941337"/>
                    </a:xfrm>
                    <a:prstGeom prst="rect">
                      <a:avLst/>
                    </a:prstGeom>
                  </pic:spPr>
                </pic:pic>
              </a:graphicData>
            </a:graphic>
          </wp:inline>
        </w:drawing>
      </w:r>
    </w:p>
    <w:p w14:paraId="47C2F4E2" w14:textId="0A83A36A" w:rsidR="00A77B3E" w:rsidRPr="00CB4850" w:rsidRDefault="00A84E93" w:rsidP="00CB4850">
      <w:pPr>
        <w:snapToGrid w:val="0"/>
        <w:spacing w:line="360" w:lineRule="auto"/>
        <w:jc w:val="both"/>
        <w:rPr>
          <w:rFonts w:ascii="Book Antiqua" w:hAnsi="Book Antiqua"/>
        </w:rPr>
      </w:pPr>
      <w:r w:rsidRPr="00CB4850">
        <w:rPr>
          <w:rFonts w:ascii="Book Antiqua" w:eastAsia="Book Antiqua" w:hAnsi="Book Antiqua" w:cs="Book Antiqua"/>
          <w:b/>
          <w:bCs/>
          <w:color w:val="000000"/>
        </w:rPr>
        <w:t xml:space="preserve">Figure 3 </w:t>
      </w:r>
      <w:r w:rsidRPr="00CB4850">
        <w:rPr>
          <w:rFonts w:ascii="Book Antiqua" w:eastAsia="Book Antiqua" w:hAnsi="Book Antiqua" w:cs="Book Antiqua"/>
          <w:b/>
          <w:bCs/>
          <w:color w:val="000000"/>
          <w:shd w:val="clear" w:color="auto" w:fill="FFFFFF"/>
        </w:rPr>
        <w:t>Diagram of injection.</w:t>
      </w:r>
    </w:p>
    <w:p w14:paraId="1D395978" w14:textId="7836FCAD" w:rsidR="00A77B3E" w:rsidRPr="00CB4850" w:rsidRDefault="00CA0FFC" w:rsidP="00CB4850">
      <w:pPr>
        <w:snapToGrid w:val="0"/>
        <w:spacing w:line="360" w:lineRule="auto"/>
        <w:jc w:val="both"/>
        <w:rPr>
          <w:rFonts w:ascii="Book Antiqua" w:eastAsia="Book Antiqua" w:hAnsi="Book Antiqua" w:cs="Book Antiqua"/>
          <w:b/>
          <w:bCs/>
          <w:color w:val="000000"/>
        </w:rPr>
      </w:pPr>
      <w:r w:rsidRPr="00CB4850">
        <w:rPr>
          <w:rFonts w:ascii="Book Antiqua" w:eastAsia="Book Antiqua" w:hAnsi="Book Antiqua" w:cs="Book Antiqua"/>
          <w:b/>
          <w:bCs/>
          <w:color w:val="000000"/>
        </w:rPr>
        <w:br w:type="page"/>
      </w:r>
      <w:r w:rsidR="00A84E93" w:rsidRPr="00CB4850">
        <w:rPr>
          <w:rFonts w:ascii="Book Antiqua" w:eastAsia="Book Antiqua" w:hAnsi="Book Antiqua" w:cs="Book Antiqua"/>
          <w:b/>
          <w:bCs/>
          <w:color w:val="000000"/>
        </w:rPr>
        <w:t>Table 1 Whole</w:t>
      </w:r>
      <w:r w:rsidR="004E62BA">
        <w:rPr>
          <w:rFonts w:ascii="Book Antiqua" w:eastAsia="Book Antiqua" w:hAnsi="Book Antiqua" w:cs="Book Antiqua"/>
          <w:b/>
          <w:bCs/>
          <w:color w:val="000000"/>
        </w:rPr>
        <w:t>-</w:t>
      </w:r>
      <w:r w:rsidR="00A84E93" w:rsidRPr="00CB4850">
        <w:rPr>
          <w:rFonts w:ascii="Book Antiqua" w:eastAsia="Book Antiqua" w:hAnsi="Book Antiqua" w:cs="Book Antiqua"/>
          <w:b/>
          <w:bCs/>
          <w:color w:val="000000"/>
        </w:rPr>
        <w:t>organ magnetic resonance imaging score changes</w:t>
      </w:r>
    </w:p>
    <w:tbl>
      <w:tblPr>
        <w:tblStyle w:val="a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A0FFC" w:rsidRPr="00CB4850" w14:paraId="6C133C57" w14:textId="77777777" w:rsidTr="00047667">
        <w:tc>
          <w:tcPr>
            <w:tcW w:w="2765" w:type="dxa"/>
            <w:tcBorders>
              <w:top w:val="single" w:sz="12" w:space="0" w:color="auto"/>
              <w:bottom w:val="single" w:sz="12" w:space="0" w:color="auto"/>
            </w:tcBorders>
          </w:tcPr>
          <w:p w14:paraId="74E11EDA" w14:textId="77777777" w:rsidR="00CA0FFC" w:rsidRPr="00CB4850" w:rsidRDefault="00CA0FFC" w:rsidP="00CB4850">
            <w:pPr>
              <w:adjustRightInd w:val="0"/>
              <w:snapToGrid w:val="0"/>
              <w:spacing w:line="360" w:lineRule="auto"/>
              <w:jc w:val="both"/>
              <w:rPr>
                <w:rFonts w:ascii="Book Antiqua" w:hAnsi="Book Antiqua" w:cs="Times New Roman"/>
              </w:rPr>
            </w:pPr>
          </w:p>
        </w:tc>
        <w:tc>
          <w:tcPr>
            <w:tcW w:w="2765" w:type="dxa"/>
            <w:tcBorders>
              <w:top w:val="single" w:sz="12" w:space="0" w:color="auto"/>
              <w:bottom w:val="single" w:sz="12" w:space="0" w:color="auto"/>
            </w:tcBorders>
          </w:tcPr>
          <w:p w14:paraId="7B699118" w14:textId="77777777" w:rsidR="00CA0FFC" w:rsidRPr="004E53AC" w:rsidRDefault="00CA0FFC" w:rsidP="00CB4850">
            <w:pPr>
              <w:adjustRightInd w:val="0"/>
              <w:snapToGrid w:val="0"/>
              <w:spacing w:line="360" w:lineRule="auto"/>
              <w:jc w:val="both"/>
              <w:rPr>
                <w:rFonts w:ascii="Book Antiqua" w:hAnsi="Book Antiqua" w:cs="Times New Roman"/>
                <w:b/>
              </w:rPr>
            </w:pPr>
            <w:r w:rsidRPr="004E53AC">
              <w:rPr>
                <w:rFonts w:ascii="Book Antiqua" w:hAnsi="Book Antiqua" w:cs="Times New Roman"/>
                <w:b/>
              </w:rPr>
              <w:t>Baseline</w:t>
            </w:r>
          </w:p>
        </w:tc>
        <w:tc>
          <w:tcPr>
            <w:tcW w:w="2766" w:type="dxa"/>
            <w:tcBorders>
              <w:top w:val="single" w:sz="12" w:space="0" w:color="auto"/>
              <w:bottom w:val="single" w:sz="12" w:space="0" w:color="auto"/>
            </w:tcBorders>
          </w:tcPr>
          <w:p w14:paraId="1BF04852" w14:textId="77777777" w:rsidR="00CA0FFC" w:rsidRPr="004E53AC" w:rsidRDefault="00CA0FFC" w:rsidP="00CB4850">
            <w:pPr>
              <w:adjustRightInd w:val="0"/>
              <w:snapToGrid w:val="0"/>
              <w:spacing w:line="360" w:lineRule="auto"/>
              <w:jc w:val="both"/>
              <w:rPr>
                <w:rFonts w:ascii="Book Antiqua" w:hAnsi="Book Antiqua" w:cs="Times New Roman"/>
                <w:b/>
              </w:rPr>
            </w:pPr>
            <w:r w:rsidRPr="004E53AC">
              <w:rPr>
                <w:rFonts w:ascii="Book Antiqua" w:hAnsi="Book Antiqua" w:cs="Times New Roman"/>
                <w:b/>
              </w:rPr>
              <w:t>4 mo</w:t>
            </w:r>
          </w:p>
        </w:tc>
      </w:tr>
      <w:tr w:rsidR="00CA0FFC" w:rsidRPr="00CB4850" w14:paraId="108408A6" w14:textId="77777777" w:rsidTr="00047667">
        <w:tc>
          <w:tcPr>
            <w:tcW w:w="2765" w:type="dxa"/>
            <w:tcBorders>
              <w:top w:val="single" w:sz="12" w:space="0" w:color="auto"/>
            </w:tcBorders>
          </w:tcPr>
          <w:p w14:paraId="38FECB8B"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Cartilage</w:t>
            </w:r>
          </w:p>
        </w:tc>
        <w:tc>
          <w:tcPr>
            <w:tcW w:w="2765" w:type="dxa"/>
            <w:tcBorders>
              <w:top w:val="single" w:sz="12" w:space="0" w:color="auto"/>
            </w:tcBorders>
          </w:tcPr>
          <w:p w14:paraId="21D369BE"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13</w:t>
            </w:r>
          </w:p>
        </w:tc>
        <w:tc>
          <w:tcPr>
            <w:tcW w:w="2766" w:type="dxa"/>
            <w:tcBorders>
              <w:top w:val="single" w:sz="12" w:space="0" w:color="auto"/>
            </w:tcBorders>
          </w:tcPr>
          <w:p w14:paraId="468C541F"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9</w:t>
            </w:r>
          </w:p>
        </w:tc>
      </w:tr>
      <w:tr w:rsidR="00CA0FFC" w:rsidRPr="00CB4850" w14:paraId="04188E62" w14:textId="77777777" w:rsidTr="00047667">
        <w:tc>
          <w:tcPr>
            <w:tcW w:w="2765" w:type="dxa"/>
          </w:tcPr>
          <w:p w14:paraId="344C848C"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Marrow abnormality</w:t>
            </w:r>
          </w:p>
        </w:tc>
        <w:tc>
          <w:tcPr>
            <w:tcW w:w="2765" w:type="dxa"/>
          </w:tcPr>
          <w:p w14:paraId="7685CA32"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4</w:t>
            </w:r>
          </w:p>
        </w:tc>
        <w:tc>
          <w:tcPr>
            <w:tcW w:w="2766" w:type="dxa"/>
          </w:tcPr>
          <w:p w14:paraId="05AACA1E"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1</w:t>
            </w:r>
          </w:p>
        </w:tc>
      </w:tr>
      <w:tr w:rsidR="00CA0FFC" w:rsidRPr="00CB4850" w14:paraId="05D4C38F" w14:textId="77777777" w:rsidTr="00047667">
        <w:tc>
          <w:tcPr>
            <w:tcW w:w="2765" w:type="dxa"/>
          </w:tcPr>
          <w:p w14:paraId="3D1B02E5"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Bone cysts</w:t>
            </w:r>
          </w:p>
        </w:tc>
        <w:tc>
          <w:tcPr>
            <w:tcW w:w="2765" w:type="dxa"/>
          </w:tcPr>
          <w:p w14:paraId="504AD4FF"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c>
          <w:tcPr>
            <w:tcW w:w="2766" w:type="dxa"/>
          </w:tcPr>
          <w:p w14:paraId="61DA1141"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r>
      <w:tr w:rsidR="00CA0FFC" w:rsidRPr="00CB4850" w14:paraId="570944F9" w14:textId="77777777" w:rsidTr="00047667">
        <w:tc>
          <w:tcPr>
            <w:tcW w:w="2765" w:type="dxa"/>
          </w:tcPr>
          <w:p w14:paraId="4E5EE95D"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Bone attrition</w:t>
            </w:r>
          </w:p>
        </w:tc>
        <w:tc>
          <w:tcPr>
            <w:tcW w:w="2765" w:type="dxa"/>
          </w:tcPr>
          <w:p w14:paraId="2A2B7944"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5</w:t>
            </w:r>
          </w:p>
        </w:tc>
        <w:tc>
          <w:tcPr>
            <w:tcW w:w="2766" w:type="dxa"/>
          </w:tcPr>
          <w:p w14:paraId="60D7EF6E"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3</w:t>
            </w:r>
          </w:p>
        </w:tc>
      </w:tr>
      <w:tr w:rsidR="00CA0FFC" w:rsidRPr="00CB4850" w14:paraId="52956BCD" w14:textId="77777777" w:rsidTr="00047667">
        <w:tc>
          <w:tcPr>
            <w:tcW w:w="2765" w:type="dxa"/>
          </w:tcPr>
          <w:p w14:paraId="19A7E185"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Osteophytes</w:t>
            </w:r>
          </w:p>
        </w:tc>
        <w:tc>
          <w:tcPr>
            <w:tcW w:w="2765" w:type="dxa"/>
          </w:tcPr>
          <w:p w14:paraId="588375B8"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c>
          <w:tcPr>
            <w:tcW w:w="2766" w:type="dxa"/>
          </w:tcPr>
          <w:p w14:paraId="4647FBD8"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r>
      <w:tr w:rsidR="00CA0FFC" w:rsidRPr="00CB4850" w14:paraId="2FF0E956" w14:textId="77777777" w:rsidTr="00047667">
        <w:tc>
          <w:tcPr>
            <w:tcW w:w="2765" w:type="dxa"/>
          </w:tcPr>
          <w:p w14:paraId="49558B9C"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Menisci</w:t>
            </w:r>
          </w:p>
        </w:tc>
        <w:tc>
          <w:tcPr>
            <w:tcW w:w="2765" w:type="dxa"/>
          </w:tcPr>
          <w:p w14:paraId="71D9CE57"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c>
          <w:tcPr>
            <w:tcW w:w="2766" w:type="dxa"/>
          </w:tcPr>
          <w:p w14:paraId="4BCDC44F"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r>
      <w:tr w:rsidR="00CA0FFC" w:rsidRPr="00CB4850" w14:paraId="1E6840FB" w14:textId="77777777" w:rsidTr="00047667">
        <w:tc>
          <w:tcPr>
            <w:tcW w:w="2765" w:type="dxa"/>
          </w:tcPr>
          <w:p w14:paraId="48344B87"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Ligaments</w:t>
            </w:r>
          </w:p>
        </w:tc>
        <w:tc>
          <w:tcPr>
            <w:tcW w:w="2765" w:type="dxa"/>
          </w:tcPr>
          <w:p w14:paraId="1942583B"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c>
          <w:tcPr>
            <w:tcW w:w="2766" w:type="dxa"/>
          </w:tcPr>
          <w:p w14:paraId="213F8F46"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0</w:t>
            </w:r>
          </w:p>
        </w:tc>
      </w:tr>
      <w:tr w:rsidR="00CA0FFC" w:rsidRPr="00CB4850" w14:paraId="16926247" w14:textId="77777777" w:rsidTr="00047667">
        <w:tc>
          <w:tcPr>
            <w:tcW w:w="2765" w:type="dxa"/>
          </w:tcPr>
          <w:p w14:paraId="20919AC7"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Synovitis</w:t>
            </w:r>
          </w:p>
        </w:tc>
        <w:tc>
          <w:tcPr>
            <w:tcW w:w="2765" w:type="dxa"/>
          </w:tcPr>
          <w:p w14:paraId="0CEB839C"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3</w:t>
            </w:r>
          </w:p>
        </w:tc>
        <w:tc>
          <w:tcPr>
            <w:tcW w:w="2766" w:type="dxa"/>
          </w:tcPr>
          <w:p w14:paraId="4224BDCE"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1</w:t>
            </w:r>
          </w:p>
        </w:tc>
      </w:tr>
      <w:tr w:rsidR="00CA0FFC" w:rsidRPr="00CB4850" w14:paraId="6C4962E3" w14:textId="77777777" w:rsidTr="00047667">
        <w:tc>
          <w:tcPr>
            <w:tcW w:w="2765" w:type="dxa"/>
          </w:tcPr>
          <w:p w14:paraId="08D0FA7D"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Total</w:t>
            </w:r>
          </w:p>
        </w:tc>
        <w:tc>
          <w:tcPr>
            <w:tcW w:w="2765" w:type="dxa"/>
          </w:tcPr>
          <w:p w14:paraId="542645D5"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25</w:t>
            </w:r>
          </w:p>
        </w:tc>
        <w:tc>
          <w:tcPr>
            <w:tcW w:w="2766" w:type="dxa"/>
          </w:tcPr>
          <w:p w14:paraId="5B51CD9A" w14:textId="77777777" w:rsidR="00CA0FFC" w:rsidRPr="00CB4850" w:rsidRDefault="00CA0FFC" w:rsidP="00CB4850">
            <w:pPr>
              <w:adjustRightInd w:val="0"/>
              <w:snapToGrid w:val="0"/>
              <w:spacing w:line="360" w:lineRule="auto"/>
              <w:jc w:val="both"/>
              <w:rPr>
                <w:rFonts w:ascii="Book Antiqua" w:hAnsi="Book Antiqua" w:cs="Times New Roman"/>
              </w:rPr>
            </w:pPr>
            <w:r w:rsidRPr="00CB4850">
              <w:rPr>
                <w:rFonts w:ascii="Book Antiqua" w:hAnsi="Book Antiqua" w:cs="Times New Roman"/>
              </w:rPr>
              <w:t>14</w:t>
            </w:r>
          </w:p>
        </w:tc>
      </w:tr>
    </w:tbl>
    <w:p w14:paraId="224E3DC6" w14:textId="56EE13D9" w:rsidR="00C6277C" w:rsidRDefault="00C6277C" w:rsidP="00CB4850">
      <w:pPr>
        <w:snapToGrid w:val="0"/>
        <w:spacing w:line="360" w:lineRule="auto"/>
        <w:jc w:val="both"/>
        <w:rPr>
          <w:rFonts w:ascii="Book Antiqua" w:hAnsi="Book Antiqua"/>
        </w:rPr>
      </w:pPr>
    </w:p>
    <w:p w14:paraId="067C4B85" w14:textId="77777777" w:rsidR="00C6277C" w:rsidRDefault="00C6277C">
      <w:pPr>
        <w:rPr>
          <w:rFonts w:ascii="Book Antiqua" w:hAnsi="Book Antiqua"/>
        </w:rPr>
      </w:pPr>
      <w:r>
        <w:rPr>
          <w:rFonts w:ascii="Book Antiqua" w:hAnsi="Book Antiqua"/>
        </w:rPr>
        <w:br w:type="page"/>
      </w:r>
    </w:p>
    <w:p w14:paraId="7676BBDD" w14:textId="77777777" w:rsidR="00C6277C" w:rsidRDefault="00C6277C" w:rsidP="00C6277C">
      <w:pPr>
        <w:jc w:val="center"/>
        <w:rPr>
          <w:rFonts w:ascii="Book Antiqua" w:hAnsi="Book Antiqua"/>
          <w:lang w:eastAsia="zh-CN"/>
        </w:rPr>
      </w:pPr>
    </w:p>
    <w:p w14:paraId="4411FFC7" w14:textId="77777777" w:rsidR="00C6277C" w:rsidRDefault="00C6277C" w:rsidP="00C6277C">
      <w:pPr>
        <w:jc w:val="center"/>
        <w:rPr>
          <w:rFonts w:ascii="Book Antiqua" w:hAnsi="Book Antiqua"/>
          <w:lang w:eastAsia="zh-CN"/>
        </w:rPr>
      </w:pPr>
    </w:p>
    <w:p w14:paraId="018E3DC1" w14:textId="77777777" w:rsidR="00C6277C" w:rsidRDefault="00C6277C" w:rsidP="00C6277C">
      <w:pPr>
        <w:jc w:val="center"/>
        <w:rPr>
          <w:rFonts w:ascii="Book Antiqua" w:hAnsi="Book Antiqua"/>
          <w:lang w:eastAsia="zh-CN"/>
        </w:rPr>
      </w:pPr>
    </w:p>
    <w:p w14:paraId="48E3BB07" w14:textId="77777777" w:rsidR="00C6277C" w:rsidRDefault="00C6277C" w:rsidP="00C6277C">
      <w:pPr>
        <w:jc w:val="center"/>
        <w:rPr>
          <w:rFonts w:ascii="Book Antiqua" w:hAnsi="Book Antiqua"/>
          <w:lang w:eastAsia="zh-CN"/>
        </w:rPr>
      </w:pPr>
    </w:p>
    <w:p w14:paraId="638AD1EF" w14:textId="77777777" w:rsidR="00C6277C" w:rsidRDefault="00C6277C" w:rsidP="00C6277C">
      <w:pPr>
        <w:jc w:val="center"/>
        <w:rPr>
          <w:rFonts w:ascii="Book Antiqua" w:hAnsi="Book Antiqua"/>
          <w:lang w:eastAsia="zh-CN"/>
        </w:rPr>
      </w:pPr>
    </w:p>
    <w:p w14:paraId="5FA4B3AF" w14:textId="77777777" w:rsidR="00C6277C" w:rsidRDefault="00C6277C" w:rsidP="00C6277C">
      <w:pPr>
        <w:jc w:val="center"/>
        <w:rPr>
          <w:rFonts w:ascii="Book Antiqua" w:hAnsi="Book Antiqua"/>
          <w:lang w:eastAsia="zh-CN"/>
        </w:rPr>
      </w:pPr>
      <w:r>
        <w:rPr>
          <w:rFonts w:ascii="Book Antiqua" w:hAnsi="Book Antiqua"/>
          <w:noProof/>
          <w:lang w:eastAsia="zh-CN"/>
        </w:rPr>
        <w:drawing>
          <wp:inline distT="0" distB="0" distL="0" distR="0" wp14:anchorId="446C160B" wp14:editId="01966C2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8E3610" w14:textId="77777777" w:rsidR="00C6277C" w:rsidRDefault="00C6277C" w:rsidP="00C6277C">
      <w:pPr>
        <w:jc w:val="center"/>
        <w:rPr>
          <w:rFonts w:ascii="Book Antiqua" w:hAnsi="Book Antiqua"/>
          <w:lang w:eastAsia="zh-CN"/>
        </w:rPr>
      </w:pPr>
    </w:p>
    <w:p w14:paraId="06BCD676" w14:textId="77777777" w:rsidR="00C6277C" w:rsidRPr="00763D22" w:rsidRDefault="00C6277C" w:rsidP="00C6277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57C2DC2" w14:textId="77777777" w:rsidR="00C6277C" w:rsidRPr="00763D22" w:rsidRDefault="00C6277C" w:rsidP="00C627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7F42A7D" w14:textId="77777777" w:rsidR="00C6277C" w:rsidRPr="00763D22" w:rsidRDefault="00C6277C" w:rsidP="00C627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0EF465" w14:textId="77777777" w:rsidR="00C6277C" w:rsidRPr="00763D22" w:rsidRDefault="00C6277C" w:rsidP="00C627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C2B19D" w14:textId="77777777" w:rsidR="00C6277C" w:rsidRPr="00763D22" w:rsidRDefault="00C6277C" w:rsidP="00C627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24B598" w14:textId="77777777" w:rsidR="00C6277C" w:rsidRPr="00763D22" w:rsidRDefault="00C6277C" w:rsidP="00C6277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C574EBA" w14:textId="77777777" w:rsidR="00C6277C" w:rsidRDefault="00C6277C" w:rsidP="00C6277C">
      <w:pPr>
        <w:jc w:val="center"/>
        <w:rPr>
          <w:rFonts w:ascii="Book Antiqua" w:hAnsi="Book Antiqua"/>
          <w:lang w:eastAsia="zh-CN"/>
        </w:rPr>
      </w:pPr>
    </w:p>
    <w:p w14:paraId="1C740C7D" w14:textId="77777777" w:rsidR="00C6277C" w:rsidRDefault="00C6277C" w:rsidP="00C6277C">
      <w:pPr>
        <w:jc w:val="center"/>
        <w:rPr>
          <w:rFonts w:ascii="Book Antiqua" w:hAnsi="Book Antiqua"/>
          <w:lang w:eastAsia="zh-CN"/>
        </w:rPr>
      </w:pPr>
    </w:p>
    <w:p w14:paraId="2B0FE5DD" w14:textId="77777777" w:rsidR="00C6277C" w:rsidRDefault="00C6277C" w:rsidP="00C6277C">
      <w:pPr>
        <w:jc w:val="center"/>
        <w:rPr>
          <w:rFonts w:ascii="Book Antiqua" w:hAnsi="Book Antiqua"/>
          <w:lang w:eastAsia="zh-CN"/>
        </w:rPr>
      </w:pPr>
    </w:p>
    <w:p w14:paraId="1BF20995" w14:textId="77777777" w:rsidR="00C6277C" w:rsidRDefault="00C6277C" w:rsidP="00C6277C">
      <w:pPr>
        <w:jc w:val="center"/>
        <w:rPr>
          <w:rFonts w:ascii="Book Antiqua" w:hAnsi="Book Antiqua"/>
          <w:lang w:eastAsia="zh-CN"/>
        </w:rPr>
      </w:pPr>
      <w:r>
        <w:rPr>
          <w:rFonts w:ascii="Book Antiqua" w:hAnsi="Book Antiqua"/>
          <w:noProof/>
          <w:lang w:eastAsia="zh-CN"/>
        </w:rPr>
        <w:drawing>
          <wp:inline distT="0" distB="0" distL="0" distR="0" wp14:anchorId="02BFEAF0" wp14:editId="17A4B9B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6658BF" w14:textId="77777777" w:rsidR="00C6277C" w:rsidRDefault="00C6277C" w:rsidP="00C6277C">
      <w:pPr>
        <w:jc w:val="center"/>
        <w:rPr>
          <w:rFonts w:ascii="Book Antiqua" w:hAnsi="Book Antiqua"/>
          <w:lang w:eastAsia="zh-CN"/>
        </w:rPr>
      </w:pPr>
    </w:p>
    <w:p w14:paraId="04675309" w14:textId="77777777" w:rsidR="00C6277C" w:rsidRDefault="00C6277C" w:rsidP="00C6277C">
      <w:pPr>
        <w:jc w:val="center"/>
        <w:rPr>
          <w:rFonts w:ascii="Book Antiqua" w:hAnsi="Book Antiqua"/>
          <w:lang w:eastAsia="zh-CN"/>
        </w:rPr>
      </w:pPr>
    </w:p>
    <w:p w14:paraId="0AE923DD" w14:textId="77777777" w:rsidR="00C6277C" w:rsidRDefault="00C6277C" w:rsidP="00C6277C">
      <w:pPr>
        <w:jc w:val="center"/>
        <w:rPr>
          <w:rFonts w:ascii="Book Antiqua" w:hAnsi="Book Antiqua"/>
          <w:lang w:eastAsia="zh-CN"/>
        </w:rPr>
      </w:pPr>
    </w:p>
    <w:p w14:paraId="2D11937A" w14:textId="77777777" w:rsidR="00C6277C" w:rsidRDefault="00C6277C" w:rsidP="00C6277C">
      <w:pPr>
        <w:jc w:val="center"/>
        <w:rPr>
          <w:rFonts w:ascii="Book Antiqua" w:hAnsi="Book Antiqua"/>
          <w:lang w:eastAsia="zh-CN"/>
        </w:rPr>
      </w:pPr>
    </w:p>
    <w:p w14:paraId="16538005" w14:textId="77777777" w:rsidR="00C6277C" w:rsidRDefault="00C6277C" w:rsidP="00C6277C">
      <w:pPr>
        <w:jc w:val="center"/>
        <w:rPr>
          <w:rFonts w:ascii="Book Antiqua" w:hAnsi="Book Antiqua"/>
          <w:lang w:eastAsia="zh-CN"/>
        </w:rPr>
      </w:pPr>
    </w:p>
    <w:p w14:paraId="1C630B59" w14:textId="77777777" w:rsidR="00C6277C" w:rsidRDefault="00C6277C" w:rsidP="00C6277C">
      <w:pPr>
        <w:jc w:val="center"/>
        <w:rPr>
          <w:rFonts w:ascii="Book Antiqua" w:hAnsi="Book Antiqua"/>
          <w:lang w:eastAsia="zh-CN"/>
        </w:rPr>
      </w:pPr>
    </w:p>
    <w:p w14:paraId="1EB70C68" w14:textId="77777777" w:rsidR="00C6277C" w:rsidRDefault="00C6277C" w:rsidP="00C6277C">
      <w:pPr>
        <w:jc w:val="center"/>
        <w:rPr>
          <w:rFonts w:ascii="Book Antiqua" w:hAnsi="Book Antiqua"/>
          <w:lang w:eastAsia="zh-CN"/>
        </w:rPr>
      </w:pPr>
    </w:p>
    <w:p w14:paraId="6F63B8A9" w14:textId="77777777" w:rsidR="00C6277C" w:rsidRDefault="00C6277C" w:rsidP="00C6277C">
      <w:pPr>
        <w:jc w:val="center"/>
        <w:rPr>
          <w:rFonts w:ascii="Book Antiqua" w:hAnsi="Book Antiqua"/>
          <w:lang w:eastAsia="zh-CN"/>
        </w:rPr>
      </w:pPr>
    </w:p>
    <w:p w14:paraId="5FB02527" w14:textId="77777777" w:rsidR="00C6277C" w:rsidRDefault="00C6277C" w:rsidP="00C6277C">
      <w:pPr>
        <w:jc w:val="center"/>
        <w:rPr>
          <w:rFonts w:ascii="Book Antiqua" w:hAnsi="Book Antiqua"/>
          <w:lang w:eastAsia="zh-CN"/>
        </w:rPr>
      </w:pPr>
    </w:p>
    <w:p w14:paraId="038E2974" w14:textId="77777777" w:rsidR="00C6277C" w:rsidRPr="00763D22" w:rsidRDefault="00C6277C" w:rsidP="00C6277C">
      <w:pPr>
        <w:jc w:val="right"/>
        <w:rPr>
          <w:rFonts w:ascii="Book Antiqua" w:hAnsi="Book Antiqua"/>
          <w:color w:val="000000" w:themeColor="text1"/>
          <w:lang w:eastAsia="zh-CN"/>
        </w:rPr>
      </w:pPr>
    </w:p>
    <w:p w14:paraId="7FD90A46" w14:textId="77777777" w:rsidR="00C6277C" w:rsidRPr="00763D22" w:rsidRDefault="00C6277C" w:rsidP="00C6277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BDB4B8B" w14:textId="77777777" w:rsidR="00CA0FFC" w:rsidRPr="00CB4850" w:rsidRDefault="00CA0FFC" w:rsidP="00CB4850">
      <w:pPr>
        <w:snapToGrid w:val="0"/>
        <w:spacing w:line="360" w:lineRule="auto"/>
        <w:jc w:val="both"/>
        <w:rPr>
          <w:rFonts w:ascii="Book Antiqua" w:hAnsi="Book Antiqua"/>
        </w:rPr>
      </w:pPr>
      <w:bookmarkStart w:id="24" w:name="_GoBack"/>
      <w:bookmarkEnd w:id="24"/>
    </w:p>
    <w:sectPr w:rsidR="00CA0FFC" w:rsidRPr="00CB4850" w:rsidSect="00B37B9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E9F4D" w14:textId="77777777" w:rsidR="0096120D" w:rsidRDefault="0096120D" w:rsidP="00CA0FFC">
      <w:r>
        <w:separator/>
      </w:r>
    </w:p>
  </w:endnote>
  <w:endnote w:type="continuationSeparator" w:id="0">
    <w:p w14:paraId="14D417F8" w14:textId="77777777" w:rsidR="0096120D" w:rsidRDefault="0096120D" w:rsidP="00CA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501177"/>
      <w:docPartObj>
        <w:docPartGallery w:val="Page Numbers (Bottom of Page)"/>
        <w:docPartUnique/>
      </w:docPartObj>
    </w:sdtPr>
    <w:sdtEndPr/>
    <w:sdtContent>
      <w:sdt>
        <w:sdtPr>
          <w:id w:val="-1769616900"/>
          <w:docPartObj>
            <w:docPartGallery w:val="Page Numbers (Top of Page)"/>
            <w:docPartUnique/>
          </w:docPartObj>
        </w:sdtPr>
        <w:sdtEndPr/>
        <w:sdtContent>
          <w:p w14:paraId="6134CA15" w14:textId="51B90620" w:rsidR="00CA0FFC" w:rsidRDefault="00CA0FF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6120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6120D">
              <w:rPr>
                <w:b/>
                <w:bCs/>
                <w:noProof/>
              </w:rPr>
              <w:t>1</w:t>
            </w:r>
            <w:r>
              <w:rPr>
                <w:b/>
                <w:bCs/>
                <w:sz w:val="24"/>
                <w:szCs w:val="24"/>
              </w:rPr>
              <w:fldChar w:fldCharType="end"/>
            </w:r>
          </w:p>
        </w:sdtContent>
      </w:sdt>
    </w:sdtContent>
  </w:sdt>
  <w:p w14:paraId="506B8E08" w14:textId="77777777" w:rsidR="00CA0FFC" w:rsidRDefault="00CA0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15171" w14:textId="77777777" w:rsidR="0096120D" w:rsidRDefault="0096120D" w:rsidP="00CA0FFC">
      <w:r>
        <w:separator/>
      </w:r>
    </w:p>
  </w:footnote>
  <w:footnote w:type="continuationSeparator" w:id="0">
    <w:p w14:paraId="73492DEC" w14:textId="77777777" w:rsidR="0096120D" w:rsidRDefault="0096120D" w:rsidP="00CA0F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B7E"/>
    <w:rsid w:val="00032466"/>
    <w:rsid w:val="00034B00"/>
    <w:rsid w:val="00114772"/>
    <w:rsid w:val="001A2F93"/>
    <w:rsid w:val="001C2458"/>
    <w:rsid w:val="00203480"/>
    <w:rsid w:val="00214649"/>
    <w:rsid w:val="00240D37"/>
    <w:rsid w:val="00256A9E"/>
    <w:rsid w:val="0027758C"/>
    <w:rsid w:val="003308C5"/>
    <w:rsid w:val="0034173D"/>
    <w:rsid w:val="00371D84"/>
    <w:rsid w:val="003B3774"/>
    <w:rsid w:val="004146EE"/>
    <w:rsid w:val="004E53AC"/>
    <w:rsid w:val="004E62BA"/>
    <w:rsid w:val="00512F51"/>
    <w:rsid w:val="005514E7"/>
    <w:rsid w:val="00575050"/>
    <w:rsid w:val="00591D22"/>
    <w:rsid w:val="005B1623"/>
    <w:rsid w:val="00642099"/>
    <w:rsid w:val="006A180A"/>
    <w:rsid w:val="007311D9"/>
    <w:rsid w:val="0078697C"/>
    <w:rsid w:val="007E025A"/>
    <w:rsid w:val="00801832"/>
    <w:rsid w:val="00823C6B"/>
    <w:rsid w:val="008304F9"/>
    <w:rsid w:val="008360C6"/>
    <w:rsid w:val="008A4EDD"/>
    <w:rsid w:val="008A66F7"/>
    <w:rsid w:val="008F73A4"/>
    <w:rsid w:val="0096120D"/>
    <w:rsid w:val="009A78A4"/>
    <w:rsid w:val="00A77B3E"/>
    <w:rsid w:val="00A84E93"/>
    <w:rsid w:val="00AD03E6"/>
    <w:rsid w:val="00AF5009"/>
    <w:rsid w:val="00B22CF7"/>
    <w:rsid w:val="00B356D8"/>
    <w:rsid w:val="00B37B93"/>
    <w:rsid w:val="00B91723"/>
    <w:rsid w:val="00C43938"/>
    <w:rsid w:val="00C6277C"/>
    <w:rsid w:val="00C6345F"/>
    <w:rsid w:val="00CA0FFC"/>
    <w:rsid w:val="00CA2A55"/>
    <w:rsid w:val="00CB4850"/>
    <w:rsid w:val="00D20D57"/>
    <w:rsid w:val="00D85F8A"/>
    <w:rsid w:val="00E03DCC"/>
    <w:rsid w:val="00E5456D"/>
    <w:rsid w:val="00E948EC"/>
    <w:rsid w:val="00E95EC8"/>
    <w:rsid w:val="00F302A5"/>
    <w:rsid w:val="00FE1405"/>
    <w:rsid w:val="00FF4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A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0FF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CA0F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A0FFC"/>
    <w:rPr>
      <w:sz w:val="18"/>
      <w:szCs w:val="18"/>
    </w:rPr>
  </w:style>
  <w:style w:type="paragraph" w:styleId="a5">
    <w:name w:val="footer"/>
    <w:basedOn w:val="a"/>
    <w:link w:val="Char0"/>
    <w:uiPriority w:val="99"/>
    <w:unhideWhenUsed/>
    <w:rsid w:val="00CA0FFC"/>
    <w:pPr>
      <w:tabs>
        <w:tab w:val="center" w:pos="4153"/>
        <w:tab w:val="right" w:pos="8306"/>
      </w:tabs>
      <w:snapToGrid w:val="0"/>
    </w:pPr>
    <w:rPr>
      <w:sz w:val="18"/>
      <w:szCs w:val="18"/>
    </w:rPr>
  </w:style>
  <w:style w:type="character" w:customStyle="1" w:styleId="Char0">
    <w:name w:val="页脚 Char"/>
    <w:basedOn w:val="a0"/>
    <w:link w:val="a5"/>
    <w:uiPriority w:val="99"/>
    <w:rsid w:val="00CA0FFC"/>
    <w:rPr>
      <w:sz w:val="18"/>
      <w:szCs w:val="18"/>
    </w:rPr>
  </w:style>
  <w:style w:type="paragraph" w:styleId="a6">
    <w:name w:val="Balloon Text"/>
    <w:basedOn w:val="a"/>
    <w:link w:val="Char1"/>
    <w:rsid w:val="0034173D"/>
    <w:rPr>
      <w:sz w:val="18"/>
      <w:szCs w:val="18"/>
    </w:rPr>
  </w:style>
  <w:style w:type="character" w:customStyle="1" w:styleId="Char1">
    <w:name w:val="批注框文本 Char"/>
    <w:basedOn w:val="a0"/>
    <w:link w:val="a6"/>
    <w:rsid w:val="0034173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0FF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CA0F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A0FFC"/>
    <w:rPr>
      <w:sz w:val="18"/>
      <w:szCs w:val="18"/>
    </w:rPr>
  </w:style>
  <w:style w:type="paragraph" w:styleId="a5">
    <w:name w:val="footer"/>
    <w:basedOn w:val="a"/>
    <w:link w:val="Char0"/>
    <w:uiPriority w:val="99"/>
    <w:unhideWhenUsed/>
    <w:rsid w:val="00CA0FFC"/>
    <w:pPr>
      <w:tabs>
        <w:tab w:val="center" w:pos="4153"/>
        <w:tab w:val="right" w:pos="8306"/>
      </w:tabs>
      <w:snapToGrid w:val="0"/>
    </w:pPr>
    <w:rPr>
      <w:sz w:val="18"/>
      <w:szCs w:val="18"/>
    </w:rPr>
  </w:style>
  <w:style w:type="character" w:customStyle="1" w:styleId="Char0">
    <w:name w:val="页脚 Char"/>
    <w:basedOn w:val="a0"/>
    <w:link w:val="a5"/>
    <w:uiPriority w:val="99"/>
    <w:rsid w:val="00CA0FFC"/>
    <w:rPr>
      <w:sz w:val="18"/>
      <w:szCs w:val="18"/>
    </w:rPr>
  </w:style>
  <w:style w:type="paragraph" w:styleId="a6">
    <w:name w:val="Balloon Text"/>
    <w:basedOn w:val="a"/>
    <w:link w:val="Char1"/>
    <w:rsid w:val="0034173D"/>
    <w:rPr>
      <w:sz w:val="18"/>
      <w:szCs w:val="18"/>
    </w:rPr>
  </w:style>
  <w:style w:type="character" w:customStyle="1" w:styleId="Char1">
    <w:name w:val="批注框文本 Char"/>
    <w:basedOn w:val="a0"/>
    <w:link w:val="a6"/>
    <w:rsid w:val="003417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zsy</dc:creator>
  <cp:lastModifiedBy>liujihong2008@qq.con</cp:lastModifiedBy>
  <cp:revision>13</cp:revision>
  <dcterms:created xsi:type="dcterms:W3CDTF">2021-03-15T08:43:00Z</dcterms:created>
  <dcterms:modified xsi:type="dcterms:W3CDTF">2021-05-07T06:52:00Z</dcterms:modified>
</cp:coreProperties>
</file>