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76E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Name of Journal: </w:t>
      </w:r>
      <w:r w:rsidRPr="004541C8">
        <w:rPr>
          <w:rFonts w:ascii="Book Antiqua" w:eastAsia="Book Antiqua" w:hAnsi="Book Antiqua" w:cs="Book Antiqua"/>
          <w:i/>
          <w:color w:val="000000" w:themeColor="text1"/>
        </w:rPr>
        <w:t>World Journal of Diabetes</w:t>
      </w:r>
    </w:p>
    <w:p w14:paraId="490F7EB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NO: </w:t>
      </w:r>
      <w:r w:rsidRPr="004541C8">
        <w:rPr>
          <w:rFonts w:ascii="Book Antiqua" w:eastAsia="Book Antiqua" w:hAnsi="Book Antiqua" w:cs="Book Antiqua"/>
          <w:color w:val="000000" w:themeColor="text1"/>
        </w:rPr>
        <w:t>58684</w:t>
      </w:r>
    </w:p>
    <w:p w14:paraId="727C64A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Type: </w:t>
      </w:r>
      <w:r w:rsidRPr="004541C8">
        <w:rPr>
          <w:rFonts w:ascii="Book Antiqua" w:eastAsia="Book Antiqua" w:hAnsi="Book Antiqua" w:cs="Book Antiqua"/>
          <w:color w:val="000000" w:themeColor="text1"/>
        </w:rPr>
        <w:t>ORIGINAL ARTICLE</w:t>
      </w:r>
    </w:p>
    <w:p w14:paraId="292D58E5" w14:textId="77777777" w:rsidR="00A77B3E" w:rsidRPr="004541C8" w:rsidRDefault="00A77B3E" w:rsidP="004541C8">
      <w:pPr>
        <w:snapToGrid w:val="0"/>
        <w:spacing w:line="360" w:lineRule="auto"/>
        <w:jc w:val="both"/>
        <w:rPr>
          <w:color w:val="000000" w:themeColor="text1"/>
        </w:rPr>
      </w:pPr>
    </w:p>
    <w:p w14:paraId="4BB80BF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Observational Study</w:t>
      </w:r>
    </w:p>
    <w:p w14:paraId="6EAF6368" w14:textId="37EBA038" w:rsidR="00A77B3E" w:rsidRPr="004541C8" w:rsidRDefault="00852E8A" w:rsidP="004541C8">
      <w:pPr>
        <w:snapToGrid w:val="0"/>
        <w:spacing w:line="360" w:lineRule="auto"/>
        <w:jc w:val="both"/>
        <w:rPr>
          <w:color w:val="000000" w:themeColor="text1"/>
        </w:rPr>
      </w:pPr>
      <w:bookmarkStart w:id="0" w:name="_Hlk53585659"/>
      <w:r w:rsidRPr="004541C8">
        <w:rPr>
          <w:rFonts w:ascii="Book Antiqua" w:eastAsia="Book Antiqua" w:hAnsi="Book Antiqua" w:cs="Book Antiqua"/>
          <w:b/>
          <w:color w:val="000000" w:themeColor="text1"/>
        </w:rPr>
        <w:t>Glucagon-like-1 receptor agonists</w:t>
      </w:r>
      <w:r w:rsidR="009A4518" w:rsidRPr="004541C8">
        <w:rPr>
          <w:rFonts w:ascii="Book Antiqua" w:eastAsia="Book Antiqua" w:hAnsi="Book Antiqua" w:cs="Book Antiqua"/>
          <w:b/>
          <w:color w:val="000000" w:themeColor="text1"/>
        </w:rPr>
        <w:t xml:space="preserve"> and </w:t>
      </w:r>
      <w:r w:rsidRPr="004541C8">
        <w:rPr>
          <w:rFonts w:ascii="Book Antiqua" w:eastAsia="Book Antiqua" w:hAnsi="Book Antiqua" w:cs="Book Antiqua"/>
          <w:b/>
          <w:color w:val="000000" w:themeColor="text1"/>
        </w:rPr>
        <w:t>sodium/glucose cotransporter</w:t>
      </w:r>
      <w:r w:rsidR="00521E5F">
        <w:rPr>
          <w:rFonts w:ascii="Book Antiqua" w:eastAsia="Book Antiqua" w:hAnsi="Book Antiqua" w:cs="Book Antiqua"/>
          <w:b/>
          <w:color w:val="000000" w:themeColor="text1"/>
        </w:rPr>
        <w:t>-</w:t>
      </w:r>
      <w:r w:rsidRPr="004541C8">
        <w:rPr>
          <w:rFonts w:ascii="Book Antiqua" w:eastAsia="Book Antiqua" w:hAnsi="Book Antiqua" w:cs="Book Antiqua"/>
          <w:b/>
          <w:color w:val="000000" w:themeColor="text1"/>
        </w:rPr>
        <w:t>2 inhibitors</w:t>
      </w:r>
      <w:bookmarkEnd w:id="0"/>
      <w:r w:rsidR="009A4518" w:rsidRPr="004541C8">
        <w:rPr>
          <w:rFonts w:ascii="Book Antiqua" w:eastAsia="Book Antiqua" w:hAnsi="Book Antiqua" w:cs="Book Antiqua"/>
          <w:b/>
          <w:color w:val="000000" w:themeColor="text1"/>
        </w:rPr>
        <w:t xml:space="preserve"> combination</w:t>
      </w:r>
      <w:bookmarkStart w:id="1" w:name="_Hlk53585677"/>
      <w:r w:rsidRPr="004541C8">
        <w:rPr>
          <w:rFonts w:ascii="Book Antiqua" w:eastAsia="Book Antiqua" w:hAnsi="Book Antiqua" w:cs="Book Antiqua"/>
          <w:b/>
          <w:color w:val="000000" w:themeColor="text1"/>
        </w:rPr>
        <w:t>—</w:t>
      </w:r>
      <w:bookmarkEnd w:id="1"/>
      <w:r w:rsidR="009A4518" w:rsidRPr="004541C8">
        <w:rPr>
          <w:rFonts w:ascii="Book Antiqua" w:eastAsia="Book Antiqua" w:hAnsi="Book Antiqua" w:cs="Book Antiqua"/>
          <w:b/>
          <w:color w:val="000000" w:themeColor="text1"/>
        </w:rPr>
        <w:t>are we exploiting their full potential in a real life setting</w:t>
      </w:r>
      <w:r w:rsidR="00120365" w:rsidRPr="004541C8">
        <w:rPr>
          <w:rFonts w:ascii="Book Antiqua" w:eastAsia="Book Antiqua" w:hAnsi="Book Antiqua" w:cs="Book Antiqua"/>
          <w:b/>
          <w:color w:val="000000" w:themeColor="text1"/>
        </w:rPr>
        <w:t>?</w:t>
      </w:r>
    </w:p>
    <w:p w14:paraId="59858FD4" w14:textId="77777777" w:rsidR="00A77B3E" w:rsidRPr="004541C8" w:rsidRDefault="00A77B3E" w:rsidP="004541C8">
      <w:pPr>
        <w:snapToGrid w:val="0"/>
        <w:spacing w:line="360" w:lineRule="auto"/>
        <w:jc w:val="both"/>
        <w:rPr>
          <w:color w:val="000000" w:themeColor="text1"/>
        </w:rPr>
      </w:pPr>
    </w:p>
    <w:p w14:paraId="73EBAC60" w14:textId="77777777" w:rsidR="00A77B3E" w:rsidRPr="004541C8" w:rsidRDefault="00852E8A"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Cigrovski Berkovic M </w:t>
      </w:r>
      <w:r w:rsidRPr="004541C8">
        <w:rPr>
          <w:rFonts w:ascii="Book Antiqua" w:eastAsia="Book Antiqua" w:hAnsi="Book Antiqua" w:cs="Book Antiqua"/>
          <w:i/>
          <w:iCs/>
          <w:color w:val="000000" w:themeColor="text1"/>
        </w:rPr>
        <w:t>et al</w:t>
      </w:r>
      <w:r w:rsidRPr="004541C8">
        <w:rPr>
          <w:rFonts w:ascii="Book Antiqua" w:eastAsia="Book Antiqua" w:hAnsi="Book Antiqua" w:cs="Book Antiqua"/>
          <w:color w:val="000000" w:themeColor="text1"/>
        </w:rPr>
        <w:t xml:space="preserve">. </w:t>
      </w:r>
      <w:r w:rsidR="009A4518" w:rsidRPr="004541C8">
        <w:rPr>
          <w:rFonts w:ascii="Book Antiqua" w:eastAsia="Book Antiqua" w:hAnsi="Book Antiqua" w:cs="Book Antiqua"/>
          <w:color w:val="000000" w:themeColor="text1"/>
        </w:rPr>
        <w:t>GLP-1RA and SGLT-2i combination in life</w:t>
      </w:r>
    </w:p>
    <w:p w14:paraId="3340E273" w14:textId="77777777" w:rsidR="00A77B3E" w:rsidRPr="004541C8" w:rsidRDefault="00A77B3E" w:rsidP="004541C8">
      <w:pPr>
        <w:snapToGrid w:val="0"/>
        <w:spacing w:line="360" w:lineRule="auto"/>
        <w:jc w:val="both"/>
        <w:rPr>
          <w:color w:val="000000" w:themeColor="text1"/>
        </w:rPr>
      </w:pPr>
    </w:p>
    <w:p w14:paraId="5B3C2E1E" w14:textId="4075A41E"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Maja Cigrovski Berkovic, Ines Bilic-Curcic, Tomislav Bozek, Davorka Herman Mahecic, Sanja Klobucar Majanovic, Silvija Canecki-Varzic, Jelena Andric, Sre</w:t>
      </w:r>
      <w:r w:rsidR="003F6B6A" w:rsidRPr="004541C8">
        <w:rPr>
          <w:rFonts w:ascii="Book Antiqua" w:eastAsia="Book Antiqua" w:hAnsi="Book Antiqua" w:cs="Book Antiqua"/>
          <w:color w:val="000000" w:themeColor="text1"/>
        </w:rPr>
        <w:t>c</w:t>
      </w:r>
      <w:r w:rsidRPr="004541C8">
        <w:rPr>
          <w:rFonts w:ascii="Book Antiqua" w:eastAsia="Book Antiqua" w:hAnsi="Book Antiqua" w:cs="Book Antiqua"/>
          <w:color w:val="000000" w:themeColor="text1"/>
        </w:rPr>
        <w:t>ko Maru</w:t>
      </w:r>
      <w:r w:rsidR="003F6B6A" w:rsidRPr="004541C8">
        <w:rPr>
          <w:rFonts w:ascii="Book Antiqua" w:eastAsia="Book Antiqua" w:hAnsi="Book Antiqua" w:cs="Book Antiqua"/>
          <w:color w:val="000000" w:themeColor="text1"/>
        </w:rPr>
        <w:t>s</w:t>
      </w:r>
      <w:r w:rsidRPr="004541C8">
        <w:rPr>
          <w:rFonts w:ascii="Book Antiqua" w:eastAsia="Book Antiqua" w:hAnsi="Book Antiqua" w:cs="Book Antiqua"/>
          <w:color w:val="000000" w:themeColor="text1"/>
        </w:rPr>
        <w:t>i</w:t>
      </w:r>
      <w:r w:rsidR="003F6B6A" w:rsidRPr="004541C8">
        <w:rPr>
          <w:rFonts w:ascii="Book Antiqua" w:eastAsia="Book Antiqua" w:hAnsi="Book Antiqua" w:cs="Book Antiqua"/>
          <w:color w:val="000000" w:themeColor="text1"/>
        </w:rPr>
        <w:t>c</w:t>
      </w:r>
      <w:r w:rsidRPr="004541C8">
        <w:rPr>
          <w:rFonts w:ascii="Book Antiqua" w:eastAsia="Book Antiqua" w:hAnsi="Book Antiqua" w:cs="Book Antiqua"/>
          <w:color w:val="000000" w:themeColor="text1"/>
        </w:rPr>
        <w:t>, Anna Mrzljak</w:t>
      </w:r>
    </w:p>
    <w:p w14:paraId="2EC214A8" w14:textId="77777777" w:rsidR="00A77B3E" w:rsidRPr="004541C8" w:rsidRDefault="00A77B3E" w:rsidP="004541C8">
      <w:pPr>
        <w:snapToGrid w:val="0"/>
        <w:spacing w:line="360" w:lineRule="auto"/>
        <w:jc w:val="both"/>
        <w:rPr>
          <w:color w:val="000000" w:themeColor="text1"/>
        </w:rPr>
      </w:pPr>
    </w:p>
    <w:p w14:paraId="0D2CB25D" w14:textId="399CFEF9" w:rsidR="00B51EE1" w:rsidRPr="004541C8" w:rsidRDefault="00B51EE1"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Maja Cigrovski Berkovic, Ines Bilic-Curcic, Silvija Canecki-Varzic, </w:t>
      </w:r>
      <w:r w:rsidRPr="004541C8">
        <w:rPr>
          <w:rFonts w:ascii="Book Antiqua" w:eastAsia="Book Antiqua" w:hAnsi="Book Antiqua" w:cs="Book Antiqua"/>
          <w:color w:val="000000" w:themeColor="text1"/>
        </w:rPr>
        <w:t>Faculty of Medicine, J. J. Strossmayer University Osijek, Osijek 31000, Croatia</w:t>
      </w:r>
    </w:p>
    <w:p w14:paraId="6E306670" w14:textId="77777777" w:rsidR="00B51EE1" w:rsidRPr="004541C8" w:rsidRDefault="00B51EE1" w:rsidP="004541C8">
      <w:pPr>
        <w:snapToGrid w:val="0"/>
        <w:spacing w:line="360" w:lineRule="auto"/>
        <w:jc w:val="both"/>
        <w:rPr>
          <w:rFonts w:ascii="Book Antiqua" w:eastAsia="Book Antiqua" w:hAnsi="Book Antiqua" w:cs="Book Antiqua"/>
          <w:b/>
          <w:bCs/>
          <w:color w:val="000000" w:themeColor="text1"/>
        </w:rPr>
      </w:pPr>
    </w:p>
    <w:p w14:paraId="669F501D" w14:textId="0FAA23D1"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Maja Cigrovski Berkovic, Jelena Andric, Sre</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ko Maru</w:t>
      </w:r>
      <w:r w:rsidR="003F6B6A" w:rsidRPr="004541C8">
        <w:rPr>
          <w:rFonts w:ascii="Book Antiqua" w:eastAsia="Book Antiqua" w:hAnsi="Book Antiqua" w:cs="Book Antiqua"/>
          <w:b/>
          <w:bCs/>
          <w:color w:val="000000" w:themeColor="text1"/>
        </w:rPr>
        <w:t>s</w:t>
      </w:r>
      <w:r w:rsidRPr="004541C8">
        <w:rPr>
          <w:rFonts w:ascii="Book Antiqua" w:eastAsia="Book Antiqua" w:hAnsi="Book Antiqua" w:cs="Book Antiqua"/>
          <w:b/>
          <w:bCs/>
          <w:color w:val="000000" w:themeColor="text1"/>
        </w:rPr>
        <w:t>i</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Department for Endocrinology, Diabetes and Clinical Pharmacology, Clinical Hospital Dubrava, Zagreb 10000, Croatia</w:t>
      </w:r>
    </w:p>
    <w:p w14:paraId="08D155A2" w14:textId="77777777" w:rsidR="00A77B3E" w:rsidRPr="004541C8" w:rsidRDefault="00A77B3E" w:rsidP="004541C8">
      <w:pPr>
        <w:snapToGrid w:val="0"/>
        <w:spacing w:line="360" w:lineRule="auto"/>
        <w:jc w:val="both"/>
        <w:rPr>
          <w:color w:val="000000" w:themeColor="text1"/>
        </w:rPr>
      </w:pPr>
    </w:p>
    <w:p w14:paraId="61CEED4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Maja Cigrovski Berkovic, </w:t>
      </w:r>
      <w:r w:rsidRPr="004541C8">
        <w:rPr>
          <w:rFonts w:ascii="Book Antiqua" w:eastAsia="Book Antiqua" w:hAnsi="Book Antiqua" w:cs="Book Antiqua"/>
          <w:color w:val="000000" w:themeColor="text1"/>
        </w:rPr>
        <w:t>Department of Kinesiological Anthropology and Methodology, Faculty of Kinesiology, University of Zagreb, Zagreb 10000, Croatia</w:t>
      </w:r>
    </w:p>
    <w:p w14:paraId="285854E8" w14:textId="77777777" w:rsidR="00A77B3E" w:rsidRPr="004541C8" w:rsidRDefault="00A77B3E" w:rsidP="004541C8">
      <w:pPr>
        <w:snapToGrid w:val="0"/>
        <w:spacing w:line="360" w:lineRule="auto"/>
        <w:jc w:val="both"/>
        <w:rPr>
          <w:color w:val="000000" w:themeColor="text1"/>
        </w:rPr>
      </w:pPr>
    </w:p>
    <w:p w14:paraId="5FBE12D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Ines Bilic-Curcic, Silvija Canecki-Varzic, </w:t>
      </w:r>
      <w:r w:rsidRPr="004541C8">
        <w:rPr>
          <w:rFonts w:ascii="Book Antiqua" w:eastAsia="Book Antiqua" w:hAnsi="Book Antiqua" w:cs="Book Antiqua"/>
          <w:color w:val="000000" w:themeColor="text1"/>
        </w:rPr>
        <w:t>Department of Endocrinology and Metabolism Disorders, Clinical Hospital Center, Osijek 31000, Croatia</w:t>
      </w:r>
    </w:p>
    <w:p w14:paraId="19E58252" w14:textId="77777777" w:rsidR="00A77B3E" w:rsidRPr="004541C8" w:rsidRDefault="00A77B3E" w:rsidP="004541C8">
      <w:pPr>
        <w:snapToGrid w:val="0"/>
        <w:spacing w:line="360" w:lineRule="auto"/>
        <w:jc w:val="both"/>
        <w:rPr>
          <w:color w:val="000000" w:themeColor="text1"/>
        </w:rPr>
      </w:pPr>
    </w:p>
    <w:p w14:paraId="14C550D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Tomislav Bozek, </w:t>
      </w:r>
      <w:r w:rsidRPr="004541C8">
        <w:rPr>
          <w:rFonts w:ascii="Book Antiqua" w:eastAsia="Book Antiqua" w:hAnsi="Book Antiqua" w:cs="Book Antiqua"/>
          <w:color w:val="000000" w:themeColor="text1"/>
        </w:rPr>
        <w:t>University Clinic for Diabetes “Vuk Vrhovac”, Merkur University Hospital, Zagreb 10000, Croatia</w:t>
      </w:r>
    </w:p>
    <w:p w14:paraId="70BA3146" w14:textId="77777777" w:rsidR="00A77B3E" w:rsidRPr="004541C8" w:rsidRDefault="00A77B3E" w:rsidP="004541C8">
      <w:pPr>
        <w:snapToGrid w:val="0"/>
        <w:spacing w:line="360" w:lineRule="auto"/>
        <w:jc w:val="both"/>
        <w:rPr>
          <w:color w:val="000000" w:themeColor="text1"/>
        </w:rPr>
      </w:pPr>
    </w:p>
    <w:p w14:paraId="320131FB" w14:textId="7E44AC62"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lastRenderedPageBreak/>
        <w:t>Tomislav Bozek, Sre</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ko Maru</w:t>
      </w:r>
      <w:r w:rsidR="003F6B6A" w:rsidRPr="004541C8">
        <w:rPr>
          <w:rFonts w:ascii="Book Antiqua" w:eastAsia="Book Antiqua" w:hAnsi="Book Antiqua" w:cs="Book Antiqua"/>
          <w:b/>
          <w:bCs/>
          <w:color w:val="000000" w:themeColor="text1"/>
        </w:rPr>
        <w:t>s</w:t>
      </w:r>
      <w:r w:rsidRPr="004541C8">
        <w:rPr>
          <w:rFonts w:ascii="Book Antiqua" w:eastAsia="Book Antiqua" w:hAnsi="Book Antiqua" w:cs="Book Antiqua"/>
          <w:b/>
          <w:bCs/>
          <w:color w:val="000000" w:themeColor="text1"/>
        </w:rPr>
        <w:t>i</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School of Medicine, University of Zagreb, Zagreb 10000, Croatia</w:t>
      </w:r>
    </w:p>
    <w:p w14:paraId="72E74538" w14:textId="77777777" w:rsidR="00A77B3E" w:rsidRPr="004541C8" w:rsidRDefault="00A77B3E" w:rsidP="004541C8">
      <w:pPr>
        <w:snapToGrid w:val="0"/>
        <w:spacing w:line="360" w:lineRule="auto"/>
        <w:jc w:val="both"/>
        <w:rPr>
          <w:color w:val="000000" w:themeColor="text1"/>
        </w:rPr>
      </w:pPr>
    </w:p>
    <w:p w14:paraId="2D5769C9" w14:textId="7C1F8DA3"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Davorka Herman Mahecic, </w:t>
      </w:r>
      <w:r w:rsidRPr="004541C8">
        <w:rPr>
          <w:rFonts w:ascii="Book Antiqua" w:eastAsia="Book Antiqua" w:hAnsi="Book Antiqua" w:cs="Book Antiqua"/>
          <w:color w:val="000000" w:themeColor="text1"/>
        </w:rPr>
        <w:t>Department for Endocrinology, Diabetes and Metabolism, University Hospital Centre “Sestre milosrdnice”, Zagreb 10000, Croatia</w:t>
      </w:r>
    </w:p>
    <w:p w14:paraId="0D8201FD" w14:textId="77777777" w:rsidR="00A77B3E" w:rsidRPr="004541C8" w:rsidRDefault="00A77B3E" w:rsidP="004541C8">
      <w:pPr>
        <w:snapToGrid w:val="0"/>
        <w:spacing w:line="360" w:lineRule="auto"/>
        <w:jc w:val="both"/>
        <w:rPr>
          <w:color w:val="000000" w:themeColor="text1"/>
        </w:rPr>
      </w:pPr>
    </w:p>
    <w:p w14:paraId="4F9302B4" w14:textId="6189909C"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Sanja Klobucar Majanovic, </w:t>
      </w:r>
      <w:r w:rsidRPr="004541C8">
        <w:rPr>
          <w:rFonts w:ascii="Book Antiqua" w:eastAsia="Book Antiqua" w:hAnsi="Book Antiqua" w:cs="Book Antiqua"/>
          <w:color w:val="000000" w:themeColor="text1"/>
        </w:rPr>
        <w:t>Department for Endocrinology, Diabetes and Metabolism, University Hospital Centre Rijeka, School of Medicine, University of Rijeka, 51000 Rijeka, Croatia</w:t>
      </w:r>
    </w:p>
    <w:p w14:paraId="55DB8B48" w14:textId="77777777" w:rsidR="00A77B3E" w:rsidRPr="004541C8" w:rsidRDefault="00A77B3E" w:rsidP="004541C8">
      <w:pPr>
        <w:snapToGrid w:val="0"/>
        <w:spacing w:line="360" w:lineRule="auto"/>
        <w:jc w:val="both"/>
        <w:rPr>
          <w:color w:val="000000" w:themeColor="text1"/>
        </w:rPr>
      </w:pPr>
    </w:p>
    <w:p w14:paraId="627B257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Anna Mrzljak, </w:t>
      </w:r>
      <w:r w:rsidRPr="004541C8">
        <w:rPr>
          <w:rFonts w:ascii="Book Antiqua" w:eastAsia="Book Antiqua" w:hAnsi="Book Antiqua" w:cs="Book Antiqua"/>
          <w:color w:val="000000" w:themeColor="text1"/>
        </w:rPr>
        <w:t>Department of Medicine, Merkur University Hospital, School of Medicine, University of Zagreb, Zagreb 10000, Croatia</w:t>
      </w:r>
    </w:p>
    <w:p w14:paraId="29593E0B" w14:textId="77777777" w:rsidR="00A77B3E" w:rsidRPr="004541C8" w:rsidRDefault="00A77B3E" w:rsidP="004541C8">
      <w:pPr>
        <w:snapToGrid w:val="0"/>
        <w:spacing w:line="360" w:lineRule="auto"/>
        <w:jc w:val="both"/>
        <w:rPr>
          <w:color w:val="000000" w:themeColor="text1"/>
        </w:rPr>
      </w:pPr>
    </w:p>
    <w:p w14:paraId="5FADF07B" w14:textId="20A74648"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Author contributions: </w:t>
      </w:r>
      <w:r w:rsidRPr="004541C8">
        <w:rPr>
          <w:rFonts w:ascii="Book Antiqua" w:eastAsia="Book Antiqua" w:hAnsi="Book Antiqua" w:cs="Book Antiqua"/>
          <w:color w:val="000000" w:themeColor="text1"/>
        </w:rPr>
        <w:t>Cigrovski Berkovic M</w:t>
      </w:r>
      <w:r w:rsidRPr="004541C8">
        <w:rPr>
          <w:rFonts w:ascii="Book Antiqua" w:eastAsia="Book Antiqua" w:hAnsi="Book Antiqua" w:cs="Book Antiqua"/>
          <w:color w:val="000000" w:themeColor="text1"/>
          <w:vertAlign w:val="superscript"/>
        </w:rPr>
        <w:t xml:space="preserve"> </w:t>
      </w:r>
      <w:r w:rsidRPr="004541C8">
        <w:rPr>
          <w:rFonts w:ascii="Book Antiqua" w:eastAsia="Book Antiqua" w:hAnsi="Book Antiqua" w:cs="Book Antiqua"/>
          <w:color w:val="000000" w:themeColor="text1"/>
        </w:rPr>
        <w:t xml:space="preserve">and Bilic-Curcic I equally </w:t>
      </w:r>
      <w:r w:rsidR="003F6B6A" w:rsidRPr="004541C8">
        <w:rPr>
          <w:rFonts w:ascii="Book Antiqua" w:eastAsia="Book Antiqua" w:hAnsi="Book Antiqua" w:cs="Book Antiqua"/>
          <w:color w:val="000000" w:themeColor="text1"/>
        </w:rPr>
        <w:t>contributed</w:t>
      </w:r>
      <w:r w:rsidRPr="004541C8">
        <w:rPr>
          <w:rFonts w:ascii="Book Antiqua" w:eastAsia="Book Antiqua" w:hAnsi="Book Antiqua" w:cs="Book Antiqua"/>
          <w:color w:val="000000" w:themeColor="text1"/>
        </w:rPr>
        <w:t xml:space="preserve"> to the design, acquisition of data and interpretation of data and wrote the manuscript</w:t>
      </w:r>
      <w:r w:rsidR="00852E8A"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Bozek T, Herman Mahecic D, Klobucar Majanovic S, Canecki-Varzic S, Andric J and Marusic S made contributions to acquisition of data or analysis and interpretation of data; Mrzljak A made contributions to the interpretation of the data and revised the manuscript</w:t>
      </w:r>
      <w:r w:rsidR="00852E8A" w:rsidRPr="004541C8">
        <w:rPr>
          <w:rFonts w:ascii="Book Antiqua" w:eastAsia="Book Antiqua" w:hAnsi="Book Antiqua" w:cs="Book Antiqua"/>
          <w:color w:val="000000" w:themeColor="text1"/>
        </w:rPr>
        <w:t xml:space="preserve">; </w:t>
      </w:r>
      <w:r w:rsidR="007F2BD5">
        <w:rPr>
          <w:rFonts w:ascii="Book Antiqua" w:eastAsia="Book Antiqua" w:hAnsi="Book Antiqua" w:cs="Book Antiqua"/>
          <w:color w:val="000000" w:themeColor="text1"/>
        </w:rPr>
        <w:t>A</w:t>
      </w:r>
      <w:r w:rsidR="00852E8A" w:rsidRPr="004541C8">
        <w:rPr>
          <w:rFonts w:ascii="Book Antiqua" w:eastAsia="Book Antiqua" w:hAnsi="Book Antiqua" w:cs="Book Antiqua"/>
          <w:color w:val="000000" w:themeColor="text1"/>
        </w:rPr>
        <w:t>l</w:t>
      </w:r>
      <w:r w:rsidRPr="004541C8">
        <w:rPr>
          <w:rFonts w:ascii="Book Antiqua" w:eastAsia="Book Antiqua" w:hAnsi="Book Antiqua" w:cs="Book Antiqua"/>
          <w:color w:val="000000" w:themeColor="text1"/>
        </w:rPr>
        <w:t>l authors read and approved the final version of the manuscript.</w:t>
      </w:r>
    </w:p>
    <w:p w14:paraId="2EEF7946" w14:textId="77777777" w:rsidR="00A77B3E" w:rsidRPr="004541C8" w:rsidRDefault="00A77B3E" w:rsidP="004541C8">
      <w:pPr>
        <w:snapToGrid w:val="0"/>
        <w:spacing w:line="360" w:lineRule="auto"/>
        <w:jc w:val="both"/>
        <w:rPr>
          <w:color w:val="000000" w:themeColor="text1"/>
        </w:rPr>
      </w:pPr>
    </w:p>
    <w:p w14:paraId="340C3D0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Corresponding author: Anna Mrzljak, MD, PhD, Reader (Associate Professor), </w:t>
      </w:r>
      <w:r w:rsidRPr="004541C8">
        <w:rPr>
          <w:rFonts w:ascii="Book Antiqua" w:eastAsia="Book Antiqua" w:hAnsi="Book Antiqua" w:cs="Book Antiqua"/>
          <w:color w:val="000000" w:themeColor="text1"/>
        </w:rPr>
        <w:t>Department of Medicine, Merkur University Hospital, School of Medicine, University of Zagreb, Zajčeva 19, Zagreb 10000, Croatia. anna.mrzljak@mef.hr</w:t>
      </w:r>
    </w:p>
    <w:p w14:paraId="548F3EFE" w14:textId="77777777" w:rsidR="00A77B3E" w:rsidRPr="004541C8" w:rsidRDefault="00A77B3E" w:rsidP="004541C8">
      <w:pPr>
        <w:snapToGrid w:val="0"/>
        <w:spacing w:line="360" w:lineRule="auto"/>
        <w:jc w:val="both"/>
        <w:rPr>
          <w:color w:val="000000" w:themeColor="text1"/>
        </w:rPr>
      </w:pPr>
    </w:p>
    <w:p w14:paraId="1670683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Received: </w:t>
      </w:r>
      <w:r w:rsidRPr="004541C8">
        <w:rPr>
          <w:rFonts w:ascii="Book Antiqua" w:eastAsia="Book Antiqua" w:hAnsi="Book Antiqua" w:cs="Book Antiqua"/>
          <w:color w:val="000000" w:themeColor="text1"/>
        </w:rPr>
        <w:t>August 13, 2020</w:t>
      </w:r>
    </w:p>
    <w:p w14:paraId="715C07C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Revised: </w:t>
      </w:r>
      <w:r w:rsidRPr="004541C8">
        <w:rPr>
          <w:rFonts w:ascii="Book Antiqua" w:eastAsia="Book Antiqua" w:hAnsi="Book Antiqua" w:cs="Book Antiqua"/>
          <w:color w:val="000000" w:themeColor="text1"/>
        </w:rPr>
        <w:t>September 29, 2020</w:t>
      </w:r>
    </w:p>
    <w:p w14:paraId="72A38E1F" w14:textId="0BA20E95"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Accepted: </w:t>
      </w:r>
      <w:r w:rsidR="00716E0D" w:rsidRPr="004541C8">
        <w:rPr>
          <w:rFonts w:ascii="Book Antiqua" w:eastAsia="Book Antiqua" w:hAnsi="Book Antiqua" w:cs="Book Antiqua"/>
          <w:bCs/>
          <w:color w:val="000000" w:themeColor="text1"/>
        </w:rPr>
        <w:t>October 19, 2020</w:t>
      </w:r>
    </w:p>
    <w:p w14:paraId="07902EE1" w14:textId="6DD3F483" w:rsidR="00A77B3E" w:rsidRPr="00F209C0" w:rsidRDefault="009A4518" w:rsidP="004541C8">
      <w:pPr>
        <w:snapToGrid w:val="0"/>
        <w:spacing w:line="360" w:lineRule="auto"/>
        <w:jc w:val="both"/>
        <w:rPr>
          <w:rFonts w:hint="eastAsia"/>
          <w:color w:val="000000" w:themeColor="text1"/>
          <w:lang w:eastAsia="zh-CN"/>
        </w:rPr>
      </w:pPr>
      <w:r w:rsidRPr="004541C8">
        <w:rPr>
          <w:rFonts w:ascii="Book Antiqua" w:eastAsia="Book Antiqua" w:hAnsi="Book Antiqua" w:cs="Book Antiqua"/>
          <w:b/>
          <w:bCs/>
          <w:color w:val="000000" w:themeColor="text1"/>
        </w:rPr>
        <w:t xml:space="preserve">Published online: </w:t>
      </w:r>
      <w:r w:rsidR="00F209C0" w:rsidRPr="00F209C0">
        <w:rPr>
          <w:rFonts w:ascii="Book Antiqua" w:hAnsi="Book Antiqua" w:cs="Book Antiqua" w:hint="eastAsia"/>
          <w:bCs/>
          <w:color w:val="000000" w:themeColor="text1"/>
          <w:lang w:eastAsia="zh-CN"/>
        </w:rPr>
        <w:t>November 15, 2020</w:t>
      </w:r>
    </w:p>
    <w:p w14:paraId="41632BB4" w14:textId="77777777" w:rsidR="00712681" w:rsidRPr="004541C8" w:rsidRDefault="00712681" w:rsidP="004541C8">
      <w:pPr>
        <w:snapToGrid w:val="0"/>
        <w:spacing w:line="360" w:lineRule="auto"/>
        <w:jc w:val="both"/>
        <w:rPr>
          <w:color w:val="000000" w:themeColor="text1"/>
        </w:rPr>
        <w:sectPr w:rsidR="00712681" w:rsidRPr="004541C8">
          <w:footerReference w:type="default" r:id="rId8"/>
          <w:pgSz w:w="12240" w:h="15840"/>
          <w:pgMar w:top="1440" w:right="1440" w:bottom="1440" w:left="1440" w:header="720" w:footer="720" w:gutter="0"/>
          <w:cols w:space="720"/>
          <w:docGrid w:linePitch="360"/>
        </w:sectPr>
      </w:pPr>
    </w:p>
    <w:p w14:paraId="14907A8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lastRenderedPageBreak/>
        <w:t>Abstract</w:t>
      </w:r>
    </w:p>
    <w:p w14:paraId="05BA24C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BACKGROUND</w:t>
      </w:r>
    </w:p>
    <w:p w14:paraId="5120B610" w14:textId="48CBBC02"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The </w:t>
      </w:r>
      <w:bookmarkStart w:id="2" w:name="_Hlk53585314"/>
      <w:r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2 inhibitors</w:t>
      </w:r>
      <w:bookmarkEnd w:id="2"/>
      <w:r w:rsidRPr="004541C8">
        <w:rPr>
          <w:rFonts w:ascii="Book Antiqua" w:eastAsia="Book Antiqua" w:hAnsi="Book Antiqua" w:cs="Book Antiqua"/>
          <w:color w:val="000000" w:themeColor="text1"/>
        </w:rPr>
        <w:t xml:space="preserve"> (SGLT-2i) and glucagon-like-1 receptor agonists (GLP-1RA) are antidiabetic agents effective both in </w:t>
      </w:r>
      <w:r w:rsidR="00FB2929" w:rsidRPr="004541C8">
        <w:rPr>
          <w:rFonts w:ascii="Book Antiqua" w:eastAsia="Book Antiqua" w:hAnsi="Book Antiqua" w:cs="Book Antiqua"/>
          <w:color w:val="000000" w:themeColor="text1"/>
        </w:rPr>
        <w:t xml:space="preserve">hemoglobin </w:t>
      </w:r>
      <w:proofErr w:type="gramStart"/>
      <w:r w:rsidR="00FB2929" w:rsidRPr="004541C8">
        <w:rPr>
          <w:rFonts w:ascii="Book Antiqua" w:eastAsia="Book Antiqua" w:hAnsi="Book Antiqua" w:cs="Book Antiqua"/>
          <w:color w:val="000000" w:themeColor="text1"/>
        </w:rPr>
        <w:t>A1c</w:t>
      </w:r>
      <w:proofErr w:type="gramEnd"/>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HbA1c</w:t>
      </w:r>
      <w:r w:rsidR="00FB2929" w:rsidRPr="004541C8">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 reduction (with a low risk of hypoglycemia) and cardiovascular event prevention. In patients with type 2 diabetes, the add-on value of combination therapy of GLP-1RA and an SGLT-2i seems promising.</w:t>
      </w:r>
    </w:p>
    <w:p w14:paraId="6EF55542" w14:textId="77777777" w:rsidR="00A77B3E" w:rsidRPr="004541C8" w:rsidRDefault="00A77B3E" w:rsidP="004541C8">
      <w:pPr>
        <w:snapToGrid w:val="0"/>
        <w:spacing w:line="360" w:lineRule="auto"/>
        <w:jc w:val="both"/>
        <w:rPr>
          <w:color w:val="000000" w:themeColor="text1"/>
        </w:rPr>
      </w:pPr>
    </w:p>
    <w:p w14:paraId="54D4AFD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AIM</w:t>
      </w:r>
    </w:p>
    <w:p w14:paraId="7E6A0C63" w14:textId="4AF86D52" w:rsidR="00A77B3E" w:rsidRPr="004541C8" w:rsidRDefault="00A07FE5" w:rsidP="004541C8">
      <w:pPr>
        <w:snapToGrid w:val="0"/>
        <w:spacing w:line="360" w:lineRule="auto"/>
        <w:jc w:val="both"/>
        <w:rPr>
          <w:rFonts w:ascii="Book Antiqua" w:eastAsia="Book Antiqua" w:hAnsi="Book Antiqua" w:cs="Book Antiqua"/>
          <w:color w:val="000000" w:themeColor="text1"/>
        </w:rPr>
      </w:pPr>
      <w:r w:rsidRPr="004541C8">
        <w:rPr>
          <w:rFonts w:ascii="Book Antiqua" w:hAnsi="Book Antiqua" w:cs="Arial"/>
          <w:color w:val="000000" w:themeColor="text1"/>
        </w:rPr>
        <w:t>To investigate whether the efficacy of GLP-1RA and SGLT-2i combination observed in randomized controlled trials translates into therapeutic benefits in the Croatian population during routine clinical practice and follow</w:t>
      </w:r>
      <w:r w:rsidR="00E3013E" w:rsidRPr="004541C8">
        <w:rPr>
          <w:rFonts w:ascii="Book Antiqua" w:hAnsi="Book Antiqua" w:cs="Arial"/>
          <w:color w:val="000000" w:themeColor="text1"/>
        </w:rPr>
        <w:t>-</w:t>
      </w:r>
      <w:r w:rsidRPr="004541C8">
        <w:rPr>
          <w:rFonts w:ascii="Book Antiqua" w:hAnsi="Book Antiqua" w:cs="Arial"/>
          <w:color w:val="000000" w:themeColor="text1"/>
        </w:rPr>
        <w:t>up.</w:t>
      </w:r>
    </w:p>
    <w:p w14:paraId="456A30E5" w14:textId="77777777" w:rsidR="00A07FE5" w:rsidRPr="004541C8" w:rsidRDefault="00A07FE5" w:rsidP="004541C8">
      <w:pPr>
        <w:snapToGrid w:val="0"/>
        <w:spacing w:line="360" w:lineRule="auto"/>
        <w:jc w:val="both"/>
        <w:rPr>
          <w:color w:val="000000" w:themeColor="text1"/>
        </w:rPr>
      </w:pPr>
    </w:p>
    <w:p w14:paraId="15E28FA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METHODS</w:t>
      </w:r>
    </w:p>
    <w:p w14:paraId="2FAD673D" w14:textId="11DC4106"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We included 200 </w:t>
      </w:r>
      <w:r w:rsidR="00E3013E" w:rsidRPr="004541C8">
        <w:rPr>
          <w:rFonts w:ascii="Book Antiqua" w:eastAsia="Book Antiqua" w:hAnsi="Book Antiqua" w:cs="Book Antiqua"/>
          <w:color w:val="000000" w:themeColor="text1"/>
        </w:rPr>
        <w:t xml:space="preserve">type 2 diabetes </w:t>
      </w:r>
      <w:r w:rsidRPr="004541C8">
        <w:rPr>
          <w:rFonts w:ascii="Book Antiqua" w:eastAsia="Book Antiqua" w:hAnsi="Book Antiqua" w:cs="Book Antiqua"/>
          <w:color w:val="000000" w:themeColor="text1"/>
        </w:rPr>
        <w:t>patients with poor glycemic control and analyzed the effects of treatment intensification with (</w:t>
      </w:r>
      <w:r w:rsidR="00FB2929" w:rsidRPr="004541C8">
        <w:rPr>
          <w:rFonts w:ascii="Book Antiqua" w:eastAsia="Book Antiqua" w:hAnsi="Book Antiqua" w:cs="Book Antiqua"/>
          <w:color w:val="000000" w:themeColor="text1"/>
        </w:rPr>
        <w:t>1</w:t>
      </w:r>
      <w:r w:rsidRPr="004541C8">
        <w:rPr>
          <w:rFonts w:ascii="Book Antiqua" w:eastAsia="Book Antiqua" w:hAnsi="Book Antiqua" w:cs="Book Antiqua"/>
          <w:color w:val="000000" w:themeColor="text1"/>
        </w:rPr>
        <w:t>) GLP-1RA on top of SGLT-2i, (</w:t>
      </w:r>
      <w:r w:rsidR="00FB2929" w:rsidRPr="004541C8">
        <w:rPr>
          <w:rFonts w:ascii="Book Antiqua" w:eastAsia="Book Antiqua" w:hAnsi="Book Antiqua" w:cs="Book Antiqua"/>
          <w:color w:val="000000" w:themeColor="text1"/>
        </w:rPr>
        <w:t>2</w:t>
      </w:r>
      <w:r w:rsidRPr="004541C8">
        <w:rPr>
          <w:rFonts w:ascii="Book Antiqua" w:eastAsia="Book Antiqua" w:hAnsi="Book Antiqua" w:cs="Book Antiqua"/>
          <w:color w:val="000000" w:themeColor="text1"/>
        </w:rPr>
        <w:t>) SGLT-2i on top of GLP-1RA compared to (</w:t>
      </w:r>
      <w:r w:rsidR="00FB2929" w:rsidRPr="004541C8">
        <w:rPr>
          <w:rFonts w:ascii="Book Antiqua" w:eastAsia="Book Antiqua" w:hAnsi="Book Antiqua" w:cs="Book Antiqua"/>
          <w:color w:val="000000" w:themeColor="text1"/>
        </w:rPr>
        <w:t>3</w:t>
      </w:r>
      <w:r w:rsidRPr="004541C8">
        <w:rPr>
          <w:rFonts w:ascii="Book Antiqua" w:eastAsia="Book Antiqua" w:hAnsi="Book Antiqua" w:cs="Book Antiqua"/>
          <w:color w:val="000000" w:themeColor="text1"/>
        </w:rPr>
        <w:t>) simultaneous addition of both agents. The primary study endpoint was the proportion of participants with HbA1c &lt;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7.0% and/or 5% bodyweight reduction. Secondary outcomes included changes in fasting plasma glucose (FPG), prandial plasma glucose, </w:t>
      </w:r>
      <w:bookmarkStart w:id="3" w:name="OLE_LINK2229"/>
      <w:bookmarkStart w:id="4" w:name="OLE_LINK2230"/>
      <w:r w:rsidRPr="004541C8">
        <w:rPr>
          <w:rFonts w:ascii="Book Antiqua" w:eastAsia="Book Antiqua" w:hAnsi="Book Antiqua" w:cs="Book Antiqua"/>
          <w:color w:val="000000" w:themeColor="text1"/>
        </w:rPr>
        <w:t>low-density lipoprotein cholesterol</w:t>
      </w:r>
      <w:bookmarkEnd w:id="3"/>
      <w:bookmarkEnd w:id="4"/>
      <w:r w:rsidRPr="004541C8">
        <w:rPr>
          <w:rFonts w:ascii="Book Antiqua" w:eastAsia="Book Antiqua" w:hAnsi="Book Antiqua" w:cs="Book Antiqua"/>
          <w:color w:val="000000" w:themeColor="text1"/>
        </w:rPr>
        <w:t xml:space="preserve">, estimated glomerular filtration rate (eGFR), and cardiovascular (CV) </w:t>
      </w:r>
      <w:r w:rsidR="00FD317D" w:rsidRPr="004541C8">
        <w:rPr>
          <w:rFonts w:ascii="Book Antiqua" w:eastAsia="Book Antiqua" w:hAnsi="Book Antiqua" w:cs="Book Antiqua"/>
          <w:color w:val="000000" w:themeColor="text1"/>
        </w:rPr>
        <w:t xml:space="preserve">incidents </w:t>
      </w:r>
      <w:r w:rsidRPr="004541C8">
        <w:rPr>
          <w:rFonts w:ascii="Book Antiqua" w:eastAsia="Book Antiqua" w:hAnsi="Book Antiqua" w:cs="Book Antiqua"/>
          <w:color w:val="000000" w:themeColor="text1"/>
        </w:rPr>
        <w:t xml:space="preserve">assessment over a follow-up period of 12 </w:t>
      </w:r>
      <w:proofErr w:type="gramStart"/>
      <w:r w:rsidRPr="004541C8">
        <w:rPr>
          <w:rFonts w:ascii="Book Antiqua" w:eastAsia="Book Antiqua" w:hAnsi="Book Antiqua" w:cs="Book Antiqua"/>
          <w:color w:val="000000" w:themeColor="text1"/>
        </w:rPr>
        <w:t>mo</w:t>
      </w:r>
      <w:proofErr w:type="gramEnd"/>
      <w:r w:rsidRPr="004541C8">
        <w:rPr>
          <w:rFonts w:ascii="Book Antiqua" w:eastAsia="Book Antiqua" w:hAnsi="Book Antiqua" w:cs="Book Antiqua"/>
          <w:color w:val="000000" w:themeColor="text1"/>
        </w:rPr>
        <w:t>.</w:t>
      </w:r>
    </w:p>
    <w:p w14:paraId="2A5E4EC7" w14:textId="77777777" w:rsidR="00A77B3E" w:rsidRPr="004541C8" w:rsidRDefault="00A77B3E" w:rsidP="004541C8">
      <w:pPr>
        <w:snapToGrid w:val="0"/>
        <w:spacing w:line="360" w:lineRule="auto"/>
        <w:jc w:val="both"/>
        <w:rPr>
          <w:color w:val="000000" w:themeColor="text1"/>
        </w:rPr>
      </w:pPr>
    </w:p>
    <w:p w14:paraId="7F00E3E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RESULTS</w:t>
      </w:r>
    </w:p>
    <w:p w14:paraId="60353824" w14:textId="0F698870" w:rsidR="00A77B3E" w:rsidRPr="004541C8" w:rsidRDefault="009A4518" w:rsidP="004541C8">
      <w:pPr>
        <w:spacing w:line="360" w:lineRule="auto"/>
        <w:jc w:val="both"/>
        <w:rPr>
          <w:color w:val="000000" w:themeColor="text1"/>
        </w:rPr>
      </w:pPr>
      <w:r w:rsidRPr="004541C8">
        <w:rPr>
          <w:rFonts w:ascii="Book Antiqua" w:eastAsia="Book Antiqua" w:hAnsi="Book Antiqua" w:cs="Book Antiqua"/>
          <w:color w:val="000000" w:themeColor="text1"/>
        </w:rPr>
        <w:t>The majority of patients were over 65</w:t>
      </w:r>
      <w:r w:rsidR="00F93C47">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years</w:t>
      </w:r>
      <w:r w:rsidR="00F93C47">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old, had diabetes duration for more than </w:t>
      </w:r>
      <w:r w:rsidR="00E3013E" w:rsidRPr="004541C8">
        <w:rPr>
          <w:rFonts w:ascii="Book Antiqua" w:eastAsia="Book Antiqua" w:hAnsi="Book Antiqua" w:cs="Book Antiqua"/>
          <w:color w:val="000000" w:themeColor="text1"/>
        </w:rPr>
        <w:t xml:space="preserve">10 </w:t>
      </w:r>
      <w:r w:rsidRPr="004541C8">
        <w:rPr>
          <w:rFonts w:ascii="Book Antiqua" w:eastAsia="Book Antiqua" w:hAnsi="Book Antiqua" w:cs="Book Antiqua"/>
          <w:color w:val="000000" w:themeColor="text1"/>
        </w:rPr>
        <w:t>years. The initial body mass index was 39.41</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5.49 kg/m</w:t>
      </w:r>
      <w:r w:rsidRPr="004541C8">
        <w:rPr>
          <w:rFonts w:ascii="Book Antiqua" w:eastAsia="Book Antiqua" w:hAnsi="Book Antiqua" w:cs="Book Antiqua"/>
          <w:color w:val="000000" w:themeColor="text1"/>
          <w:vertAlign w:val="superscript"/>
        </w:rPr>
        <w:t>2</w:t>
      </w:r>
      <w:r w:rsidRPr="004541C8">
        <w:rPr>
          <w:rFonts w:ascii="Book Antiqua" w:eastAsia="Book Antiqua" w:hAnsi="Book Antiqua" w:cs="Book Antiqua"/>
          <w:color w:val="000000" w:themeColor="text1"/>
        </w:rPr>
        <w:t xml:space="preserve"> and HbA1c 8.32</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1.26%. Around half of the patients in all three groups achieved target HbA1c below 7%. A more pronounced decrease in the HbA1c seen with simultaneous SGLT-2i and GLP-1RA therapy was a result of higher baseline HbA1c and not the effect of initiating </w:t>
      </w:r>
      <w:r w:rsidRPr="004541C8">
        <w:rPr>
          <w:rFonts w:ascii="Book Antiqua" w:eastAsia="Book Antiqua" w:hAnsi="Book Antiqua" w:cs="Book Antiqua"/>
          <w:color w:val="000000" w:themeColor="text1"/>
        </w:rPr>
        <w:lastRenderedPageBreak/>
        <w:t>combination therapy</w:t>
      </w:r>
      <w:r w:rsidR="00E3013E" w:rsidRPr="004541C8">
        <w:rPr>
          <w:rFonts w:ascii="Book Antiqua" w:eastAsia="Book Antiqua" w:hAnsi="Book Antiqua" w:cs="Book Antiqua"/>
          <w:color w:val="000000" w:themeColor="text1"/>
        </w:rPr>
        <w:t>. T</w:t>
      </w:r>
      <w:r w:rsidRPr="004541C8">
        <w:rPr>
          <w:rFonts w:ascii="Book Antiqua" w:eastAsia="Book Antiqua" w:hAnsi="Book Antiqua" w:cs="Book Antiqua"/>
          <w:color w:val="000000" w:themeColor="text1"/>
        </w:rPr>
        <w:t xml:space="preserve">he number of patients achieving </w:t>
      </w:r>
      <w:r w:rsidRPr="004541C8">
        <w:rPr>
          <w:rFonts w:ascii="Book Antiqua" w:eastAsia="Book Antiqua" w:hAnsi="Book Antiqua" w:cs="Book Antiqua"/>
          <w:color w:val="000000"/>
        </w:rPr>
        <w:t>FPG</w:t>
      </w:r>
      <w:r w:rsidRPr="004541C8">
        <w:rPr>
          <w:rFonts w:ascii="Book Antiqua" w:eastAsia="Book Antiqua" w:hAnsi="Book Antiqua" w:cs="Book Antiqua"/>
          <w:color w:val="000000" w:themeColor="text1"/>
        </w:rPr>
        <w:t xml:space="preserve"> below 7.0 mmol/L was significantly higher in the SGLT-2i group (</w:t>
      </w:r>
      <w:r w:rsidRPr="004541C8">
        <w:rPr>
          <w:rFonts w:ascii="Book Antiqua" w:eastAsia="Book Antiqua" w:hAnsi="Book Antiqua" w:cs="Book Antiqua"/>
          <w:i/>
          <w:iCs/>
          <w:color w:val="000000" w:themeColor="text1"/>
        </w:rPr>
        <w:t>P</w:t>
      </w:r>
      <w:r w:rsidRPr="004541C8">
        <w:rPr>
          <w:rFonts w:ascii="Book Antiqua" w:eastAsia="Book Antiqua" w:hAnsi="Book Antiqua" w:cs="Book Antiqua"/>
          <w:color w:val="000000" w:themeColor="text1"/>
        </w:rPr>
        <w:t xml:space="preserve"> = 0.021), and 5% weight loss was dominantly achieved in the simultaneous therapy group (</w:t>
      </w:r>
      <w:r w:rsidRPr="004541C8">
        <w:rPr>
          <w:rFonts w:ascii="Book Antiqua" w:eastAsia="Book Antiqua" w:hAnsi="Book Antiqua" w:cs="Book Antiqua"/>
          <w:i/>
          <w:iCs/>
          <w:color w:val="000000" w:themeColor="text1"/>
        </w:rPr>
        <w:t>P</w:t>
      </w:r>
      <w:r w:rsidRPr="004541C8">
        <w:rPr>
          <w:rFonts w:ascii="Book Antiqua" w:eastAsia="Book Antiqua" w:hAnsi="Book Antiqua" w:cs="Book Antiqua"/>
          <w:color w:val="000000" w:themeColor="text1"/>
        </w:rPr>
        <w:t xml:space="preserve"> = 0.044). A composite outcome (reduction of HbA1c below 7% </w:t>
      </w:r>
      <w:proofErr w:type="gramStart"/>
      <w:r w:rsidRPr="004541C8">
        <w:rPr>
          <w:rFonts w:ascii="Book Antiqua" w:eastAsia="Book Antiqua" w:hAnsi="Book Antiqua" w:cs="Book Antiqua"/>
          <w:color w:val="000000" w:themeColor="text1"/>
        </w:rPr>
        <w:t>(53 mmol/mol)</w:t>
      </w:r>
      <w:proofErr w:type="gramEnd"/>
      <w:r w:rsidRPr="004541C8">
        <w:rPr>
          <w:rFonts w:ascii="Book Antiqua" w:eastAsia="Book Antiqua" w:hAnsi="Book Antiqua" w:cs="Book Antiqua"/>
          <w:color w:val="000000" w:themeColor="text1"/>
        </w:rPr>
        <w:t xml:space="preserve"> with 5% weight loss) was achieved in 32.3% of total patients included in the study. Only 18.2% of patients attained composite outcome defined as HbA1c below 7% (53 mmol/mol) with 5% weight loss and </w:t>
      </w:r>
      <w:r w:rsidR="00E3013E" w:rsidRPr="004541C8">
        <w:rPr>
          <w:rFonts w:ascii="Book Antiqua" w:eastAsia="Book Antiqua" w:hAnsi="Book Antiqua" w:cs="Book Antiqua"/>
          <w:color w:val="000000" w:themeColor="text1"/>
        </w:rPr>
        <w:t xml:space="preserve">low-density lipoprotein cholesterol </w:t>
      </w:r>
      <w:r w:rsidRPr="004541C8">
        <w:rPr>
          <w:rFonts w:ascii="Book Antiqua" w:eastAsia="Book Antiqua" w:hAnsi="Book Antiqua" w:cs="Book Antiqua"/>
          <w:color w:val="000000" w:themeColor="text1"/>
        </w:rPr>
        <w:t>&lt;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2.5 mmol/L. There were no significant differences between treatment groups. No differences were observed regarding </w:t>
      </w:r>
      <w:r w:rsidRPr="004541C8">
        <w:rPr>
          <w:rFonts w:ascii="Book Antiqua" w:eastAsia="Book Antiqua" w:hAnsi="Book Antiqua" w:cs="Book Antiqua"/>
          <w:color w:val="000000"/>
        </w:rPr>
        <w:t>CV</w:t>
      </w:r>
      <w:r w:rsidRPr="004541C8">
        <w:rPr>
          <w:rFonts w:ascii="Book Antiqua" w:eastAsia="Book Antiqua" w:hAnsi="Book Antiqua" w:cs="Book Antiqua"/>
          <w:color w:val="000000" w:themeColor="text1"/>
        </w:rPr>
        <w:t xml:space="preserve"> incidents or </w:t>
      </w:r>
      <w:r w:rsidRPr="004541C8">
        <w:rPr>
          <w:rFonts w:ascii="Book Antiqua" w:eastAsia="Book Antiqua" w:hAnsi="Book Antiqua" w:cs="Book Antiqua"/>
          <w:color w:val="000000"/>
        </w:rPr>
        <w:t xml:space="preserve">eGFR </w:t>
      </w:r>
      <w:r w:rsidRPr="004541C8">
        <w:rPr>
          <w:rFonts w:ascii="Book Antiqua" w:eastAsia="Book Antiqua" w:hAnsi="Book Antiqua" w:cs="Book Antiqua"/>
          <w:color w:val="000000" w:themeColor="text1"/>
        </w:rPr>
        <w:t>according to treatment group over a follow-up period.</w:t>
      </w:r>
    </w:p>
    <w:p w14:paraId="74B7A1B4" w14:textId="77777777" w:rsidR="00A77B3E" w:rsidRPr="004541C8" w:rsidRDefault="00A77B3E" w:rsidP="004541C8">
      <w:pPr>
        <w:snapToGrid w:val="0"/>
        <w:spacing w:line="360" w:lineRule="auto"/>
        <w:jc w:val="both"/>
        <w:rPr>
          <w:color w:val="000000" w:themeColor="text1"/>
        </w:rPr>
      </w:pPr>
    </w:p>
    <w:p w14:paraId="43C3746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CONCLUSION</w:t>
      </w:r>
    </w:p>
    <w:p w14:paraId="3C561ACB" w14:textId="535D6F6F"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Combination therapy with GLP-1RA and SGLT-2i is effective in terms of metabolic control, although it remains </w:t>
      </w:r>
      <w:r w:rsidR="00E3013E" w:rsidRPr="004541C8">
        <w:rPr>
          <w:rFonts w:ascii="Book Antiqua" w:eastAsia="Book Antiqua" w:hAnsi="Book Antiqua" w:cs="Book Antiqua"/>
          <w:color w:val="000000" w:themeColor="text1"/>
        </w:rPr>
        <w:t>to be determined</w:t>
      </w:r>
      <w:r w:rsidRPr="004541C8">
        <w:rPr>
          <w:rFonts w:ascii="Book Antiqua" w:eastAsia="Book Antiqua" w:hAnsi="Book Antiqua" w:cs="Book Antiqua"/>
          <w:color w:val="000000" w:themeColor="text1"/>
        </w:rPr>
        <w:t xml:space="preserve"> whether simultaneous or sequential intensification is better.</w:t>
      </w:r>
    </w:p>
    <w:p w14:paraId="4E4EA321" w14:textId="77777777" w:rsidR="00A77B3E" w:rsidRPr="004541C8" w:rsidRDefault="00A77B3E" w:rsidP="004541C8">
      <w:pPr>
        <w:snapToGrid w:val="0"/>
        <w:spacing w:line="360" w:lineRule="auto"/>
        <w:jc w:val="both"/>
        <w:rPr>
          <w:color w:val="000000" w:themeColor="text1"/>
        </w:rPr>
      </w:pPr>
    </w:p>
    <w:p w14:paraId="39D50A78" w14:textId="4288D588"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Key Words: </w:t>
      </w:r>
      <w:r w:rsidRPr="004541C8">
        <w:rPr>
          <w:rFonts w:ascii="Book Antiqua" w:eastAsia="Book Antiqua" w:hAnsi="Book Antiqua" w:cs="Book Antiqua"/>
          <w:color w:val="000000" w:themeColor="text1"/>
        </w:rPr>
        <w:t>S</w:t>
      </w:r>
      <w:r w:rsidR="00FB2929" w:rsidRPr="004541C8">
        <w:rPr>
          <w:rFonts w:ascii="Book Antiqua" w:eastAsia="Book Antiqua" w:hAnsi="Book Antiqua" w:cs="Book Antiqua"/>
          <w:color w:val="000000" w:themeColor="text1"/>
        </w:rPr>
        <w:t>odium/glucose cotransporter</w:t>
      </w:r>
      <w:r w:rsidR="00521E5F">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2</w:t>
      </w:r>
      <w:r w:rsidRPr="004541C8">
        <w:rPr>
          <w:rFonts w:ascii="Book Antiqua" w:eastAsia="Book Antiqua" w:hAnsi="Book Antiqua" w:cs="Book Antiqua"/>
          <w:color w:val="000000" w:themeColor="text1"/>
        </w:rPr>
        <w:t xml:space="preserve"> inhibitors; Glucagon-like-1 receptor agonists; Type 2 diabetes mellitus; Body weight; Glycemic control; </w:t>
      </w:r>
      <w:proofErr w:type="gramStart"/>
      <w:r w:rsidRPr="004541C8">
        <w:rPr>
          <w:rFonts w:ascii="Book Antiqua" w:eastAsia="Book Antiqua" w:hAnsi="Book Antiqua" w:cs="Book Antiqua"/>
          <w:color w:val="000000" w:themeColor="text1"/>
        </w:rPr>
        <w:t>Cardiovascular</w:t>
      </w:r>
      <w:proofErr w:type="gramEnd"/>
      <w:r w:rsidRPr="004541C8">
        <w:rPr>
          <w:rFonts w:ascii="Book Antiqua" w:eastAsia="Book Antiqua" w:hAnsi="Book Antiqua" w:cs="Book Antiqua"/>
          <w:color w:val="000000" w:themeColor="text1"/>
        </w:rPr>
        <w:t xml:space="preserve"> complications</w:t>
      </w:r>
    </w:p>
    <w:p w14:paraId="3CFF837F" w14:textId="77777777" w:rsidR="00A77B3E" w:rsidRPr="004541C8" w:rsidRDefault="00A77B3E" w:rsidP="004541C8">
      <w:pPr>
        <w:snapToGrid w:val="0"/>
        <w:spacing w:line="360" w:lineRule="auto"/>
        <w:jc w:val="both"/>
        <w:rPr>
          <w:color w:val="000000" w:themeColor="text1"/>
        </w:rPr>
      </w:pPr>
    </w:p>
    <w:p w14:paraId="524709AA" w14:textId="77777777" w:rsidR="00D60F0A" w:rsidRDefault="00D60F0A" w:rsidP="004541C8">
      <w:pPr>
        <w:snapToGrid w:val="0"/>
        <w:spacing w:line="360" w:lineRule="auto"/>
        <w:jc w:val="both"/>
        <w:rPr>
          <w:rFonts w:ascii="Book Antiqua" w:hAnsi="Book Antiqua" w:hint="eastAsia"/>
          <w:iCs/>
          <w:color w:val="000000"/>
          <w:lang w:eastAsia="zh-CN"/>
        </w:rPr>
      </w:pPr>
      <w:r w:rsidRPr="00D60F0A">
        <w:rPr>
          <w:rFonts w:ascii="Book Antiqua" w:hAnsi="Book Antiqua" w:cs="Book Antiqua" w:hint="eastAsia"/>
          <w:b/>
          <w:color w:val="000000" w:themeColor="text1"/>
          <w:lang w:eastAsia="zh-CN"/>
        </w:rPr>
        <w:t xml:space="preserve">Citation: </w:t>
      </w:r>
      <w:proofErr w:type="spellStart"/>
      <w:r w:rsidR="009A4518" w:rsidRPr="004541C8">
        <w:rPr>
          <w:rFonts w:ascii="Book Antiqua" w:eastAsia="Book Antiqua" w:hAnsi="Book Antiqua" w:cs="Book Antiqua"/>
          <w:color w:val="000000" w:themeColor="text1"/>
        </w:rPr>
        <w:t>Cigrovski</w:t>
      </w:r>
      <w:proofErr w:type="spellEnd"/>
      <w:r w:rsidR="009A4518" w:rsidRPr="004541C8">
        <w:rPr>
          <w:rFonts w:ascii="Book Antiqua" w:eastAsia="Book Antiqua" w:hAnsi="Book Antiqua" w:cs="Book Antiqua"/>
          <w:color w:val="000000" w:themeColor="text1"/>
        </w:rPr>
        <w:t xml:space="preserve"> </w:t>
      </w:r>
      <w:proofErr w:type="spellStart"/>
      <w:r w:rsidR="009A4518" w:rsidRPr="004541C8">
        <w:rPr>
          <w:rFonts w:ascii="Book Antiqua" w:eastAsia="Book Antiqua" w:hAnsi="Book Antiqua" w:cs="Book Antiqua"/>
          <w:color w:val="000000" w:themeColor="text1"/>
        </w:rPr>
        <w:t>Berkovic</w:t>
      </w:r>
      <w:proofErr w:type="spellEnd"/>
      <w:r w:rsidR="009A4518" w:rsidRPr="004541C8">
        <w:rPr>
          <w:rFonts w:ascii="Book Antiqua" w:eastAsia="Book Antiqua" w:hAnsi="Book Antiqua" w:cs="Book Antiqua"/>
          <w:color w:val="000000" w:themeColor="text1"/>
        </w:rPr>
        <w:t xml:space="preserve"> M, </w:t>
      </w:r>
      <w:proofErr w:type="spellStart"/>
      <w:r w:rsidR="009A4518" w:rsidRPr="004541C8">
        <w:rPr>
          <w:rFonts w:ascii="Book Antiqua" w:eastAsia="Book Antiqua" w:hAnsi="Book Antiqua" w:cs="Book Antiqua"/>
          <w:color w:val="000000" w:themeColor="text1"/>
        </w:rPr>
        <w:t>Bilic-Curcic</w:t>
      </w:r>
      <w:proofErr w:type="spellEnd"/>
      <w:r w:rsidR="009A4518" w:rsidRPr="004541C8">
        <w:rPr>
          <w:rFonts w:ascii="Book Antiqua" w:eastAsia="Book Antiqua" w:hAnsi="Book Antiqua" w:cs="Book Antiqua"/>
          <w:color w:val="000000" w:themeColor="text1"/>
        </w:rPr>
        <w:t xml:space="preserve"> I, Bozek T, Herman Mahecic D, Klobucar Majanovic S, Canecki-Varzic S, Andric J, Maru</w:t>
      </w:r>
      <w:r w:rsidR="003F6B6A" w:rsidRPr="004541C8">
        <w:rPr>
          <w:rFonts w:ascii="Book Antiqua" w:eastAsia="Book Antiqua" w:hAnsi="Book Antiqua" w:cs="Book Antiqua"/>
          <w:color w:val="000000" w:themeColor="text1"/>
        </w:rPr>
        <w:t>s</w:t>
      </w:r>
      <w:r w:rsidR="009A4518" w:rsidRPr="004541C8">
        <w:rPr>
          <w:rFonts w:ascii="Book Antiqua" w:eastAsia="Book Antiqua" w:hAnsi="Book Antiqua" w:cs="Book Antiqua"/>
          <w:color w:val="000000" w:themeColor="text1"/>
        </w:rPr>
        <w:t>i</w:t>
      </w:r>
      <w:r w:rsidR="003F6B6A" w:rsidRPr="004541C8">
        <w:rPr>
          <w:rFonts w:ascii="Book Antiqua" w:eastAsia="Book Antiqua" w:hAnsi="Book Antiqua" w:cs="Book Antiqua"/>
          <w:color w:val="000000" w:themeColor="text1"/>
        </w:rPr>
        <w:t>c</w:t>
      </w:r>
      <w:r w:rsidR="009A4518" w:rsidRPr="004541C8">
        <w:rPr>
          <w:rFonts w:ascii="Book Antiqua" w:eastAsia="Book Antiqua" w:hAnsi="Book Antiqua" w:cs="Book Antiqua"/>
          <w:color w:val="000000" w:themeColor="text1"/>
        </w:rPr>
        <w:t xml:space="preserve"> S, Mrzljak A.</w:t>
      </w:r>
      <w:r w:rsidR="00852E8A" w:rsidRPr="004541C8">
        <w:rPr>
          <w:color w:val="000000" w:themeColor="text1"/>
        </w:rPr>
        <w:t xml:space="preserve"> </w:t>
      </w:r>
      <w:r w:rsidR="00852E8A" w:rsidRPr="004541C8">
        <w:rPr>
          <w:rFonts w:ascii="Book Antiqua" w:eastAsia="Book Antiqua" w:hAnsi="Book Antiqua" w:cs="Book Antiqua"/>
          <w:color w:val="000000" w:themeColor="text1"/>
        </w:rPr>
        <w:t>Glucagon-like-1 receptor agonistsGLP-1RA and sodium/glucose cotransporter</w:t>
      </w:r>
      <w:r w:rsidR="00521E5F">
        <w:rPr>
          <w:rFonts w:ascii="Book Antiqua" w:eastAsia="Book Antiqua" w:hAnsi="Book Antiqua" w:cs="Book Antiqua"/>
          <w:color w:val="000000" w:themeColor="text1"/>
        </w:rPr>
        <w:t>-</w:t>
      </w:r>
      <w:r w:rsidR="00852E8A" w:rsidRPr="004541C8">
        <w:rPr>
          <w:rFonts w:ascii="Book Antiqua" w:eastAsia="Book Antiqua" w:hAnsi="Book Antiqua" w:cs="Book Antiqua"/>
          <w:color w:val="000000" w:themeColor="text1"/>
        </w:rPr>
        <w:t>2 inhibitors</w:t>
      </w:r>
      <w:r w:rsidR="009A4518" w:rsidRPr="004541C8">
        <w:rPr>
          <w:rFonts w:ascii="Book Antiqua" w:eastAsia="Book Antiqua" w:hAnsi="Book Antiqua" w:cs="Book Antiqua"/>
          <w:color w:val="000000" w:themeColor="text1"/>
        </w:rPr>
        <w:t xml:space="preserve"> combination</w:t>
      </w:r>
      <w:r w:rsidR="00852E8A" w:rsidRPr="004541C8">
        <w:rPr>
          <w:rFonts w:ascii="Book Antiqua" w:eastAsia="Book Antiqua" w:hAnsi="Book Antiqua" w:cs="Book Antiqua"/>
          <w:color w:val="000000" w:themeColor="text1"/>
        </w:rPr>
        <w:t>—</w:t>
      </w:r>
      <w:r w:rsidR="009A4518" w:rsidRPr="004541C8">
        <w:rPr>
          <w:rFonts w:ascii="Book Antiqua" w:eastAsia="Book Antiqua" w:hAnsi="Book Antiqua" w:cs="Book Antiqua"/>
          <w:color w:val="000000" w:themeColor="text1"/>
        </w:rPr>
        <w:t>are we exploiting their full potential in a real life setting</w:t>
      </w:r>
      <w:r w:rsidR="008F4ED0">
        <w:rPr>
          <w:rFonts w:ascii="Book Antiqua" w:eastAsia="Book Antiqua" w:hAnsi="Book Antiqua" w:cs="Book Antiqua"/>
          <w:color w:val="000000" w:themeColor="text1"/>
        </w:rPr>
        <w:t>?</w:t>
      </w:r>
      <w:r w:rsidR="009A4518" w:rsidRPr="004541C8">
        <w:rPr>
          <w:rFonts w:ascii="Book Antiqua" w:eastAsia="Book Antiqua" w:hAnsi="Book Antiqua" w:cs="Book Antiqua"/>
          <w:color w:val="000000" w:themeColor="text1"/>
        </w:rPr>
        <w:t xml:space="preserve"> </w:t>
      </w:r>
      <w:r w:rsidR="009A4518" w:rsidRPr="004541C8">
        <w:rPr>
          <w:rFonts w:ascii="Book Antiqua" w:eastAsia="Book Antiqua" w:hAnsi="Book Antiqua" w:cs="Book Antiqua"/>
          <w:i/>
          <w:iCs/>
          <w:color w:val="000000" w:themeColor="text1"/>
        </w:rPr>
        <w:t>World J Diabetes</w:t>
      </w:r>
      <w:r w:rsidR="009A4518" w:rsidRPr="004541C8">
        <w:rPr>
          <w:rFonts w:ascii="Book Antiqua" w:eastAsia="Book Antiqua" w:hAnsi="Book Antiqua" w:cs="Book Antiqua"/>
          <w:color w:val="000000" w:themeColor="text1"/>
        </w:rPr>
        <w:t xml:space="preserve"> 2020; </w:t>
      </w:r>
      <w:r w:rsidR="00BA4CBC" w:rsidRPr="00E31E0C">
        <w:rPr>
          <w:rFonts w:ascii="Book Antiqua" w:hAnsi="Book Antiqua"/>
          <w:iCs/>
          <w:color w:val="000000"/>
        </w:rPr>
        <w:t>11(</w:t>
      </w:r>
      <w:r w:rsidR="00BA4CBC">
        <w:rPr>
          <w:rFonts w:ascii="Book Antiqua" w:hAnsi="Book Antiqua" w:hint="eastAsia"/>
          <w:iCs/>
          <w:color w:val="000000"/>
          <w:lang w:eastAsia="zh-CN"/>
        </w:rPr>
        <w:t>11</w:t>
      </w:r>
      <w:r w:rsidR="00BA4CBC" w:rsidRPr="00E31E0C">
        <w:rPr>
          <w:rFonts w:ascii="Book Antiqua" w:hAnsi="Book Antiqua"/>
          <w:iCs/>
          <w:color w:val="000000"/>
        </w:rPr>
        <w:t xml:space="preserve">): </w:t>
      </w:r>
      <w:r w:rsidR="00BA4CBC">
        <w:rPr>
          <w:rFonts w:ascii="Book Antiqua" w:hAnsi="Book Antiqua" w:hint="eastAsia"/>
          <w:iCs/>
          <w:color w:val="000000"/>
          <w:lang w:eastAsia="zh-CN"/>
        </w:rPr>
        <w:t>540</w:t>
      </w:r>
      <w:r w:rsidR="00BA4CBC" w:rsidRPr="00E31E0C">
        <w:rPr>
          <w:rFonts w:ascii="Book Antiqua" w:hAnsi="Book Antiqua"/>
          <w:iCs/>
          <w:color w:val="000000"/>
        </w:rPr>
        <w:t>-</w:t>
      </w:r>
      <w:r w:rsidR="00BA4CBC">
        <w:rPr>
          <w:rFonts w:ascii="Book Antiqua" w:hAnsi="Book Antiqua" w:hint="eastAsia"/>
          <w:iCs/>
          <w:color w:val="000000"/>
          <w:lang w:eastAsia="zh-CN"/>
        </w:rPr>
        <w:t>552</w:t>
      </w:r>
    </w:p>
    <w:p w14:paraId="6A00E06F" w14:textId="70005E3E" w:rsidR="00D60F0A" w:rsidRDefault="00BA4CBC" w:rsidP="004541C8">
      <w:pPr>
        <w:snapToGrid w:val="0"/>
        <w:spacing w:line="360" w:lineRule="auto"/>
        <w:jc w:val="both"/>
        <w:rPr>
          <w:rFonts w:ascii="Book Antiqua" w:hAnsi="Book Antiqua" w:hint="eastAsia"/>
          <w:iCs/>
          <w:color w:val="000000"/>
          <w:lang w:eastAsia="zh-CN"/>
        </w:rPr>
      </w:pPr>
      <w:r w:rsidRPr="00D60F0A">
        <w:rPr>
          <w:rFonts w:ascii="Book Antiqua" w:hAnsi="Book Antiqua"/>
          <w:b/>
          <w:iCs/>
          <w:color w:val="000000"/>
        </w:rPr>
        <w:t>URL:</w:t>
      </w:r>
      <w:r w:rsidRPr="00CA3BC1">
        <w:rPr>
          <w:rFonts w:ascii="Book Antiqua" w:hAnsi="Book Antiqua"/>
          <w:iCs/>
          <w:color w:val="000000"/>
        </w:rPr>
        <w:t xml:space="preserve"> </w:t>
      </w:r>
      <w:hyperlink r:id="rId9" w:history="1">
        <w:r w:rsidR="00D60F0A" w:rsidRPr="00693155">
          <w:rPr>
            <w:rStyle w:val="aa"/>
            <w:rFonts w:ascii="Book Antiqua" w:hAnsi="Book Antiqua"/>
            <w:iCs/>
          </w:rPr>
          <w:t>https://www.wjgnet.com/1948-9358/full/v11/i</w:t>
        </w:r>
        <w:r w:rsidR="00D60F0A" w:rsidRPr="00693155">
          <w:rPr>
            <w:rStyle w:val="aa"/>
            <w:rFonts w:ascii="Book Antiqua" w:hAnsi="Book Antiqua" w:hint="eastAsia"/>
            <w:iCs/>
            <w:lang w:eastAsia="zh-CN"/>
          </w:rPr>
          <w:t>11</w:t>
        </w:r>
        <w:r w:rsidR="00D60F0A" w:rsidRPr="00693155">
          <w:rPr>
            <w:rStyle w:val="aa"/>
            <w:rFonts w:ascii="Book Antiqua" w:hAnsi="Book Antiqua"/>
            <w:iCs/>
          </w:rPr>
          <w:t>/</w:t>
        </w:r>
        <w:r w:rsidR="00D60F0A" w:rsidRPr="00693155">
          <w:rPr>
            <w:rStyle w:val="aa"/>
            <w:rFonts w:ascii="Book Antiqua" w:hAnsi="Book Antiqua" w:hint="eastAsia"/>
            <w:iCs/>
            <w:lang w:eastAsia="zh-CN"/>
          </w:rPr>
          <w:t>540</w:t>
        </w:r>
        <w:r w:rsidR="00D60F0A" w:rsidRPr="00693155">
          <w:rPr>
            <w:rStyle w:val="aa"/>
            <w:rFonts w:ascii="Book Antiqua" w:hAnsi="Book Antiqua"/>
            <w:iCs/>
          </w:rPr>
          <w:t>.htm</w:t>
        </w:r>
      </w:hyperlink>
      <w:r w:rsidRPr="00E31E0C">
        <w:rPr>
          <w:rFonts w:ascii="Book Antiqua" w:hAnsi="Book Antiqua"/>
          <w:iCs/>
          <w:color w:val="000000"/>
        </w:rPr>
        <w:t xml:space="preserve"> </w:t>
      </w:r>
    </w:p>
    <w:p w14:paraId="31647A2D" w14:textId="3EAEF3C4" w:rsidR="00A77B3E" w:rsidRPr="004541C8" w:rsidRDefault="00BA4CBC" w:rsidP="004541C8">
      <w:pPr>
        <w:snapToGrid w:val="0"/>
        <w:spacing w:line="360" w:lineRule="auto"/>
        <w:jc w:val="both"/>
        <w:rPr>
          <w:color w:val="000000" w:themeColor="text1"/>
        </w:rPr>
      </w:pPr>
      <w:bookmarkStart w:id="5" w:name="_GoBack"/>
      <w:r w:rsidRPr="00D60F0A">
        <w:rPr>
          <w:rFonts w:ascii="Book Antiqua" w:hAnsi="Book Antiqua"/>
          <w:b/>
          <w:iCs/>
          <w:color w:val="000000"/>
        </w:rPr>
        <w:t>DOI:</w:t>
      </w:r>
      <w:bookmarkEnd w:id="5"/>
      <w:r w:rsidRPr="00E31E0C">
        <w:rPr>
          <w:rFonts w:ascii="Book Antiqua" w:hAnsi="Book Antiqua"/>
          <w:iCs/>
          <w:color w:val="000000"/>
        </w:rPr>
        <w:t xml:space="preserve"> https://dx.doi.org/10.4239/wjd.v11.i</w:t>
      </w:r>
      <w:r>
        <w:rPr>
          <w:rFonts w:ascii="Book Antiqua" w:hAnsi="Book Antiqua" w:hint="eastAsia"/>
          <w:iCs/>
          <w:color w:val="000000"/>
          <w:lang w:eastAsia="zh-CN"/>
        </w:rPr>
        <w:t>11</w:t>
      </w:r>
      <w:r w:rsidRPr="00E31E0C">
        <w:rPr>
          <w:rFonts w:ascii="Book Antiqua" w:hAnsi="Book Antiqua"/>
          <w:iCs/>
          <w:color w:val="000000"/>
        </w:rPr>
        <w:t>.</w:t>
      </w:r>
      <w:r>
        <w:rPr>
          <w:rFonts w:ascii="Book Antiqua" w:hAnsi="Book Antiqua" w:hint="eastAsia"/>
          <w:iCs/>
          <w:color w:val="000000"/>
          <w:lang w:eastAsia="zh-CN"/>
        </w:rPr>
        <w:t>5</w:t>
      </w:r>
      <w:r>
        <w:rPr>
          <w:rFonts w:ascii="Book Antiqua" w:hAnsi="Book Antiqua" w:hint="eastAsia"/>
          <w:iCs/>
          <w:color w:val="000000"/>
          <w:lang w:eastAsia="zh-CN"/>
        </w:rPr>
        <w:t>40</w:t>
      </w:r>
    </w:p>
    <w:p w14:paraId="76AFDE6C" w14:textId="77777777" w:rsidR="00A77B3E" w:rsidRPr="004541C8" w:rsidRDefault="00A77B3E" w:rsidP="004541C8">
      <w:pPr>
        <w:snapToGrid w:val="0"/>
        <w:spacing w:line="360" w:lineRule="auto"/>
        <w:jc w:val="both"/>
        <w:rPr>
          <w:color w:val="000000" w:themeColor="text1"/>
        </w:rPr>
      </w:pPr>
    </w:p>
    <w:p w14:paraId="53F4B96A" w14:textId="4A37307A"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Core Tip: </w:t>
      </w:r>
      <w:r w:rsidRPr="004541C8">
        <w:rPr>
          <w:rFonts w:ascii="Book Antiqua" w:eastAsia="Book Antiqua" w:hAnsi="Book Antiqua" w:cs="Book Antiqua"/>
          <w:color w:val="000000" w:themeColor="text1"/>
        </w:rPr>
        <w:t xml:space="preserve">Both </w:t>
      </w:r>
      <w:r w:rsidR="00FB2929" w:rsidRPr="004541C8">
        <w:rPr>
          <w:rFonts w:ascii="Book Antiqua" w:eastAsia="Book Antiqua" w:hAnsi="Book Antiqua" w:cs="Book Antiqua"/>
          <w:color w:val="000000" w:themeColor="text1"/>
        </w:rPr>
        <w:t>glucagon-like-1 receptor agonists</w:t>
      </w:r>
      <w:r w:rsidRPr="004541C8">
        <w:rPr>
          <w:rFonts w:ascii="Book Antiqua" w:eastAsia="Book Antiqua" w:hAnsi="Book Antiqua" w:cs="Book Antiqua"/>
          <w:color w:val="000000" w:themeColor="text1"/>
        </w:rPr>
        <w:t xml:space="preserve"> and </w:t>
      </w:r>
      <w:r w:rsidR="00FB2929"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2 inhibitors </w:t>
      </w:r>
      <w:r w:rsidRPr="004541C8">
        <w:rPr>
          <w:rFonts w:ascii="Book Antiqua" w:eastAsia="Book Antiqua" w:hAnsi="Book Antiqua" w:cs="Book Antiqua"/>
          <w:color w:val="000000" w:themeColor="text1"/>
        </w:rPr>
        <w:t xml:space="preserve">when added sequentially to the other or simultaneously decrease the </w:t>
      </w:r>
      <w:r w:rsidR="00FB2929" w:rsidRPr="004541C8">
        <w:rPr>
          <w:rFonts w:ascii="Book Antiqua" w:eastAsia="Book Antiqua" w:hAnsi="Book Antiqua" w:cs="Book Antiqua"/>
          <w:color w:val="000000" w:themeColor="text1"/>
        </w:rPr>
        <w:t>hemoglobin A1c (</w:t>
      </w:r>
      <w:r w:rsidRPr="004541C8">
        <w:rPr>
          <w:rFonts w:ascii="Book Antiqua" w:eastAsia="Book Antiqua" w:hAnsi="Book Antiqua" w:cs="Book Antiqua"/>
          <w:color w:val="000000" w:themeColor="text1"/>
        </w:rPr>
        <w:t>HbA1c</w:t>
      </w:r>
      <w:r w:rsidR="00FB2929" w:rsidRPr="004541C8">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 and reduce the </w:t>
      </w:r>
      <w:r w:rsidR="00FB2929" w:rsidRPr="004541C8">
        <w:rPr>
          <w:rFonts w:ascii="Book Antiqua" w:eastAsia="Book Antiqua" w:hAnsi="Book Antiqua" w:cs="Book Antiqua"/>
          <w:color w:val="000000" w:themeColor="text1"/>
        </w:rPr>
        <w:t>body mass index</w:t>
      </w:r>
      <w:r w:rsidRPr="004541C8">
        <w:rPr>
          <w:rFonts w:ascii="Book Antiqua" w:eastAsia="Book Antiqua" w:hAnsi="Book Antiqua" w:cs="Book Antiqua"/>
          <w:color w:val="000000" w:themeColor="text1"/>
        </w:rPr>
        <w:t>, but the weight lo</w:t>
      </w:r>
      <w:r w:rsidR="00E3013E" w:rsidRPr="004541C8">
        <w:rPr>
          <w:rFonts w:ascii="Book Antiqua" w:eastAsia="Book Antiqua" w:hAnsi="Book Antiqua" w:cs="Book Antiqua"/>
          <w:color w:val="000000" w:themeColor="text1"/>
        </w:rPr>
        <w:t>ss</w:t>
      </w:r>
      <w:r w:rsidRPr="004541C8">
        <w:rPr>
          <w:rFonts w:ascii="Book Antiqua" w:eastAsia="Book Antiqua" w:hAnsi="Book Antiqua" w:cs="Book Antiqua"/>
          <w:color w:val="000000" w:themeColor="text1"/>
        </w:rPr>
        <w:t xml:space="preserve"> and </w:t>
      </w:r>
      <w:r w:rsidRPr="004541C8">
        <w:rPr>
          <w:rFonts w:ascii="Book Antiqua" w:eastAsia="Book Antiqua" w:hAnsi="Book Antiqua" w:cs="Book Antiqua"/>
          <w:color w:val="000000" w:themeColor="text1"/>
        </w:rPr>
        <w:lastRenderedPageBreak/>
        <w:t>glucose-lowering potential is not additive in case of their simultaneous use.</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 xml:space="preserve">Half of the patients achieved target HbA1c below 7%, irrespective of treatment group (sequential or simultaneous addition). </w:t>
      </w:r>
      <w:r w:rsidR="00E3013E" w:rsidRPr="004541C8">
        <w:rPr>
          <w:rFonts w:ascii="Book Antiqua" w:eastAsia="Book Antiqua" w:hAnsi="Book Antiqua" w:cs="Book Antiqua"/>
          <w:color w:val="000000" w:themeColor="text1"/>
        </w:rPr>
        <w:t>Five percent</w:t>
      </w:r>
      <w:r w:rsidRPr="004541C8">
        <w:rPr>
          <w:rFonts w:ascii="Book Antiqua" w:eastAsia="Book Antiqua" w:hAnsi="Book Antiqua" w:cs="Book Antiqua"/>
          <w:color w:val="000000" w:themeColor="text1"/>
        </w:rPr>
        <w:t xml:space="preserve"> weight loss was dominantly achieved in the simultaneous therapy group. Composite outcome (reduction of HbA1c below 7% with 5% weight loss) was achieved in 32.3%</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 xml:space="preserve">while 18.2% of total patients attained composite outcome defined as HbA1c below 7% with 5% weight loss and </w:t>
      </w:r>
      <w:r w:rsidR="00B51EE1" w:rsidRPr="004541C8">
        <w:rPr>
          <w:rFonts w:ascii="Book Antiqua" w:eastAsia="Book Antiqua" w:hAnsi="Book Antiqua" w:cs="Book Antiqua"/>
          <w:color w:val="000000" w:themeColor="text1"/>
        </w:rPr>
        <w:t xml:space="preserve">low-density lipoprotein </w:t>
      </w:r>
      <w:r w:rsidRPr="004541C8">
        <w:rPr>
          <w:rFonts w:ascii="Book Antiqua" w:eastAsia="Book Antiqua" w:hAnsi="Book Antiqua" w:cs="Book Antiqua"/>
          <w:color w:val="000000" w:themeColor="text1"/>
        </w:rPr>
        <w:t>cholesterol &lt;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2.5 mmol/L.</w:t>
      </w:r>
    </w:p>
    <w:p w14:paraId="6E79EBCD" w14:textId="77777777" w:rsidR="00A77B3E" w:rsidRPr="004541C8" w:rsidRDefault="00FB2929" w:rsidP="004541C8">
      <w:pPr>
        <w:snapToGrid w:val="0"/>
        <w:spacing w:line="360" w:lineRule="auto"/>
        <w:jc w:val="both"/>
        <w:rPr>
          <w:color w:val="000000" w:themeColor="text1"/>
        </w:rPr>
      </w:pPr>
      <w:r w:rsidRPr="004541C8">
        <w:rPr>
          <w:color w:val="000000" w:themeColor="text1"/>
        </w:rPr>
        <w:br w:type="page"/>
      </w:r>
      <w:r w:rsidR="009A4518" w:rsidRPr="004541C8">
        <w:rPr>
          <w:rFonts w:ascii="Book Antiqua" w:eastAsia="Book Antiqua" w:hAnsi="Book Antiqua" w:cs="Book Antiqua"/>
          <w:b/>
          <w:caps/>
          <w:color w:val="000000" w:themeColor="text1"/>
          <w:u w:val="single"/>
        </w:rPr>
        <w:lastRenderedPageBreak/>
        <w:t>INTRODUCTION</w:t>
      </w:r>
    </w:p>
    <w:p w14:paraId="5657FE93" w14:textId="77777777" w:rsidR="00A07FE5" w:rsidRPr="004541C8" w:rsidRDefault="00A07FE5" w:rsidP="004541C8">
      <w:pPr>
        <w:snapToGrid w:val="0"/>
        <w:spacing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Treating type 2 diabetes (T2DM) in the era of new anti-diabetic drugs has not lessened the challenge of choosing the appropriate agents for the specific phase in the disease pathophysiology. </w:t>
      </w:r>
    </w:p>
    <w:p w14:paraId="08CE24D9" w14:textId="424B8C77"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Both glucagon-like-1 receptor agonists (GLP-1RA) and sodium glucose cotransporter-2 inhibitors (SGLT-2i) have recently been shown to reduce cardiovascular (CV) events when used in either primary or secondary prevention in the treatment of patients with T2DM. SGLT-2 inhibitors exert CV protective actions by primarily hemodynamic effects, while GLP-1 RAs mainly act </w:t>
      </w:r>
      <w:r w:rsidRPr="004541C8">
        <w:rPr>
          <w:rFonts w:ascii="Book Antiqua" w:hAnsi="Book Antiqua" w:cs="Arial"/>
          <w:i/>
          <w:iCs/>
          <w:color w:val="000000" w:themeColor="text1"/>
        </w:rPr>
        <w:t>via</w:t>
      </w:r>
      <w:r w:rsidRPr="004541C8">
        <w:rPr>
          <w:rFonts w:ascii="Book Antiqua" w:hAnsi="Book Antiqua" w:cs="Arial"/>
          <w:color w:val="000000" w:themeColor="text1"/>
        </w:rPr>
        <w:t xml:space="preserve"> anti-atherogenic mechanisms. Both drug classes reduce microalbuminuria and slow down the development/progression of end-stage renal disease. In terms of managing overweight or obese T2DM patients with inadequately controlled glycemia, the GLP-1RA/SGLT-2i combination might be particularly useful in achieving both glycemic and body weight </w:t>
      </w:r>
      <w:proofErr w:type="gramStart"/>
      <w:r w:rsidRPr="004541C8">
        <w:rPr>
          <w:rFonts w:ascii="Book Antiqua" w:hAnsi="Book Antiqua" w:cs="Arial"/>
          <w:color w:val="000000" w:themeColor="text1"/>
        </w:rPr>
        <w:t>targets</w:t>
      </w:r>
      <w:r w:rsidRPr="004541C8">
        <w:rPr>
          <w:rFonts w:ascii="Book Antiqua" w:hAnsi="Book Antiqua" w:cs="Arial"/>
          <w:color w:val="000000" w:themeColor="text1"/>
          <w:vertAlign w:val="superscript"/>
        </w:rPr>
        <w:t>[</w:t>
      </w:r>
      <w:proofErr w:type="gramEnd"/>
      <w:r w:rsidRPr="004541C8">
        <w:rPr>
          <w:rFonts w:ascii="Book Antiqua" w:hAnsi="Book Antiqua" w:cs="Arial"/>
          <w:color w:val="000000" w:themeColor="text1"/>
          <w:vertAlign w:val="superscript"/>
        </w:rPr>
        <w:t>1]</w:t>
      </w:r>
      <w:r w:rsidRPr="004541C8">
        <w:rPr>
          <w:rFonts w:ascii="Book Antiqua" w:hAnsi="Book Antiqua" w:cs="Arial"/>
          <w:color w:val="000000" w:themeColor="text1"/>
        </w:rPr>
        <w:t>.</w:t>
      </w:r>
    </w:p>
    <w:p w14:paraId="67684B55" w14:textId="79167BAF"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possibility of the additive value of treatment intensification with GLP-1RA in uncontrolled T2DM on SGLT-2i was assessed in </w:t>
      </w:r>
      <w:r w:rsidR="00C90A7B" w:rsidRPr="004541C8">
        <w:rPr>
          <w:rFonts w:ascii="Book Antiqua" w:hAnsi="Book Antiqua" w:cs="Arial"/>
          <w:color w:val="000000" w:themeColor="text1"/>
        </w:rPr>
        <w:t>five</w:t>
      </w:r>
      <w:r w:rsidRPr="004541C8">
        <w:rPr>
          <w:rFonts w:ascii="Book Antiqua" w:hAnsi="Book Antiqua" w:cs="Arial"/>
          <w:color w:val="000000" w:themeColor="text1"/>
        </w:rPr>
        <w:t xml:space="preserve"> randomized controlled trials (RCTs) (AWARD-10, DUAL IX, DURATION-8, SUSTAIN 9 and PIONEER-4), including altogether 1793 T2DM patients. Combination therapy with the addition of </w:t>
      </w:r>
      <w:proofErr w:type="spellStart"/>
      <w:r w:rsidRPr="004541C8">
        <w:rPr>
          <w:rFonts w:ascii="Book Antiqua" w:hAnsi="Book Antiqua" w:cs="Arial"/>
          <w:color w:val="000000" w:themeColor="text1"/>
        </w:rPr>
        <w:t>dulaglutide</w:t>
      </w:r>
      <w:proofErr w:type="spellEnd"/>
      <w:r w:rsidRPr="004541C8">
        <w:rPr>
          <w:rFonts w:ascii="Book Antiqua" w:hAnsi="Book Antiqua" w:cs="Arial"/>
          <w:color w:val="000000" w:themeColor="text1"/>
        </w:rPr>
        <w:t xml:space="preserve">, </w:t>
      </w:r>
      <w:r w:rsidR="009A7BF9">
        <w:rPr>
          <w:rFonts w:ascii="Book Antiqua" w:hAnsi="Book Antiqua" w:cs="Arial"/>
          <w:color w:val="000000" w:themeColor="text1"/>
        </w:rPr>
        <w:t xml:space="preserve">insulin </w:t>
      </w:r>
      <w:proofErr w:type="spellStart"/>
      <w:r w:rsidR="009A7BF9">
        <w:rPr>
          <w:rFonts w:ascii="Book Antiqua" w:hAnsi="Book Antiqua" w:cs="Arial"/>
          <w:color w:val="000000" w:themeColor="text1"/>
        </w:rPr>
        <w:t>d</w:t>
      </w:r>
      <w:r w:rsidRPr="004541C8">
        <w:rPr>
          <w:rFonts w:ascii="Book Antiqua" w:hAnsi="Book Antiqua" w:cs="Arial"/>
          <w:color w:val="000000" w:themeColor="text1"/>
        </w:rPr>
        <w:t>egludec</w:t>
      </w:r>
      <w:proofErr w:type="spellEnd"/>
      <w:r w:rsidRPr="004541C8">
        <w:rPr>
          <w:rFonts w:ascii="Book Antiqua" w:hAnsi="Book Antiqua" w:cs="Arial"/>
          <w:color w:val="000000" w:themeColor="text1"/>
        </w:rPr>
        <w:t>/</w:t>
      </w:r>
      <w:proofErr w:type="spellStart"/>
      <w:r w:rsidRPr="004541C8">
        <w:rPr>
          <w:rFonts w:ascii="Book Antiqua" w:hAnsi="Book Antiqua" w:cs="Arial"/>
          <w:color w:val="000000" w:themeColor="text1"/>
        </w:rPr>
        <w:t>liraglutide</w:t>
      </w:r>
      <w:proofErr w:type="spellEnd"/>
      <w:r w:rsidRPr="004541C8">
        <w:rPr>
          <w:rFonts w:ascii="Book Antiqua" w:hAnsi="Book Antiqua" w:cs="Arial"/>
          <w:color w:val="000000" w:themeColor="text1"/>
        </w:rPr>
        <w:t xml:space="preserve">, </w:t>
      </w:r>
      <w:proofErr w:type="spellStart"/>
      <w:r w:rsidRPr="004541C8">
        <w:rPr>
          <w:rFonts w:ascii="Book Antiqua" w:hAnsi="Book Antiqua" w:cs="Arial"/>
          <w:color w:val="000000" w:themeColor="text1"/>
        </w:rPr>
        <w:t>exenatide</w:t>
      </w:r>
      <w:proofErr w:type="spellEnd"/>
      <w:r w:rsidRPr="004541C8">
        <w:rPr>
          <w:rFonts w:ascii="Book Antiqua" w:hAnsi="Book Antiqua" w:cs="Arial"/>
          <w:color w:val="000000" w:themeColor="text1"/>
        </w:rPr>
        <w:t xml:space="preserve"> once weekly, </w:t>
      </w:r>
      <w:r w:rsidR="00C90A7B" w:rsidRPr="004541C8">
        <w:rPr>
          <w:rFonts w:ascii="Book Antiqua" w:hAnsi="Book Antiqua" w:cs="Arial"/>
          <w:color w:val="000000" w:themeColor="text1"/>
        </w:rPr>
        <w:t xml:space="preserve">and </w:t>
      </w:r>
      <w:r w:rsidRPr="004541C8">
        <w:rPr>
          <w:rFonts w:ascii="Book Antiqua" w:hAnsi="Book Antiqua" w:cs="Arial"/>
          <w:color w:val="000000" w:themeColor="text1"/>
        </w:rPr>
        <w:t xml:space="preserve">subcutaneous and oral semaglutide or liraglutide, respectively, was more efficacious in </w:t>
      </w:r>
      <w:r w:rsidR="00C90A7B" w:rsidRPr="004541C8">
        <w:rPr>
          <w:rFonts w:ascii="Book Antiqua" w:hAnsi="Book Antiqua" w:cs="Arial"/>
          <w:color w:val="000000" w:themeColor="text1"/>
        </w:rPr>
        <w:t xml:space="preserve">lowering </w:t>
      </w:r>
      <w:r w:rsidR="00007ECE" w:rsidRPr="004541C8">
        <w:rPr>
          <w:rFonts w:ascii="Book Antiqua" w:hAnsi="Book Antiqua" w:cs="Arial"/>
          <w:color w:val="000000" w:themeColor="text1"/>
        </w:rPr>
        <w:t>hemoglobin A1c (</w:t>
      </w:r>
      <w:r w:rsidRPr="004541C8">
        <w:rPr>
          <w:rFonts w:ascii="Book Antiqua" w:hAnsi="Book Antiqua" w:cs="Arial"/>
          <w:color w:val="000000" w:themeColor="text1"/>
        </w:rPr>
        <w:t>HbA1c</w:t>
      </w:r>
      <w:r w:rsidR="00007ECE" w:rsidRPr="004541C8">
        <w:rPr>
          <w:rFonts w:ascii="Book Antiqua" w:hAnsi="Book Antiqua" w:cs="Arial"/>
          <w:color w:val="000000" w:themeColor="text1"/>
        </w:rPr>
        <w:t>)</w:t>
      </w:r>
      <w:r w:rsidRPr="004541C8">
        <w:rPr>
          <w:rFonts w:ascii="Book Antiqua" w:hAnsi="Book Antiqua" w:cs="Arial"/>
          <w:color w:val="000000" w:themeColor="text1"/>
        </w:rPr>
        <w:t>, weight lo</w:t>
      </w:r>
      <w:r w:rsidR="00C90A7B" w:rsidRPr="004541C8">
        <w:rPr>
          <w:rFonts w:ascii="Book Antiqua" w:hAnsi="Book Antiqua" w:cs="Arial"/>
          <w:color w:val="000000" w:themeColor="text1"/>
        </w:rPr>
        <w:t>ss</w:t>
      </w:r>
      <w:r w:rsidRPr="004541C8">
        <w:rPr>
          <w:rFonts w:ascii="Book Antiqua" w:hAnsi="Book Antiqua" w:cs="Arial"/>
          <w:color w:val="000000" w:themeColor="text1"/>
        </w:rPr>
        <w:t xml:space="preserve">, </w:t>
      </w:r>
      <w:r w:rsidR="00C90A7B" w:rsidRPr="004541C8">
        <w:rPr>
          <w:rFonts w:ascii="Book Antiqua" w:hAnsi="Book Antiqua" w:cs="Arial"/>
          <w:color w:val="000000" w:themeColor="text1"/>
        </w:rPr>
        <w:t xml:space="preserve">lowering </w:t>
      </w:r>
      <w:r w:rsidRPr="004541C8">
        <w:rPr>
          <w:rFonts w:ascii="Book Antiqua" w:hAnsi="Book Antiqua" w:cs="Arial"/>
          <w:color w:val="000000" w:themeColor="text1"/>
        </w:rPr>
        <w:t xml:space="preserve">systolic blood pressure and </w:t>
      </w:r>
      <w:r w:rsidR="00C90A7B" w:rsidRPr="004541C8">
        <w:rPr>
          <w:rFonts w:ascii="Book Antiqua" w:hAnsi="Book Antiqua" w:cs="Arial"/>
          <w:color w:val="000000" w:themeColor="text1"/>
        </w:rPr>
        <w:t xml:space="preserve">decreasing </w:t>
      </w:r>
      <w:r w:rsidRPr="004541C8">
        <w:rPr>
          <w:rFonts w:ascii="Book Antiqua" w:hAnsi="Book Antiqua" w:cs="Arial"/>
          <w:color w:val="000000" w:themeColor="text1"/>
        </w:rPr>
        <w:t>LDL-cholesterol</w:t>
      </w:r>
      <w:r w:rsidRPr="004541C8">
        <w:rPr>
          <w:rFonts w:ascii="Book Antiqua" w:hAnsi="Book Antiqua" w:cs="Arial"/>
          <w:color w:val="000000" w:themeColor="text1"/>
          <w:vertAlign w:val="superscript"/>
        </w:rPr>
        <w:t xml:space="preserve">[2-6] </w:t>
      </w:r>
      <w:r w:rsidRPr="004541C8">
        <w:rPr>
          <w:rFonts w:ascii="Book Antiqua" w:hAnsi="Book Antiqua" w:cs="Arial"/>
          <w:color w:val="000000" w:themeColor="text1"/>
        </w:rPr>
        <w:t xml:space="preserve">compared to sole SGLT-2 inhibition. </w:t>
      </w:r>
    </w:p>
    <w:p w14:paraId="271EE60E" w14:textId="77777777"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Literature also suggests the benefits of the drug combinations in the real-world setting, and the question remains if the sequence in which drugs are introduced is relevant for the management of diabetes and the long-term safety and efficacy results of such treatment </w:t>
      </w:r>
      <w:proofErr w:type="gramStart"/>
      <w:r w:rsidRPr="004541C8">
        <w:rPr>
          <w:rFonts w:ascii="Book Antiqua" w:hAnsi="Book Antiqua" w:cs="Arial"/>
          <w:color w:val="000000" w:themeColor="text1"/>
        </w:rPr>
        <w:t>modality</w:t>
      </w:r>
      <w:r w:rsidRPr="004541C8">
        <w:rPr>
          <w:rFonts w:ascii="Book Antiqua" w:hAnsi="Book Antiqua" w:cs="Arial"/>
          <w:color w:val="000000" w:themeColor="text1"/>
          <w:vertAlign w:val="superscript"/>
        </w:rPr>
        <w:t>[</w:t>
      </w:r>
      <w:proofErr w:type="gramEnd"/>
      <w:r w:rsidRPr="004541C8">
        <w:rPr>
          <w:rFonts w:ascii="Book Antiqua" w:hAnsi="Book Antiqua" w:cs="Arial"/>
          <w:color w:val="000000" w:themeColor="text1"/>
          <w:vertAlign w:val="superscript"/>
        </w:rPr>
        <w:t>7,8]</w:t>
      </w:r>
      <w:r w:rsidRPr="004541C8">
        <w:rPr>
          <w:rFonts w:ascii="Book Antiqua" w:hAnsi="Book Antiqua" w:cs="Arial"/>
          <w:color w:val="000000" w:themeColor="text1"/>
        </w:rPr>
        <w:t>.</w:t>
      </w:r>
    </w:p>
    <w:p w14:paraId="676C6952" w14:textId="4A4EB3E5"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use of some glucose-lowering drugs is related to the risk of hypoglycemia and additional weight gain, so adding agents with pleiotropic effects, especially CV benefits, such as GLP-1RA and SGLT-2i seems promising. Findings from the dedicated </w:t>
      </w:r>
      <w:r w:rsidR="00C90A7B" w:rsidRPr="004541C8">
        <w:rPr>
          <w:rFonts w:ascii="Book Antiqua" w:hAnsi="Book Antiqua" w:cs="Arial"/>
          <w:color w:val="000000" w:themeColor="text1"/>
        </w:rPr>
        <w:t>C</w:t>
      </w:r>
      <w:r w:rsidRPr="004541C8">
        <w:rPr>
          <w:rFonts w:ascii="Book Antiqua" w:hAnsi="Book Antiqua" w:cs="Arial"/>
          <w:color w:val="000000" w:themeColor="text1"/>
        </w:rPr>
        <w:t xml:space="preserve">ardiovascular </w:t>
      </w:r>
      <w:r w:rsidR="00C90A7B" w:rsidRPr="004541C8">
        <w:rPr>
          <w:rFonts w:ascii="Book Antiqua" w:hAnsi="Book Antiqua" w:cs="Arial"/>
          <w:color w:val="000000" w:themeColor="text1"/>
        </w:rPr>
        <w:t>O</w:t>
      </w:r>
      <w:r w:rsidRPr="004541C8">
        <w:rPr>
          <w:rFonts w:ascii="Book Antiqua" w:hAnsi="Book Antiqua" w:cs="Arial"/>
          <w:color w:val="000000" w:themeColor="text1"/>
        </w:rPr>
        <w:t xml:space="preserve">utcome </w:t>
      </w:r>
      <w:r w:rsidR="00C90A7B" w:rsidRPr="004541C8">
        <w:rPr>
          <w:rFonts w:ascii="Book Antiqua" w:hAnsi="Book Antiqua" w:cs="Arial"/>
          <w:color w:val="000000" w:themeColor="text1"/>
        </w:rPr>
        <w:t>T</w:t>
      </w:r>
      <w:r w:rsidRPr="004541C8">
        <w:rPr>
          <w:rFonts w:ascii="Book Antiqua" w:hAnsi="Book Antiqua" w:cs="Arial"/>
          <w:color w:val="000000" w:themeColor="text1"/>
        </w:rPr>
        <w:t xml:space="preserve">rials had an effect on the newer guidelines for the </w:t>
      </w:r>
      <w:r w:rsidRPr="004541C8">
        <w:rPr>
          <w:rFonts w:ascii="Book Antiqua" w:hAnsi="Book Antiqua" w:cs="Arial"/>
          <w:color w:val="000000" w:themeColor="text1"/>
        </w:rPr>
        <w:lastRenderedPageBreak/>
        <w:t xml:space="preserve">management of T2DM recommending the addition of GLP-1RA or SGLT-2i in patients with increased CV risk. In case of heart failure and renal disease, SGLT-2i appears more protective, but otherwise, due to lack of sufficient data from comparative trials, clinicians can choose between the two drug classes in a personalized approach. </w:t>
      </w:r>
    </w:p>
    <w:p w14:paraId="45115E82" w14:textId="3F07B5E3"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Data from RCTs suggest GLP-1RA/SGLT-2i combinations are more effective than SGLT-2i on HbA1c, with additional benefits seen through weight-losing potential and low risk of hypoglycemia and positive effects on systolic blood pressure and LDL-cholesterol, which are the known markers of CV </w:t>
      </w:r>
      <w:proofErr w:type="gramStart"/>
      <w:r w:rsidRPr="004541C8">
        <w:rPr>
          <w:rFonts w:ascii="Book Antiqua" w:hAnsi="Book Antiqua" w:cs="Arial"/>
          <w:color w:val="000000" w:themeColor="text1"/>
        </w:rPr>
        <w:t>disease</w:t>
      </w:r>
      <w:r w:rsidRPr="004541C8">
        <w:rPr>
          <w:rFonts w:ascii="Book Antiqua" w:hAnsi="Book Antiqua" w:cs="Arial"/>
          <w:color w:val="000000" w:themeColor="text1"/>
          <w:vertAlign w:val="superscript"/>
        </w:rPr>
        <w:t>[</w:t>
      </w:r>
      <w:proofErr w:type="gramEnd"/>
      <w:r w:rsidRPr="004541C8">
        <w:rPr>
          <w:rFonts w:ascii="Book Antiqua" w:hAnsi="Book Antiqua" w:cs="Arial"/>
          <w:color w:val="000000" w:themeColor="text1"/>
          <w:vertAlign w:val="superscript"/>
        </w:rPr>
        <w:t>9]</w:t>
      </w:r>
      <w:r w:rsidRPr="004541C8">
        <w:rPr>
          <w:rFonts w:ascii="Book Antiqua" w:hAnsi="Book Antiqua" w:cs="Arial"/>
          <w:color w:val="000000" w:themeColor="text1"/>
        </w:rPr>
        <w:t xml:space="preserve">. Additionally, data from everyday clinical practice support the benefits of the mentioned combination but still leave the open question of the sequence of drug introduction and long term safety and efficacy of the </w:t>
      </w:r>
      <w:proofErr w:type="gramStart"/>
      <w:r w:rsidRPr="004541C8">
        <w:rPr>
          <w:rFonts w:ascii="Book Antiqua" w:hAnsi="Book Antiqua" w:cs="Arial"/>
          <w:color w:val="000000" w:themeColor="text1"/>
        </w:rPr>
        <w:t>combination</w:t>
      </w:r>
      <w:r w:rsidRPr="004541C8">
        <w:rPr>
          <w:rFonts w:ascii="Book Antiqua" w:hAnsi="Book Antiqua" w:cs="Arial"/>
          <w:color w:val="000000" w:themeColor="text1"/>
          <w:vertAlign w:val="superscript"/>
        </w:rPr>
        <w:t>[</w:t>
      </w:r>
      <w:proofErr w:type="gramEnd"/>
      <w:r w:rsidRPr="004541C8">
        <w:rPr>
          <w:rFonts w:ascii="Book Antiqua" w:hAnsi="Book Antiqua" w:cs="Arial"/>
          <w:color w:val="000000" w:themeColor="text1"/>
          <w:vertAlign w:val="superscript"/>
        </w:rPr>
        <w:t>10]</w:t>
      </w:r>
      <w:r w:rsidRPr="004541C8">
        <w:rPr>
          <w:rFonts w:ascii="Book Antiqua" w:hAnsi="Book Antiqua" w:cs="Arial"/>
          <w:color w:val="000000" w:themeColor="text1"/>
        </w:rPr>
        <w:t>.</w:t>
      </w:r>
    </w:p>
    <w:p w14:paraId="46637466" w14:textId="2A2E5496"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According to the national health insurance policy, GLP-1 RAs are reimbursed in Croatia when added to individuals with </w:t>
      </w:r>
      <w:r w:rsidR="000229A5" w:rsidRPr="004541C8">
        <w:rPr>
          <w:rFonts w:ascii="Book Antiqua" w:hAnsi="Book Antiqua" w:cs="Arial"/>
          <w:color w:val="000000" w:themeColor="text1"/>
        </w:rPr>
        <w:t>T2DM</w:t>
      </w:r>
      <w:r w:rsidRPr="004541C8">
        <w:rPr>
          <w:rFonts w:ascii="Book Antiqua" w:hAnsi="Book Antiqua" w:cs="Arial"/>
          <w:color w:val="000000" w:themeColor="text1"/>
        </w:rPr>
        <w:t xml:space="preserve"> failing glycemic targets on at least two anti-diabetic agents, whose </w:t>
      </w:r>
      <w:r w:rsidRPr="004541C8">
        <w:rPr>
          <w:rFonts w:ascii="Book Antiqua" w:eastAsia="Book Antiqua" w:hAnsi="Book Antiqua" w:cs="Book Antiqua"/>
          <w:color w:val="000000" w:themeColor="text1"/>
        </w:rPr>
        <w:t>body mass index (</w:t>
      </w:r>
      <w:r w:rsidRPr="004541C8">
        <w:rPr>
          <w:rFonts w:ascii="Book Antiqua" w:hAnsi="Book Antiqua" w:cs="Arial"/>
          <w:color w:val="000000" w:themeColor="text1"/>
        </w:rPr>
        <w:t>BMI) exceeds 35 kg/m</w:t>
      </w:r>
      <w:r w:rsidRPr="004541C8">
        <w:rPr>
          <w:rFonts w:ascii="Book Antiqua" w:hAnsi="Book Antiqua" w:cs="Arial"/>
          <w:color w:val="000000" w:themeColor="text1"/>
          <w:vertAlign w:val="superscript"/>
        </w:rPr>
        <w:t>2</w:t>
      </w:r>
      <w:r w:rsidRPr="004541C8">
        <w:rPr>
          <w:rFonts w:ascii="Book Antiqua" w:hAnsi="Book Antiqua" w:cs="Arial"/>
          <w:color w:val="000000" w:themeColor="text1"/>
        </w:rPr>
        <w:t>.</w:t>
      </w:r>
    </w:p>
    <w:p w14:paraId="7075385B" w14:textId="3890E956" w:rsidR="00A07FE5" w:rsidRPr="004541C8" w:rsidRDefault="00A07FE5" w:rsidP="004541C8">
      <w:pPr>
        <w:snapToGrid w:val="0"/>
        <w:spacing w:line="360" w:lineRule="auto"/>
        <w:ind w:firstLineChars="100" w:firstLine="240"/>
        <w:jc w:val="both"/>
        <w:rPr>
          <w:rFonts w:ascii="Book Antiqua" w:hAnsi="Book Antiqua" w:cs="Arial"/>
          <w:color w:val="000000" w:themeColor="text1"/>
          <w:highlight w:val="white"/>
        </w:rPr>
      </w:pPr>
      <w:r w:rsidRPr="004541C8">
        <w:rPr>
          <w:rFonts w:ascii="Book Antiqua" w:hAnsi="Book Antiqua" w:cs="Arial"/>
          <w:color w:val="000000" w:themeColor="text1"/>
        </w:rPr>
        <w:t xml:space="preserve">The aim was to investigate whether the efficacy of GLP-1RA and SGLT-2i combination observed in </w:t>
      </w:r>
      <w:r w:rsidR="000229A5" w:rsidRPr="004541C8">
        <w:rPr>
          <w:rFonts w:ascii="Book Antiqua" w:hAnsi="Book Antiqua" w:cs="Arial"/>
          <w:color w:val="000000" w:themeColor="text1"/>
        </w:rPr>
        <w:t>RCTs</w:t>
      </w:r>
      <w:r w:rsidRPr="004541C8">
        <w:rPr>
          <w:rFonts w:ascii="Book Antiqua" w:hAnsi="Book Antiqua" w:cs="Arial"/>
          <w:color w:val="000000" w:themeColor="text1"/>
        </w:rPr>
        <w:t xml:space="preserve"> translates into therapeutic benefits in the Croatian population during routine clinical practice and follow</w:t>
      </w:r>
      <w:r w:rsidR="00E3013E" w:rsidRPr="004541C8">
        <w:rPr>
          <w:rFonts w:ascii="Book Antiqua" w:hAnsi="Book Antiqua" w:cs="Arial"/>
          <w:color w:val="000000" w:themeColor="text1"/>
        </w:rPr>
        <w:t>-</w:t>
      </w:r>
      <w:r w:rsidRPr="004541C8">
        <w:rPr>
          <w:rFonts w:ascii="Book Antiqua" w:hAnsi="Book Antiqua" w:cs="Arial"/>
          <w:color w:val="000000" w:themeColor="text1"/>
        </w:rPr>
        <w:t xml:space="preserve">up. In addition, the efficacy of simultaneous </w:t>
      </w:r>
      <w:r w:rsidRPr="004541C8">
        <w:rPr>
          <w:rFonts w:ascii="Book Antiqua" w:hAnsi="Book Antiqua" w:cs="Arial"/>
          <w:i/>
          <w:iCs/>
          <w:color w:val="000000" w:themeColor="text1"/>
        </w:rPr>
        <w:t>vs</w:t>
      </w:r>
      <w:r w:rsidRPr="004541C8">
        <w:rPr>
          <w:rFonts w:ascii="Book Antiqua" w:hAnsi="Book Antiqua" w:cs="Arial"/>
          <w:color w:val="000000" w:themeColor="text1"/>
        </w:rPr>
        <w:t xml:space="preserve"> sequential initiation approach was also compared. Therefore, we performed the multi-centric electronic medical records data analysis for patients with T2DM treated with the SGLT-2i/GLP-1RA combination in Croatia's everyday clinical practice.</w:t>
      </w:r>
    </w:p>
    <w:p w14:paraId="5BFFE9F3" w14:textId="77777777" w:rsidR="00A77B3E" w:rsidRPr="004541C8" w:rsidRDefault="00A77B3E" w:rsidP="004541C8">
      <w:pPr>
        <w:snapToGrid w:val="0"/>
        <w:spacing w:line="360" w:lineRule="auto"/>
        <w:jc w:val="both"/>
        <w:rPr>
          <w:color w:val="000000" w:themeColor="text1"/>
        </w:rPr>
      </w:pPr>
    </w:p>
    <w:p w14:paraId="03BF08E4" w14:textId="77777777" w:rsidR="00A77B3E" w:rsidRPr="004541C8" w:rsidRDefault="009A4518" w:rsidP="004541C8">
      <w:pPr>
        <w:snapToGrid w:val="0"/>
        <w:spacing w:line="360" w:lineRule="auto"/>
        <w:jc w:val="both"/>
        <w:rPr>
          <w:rFonts w:ascii="Book Antiqua" w:eastAsia="Book Antiqua" w:hAnsi="Book Antiqua" w:cs="Book Antiqua"/>
          <w:b/>
          <w:caps/>
          <w:color w:val="000000" w:themeColor="text1"/>
          <w:u w:val="single"/>
        </w:rPr>
      </w:pPr>
      <w:r w:rsidRPr="004541C8">
        <w:rPr>
          <w:rFonts w:ascii="Book Antiqua" w:eastAsia="Book Antiqua" w:hAnsi="Book Antiqua" w:cs="Book Antiqua"/>
          <w:b/>
          <w:caps/>
          <w:color w:val="000000" w:themeColor="text1"/>
          <w:u w:val="single"/>
        </w:rPr>
        <w:t>MATERIALS AND METHODS</w:t>
      </w:r>
    </w:p>
    <w:p w14:paraId="52C4BEBC" w14:textId="77777777" w:rsidR="00007ECE" w:rsidRPr="004541C8" w:rsidRDefault="00007ECE"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Patients and methods</w:t>
      </w:r>
    </w:p>
    <w:p w14:paraId="60D61D11" w14:textId="4485C4CE" w:rsidR="00007ECE" w:rsidRPr="004541C8" w:rsidRDefault="00007ECE" w:rsidP="004541C8">
      <w:pPr>
        <w:pStyle w:val="a7"/>
        <w:shd w:val="clear" w:color="auto" w:fill="FFFFFF"/>
        <w:snapToGrid w:val="0"/>
        <w:spacing w:before="0" w:after="0"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This was a retrospective and prospective multi-centric cohort study involving five tertiary diabetes centers in Croatia. A sample of adult T2DM Caucasian patients with poorly controlled T2DM who were prescribed both SGLT-2i (empagliflozin, dapagliflozin) and GLP-1RA (liraglutide, dulaglutide) between January 2016 and April 2019 was identified from </w:t>
      </w:r>
      <w:r w:rsidR="000229A5" w:rsidRPr="004541C8">
        <w:rPr>
          <w:rFonts w:ascii="Book Antiqua" w:hAnsi="Book Antiqua" w:cs="Arial"/>
          <w:color w:val="000000" w:themeColor="text1"/>
        </w:rPr>
        <w:t xml:space="preserve">electronic medical records </w:t>
      </w:r>
      <w:r w:rsidRPr="004541C8">
        <w:rPr>
          <w:rFonts w:ascii="Book Antiqua" w:hAnsi="Book Antiqua" w:cs="Arial"/>
          <w:color w:val="000000" w:themeColor="text1"/>
        </w:rPr>
        <w:t xml:space="preserve">and served as a source population. </w:t>
      </w:r>
      <w:r w:rsidRPr="004541C8">
        <w:rPr>
          <w:rFonts w:ascii="Book Antiqua" w:hAnsi="Book Antiqua" w:cs="Arial"/>
          <w:color w:val="000000" w:themeColor="text1"/>
        </w:rPr>
        <w:lastRenderedPageBreak/>
        <w:t xml:space="preserve">Mutual patients of the included sites were evaluated to prevent duplicated data. The index visit was the one where </w:t>
      </w:r>
      <w:proofErr w:type="gramStart"/>
      <w:r w:rsidRPr="004541C8">
        <w:rPr>
          <w:rFonts w:ascii="Book Antiqua" w:hAnsi="Book Antiqua" w:cs="Arial"/>
          <w:color w:val="000000" w:themeColor="text1"/>
        </w:rPr>
        <w:t>either SGLT</w:t>
      </w:r>
      <w:proofErr w:type="gramEnd"/>
      <w:r w:rsidRPr="004541C8">
        <w:rPr>
          <w:rFonts w:ascii="Book Antiqua" w:hAnsi="Book Antiqua" w:cs="Arial"/>
          <w:color w:val="000000" w:themeColor="text1"/>
        </w:rPr>
        <w:t xml:space="preserve">-2i was prescribed to already present GLP-1RA (1), GLP-1RA was prescribed on top of already present SGLT-2i therapy (2) or both agents were prescribed simultaneously on top of background glucose-lowering agents (3). Included were overall 200 patients for whom demographic data, data on glycemic control (fasting plasma glucose (FPG), prandial plasma glucose (PPG), glycosylated HbA1c, data on renal function [serum urea, creatinine, estimated glomerular filtration rate (eGFR) albuminuria] and lipid profile were known. Patients were excluded if they did not have HbA1c, weight and background therapy documented at the baseline and follow-up appointments, underwent bariatric surgery during or before the study period, were prescribed weight-loss medication (including high-dose liraglutide &gt; 1.8 mg/d), had complex insulin regiments (more than one dose) and/or had documented nonadherence to either GLP-1 RA or SGLT-2i therapy. All patients received treatment of other comorbidities according to standards of care. </w:t>
      </w:r>
    </w:p>
    <w:p w14:paraId="11260F2A" w14:textId="5ADBDE4A" w:rsidR="00007ECE" w:rsidRPr="004541C8" w:rsidRDefault="00007ECE"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study was approved by the local Ethics Committee and was conducted in accordance with the Declaration of Helsinki. Patients who adhered to prescribed therapy were followed for up to </w:t>
      </w:r>
      <w:r w:rsidR="000229A5" w:rsidRPr="004541C8">
        <w:rPr>
          <w:rFonts w:ascii="Book Antiqua" w:hAnsi="Book Antiqua" w:cs="Arial"/>
          <w:color w:val="000000" w:themeColor="text1"/>
        </w:rPr>
        <w:t>1</w:t>
      </w:r>
      <w:r w:rsidRPr="004541C8">
        <w:rPr>
          <w:rFonts w:ascii="Book Antiqua" w:hAnsi="Book Antiqua" w:cs="Arial"/>
          <w:color w:val="000000" w:themeColor="text1"/>
        </w:rPr>
        <w:t xml:space="preserve"> year.</w:t>
      </w:r>
    </w:p>
    <w:p w14:paraId="7C2066A4" w14:textId="3FEB935A" w:rsidR="00007ECE" w:rsidRPr="004541C8" w:rsidRDefault="00007ECE"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primary study endpoint was the proportion of participants with HbA1c &lt; 7.0% and/or 5% bodyweight reduction. Secondary outcomes included changes in FPG, PPG, LDL cholesterol, eGFR and assessment of </w:t>
      </w:r>
      <w:r w:rsidR="000229A5" w:rsidRPr="004541C8">
        <w:rPr>
          <w:rFonts w:ascii="Book Antiqua" w:hAnsi="Book Antiqua" w:cs="Arial"/>
          <w:color w:val="000000" w:themeColor="text1"/>
        </w:rPr>
        <w:t xml:space="preserve">CV </w:t>
      </w:r>
      <w:r w:rsidRPr="004541C8">
        <w:rPr>
          <w:rFonts w:ascii="Book Antiqua" w:hAnsi="Book Antiqua" w:cs="Arial"/>
          <w:color w:val="000000" w:themeColor="text1"/>
        </w:rPr>
        <w:t xml:space="preserve">incidents over a period. </w:t>
      </w:r>
    </w:p>
    <w:p w14:paraId="020E9E1D" w14:textId="77777777" w:rsidR="00A77B3E" w:rsidRPr="004541C8" w:rsidRDefault="00A77B3E" w:rsidP="004541C8">
      <w:pPr>
        <w:snapToGrid w:val="0"/>
        <w:spacing w:line="360" w:lineRule="auto"/>
        <w:jc w:val="both"/>
        <w:rPr>
          <w:color w:val="000000" w:themeColor="text1"/>
        </w:rPr>
      </w:pPr>
    </w:p>
    <w:p w14:paraId="05D46DD2" w14:textId="77777777" w:rsidR="00007ECE" w:rsidRPr="004541C8" w:rsidRDefault="00007ECE" w:rsidP="004541C8">
      <w:pPr>
        <w:pStyle w:val="a7"/>
        <w:shd w:val="clear" w:color="auto" w:fill="FFFFFF"/>
        <w:snapToGrid w:val="0"/>
        <w:spacing w:before="0" w:after="0" w:line="360" w:lineRule="auto"/>
        <w:jc w:val="both"/>
        <w:rPr>
          <w:rFonts w:ascii="Book Antiqua" w:hAnsi="Book Antiqua" w:cs="Arial"/>
          <w:b/>
          <w:i/>
          <w:iCs/>
          <w:color w:val="000000" w:themeColor="text1"/>
        </w:rPr>
      </w:pPr>
      <w:r w:rsidRPr="004541C8">
        <w:rPr>
          <w:rFonts w:ascii="Book Antiqua" w:hAnsi="Book Antiqua" w:cs="Arial"/>
          <w:b/>
          <w:i/>
          <w:iCs/>
          <w:color w:val="000000" w:themeColor="text1"/>
        </w:rPr>
        <w:t>Statistical analysis</w:t>
      </w:r>
    </w:p>
    <w:p w14:paraId="4185B602" w14:textId="7414EFB1" w:rsidR="00007ECE" w:rsidRPr="004541C8" w:rsidRDefault="00007ECE" w:rsidP="004541C8">
      <w:pPr>
        <w:pStyle w:val="a7"/>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s="Arial"/>
          <w:bCs/>
          <w:iCs/>
          <w:color w:val="000000" w:themeColor="text1"/>
        </w:rPr>
        <w:t>Data were analyzed using SPSS software (IBM SPSS Statistics for Windows, Version 24.0.</w:t>
      </w:r>
      <w:r w:rsidR="00504272" w:rsidRPr="004541C8">
        <w:rPr>
          <w:rFonts w:ascii="Book Antiqua" w:hAnsi="Book Antiqua" w:cs="Arial"/>
          <w:bCs/>
          <w:iCs/>
          <w:color w:val="000000" w:themeColor="text1"/>
        </w:rPr>
        <w:t>, IBM Corp.,</w:t>
      </w:r>
      <w:r w:rsidRPr="004541C8">
        <w:rPr>
          <w:rFonts w:ascii="Book Antiqua" w:hAnsi="Book Antiqua" w:cs="Arial"/>
          <w:bCs/>
          <w:iCs/>
          <w:color w:val="000000" w:themeColor="text1"/>
        </w:rPr>
        <w:t xml:space="preserve"> </w:t>
      </w:r>
      <w:proofErr w:type="gramStart"/>
      <w:r w:rsidRPr="004541C8">
        <w:rPr>
          <w:rFonts w:ascii="Book Antiqua" w:hAnsi="Book Antiqua" w:cs="Arial"/>
          <w:bCs/>
          <w:iCs/>
          <w:color w:val="000000" w:themeColor="text1"/>
        </w:rPr>
        <w:t>Armonk</w:t>
      </w:r>
      <w:proofErr w:type="gramEnd"/>
      <w:r w:rsidRPr="004541C8">
        <w:rPr>
          <w:rFonts w:ascii="Book Antiqua" w:hAnsi="Book Antiqua" w:cs="Arial"/>
          <w:bCs/>
          <w:iCs/>
          <w:color w:val="000000" w:themeColor="text1"/>
        </w:rPr>
        <w:t>, NY</w:t>
      </w:r>
      <w:r w:rsidR="00504272" w:rsidRPr="004541C8">
        <w:rPr>
          <w:rFonts w:ascii="Book Antiqua" w:hAnsi="Book Antiqua" w:cs="Arial"/>
          <w:bCs/>
          <w:iCs/>
          <w:color w:val="000000" w:themeColor="text1"/>
        </w:rPr>
        <w:t>, United States</w:t>
      </w:r>
      <w:r w:rsidRPr="004541C8">
        <w:rPr>
          <w:rFonts w:ascii="Book Antiqua" w:hAnsi="Book Antiqua" w:cs="Arial"/>
          <w:bCs/>
          <w:iCs/>
          <w:color w:val="000000" w:themeColor="text1"/>
        </w:rPr>
        <w:t xml:space="preserve">). Descriptive statistics </w:t>
      </w:r>
      <w:r w:rsidR="00504272" w:rsidRPr="004541C8">
        <w:rPr>
          <w:rFonts w:ascii="Book Antiqua" w:hAnsi="Book Antiqua" w:cs="Arial"/>
          <w:bCs/>
          <w:iCs/>
          <w:color w:val="000000" w:themeColor="text1"/>
        </w:rPr>
        <w:t xml:space="preserve">were </w:t>
      </w:r>
      <w:r w:rsidRPr="004541C8">
        <w:rPr>
          <w:rFonts w:ascii="Book Antiqua" w:hAnsi="Book Antiqua" w:cs="Arial"/>
          <w:bCs/>
          <w:iCs/>
          <w:color w:val="000000" w:themeColor="text1"/>
        </w:rPr>
        <w:t xml:space="preserve">used to describe the baseline characteristics of study subjects (proportions for categorical data and mean ± standard deviation for normally distributed continuous variables or median and interquartile range for variables deviating from a normal distribution). The normality of distribution was verified using Shapiro-Wilk test. One-way </w:t>
      </w:r>
      <w:r w:rsidR="00504272" w:rsidRPr="004541C8">
        <w:rPr>
          <w:rFonts w:ascii="Book Antiqua" w:hAnsi="Book Antiqua" w:cs="Arial"/>
          <w:bCs/>
          <w:iCs/>
          <w:color w:val="000000" w:themeColor="text1"/>
        </w:rPr>
        <w:t>analysis of variance</w:t>
      </w:r>
      <w:r w:rsidRPr="004541C8">
        <w:rPr>
          <w:rFonts w:ascii="Book Antiqua" w:hAnsi="Book Antiqua" w:cs="Arial"/>
          <w:bCs/>
          <w:iCs/>
          <w:color w:val="000000" w:themeColor="text1"/>
        </w:rPr>
        <w:t xml:space="preserve"> was used to calculate differences </w:t>
      </w:r>
      <w:r w:rsidR="00504272" w:rsidRPr="004541C8">
        <w:rPr>
          <w:rFonts w:ascii="Book Antiqua" w:hAnsi="Book Antiqua" w:cs="Arial"/>
          <w:bCs/>
          <w:iCs/>
          <w:color w:val="000000" w:themeColor="text1"/>
        </w:rPr>
        <w:t xml:space="preserve">among </w:t>
      </w:r>
      <w:r w:rsidRPr="004541C8">
        <w:rPr>
          <w:rFonts w:ascii="Book Antiqua" w:hAnsi="Book Antiqua" w:cs="Arial"/>
          <w:bCs/>
          <w:iCs/>
          <w:color w:val="000000" w:themeColor="text1"/>
        </w:rPr>
        <w:t>th</w:t>
      </w:r>
      <w:r w:rsidR="00504272" w:rsidRPr="004541C8">
        <w:rPr>
          <w:rFonts w:ascii="Book Antiqua" w:hAnsi="Book Antiqua" w:cs="Arial"/>
          <w:bCs/>
          <w:iCs/>
          <w:color w:val="000000" w:themeColor="text1"/>
        </w:rPr>
        <w:t>e three</w:t>
      </w:r>
      <w:r w:rsidRPr="004541C8">
        <w:rPr>
          <w:rFonts w:ascii="Book Antiqua" w:hAnsi="Book Antiqua" w:cs="Arial"/>
          <w:bCs/>
          <w:iCs/>
          <w:color w:val="000000" w:themeColor="text1"/>
        </w:rPr>
        <w:t xml:space="preserve"> therapy groups at baseline </w:t>
      </w:r>
      <w:r w:rsidRPr="004541C8">
        <w:rPr>
          <w:rFonts w:ascii="Book Antiqua" w:hAnsi="Book Antiqua" w:cs="Arial"/>
          <w:bCs/>
          <w:iCs/>
          <w:color w:val="000000" w:themeColor="text1"/>
        </w:rPr>
        <w:lastRenderedPageBreak/>
        <w:t xml:space="preserve">(in case Levene's test showed a significant deviation in homogeneity of variances, Kruskal-Wallis was used). Also, repeated-measures two-way </w:t>
      </w:r>
      <w:r w:rsidR="00504272" w:rsidRPr="004541C8">
        <w:rPr>
          <w:rFonts w:ascii="Book Antiqua" w:hAnsi="Book Antiqua" w:cs="Arial"/>
          <w:bCs/>
          <w:iCs/>
          <w:color w:val="000000" w:themeColor="text1"/>
        </w:rPr>
        <w:t>analysis of covariance</w:t>
      </w:r>
      <w:r w:rsidRPr="004541C8">
        <w:rPr>
          <w:rFonts w:ascii="Book Antiqua" w:hAnsi="Book Antiqua" w:cs="Arial"/>
          <w:bCs/>
          <w:iCs/>
          <w:color w:val="000000" w:themeColor="text1"/>
        </w:rPr>
        <w:t xml:space="preserve"> for three points of measurements (with Bonferroni correction for multiple comparisons) was used, with the therapy group as an independent factor. In addition, the same analysis was performed after adjustment for age, sex, duration of diabetes and duration of treatment. Chi-square test was used for analyzing differences in outcome variables during a follow-up period.</w:t>
      </w:r>
    </w:p>
    <w:p w14:paraId="41A43559" w14:textId="77777777" w:rsidR="00007ECE" w:rsidRPr="004541C8" w:rsidRDefault="00007ECE" w:rsidP="004541C8">
      <w:pPr>
        <w:snapToGrid w:val="0"/>
        <w:spacing w:line="360" w:lineRule="auto"/>
        <w:jc w:val="both"/>
        <w:rPr>
          <w:color w:val="000000" w:themeColor="text1"/>
        </w:rPr>
      </w:pPr>
    </w:p>
    <w:p w14:paraId="539F5E9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RESULTS</w:t>
      </w:r>
    </w:p>
    <w:p w14:paraId="23FC96BB" w14:textId="3E48925F" w:rsidR="00802268" w:rsidRPr="004541C8" w:rsidRDefault="00802268" w:rsidP="004541C8">
      <w:pPr>
        <w:pStyle w:val="a7"/>
        <w:shd w:val="clear" w:color="auto" w:fill="FFFFFF"/>
        <w:snapToGrid w:val="0"/>
        <w:spacing w:before="0" w:after="0"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We included 200 T2DM patients with inadequate glycemic control. The majority of patients were over </w:t>
      </w:r>
      <w:r w:rsidR="00B73981" w:rsidRPr="004541C8">
        <w:rPr>
          <w:rFonts w:ascii="Book Antiqua" w:hAnsi="Book Antiqua" w:cs="Arial"/>
          <w:color w:val="000000" w:themeColor="text1"/>
        </w:rPr>
        <w:t>60</w:t>
      </w:r>
      <w:r w:rsidRPr="004541C8">
        <w:rPr>
          <w:rFonts w:ascii="Book Antiqua" w:hAnsi="Book Antiqua" w:cs="Arial"/>
          <w:color w:val="000000" w:themeColor="text1"/>
        </w:rPr>
        <w:t xml:space="preserve"> years of age (63.5%) at the time of inclusion in the study, and over half (50.7%) had diabetes for more than 10 years. </w:t>
      </w:r>
      <w:r w:rsidR="000229A5" w:rsidRPr="004541C8">
        <w:rPr>
          <w:rFonts w:ascii="Book Antiqua" w:hAnsi="Book Antiqua" w:cs="Arial"/>
          <w:color w:val="000000" w:themeColor="text1"/>
        </w:rPr>
        <w:t xml:space="preserve">CV </w:t>
      </w:r>
      <w:r w:rsidRPr="004541C8">
        <w:rPr>
          <w:rFonts w:ascii="Book Antiqua" w:hAnsi="Book Antiqua" w:cs="Arial"/>
          <w:color w:val="000000" w:themeColor="text1"/>
        </w:rPr>
        <w:t>disease was present in 44 (22.1%) prior to inclusion, and the majority of patients had hypertension (85.5%) and hyperlipidemia (77.4%) with no difference between therapy groups. Initial BMI was 39.41 ± 5.49 kg/m</w:t>
      </w:r>
      <w:r w:rsidRPr="004541C8">
        <w:rPr>
          <w:rFonts w:ascii="Book Antiqua" w:hAnsi="Book Antiqua" w:cs="Arial"/>
          <w:color w:val="000000" w:themeColor="text1"/>
          <w:vertAlign w:val="superscript"/>
        </w:rPr>
        <w:t>2</w:t>
      </w:r>
      <w:r w:rsidRPr="004541C8">
        <w:rPr>
          <w:rFonts w:ascii="Book Antiqua" w:hAnsi="Book Antiqua" w:cs="Arial"/>
          <w:color w:val="000000" w:themeColor="text1"/>
        </w:rPr>
        <w:t>, HbA1c 8.32 ± 1.26%; additional data</w:t>
      </w:r>
      <w:r w:rsidR="00207F47" w:rsidRPr="004541C8">
        <w:rPr>
          <w:rFonts w:ascii="Book Antiqua" w:hAnsi="Book Antiqua" w:cs="Arial"/>
          <w:color w:val="000000" w:themeColor="text1"/>
        </w:rPr>
        <w:t xml:space="preserve"> are</w:t>
      </w:r>
      <w:r w:rsidRPr="004541C8">
        <w:rPr>
          <w:rFonts w:ascii="Book Antiqua" w:hAnsi="Book Antiqua" w:cs="Arial"/>
          <w:color w:val="000000" w:themeColor="text1"/>
        </w:rPr>
        <w:t xml:space="preserve"> shown in Table 1. </w:t>
      </w:r>
    </w:p>
    <w:p w14:paraId="2C2F4F8A" w14:textId="18F48747"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color w:val="000000" w:themeColor="text1"/>
        </w:rPr>
        <w:t xml:space="preserve">At the time of inclusion, patients were divided into three groups according to the background therapy; one group had background SGLT-2i at the time of inclusion </w:t>
      </w:r>
      <w:r w:rsidR="00207F47" w:rsidRPr="004541C8">
        <w:rPr>
          <w:rFonts w:ascii="Book Antiqua" w:hAnsi="Book Antiqua" w:cs="Arial"/>
          <w:color w:val="000000" w:themeColor="text1"/>
        </w:rPr>
        <w:t xml:space="preserve">and </w:t>
      </w:r>
      <w:r w:rsidRPr="004541C8">
        <w:rPr>
          <w:rFonts w:ascii="Book Antiqua" w:hAnsi="Book Antiqua" w:cs="Arial"/>
          <w:color w:val="000000" w:themeColor="text1"/>
        </w:rPr>
        <w:t xml:space="preserve">GLP-1RA was added (24% of patients), another group had GLP-1RA as a background therapy (38% of patients) and SGLT-2i was added and the third group lacked both drugs before inclusion and agents (GLP-1RA and SGLT-2i) were added simultaneously (38% of patients). </w:t>
      </w:r>
    </w:p>
    <w:p w14:paraId="2E0B1F2D" w14:textId="77777777"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The groups differed in some parameters at baseline. There was a significant difference in HbA1c between groups of patients who started therapy with SGLT-2i or GLP-1RA alone and simultaneously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0.002), with HbA1c being significantly higher in the latter. In addition, FPG and BMI were higher in the group on simultaneous therapy than the other two groups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0.001,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0.045, respectively), while there was no difference in other observed parameters (Table 2).</w:t>
      </w:r>
    </w:p>
    <w:p w14:paraId="7BB7C41B" w14:textId="622D65F3"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average duration of diabetes was over 10 years, and most patients were treated with </w:t>
      </w:r>
      <w:proofErr w:type="gramStart"/>
      <w:r w:rsidRPr="004541C8">
        <w:rPr>
          <w:rFonts w:ascii="Book Antiqua" w:hAnsi="Book Antiqua" w:cs="Arial"/>
          <w:color w:val="000000" w:themeColor="text1"/>
        </w:rPr>
        <w:t>metformin,</w:t>
      </w:r>
      <w:proofErr w:type="gramEnd"/>
      <w:r w:rsidRPr="004541C8">
        <w:rPr>
          <w:rFonts w:ascii="Book Antiqua" w:hAnsi="Book Antiqua" w:cs="Arial"/>
          <w:color w:val="000000" w:themeColor="text1"/>
        </w:rPr>
        <w:t xml:space="preserve"> however insulin therapy comes into second place (36% of patients), </w:t>
      </w:r>
      <w:r w:rsidRPr="004541C8">
        <w:rPr>
          <w:rFonts w:ascii="Book Antiqua" w:hAnsi="Book Antiqua" w:cs="Arial"/>
          <w:color w:val="000000" w:themeColor="text1"/>
        </w:rPr>
        <w:lastRenderedPageBreak/>
        <w:t xml:space="preserve">while only around 15% of patients were treated with </w:t>
      </w:r>
      <w:proofErr w:type="spellStart"/>
      <w:r w:rsidRPr="004541C8">
        <w:rPr>
          <w:rFonts w:ascii="Book Antiqua" w:hAnsi="Book Antiqua" w:cs="Arial"/>
          <w:color w:val="000000" w:themeColor="text1"/>
        </w:rPr>
        <w:t>sulphonylurea</w:t>
      </w:r>
      <w:proofErr w:type="spellEnd"/>
      <w:r w:rsidR="00F7713A" w:rsidRPr="004541C8">
        <w:rPr>
          <w:rFonts w:ascii="Book Antiqua" w:hAnsi="Book Antiqua" w:cs="Arial"/>
          <w:color w:val="000000" w:themeColor="text1"/>
        </w:rPr>
        <w:t xml:space="preserve"> </w:t>
      </w:r>
      <w:r w:rsidRPr="004541C8">
        <w:rPr>
          <w:rFonts w:ascii="Book Antiqua" w:hAnsi="Book Antiqua" w:cs="Arial"/>
          <w:color w:val="000000" w:themeColor="text1"/>
        </w:rPr>
        <w:t xml:space="preserve">and other </w:t>
      </w:r>
      <w:r w:rsidR="00207F47" w:rsidRPr="004541C8">
        <w:rPr>
          <w:rFonts w:ascii="Book Antiqua" w:hAnsi="Book Antiqua"/>
          <w:color w:val="000000" w:themeColor="text1"/>
        </w:rPr>
        <w:t>oral antihyperglycemic drugs</w:t>
      </w:r>
      <w:r w:rsidR="00207F47" w:rsidRPr="004541C8" w:rsidDel="00207F47">
        <w:rPr>
          <w:rFonts w:ascii="Book Antiqua" w:hAnsi="Book Antiqua" w:cs="Arial"/>
          <w:color w:val="000000" w:themeColor="text1"/>
        </w:rPr>
        <w:t xml:space="preserve"> </w:t>
      </w:r>
      <w:r w:rsidRPr="004541C8">
        <w:rPr>
          <w:rFonts w:ascii="Book Antiqua" w:hAnsi="Book Antiqua" w:cs="Arial"/>
          <w:color w:val="000000" w:themeColor="text1"/>
        </w:rPr>
        <w:t>(Table 3).</w:t>
      </w:r>
    </w:p>
    <w:p w14:paraId="53EB39F1" w14:textId="02AD1424"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Interestingly, the </w:t>
      </w:r>
      <w:r w:rsidRPr="004541C8">
        <w:rPr>
          <w:rFonts w:ascii="Book Antiqua" w:hAnsi="Book Antiqua"/>
          <w:color w:val="000000" w:themeColor="text1"/>
        </w:rPr>
        <w:t>group treated with GLP-1RA had the highest number of insulin users compared to other therapy groups (</w:t>
      </w:r>
      <w:r w:rsidRPr="004541C8">
        <w:rPr>
          <w:rFonts w:ascii="Book Antiqua" w:hAnsi="Book Antiqua"/>
          <w:i/>
          <w:iCs/>
          <w:color w:val="000000" w:themeColor="text1"/>
        </w:rPr>
        <w:t>P</w:t>
      </w:r>
      <w:r w:rsidRPr="004541C8">
        <w:rPr>
          <w:rFonts w:ascii="Book Antiqua" w:hAnsi="Book Antiqua"/>
          <w:color w:val="000000" w:themeColor="text1"/>
        </w:rPr>
        <w:t xml:space="preserve"> = 0.006). For </w:t>
      </w:r>
      <w:proofErr w:type="spellStart"/>
      <w:r w:rsidR="00207F47" w:rsidRPr="004541C8">
        <w:rPr>
          <w:rFonts w:ascii="Book Antiqua" w:hAnsi="Book Antiqua"/>
          <w:color w:val="000000" w:themeColor="text1"/>
        </w:rPr>
        <w:t>sulphonylurea</w:t>
      </w:r>
      <w:proofErr w:type="spellEnd"/>
      <w:r w:rsidRPr="004541C8">
        <w:rPr>
          <w:rFonts w:ascii="Book Antiqua" w:hAnsi="Book Antiqua"/>
          <w:color w:val="000000" w:themeColor="text1"/>
        </w:rPr>
        <w:t xml:space="preserve"> and other therapies, differences were not statistically significant (</w:t>
      </w:r>
      <w:r w:rsidRPr="004541C8">
        <w:rPr>
          <w:rFonts w:ascii="Book Antiqua" w:hAnsi="Book Antiqua"/>
          <w:i/>
          <w:iCs/>
          <w:color w:val="000000" w:themeColor="text1"/>
        </w:rPr>
        <w:t>P</w:t>
      </w:r>
      <w:r w:rsidRPr="004541C8">
        <w:rPr>
          <w:rFonts w:ascii="Book Antiqua" w:hAnsi="Book Antiqua"/>
          <w:color w:val="000000" w:themeColor="text1"/>
        </w:rPr>
        <w:t xml:space="preserve"> &gt; 0.05</w:t>
      </w:r>
      <w:r w:rsidRPr="004541C8">
        <w:rPr>
          <w:rFonts w:ascii="Book Antiqua" w:hAnsi="Book Antiqua" w:cs="Arial"/>
          <w:color w:val="000000" w:themeColor="text1"/>
        </w:rPr>
        <w:t xml:space="preserve">). </w:t>
      </w:r>
    </w:p>
    <w:p w14:paraId="021AAF64" w14:textId="44EA5C08"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Two-way </w:t>
      </w:r>
      <w:r w:rsidR="00504272" w:rsidRPr="004541C8">
        <w:rPr>
          <w:rFonts w:ascii="Book Antiqua" w:hAnsi="Book Antiqua" w:cs="Arial"/>
          <w:color w:val="000000" w:themeColor="text1"/>
        </w:rPr>
        <w:t>analysis of variance</w:t>
      </w:r>
      <w:r w:rsidRPr="004541C8">
        <w:rPr>
          <w:rFonts w:ascii="Book Antiqua" w:hAnsi="Book Antiqua" w:cs="Arial"/>
          <w:color w:val="000000" w:themeColor="text1"/>
        </w:rPr>
        <w:t xml:space="preserve"> with repeated measurements was performed in order to establish effect of measurement point</w:t>
      </w:r>
      <w:r w:rsidRPr="004541C8">
        <w:rPr>
          <w:rFonts w:ascii="Book Antiqua" w:hAnsi="Book Antiqua"/>
          <w:color w:val="000000" w:themeColor="text1"/>
        </w:rPr>
        <w:t>,</w:t>
      </w:r>
      <w:r w:rsidRPr="004541C8">
        <w:rPr>
          <w:rFonts w:ascii="Book Antiqua" w:hAnsi="Book Antiqua" w:cs="Arial"/>
          <w:color w:val="000000" w:themeColor="text1"/>
        </w:rPr>
        <w:t xml:space="preserve"> the interaction of therapy and time point and the effect of therapy alone. There were no differences prior and after adjustment for age, sex and duration of diabetes (Table 4). There was a significant reduction of HbA1c over time [</w:t>
      </w:r>
      <w:proofErr w:type="gramStart"/>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w:t>
      </w:r>
      <w:proofErr w:type="gramEnd"/>
      <w:r w:rsidRPr="004541C8">
        <w:rPr>
          <w:rFonts w:ascii="Book Antiqua" w:hAnsi="Book Antiqua" w:cs="Arial"/>
          <w:color w:val="000000" w:themeColor="text1"/>
          <w:vertAlign w:val="subscript"/>
        </w:rPr>
        <w:t>1.6, 201)</w:t>
      </w:r>
      <w:r w:rsidRPr="004541C8">
        <w:rPr>
          <w:rFonts w:ascii="Book Antiqua" w:hAnsi="Book Antiqua" w:cs="Arial"/>
          <w:color w:val="000000" w:themeColor="text1"/>
        </w:rPr>
        <w:t xml:space="preserve"> = 7.035,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0.002], with a significant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(3.3, 201)</w:t>
      </w:r>
      <w:r w:rsidRPr="004541C8">
        <w:rPr>
          <w:rFonts w:ascii="Book Antiqua" w:hAnsi="Book Antiqua" w:cs="Arial"/>
          <w:color w:val="000000" w:themeColor="text1"/>
        </w:rPr>
        <w:t xml:space="preserve"> = 4.389,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0.004], but the effect of specific therapy was not significant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(2, 120)</w:t>
      </w:r>
      <w:r w:rsidRPr="004541C8">
        <w:rPr>
          <w:rFonts w:ascii="Book Antiqua" w:hAnsi="Book Antiqua" w:cs="Arial"/>
          <w:color w:val="000000" w:themeColor="text1"/>
        </w:rPr>
        <w:t xml:space="preserve"> = 0.432,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0.650]. The post hoc analysis demonstrated that more pronounced decrease in the group treated with simultaneous therapy was a result of higher baseline values of HbA1c and not the effect of initiating combination therapy (Table 4 and Figure 1). </w:t>
      </w:r>
    </w:p>
    <w:p w14:paraId="54C744D3" w14:textId="6DD9662A"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In addition, measurement point effect on FPG values was not significant [</w:t>
      </w:r>
      <w:proofErr w:type="gramStart"/>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w:t>
      </w:r>
      <w:proofErr w:type="gramEnd"/>
      <w:r w:rsidRPr="004541C8">
        <w:rPr>
          <w:rFonts w:ascii="Book Antiqua" w:hAnsi="Book Antiqua" w:cs="Arial"/>
          <w:color w:val="000000" w:themeColor="text1"/>
          <w:vertAlign w:val="subscript"/>
        </w:rPr>
        <w:t>1.5, 85.4)</w:t>
      </w:r>
      <w:r w:rsidRPr="004541C8">
        <w:rPr>
          <w:rFonts w:ascii="Book Antiqua" w:hAnsi="Book Antiqua" w:cs="Arial"/>
          <w:color w:val="000000" w:themeColor="text1"/>
        </w:rPr>
        <w:t xml:space="preserve"> = 2.647,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0.091], but there was a significant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 xml:space="preserve">(3.0, 85.4) </w:t>
      </w:r>
      <w:r w:rsidRPr="004541C8">
        <w:rPr>
          <w:rFonts w:ascii="Book Antiqua" w:hAnsi="Book Antiqua" w:cs="Arial"/>
          <w:color w:val="000000" w:themeColor="text1"/>
        </w:rPr>
        <w:t xml:space="preserve">= 4.333,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0.007] and therapy effect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 xml:space="preserve">(2, 56) </w:t>
      </w:r>
      <w:r w:rsidRPr="004541C8">
        <w:rPr>
          <w:rFonts w:ascii="Book Antiqua" w:hAnsi="Book Antiqua" w:cs="Arial"/>
          <w:color w:val="000000" w:themeColor="text1"/>
        </w:rPr>
        <w:t xml:space="preserve">= 4.227,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0.020]. Group treated with SGLT-2i ha</w:t>
      </w:r>
      <w:r w:rsidR="00207F47" w:rsidRPr="004541C8">
        <w:rPr>
          <w:rFonts w:ascii="Book Antiqua" w:hAnsi="Book Antiqua" w:cs="Arial"/>
          <w:color w:val="000000" w:themeColor="text1"/>
        </w:rPr>
        <w:t>d</w:t>
      </w:r>
      <w:r w:rsidRPr="004541C8">
        <w:rPr>
          <w:rFonts w:ascii="Book Antiqua" w:hAnsi="Book Antiqua" w:cs="Arial"/>
          <w:color w:val="000000" w:themeColor="text1"/>
        </w:rPr>
        <w:t xml:space="preserve"> significantly lower FPG values compared to GLP-1 RA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0.029) as well as compared to simultaneous therapy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0.024). Interactions indicate that the decrease was not equal among groups, which is expected given the initial differences in FPG being lowest in SGLT-2i group (Table 5). </w:t>
      </w:r>
    </w:p>
    <w:p w14:paraId="7BA84704" w14:textId="773A26DA"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On the other hand, a significant main effect of BMI reduction over time [</w:t>
      </w:r>
      <w:proofErr w:type="gramStart"/>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w:t>
      </w:r>
      <w:proofErr w:type="gramEnd"/>
      <w:r w:rsidRPr="004541C8">
        <w:rPr>
          <w:rFonts w:ascii="Book Antiqua" w:hAnsi="Book Antiqua" w:cs="Arial"/>
          <w:color w:val="000000" w:themeColor="text1"/>
          <w:vertAlign w:val="subscript"/>
        </w:rPr>
        <w:t>1.6, 188.1)</w:t>
      </w:r>
      <w:r w:rsidRPr="004541C8">
        <w:rPr>
          <w:rFonts w:ascii="Book Antiqua" w:hAnsi="Book Antiqua" w:cs="Arial"/>
          <w:color w:val="000000" w:themeColor="text1"/>
        </w:rPr>
        <w:t xml:space="preserve"> = 4.867,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0.013] was observed, however there was no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(3.3, 188.1)</w:t>
      </w:r>
      <w:r w:rsidRPr="004541C8">
        <w:rPr>
          <w:rFonts w:ascii="Book Antiqua" w:hAnsi="Book Antiqua" w:cs="Arial"/>
          <w:color w:val="000000" w:themeColor="text1"/>
        </w:rPr>
        <w:t xml:space="preserve"> = 2.123,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0.092] nor a significant effect of therapeutic group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(2, 113)</w:t>
      </w:r>
      <w:r w:rsidRPr="004541C8">
        <w:rPr>
          <w:rFonts w:ascii="Book Antiqua" w:hAnsi="Book Antiqua" w:cs="Arial"/>
          <w:color w:val="000000" w:themeColor="text1"/>
        </w:rPr>
        <w:t xml:space="preserve"> = 1</w:t>
      </w:r>
      <w:r w:rsidR="00843415" w:rsidRPr="004541C8">
        <w:rPr>
          <w:rFonts w:ascii="Book Antiqua" w:hAnsi="Book Antiqua" w:cs="Arial"/>
          <w:color w:val="000000" w:themeColor="text1"/>
        </w:rPr>
        <w:t>.</w:t>
      </w:r>
      <w:r w:rsidRPr="004541C8">
        <w:rPr>
          <w:rFonts w:ascii="Book Antiqua" w:hAnsi="Book Antiqua" w:cs="Arial"/>
          <w:color w:val="000000" w:themeColor="text1"/>
        </w:rPr>
        <w:t xml:space="preserve">473,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0.234] (Table 4 and Figure 1). No significant differences were observed for other parameters (data not shown).</w:t>
      </w:r>
    </w:p>
    <w:p w14:paraId="01B958AC" w14:textId="24764154"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bCs/>
          <w:color w:val="000000" w:themeColor="text1"/>
        </w:rPr>
        <w:lastRenderedPageBreak/>
        <w:t xml:space="preserve">There were no differences in </w:t>
      </w:r>
      <w:r w:rsidR="000229A5" w:rsidRPr="004541C8">
        <w:rPr>
          <w:rFonts w:ascii="Book Antiqua" w:hAnsi="Book Antiqua" w:cs="Arial"/>
          <w:bCs/>
          <w:color w:val="000000" w:themeColor="text1"/>
        </w:rPr>
        <w:t xml:space="preserve">CV </w:t>
      </w:r>
      <w:r w:rsidRPr="004541C8">
        <w:rPr>
          <w:rFonts w:ascii="Book Antiqua" w:hAnsi="Book Antiqua" w:cs="Arial"/>
          <w:bCs/>
          <w:color w:val="000000" w:themeColor="text1"/>
        </w:rPr>
        <w:t xml:space="preserve">incidents or eGFR during a follow-up period compared to baseline or with respect to specific treatment groups. Only </w:t>
      </w:r>
      <w:r w:rsidR="00207F47" w:rsidRPr="004541C8">
        <w:rPr>
          <w:rFonts w:ascii="Book Antiqua" w:hAnsi="Book Antiqua" w:cs="Arial"/>
          <w:bCs/>
          <w:color w:val="000000" w:themeColor="text1"/>
        </w:rPr>
        <w:t>three</w:t>
      </w:r>
      <w:r w:rsidRPr="004541C8">
        <w:rPr>
          <w:rFonts w:ascii="Book Antiqua" w:hAnsi="Book Antiqua" w:cs="Arial"/>
          <w:bCs/>
          <w:color w:val="000000" w:themeColor="text1"/>
        </w:rPr>
        <w:t xml:space="preserve"> patients (2.2%) had a CV incident during a follow-up period of 12 </w:t>
      </w:r>
      <w:proofErr w:type="gramStart"/>
      <w:r w:rsidRPr="004541C8">
        <w:rPr>
          <w:rFonts w:ascii="Book Antiqua" w:hAnsi="Book Antiqua" w:cs="Arial"/>
          <w:bCs/>
          <w:color w:val="000000" w:themeColor="text1"/>
        </w:rPr>
        <w:t>mo</w:t>
      </w:r>
      <w:proofErr w:type="gramEnd"/>
      <w:r w:rsidRPr="004541C8">
        <w:rPr>
          <w:rFonts w:ascii="Book Antiqua" w:hAnsi="Book Antiqua" w:cs="Arial"/>
          <w:bCs/>
          <w:color w:val="000000" w:themeColor="text1"/>
        </w:rPr>
        <w:t xml:space="preserve">. </w:t>
      </w:r>
    </w:p>
    <w:p w14:paraId="3E8B6778" w14:textId="77777777"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bCs/>
          <w:color w:val="000000" w:themeColor="text1"/>
        </w:rPr>
        <w:t>Around half of the patients in all three groups achieved target HbA1c below 7% with no differences between groups, while the number of patients achieving FPG below 7.0 mmol/L was significantly higher in the SGLT-2i group (</w:t>
      </w:r>
      <w:r w:rsidRPr="004541C8">
        <w:rPr>
          <w:rFonts w:ascii="Book Antiqua" w:hAnsi="Book Antiqua" w:cs="Arial"/>
          <w:bCs/>
          <w:i/>
          <w:iCs/>
          <w:color w:val="000000" w:themeColor="text1"/>
        </w:rPr>
        <w:t>P</w:t>
      </w:r>
      <w:r w:rsidRPr="004541C8">
        <w:rPr>
          <w:rFonts w:ascii="Book Antiqua" w:hAnsi="Book Antiqua" w:cs="Arial"/>
          <w:bCs/>
          <w:color w:val="000000" w:themeColor="text1"/>
        </w:rPr>
        <w:t xml:space="preserve"> = 0.021), and 5% weight loss was dominantly achieved in the simultaneous therapy group (</w:t>
      </w:r>
      <w:r w:rsidRPr="004541C8">
        <w:rPr>
          <w:rFonts w:ascii="Book Antiqua" w:hAnsi="Book Antiqua" w:cs="Arial"/>
          <w:i/>
          <w:iCs/>
          <w:color w:val="000000" w:themeColor="text1"/>
        </w:rPr>
        <w:t>P</w:t>
      </w:r>
      <w:r w:rsidRPr="004541C8">
        <w:rPr>
          <w:rFonts w:ascii="Book Antiqua" w:hAnsi="Book Antiqua" w:cs="Arial"/>
          <w:bCs/>
          <w:color w:val="000000" w:themeColor="text1"/>
        </w:rPr>
        <w:t xml:space="preserve"> = 0.044) (Table 5). </w:t>
      </w:r>
    </w:p>
    <w:p w14:paraId="050D4E27" w14:textId="6E1937BA" w:rsidR="00802268" w:rsidRPr="004541C8" w:rsidRDefault="00802268" w:rsidP="004541C8">
      <w:pPr>
        <w:pStyle w:val="a7"/>
        <w:shd w:val="clear" w:color="auto" w:fill="FFFFFF"/>
        <w:snapToGrid w:val="0"/>
        <w:spacing w:before="0" w:after="0" w:line="360" w:lineRule="auto"/>
        <w:ind w:firstLineChars="100" w:firstLine="240"/>
        <w:jc w:val="both"/>
        <w:rPr>
          <w:rFonts w:ascii="Book Antiqua" w:hAnsi="Book Antiqua" w:cs="Arial"/>
          <w:bCs/>
          <w:color w:val="000000" w:themeColor="text1"/>
        </w:rPr>
      </w:pPr>
      <w:r w:rsidRPr="004541C8">
        <w:rPr>
          <w:rFonts w:ascii="Book Antiqua" w:hAnsi="Book Antiqua" w:cs="Arial"/>
          <w:bCs/>
          <w:color w:val="000000" w:themeColor="text1"/>
        </w:rPr>
        <w:t xml:space="preserve">A composite outcome [reduction of HbA1c below 7% </w:t>
      </w:r>
      <w:proofErr w:type="gramStart"/>
      <w:r w:rsidRPr="004541C8">
        <w:rPr>
          <w:rFonts w:ascii="Book Antiqua" w:hAnsi="Book Antiqua" w:cs="Arial"/>
          <w:bCs/>
          <w:color w:val="000000" w:themeColor="text1"/>
        </w:rPr>
        <w:t>(53 mmol/mol)</w:t>
      </w:r>
      <w:proofErr w:type="gramEnd"/>
      <w:r w:rsidRPr="004541C8">
        <w:rPr>
          <w:rFonts w:ascii="Book Antiqua" w:hAnsi="Book Antiqua" w:cs="Arial"/>
          <w:bCs/>
          <w:color w:val="000000" w:themeColor="text1"/>
        </w:rPr>
        <w:t xml:space="preserve"> with 5% weight loss] was achieved in 32.3% of total patients included in the study. In addition, </w:t>
      </w:r>
      <w:bookmarkStart w:id="6" w:name="_Hlk46674250"/>
      <w:r w:rsidRPr="004541C8">
        <w:rPr>
          <w:rFonts w:ascii="Book Antiqua" w:hAnsi="Book Antiqua" w:cs="Arial"/>
          <w:bCs/>
          <w:color w:val="000000" w:themeColor="text1"/>
        </w:rPr>
        <w:t>only 18.2% of patients attained composite outcome defined as HbA1c below 7% (53 mmol/mol) with 5% weight loss and LDL cholesterol &lt;</w:t>
      </w:r>
      <w:r w:rsidR="00FD317D" w:rsidRPr="004541C8">
        <w:rPr>
          <w:rFonts w:ascii="Book Antiqua" w:hAnsi="Book Antiqua" w:cs="Arial"/>
          <w:bCs/>
          <w:color w:val="000000" w:themeColor="text1"/>
        </w:rPr>
        <w:t xml:space="preserve"> </w:t>
      </w:r>
      <w:r w:rsidRPr="004541C8">
        <w:rPr>
          <w:rFonts w:ascii="Book Antiqua" w:hAnsi="Book Antiqua" w:cs="Arial"/>
          <w:bCs/>
          <w:color w:val="000000" w:themeColor="text1"/>
        </w:rPr>
        <w:t>2.5 mmol/</w:t>
      </w:r>
      <w:r w:rsidR="00FD317D" w:rsidRPr="004541C8">
        <w:rPr>
          <w:rFonts w:ascii="Book Antiqua" w:hAnsi="Book Antiqua" w:cs="Arial"/>
          <w:bCs/>
          <w:color w:val="000000" w:themeColor="text1"/>
        </w:rPr>
        <w:t>L</w:t>
      </w:r>
      <w:r w:rsidRPr="004541C8">
        <w:rPr>
          <w:rFonts w:ascii="Book Antiqua" w:hAnsi="Book Antiqua" w:cs="Arial"/>
          <w:bCs/>
          <w:color w:val="000000" w:themeColor="text1"/>
        </w:rPr>
        <w:t>.</w:t>
      </w:r>
      <w:bookmarkEnd w:id="6"/>
      <w:r w:rsidRPr="004541C8">
        <w:rPr>
          <w:rFonts w:ascii="Book Antiqua" w:hAnsi="Book Antiqua" w:cs="Arial"/>
          <w:bCs/>
          <w:color w:val="000000" w:themeColor="text1"/>
        </w:rPr>
        <w:t xml:space="preserve"> There were no significant differences between treatment groups </w:t>
      </w:r>
      <w:r w:rsidR="00FD317D" w:rsidRPr="004541C8">
        <w:rPr>
          <w:rFonts w:ascii="Book Antiqua" w:hAnsi="Book Antiqua" w:cs="Arial"/>
          <w:bCs/>
          <w:color w:val="000000" w:themeColor="text1"/>
        </w:rPr>
        <w:t>(</w:t>
      </w:r>
      <w:r w:rsidRPr="004541C8">
        <w:rPr>
          <w:rFonts w:ascii="Book Antiqua" w:hAnsi="Book Antiqua" w:cs="Arial"/>
          <w:bCs/>
          <w:color w:val="000000" w:themeColor="text1"/>
        </w:rPr>
        <w:t>Table 6</w:t>
      </w:r>
      <w:r w:rsidR="00FD317D" w:rsidRPr="004541C8">
        <w:rPr>
          <w:rFonts w:ascii="Book Antiqua" w:hAnsi="Book Antiqua" w:cs="Arial"/>
          <w:bCs/>
          <w:color w:val="000000" w:themeColor="text1"/>
        </w:rPr>
        <w:t>)</w:t>
      </w:r>
      <w:r w:rsidRPr="004541C8">
        <w:rPr>
          <w:rFonts w:ascii="Book Antiqua" w:hAnsi="Book Antiqua" w:cs="Arial"/>
          <w:bCs/>
          <w:color w:val="000000" w:themeColor="text1"/>
        </w:rPr>
        <w:t>.</w:t>
      </w:r>
    </w:p>
    <w:p w14:paraId="6A7BD355" w14:textId="77777777" w:rsidR="00A77B3E" w:rsidRPr="004541C8" w:rsidRDefault="00A77B3E" w:rsidP="004541C8">
      <w:pPr>
        <w:snapToGrid w:val="0"/>
        <w:spacing w:line="360" w:lineRule="auto"/>
        <w:jc w:val="both"/>
        <w:rPr>
          <w:color w:val="000000" w:themeColor="text1"/>
        </w:rPr>
      </w:pPr>
    </w:p>
    <w:p w14:paraId="2B67415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DISCUSSION</w:t>
      </w:r>
    </w:p>
    <w:p w14:paraId="3341874F" w14:textId="01FA5E3C" w:rsidR="00FD317D" w:rsidRPr="004541C8" w:rsidRDefault="00FD317D" w:rsidP="004541C8">
      <w:pPr>
        <w:snapToGrid w:val="0"/>
        <w:spacing w:line="360" w:lineRule="auto"/>
        <w:jc w:val="both"/>
        <w:rPr>
          <w:rFonts w:ascii="Book Antiqua" w:hAnsi="Book Antiqua"/>
          <w:color w:val="000000" w:themeColor="text1"/>
          <w:lang w:eastAsia="en-GB"/>
        </w:rPr>
      </w:pPr>
      <w:r w:rsidRPr="004541C8">
        <w:rPr>
          <w:rFonts w:ascii="Book Antiqua" w:hAnsi="Book Antiqua"/>
          <w:color w:val="000000" w:themeColor="text1"/>
          <w:lang w:eastAsia="en-GB"/>
        </w:rPr>
        <w:t>Current guidelines recommend assessing and regularly pursuing HbA1c goal on an individual basis (for the majority of individuals &lt; 7%). In everyday clinical practice, this mostly transcribes to the need to add other anti-diabetic agents to metformin in the background while taking into account compatibility of drug actions, stage in the disease pathophysiology and patients' comorbidities, complications as well as preferences. </w:t>
      </w:r>
    </w:p>
    <w:p w14:paraId="73F0B517" w14:textId="2AEC5DA4"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Patients who started simultaneous therapy had worse glycemic control</w:t>
      </w:r>
      <w:r w:rsidR="00905F8C" w:rsidRPr="004541C8">
        <w:rPr>
          <w:rFonts w:ascii="Book Antiqua" w:hAnsi="Book Antiqua"/>
          <w:color w:val="000000" w:themeColor="text1"/>
          <w:lang w:eastAsia="en-GB"/>
        </w:rPr>
        <w:t xml:space="preserve"> and</w:t>
      </w:r>
      <w:r w:rsidRPr="004541C8">
        <w:rPr>
          <w:rFonts w:ascii="Book Antiqua" w:hAnsi="Book Antiqua"/>
          <w:color w:val="000000" w:themeColor="text1"/>
          <w:lang w:eastAsia="en-GB"/>
        </w:rPr>
        <w:t xml:space="preserve"> higher FPG and BMI values than the other two groups</w:t>
      </w:r>
      <w:r w:rsidR="00905F8C"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emphasizing the problem of clinical inertia. According to some studies, it takes several years on average instead of the recommended </w:t>
      </w:r>
      <w:r w:rsidR="00905F8C" w:rsidRPr="004541C8">
        <w:rPr>
          <w:rFonts w:ascii="Book Antiqua" w:hAnsi="Book Antiqua"/>
          <w:color w:val="000000" w:themeColor="text1"/>
          <w:lang w:eastAsia="en-GB"/>
        </w:rPr>
        <w:t xml:space="preserve">6 </w:t>
      </w:r>
      <w:proofErr w:type="spellStart"/>
      <w:r w:rsidR="00905F8C" w:rsidRPr="004541C8">
        <w:rPr>
          <w:rFonts w:ascii="Book Antiqua" w:hAnsi="Book Antiqua"/>
          <w:color w:val="000000" w:themeColor="text1"/>
          <w:lang w:eastAsia="en-GB"/>
        </w:rPr>
        <w:t>mo</w:t>
      </w:r>
      <w:proofErr w:type="spellEnd"/>
      <w:r w:rsidRPr="004541C8">
        <w:rPr>
          <w:rFonts w:ascii="Book Antiqua" w:hAnsi="Book Antiqua"/>
          <w:color w:val="000000" w:themeColor="text1"/>
          <w:lang w:eastAsia="en-GB"/>
        </w:rPr>
        <w:t xml:space="preserve"> before initiating another drug, either oral or injectable, in order to improve glycemia</w:t>
      </w:r>
      <w:r w:rsidRPr="004541C8">
        <w:rPr>
          <w:rFonts w:ascii="Book Antiqua" w:hAnsi="Book Antiqua"/>
          <w:color w:val="000000" w:themeColor="text1"/>
          <w:vertAlign w:val="superscript"/>
          <w:lang w:eastAsia="en-GB"/>
        </w:rPr>
        <w:t>[11,12]</w:t>
      </w:r>
      <w:r w:rsidRPr="004541C8">
        <w:rPr>
          <w:rFonts w:ascii="Book Antiqua" w:hAnsi="Book Antiqua"/>
          <w:color w:val="000000" w:themeColor="text1"/>
          <w:lang w:eastAsia="en-GB"/>
        </w:rPr>
        <w:t>. Obviously, in a real-world setting, we hesitate to use a more aggressive approach</w:t>
      </w:r>
      <w:r w:rsidR="00905F8C" w:rsidRPr="004541C8">
        <w:rPr>
          <w:rFonts w:ascii="Book Antiqua" w:hAnsi="Book Antiqua"/>
          <w:color w:val="000000" w:themeColor="text1"/>
          <w:lang w:eastAsia="en-GB"/>
        </w:rPr>
        <w:t xml:space="preserve"> while</w:t>
      </w:r>
      <w:r w:rsidRPr="004541C8">
        <w:rPr>
          <w:rFonts w:ascii="Book Antiqua" w:hAnsi="Book Antiqua"/>
          <w:color w:val="000000" w:themeColor="text1"/>
          <w:lang w:eastAsia="en-GB"/>
        </w:rPr>
        <w:t xml:space="preserve"> waiting for patients to reach worse control of diabetes. The reasons could be numerous, for example; patient-related since not all of the patients are interested in the initiation of multiple drugs at the same time; physician-related as a result of lack of time or even fear of potential side effects; and finally health system-related, mainly due to reimbursement policy</w:t>
      </w:r>
      <w:r w:rsidRPr="004541C8">
        <w:rPr>
          <w:rFonts w:ascii="Book Antiqua" w:hAnsi="Book Antiqua"/>
          <w:color w:val="000000" w:themeColor="text1"/>
          <w:vertAlign w:val="superscript"/>
          <w:lang w:eastAsia="en-GB"/>
        </w:rPr>
        <w:t>[13]</w:t>
      </w:r>
      <w:r w:rsidRPr="004541C8">
        <w:rPr>
          <w:rFonts w:ascii="Book Antiqua" w:hAnsi="Book Antiqua"/>
          <w:color w:val="000000" w:themeColor="text1"/>
          <w:lang w:eastAsia="en-GB"/>
        </w:rPr>
        <w:t>. Later is specific for Croatia since GLP-</w:t>
      </w:r>
      <w:r w:rsidRPr="004541C8">
        <w:rPr>
          <w:rFonts w:ascii="Book Antiqua" w:hAnsi="Book Antiqua"/>
          <w:color w:val="000000" w:themeColor="text1"/>
          <w:lang w:eastAsia="en-GB"/>
        </w:rPr>
        <w:lastRenderedPageBreak/>
        <w:t>1RAs until a couple of weeks ago were reimbursed in patients with BMI above 35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and after the failure of two anti-diabetic agents, while SGLT-2i prescription was possible in case of BMI above 27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with obligatory co-payment. </w:t>
      </w:r>
    </w:p>
    <w:p w14:paraId="746039EC" w14:textId="48D1177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There was a statistical significance in the reduction of HbA1c in all three groups, but no difference was achieved in the reduction depending on the therapy group, </w:t>
      </w:r>
      <w:r w:rsidRPr="004541C8">
        <w:rPr>
          <w:rFonts w:ascii="Book Antiqua" w:hAnsi="Book Antiqua"/>
          <w:i/>
          <w:iCs/>
          <w:color w:val="000000" w:themeColor="text1"/>
          <w:lang w:eastAsia="en-GB"/>
        </w:rPr>
        <w:t>i.e.</w:t>
      </w:r>
      <w:r w:rsidRPr="004541C8">
        <w:rPr>
          <w:rFonts w:ascii="Book Antiqua" w:hAnsi="Book Antiqua"/>
          <w:color w:val="000000" w:themeColor="text1"/>
          <w:lang w:eastAsia="en-GB"/>
        </w:rPr>
        <w:t xml:space="preserve"> the largest decrease in HbA1c was in the simultaneous group, but this was expected given the highest HbA1c at baseline. This is in line with the results of published studies so far, showing a lack of expected additive effect of GLP-1RA and SGLT-</w:t>
      </w:r>
      <w:proofErr w:type="gramStart"/>
      <w:r w:rsidRPr="004541C8">
        <w:rPr>
          <w:rFonts w:ascii="Book Antiqua" w:hAnsi="Book Antiqua"/>
          <w:color w:val="000000" w:themeColor="text1"/>
          <w:lang w:eastAsia="en-GB"/>
        </w:rPr>
        <w:t>2i</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which could be explained by the opposing actions of SGLT-2i and GLP-1 RA on endogenous glucose production</w:t>
      </w:r>
      <w:r w:rsidRPr="004541C8">
        <w:rPr>
          <w:rFonts w:ascii="Book Antiqua" w:hAnsi="Book Antiqua"/>
          <w:color w:val="000000" w:themeColor="text1"/>
          <w:vertAlign w:val="superscript"/>
          <w:lang w:eastAsia="en-GB"/>
        </w:rPr>
        <w:t>[14]</w:t>
      </w:r>
      <w:r w:rsidRPr="004541C8">
        <w:rPr>
          <w:rFonts w:ascii="Book Antiqua" w:hAnsi="Book Antiqua"/>
          <w:color w:val="000000" w:themeColor="text1"/>
          <w:lang w:eastAsia="en-GB"/>
        </w:rPr>
        <w:t xml:space="preserve">. However, </w:t>
      </w:r>
      <w:r w:rsidR="000B4A11" w:rsidRPr="004541C8">
        <w:rPr>
          <w:rFonts w:ascii="Book Antiqua" w:hAnsi="Book Antiqua"/>
          <w:color w:val="000000" w:themeColor="text1"/>
          <w:lang w:eastAsia="en-GB"/>
        </w:rPr>
        <w:t xml:space="preserve">a </w:t>
      </w:r>
      <w:r w:rsidRPr="004541C8">
        <w:rPr>
          <w:rFonts w:ascii="Book Antiqua" w:hAnsi="Book Antiqua"/>
          <w:color w:val="000000" w:themeColor="text1"/>
          <w:lang w:eastAsia="en-GB"/>
        </w:rPr>
        <w:t>recently published meta-</w:t>
      </w:r>
      <w:proofErr w:type="gramStart"/>
      <w:r w:rsidRPr="004541C8">
        <w:rPr>
          <w:rFonts w:ascii="Book Antiqua" w:hAnsi="Book Antiqua"/>
          <w:color w:val="000000" w:themeColor="text1"/>
          <w:lang w:eastAsia="en-GB"/>
        </w:rPr>
        <w:t>analysis</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10,15]</w:t>
      </w:r>
      <w:r w:rsidRPr="004541C8">
        <w:rPr>
          <w:rFonts w:ascii="Book Antiqua" w:hAnsi="Book Antiqua"/>
          <w:color w:val="000000" w:themeColor="text1"/>
          <w:lang w:eastAsia="en-GB"/>
        </w:rPr>
        <w:t xml:space="preserve"> supports quite the opposite; the combination of those two drug classes does indeed improve glycemic control compared to each agent alone.</w:t>
      </w:r>
      <w:r w:rsidRPr="004541C8">
        <w:rPr>
          <w:color w:val="000000" w:themeColor="text1"/>
        </w:rPr>
        <w:t xml:space="preserve"> </w:t>
      </w:r>
      <w:r w:rsidRPr="004541C8">
        <w:rPr>
          <w:rFonts w:ascii="Book Antiqua" w:hAnsi="Book Antiqua"/>
          <w:color w:val="000000" w:themeColor="text1"/>
          <w:lang w:eastAsia="en-GB"/>
        </w:rPr>
        <w:t xml:space="preserve">Our study concluded that the simultaneous approach was not more effective than a sequential approach. </w:t>
      </w:r>
    </w:p>
    <w:p w14:paraId="2A9B1BA1" w14:textId="40DA7FF3"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Nevertheless, in real-life clinical settings, conditions are somewhat different. For example, an observational study in older adults demonstrated a significant reduction of HbA1c and body weight, the highest being in patients who started both drugs simultaneously. Nonetheless, in the milieu of our health system, this can be a reflection of reimbursement policy, since SGLT-2 inhibitors are initiated earlier, given the light restrictions compared to those for GLP-1RAs. When the criteria are met, we add GLP-1RA. On the other hand, in patients who meet the criteria, we initiate GLP-1RA first and wait with SGLT-2i initiation considering they are not fully reimbursed, and co-payment is necessary. A success</w:t>
      </w:r>
      <w:r w:rsidR="00A66E07" w:rsidRPr="004541C8">
        <w:rPr>
          <w:rFonts w:ascii="Book Antiqua" w:hAnsi="Book Antiqua"/>
          <w:color w:val="000000" w:themeColor="text1"/>
          <w:lang w:eastAsia="en-GB"/>
        </w:rPr>
        <w:t>ful</w:t>
      </w:r>
      <w:r w:rsidRPr="004541C8">
        <w:rPr>
          <w:rFonts w:ascii="Book Antiqua" w:hAnsi="Book Antiqua"/>
          <w:color w:val="000000" w:themeColor="text1"/>
          <w:lang w:eastAsia="en-GB"/>
        </w:rPr>
        <w:t xml:space="preserve"> concept known as a step-down approach or early initiation of two agents affecting different but complementary pathophysiological mechanisms was demonstrated in the VERIFY study, where concomitant administration of metformin and d</w:t>
      </w:r>
      <w:r w:rsidR="00DE6655" w:rsidRPr="004541C8">
        <w:rPr>
          <w:rFonts w:ascii="Book Antiqua" w:hAnsi="Book Antiqua"/>
          <w:color w:val="000000" w:themeColor="text1"/>
          <w:lang w:eastAsia="en-GB"/>
        </w:rPr>
        <w:t>i</w:t>
      </w:r>
      <w:r w:rsidRPr="004541C8">
        <w:rPr>
          <w:rFonts w:ascii="Book Antiqua" w:hAnsi="Book Antiqua"/>
          <w:color w:val="000000" w:themeColor="text1"/>
          <w:lang w:eastAsia="en-GB"/>
        </w:rPr>
        <w:t>peptidyl peptidase 4 inhibitors in newly diagnosed patients delayed the progression of diabetes relative to sequential drug addition</w:t>
      </w:r>
      <w:r w:rsidRPr="004541C8">
        <w:rPr>
          <w:rFonts w:ascii="Book Antiqua" w:hAnsi="Book Antiqua"/>
          <w:color w:val="000000" w:themeColor="text1"/>
          <w:vertAlign w:val="superscript"/>
          <w:lang w:eastAsia="en-GB"/>
        </w:rPr>
        <w:t>[16,17]</w:t>
      </w:r>
      <w:r w:rsidRPr="004541C8">
        <w:rPr>
          <w:rFonts w:ascii="Book Antiqua" w:hAnsi="Book Antiqua"/>
          <w:color w:val="000000" w:themeColor="text1"/>
          <w:lang w:eastAsia="en-GB"/>
        </w:rPr>
        <w:t>. Our patients had long-standing diabetes, and perhaps the greatest benefits could be expected in patients who are newly diagnosed or in the earlier stages of the disease.</w:t>
      </w:r>
    </w:p>
    <w:p w14:paraId="1B7FC3EF" w14:textId="196B55A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lastRenderedPageBreak/>
        <w:t xml:space="preserve">In addition, a group in which treatment was started with SGLT-2i had a statistically significantly greater reduction in FPG, which is understandable given that in those subjects, FPG was initially lower compared to the other two groups. However, there was no significant effect of time in all three groups, meaning that the change occurred in the first few months, with no change occurring during </w:t>
      </w:r>
      <w:r w:rsidR="00A66E07" w:rsidRPr="004541C8">
        <w:rPr>
          <w:rFonts w:ascii="Book Antiqua" w:hAnsi="Book Antiqua"/>
          <w:color w:val="000000" w:themeColor="text1"/>
          <w:lang w:eastAsia="en-GB"/>
        </w:rPr>
        <w:t>1</w:t>
      </w:r>
      <w:r w:rsidRPr="004541C8">
        <w:rPr>
          <w:rFonts w:ascii="Book Antiqua" w:hAnsi="Book Antiqua"/>
          <w:color w:val="000000" w:themeColor="text1"/>
          <w:lang w:eastAsia="en-GB"/>
        </w:rPr>
        <w:t xml:space="preserve"> year. The explanation for this finding is also a consequence related to our health care system because SGLT-2i can be prescribed immediately after metformin, in the earlier stage of the disease when FPG values are lower compared to the later stage of the disease. </w:t>
      </w:r>
    </w:p>
    <w:p w14:paraId="0F8C7681" w14:textId="77777777"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In addition to glycemic control, an important treatment outcome is a loss of body weight. In all three patient groups, a significant reduction in BMI was achieved, but without the effect of a specific treatment group, thus the simultaneous approach did not impose a more substantial effect on body weight compared to sequential addition supporting findings from a recently published meta-</w:t>
      </w:r>
      <w:proofErr w:type="gramStart"/>
      <w:r w:rsidRPr="004541C8">
        <w:rPr>
          <w:rFonts w:ascii="Book Antiqua" w:hAnsi="Book Antiqua"/>
          <w:color w:val="000000" w:themeColor="text1"/>
          <w:lang w:eastAsia="en-GB"/>
        </w:rPr>
        <w:t>analysis</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15]</w:t>
      </w:r>
      <w:r w:rsidRPr="004541C8">
        <w:rPr>
          <w:rFonts w:ascii="Book Antiqua" w:hAnsi="Book Antiqua"/>
          <w:color w:val="000000" w:themeColor="text1"/>
          <w:lang w:eastAsia="en-GB"/>
        </w:rPr>
        <w:t xml:space="preserve">. However, a significant reduction of body weight, defined as a loss of 5% or more of initial body weight, was predominantly achieved in the simultaneous therapy group, which is in agreement with RCTs </w:t>
      </w:r>
      <w:proofErr w:type="gramStart"/>
      <w:r w:rsidRPr="004541C8">
        <w:rPr>
          <w:rFonts w:ascii="Book Antiqua" w:hAnsi="Book Antiqua"/>
          <w:color w:val="000000" w:themeColor="text1"/>
          <w:lang w:eastAsia="en-GB"/>
        </w:rPr>
        <w:t>findings</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3,18-20]</w:t>
      </w:r>
      <w:r w:rsidRPr="004541C8">
        <w:rPr>
          <w:rFonts w:ascii="Book Antiqua" w:hAnsi="Book Antiqua"/>
          <w:color w:val="000000" w:themeColor="text1"/>
          <w:lang w:eastAsia="en-GB"/>
        </w:rPr>
        <w:t>.</w:t>
      </w:r>
    </w:p>
    <w:p w14:paraId="1AAADBB4" w14:textId="5FCB962F"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Still, the greatest value of these drug classes or their combination is the effect on the cardiometabolic outcomes of diabetic patients demonstrated in </w:t>
      </w:r>
      <w:r w:rsidR="00C90A7B" w:rsidRPr="004541C8">
        <w:rPr>
          <w:rFonts w:ascii="Book Antiqua" w:hAnsi="Book Antiqua" w:cs="Arial"/>
          <w:color w:val="000000" w:themeColor="text1"/>
        </w:rPr>
        <w:t xml:space="preserve">Cardiovascular Outcome </w:t>
      </w:r>
      <w:proofErr w:type="gramStart"/>
      <w:r w:rsidR="00C90A7B" w:rsidRPr="004541C8">
        <w:rPr>
          <w:rFonts w:ascii="Book Antiqua" w:hAnsi="Book Antiqua" w:cs="Arial"/>
          <w:color w:val="000000" w:themeColor="text1"/>
        </w:rPr>
        <w:t>Trials</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20-25]</w:t>
      </w:r>
      <w:r w:rsidRPr="004541C8">
        <w:rPr>
          <w:rFonts w:ascii="Book Antiqua" w:hAnsi="Book Antiqua"/>
          <w:color w:val="000000" w:themeColor="text1"/>
          <w:lang w:eastAsia="en-GB"/>
        </w:rPr>
        <w:t xml:space="preserve">. The complementary mechanism of action makes them the perfect pair, while SGLT-2i primarily act through hemodynamic effects on heart failure, GLP-1RA has an effect on atherosclerotic </w:t>
      </w:r>
      <w:proofErr w:type="gramStart"/>
      <w:r w:rsidRPr="004541C8">
        <w:rPr>
          <w:rFonts w:ascii="Book Antiqua" w:hAnsi="Book Antiqua"/>
          <w:color w:val="000000" w:themeColor="text1"/>
          <w:lang w:eastAsia="en-GB"/>
        </w:rPr>
        <w:t>disease</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26]</w:t>
      </w:r>
      <w:r w:rsidRPr="004541C8">
        <w:rPr>
          <w:rFonts w:ascii="Book Antiqua" w:hAnsi="Book Antiqua"/>
          <w:color w:val="000000" w:themeColor="text1"/>
          <w:lang w:eastAsia="en-GB"/>
        </w:rPr>
        <w:t xml:space="preserve">. No difference was observed in our patients in the incidence of </w:t>
      </w:r>
      <w:r w:rsidR="000229A5" w:rsidRPr="004541C8">
        <w:rPr>
          <w:rFonts w:ascii="Book Antiqua" w:hAnsi="Book Antiqua"/>
          <w:color w:val="000000" w:themeColor="text1"/>
          <w:lang w:eastAsia="en-GB"/>
        </w:rPr>
        <w:t xml:space="preserve">CV </w:t>
      </w:r>
      <w:r w:rsidRPr="004541C8">
        <w:rPr>
          <w:rFonts w:ascii="Book Antiqua" w:hAnsi="Book Antiqua"/>
          <w:color w:val="000000" w:themeColor="text1"/>
          <w:lang w:eastAsia="en-GB"/>
        </w:rPr>
        <w:t xml:space="preserve">events, whether it was </w:t>
      </w:r>
      <w:r w:rsidR="000229A5" w:rsidRPr="004541C8">
        <w:rPr>
          <w:rFonts w:ascii="Book Antiqua" w:hAnsi="Book Antiqua"/>
          <w:color w:val="000000" w:themeColor="text1"/>
          <w:lang w:eastAsia="en-GB"/>
        </w:rPr>
        <w:t>three</w:t>
      </w:r>
      <w:r w:rsidRPr="004541C8">
        <w:rPr>
          <w:rFonts w:ascii="Book Antiqua" w:hAnsi="Book Antiqua"/>
          <w:color w:val="000000" w:themeColor="text1"/>
          <w:lang w:eastAsia="en-GB"/>
        </w:rPr>
        <w:t xml:space="preserve"> points </w:t>
      </w:r>
      <w:r w:rsidR="00D71EBC" w:rsidRPr="004541C8">
        <w:rPr>
          <w:rFonts w:ascii="Book Antiqua" w:hAnsi="Book Antiqua"/>
          <w:color w:val="000000" w:themeColor="text1"/>
          <w:lang w:eastAsia="en-GB"/>
        </w:rPr>
        <w:t>mild autonomous cortisol excess</w:t>
      </w:r>
      <w:r w:rsidRPr="004541C8">
        <w:rPr>
          <w:rFonts w:ascii="Book Antiqua" w:hAnsi="Book Antiqua"/>
          <w:color w:val="000000" w:themeColor="text1"/>
          <w:lang w:eastAsia="en-GB"/>
        </w:rPr>
        <w:t xml:space="preserve"> or heart failure, which may be a reflection of short follow-up time or a small number of events. Again, it must be emphasized that one of the main criteria for prescribing these drugs should be the presence of CVD as required by the guidelines, which has only recently been implemented in the health care system of our </w:t>
      </w:r>
      <w:proofErr w:type="gramStart"/>
      <w:r w:rsidRPr="004541C8">
        <w:rPr>
          <w:rFonts w:ascii="Book Antiqua" w:hAnsi="Book Antiqua"/>
          <w:color w:val="000000" w:themeColor="text1"/>
          <w:lang w:eastAsia="en-GB"/>
        </w:rPr>
        <w:t>country</w:t>
      </w:r>
      <w:r w:rsidR="00AA281C" w:rsidRPr="004541C8">
        <w:rPr>
          <w:rFonts w:ascii="Book Antiqua" w:hAnsi="Book Antiqua"/>
          <w:color w:val="000000" w:themeColor="text1"/>
          <w:lang w:eastAsia="en-GB"/>
        </w:rPr>
        <w:t>,</w:t>
      </w:r>
      <w:proofErr w:type="gramEnd"/>
      <w:r w:rsidRPr="004541C8">
        <w:rPr>
          <w:rFonts w:ascii="Book Antiqua" w:hAnsi="Book Antiqua"/>
          <w:color w:val="000000" w:themeColor="text1"/>
          <w:lang w:eastAsia="en-GB"/>
        </w:rPr>
        <w:t xml:space="preserve"> otherwise we are too late in terms of metabolic control and prevention of CV incidents. </w:t>
      </w:r>
    </w:p>
    <w:p w14:paraId="27BB3BA5" w14:textId="204D81C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Also, no differences in eGFR were noted, which was expected given that SGLT-2i are still indicated in patients with eGFR over 60 mL/min; thus, all of our patients had </w:t>
      </w:r>
      <w:r w:rsidRPr="004541C8">
        <w:rPr>
          <w:rFonts w:ascii="Book Antiqua" w:hAnsi="Book Antiqua"/>
          <w:color w:val="000000" w:themeColor="text1"/>
          <w:lang w:eastAsia="en-GB"/>
        </w:rPr>
        <w:lastRenderedPageBreak/>
        <w:t>normal kidney function. Combination therapy in this subset of patients could primarily affect the onset or progression of micro/macroalbuminuria due to the mechanism of action of GLP 1RA and SGLT-</w:t>
      </w:r>
      <w:proofErr w:type="gramStart"/>
      <w:r w:rsidRPr="004541C8">
        <w:rPr>
          <w:rFonts w:ascii="Book Antiqua" w:hAnsi="Book Antiqua"/>
          <w:color w:val="000000" w:themeColor="text1"/>
          <w:lang w:eastAsia="en-GB"/>
        </w:rPr>
        <w:t>2i</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27]</w:t>
      </w:r>
      <w:r w:rsidR="00AA281C" w:rsidRPr="004541C8">
        <w:rPr>
          <w:rFonts w:ascii="Book Antiqua" w:hAnsi="Book Antiqua"/>
          <w:color w:val="000000" w:themeColor="text1"/>
          <w:lang w:eastAsia="en-GB"/>
        </w:rPr>
        <w:t xml:space="preserve">; </w:t>
      </w:r>
      <w:r w:rsidRPr="004541C8">
        <w:rPr>
          <w:rFonts w:ascii="Book Antiqua" w:hAnsi="Book Antiqua"/>
          <w:color w:val="000000" w:themeColor="text1"/>
          <w:lang w:eastAsia="en-GB"/>
        </w:rPr>
        <w:t>however, only a small number of patients had available data on albuminuria, which prevented adequate analysis.</w:t>
      </w:r>
    </w:p>
    <w:p w14:paraId="54EBE5B5" w14:textId="5878C765"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A particularly disturbing fact is the number of patients (32.3%) who achieved a composite outcome defined as HbA1c &lt; 7% and 5% weight loss, which deviates significantly from the results of available RCTs promising more favorable results</w:t>
      </w:r>
      <w:r w:rsidRPr="004541C8">
        <w:rPr>
          <w:rFonts w:ascii="Book Antiqua" w:hAnsi="Book Antiqua"/>
          <w:color w:val="000000" w:themeColor="text1"/>
          <w:vertAlign w:val="superscript"/>
          <w:lang w:eastAsia="en-GB"/>
        </w:rPr>
        <w:t>[3,18,19,23]</w:t>
      </w:r>
      <w:r w:rsidRPr="004541C8">
        <w:rPr>
          <w:rFonts w:ascii="Book Antiqua" w:hAnsi="Book Antiqua"/>
          <w:color w:val="000000" w:themeColor="text1"/>
          <w:lang w:eastAsia="en-GB"/>
        </w:rPr>
        <w:t xml:space="preserve"> substantiated by recently published meta-analysis</w:t>
      </w:r>
      <w:r w:rsidRPr="004541C8">
        <w:rPr>
          <w:rFonts w:ascii="Book Antiqua" w:hAnsi="Book Antiqua"/>
          <w:color w:val="000000" w:themeColor="text1"/>
          <w:vertAlign w:val="superscript"/>
          <w:lang w:eastAsia="en-GB"/>
        </w:rPr>
        <w:t>[10,15]</w:t>
      </w:r>
      <w:r w:rsidRPr="004541C8">
        <w:rPr>
          <w:rFonts w:ascii="Book Antiqua" w:hAnsi="Book Antiqua"/>
          <w:color w:val="000000" w:themeColor="text1"/>
          <w:lang w:eastAsia="en-GB"/>
        </w:rPr>
        <w:t xml:space="preserve">. However, this is in line with a recently published observational study in older patients receiving combination therapy where 34.3% achieved the combined endpoint of A1C levels &lt; 7% and weight loss </w:t>
      </w:r>
      <w:r w:rsidRPr="004541C8">
        <w:rPr>
          <w:rFonts w:ascii="Book Antiqua" w:hAnsi="Book Antiqua" w:hint="eastAsia"/>
          <w:color w:val="000000" w:themeColor="text1"/>
          <w:lang w:eastAsia="en-GB"/>
        </w:rPr>
        <w:t>≥</w:t>
      </w:r>
      <w:r w:rsidRPr="004541C8">
        <w:rPr>
          <w:rFonts w:ascii="Book Antiqua" w:hAnsi="Book Antiqua"/>
          <w:color w:val="000000" w:themeColor="text1"/>
          <w:lang w:eastAsia="en-GB"/>
        </w:rPr>
        <w:t xml:space="preserve"> 5% without hypoglycemia</w:t>
      </w:r>
      <w:r w:rsidRPr="004541C8">
        <w:rPr>
          <w:rFonts w:ascii="Book Antiqua" w:hAnsi="Book Antiqua"/>
          <w:color w:val="000000" w:themeColor="text1"/>
          <w:vertAlign w:val="superscript"/>
          <w:lang w:eastAsia="en-GB"/>
        </w:rPr>
        <w:t>[28]</w:t>
      </w:r>
      <w:r w:rsidRPr="004541C8">
        <w:rPr>
          <w:rFonts w:ascii="Book Antiqua" w:hAnsi="Book Antiqua"/>
          <w:color w:val="000000" w:themeColor="text1"/>
          <w:lang w:eastAsia="en-GB"/>
        </w:rPr>
        <w:t xml:space="preserve">. This discrepancy between RCTs results compared to the results of observational studies in real-world settings has long been recognized. Seemingly, the main culprit is the lack of patients’ adherence, especially those treated with the GLP-1 RA class related to gastrointestinal side </w:t>
      </w:r>
      <w:proofErr w:type="gramStart"/>
      <w:r w:rsidRPr="004541C8">
        <w:rPr>
          <w:rFonts w:ascii="Book Antiqua" w:hAnsi="Book Antiqua"/>
          <w:color w:val="000000" w:themeColor="text1"/>
          <w:lang w:eastAsia="en-GB"/>
        </w:rPr>
        <w:t>effects</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29]</w:t>
      </w:r>
      <w:r w:rsidRPr="004541C8">
        <w:rPr>
          <w:rFonts w:ascii="Book Antiqua" w:hAnsi="Book Antiqua"/>
          <w:color w:val="000000" w:themeColor="text1"/>
          <w:lang w:eastAsia="en-GB"/>
        </w:rPr>
        <w:t xml:space="preserve">. The same problem could be present with SGLT-2i and their safety profile in terms of the frequent urinary tract and genital infections. Obviously, there are several reasons for such poor results of GLP-1RA and SGLT-2i combination drug treatment, which presently have an advantage as second-line </w:t>
      </w:r>
      <w:proofErr w:type="gramStart"/>
      <w:r w:rsidRPr="004541C8">
        <w:rPr>
          <w:rFonts w:ascii="Book Antiqua" w:hAnsi="Book Antiqua"/>
          <w:color w:val="000000" w:themeColor="text1"/>
          <w:lang w:eastAsia="en-GB"/>
        </w:rPr>
        <w:t>therapy</w:t>
      </w:r>
      <w:r w:rsidRPr="004541C8">
        <w:rPr>
          <w:rFonts w:ascii="Book Antiqua" w:hAnsi="Book Antiqua"/>
          <w:color w:val="000000" w:themeColor="text1"/>
          <w:vertAlign w:val="superscript"/>
          <w:lang w:eastAsia="en-GB"/>
        </w:rPr>
        <w:t>[</w:t>
      </w:r>
      <w:proofErr w:type="gramEnd"/>
      <w:r w:rsidRPr="004541C8">
        <w:rPr>
          <w:rFonts w:ascii="Book Antiqua" w:hAnsi="Book Antiqua"/>
          <w:color w:val="000000" w:themeColor="text1"/>
          <w:vertAlign w:val="superscript"/>
          <w:lang w:eastAsia="en-GB"/>
        </w:rPr>
        <w:t>9]</w:t>
      </w:r>
      <w:r w:rsidRPr="004541C8">
        <w:rPr>
          <w:rFonts w:ascii="Book Antiqua" w:hAnsi="Book Antiqua"/>
          <w:color w:val="000000" w:themeColor="text1"/>
          <w:lang w:eastAsia="en-GB"/>
        </w:rPr>
        <w:t xml:space="preserve"> and possibly as a first-line in patients with established CV disease</w:t>
      </w:r>
      <w:r w:rsidRPr="004541C8">
        <w:rPr>
          <w:rFonts w:ascii="Book Antiqua" w:hAnsi="Book Antiqua"/>
          <w:color w:val="000000" w:themeColor="text1"/>
          <w:vertAlign w:val="superscript"/>
          <w:lang w:eastAsia="en-GB"/>
        </w:rPr>
        <w:t>[30]</w:t>
      </w:r>
      <w:r w:rsidRPr="004541C8">
        <w:rPr>
          <w:rFonts w:ascii="Book Antiqua" w:hAnsi="Book Antiqua"/>
          <w:color w:val="000000" w:themeColor="text1"/>
          <w:lang w:eastAsia="en-GB"/>
        </w:rPr>
        <w:t>, but we cannot escape the impression that this is mostly the result of our health insurance reimbursement policy. </w:t>
      </w:r>
    </w:p>
    <w:p w14:paraId="78D83681" w14:textId="2E4DAD07"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Moreover, only 18.2% of patients attained composite outcomes defined as HbA1c below 7% with 5% weight loss and less stringent target of LDL cholesterol &lt; 2.5 mmol/L</w:t>
      </w:r>
      <w:r w:rsidR="006948F2"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highlighting a significant problem of nonadherence and sub dosage of statin therapy</w:t>
      </w:r>
      <w:r w:rsidRPr="004541C8">
        <w:rPr>
          <w:rFonts w:ascii="Book Antiqua" w:hAnsi="Book Antiqua"/>
          <w:color w:val="000000" w:themeColor="text1"/>
          <w:vertAlign w:val="superscript"/>
          <w:lang w:eastAsia="en-GB"/>
        </w:rPr>
        <w:t>[31,32]</w:t>
      </w:r>
      <w:r w:rsidRPr="004541C8">
        <w:rPr>
          <w:rFonts w:ascii="Book Antiqua" w:hAnsi="Book Antiqua"/>
          <w:color w:val="000000" w:themeColor="text1"/>
          <w:lang w:eastAsia="en-GB"/>
        </w:rPr>
        <w:t>. </w:t>
      </w:r>
    </w:p>
    <w:p w14:paraId="19AFE655" w14:textId="10684B9C"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The main limitation of this study is </w:t>
      </w:r>
      <w:r w:rsidR="006948F2" w:rsidRPr="004541C8">
        <w:rPr>
          <w:rFonts w:ascii="Book Antiqua" w:hAnsi="Book Antiqua"/>
          <w:color w:val="000000" w:themeColor="text1"/>
          <w:lang w:eastAsia="en-GB"/>
        </w:rPr>
        <w:t xml:space="preserve">the </w:t>
      </w:r>
      <w:r w:rsidRPr="004541C8">
        <w:rPr>
          <w:rFonts w:ascii="Book Antiqua" w:hAnsi="Book Antiqua"/>
          <w:color w:val="000000" w:themeColor="text1"/>
          <w:lang w:eastAsia="en-GB"/>
        </w:rPr>
        <w:t xml:space="preserve">non-interventional observational design and disposal of routine data from everyday clinical settings. Information was collected from electronic medical registries; therefore, hypoglycemic incidents, changes in blood pressure and adverse effects of drugs were underreported, and data were insufficient for us to perform the analysis. In addition, it is possible that some clinical events, as </w:t>
      </w:r>
      <w:r w:rsidRPr="004541C8">
        <w:rPr>
          <w:rFonts w:ascii="Book Antiqua" w:hAnsi="Book Antiqua"/>
          <w:color w:val="000000" w:themeColor="text1"/>
          <w:lang w:eastAsia="en-GB"/>
        </w:rPr>
        <w:lastRenderedPageBreak/>
        <w:t>well as clinical data, were omitted, which could influence the interpretation of results. In order to establish CV benefits, longer follow-up studies are needed with</w:t>
      </w:r>
      <w:r w:rsidR="006948F2" w:rsidRPr="004541C8">
        <w:rPr>
          <w:rFonts w:ascii="Book Antiqua" w:hAnsi="Book Antiqua"/>
          <w:color w:val="000000" w:themeColor="text1"/>
          <w:lang w:eastAsia="en-GB"/>
        </w:rPr>
        <w:t xml:space="preserve"> a</w:t>
      </w:r>
      <w:r w:rsidRPr="004541C8">
        <w:rPr>
          <w:rFonts w:ascii="Book Antiqua" w:hAnsi="Book Antiqua"/>
          <w:color w:val="000000" w:themeColor="text1"/>
          <w:lang w:eastAsia="en-GB"/>
        </w:rPr>
        <w:t xml:space="preserve"> larger sample size.</w:t>
      </w:r>
    </w:p>
    <w:p w14:paraId="0C23FAE9" w14:textId="77777777" w:rsidR="00A77B3E" w:rsidRPr="004541C8" w:rsidRDefault="00A77B3E" w:rsidP="004541C8">
      <w:pPr>
        <w:snapToGrid w:val="0"/>
        <w:spacing w:line="360" w:lineRule="auto"/>
        <w:jc w:val="both"/>
        <w:rPr>
          <w:color w:val="000000" w:themeColor="text1"/>
        </w:rPr>
      </w:pPr>
    </w:p>
    <w:p w14:paraId="5B5D80A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CONCLUSION</w:t>
      </w:r>
    </w:p>
    <w:p w14:paraId="2D1E6A5B" w14:textId="2C86638E" w:rsidR="00A77B3E" w:rsidRPr="004541C8" w:rsidRDefault="00FD317D" w:rsidP="004541C8">
      <w:pPr>
        <w:snapToGrid w:val="0"/>
        <w:spacing w:line="360" w:lineRule="auto"/>
        <w:jc w:val="both"/>
        <w:rPr>
          <w:color w:val="000000" w:themeColor="text1"/>
        </w:rPr>
      </w:pPr>
      <w:r w:rsidRPr="004541C8">
        <w:rPr>
          <w:rFonts w:ascii="Book Antiqua" w:hAnsi="Book Antiqua"/>
          <w:color w:val="000000" w:themeColor="text1"/>
          <w:lang w:eastAsia="en-GB"/>
        </w:rPr>
        <w:t xml:space="preserve">Thus, we can conclude that the combination of those two drug classes has positive effects in terms of metabolic control, although it is not clear whether simultaneous or sequential intensification makes a difference. Simultaneous use was mainly reserved for patients with the highest degree of dysglycemia. SGLT-2 inhibitors were used more commonly early in the disease course when FPG was still in range or only slightly elevated. In these obese, poorly regulated patients with long-standing diabetes, both options seem to be equally effective, although the real question is whether the results would have been different if we had the opportunity to start the simultaneous therapy earlier. It was also not possible to assess the most significant benefit of this combination and its effects on </w:t>
      </w:r>
      <w:r w:rsidR="000229A5" w:rsidRPr="004541C8">
        <w:rPr>
          <w:rFonts w:ascii="Book Antiqua" w:hAnsi="Book Antiqua"/>
          <w:color w:val="000000" w:themeColor="text1"/>
          <w:lang w:eastAsia="en-GB"/>
        </w:rPr>
        <w:t xml:space="preserve">CV </w:t>
      </w:r>
      <w:r w:rsidRPr="004541C8">
        <w:rPr>
          <w:rFonts w:ascii="Book Antiqua" w:hAnsi="Book Antiqua"/>
          <w:color w:val="000000" w:themeColor="text1"/>
          <w:lang w:eastAsia="en-GB"/>
        </w:rPr>
        <w:t xml:space="preserve">complications and kidney function. The next step would be to monitor patients treated with this particular combination in earlier stages of the disease and longer. According to </w:t>
      </w:r>
      <w:r w:rsidR="008A2EDA" w:rsidRPr="004541C8">
        <w:rPr>
          <w:rFonts w:ascii="Book Antiqua" w:hAnsi="Book Antiqua"/>
          <w:color w:val="000000" w:themeColor="text1"/>
          <w:lang w:eastAsia="en-GB"/>
        </w:rPr>
        <w:t xml:space="preserve">a </w:t>
      </w:r>
      <w:r w:rsidRPr="004541C8">
        <w:rPr>
          <w:rFonts w:ascii="Book Antiqua" w:hAnsi="Book Antiqua"/>
          <w:color w:val="000000" w:themeColor="text1"/>
          <w:lang w:eastAsia="en-GB"/>
        </w:rPr>
        <w:t>new reimbursement policy, we are presently able to initiate GLP-1RA in patients with a BMI over 30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or 28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if they have proven CV disease after failure of dual oral therapy and SGLT-2i irrespective of patient's BMI</w:t>
      </w:r>
      <w:r w:rsidR="008A2EDA"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thus enabling us to establish the actual value of GLP-1RA and SGLT-2i combination treatment.</w:t>
      </w:r>
    </w:p>
    <w:p w14:paraId="02E2E20E" w14:textId="77777777" w:rsidR="00A77B3E" w:rsidRPr="004541C8" w:rsidRDefault="00A77B3E" w:rsidP="004541C8">
      <w:pPr>
        <w:snapToGrid w:val="0"/>
        <w:spacing w:line="360" w:lineRule="auto"/>
        <w:jc w:val="both"/>
        <w:rPr>
          <w:color w:val="000000" w:themeColor="text1"/>
        </w:rPr>
      </w:pPr>
    </w:p>
    <w:p w14:paraId="5506E10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ARTICLE HIGHLIGHTS</w:t>
      </w:r>
    </w:p>
    <w:p w14:paraId="03F33D9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background</w:t>
      </w:r>
    </w:p>
    <w:p w14:paraId="258D5F08" w14:textId="24B710BC" w:rsidR="00A77B3E" w:rsidRPr="004541C8" w:rsidRDefault="00FD317D" w:rsidP="004541C8">
      <w:pPr>
        <w:pStyle w:val="a7"/>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Currently, not much is known on the efficacy, safety and potential cardiometabolic benefits of combination therapy, including </w:t>
      </w:r>
      <w:r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2 inhibitors (SGLT-2i) and glucagon-like-1 receptor agonists (GLP-1RA)</w:t>
      </w:r>
      <w:r w:rsidRPr="004541C8">
        <w:rPr>
          <w:rFonts w:ascii="Book Antiqua" w:hAnsi="Book Antiqua"/>
          <w:color w:val="000000" w:themeColor="text1"/>
        </w:rPr>
        <w:t xml:space="preserve">, in the treatment of patients with </w:t>
      </w:r>
      <w:r w:rsidRPr="004541C8">
        <w:rPr>
          <w:rFonts w:ascii="Book Antiqua" w:eastAsia="Book Antiqua" w:hAnsi="Book Antiqua" w:cs="Book Antiqua"/>
          <w:color w:val="000000" w:themeColor="text1"/>
        </w:rPr>
        <w:t xml:space="preserve">type </w:t>
      </w:r>
      <w:proofErr w:type="gramStart"/>
      <w:r w:rsidRPr="004541C8">
        <w:rPr>
          <w:rFonts w:ascii="Book Antiqua" w:eastAsia="Book Antiqua" w:hAnsi="Book Antiqua" w:cs="Book Antiqua"/>
          <w:color w:val="000000" w:themeColor="text1"/>
        </w:rPr>
        <w:t>2 diabetes</w:t>
      </w:r>
      <w:r w:rsidRPr="004541C8">
        <w:rPr>
          <w:rFonts w:ascii="Book Antiqua" w:hAnsi="Book Antiqua"/>
          <w:color w:val="000000" w:themeColor="text1"/>
        </w:rPr>
        <w:t xml:space="preserve"> (T2DM) with poorly controlled glycemia</w:t>
      </w:r>
      <w:proofErr w:type="gramEnd"/>
      <w:r w:rsidRPr="004541C8">
        <w:rPr>
          <w:rFonts w:ascii="Book Antiqua" w:hAnsi="Book Antiqua"/>
          <w:color w:val="000000" w:themeColor="text1"/>
        </w:rPr>
        <w:t xml:space="preserve">. Separately, both drug classes have proven </w:t>
      </w:r>
      <w:r w:rsidRPr="004541C8">
        <w:rPr>
          <w:rFonts w:ascii="Book Antiqua" w:hAnsi="Book Antiqua" w:cs="Arial"/>
          <w:color w:val="000000" w:themeColor="text1"/>
        </w:rPr>
        <w:t>cardiovascular</w:t>
      </w:r>
      <w:r w:rsidRPr="004541C8">
        <w:rPr>
          <w:rFonts w:ascii="Book Antiqua" w:hAnsi="Book Antiqua"/>
          <w:color w:val="000000" w:themeColor="text1"/>
        </w:rPr>
        <w:t xml:space="preserve"> (CV) benefits, mainly in secondary and some also in </w:t>
      </w:r>
      <w:r w:rsidRPr="004541C8">
        <w:rPr>
          <w:rFonts w:ascii="Book Antiqua" w:hAnsi="Book Antiqua"/>
          <w:color w:val="000000" w:themeColor="text1"/>
        </w:rPr>
        <w:lastRenderedPageBreak/>
        <w:t>primary prevention. Moreover, both drug classes improve glycemic control by not enhancing the risk of hypoglycemia and having additional beneficial effects on body weight, making them a preferred option for treating obese/overweight patients with T2DM.</w:t>
      </w:r>
    </w:p>
    <w:p w14:paraId="3B8385B5" w14:textId="77777777" w:rsidR="00A77B3E" w:rsidRPr="004541C8" w:rsidRDefault="00A77B3E" w:rsidP="004541C8">
      <w:pPr>
        <w:snapToGrid w:val="0"/>
        <w:spacing w:line="360" w:lineRule="auto"/>
        <w:jc w:val="both"/>
        <w:rPr>
          <w:color w:val="000000" w:themeColor="text1"/>
        </w:rPr>
      </w:pPr>
    </w:p>
    <w:p w14:paraId="3FAD356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motivation</w:t>
      </w:r>
    </w:p>
    <w:p w14:paraId="72E5FF7D" w14:textId="1E09CCEC" w:rsidR="00A77B3E" w:rsidRPr="004541C8" w:rsidRDefault="00FD317D"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 xml:space="preserve">Data on using combination therapy </w:t>
      </w:r>
      <w:r w:rsidR="008A2EDA" w:rsidRPr="004541C8">
        <w:rPr>
          <w:rFonts w:ascii="Book Antiqua" w:hAnsi="Book Antiqua"/>
          <w:color w:val="000000" w:themeColor="text1"/>
        </w:rPr>
        <w:t xml:space="preserve">are </w:t>
      </w:r>
      <w:r w:rsidRPr="004541C8">
        <w:rPr>
          <w:rFonts w:ascii="Book Antiqua" w:hAnsi="Book Antiqua"/>
          <w:color w:val="000000" w:themeColor="text1"/>
        </w:rPr>
        <w:t xml:space="preserve">still modest. The analyses of results coming from </w:t>
      </w:r>
      <w:r w:rsidRPr="004541C8">
        <w:rPr>
          <w:rFonts w:ascii="Book Antiqua" w:hAnsi="Book Antiqua" w:cs="Arial"/>
          <w:color w:val="000000" w:themeColor="text1"/>
        </w:rPr>
        <w:t>randomized controlled trials</w:t>
      </w:r>
      <w:r w:rsidRPr="004541C8">
        <w:rPr>
          <w:rFonts w:ascii="Book Antiqua" w:hAnsi="Book Antiqua"/>
          <w:color w:val="000000" w:themeColor="text1"/>
        </w:rPr>
        <w:t xml:space="preserve"> (RCTs) suggest improvements of glycemic control as well as in CV surrogate markers when GLP-1RAs are added on top of SGLT-2i. Interestingly, glycemic improvements when both drugs are given simultaneously might not be additive. Moreover, data from real-life clinical practice with mentioned drug classes not always follow the results of RCTs. The question of the right timing for the mentioned agents in the course of the disease and if their effect is durable still remains open.</w:t>
      </w:r>
    </w:p>
    <w:p w14:paraId="7C874728" w14:textId="77777777" w:rsidR="00FD317D" w:rsidRPr="004541C8" w:rsidRDefault="00FD317D" w:rsidP="004541C8">
      <w:pPr>
        <w:snapToGrid w:val="0"/>
        <w:spacing w:line="360" w:lineRule="auto"/>
        <w:jc w:val="both"/>
        <w:rPr>
          <w:color w:val="000000" w:themeColor="text1"/>
        </w:rPr>
      </w:pPr>
    </w:p>
    <w:p w14:paraId="6CC1C75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objectives</w:t>
      </w:r>
    </w:p>
    <w:p w14:paraId="6109072E" w14:textId="25EDA4CE" w:rsidR="00035B5A" w:rsidRPr="004541C8" w:rsidRDefault="00035B5A" w:rsidP="004541C8">
      <w:pPr>
        <w:pStyle w:val="a7"/>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The aim was to investigate whether the efficacy of GLP-1RA and SGLT2i combination observed in randomized controlled trials translates into therapeutic benefits during routine clinical practice and 12 </w:t>
      </w:r>
      <w:proofErr w:type="spellStart"/>
      <w:r w:rsidRPr="004541C8">
        <w:rPr>
          <w:rFonts w:ascii="Book Antiqua" w:hAnsi="Book Antiqua"/>
          <w:color w:val="000000" w:themeColor="text1"/>
        </w:rPr>
        <w:t>mo</w:t>
      </w:r>
      <w:proofErr w:type="spellEnd"/>
      <w:r w:rsidRPr="004541C8">
        <w:rPr>
          <w:rFonts w:ascii="Book Antiqua" w:hAnsi="Book Antiqua"/>
          <w:color w:val="000000" w:themeColor="text1"/>
        </w:rPr>
        <w:t xml:space="preserve"> follow</w:t>
      </w:r>
      <w:r w:rsidR="00E3013E" w:rsidRPr="004541C8">
        <w:rPr>
          <w:rFonts w:ascii="Book Antiqua" w:hAnsi="Book Antiqua"/>
          <w:color w:val="000000" w:themeColor="text1"/>
        </w:rPr>
        <w:t>-</w:t>
      </w:r>
      <w:r w:rsidRPr="004541C8">
        <w:rPr>
          <w:rFonts w:ascii="Book Antiqua" w:hAnsi="Book Antiqua"/>
          <w:color w:val="000000" w:themeColor="text1"/>
        </w:rPr>
        <w:t xml:space="preserve">up. In addition, the efficacy of simultaneous </w:t>
      </w:r>
      <w:r w:rsidRPr="004541C8">
        <w:rPr>
          <w:rFonts w:ascii="Book Antiqua" w:hAnsi="Book Antiqua"/>
          <w:i/>
          <w:iCs/>
          <w:color w:val="000000" w:themeColor="text1"/>
        </w:rPr>
        <w:t>vs</w:t>
      </w:r>
      <w:r w:rsidRPr="004541C8">
        <w:rPr>
          <w:rFonts w:ascii="Book Antiqua" w:hAnsi="Book Antiqua"/>
          <w:color w:val="000000" w:themeColor="text1"/>
        </w:rPr>
        <w:t xml:space="preserve"> sequential initiation approach was also compared. The primary study endpoint was the proportion of participants with </w:t>
      </w:r>
      <w:r w:rsidR="00D71EBC" w:rsidRPr="004541C8">
        <w:rPr>
          <w:rFonts w:ascii="Book Antiqua" w:eastAsia="Book Antiqua" w:hAnsi="Book Antiqua" w:cs="Book Antiqua"/>
          <w:color w:val="000000" w:themeColor="text1"/>
        </w:rPr>
        <w:t xml:space="preserve">hemoglobin </w:t>
      </w:r>
      <w:proofErr w:type="gramStart"/>
      <w:r w:rsidR="00D71EBC" w:rsidRPr="004541C8">
        <w:rPr>
          <w:rFonts w:ascii="Book Antiqua" w:eastAsia="Book Antiqua" w:hAnsi="Book Antiqua" w:cs="Book Antiqua"/>
          <w:color w:val="000000" w:themeColor="text1"/>
        </w:rPr>
        <w:t>A1c</w:t>
      </w:r>
      <w:proofErr w:type="gramEnd"/>
      <w:r w:rsidR="00D71EBC" w:rsidRPr="004541C8">
        <w:rPr>
          <w:rFonts w:ascii="Book Antiqua" w:hAnsi="Book Antiqua"/>
          <w:color w:val="000000" w:themeColor="text1"/>
        </w:rPr>
        <w:t xml:space="preserve"> (</w:t>
      </w:r>
      <w:r w:rsidRPr="004541C8">
        <w:rPr>
          <w:rFonts w:ascii="Book Antiqua" w:hAnsi="Book Antiqua"/>
          <w:color w:val="000000" w:themeColor="text1"/>
        </w:rPr>
        <w:t>HbA1c</w:t>
      </w:r>
      <w:r w:rsidR="00D71EBC" w:rsidRPr="004541C8">
        <w:rPr>
          <w:rFonts w:ascii="Book Antiqua" w:hAnsi="Book Antiqua"/>
          <w:color w:val="000000" w:themeColor="text1"/>
        </w:rPr>
        <w:t>)</w:t>
      </w:r>
      <w:r w:rsidRPr="004541C8">
        <w:rPr>
          <w:rFonts w:ascii="Book Antiqua" w:hAnsi="Book Antiqua"/>
          <w:color w:val="000000" w:themeColor="text1"/>
        </w:rPr>
        <w:t xml:space="preserve"> &lt; 7.0% and/or 5% bodyweight reduction. Secondary outcomes included changes in </w:t>
      </w:r>
      <w:r w:rsidR="00D71EBC" w:rsidRPr="004541C8">
        <w:rPr>
          <w:rFonts w:ascii="Book Antiqua" w:eastAsia="Book Antiqua" w:hAnsi="Book Antiqua" w:cs="Book Antiqua"/>
          <w:color w:val="000000" w:themeColor="text1"/>
        </w:rPr>
        <w:t>fasting plasma glucose</w:t>
      </w:r>
      <w:r w:rsidR="00D71EBC" w:rsidRPr="004541C8">
        <w:rPr>
          <w:rFonts w:ascii="Book Antiqua" w:hAnsi="Book Antiqua"/>
          <w:color w:val="000000" w:themeColor="text1"/>
        </w:rPr>
        <w:t xml:space="preserve"> (</w:t>
      </w:r>
      <w:r w:rsidRPr="004541C8">
        <w:rPr>
          <w:rFonts w:ascii="Book Antiqua" w:hAnsi="Book Antiqua"/>
          <w:color w:val="000000" w:themeColor="text1"/>
        </w:rPr>
        <w:t>FPG</w:t>
      </w:r>
      <w:r w:rsidR="00D71EBC" w:rsidRPr="004541C8">
        <w:rPr>
          <w:rFonts w:ascii="Book Antiqua" w:hAnsi="Book Antiqua"/>
          <w:color w:val="000000" w:themeColor="text1"/>
        </w:rPr>
        <w:t>)</w:t>
      </w:r>
      <w:r w:rsidRPr="004541C8">
        <w:rPr>
          <w:rFonts w:ascii="Book Antiqua" w:hAnsi="Book Antiqua"/>
          <w:color w:val="000000" w:themeColor="text1"/>
        </w:rPr>
        <w:t xml:space="preserve">, </w:t>
      </w:r>
      <w:r w:rsidR="00D71EBC" w:rsidRPr="004541C8">
        <w:rPr>
          <w:rFonts w:ascii="Book Antiqua" w:eastAsia="Book Antiqua" w:hAnsi="Book Antiqua" w:cs="Book Antiqua"/>
          <w:color w:val="000000" w:themeColor="text1"/>
        </w:rPr>
        <w:t>prandial plasma glucose (PPG), low-density lipoprotein cholesterol (LDL)</w:t>
      </w:r>
      <w:r w:rsidRPr="004541C8">
        <w:rPr>
          <w:rFonts w:ascii="Book Antiqua" w:hAnsi="Book Antiqua"/>
          <w:color w:val="000000" w:themeColor="text1"/>
        </w:rPr>
        <w:t xml:space="preserve"> cholesterol, </w:t>
      </w:r>
      <w:r w:rsidR="00D71EBC" w:rsidRPr="004541C8">
        <w:rPr>
          <w:rFonts w:ascii="Book Antiqua" w:eastAsia="Book Antiqua" w:hAnsi="Book Antiqua" w:cs="Book Antiqua"/>
          <w:color w:val="000000" w:themeColor="text1"/>
        </w:rPr>
        <w:t>estimated glomerular filtration rate (eGFR)</w:t>
      </w:r>
      <w:r w:rsidRPr="004541C8">
        <w:rPr>
          <w:rFonts w:ascii="Book Antiqua" w:hAnsi="Book Antiqua"/>
          <w:color w:val="000000" w:themeColor="text1"/>
        </w:rPr>
        <w:t xml:space="preserve"> and </w:t>
      </w:r>
      <w:r w:rsidR="00D71EBC" w:rsidRPr="004541C8">
        <w:rPr>
          <w:rFonts w:ascii="Book Antiqua" w:hAnsi="Book Antiqua"/>
          <w:color w:val="000000" w:themeColor="text1"/>
        </w:rPr>
        <w:t xml:space="preserve">CV </w:t>
      </w:r>
      <w:r w:rsidRPr="004541C8">
        <w:rPr>
          <w:rFonts w:ascii="Book Antiqua" w:hAnsi="Book Antiqua"/>
          <w:color w:val="000000" w:themeColor="text1"/>
        </w:rPr>
        <w:t>incidents assessment over a follow-up period.</w:t>
      </w:r>
    </w:p>
    <w:p w14:paraId="326560EE" w14:textId="77777777" w:rsidR="00A77B3E" w:rsidRPr="004541C8" w:rsidRDefault="00A77B3E" w:rsidP="004541C8">
      <w:pPr>
        <w:snapToGrid w:val="0"/>
        <w:spacing w:line="360" w:lineRule="auto"/>
        <w:jc w:val="both"/>
        <w:rPr>
          <w:color w:val="000000" w:themeColor="text1"/>
        </w:rPr>
      </w:pPr>
    </w:p>
    <w:p w14:paraId="76444F8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methods</w:t>
      </w:r>
    </w:p>
    <w:p w14:paraId="35AC7378" w14:textId="28D8397F" w:rsidR="00A77B3E" w:rsidRPr="004541C8" w:rsidRDefault="00035B5A" w:rsidP="004541C8">
      <w:pPr>
        <w:snapToGrid w:val="0"/>
        <w:spacing w:line="360" w:lineRule="auto"/>
        <w:jc w:val="both"/>
        <w:rPr>
          <w:color w:val="000000" w:themeColor="text1"/>
        </w:rPr>
      </w:pPr>
      <w:r w:rsidRPr="004541C8">
        <w:rPr>
          <w:rFonts w:ascii="Book Antiqua" w:hAnsi="Book Antiqua"/>
          <w:color w:val="000000" w:themeColor="text1"/>
        </w:rPr>
        <w:t>This retrospective and prospective multi-centric cohort study included 200 T2DM Caucasian patients with long-standing, poorly controlled T2DM prescribed both SGLT-</w:t>
      </w:r>
      <w:r w:rsidRPr="004541C8">
        <w:rPr>
          <w:rFonts w:ascii="Book Antiqua" w:hAnsi="Book Antiqua"/>
          <w:color w:val="000000" w:themeColor="text1"/>
        </w:rPr>
        <w:lastRenderedPageBreak/>
        <w:t xml:space="preserve">2i (empagliflozin, dapagliflozin) and GLP-1RA (liraglutide, dulaglutide) between January 2016 and April 2019. Patients were identified from </w:t>
      </w:r>
      <w:r w:rsidR="000229A5" w:rsidRPr="004541C8">
        <w:rPr>
          <w:rFonts w:ascii="Book Antiqua" w:hAnsi="Book Antiqua" w:cs="Arial"/>
          <w:color w:val="000000" w:themeColor="text1"/>
        </w:rPr>
        <w:t xml:space="preserve">electronic medical records </w:t>
      </w:r>
      <w:r w:rsidRPr="004541C8">
        <w:rPr>
          <w:rFonts w:ascii="Book Antiqua" w:hAnsi="Book Antiqua"/>
          <w:color w:val="000000" w:themeColor="text1"/>
        </w:rPr>
        <w:t>and served as a source population. The index visit was the one where either SGLT-2i was prescribed to already present GLP-1RA (1), GLP-1RA was prescribed on top of already present SGLT-2i therapy (2), or both agents were prescribed simultaneously on top of background glucose-lowering agents (3).</w:t>
      </w:r>
    </w:p>
    <w:p w14:paraId="33D692B1" w14:textId="77777777" w:rsidR="00A77B3E" w:rsidRPr="004541C8" w:rsidRDefault="00A77B3E" w:rsidP="004541C8">
      <w:pPr>
        <w:snapToGrid w:val="0"/>
        <w:spacing w:line="360" w:lineRule="auto"/>
        <w:jc w:val="both"/>
        <w:rPr>
          <w:color w:val="000000" w:themeColor="text1"/>
        </w:rPr>
      </w:pPr>
    </w:p>
    <w:p w14:paraId="49C670C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results</w:t>
      </w:r>
    </w:p>
    <w:p w14:paraId="5CE28D3D" w14:textId="6F2B0549" w:rsidR="00A77B3E" w:rsidRPr="004541C8" w:rsidRDefault="00035B5A" w:rsidP="004541C8">
      <w:pPr>
        <w:pStyle w:val="a7"/>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Patients who started simultaneous therapy had poorer glycemic control, higher FPG and </w:t>
      </w:r>
      <w:r w:rsidRPr="004541C8">
        <w:rPr>
          <w:rFonts w:ascii="Book Antiqua" w:eastAsia="Book Antiqua" w:hAnsi="Book Antiqua" w:cs="Book Antiqua"/>
          <w:color w:val="000000" w:themeColor="text1"/>
        </w:rPr>
        <w:t>body mass index</w:t>
      </w:r>
      <w:r w:rsidRPr="004541C8">
        <w:rPr>
          <w:rFonts w:ascii="Book Antiqua" w:hAnsi="Book Antiqua"/>
          <w:color w:val="000000" w:themeColor="text1"/>
        </w:rPr>
        <w:t xml:space="preserve"> (BMI) values than the other two groups. There was a statistical significance in the reduction of HbA1c in all three groups. However, no difference was achieved in the reduction depending on the specific therapy group, meaning that simultaneous or sequential intensification does not make a difference in this population of patients. A significant reduction of body weight, defined as a loss of 5% or more, was predominantly achieved in the simultaneous therapy group. No difference was observed in our patients in the incidence of </w:t>
      </w:r>
      <w:r w:rsidR="00D71EBC" w:rsidRPr="004541C8">
        <w:rPr>
          <w:rFonts w:ascii="Book Antiqua" w:hAnsi="Book Antiqua"/>
          <w:color w:val="000000" w:themeColor="text1"/>
        </w:rPr>
        <w:t xml:space="preserve">CV </w:t>
      </w:r>
      <w:r w:rsidRPr="004541C8">
        <w:rPr>
          <w:rFonts w:ascii="Book Antiqua" w:hAnsi="Book Antiqua"/>
          <w:color w:val="000000" w:themeColor="text1"/>
        </w:rPr>
        <w:t xml:space="preserve">events, whether it was </w:t>
      </w:r>
      <w:r w:rsidR="008A2EDA" w:rsidRPr="004541C8">
        <w:rPr>
          <w:rFonts w:ascii="Book Antiqua" w:hAnsi="Book Antiqua"/>
          <w:color w:val="000000" w:themeColor="text1"/>
        </w:rPr>
        <w:t>three</w:t>
      </w:r>
      <w:r w:rsidRPr="004541C8">
        <w:rPr>
          <w:rFonts w:ascii="Book Antiqua" w:hAnsi="Book Antiqua"/>
          <w:color w:val="000000" w:themeColor="text1"/>
        </w:rPr>
        <w:t xml:space="preserve"> point</w:t>
      </w:r>
      <w:r w:rsidR="00D71EBC" w:rsidRPr="004541C8">
        <w:rPr>
          <w:rFonts w:ascii="Book Antiqua" w:hAnsi="Book Antiqua"/>
          <w:color w:val="000000" w:themeColor="text1"/>
        </w:rPr>
        <w:t>s</w:t>
      </w:r>
      <w:r w:rsidRPr="004541C8">
        <w:rPr>
          <w:rFonts w:ascii="Book Antiqua" w:hAnsi="Book Antiqua"/>
          <w:color w:val="000000" w:themeColor="text1"/>
        </w:rPr>
        <w:t xml:space="preserve"> </w:t>
      </w:r>
      <w:r w:rsidR="00D71EBC" w:rsidRPr="004541C8">
        <w:rPr>
          <w:rFonts w:ascii="Book Antiqua" w:hAnsi="Book Antiqua"/>
          <w:color w:val="000000" w:themeColor="text1"/>
        </w:rPr>
        <w:t>mild autonomous cortisol excess</w:t>
      </w:r>
      <w:r w:rsidRPr="004541C8">
        <w:rPr>
          <w:rFonts w:ascii="Book Antiqua" w:hAnsi="Book Antiqua"/>
          <w:color w:val="000000" w:themeColor="text1"/>
        </w:rPr>
        <w:t xml:space="preserve"> or heart failure, which may be a reflection of short follow-up time or a small number of events. No differences in eGFR were noted, which was expected given that SGLT-2i are still indicated in patients with eGFR over 60 m</w:t>
      </w:r>
      <w:r w:rsidR="00D71EBC" w:rsidRPr="004541C8">
        <w:rPr>
          <w:rFonts w:ascii="Book Antiqua" w:hAnsi="Book Antiqua"/>
          <w:color w:val="000000" w:themeColor="text1"/>
        </w:rPr>
        <w:t>L</w:t>
      </w:r>
      <w:r w:rsidRPr="004541C8">
        <w:rPr>
          <w:rFonts w:ascii="Book Antiqua" w:hAnsi="Book Antiqua"/>
          <w:color w:val="000000" w:themeColor="text1"/>
        </w:rPr>
        <w:t>/min; thus, all our patients had normal kidney function. Only small proportion of patients (32.3%) achieved composite outcomes defined as HbA1c &lt;</w:t>
      </w:r>
      <w:r w:rsidR="00D71EBC" w:rsidRPr="004541C8">
        <w:rPr>
          <w:rFonts w:ascii="Book Antiqua" w:hAnsi="Book Antiqua"/>
          <w:color w:val="000000" w:themeColor="text1"/>
        </w:rPr>
        <w:t xml:space="preserve"> </w:t>
      </w:r>
      <w:r w:rsidRPr="004541C8">
        <w:rPr>
          <w:rFonts w:ascii="Book Antiqua" w:hAnsi="Book Antiqua"/>
          <w:color w:val="000000" w:themeColor="text1"/>
        </w:rPr>
        <w:t>7% and 5% weight loss, which deviates significantly from the results of available RCTs promising more favorable results</w:t>
      </w:r>
      <w:r w:rsidR="008A2EDA" w:rsidRPr="004541C8">
        <w:rPr>
          <w:rFonts w:ascii="Book Antiqua" w:hAnsi="Book Antiqua"/>
          <w:color w:val="000000" w:themeColor="text1"/>
        </w:rPr>
        <w:t>, which</w:t>
      </w:r>
      <w:r w:rsidRPr="004541C8">
        <w:rPr>
          <w:rFonts w:ascii="Book Antiqua" w:hAnsi="Book Antiqua"/>
          <w:color w:val="000000" w:themeColor="text1"/>
        </w:rPr>
        <w:t xml:space="preserve"> emphasiz</w:t>
      </w:r>
      <w:r w:rsidR="008A2EDA" w:rsidRPr="004541C8">
        <w:rPr>
          <w:rFonts w:ascii="Book Antiqua" w:hAnsi="Book Antiqua"/>
          <w:color w:val="000000" w:themeColor="text1"/>
        </w:rPr>
        <w:t>es</w:t>
      </w:r>
      <w:r w:rsidRPr="004541C8">
        <w:rPr>
          <w:rFonts w:ascii="Book Antiqua" w:hAnsi="Book Antiqua"/>
          <w:color w:val="000000" w:themeColor="text1"/>
        </w:rPr>
        <w:t xml:space="preserve"> the problem of clinical inertia and poor adherence, especially related to side effects. However, these results could be mainly a reflection of Croatian health reimbursement policy since GLP-1RAs were reimbursed in patients with BMI above 35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and after the failure of two anti-diabetic agents, while SGLT-2i prescription was possible in case of BMI above 27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with obligatory co-payment preventing physicians from initiating therapy in the earlier course of the disease. Only 18.2% of patients attained composite outcome defined as HbA1c below 7% with 5% </w:t>
      </w:r>
      <w:r w:rsidRPr="004541C8">
        <w:rPr>
          <w:rFonts w:ascii="Book Antiqua" w:hAnsi="Book Antiqua"/>
          <w:color w:val="000000" w:themeColor="text1"/>
        </w:rPr>
        <w:lastRenderedPageBreak/>
        <w:t>weight loss and less stringent target of LDL cholesterol &lt;</w:t>
      </w:r>
      <w:r w:rsidR="00D71EBC" w:rsidRPr="004541C8">
        <w:rPr>
          <w:rFonts w:ascii="Book Antiqua" w:hAnsi="Book Antiqua"/>
          <w:color w:val="000000" w:themeColor="text1"/>
        </w:rPr>
        <w:t xml:space="preserve"> </w:t>
      </w:r>
      <w:r w:rsidRPr="004541C8">
        <w:rPr>
          <w:rFonts w:ascii="Book Antiqua" w:hAnsi="Book Antiqua"/>
          <w:color w:val="000000" w:themeColor="text1"/>
        </w:rPr>
        <w:t>2.5 mmol/</w:t>
      </w:r>
      <w:r w:rsidR="00D71EBC" w:rsidRPr="004541C8">
        <w:rPr>
          <w:rFonts w:ascii="Book Antiqua" w:hAnsi="Book Antiqua"/>
          <w:color w:val="000000" w:themeColor="text1"/>
        </w:rPr>
        <w:t>L</w:t>
      </w:r>
      <w:r w:rsidRPr="004541C8">
        <w:rPr>
          <w:rFonts w:ascii="Book Antiqua" w:hAnsi="Book Antiqua"/>
          <w:color w:val="000000" w:themeColor="text1"/>
        </w:rPr>
        <w:t xml:space="preserve"> highlighting a significant problem of nonadherence and sub dosage of statin therapy.</w:t>
      </w:r>
    </w:p>
    <w:p w14:paraId="7A514768" w14:textId="77777777" w:rsidR="00A77B3E" w:rsidRPr="004541C8" w:rsidRDefault="00A77B3E" w:rsidP="004541C8">
      <w:pPr>
        <w:snapToGrid w:val="0"/>
        <w:spacing w:line="360" w:lineRule="auto"/>
        <w:jc w:val="both"/>
        <w:rPr>
          <w:color w:val="000000" w:themeColor="text1"/>
        </w:rPr>
      </w:pPr>
    </w:p>
    <w:p w14:paraId="1B2D505A"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conclusions</w:t>
      </w:r>
    </w:p>
    <w:p w14:paraId="5406CAE0" w14:textId="1FCBB833" w:rsidR="00D71EBC" w:rsidRPr="004541C8" w:rsidRDefault="00D71EBC" w:rsidP="004541C8">
      <w:pPr>
        <w:pStyle w:val="a7"/>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Simultaneous use of both drugs in everyday clinical practice is mainly reserved for patients with the highest degree of dysglycemia (including HbA1c, FPG, and PPG).</w:t>
      </w:r>
      <w:r w:rsidR="00876FA9" w:rsidRPr="004541C8">
        <w:rPr>
          <w:rFonts w:ascii="Book Antiqua" w:hAnsi="Book Antiqua"/>
          <w:color w:val="000000" w:themeColor="text1"/>
        </w:rPr>
        <w:t xml:space="preserve"> </w:t>
      </w:r>
      <w:r w:rsidRPr="004541C8">
        <w:rPr>
          <w:rFonts w:ascii="Book Antiqua" w:hAnsi="Book Antiqua"/>
          <w:color w:val="000000" w:themeColor="text1"/>
        </w:rPr>
        <w:t xml:space="preserve">SGLT-2i </w:t>
      </w:r>
      <w:proofErr w:type="gramStart"/>
      <w:r w:rsidRPr="004541C8">
        <w:rPr>
          <w:rFonts w:ascii="Book Antiqua" w:hAnsi="Book Antiqua"/>
          <w:color w:val="000000" w:themeColor="text1"/>
        </w:rPr>
        <w:t>are</w:t>
      </w:r>
      <w:proofErr w:type="gramEnd"/>
      <w:r w:rsidRPr="004541C8">
        <w:rPr>
          <w:rFonts w:ascii="Book Antiqua" w:hAnsi="Book Antiqua"/>
          <w:color w:val="000000" w:themeColor="text1"/>
        </w:rPr>
        <w:t xml:space="preserve"> commonly used early in the disease course when FPG is still in range or only slightly elevated. GLP-1RA and SGLT-2i</w:t>
      </w:r>
      <w:r w:rsidR="008A2EDA" w:rsidRPr="004541C8">
        <w:rPr>
          <w:rFonts w:ascii="Book Antiqua" w:hAnsi="Book Antiqua"/>
          <w:color w:val="000000" w:themeColor="text1"/>
        </w:rPr>
        <w:t>,</w:t>
      </w:r>
      <w:r w:rsidRPr="004541C8">
        <w:rPr>
          <w:rFonts w:ascii="Book Antiqua" w:hAnsi="Book Antiqua"/>
          <w:color w:val="000000" w:themeColor="text1"/>
        </w:rPr>
        <w:t xml:space="preserve"> when added sequentially to the other or simultaneously</w:t>
      </w:r>
      <w:r w:rsidR="008A2EDA" w:rsidRPr="004541C8">
        <w:rPr>
          <w:rFonts w:ascii="Book Antiqua" w:hAnsi="Book Antiqua"/>
          <w:color w:val="000000" w:themeColor="text1"/>
        </w:rPr>
        <w:t>,</w:t>
      </w:r>
      <w:r w:rsidRPr="004541C8">
        <w:rPr>
          <w:rFonts w:ascii="Book Antiqua" w:hAnsi="Book Antiqua"/>
          <w:color w:val="000000" w:themeColor="text1"/>
        </w:rPr>
        <w:t xml:space="preserve"> decrease the HbA1c and reduce the BMI, but weight loss and glucose-lowering potential </w:t>
      </w:r>
      <w:r w:rsidR="008A2EDA" w:rsidRPr="004541C8">
        <w:rPr>
          <w:rFonts w:ascii="Book Antiqua" w:hAnsi="Book Antiqua"/>
          <w:color w:val="000000" w:themeColor="text1"/>
        </w:rPr>
        <w:t xml:space="preserve">are </w:t>
      </w:r>
      <w:r w:rsidRPr="004541C8">
        <w:rPr>
          <w:rFonts w:ascii="Book Antiqua" w:hAnsi="Book Antiqua"/>
          <w:color w:val="000000" w:themeColor="text1"/>
        </w:rPr>
        <w:t>not additive in case of their simultaneous use. In terms of metabolic control, the combination of these two drugs has positive effects, although it is not clear whether simultaneous or sequential intensification makes a difference. In these obese, poorly regulated patients with long-standing diabetes, both options seem to be equally effective, although the real question is whether the results would have been different if we had the opportunity to start the therapy earlier. It was also not possible to assess the most significant benefit of this combination and its effects on CV complications and kidney function.</w:t>
      </w:r>
    </w:p>
    <w:p w14:paraId="23A1DD67" w14:textId="77777777" w:rsidR="00A77B3E" w:rsidRPr="004541C8" w:rsidRDefault="00A77B3E" w:rsidP="004541C8">
      <w:pPr>
        <w:snapToGrid w:val="0"/>
        <w:spacing w:line="360" w:lineRule="auto"/>
        <w:jc w:val="both"/>
        <w:rPr>
          <w:color w:val="000000" w:themeColor="text1"/>
        </w:rPr>
      </w:pPr>
    </w:p>
    <w:p w14:paraId="13B76C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perspectives</w:t>
      </w:r>
    </w:p>
    <w:p w14:paraId="7ED2A070" w14:textId="34A5398F" w:rsidR="00D71EBC" w:rsidRPr="004541C8" w:rsidRDefault="00D71EBC" w:rsidP="004541C8">
      <w:pPr>
        <w:pStyle w:val="a7"/>
        <w:shd w:val="clear" w:color="auto" w:fill="FFFFFF"/>
        <w:snapToGrid w:val="0"/>
        <w:spacing w:before="0" w:after="0" w:line="360" w:lineRule="auto"/>
        <w:jc w:val="both"/>
        <w:rPr>
          <w:rFonts w:ascii="Book Antiqua" w:hAnsi="Book Antiqua"/>
          <w:b/>
          <w:color w:val="000000" w:themeColor="text1"/>
        </w:rPr>
      </w:pPr>
      <w:r w:rsidRPr="004541C8">
        <w:rPr>
          <w:rFonts w:ascii="Book Antiqua" w:hAnsi="Book Antiqua"/>
          <w:color w:val="000000" w:themeColor="text1"/>
        </w:rPr>
        <w:t xml:space="preserve">The next step would be to monitor patients treated with this particular combination in earlier stages of the disease and through a longer period. According to </w:t>
      </w:r>
      <w:r w:rsidR="008A2EDA" w:rsidRPr="004541C8">
        <w:rPr>
          <w:rFonts w:ascii="Book Antiqua" w:hAnsi="Book Antiqua"/>
          <w:color w:val="000000" w:themeColor="text1"/>
        </w:rPr>
        <w:t xml:space="preserve">a </w:t>
      </w:r>
      <w:r w:rsidRPr="004541C8">
        <w:rPr>
          <w:rFonts w:ascii="Book Antiqua" w:hAnsi="Book Antiqua"/>
          <w:color w:val="000000" w:themeColor="text1"/>
        </w:rPr>
        <w:t>new reimbursement policy, we are presently able to initiate GLP-1RA in patients with a BMI over 30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or 28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if they have proven CV disease after failure of dual oral therapy and SGLT-2i irrespective of patient's BMI</w:t>
      </w:r>
      <w:r w:rsidR="008A2EDA" w:rsidRPr="004541C8">
        <w:rPr>
          <w:rFonts w:ascii="Book Antiqua" w:hAnsi="Book Antiqua"/>
          <w:color w:val="000000" w:themeColor="text1"/>
        </w:rPr>
        <w:t>,</w:t>
      </w:r>
      <w:r w:rsidRPr="004541C8">
        <w:rPr>
          <w:rFonts w:ascii="Book Antiqua" w:hAnsi="Book Antiqua"/>
          <w:color w:val="000000" w:themeColor="text1"/>
        </w:rPr>
        <w:t xml:space="preserve"> thus enabling us to establish the actual value of GLP-1RA and SGLT-2i</w:t>
      </w:r>
      <w:r w:rsidRPr="004541C8">
        <w:rPr>
          <w:rFonts w:ascii="Book Antiqua" w:hAnsi="Book Antiqua"/>
          <w:b/>
          <w:color w:val="000000" w:themeColor="text1"/>
        </w:rPr>
        <w:t xml:space="preserve"> </w:t>
      </w:r>
      <w:r w:rsidRPr="004541C8">
        <w:rPr>
          <w:rFonts w:ascii="Book Antiqua" w:hAnsi="Book Antiqua"/>
          <w:color w:val="000000" w:themeColor="text1"/>
        </w:rPr>
        <w:t>combination treatment.</w:t>
      </w:r>
    </w:p>
    <w:p w14:paraId="7161E178" w14:textId="77777777" w:rsidR="00A77B3E" w:rsidRPr="004541C8" w:rsidRDefault="00A77B3E" w:rsidP="004541C8">
      <w:pPr>
        <w:snapToGrid w:val="0"/>
        <w:spacing w:line="360" w:lineRule="auto"/>
        <w:jc w:val="both"/>
        <w:rPr>
          <w:color w:val="000000" w:themeColor="text1"/>
        </w:rPr>
      </w:pPr>
    </w:p>
    <w:p w14:paraId="5313B14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REFERENCES</w:t>
      </w:r>
    </w:p>
    <w:p w14:paraId="3585C8CA" w14:textId="77777777" w:rsidR="00A77B3E" w:rsidRPr="004541C8" w:rsidRDefault="009A4518" w:rsidP="004541C8">
      <w:pPr>
        <w:snapToGrid w:val="0"/>
        <w:spacing w:line="360" w:lineRule="auto"/>
        <w:jc w:val="both"/>
        <w:rPr>
          <w:color w:val="000000" w:themeColor="text1"/>
        </w:rPr>
      </w:pPr>
      <w:bookmarkStart w:id="7" w:name="OLE_LINK2231"/>
      <w:bookmarkStart w:id="8" w:name="OLE_LINK2232"/>
      <w:proofErr w:type="gramStart"/>
      <w:r w:rsidRPr="004541C8">
        <w:rPr>
          <w:rFonts w:ascii="Book Antiqua" w:eastAsia="Book Antiqua" w:hAnsi="Book Antiqua" w:cs="Book Antiqua"/>
          <w:color w:val="000000" w:themeColor="text1"/>
        </w:rPr>
        <w:lastRenderedPageBreak/>
        <w:t xml:space="preserve">1 </w:t>
      </w:r>
      <w:proofErr w:type="spellStart"/>
      <w:r w:rsidRPr="004541C8">
        <w:rPr>
          <w:rFonts w:ascii="Book Antiqua" w:eastAsia="Book Antiqua" w:hAnsi="Book Antiqua" w:cs="Book Antiqua"/>
          <w:b/>
          <w:bCs/>
          <w:color w:val="000000" w:themeColor="text1"/>
        </w:rPr>
        <w:t>DeFronzo</w:t>
      </w:r>
      <w:proofErr w:type="spellEnd"/>
      <w:r w:rsidRPr="004541C8">
        <w:rPr>
          <w:rFonts w:ascii="Book Antiqua" w:eastAsia="Book Antiqua" w:hAnsi="Book Antiqua" w:cs="Book Antiqua"/>
          <w:b/>
          <w:bCs/>
          <w:color w:val="000000" w:themeColor="text1"/>
        </w:rPr>
        <w:t xml:space="preserve"> RA</w:t>
      </w:r>
      <w:r w:rsidRPr="004541C8">
        <w:rPr>
          <w:rFonts w:ascii="Book Antiqua" w:eastAsia="Book Antiqua" w:hAnsi="Book Antiqua" w:cs="Book Antiqua"/>
          <w:color w:val="000000" w:themeColor="text1"/>
        </w:rPr>
        <w:t>.</w:t>
      </w:r>
      <w:proofErr w:type="gramEnd"/>
      <w:r w:rsidRPr="004541C8">
        <w:rPr>
          <w:rFonts w:ascii="Book Antiqua" w:eastAsia="Book Antiqua" w:hAnsi="Book Antiqua" w:cs="Book Antiqua"/>
          <w:color w:val="000000" w:themeColor="text1"/>
        </w:rPr>
        <w:t xml:space="preserve"> </w:t>
      </w:r>
      <w:proofErr w:type="gramStart"/>
      <w:r w:rsidRPr="004541C8">
        <w:rPr>
          <w:rFonts w:ascii="Book Antiqua" w:eastAsia="Book Antiqua" w:hAnsi="Book Antiqua" w:cs="Book Antiqua"/>
          <w:color w:val="000000" w:themeColor="text1"/>
        </w:rPr>
        <w:t>Combination therapy with GLP-1 receptor agonist and SGLT2 inhibitor.</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19</w:t>
      </w:r>
      <w:r w:rsidRPr="004541C8">
        <w:rPr>
          <w:rFonts w:ascii="Book Antiqua" w:eastAsia="Book Antiqua" w:hAnsi="Book Antiqua" w:cs="Book Antiqua"/>
          <w:color w:val="000000" w:themeColor="text1"/>
        </w:rPr>
        <w:t>: 1353-1362 [PMID: 28432726 DOI: 10.1111/dom.12982]</w:t>
      </w:r>
    </w:p>
    <w:p w14:paraId="6874C3D9" w14:textId="77777777" w:rsidR="00A77B3E" w:rsidRPr="004541C8" w:rsidRDefault="009A4518" w:rsidP="004541C8">
      <w:pPr>
        <w:snapToGrid w:val="0"/>
        <w:spacing w:line="360" w:lineRule="auto"/>
        <w:jc w:val="both"/>
        <w:rPr>
          <w:color w:val="000000" w:themeColor="text1"/>
        </w:rPr>
      </w:pPr>
      <w:proofErr w:type="gramStart"/>
      <w:r w:rsidRPr="004541C8">
        <w:rPr>
          <w:rFonts w:ascii="Book Antiqua" w:eastAsia="Book Antiqua" w:hAnsi="Book Antiqua" w:cs="Book Antiqua"/>
          <w:color w:val="000000" w:themeColor="text1"/>
        </w:rPr>
        <w:t xml:space="preserve">2 </w:t>
      </w:r>
      <w:proofErr w:type="spellStart"/>
      <w:r w:rsidRPr="004541C8">
        <w:rPr>
          <w:rFonts w:ascii="Book Antiqua" w:eastAsia="Book Antiqua" w:hAnsi="Book Antiqua" w:cs="Book Antiqua"/>
          <w:b/>
          <w:bCs/>
          <w:color w:val="000000" w:themeColor="text1"/>
        </w:rPr>
        <w:t>Frías</w:t>
      </w:r>
      <w:proofErr w:type="spellEnd"/>
      <w:r w:rsidRPr="004541C8">
        <w:rPr>
          <w:rFonts w:ascii="Book Antiqua" w:eastAsia="Book Antiqua" w:hAnsi="Book Antiqua" w:cs="Book Antiqua"/>
          <w:b/>
          <w:bCs/>
          <w:color w:val="000000" w:themeColor="text1"/>
        </w:rPr>
        <w:t xml:space="preserve"> JP</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Guja</w:t>
      </w:r>
      <w:proofErr w:type="spellEnd"/>
      <w:r w:rsidRPr="004541C8">
        <w:rPr>
          <w:rFonts w:ascii="Book Antiqua" w:eastAsia="Book Antiqua" w:hAnsi="Book Antiqua" w:cs="Book Antiqua"/>
          <w:color w:val="000000" w:themeColor="text1"/>
        </w:rPr>
        <w:t xml:space="preserve"> C, Hardy E, Ahmed A, Dong F, </w:t>
      </w:r>
      <w:proofErr w:type="spellStart"/>
      <w:r w:rsidRPr="004541C8">
        <w:rPr>
          <w:rFonts w:ascii="Book Antiqua" w:eastAsia="Book Antiqua" w:hAnsi="Book Antiqua" w:cs="Book Antiqua"/>
          <w:color w:val="000000" w:themeColor="text1"/>
        </w:rPr>
        <w:t>Öhman</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Jabbour</w:t>
      </w:r>
      <w:proofErr w:type="spellEnd"/>
      <w:r w:rsidRPr="004541C8">
        <w:rPr>
          <w:rFonts w:ascii="Book Antiqua" w:eastAsia="Book Antiqua" w:hAnsi="Book Antiqua" w:cs="Book Antiqua"/>
          <w:color w:val="000000" w:themeColor="text1"/>
        </w:rPr>
        <w:t xml:space="preserve"> SA.</w:t>
      </w:r>
      <w:proofErr w:type="gramEnd"/>
      <w:r w:rsidRPr="004541C8">
        <w:rPr>
          <w:rFonts w:ascii="Book Antiqua" w:eastAsia="Book Antiqua" w:hAnsi="Book Antiqua" w:cs="Book Antiqua"/>
          <w:color w:val="000000" w:themeColor="text1"/>
        </w:rPr>
        <w:t xml:space="preserve"> Exenatide once weekly plus dapagliflozin once daily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exenatide or dapagliflozin alone in patients with type 2 diabetes inadequately controlled with metformin monotherapy (DURATION-8): a 28 </w:t>
      </w:r>
      <w:proofErr w:type="spellStart"/>
      <w:r w:rsidRPr="004541C8">
        <w:rPr>
          <w:rFonts w:ascii="Book Antiqua" w:eastAsia="Book Antiqua" w:hAnsi="Book Antiqua" w:cs="Book Antiqua"/>
          <w:color w:val="000000" w:themeColor="text1"/>
        </w:rPr>
        <w:t>wk</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multicentre</w:t>
      </w:r>
      <w:proofErr w:type="spellEnd"/>
      <w:r w:rsidRPr="004541C8">
        <w:rPr>
          <w:rFonts w:ascii="Book Antiqua" w:eastAsia="Book Antiqua" w:hAnsi="Book Antiqua" w:cs="Book Antiqua"/>
          <w:color w:val="000000" w:themeColor="text1"/>
        </w:rPr>
        <w:t xml:space="preserve">, double-blind, phase 3,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4</w:t>
      </w:r>
      <w:r w:rsidRPr="004541C8">
        <w:rPr>
          <w:rFonts w:ascii="Book Antiqua" w:eastAsia="Book Antiqua" w:hAnsi="Book Antiqua" w:cs="Book Antiqua"/>
          <w:color w:val="000000" w:themeColor="text1"/>
        </w:rPr>
        <w:t>: 1004-1016 [PMID: 27651331 DOI: 10.1016/S2213-8587(16)30267-4]</w:t>
      </w:r>
    </w:p>
    <w:p w14:paraId="628A4D3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 </w:t>
      </w:r>
      <w:r w:rsidRPr="004541C8">
        <w:rPr>
          <w:rFonts w:ascii="Book Antiqua" w:eastAsia="Book Antiqua" w:hAnsi="Book Antiqua" w:cs="Book Antiqua"/>
          <w:b/>
          <w:bCs/>
          <w:color w:val="000000" w:themeColor="text1"/>
        </w:rPr>
        <w:t>Ludvik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Frías</w:t>
      </w:r>
      <w:proofErr w:type="spellEnd"/>
      <w:r w:rsidRPr="004541C8">
        <w:rPr>
          <w:rFonts w:ascii="Book Antiqua" w:eastAsia="Book Antiqua" w:hAnsi="Book Antiqua" w:cs="Book Antiqua"/>
          <w:color w:val="000000" w:themeColor="text1"/>
        </w:rPr>
        <w:t xml:space="preserve"> JP, </w:t>
      </w:r>
      <w:proofErr w:type="spellStart"/>
      <w:r w:rsidRPr="004541C8">
        <w:rPr>
          <w:rFonts w:ascii="Book Antiqua" w:eastAsia="Book Antiqua" w:hAnsi="Book Antiqua" w:cs="Book Antiqua"/>
          <w:color w:val="000000" w:themeColor="text1"/>
        </w:rPr>
        <w:t>Tinahones</w:t>
      </w:r>
      <w:proofErr w:type="spellEnd"/>
      <w:r w:rsidRPr="004541C8">
        <w:rPr>
          <w:rFonts w:ascii="Book Antiqua" w:eastAsia="Book Antiqua" w:hAnsi="Book Antiqua" w:cs="Book Antiqua"/>
          <w:color w:val="000000" w:themeColor="text1"/>
        </w:rPr>
        <w:t xml:space="preserve"> FJ, Wainstein J, Jiang H, Robertson KE, García-Pérez LE, Woodward DB, Milicevic Z. Dulaglutide as add-on therapy to SGLT2 inhibitors in patients with inadequately controlled type 2 diabetes (AWARD-10): a 24-week,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placebo-controlled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6</w:t>
      </w:r>
      <w:r w:rsidRPr="004541C8">
        <w:rPr>
          <w:rFonts w:ascii="Book Antiqua" w:eastAsia="Book Antiqua" w:hAnsi="Book Antiqua" w:cs="Book Antiqua"/>
          <w:color w:val="000000" w:themeColor="text1"/>
        </w:rPr>
        <w:t>: 370-381 [PMID: 29483060 DOI: 10.1016/S2213-8587(18)30023-8]</w:t>
      </w:r>
    </w:p>
    <w:p w14:paraId="6EC0708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4 </w:t>
      </w:r>
      <w:proofErr w:type="spellStart"/>
      <w:r w:rsidRPr="004541C8">
        <w:rPr>
          <w:rFonts w:ascii="Book Antiqua" w:eastAsia="Book Antiqua" w:hAnsi="Book Antiqua" w:cs="Book Antiqua"/>
          <w:b/>
          <w:bCs/>
          <w:color w:val="000000" w:themeColor="text1"/>
        </w:rPr>
        <w:t>Philis-Tsimikas</w:t>
      </w:r>
      <w:proofErr w:type="spellEnd"/>
      <w:r w:rsidRPr="004541C8">
        <w:rPr>
          <w:rFonts w:ascii="Book Antiqua" w:eastAsia="Book Antiqua" w:hAnsi="Book Antiqua" w:cs="Book Antiqua"/>
          <w:b/>
          <w:bCs/>
          <w:color w:val="000000" w:themeColor="text1"/>
        </w:rPr>
        <w:t xml:space="preserve"> A</w:t>
      </w:r>
      <w:r w:rsidRPr="004541C8">
        <w:rPr>
          <w:rFonts w:ascii="Book Antiqua" w:eastAsia="Book Antiqua" w:hAnsi="Book Antiqua" w:cs="Book Antiqua"/>
          <w:color w:val="000000" w:themeColor="text1"/>
        </w:rPr>
        <w:t xml:space="preserve">, Billings LK, Busch R, Portillo CM, Sahay R, </w:t>
      </w:r>
      <w:proofErr w:type="spellStart"/>
      <w:r w:rsidRPr="004541C8">
        <w:rPr>
          <w:rFonts w:ascii="Book Antiqua" w:eastAsia="Book Antiqua" w:hAnsi="Book Antiqua" w:cs="Book Antiqua"/>
          <w:color w:val="000000" w:themeColor="text1"/>
        </w:rPr>
        <w:t>Halladin</w:t>
      </w:r>
      <w:proofErr w:type="spellEnd"/>
      <w:r w:rsidRPr="004541C8">
        <w:rPr>
          <w:rFonts w:ascii="Book Antiqua" w:eastAsia="Book Antiqua" w:hAnsi="Book Antiqua" w:cs="Book Antiqua"/>
          <w:color w:val="000000" w:themeColor="text1"/>
        </w:rPr>
        <w:t xml:space="preserve"> N, Eggert S, </w:t>
      </w:r>
      <w:proofErr w:type="spellStart"/>
      <w:r w:rsidRPr="004541C8">
        <w:rPr>
          <w:rFonts w:ascii="Book Antiqua" w:eastAsia="Book Antiqua" w:hAnsi="Book Antiqua" w:cs="Book Antiqua"/>
          <w:color w:val="000000" w:themeColor="text1"/>
        </w:rPr>
        <w:t>Begtrup</w:t>
      </w:r>
      <w:proofErr w:type="spellEnd"/>
      <w:r w:rsidRPr="004541C8">
        <w:rPr>
          <w:rFonts w:ascii="Book Antiqua" w:eastAsia="Book Antiqua" w:hAnsi="Book Antiqua" w:cs="Book Antiqua"/>
          <w:color w:val="000000" w:themeColor="text1"/>
        </w:rPr>
        <w:t xml:space="preserve"> K, Harris S. Superior efficacy of insulin </w:t>
      </w:r>
      <w:proofErr w:type="spellStart"/>
      <w:r w:rsidRPr="004541C8">
        <w:rPr>
          <w:rFonts w:ascii="Book Antiqua" w:eastAsia="Book Antiqua" w:hAnsi="Book Antiqua" w:cs="Book Antiqua"/>
          <w:color w:val="000000" w:themeColor="text1"/>
        </w:rPr>
        <w:t>degludec</w:t>
      </w:r>
      <w:proofErr w:type="spellEnd"/>
      <w:r w:rsidRPr="004541C8">
        <w:rPr>
          <w:rFonts w:ascii="Book Antiqua" w:eastAsia="Book Antiqua" w:hAnsi="Book Antiqua" w:cs="Book Antiqua"/>
          <w:color w:val="000000" w:themeColor="text1"/>
        </w:rPr>
        <w:t>/</w:t>
      </w:r>
      <w:proofErr w:type="spellStart"/>
      <w:r w:rsidRPr="004541C8">
        <w:rPr>
          <w:rFonts w:ascii="Book Antiqua" w:eastAsia="Book Antiqua" w:hAnsi="Book Antiqua" w:cs="Book Antiqua"/>
          <w:color w:val="000000" w:themeColor="text1"/>
        </w:rPr>
        <w:t>Liraglutide</w:t>
      </w:r>
      <w:proofErr w:type="spell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insulin glargine U100 as add-on to sodium-glucose co-transporter-2 inhibitor therapy: A randomized clinical trial in people with uncontrolled type 2 diabetes.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21</w:t>
      </w:r>
      <w:r w:rsidRPr="004541C8">
        <w:rPr>
          <w:rFonts w:ascii="Book Antiqua" w:eastAsia="Book Antiqua" w:hAnsi="Book Antiqua" w:cs="Book Antiqua"/>
          <w:color w:val="000000" w:themeColor="text1"/>
        </w:rPr>
        <w:t>: 1399-1408 [PMID: 30761720 DOI: 10.1111/dom.13666]</w:t>
      </w:r>
    </w:p>
    <w:p w14:paraId="67AA8E9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5 </w:t>
      </w:r>
      <w:r w:rsidRPr="004541C8">
        <w:rPr>
          <w:rFonts w:ascii="Book Antiqua" w:eastAsia="Book Antiqua" w:hAnsi="Book Antiqua" w:cs="Book Antiqua"/>
          <w:b/>
          <w:bCs/>
          <w:color w:val="000000" w:themeColor="text1"/>
        </w:rPr>
        <w:t>Pratley R</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Amod</w:t>
      </w:r>
      <w:proofErr w:type="spellEnd"/>
      <w:r w:rsidRPr="004541C8">
        <w:rPr>
          <w:rFonts w:ascii="Book Antiqua" w:eastAsia="Book Antiqua" w:hAnsi="Book Antiqua" w:cs="Book Antiqua"/>
          <w:color w:val="000000" w:themeColor="text1"/>
        </w:rPr>
        <w:t xml:space="preserve"> A, Hoff ST, </w:t>
      </w:r>
      <w:proofErr w:type="spellStart"/>
      <w:r w:rsidRPr="004541C8">
        <w:rPr>
          <w:rFonts w:ascii="Book Antiqua" w:eastAsia="Book Antiqua" w:hAnsi="Book Antiqua" w:cs="Book Antiqua"/>
          <w:color w:val="000000" w:themeColor="text1"/>
        </w:rPr>
        <w:t>Kadowaki</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Lingvay</w:t>
      </w:r>
      <w:proofErr w:type="spellEnd"/>
      <w:r w:rsidRPr="004541C8">
        <w:rPr>
          <w:rFonts w:ascii="Book Antiqua" w:eastAsia="Book Antiqua" w:hAnsi="Book Antiqua" w:cs="Book Antiqua"/>
          <w:color w:val="000000" w:themeColor="text1"/>
        </w:rPr>
        <w:t xml:space="preserve"> I, </w:t>
      </w:r>
      <w:proofErr w:type="spellStart"/>
      <w:r w:rsidRPr="004541C8">
        <w:rPr>
          <w:rFonts w:ascii="Book Antiqua" w:eastAsia="Book Antiqua" w:hAnsi="Book Antiqua" w:cs="Book Antiqua"/>
          <w:color w:val="000000" w:themeColor="text1"/>
        </w:rPr>
        <w:t>Nauck</w:t>
      </w:r>
      <w:proofErr w:type="spellEnd"/>
      <w:r w:rsidRPr="004541C8">
        <w:rPr>
          <w:rFonts w:ascii="Book Antiqua" w:eastAsia="Book Antiqua" w:hAnsi="Book Antiqua" w:cs="Book Antiqua"/>
          <w:color w:val="000000" w:themeColor="text1"/>
        </w:rPr>
        <w:t xml:space="preserve"> M, Pedersen KB, </w:t>
      </w:r>
      <w:proofErr w:type="spellStart"/>
      <w:r w:rsidRPr="004541C8">
        <w:rPr>
          <w:rFonts w:ascii="Book Antiqua" w:eastAsia="Book Antiqua" w:hAnsi="Book Antiqua" w:cs="Book Antiqua"/>
          <w:color w:val="000000" w:themeColor="text1"/>
        </w:rPr>
        <w:t>Saugstrup</w:t>
      </w:r>
      <w:proofErr w:type="spellEnd"/>
      <w:r w:rsidRPr="004541C8">
        <w:rPr>
          <w:rFonts w:ascii="Book Antiqua" w:eastAsia="Book Antiqua" w:hAnsi="Book Antiqua" w:cs="Book Antiqua"/>
          <w:color w:val="000000" w:themeColor="text1"/>
        </w:rPr>
        <w:t xml:space="preserve"> T, Meier JJ; PIONEER 4 investigators. Oral semaglutide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subcutaneous liraglutide and placebo in type 2 diabetes (PIONEER 4): a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phase 3a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39-50 [PMID: 31186120 DOI: 10.1016/S0140-6736(19)31271-1]</w:t>
      </w:r>
    </w:p>
    <w:p w14:paraId="152D07B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6 </w:t>
      </w:r>
      <w:proofErr w:type="spellStart"/>
      <w:r w:rsidRPr="004541C8">
        <w:rPr>
          <w:rFonts w:ascii="Book Antiqua" w:eastAsia="Book Antiqua" w:hAnsi="Book Antiqua" w:cs="Book Antiqua"/>
          <w:b/>
          <w:bCs/>
          <w:color w:val="000000" w:themeColor="text1"/>
        </w:rPr>
        <w:t>Zinman</w:t>
      </w:r>
      <w:proofErr w:type="spellEnd"/>
      <w:r w:rsidRPr="004541C8">
        <w:rPr>
          <w:rFonts w:ascii="Book Antiqua" w:eastAsia="Book Antiqua" w:hAnsi="Book Antiqua" w:cs="Book Antiqua"/>
          <w:b/>
          <w:bCs/>
          <w:color w:val="000000" w:themeColor="text1"/>
        </w:rPr>
        <w:t xml:space="preserve">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Bhosekar</w:t>
      </w:r>
      <w:proofErr w:type="spellEnd"/>
      <w:r w:rsidRPr="004541C8">
        <w:rPr>
          <w:rFonts w:ascii="Book Antiqua" w:eastAsia="Book Antiqua" w:hAnsi="Book Antiqua" w:cs="Book Antiqua"/>
          <w:color w:val="000000" w:themeColor="text1"/>
        </w:rPr>
        <w:t xml:space="preserve"> V, Busch R, Holst I, Ludvik B, </w:t>
      </w:r>
      <w:proofErr w:type="spellStart"/>
      <w:r w:rsidRPr="004541C8">
        <w:rPr>
          <w:rFonts w:ascii="Book Antiqua" w:eastAsia="Book Antiqua" w:hAnsi="Book Antiqua" w:cs="Book Antiqua"/>
          <w:color w:val="000000" w:themeColor="text1"/>
        </w:rPr>
        <w:t>Thielke</w:t>
      </w:r>
      <w:proofErr w:type="spellEnd"/>
      <w:r w:rsidRPr="004541C8">
        <w:rPr>
          <w:rFonts w:ascii="Book Antiqua" w:eastAsia="Book Antiqua" w:hAnsi="Book Antiqua" w:cs="Book Antiqua"/>
          <w:color w:val="000000" w:themeColor="text1"/>
        </w:rPr>
        <w:t xml:space="preserve"> D, Thrasher J, Woo V, </w:t>
      </w:r>
      <w:proofErr w:type="spellStart"/>
      <w:r w:rsidRPr="004541C8">
        <w:rPr>
          <w:rFonts w:ascii="Book Antiqua" w:eastAsia="Book Antiqua" w:hAnsi="Book Antiqua" w:cs="Book Antiqua"/>
          <w:color w:val="000000" w:themeColor="text1"/>
        </w:rPr>
        <w:t>Philis-Tsimikas</w:t>
      </w:r>
      <w:proofErr w:type="spellEnd"/>
      <w:r w:rsidRPr="004541C8">
        <w:rPr>
          <w:rFonts w:ascii="Book Antiqua" w:eastAsia="Book Antiqua" w:hAnsi="Book Antiqua" w:cs="Book Antiqua"/>
          <w:color w:val="000000" w:themeColor="text1"/>
        </w:rPr>
        <w:t xml:space="preserve"> A. Semaglutide once weekly as add-on to SGLT-2 inhibitor therapy in type 2 diabetes (SUSTAIN 9): a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placebo-controlled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7</w:t>
      </w:r>
      <w:r w:rsidRPr="004541C8">
        <w:rPr>
          <w:rFonts w:ascii="Book Antiqua" w:eastAsia="Book Antiqua" w:hAnsi="Book Antiqua" w:cs="Book Antiqua"/>
          <w:color w:val="000000" w:themeColor="text1"/>
        </w:rPr>
        <w:t>: 356-367 [PMID: 30833170 DOI: 10.1016/S2213-8587(19)30066-X]</w:t>
      </w:r>
    </w:p>
    <w:p w14:paraId="7B8D5DDA" w14:textId="77777777" w:rsidR="00A77B3E" w:rsidRPr="004541C8" w:rsidRDefault="009A4518" w:rsidP="004541C8">
      <w:pPr>
        <w:snapToGrid w:val="0"/>
        <w:spacing w:line="360" w:lineRule="auto"/>
        <w:jc w:val="both"/>
        <w:rPr>
          <w:color w:val="000000" w:themeColor="text1"/>
        </w:rPr>
      </w:pPr>
      <w:proofErr w:type="gramStart"/>
      <w:r w:rsidRPr="004541C8">
        <w:rPr>
          <w:rFonts w:ascii="Book Antiqua" w:eastAsia="Book Antiqua" w:hAnsi="Book Antiqua" w:cs="Book Antiqua"/>
          <w:color w:val="000000" w:themeColor="text1"/>
        </w:rPr>
        <w:lastRenderedPageBreak/>
        <w:t xml:space="preserve">7 </w:t>
      </w:r>
      <w:proofErr w:type="spellStart"/>
      <w:r w:rsidRPr="004541C8">
        <w:rPr>
          <w:rFonts w:ascii="Book Antiqua" w:eastAsia="Book Antiqua" w:hAnsi="Book Antiqua" w:cs="Book Antiqua"/>
          <w:b/>
          <w:bCs/>
          <w:color w:val="000000" w:themeColor="text1"/>
        </w:rPr>
        <w:t>Scheen</w:t>
      </w:r>
      <w:proofErr w:type="spellEnd"/>
      <w:r w:rsidRPr="004541C8">
        <w:rPr>
          <w:rFonts w:ascii="Book Antiqua" w:eastAsia="Book Antiqua" w:hAnsi="Book Antiqua" w:cs="Book Antiqua"/>
          <w:b/>
          <w:bCs/>
          <w:color w:val="000000" w:themeColor="text1"/>
        </w:rPr>
        <w:t xml:space="preserve"> AJ</w:t>
      </w:r>
      <w:r w:rsidRPr="004541C8">
        <w:rPr>
          <w:rFonts w:ascii="Book Antiqua" w:eastAsia="Book Antiqua" w:hAnsi="Book Antiqua" w:cs="Book Antiqua"/>
          <w:color w:val="000000" w:themeColor="text1"/>
        </w:rPr>
        <w:t>.</w:t>
      </w:r>
      <w:proofErr w:type="gramEnd"/>
      <w:r w:rsidRPr="004541C8">
        <w:rPr>
          <w:rFonts w:ascii="Book Antiqua" w:eastAsia="Book Antiqua" w:hAnsi="Book Antiqua" w:cs="Book Antiqua"/>
          <w:color w:val="000000" w:themeColor="text1"/>
        </w:rPr>
        <w:t xml:space="preserve"> </w:t>
      </w:r>
      <w:proofErr w:type="gramStart"/>
      <w:r w:rsidRPr="004541C8">
        <w:rPr>
          <w:rFonts w:ascii="Book Antiqua" w:eastAsia="Book Antiqua" w:hAnsi="Book Antiqua" w:cs="Book Antiqua"/>
          <w:color w:val="000000" w:themeColor="text1"/>
        </w:rPr>
        <w:t>SGLT2 inhibitor or GLP-1 receptor agonist in 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7</w:t>
      </w:r>
      <w:r w:rsidRPr="004541C8">
        <w:rPr>
          <w:rFonts w:ascii="Book Antiqua" w:eastAsia="Book Antiqua" w:hAnsi="Book Antiqua" w:cs="Book Antiqua"/>
          <w:color w:val="000000" w:themeColor="text1"/>
        </w:rPr>
        <w:t>: 818-820 [PMID: 31540866 DOI: 10.1016/S2213-8587(19)30310-9]</w:t>
      </w:r>
    </w:p>
    <w:p w14:paraId="79566FC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8 </w:t>
      </w:r>
      <w:proofErr w:type="spellStart"/>
      <w:r w:rsidRPr="004541C8">
        <w:rPr>
          <w:rFonts w:ascii="Book Antiqua" w:eastAsia="Book Antiqua" w:hAnsi="Book Antiqua" w:cs="Book Antiqua"/>
          <w:b/>
          <w:bCs/>
          <w:color w:val="000000" w:themeColor="text1"/>
        </w:rPr>
        <w:t>Castellana</w:t>
      </w:r>
      <w:proofErr w:type="spellEnd"/>
      <w:r w:rsidRPr="004541C8">
        <w:rPr>
          <w:rFonts w:ascii="Book Antiqua" w:eastAsia="Book Antiqua" w:hAnsi="Book Antiqua" w:cs="Book Antiqua"/>
          <w:b/>
          <w:bCs/>
          <w:color w:val="000000" w:themeColor="text1"/>
        </w:rPr>
        <w:t xml:space="preserve"> M</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Cignarelli</w:t>
      </w:r>
      <w:proofErr w:type="spellEnd"/>
      <w:r w:rsidRPr="004541C8">
        <w:rPr>
          <w:rFonts w:ascii="Book Antiqua" w:eastAsia="Book Antiqua" w:hAnsi="Book Antiqua" w:cs="Book Antiqua"/>
          <w:color w:val="000000" w:themeColor="text1"/>
        </w:rPr>
        <w:t xml:space="preserve"> A, Brescia F, </w:t>
      </w:r>
      <w:proofErr w:type="spellStart"/>
      <w:r w:rsidRPr="004541C8">
        <w:rPr>
          <w:rFonts w:ascii="Book Antiqua" w:eastAsia="Book Antiqua" w:hAnsi="Book Antiqua" w:cs="Book Antiqua"/>
          <w:color w:val="000000" w:themeColor="text1"/>
        </w:rPr>
        <w:t>Perrini</w:t>
      </w:r>
      <w:proofErr w:type="spellEnd"/>
      <w:r w:rsidRPr="004541C8">
        <w:rPr>
          <w:rFonts w:ascii="Book Antiqua" w:eastAsia="Book Antiqua" w:hAnsi="Book Antiqua" w:cs="Book Antiqua"/>
          <w:color w:val="000000" w:themeColor="text1"/>
        </w:rPr>
        <w:t xml:space="preserve"> S, </w:t>
      </w:r>
      <w:proofErr w:type="spellStart"/>
      <w:r w:rsidRPr="004541C8">
        <w:rPr>
          <w:rFonts w:ascii="Book Antiqua" w:eastAsia="Book Antiqua" w:hAnsi="Book Antiqua" w:cs="Book Antiqua"/>
          <w:color w:val="000000" w:themeColor="text1"/>
        </w:rPr>
        <w:t>Natalicchio</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Laviola</w:t>
      </w:r>
      <w:proofErr w:type="spellEnd"/>
      <w:r w:rsidRPr="004541C8">
        <w:rPr>
          <w:rFonts w:ascii="Book Antiqua" w:eastAsia="Book Antiqua" w:hAnsi="Book Antiqua" w:cs="Book Antiqua"/>
          <w:color w:val="000000" w:themeColor="text1"/>
        </w:rPr>
        <w:t xml:space="preserve"> L, </w:t>
      </w:r>
      <w:proofErr w:type="spellStart"/>
      <w:r w:rsidRPr="004541C8">
        <w:rPr>
          <w:rFonts w:ascii="Book Antiqua" w:eastAsia="Book Antiqua" w:hAnsi="Book Antiqua" w:cs="Book Antiqua"/>
          <w:color w:val="000000" w:themeColor="text1"/>
        </w:rPr>
        <w:t>Giorgino</w:t>
      </w:r>
      <w:proofErr w:type="spellEnd"/>
      <w:r w:rsidRPr="004541C8">
        <w:rPr>
          <w:rFonts w:ascii="Book Antiqua" w:eastAsia="Book Antiqua" w:hAnsi="Book Antiqua" w:cs="Book Antiqua"/>
          <w:color w:val="000000" w:themeColor="text1"/>
        </w:rPr>
        <w:t xml:space="preserve"> F. Efficacy and safety of GLP-1 receptor agonists as add-on to SGLT2 inhibitors in type 2 diabetes mellitus: A meta-analysis. </w:t>
      </w:r>
      <w:r w:rsidRPr="004541C8">
        <w:rPr>
          <w:rFonts w:ascii="Book Antiqua" w:eastAsia="Book Antiqua" w:hAnsi="Book Antiqua" w:cs="Book Antiqua"/>
          <w:i/>
          <w:iCs/>
          <w:color w:val="000000" w:themeColor="text1"/>
        </w:rPr>
        <w:t>Sci Rep</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9</w:t>
      </w:r>
      <w:r w:rsidRPr="004541C8">
        <w:rPr>
          <w:rFonts w:ascii="Book Antiqua" w:eastAsia="Book Antiqua" w:hAnsi="Book Antiqua" w:cs="Book Antiqua"/>
          <w:color w:val="000000" w:themeColor="text1"/>
        </w:rPr>
        <w:t>: 19351 [PMID: 31852920 DOI: 10.1038/s41598-019-55524-w]</w:t>
      </w:r>
    </w:p>
    <w:p w14:paraId="040A06D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9 </w:t>
      </w:r>
      <w:r w:rsidRPr="004541C8">
        <w:rPr>
          <w:rFonts w:ascii="Book Antiqua" w:eastAsia="Book Antiqua" w:hAnsi="Book Antiqua" w:cs="Book Antiqua"/>
          <w:b/>
          <w:bCs/>
          <w:color w:val="000000" w:themeColor="text1"/>
        </w:rPr>
        <w:t>Buse JB</w:t>
      </w:r>
      <w:r w:rsidRPr="004541C8">
        <w:rPr>
          <w:rFonts w:ascii="Book Antiqua" w:eastAsia="Book Antiqua" w:hAnsi="Book Antiqua" w:cs="Book Antiqua"/>
          <w:color w:val="000000" w:themeColor="text1"/>
        </w:rPr>
        <w:t xml:space="preserve">, Wexler DJ, </w:t>
      </w:r>
      <w:proofErr w:type="spellStart"/>
      <w:r w:rsidRPr="004541C8">
        <w:rPr>
          <w:rFonts w:ascii="Book Antiqua" w:eastAsia="Book Antiqua" w:hAnsi="Book Antiqua" w:cs="Book Antiqua"/>
          <w:color w:val="000000" w:themeColor="text1"/>
        </w:rPr>
        <w:t>Tsapas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Rossing</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Mingrone</w:t>
      </w:r>
      <w:proofErr w:type="spellEnd"/>
      <w:r w:rsidRPr="004541C8">
        <w:rPr>
          <w:rFonts w:ascii="Book Antiqua" w:eastAsia="Book Antiqua" w:hAnsi="Book Antiqua" w:cs="Book Antiqua"/>
          <w:color w:val="000000" w:themeColor="text1"/>
        </w:rPr>
        <w:t xml:space="preserve"> G, Mathieu C, </w:t>
      </w:r>
      <w:proofErr w:type="spellStart"/>
      <w:r w:rsidRPr="004541C8">
        <w:rPr>
          <w:rFonts w:ascii="Book Antiqua" w:eastAsia="Book Antiqua" w:hAnsi="Book Antiqua" w:cs="Book Antiqua"/>
          <w:color w:val="000000" w:themeColor="text1"/>
        </w:rPr>
        <w:t>D'Alessio</w:t>
      </w:r>
      <w:proofErr w:type="spellEnd"/>
      <w:r w:rsidRPr="004541C8">
        <w:rPr>
          <w:rFonts w:ascii="Book Antiqua" w:eastAsia="Book Antiqua" w:hAnsi="Book Antiqua" w:cs="Book Antiqua"/>
          <w:color w:val="000000" w:themeColor="text1"/>
        </w:rPr>
        <w:t xml:space="preserve"> DA, Davies MJ. 2019 update to: Management of </w:t>
      </w:r>
      <w:proofErr w:type="spellStart"/>
      <w:r w:rsidRPr="004541C8">
        <w:rPr>
          <w:rFonts w:ascii="Book Antiqua" w:eastAsia="Book Antiqua" w:hAnsi="Book Antiqua" w:cs="Book Antiqua"/>
          <w:color w:val="000000" w:themeColor="text1"/>
        </w:rPr>
        <w:t>hyperglycaemia</w:t>
      </w:r>
      <w:proofErr w:type="spellEnd"/>
      <w:r w:rsidRPr="004541C8">
        <w:rPr>
          <w:rFonts w:ascii="Book Antiqua" w:eastAsia="Book Antiqua" w:hAnsi="Book Antiqua" w:cs="Book Antiqua"/>
          <w:color w:val="000000" w:themeColor="text1"/>
        </w:rPr>
        <w:t xml:space="preserve"> in type 2 diabetes, 2018. </w:t>
      </w:r>
      <w:proofErr w:type="gramStart"/>
      <w:r w:rsidRPr="004541C8">
        <w:rPr>
          <w:rFonts w:ascii="Book Antiqua" w:eastAsia="Book Antiqua" w:hAnsi="Book Antiqua" w:cs="Book Antiqua"/>
          <w:color w:val="000000" w:themeColor="text1"/>
        </w:rPr>
        <w:t>A consensus report by the American Diabetes Association (ADA) and the European Association for the Study of Diabetes (EASD).</w:t>
      </w:r>
      <w:proofErr w:type="gram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i/>
          <w:iCs/>
          <w:color w:val="000000" w:themeColor="text1"/>
        </w:rPr>
        <w:t>Diabetologia</w:t>
      </w:r>
      <w:proofErr w:type="spellEnd"/>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63</w:t>
      </w:r>
      <w:r w:rsidRPr="004541C8">
        <w:rPr>
          <w:rFonts w:ascii="Book Antiqua" w:eastAsia="Book Antiqua" w:hAnsi="Book Antiqua" w:cs="Book Antiqua"/>
          <w:color w:val="000000" w:themeColor="text1"/>
        </w:rPr>
        <w:t>: 221-228 [PMID: 31853556 DOI: 10.1007/s00125-019-05039-w]</w:t>
      </w:r>
    </w:p>
    <w:p w14:paraId="0FB479B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10 </w:t>
      </w:r>
      <w:r w:rsidRPr="004541C8">
        <w:rPr>
          <w:rFonts w:ascii="Book Antiqua" w:eastAsia="Book Antiqua" w:hAnsi="Book Antiqua" w:cs="Book Antiqua"/>
          <w:b/>
          <w:bCs/>
          <w:color w:val="000000" w:themeColor="text1"/>
        </w:rPr>
        <w:t>Guo M</w:t>
      </w:r>
      <w:r w:rsidRPr="004541C8">
        <w:rPr>
          <w:rFonts w:ascii="Book Antiqua" w:eastAsia="Book Antiqua" w:hAnsi="Book Antiqua" w:cs="Book Antiqua"/>
          <w:color w:val="000000" w:themeColor="text1"/>
        </w:rPr>
        <w:t xml:space="preserve">, Gu J, Teng F, Chen J, Ma X, Chen Q, Pu Y, Jiang Z, Long Y, Xu Y. The efficacy and safety of combinations of SGLT2 inhibitors and GLP-1 receptor agonists in the treatment of type 2 diabetes or obese adults: a systematic review and meta-analysis. </w:t>
      </w:r>
      <w:r w:rsidRPr="004541C8">
        <w:rPr>
          <w:rFonts w:ascii="Book Antiqua" w:eastAsia="Book Antiqua" w:hAnsi="Book Antiqua" w:cs="Book Antiqua"/>
          <w:i/>
          <w:iCs/>
          <w:color w:val="000000" w:themeColor="text1"/>
        </w:rPr>
        <w:t>Endocrine</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67</w:t>
      </w:r>
      <w:r w:rsidRPr="004541C8">
        <w:rPr>
          <w:rFonts w:ascii="Book Antiqua" w:eastAsia="Book Antiqua" w:hAnsi="Book Antiqua" w:cs="Book Antiqua"/>
          <w:color w:val="000000" w:themeColor="text1"/>
        </w:rPr>
        <w:t>: 294-304 [PMID: 31900793 DOI: 10.1007/s12020-019-02175-6]</w:t>
      </w:r>
    </w:p>
    <w:p w14:paraId="19AD0EC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11 </w:t>
      </w:r>
      <w:proofErr w:type="spellStart"/>
      <w:r w:rsidRPr="004541C8">
        <w:rPr>
          <w:rFonts w:ascii="Book Antiqua" w:eastAsia="Book Antiqua" w:hAnsi="Book Antiqua" w:cs="Book Antiqua"/>
          <w:b/>
          <w:bCs/>
          <w:color w:val="000000" w:themeColor="text1"/>
        </w:rPr>
        <w:t>Khunti</w:t>
      </w:r>
      <w:proofErr w:type="spellEnd"/>
      <w:r w:rsidRPr="004541C8">
        <w:rPr>
          <w:rFonts w:ascii="Book Antiqua" w:eastAsia="Book Antiqua" w:hAnsi="Book Antiqua" w:cs="Book Antiqua"/>
          <w:b/>
          <w:bCs/>
          <w:color w:val="000000" w:themeColor="text1"/>
        </w:rPr>
        <w:t xml:space="preserve"> K</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Wolden</w:t>
      </w:r>
      <w:proofErr w:type="spellEnd"/>
      <w:r w:rsidRPr="004541C8">
        <w:rPr>
          <w:rFonts w:ascii="Book Antiqua" w:eastAsia="Book Antiqua" w:hAnsi="Book Antiqua" w:cs="Book Antiqua"/>
          <w:color w:val="000000" w:themeColor="text1"/>
        </w:rPr>
        <w:t xml:space="preserve"> ML, </w:t>
      </w:r>
      <w:proofErr w:type="spellStart"/>
      <w:r w:rsidRPr="004541C8">
        <w:rPr>
          <w:rFonts w:ascii="Book Antiqua" w:eastAsia="Book Antiqua" w:hAnsi="Book Antiqua" w:cs="Book Antiqua"/>
          <w:color w:val="000000" w:themeColor="text1"/>
        </w:rPr>
        <w:t>Thorsted</w:t>
      </w:r>
      <w:proofErr w:type="spellEnd"/>
      <w:r w:rsidRPr="004541C8">
        <w:rPr>
          <w:rFonts w:ascii="Book Antiqua" w:eastAsia="Book Antiqua" w:hAnsi="Book Antiqua" w:cs="Book Antiqua"/>
          <w:color w:val="000000" w:themeColor="text1"/>
        </w:rPr>
        <w:t xml:space="preserve"> BL, Andersen M, Davies MJ. Clinical inertia in people with type 2 diabetes: a retrospective cohort study of more than 80,000 people.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2013; </w:t>
      </w:r>
      <w:r w:rsidRPr="004541C8">
        <w:rPr>
          <w:rFonts w:ascii="Book Antiqua" w:eastAsia="Book Antiqua" w:hAnsi="Book Antiqua" w:cs="Book Antiqua"/>
          <w:b/>
          <w:bCs/>
          <w:color w:val="000000" w:themeColor="text1"/>
        </w:rPr>
        <w:t>36</w:t>
      </w:r>
      <w:r w:rsidRPr="004541C8">
        <w:rPr>
          <w:rFonts w:ascii="Book Antiqua" w:eastAsia="Book Antiqua" w:hAnsi="Book Antiqua" w:cs="Book Antiqua"/>
          <w:color w:val="000000" w:themeColor="text1"/>
        </w:rPr>
        <w:t>: 3411-3417 [PMID: 23877982 DOI: 10.2337/dc13-0331]</w:t>
      </w:r>
    </w:p>
    <w:p w14:paraId="1F1CF13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12 </w:t>
      </w:r>
      <w:proofErr w:type="spellStart"/>
      <w:r w:rsidRPr="004541C8">
        <w:rPr>
          <w:rFonts w:ascii="Book Antiqua" w:eastAsia="Book Antiqua" w:hAnsi="Book Antiqua" w:cs="Book Antiqua"/>
          <w:b/>
          <w:bCs/>
          <w:color w:val="000000" w:themeColor="text1"/>
        </w:rPr>
        <w:t>Khunti</w:t>
      </w:r>
      <w:proofErr w:type="spellEnd"/>
      <w:r w:rsidRPr="004541C8">
        <w:rPr>
          <w:rFonts w:ascii="Book Antiqua" w:eastAsia="Book Antiqua" w:hAnsi="Book Antiqua" w:cs="Book Antiqua"/>
          <w:b/>
          <w:bCs/>
          <w:color w:val="000000" w:themeColor="text1"/>
        </w:rPr>
        <w:t xml:space="preserve"> K</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Nikolajsen</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Thorsted</w:t>
      </w:r>
      <w:proofErr w:type="spellEnd"/>
      <w:r w:rsidRPr="004541C8">
        <w:rPr>
          <w:rFonts w:ascii="Book Antiqua" w:eastAsia="Book Antiqua" w:hAnsi="Book Antiqua" w:cs="Book Antiqua"/>
          <w:color w:val="000000" w:themeColor="text1"/>
        </w:rPr>
        <w:t xml:space="preserve"> BL, Andersen M, Davies MJ, Paul SK. Clinical inertia with regard to intensifying therapy in people with type 2 diabetes treated with basal insulin.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18</w:t>
      </w:r>
      <w:r w:rsidRPr="004541C8">
        <w:rPr>
          <w:rFonts w:ascii="Book Antiqua" w:eastAsia="Book Antiqua" w:hAnsi="Book Antiqua" w:cs="Book Antiqua"/>
          <w:color w:val="000000" w:themeColor="text1"/>
        </w:rPr>
        <w:t>: 401-409 [PMID: 26743666 DOI: 10.1111/dom.12626]</w:t>
      </w:r>
    </w:p>
    <w:p w14:paraId="345D92C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13 </w:t>
      </w:r>
      <w:r w:rsidRPr="004541C8">
        <w:rPr>
          <w:rFonts w:ascii="Book Antiqua" w:eastAsia="Book Antiqua" w:hAnsi="Book Antiqua" w:cs="Book Antiqua"/>
          <w:b/>
          <w:bCs/>
          <w:color w:val="000000" w:themeColor="text1"/>
        </w:rPr>
        <w:t>Reach G</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Pechtner</w:t>
      </w:r>
      <w:proofErr w:type="spellEnd"/>
      <w:r w:rsidRPr="004541C8">
        <w:rPr>
          <w:rFonts w:ascii="Book Antiqua" w:eastAsia="Book Antiqua" w:hAnsi="Book Antiqua" w:cs="Book Antiqua"/>
          <w:color w:val="000000" w:themeColor="text1"/>
        </w:rPr>
        <w:t xml:space="preserve"> V, </w:t>
      </w:r>
      <w:proofErr w:type="spellStart"/>
      <w:r w:rsidRPr="004541C8">
        <w:rPr>
          <w:rFonts w:ascii="Book Antiqua" w:eastAsia="Book Antiqua" w:hAnsi="Book Antiqua" w:cs="Book Antiqua"/>
          <w:color w:val="000000" w:themeColor="text1"/>
        </w:rPr>
        <w:t>Gentilella</w:t>
      </w:r>
      <w:proofErr w:type="spellEnd"/>
      <w:r w:rsidRPr="004541C8">
        <w:rPr>
          <w:rFonts w:ascii="Book Antiqua" w:eastAsia="Book Antiqua" w:hAnsi="Book Antiqua" w:cs="Book Antiqua"/>
          <w:color w:val="000000" w:themeColor="text1"/>
        </w:rPr>
        <w:t xml:space="preserve"> R, </w:t>
      </w:r>
      <w:proofErr w:type="spellStart"/>
      <w:r w:rsidRPr="004541C8">
        <w:rPr>
          <w:rFonts w:ascii="Book Antiqua" w:eastAsia="Book Antiqua" w:hAnsi="Book Antiqua" w:cs="Book Antiqua"/>
          <w:color w:val="000000" w:themeColor="text1"/>
        </w:rPr>
        <w:t>Corcos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Ceriello</w:t>
      </w:r>
      <w:proofErr w:type="spellEnd"/>
      <w:r w:rsidRPr="004541C8">
        <w:rPr>
          <w:rFonts w:ascii="Book Antiqua" w:eastAsia="Book Antiqua" w:hAnsi="Book Antiqua" w:cs="Book Antiqua"/>
          <w:color w:val="000000" w:themeColor="text1"/>
        </w:rPr>
        <w:t xml:space="preserve"> A. Clinical inertia and its impact on treatment intensification in people with type 2 diabetes mellitus.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501-511 [PMID: 28754263 DOI: 10.1016/j.diabet.2017.06.003]</w:t>
      </w:r>
    </w:p>
    <w:p w14:paraId="04D5D6E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14 </w:t>
      </w:r>
      <w:r w:rsidRPr="004541C8">
        <w:rPr>
          <w:rFonts w:ascii="Book Antiqua" w:eastAsia="Book Antiqua" w:hAnsi="Book Antiqua" w:cs="Book Antiqua"/>
          <w:b/>
          <w:bCs/>
          <w:color w:val="000000" w:themeColor="text1"/>
        </w:rPr>
        <w:t>Ali AM</w:t>
      </w:r>
      <w:r w:rsidRPr="004541C8">
        <w:rPr>
          <w:rFonts w:ascii="Book Antiqua" w:eastAsia="Book Antiqua" w:hAnsi="Book Antiqua" w:cs="Book Antiqua"/>
          <w:color w:val="000000" w:themeColor="text1"/>
        </w:rPr>
        <w:t>, Martinez R, Al-</w:t>
      </w:r>
      <w:proofErr w:type="spellStart"/>
      <w:r w:rsidRPr="004541C8">
        <w:rPr>
          <w:rFonts w:ascii="Book Antiqua" w:eastAsia="Book Antiqua" w:hAnsi="Book Antiqua" w:cs="Book Antiqua"/>
          <w:color w:val="000000" w:themeColor="text1"/>
        </w:rPr>
        <w:t>Jobori</w:t>
      </w:r>
      <w:proofErr w:type="spellEnd"/>
      <w:r w:rsidRPr="004541C8">
        <w:rPr>
          <w:rFonts w:ascii="Book Antiqua" w:eastAsia="Book Antiqua" w:hAnsi="Book Antiqua" w:cs="Book Antiqua"/>
          <w:color w:val="000000" w:themeColor="text1"/>
        </w:rPr>
        <w:t xml:space="preserve"> H, Adams J, </w:t>
      </w:r>
      <w:proofErr w:type="spellStart"/>
      <w:r w:rsidRPr="004541C8">
        <w:rPr>
          <w:rFonts w:ascii="Book Antiqua" w:eastAsia="Book Antiqua" w:hAnsi="Book Antiqua" w:cs="Book Antiqua"/>
          <w:color w:val="000000" w:themeColor="text1"/>
        </w:rPr>
        <w:t>Triplitt</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DeFronzo</w:t>
      </w:r>
      <w:proofErr w:type="spellEnd"/>
      <w:r w:rsidRPr="004541C8">
        <w:rPr>
          <w:rFonts w:ascii="Book Antiqua" w:eastAsia="Book Antiqua" w:hAnsi="Book Antiqua" w:cs="Book Antiqua"/>
          <w:color w:val="000000" w:themeColor="text1"/>
        </w:rPr>
        <w:t xml:space="preserve"> R, </w:t>
      </w:r>
      <w:proofErr w:type="spellStart"/>
      <w:r w:rsidRPr="004541C8">
        <w:rPr>
          <w:rFonts w:ascii="Book Antiqua" w:eastAsia="Book Antiqua" w:hAnsi="Book Antiqua" w:cs="Book Antiqua"/>
          <w:color w:val="000000" w:themeColor="text1"/>
        </w:rPr>
        <w:t>Cersosimo</w:t>
      </w:r>
      <w:proofErr w:type="spellEnd"/>
      <w:r w:rsidRPr="004541C8">
        <w:rPr>
          <w:rFonts w:ascii="Book Antiqua" w:eastAsia="Book Antiqua" w:hAnsi="Book Antiqua" w:cs="Book Antiqua"/>
          <w:color w:val="000000" w:themeColor="text1"/>
        </w:rPr>
        <w:t xml:space="preserve"> E, Abdul-Ghani M. Combination Therapy With Canagliflozin Plus Liraglutide Exerts </w:t>
      </w:r>
      <w:r w:rsidRPr="004541C8">
        <w:rPr>
          <w:rFonts w:ascii="Book Antiqua" w:eastAsia="Book Antiqua" w:hAnsi="Book Antiqua" w:cs="Book Antiqua"/>
          <w:color w:val="000000" w:themeColor="text1"/>
        </w:rPr>
        <w:lastRenderedPageBreak/>
        <w:t>Additive Effect on Weight Loss, but Not on HbA</w:t>
      </w:r>
      <w:r w:rsidRPr="004541C8">
        <w:rPr>
          <w:rFonts w:ascii="Book Antiqua" w:eastAsia="Book Antiqua" w:hAnsi="Book Antiqua" w:cs="Book Antiqua"/>
          <w:color w:val="000000" w:themeColor="text1"/>
          <w:vertAlign w:val="subscript"/>
        </w:rPr>
        <w:t>1c</w:t>
      </w:r>
      <w:r w:rsidRPr="004541C8">
        <w:rPr>
          <w:rFonts w:ascii="Book Antiqua" w:eastAsia="Book Antiqua" w:hAnsi="Book Antiqua" w:cs="Book Antiqua"/>
          <w:color w:val="000000" w:themeColor="text1"/>
        </w:rPr>
        <w:t xml:space="preserve">, in Patients With Type 2 Diabetes.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1234-1241 [PMID: 32220916 DOI: 10.2337/dc18-2460]</w:t>
      </w:r>
    </w:p>
    <w:p w14:paraId="1AA2559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15 </w:t>
      </w:r>
      <w:proofErr w:type="spellStart"/>
      <w:r w:rsidRPr="004541C8">
        <w:rPr>
          <w:rFonts w:ascii="Book Antiqua" w:eastAsia="Book Antiqua" w:hAnsi="Book Antiqua" w:cs="Book Antiqua"/>
          <w:b/>
          <w:bCs/>
          <w:color w:val="000000" w:themeColor="text1"/>
        </w:rPr>
        <w:t>Mantsiou</w:t>
      </w:r>
      <w:proofErr w:type="spellEnd"/>
      <w:r w:rsidRPr="004541C8">
        <w:rPr>
          <w:rFonts w:ascii="Book Antiqua" w:eastAsia="Book Antiqua" w:hAnsi="Book Antiqua" w:cs="Book Antiqua"/>
          <w:b/>
          <w:bCs/>
          <w:color w:val="000000" w:themeColor="text1"/>
        </w:rPr>
        <w:t xml:space="preserve"> C</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Karagiannis</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Kakotrichi</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Malandris</w:t>
      </w:r>
      <w:proofErr w:type="spellEnd"/>
      <w:r w:rsidRPr="004541C8">
        <w:rPr>
          <w:rFonts w:ascii="Book Antiqua" w:eastAsia="Book Antiqua" w:hAnsi="Book Antiqua" w:cs="Book Antiqua"/>
          <w:color w:val="000000" w:themeColor="text1"/>
        </w:rPr>
        <w:t xml:space="preserve"> K, Avgerinos I, </w:t>
      </w:r>
      <w:proofErr w:type="spellStart"/>
      <w:r w:rsidRPr="004541C8">
        <w:rPr>
          <w:rFonts w:ascii="Book Antiqua" w:eastAsia="Book Antiqua" w:hAnsi="Book Antiqua" w:cs="Book Antiqua"/>
          <w:color w:val="000000" w:themeColor="text1"/>
        </w:rPr>
        <w:t>Liakos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Tsapas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Bekiari</w:t>
      </w:r>
      <w:proofErr w:type="spellEnd"/>
      <w:r w:rsidRPr="004541C8">
        <w:rPr>
          <w:rFonts w:ascii="Book Antiqua" w:eastAsia="Book Antiqua" w:hAnsi="Book Antiqua" w:cs="Book Antiqua"/>
          <w:color w:val="000000" w:themeColor="text1"/>
        </w:rPr>
        <w:t xml:space="preserve"> E. Glucagon-like peptide-1 receptor agonists and sodium-glucose co-transporter-2 inhibitors as combination therapy for type 2 diabetes: A systematic review and meta-analysis.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2020</w:t>
      </w:r>
      <w:proofErr w:type="gramStart"/>
      <w:r w:rsidRPr="004541C8">
        <w:rPr>
          <w:rFonts w:ascii="Book Antiqua" w:eastAsia="Book Antiqua" w:hAnsi="Book Antiqua" w:cs="Book Antiqua"/>
          <w:color w:val="000000" w:themeColor="text1"/>
        </w:rPr>
        <w:t>; :</w:t>
      </w:r>
      <w:proofErr w:type="gramEnd"/>
      <w:r w:rsidRPr="004541C8">
        <w:rPr>
          <w:rFonts w:ascii="Book Antiqua" w:eastAsia="Book Antiqua" w:hAnsi="Book Antiqua" w:cs="Book Antiqua"/>
          <w:color w:val="000000" w:themeColor="text1"/>
        </w:rPr>
        <w:t xml:space="preserve"> [PMID: 32476254 DOI: 10.1111/dom.14108]</w:t>
      </w:r>
    </w:p>
    <w:p w14:paraId="60BACE2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16 </w:t>
      </w:r>
      <w:proofErr w:type="spellStart"/>
      <w:r w:rsidRPr="004541C8">
        <w:rPr>
          <w:rFonts w:ascii="Book Antiqua" w:eastAsia="Book Antiqua" w:hAnsi="Book Antiqua" w:cs="Book Antiqua"/>
          <w:b/>
          <w:bCs/>
          <w:color w:val="000000" w:themeColor="text1"/>
        </w:rPr>
        <w:t>Cersosimo</w:t>
      </w:r>
      <w:proofErr w:type="spellEnd"/>
      <w:r w:rsidRPr="004541C8">
        <w:rPr>
          <w:rFonts w:ascii="Book Antiqua" w:eastAsia="Book Antiqua" w:hAnsi="Book Antiqua" w:cs="Book Antiqua"/>
          <w:b/>
          <w:bCs/>
          <w:color w:val="000000" w:themeColor="text1"/>
        </w:rPr>
        <w:t xml:space="preserve"> E</w:t>
      </w:r>
      <w:r w:rsidRPr="004541C8">
        <w:rPr>
          <w:rFonts w:ascii="Book Antiqua" w:eastAsia="Book Antiqua" w:hAnsi="Book Antiqua" w:cs="Book Antiqua"/>
          <w:color w:val="000000" w:themeColor="text1"/>
        </w:rPr>
        <w:t xml:space="preserve">, Johnson EL, </w:t>
      </w:r>
      <w:proofErr w:type="spellStart"/>
      <w:r w:rsidRPr="004541C8">
        <w:rPr>
          <w:rFonts w:ascii="Book Antiqua" w:eastAsia="Book Antiqua" w:hAnsi="Book Antiqua" w:cs="Book Antiqua"/>
          <w:color w:val="000000" w:themeColor="text1"/>
        </w:rPr>
        <w:t>Chovanes</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Skolnik</w:t>
      </w:r>
      <w:proofErr w:type="spellEnd"/>
      <w:r w:rsidRPr="004541C8">
        <w:rPr>
          <w:rFonts w:ascii="Book Antiqua" w:eastAsia="Book Antiqua" w:hAnsi="Book Antiqua" w:cs="Book Antiqua"/>
          <w:color w:val="000000" w:themeColor="text1"/>
        </w:rPr>
        <w:t xml:space="preserve"> N. Initiating therapy in patients newly diagnosed with type 2 diabetes: Combination therapy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a stepwise approach.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20</w:t>
      </w:r>
      <w:r w:rsidRPr="004541C8">
        <w:rPr>
          <w:rFonts w:ascii="Book Antiqua" w:eastAsia="Book Antiqua" w:hAnsi="Book Antiqua" w:cs="Book Antiqua"/>
          <w:color w:val="000000" w:themeColor="text1"/>
        </w:rPr>
        <w:t>: 497-507 [PMID: 28862799 DOI: 10.1111/dom.13108]</w:t>
      </w:r>
    </w:p>
    <w:p w14:paraId="7984C7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17 </w:t>
      </w:r>
      <w:r w:rsidRPr="004541C8">
        <w:rPr>
          <w:rFonts w:ascii="Book Antiqua" w:eastAsia="Book Antiqua" w:hAnsi="Book Antiqua" w:cs="Book Antiqua"/>
          <w:b/>
          <w:bCs/>
          <w:color w:val="000000" w:themeColor="text1"/>
        </w:rPr>
        <w:t>Matthews DR</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Paldánius</w:t>
      </w:r>
      <w:proofErr w:type="spellEnd"/>
      <w:r w:rsidRPr="004541C8">
        <w:rPr>
          <w:rFonts w:ascii="Book Antiqua" w:eastAsia="Book Antiqua" w:hAnsi="Book Antiqua" w:cs="Book Antiqua"/>
          <w:color w:val="000000" w:themeColor="text1"/>
        </w:rPr>
        <w:t xml:space="preserve"> PM, </w:t>
      </w:r>
      <w:proofErr w:type="spellStart"/>
      <w:r w:rsidRPr="004541C8">
        <w:rPr>
          <w:rFonts w:ascii="Book Antiqua" w:eastAsia="Book Antiqua" w:hAnsi="Book Antiqua" w:cs="Book Antiqua"/>
          <w:color w:val="000000" w:themeColor="text1"/>
        </w:rPr>
        <w:t>Proot</w:t>
      </w:r>
      <w:proofErr w:type="spellEnd"/>
      <w:r w:rsidRPr="004541C8">
        <w:rPr>
          <w:rFonts w:ascii="Book Antiqua" w:eastAsia="Book Antiqua" w:hAnsi="Book Antiqua" w:cs="Book Antiqua"/>
          <w:color w:val="000000" w:themeColor="text1"/>
        </w:rPr>
        <w:t xml:space="preserve"> P, Chiang Y, </w:t>
      </w:r>
      <w:proofErr w:type="spellStart"/>
      <w:r w:rsidRPr="004541C8">
        <w:rPr>
          <w:rFonts w:ascii="Book Antiqua" w:eastAsia="Book Antiqua" w:hAnsi="Book Antiqua" w:cs="Book Antiqua"/>
          <w:color w:val="000000" w:themeColor="text1"/>
        </w:rPr>
        <w:t>Stumvoll</w:t>
      </w:r>
      <w:proofErr w:type="spellEnd"/>
      <w:r w:rsidRPr="004541C8">
        <w:rPr>
          <w:rFonts w:ascii="Book Antiqua" w:eastAsia="Book Antiqua" w:hAnsi="Book Antiqua" w:cs="Book Antiqua"/>
          <w:color w:val="000000" w:themeColor="text1"/>
        </w:rPr>
        <w:t xml:space="preserve"> M, Del Prato S; VERIFY study group. </w:t>
      </w:r>
      <w:proofErr w:type="spellStart"/>
      <w:r w:rsidRPr="004541C8">
        <w:rPr>
          <w:rFonts w:ascii="Book Antiqua" w:eastAsia="Book Antiqua" w:hAnsi="Book Antiqua" w:cs="Book Antiqua"/>
          <w:color w:val="000000" w:themeColor="text1"/>
        </w:rPr>
        <w:t>Glycaemic</w:t>
      </w:r>
      <w:proofErr w:type="spellEnd"/>
      <w:r w:rsidRPr="004541C8">
        <w:rPr>
          <w:rFonts w:ascii="Book Antiqua" w:eastAsia="Book Antiqua" w:hAnsi="Book Antiqua" w:cs="Book Antiqua"/>
          <w:color w:val="000000" w:themeColor="text1"/>
        </w:rPr>
        <w:t xml:space="preserve"> durability of an early combination therapy with vildagliptin and metformin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sequential metformin monotherapy in newly diagnosed type 2 diabetes (VERIFY): a 5-year, </w:t>
      </w:r>
      <w:proofErr w:type="spellStart"/>
      <w:r w:rsidRPr="004541C8">
        <w:rPr>
          <w:rFonts w:ascii="Book Antiqua" w:eastAsia="Book Antiqua" w:hAnsi="Book Antiqua" w:cs="Book Antiqua"/>
          <w:color w:val="000000" w:themeColor="text1"/>
        </w:rPr>
        <w:t>multicentre</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1519-1529 [PMID: 31542292 DOI: 10.1016/S0140-6736(19)32131-2]</w:t>
      </w:r>
    </w:p>
    <w:p w14:paraId="75EEFE9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18 </w:t>
      </w:r>
      <w:proofErr w:type="spellStart"/>
      <w:r w:rsidRPr="004541C8">
        <w:rPr>
          <w:rFonts w:ascii="Book Antiqua" w:eastAsia="Book Antiqua" w:hAnsi="Book Antiqua" w:cs="Book Antiqua"/>
          <w:b/>
          <w:bCs/>
          <w:color w:val="000000" w:themeColor="text1"/>
        </w:rPr>
        <w:t>Jabbour</w:t>
      </w:r>
      <w:proofErr w:type="spellEnd"/>
      <w:r w:rsidRPr="004541C8">
        <w:rPr>
          <w:rFonts w:ascii="Book Antiqua" w:eastAsia="Book Antiqua" w:hAnsi="Book Antiqua" w:cs="Book Antiqua"/>
          <w:b/>
          <w:bCs/>
          <w:color w:val="000000" w:themeColor="text1"/>
        </w:rPr>
        <w:t xml:space="preserve"> SA</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Frías</w:t>
      </w:r>
      <w:proofErr w:type="spellEnd"/>
      <w:r w:rsidRPr="004541C8">
        <w:rPr>
          <w:rFonts w:ascii="Book Antiqua" w:eastAsia="Book Antiqua" w:hAnsi="Book Antiqua" w:cs="Book Antiqua"/>
          <w:color w:val="000000" w:themeColor="text1"/>
        </w:rPr>
        <w:t xml:space="preserve"> JP, Hardy E, Ahmed A, Wang H, </w:t>
      </w:r>
      <w:proofErr w:type="spellStart"/>
      <w:r w:rsidRPr="004541C8">
        <w:rPr>
          <w:rFonts w:ascii="Book Antiqua" w:eastAsia="Book Antiqua" w:hAnsi="Book Antiqua" w:cs="Book Antiqua"/>
          <w:color w:val="000000" w:themeColor="text1"/>
        </w:rPr>
        <w:t>Öhman</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Guja</w:t>
      </w:r>
      <w:proofErr w:type="spellEnd"/>
      <w:r w:rsidRPr="004541C8">
        <w:rPr>
          <w:rFonts w:ascii="Book Antiqua" w:eastAsia="Book Antiqua" w:hAnsi="Book Antiqua" w:cs="Book Antiqua"/>
          <w:color w:val="000000" w:themeColor="text1"/>
        </w:rPr>
        <w:t xml:space="preserve"> C. Safety and Efficacy of Exenatide Once Weekly Plus Dapagliflozin Once Daily Versus Exenatide or Dapagliflozin Alone in Patients With Type 2 Diabetes Inadequately Controlled With Metformin Monotherapy: 52-Week Results of the DURATION-8 Randomized Controlled Trial.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41</w:t>
      </w:r>
      <w:r w:rsidRPr="004541C8">
        <w:rPr>
          <w:rFonts w:ascii="Book Antiqua" w:eastAsia="Book Antiqua" w:hAnsi="Book Antiqua" w:cs="Book Antiqua"/>
          <w:color w:val="000000" w:themeColor="text1"/>
        </w:rPr>
        <w:t>: 2136-2146 [PMID: 30082326 DOI: 10.2337/dc18-0680]</w:t>
      </w:r>
    </w:p>
    <w:p w14:paraId="6CA8CBFA"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19 </w:t>
      </w:r>
      <w:r w:rsidRPr="004541C8">
        <w:rPr>
          <w:rFonts w:ascii="Book Antiqua" w:eastAsia="Book Antiqua" w:hAnsi="Book Antiqua" w:cs="Book Antiqua"/>
          <w:b/>
          <w:bCs/>
          <w:color w:val="000000" w:themeColor="text1"/>
        </w:rPr>
        <w:t>Blonde L</w:t>
      </w:r>
      <w:r w:rsidRPr="004541C8">
        <w:rPr>
          <w:rFonts w:ascii="Book Antiqua" w:eastAsia="Book Antiqua" w:hAnsi="Book Antiqua" w:cs="Book Antiqua"/>
          <w:color w:val="000000" w:themeColor="text1"/>
        </w:rPr>
        <w:t xml:space="preserve">, Belousova L, </w:t>
      </w:r>
      <w:proofErr w:type="spellStart"/>
      <w:r w:rsidRPr="004541C8">
        <w:rPr>
          <w:rFonts w:ascii="Book Antiqua" w:eastAsia="Book Antiqua" w:hAnsi="Book Antiqua" w:cs="Book Antiqua"/>
          <w:color w:val="000000" w:themeColor="text1"/>
        </w:rPr>
        <w:t>Fainberg</w:t>
      </w:r>
      <w:proofErr w:type="spellEnd"/>
      <w:r w:rsidRPr="004541C8">
        <w:rPr>
          <w:rFonts w:ascii="Book Antiqua" w:eastAsia="Book Antiqua" w:hAnsi="Book Antiqua" w:cs="Book Antiqua"/>
          <w:color w:val="000000" w:themeColor="text1"/>
        </w:rPr>
        <w:t xml:space="preserve"> U, Garcia-Hernandez PA, Jain SM, </w:t>
      </w:r>
      <w:proofErr w:type="spellStart"/>
      <w:r w:rsidRPr="004541C8">
        <w:rPr>
          <w:rFonts w:ascii="Book Antiqua" w:eastAsia="Book Antiqua" w:hAnsi="Book Antiqua" w:cs="Book Antiqua"/>
          <w:color w:val="000000" w:themeColor="text1"/>
        </w:rPr>
        <w:t>Kaltoft</w:t>
      </w:r>
      <w:proofErr w:type="spellEnd"/>
      <w:r w:rsidRPr="004541C8">
        <w:rPr>
          <w:rFonts w:ascii="Book Antiqua" w:eastAsia="Book Antiqua" w:hAnsi="Book Antiqua" w:cs="Book Antiqua"/>
          <w:color w:val="000000" w:themeColor="text1"/>
        </w:rPr>
        <w:t xml:space="preserve"> MS,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w:t>
      </w:r>
      <w:proofErr w:type="spellStart"/>
      <w:r w:rsidRPr="004541C8">
        <w:rPr>
          <w:rFonts w:ascii="Book Antiqua" w:eastAsia="Book Antiqua" w:hAnsi="Book Antiqua" w:cs="Book Antiqua"/>
          <w:color w:val="000000" w:themeColor="text1"/>
        </w:rPr>
        <w:t>Nafach</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Palle</w:t>
      </w:r>
      <w:proofErr w:type="spellEnd"/>
      <w:r w:rsidRPr="004541C8">
        <w:rPr>
          <w:rFonts w:ascii="Book Antiqua" w:eastAsia="Book Antiqua" w:hAnsi="Book Antiqua" w:cs="Book Antiqua"/>
          <w:color w:val="000000" w:themeColor="text1"/>
        </w:rPr>
        <w:t xml:space="preserve"> MS, Rea R. Liraglutide as add-on to sodium-glucose co-transporter-2 inhibitors in patients with inadequately controlled type 2 diabetes: LIRA-ADD2SGLT2i, a 26-week, randomized, double-blind, placebo-controlled trial.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22</w:t>
      </w:r>
      <w:r w:rsidRPr="004541C8">
        <w:rPr>
          <w:rFonts w:ascii="Book Antiqua" w:eastAsia="Book Antiqua" w:hAnsi="Book Antiqua" w:cs="Book Antiqua"/>
          <w:color w:val="000000" w:themeColor="text1"/>
        </w:rPr>
        <w:t>: 929-937 [PMID: 31984646 DOI: 10.1111/dom.13978]</w:t>
      </w:r>
    </w:p>
    <w:p w14:paraId="22A624C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20 </w:t>
      </w:r>
      <w:proofErr w:type="spellStart"/>
      <w:r w:rsidRPr="004541C8">
        <w:rPr>
          <w:rFonts w:ascii="Book Antiqua" w:eastAsia="Book Antiqua" w:hAnsi="Book Antiqua" w:cs="Book Antiqua"/>
          <w:b/>
          <w:bCs/>
          <w:color w:val="000000" w:themeColor="text1"/>
        </w:rPr>
        <w:t>Marso</w:t>
      </w:r>
      <w:proofErr w:type="spellEnd"/>
      <w:r w:rsidRPr="004541C8">
        <w:rPr>
          <w:rFonts w:ascii="Book Antiqua" w:eastAsia="Book Antiqua" w:hAnsi="Book Antiqua" w:cs="Book Antiqua"/>
          <w:b/>
          <w:bCs/>
          <w:color w:val="000000" w:themeColor="text1"/>
        </w:rPr>
        <w:t xml:space="preserve"> SP</w:t>
      </w:r>
      <w:r w:rsidRPr="004541C8">
        <w:rPr>
          <w:rFonts w:ascii="Book Antiqua" w:eastAsia="Book Antiqua" w:hAnsi="Book Antiqua" w:cs="Book Antiqua"/>
          <w:color w:val="000000" w:themeColor="text1"/>
        </w:rPr>
        <w:t xml:space="preserve">, Daniels GH, Brown-Frandsen K, Kristensen P, Mann JF, </w:t>
      </w:r>
      <w:proofErr w:type="spellStart"/>
      <w:r w:rsidRPr="004541C8">
        <w:rPr>
          <w:rFonts w:ascii="Book Antiqua" w:eastAsia="Book Antiqua" w:hAnsi="Book Antiqua" w:cs="Book Antiqua"/>
          <w:color w:val="000000" w:themeColor="text1"/>
        </w:rPr>
        <w:t>Nauck</w:t>
      </w:r>
      <w:proofErr w:type="spellEnd"/>
      <w:r w:rsidRPr="004541C8">
        <w:rPr>
          <w:rFonts w:ascii="Book Antiqua" w:eastAsia="Book Antiqua" w:hAnsi="Book Antiqua" w:cs="Book Antiqua"/>
          <w:color w:val="000000" w:themeColor="text1"/>
        </w:rPr>
        <w:t xml:space="preserve"> MA, </w:t>
      </w:r>
      <w:proofErr w:type="spellStart"/>
      <w:r w:rsidRPr="004541C8">
        <w:rPr>
          <w:rFonts w:ascii="Book Antiqua" w:eastAsia="Book Antiqua" w:hAnsi="Book Antiqua" w:cs="Book Antiqua"/>
          <w:color w:val="000000" w:themeColor="text1"/>
        </w:rPr>
        <w:t>Nissen</w:t>
      </w:r>
      <w:proofErr w:type="spellEnd"/>
      <w:r w:rsidRPr="004541C8">
        <w:rPr>
          <w:rFonts w:ascii="Book Antiqua" w:eastAsia="Book Antiqua" w:hAnsi="Book Antiqua" w:cs="Book Antiqua"/>
          <w:color w:val="000000" w:themeColor="text1"/>
        </w:rPr>
        <w:t xml:space="preserve"> SE, Pocock S, </w:t>
      </w:r>
      <w:proofErr w:type="spellStart"/>
      <w:r w:rsidRPr="004541C8">
        <w:rPr>
          <w:rFonts w:ascii="Book Antiqua" w:eastAsia="Book Antiqua" w:hAnsi="Book Antiqua" w:cs="Book Antiqua"/>
          <w:color w:val="000000" w:themeColor="text1"/>
        </w:rPr>
        <w:t>Poulter</w:t>
      </w:r>
      <w:proofErr w:type="spellEnd"/>
      <w:r w:rsidRPr="004541C8">
        <w:rPr>
          <w:rFonts w:ascii="Book Antiqua" w:eastAsia="Book Antiqua" w:hAnsi="Book Antiqua" w:cs="Book Antiqua"/>
          <w:color w:val="000000" w:themeColor="text1"/>
        </w:rPr>
        <w:t xml:space="preserve"> NR, </w:t>
      </w:r>
      <w:proofErr w:type="spellStart"/>
      <w:r w:rsidRPr="004541C8">
        <w:rPr>
          <w:rFonts w:ascii="Book Antiqua" w:eastAsia="Book Antiqua" w:hAnsi="Book Antiqua" w:cs="Book Antiqua"/>
          <w:color w:val="000000" w:themeColor="text1"/>
        </w:rPr>
        <w:t>Ravn</w:t>
      </w:r>
      <w:proofErr w:type="spellEnd"/>
      <w:r w:rsidRPr="004541C8">
        <w:rPr>
          <w:rFonts w:ascii="Book Antiqua" w:eastAsia="Book Antiqua" w:hAnsi="Book Antiqua" w:cs="Book Antiqua"/>
          <w:color w:val="000000" w:themeColor="text1"/>
        </w:rPr>
        <w:t xml:space="preserve"> LS, Steinberg WM, </w:t>
      </w:r>
      <w:proofErr w:type="spellStart"/>
      <w:r w:rsidRPr="004541C8">
        <w:rPr>
          <w:rFonts w:ascii="Book Antiqua" w:eastAsia="Book Antiqua" w:hAnsi="Book Antiqua" w:cs="Book Antiqua"/>
          <w:color w:val="000000" w:themeColor="text1"/>
        </w:rPr>
        <w:t>Stockner</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Zinman</w:t>
      </w:r>
      <w:proofErr w:type="spellEnd"/>
      <w:r w:rsidRPr="004541C8">
        <w:rPr>
          <w:rFonts w:ascii="Book Antiqua" w:eastAsia="Book Antiqua" w:hAnsi="Book Antiqua" w:cs="Book Antiqua"/>
          <w:color w:val="000000" w:themeColor="text1"/>
        </w:rPr>
        <w:t xml:space="preserve"> B, </w:t>
      </w:r>
      <w:proofErr w:type="spellStart"/>
      <w:r w:rsidRPr="004541C8">
        <w:rPr>
          <w:rFonts w:ascii="Book Antiqua" w:eastAsia="Book Antiqua" w:hAnsi="Book Antiqua" w:cs="Book Antiqua"/>
          <w:color w:val="000000" w:themeColor="text1"/>
        </w:rPr>
        <w:t>Bergenstal</w:t>
      </w:r>
      <w:proofErr w:type="spellEnd"/>
      <w:r w:rsidRPr="004541C8">
        <w:rPr>
          <w:rFonts w:ascii="Book Antiqua" w:eastAsia="Book Antiqua" w:hAnsi="Book Antiqua" w:cs="Book Antiqua"/>
          <w:color w:val="000000" w:themeColor="text1"/>
        </w:rPr>
        <w:t xml:space="preserve"> RM, </w:t>
      </w:r>
      <w:proofErr w:type="spellStart"/>
      <w:r w:rsidRPr="004541C8">
        <w:rPr>
          <w:rFonts w:ascii="Book Antiqua" w:eastAsia="Book Antiqua" w:hAnsi="Book Antiqua" w:cs="Book Antiqua"/>
          <w:color w:val="000000" w:themeColor="text1"/>
        </w:rPr>
        <w:t>Buse</w:t>
      </w:r>
      <w:proofErr w:type="spellEnd"/>
      <w:r w:rsidRPr="004541C8">
        <w:rPr>
          <w:rFonts w:ascii="Book Antiqua" w:eastAsia="Book Antiqua" w:hAnsi="Book Antiqua" w:cs="Book Antiqua"/>
          <w:color w:val="000000" w:themeColor="text1"/>
        </w:rPr>
        <w:t xml:space="preserve"> JB; LEADER Steering Committee; LEADER Trial Investigators. </w:t>
      </w:r>
      <w:proofErr w:type="gramStart"/>
      <w:r w:rsidRPr="004541C8">
        <w:rPr>
          <w:rFonts w:ascii="Book Antiqua" w:eastAsia="Book Antiqua" w:hAnsi="Book Antiqua" w:cs="Book Antiqua"/>
          <w:color w:val="000000" w:themeColor="text1"/>
        </w:rPr>
        <w:lastRenderedPageBreak/>
        <w:t>Liraglutide and Cardiovascular Outcomes in 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375</w:t>
      </w:r>
      <w:r w:rsidRPr="004541C8">
        <w:rPr>
          <w:rFonts w:ascii="Book Antiqua" w:eastAsia="Book Antiqua" w:hAnsi="Book Antiqua" w:cs="Book Antiqua"/>
          <w:color w:val="000000" w:themeColor="text1"/>
        </w:rPr>
        <w:t>: 311-322 [PMID: 27295427 DOI: 10.1056/NEJMoa1603827]</w:t>
      </w:r>
    </w:p>
    <w:p w14:paraId="5ADE33A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21 </w:t>
      </w:r>
      <w:proofErr w:type="spellStart"/>
      <w:r w:rsidRPr="004541C8">
        <w:rPr>
          <w:rFonts w:ascii="Book Antiqua" w:eastAsia="Book Antiqua" w:hAnsi="Book Antiqua" w:cs="Book Antiqua"/>
          <w:b/>
          <w:bCs/>
          <w:color w:val="000000" w:themeColor="text1"/>
        </w:rPr>
        <w:t>Marso</w:t>
      </w:r>
      <w:proofErr w:type="spellEnd"/>
      <w:r w:rsidRPr="004541C8">
        <w:rPr>
          <w:rFonts w:ascii="Book Antiqua" w:eastAsia="Book Antiqua" w:hAnsi="Book Antiqua" w:cs="Book Antiqua"/>
          <w:b/>
          <w:bCs/>
          <w:color w:val="000000" w:themeColor="text1"/>
        </w:rPr>
        <w:t xml:space="preserve"> SP</w:t>
      </w:r>
      <w:r w:rsidRPr="004541C8">
        <w:rPr>
          <w:rFonts w:ascii="Book Antiqua" w:eastAsia="Book Antiqua" w:hAnsi="Book Antiqua" w:cs="Book Antiqua"/>
          <w:color w:val="000000" w:themeColor="text1"/>
        </w:rPr>
        <w:t xml:space="preserve">, Bain SC, </w:t>
      </w:r>
      <w:proofErr w:type="spellStart"/>
      <w:r w:rsidRPr="004541C8">
        <w:rPr>
          <w:rFonts w:ascii="Book Antiqua" w:eastAsia="Book Antiqua" w:hAnsi="Book Antiqua" w:cs="Book Antiqua"/>
          <w:color w:val="000000" w:themeColor="text1"/>
        </w:rPr>
        <w:t>Consoli</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Eliaschewitz</w:t>
      </w:r>
      <w:proofErr w:type="spellEnd"/>
      <w:r w:rsidRPr="004541C8">
        <w:rPr>
          <w:rFonts w:ascii="Book Antiqua" w:eastAsia="Book Antiqua" w:hAnsi="Book Antiqua" w:cs="Book Antiqua"/>
          <w:color w:val="000000" w:themeColor="text1"/>
        </w:rPr>
        <w:t xml:space="preserve"> FG, </w:t>
      </w:r>
      <w:proofErr w:type="spellStart"/>
      <w:r w:rsidRPr="004541C8">
        <w:rPr>
          <w:rFonts w:ascii="Book Antiqua" w:eastAsia="Book Antiqua" w:hAnsi="Book Antiqua" w:cs="Book Antiqua"/>
          <w:color w:val="000000" w:themeColor="text1"/>
        </w:rPr>
        <w:t>Jódar</w:t>
      </w:r>
      <w:proofErr w:type="spellEnd"/>
      <w:r w:rsidRPr="004541C8">
        <w:rPr>
          <w:rFonts w:ascii="Book Antiqua" w:eastAsia="Book Antiqua" w:hAnsi="Book Antiqua" w:cs="Book Antiqua"/>
          <w:color w:val="000000" w:themeColor="text1"/>
        </w:rPr>
        <w:t xml:space="preserve"> E, Leiter LA, </w:t>
      </w:r>
      <w:proofErr w:type="spellStart"/>
      <w:r w:rsidRPr="004541C8">
        <w:rPr>
          <w:rFonts w:ascii="Book Antiqua" w:eastAsia="Book Antiqua" w:hAnsi="Book Antiqua" w:cs="Book Antiqua"/>
          <w:color w:val="000000" w:themeColor="text1"/>
        </w:rPr>
        <w:t>Lingvay</w:t>
      </w:r>
      <w:proofErr w:type="spellEnd"/>
      <w:r w:rsidRPr="004541C8">
        <w:rPr>
          <w:rFonts w:ascii="Book Antiqua" w:eastAsia="Book Antiqua" w:hAnsi="Book Antiqua" w:cs="Book Antiqua"/>
          <w:color w:val="000000" w:themeColor="text1"/>
        </w:rPr>
        <w:t xml:space="preserve"> I, </w:t>
      </w:r>
      <w:proofErr w:type="spellStart"/>
      <w:r w:rsidRPr="004541C8">
        <w:rPr>
          <w:rFonts w:ascii="Book Antiqua" w:eastAsia="Book Antiqua" w:hAnsi="Book Antiqua" w:cs="Book Antiqua"/>
          <w:color w:val="000000" w:themeColor="text1"/>
        </w:rPr>
        <w:t>Rosenstock</w:t>
      </w:r>
      <w:proofErr w:type="spellEnd"/>
      <w:r w:rsidRPr="004541C8">
        <w:rPr>
          <w:rFonts w:ascii="Book Antiqua" w:eastAsia="Book Antiqua" w:hAnsi="Book Antiqua" w:cs="Book Antiqua"/>
          <w:color w:val="000000" w:themeColor="text1"/>
        </w:rPr>
        <w:t xml:space="preserve"> J, Seufert J, Warren ML, Woo V, Hansen O, Holst AG, </w:t>
      </w:r>
      <w:proofErr w:type="spellStart"/>
      <w:r w:rsidRPr="004541C8">
        <w:rPr>
          <w:rFonts w:ascii="Book Antiqua" w:eastAsia="Book Antiqua" w:hAnsi="Book Antiqua" w:cs="Book Antiqua"/>
          <w:color w:val="000000" w:themeColor="text1"/>
        </w:rPr>
        <w:t>Pettersson</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Vilsbøll</w:t>
      </w:r>
      <w:proofErr w:type="spellEnd"/>
      <w:r w:rsidRPr="004541C8">
        <w:rPr>
          <w:rFonts w:ascii="Book Antiqua" w:eastAsia="Book Antiqua" w:hAnsi="Book Antiqua" w:cs="Book Antiqua"/>
          <w:color w:val="000000" w:themeColor="text1"/>
        </w:rPr>
        <w:t xml:space="preserve"> T; SUSTAIN-6 Investigators. </w:t>
      </w:r>
      <w:proofErr w:type="gramStart"/>
      <w:r w:rsidRPr="004541C8">
        <w:rPr>
          <w:rFonts w:ascii="Book Antiqua" w:eastAsia="Book Antiqua" w:hAnsi="Book Antiqua" w:cs="Book Antiqua"/>
          <w:color w:val="000000" w:themeColor="text1"/>
        </w:rPr>
        <w:t>Semaglutide and Cardiovascular Outcomes in Patients with 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375</w:t>
      </w:r>
      <w:r w:rsidRPr="004541C8">
        <w:rPr>
          <w:rFonts w:ascii="Book Antiqua" w:eastAsia="Book Antiqua" w:hAnsi="Book Antiqua" w:cs="Book Antiqua"/>
          <w:color w:val="000000" w:themeColor="text1"/>
        </w:rPr>
        <w:t>: 1834-1844 [PMID: 27633186 DOI: 10.1056/NEJMoa1607141]</w:t>
      </w:r>
    </w:p>
    <w:p w14:paraId="1971229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22 </w:t>
      </w:r>
      <w:r w:rsidRPr="004541C8">
        <w:rPr>
          <w:rFonts w:ascii="Book Antiqua" w:eastAsia="Book Antiqua" w:hAnsi="Book Antiqua" w:cs="Book Antiqua"/>
          <w:b/>
          <w:bCs/>
          <w:color w:val="000000" w:themeColor="text1"/>
        </w:rPr>
        <w:t>Gerstein HC</w:t>
      </w:r>
      <w:r w:rsidRPr="004541C8">
        <w:rPr>
          <w:rFonts w:ascii="Book Antiqua" w:eastAsia="Book Antiqua" w:hAnsi="Book Antiqua" w:cs="Book Antiqua"/>
          <w:color w:val="000000" w:themeColor="text1"/>
        </w:rPr>
        <w:t xml:space="preserve">, Colhoun HM, </w:t>
      </w:r>
      <w:proofErr w:type="spellStart"/>
      <w:r w:rsidRPr="004541C8">
        <w:rPr>
          <w:rFonts w:ascii="Book Antiqua" w:eastAsia="Book Antiqua" w:hAnsi="Book Antiqua" w:cs="Book Antiqua"/>
          <w:color w:val="000000" w:themeColor="text1"/>
        </w:rPr>
        <w:t>Dagenais</w:t>
      </w:r>
      <w:proofErr w:type="spellEnd"/>
      <w:r w:rsidRPr="004541C8">
        <w:rPr>
          <w:rFonts w:ascii="Book Antiqua" w:eastAsia="Book Antiqua" w:hAnsi="Book Antiqua" w:cs="Book Antiqua"/>
          <w:color w:val="000000" w:themeColor="text1"/>
        </w:rPr>
        <w:t xml:space="preserve"> GR, Diaz R, </w:t>
      </w:r>
      <w:proofErr w:type="spellStart"/>
      <w:r w:rsidRPr="004541C8">
        <w:rPr>
          <w:rFonts w:ascii="Book Antiqua" w:eastAsia="Book Antiqua" w:hAnsi="Book Antiqua" w:cs="Book Antiqua"/>
          <w:color w:val="000000" w:themeColor="text1"/>
        </w:rPr>
        <w:t>Lakshmanan</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Pais</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Probstfield</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Riesmeyer</w:t>
      </w:r>
      <w:proofErr w:type="spellEnd"/>
      <w:r w:rsidRPr="004541C8">
        <w:rPr>
          <w:rFonts w:ascii="Book Antiqua" w:eastAsia="Book Antiqua" w:hAnsi="Book Antiqua" w:cs="Book Antiqua"/>
          <w:color w:val="000000" w:themeColor="text1"/>
        </w:rPr>
        <w:t xml:space="preserve"> JS, Riddle MC, </w:t>
      </w:r>
      <w:proofErr w:type="spellStart"/>
      <w:r w:rsidRPr="004541C8">
        <w:rPr>
          <w:rFonts w:ascii="Book Antiqua" w:eastAsia="Book Antiqua" w:hAnsi="Book Antiqua" w:cs="Book Antiqua"/>
          <w:color w:val="000000" w:themeColor="text1"/>
        </w:rPr>
        <w:t>Rydén</w:t>
      </w:r>
      <w:proofErr w:type="spellEnd"/>
      <w:r w:rsidRPr="004541C8">
        <w:rPr>
          <w:rFonts w:ascii="Book Antiqua" w:eastAsia="Book Antiqua" w:hAnsi="Book Antiqua" w:cs="Book Antiqua"/>
          <w:color w:val="000000" w:themeColor="text1"/>
        </w:rPr>
        <w:t xml:space="preserve"> L, Xavier D, </w:t>
      </w:r>
      <w:proofErr w:type="spellStart"/>
      <w:r w:rsidRPr="004541C8">
        <w:rPr>
          <w:rFonts w:ascii="Book Antiqua" w:eastAsia="Book Antiqua" w:hAnsi="Book Antiqua" w:cs="Book Antiqua"/>
          <w:color w:val="000000" w:themeColor="text1"/>
        </w:rPr>
        <w:t>Atisso</w:t>
      </w:r>
      <w:proofErr w:type="spellEnd"/>
      <w:r w:rsidRPr="004541C8">
        <w:rPr>
          <w:rFonts w:ascii="Book Antiqua" w:eastAsia="Book Antiqua" w:hAnsi="Book Antiqua" w:cs="Book Antiqua"/>
          <w:color w:val="000000" w:themeColor="text1"/>
        </w:rPr>
        <w:t xml:space="preserve"> CM, </w:t>
      </w:r>
      <w:proofErr w:type="spellStart"/>
      <w:r w:rsidRPr="004541C8">
        <w:rPr>
          <w:rFonts w:ascii="Book Antiqua" w:eastAsia="Book Antiqua" w:hAnsi="Book Antiqua" w:cs="Book Antiqua"/>
          <w:color w:val="000000" w:themeColor="text1"/>
        </w:rPr>
        <w:t>Dyal</w:t>
      </w:r>
      <w:proofErr w:type="spellEnd"/>
      <w:r w:rsidRPr="004541C8">
        <w:rPr>
          <w:rFonts w:ascii="Book Antiqua" w:eastAsia="Book Antiqua" w:hAnsi="Book Antiqua" w:cs="Book Antiqua"/>
          <w:color w:val="000000" w:themeColor="text1"/>
        </w:rPr>
        <w:t xml:space="preserve"> L, Hall S, Rao-</w:t>
      </w:r>
      <w:proofErr w:type="spellStart"/>
      <w:r w:rsidRPr="004541C8">
        <w:rPr>
          <w:rFonts w:ascii="Book Antiqua" w:eastAsia="Book Antiqua" w:hAnsi="Book Antiqua" w:cs="Book Antiqua"/>
          <w:color w:val="000000" w:themeColor="text1"/>
        </w:rPr>
        <w:t>Melacini</w:t>
      </w:r>
      <w:proofErr w:type="spellEnd"/>
      <w:r w:rsidRPr="004541C8">
        <w:rPr>
          <w:rFonts w:ascii="Book Antiqua" w:eastAsia="Book Antiqua" w:hAnsi="Book Antiqua" w:cs="Book Antiqua"/>
          <w:color w:val="000000" w:themeColor="text1"/>
        </w:rPr>
        <w:t xml:space="preserve"> P, Wong G, </w:t>
      </w:r>
      <w:proofErr w:type="spellStart"/>
      <w:r w:rsidRPr="004541C8">
        <w:rPr>
          <w:rFonts w:ascii="Book Antiqua" w:eastAsia="Book Antiqua" w:hAnsi="Book Antiqua" w:cs="Book Antiqua"/>
          <w:color w:val="000000" w:themeColor="text1"/>
        </w:rPr>
        <w:t>Avezum</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Basile</w:t>
      </w:r>
      <w:proofErr w:type="spellEnd"/>
      <w:r w:rsidRPr="004541C8">
        <w:rPr>
          <w:rFonts w:ascii="Book Antiqua" w:eastAsia="Book Antiqua" w:hAnsi="Book Antiqua" w:cs="Book Antiqua"/>
          <w:color w:val="000000" w:themeColor="text1"/>
        </w:rPr>
        <w:t xml:space="preserve"> J, Chung N, </w:t>
      </w:r>
      <w:proofErr w:type="spellStart"/>
      <w:r w:rsidRPr="004541C8">
        <w:rPr>
          <w:rFonts w:ascii="Book Antiqua" w:eastAsia="Book Antiqua" w:hAnsi="Book Antiqua" w:cs="Book Antiqua"/>
          <w:color w:val="000000" w:themeColor="text1"/>
        </w:rPr>
        <w:t>Conget</w:t>
      </w:r>
      <w:proofErr w:type="spellEnd"/>
      <w:r w:rsidRPr="004541C8">
        <w:rPr>
          <w:rFonts w:ascii="Book Antiqua" w:eastAsia="Book Antiqua" w:hAnsi="Book Antiqua" w:cs="Book Antiqua"/>
          <w:color w:val="000000" w:themeColor="text1"/>
        </w:rPr>
        <w:t xml:space="preserve"> I, Cushman WC, Franek E, </w:t>
      </w:r>
      <w:proofErr w:type="spellStart"/>
      <w:r w:rsidRPr="004541C8">
        <w:rPr>
          <w:rFonts w:ascii="Book Antiqua" w:eastAsia="Book Antiqua" w:hAnsi="Book Antiqua" w:cs="Book Antiqua"/>
          <w:color w:val="000000" w:themeColor="text1"/>
        </w:rPr>
        <w:t>Hancu</w:t>
      </w:r>
      <w:proofErr w:type="spellEnd"/>
      <w:r w:rsidRPr="004541C8">
        <w:rPr>
          <w:rFonts w:ascii="Book Antiqua" w:eastAsia="Book Antiqua" w:hAnsi="Book Antiqua" w:cs="Book Antiqua"/>
          <w:color w:val="000000" w:themeColor="text1"/>
        </w:rPr>
        <w:t xml:space="preserve"> N, </w:t>
      </w:r>
      <w:proofErr w:type="spellStart"/>
      <w:r w:rsidRPr="004541C8">
        <w:rPr>
          <w:rFonts w:ascii="Book Antiqua" w:eastAsia="Book Antiqua" w:hAnsi="Book Antiqua" w:cs="Book Antiqua"/>
          <w:color w:val="000000" w:themeColor="text1"/>
        </w:rPr>
        <w:t>Hanefeld</w:t>
      </w:r>
      <w:proofErr w:type="spellEnd"/>
      <w:r w:rsidRPr="004541C8">
        <w:rPr>
          <w:rFonts w:ascii="Book Antiqua" w:eastAsia="Book Antiqua" w:hAnsi="Book Antiqua" w:cs="Book Antiqua"/>
          <w:color w:val="000000" w:themeColor="text1"/>
        </w:rPr>
        <w:t xml:space="preserve"> M, Holt S, </w:t>
      </w:r>
      <w:proofErr w:type="spellStart"/>
      <w:r w:rsidRPr="004541C8">
        <w:rPr>
          <w:rFonts w:ascii="Book Antiqua" w:eastAsia="Book Antiqua" w:hAnsi="Book Antiqua" w:cs="Book Antiqua"/>
          <w:color w:val="000000" w:themeColor="text1"/>
        </w:rPr>
        <w:t>Jansky</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Keltai</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Lanas</w:t>
      </w:r>
      <w:proofErr w:type="spellEnd"/>
      <w:r w:rsidRPr="004541C8">
        <w:rPr>
          <w:rFonts w:ascii="Book Antiqua" w:eastAsia="Book Antiqua" w:hAnsi="Book Antiqua" w:cs="Book Antiqua"/>
          <w:color w:val="000000" w:themeColor="text1"/>
        </w:rPr>
        <w:t xml:space="preserve"> F, Leiter LA, Lopez-Jaramillo P, Cardona Munoz EG, </w:t>
      </w:r>
      <w:proofErr w:type="spellStart"/>
      <w:r w:rsidRPr="004541C8">
        <w:rPr>
          <w:rFonts w:ascii="Book Antiqua" w:eastAsia="Book Antiqua" w:hAnsi="Book Antiqua" w:cs="Book Antiqua"/>
          <w:color w:val="000000" w:themeColor="text1"/>
        </w:rPr>
        <w:t>Pirags</w:t>
      </w:r>
      <w:proofErr w:type="spellEnd"/>
      <w:r w:rsidRPr="004541C8">
        <w:rPr>
          <w:rFonts w:ascii="Book Antiqua" w:eastAsia="Book Antiqua" w:hAnsi="Book Antiqua" w:cs="Book Antiqua"/>
          <w:color w:val="000000" w:themeColor="text1"/>
        </w:rPr>
        <w:t xml:space="preserve"> V, </w:t>
      </w:r>
      <w:proofErr w:type="spellStart"/>
      <w:r w:rsidRPr="004541C8">
        <w:rPr>
          <w:rFonts w:ascii="Book Antiqua" w:eastAsia="Book Antiqua" w:hAnsi="Book Antiqua" w:cs="Book Antiqua"/>
          <w:color w:val="000000" w:themeColor="text1"/>
        </w:rPr>
        <w:t>Pogosova</w:t>
      </w:r>
      <w:proofErr w:type="spellEnd"/>
      <w:r w:rsidRPr="004541C8">
        <w:rPr>
          <w:rFonts w:ascii="Book Antiqua" w:eastAsia="Book Antiqua" w:hAnsi="Book Antiqua" w:cs="Book Antiqua"/>
          <w:color w:val="000000" w:themeColor="text1"/>
        </w:rPr>
        <w:t xml:space="preserve"> N, </w:t>
      </w:r>
      <w:proofErr w:type="spellStart"/>
      <w:r w:rsidRPr="004541C8">
        <w:rPr>
          <w:rFonts w:ascii="Book Antiqua" w:eastAsia="Book Antiqua" w:hAnsi="Book Antiqua" w:cs="Book Antiqua"/>
          <w:color w:val="000000" w:themeColor="text1"/>
        </w:rPr>
        <w:t>Raubenheimer</w:t>
      </w:r>
      <w:proofErr w:type="spellEnd"/>
      <w:r w:rsidRPr="004541C8">
        <w:rPr>
          <w:rFonts w:ascii="Book Antiqua" w:eastAsia="Book Antiqua" w:hAnsi="Book Antiqua" w:cs="Book Antiqua"/>
          <w:color w:val="000000" w:themeColor="text1"/>
        </w:rPr>
        <w:t xml:space="preserve"> PJ, Shaw JE, </w:t>
      </w:r>
      <w:proofErr w:type="spellStart"/>
      <w:r w:rsidRPr="004541C8">
        <w:rPr>
          <w:rFonts w:ascii="Book Antiqua" w:eastAsia="Book Antiqua" w:hAnsi="Book Antiqua" w:cs="Book Antiqua"/>
          <w:color w:val="000000" w:themeColor="text1"/>
        </w:rPr>
        <w:t>Sheu</w:t>
      </w:r>
      <w:proofErr w:type="spellEnd"/>
      <w:r w:rsidRPr="004541C8">
        <w:rPr>
          <w:rFonts w:ascii="Book Antiqua" w:eastAsia="Book Antiqua" w:hAnsi="Book Antiqua" w:cs="Book Antiqua"/>
          <w:color w:val="000000" w:themeColor="text1"/>
        </w:rPr>
        <w:t xml:space="preserve"> WH, </w:t>
      </w:r>
      <w:proofErr w:type="spellStart"/>
      <w:r w:rsidRPr="004541C8">
        <w:rPr>
          <w:rFonts w:ascii="Book Antiqua" w:eastAsia="Book Antiqua" w:hAnsi="Book Antiqua" w:cs="Book Antiqua"/>
          <w:color w:val="000000" w:themeColor="text1"/>
        </w:rPr>
        <w:t>Temelkova-Kurktschiev</w:t>
      </w:r>
      <w:proofErr w:type="spellEnd"/>
      <w:r w:rsidRPr="004541C8">
        <w:rPr>
          <w:rFonts w:ascii="Book Antiqua" w:eastAsia="Book Antiqua" w:hAnsi="Book Antiqua" w:cs="Book Antiqua"/>
          <w:color w:val="000000" w:themeColor="text1"/>
        </w:rPr>
        <w:t xml:space="preserve"> T; REWIND Investigators. Dulaglutide and cardiovascular outcomes in type 2 diabetes (REWIND): a double-blind,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placebo-controlled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121-130 [PMID: 31189511 DOI: 10.1016/S0140-6736(19)31149-3]</w:t>
      </w:r>
    </w:p>
    <w:p w14:paraId="244954F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23 </w:t>
      </w:r>
      <w:proofErr w:type="spellStart"/>
      <w:r w:rsidRPr="004541C8">
        <w:rPr>
          <w:rFonts w:ascii="Book Antiqua" w:eastAsia="Book Antiqua" w:hAnsi="Book Antiqua" w:cs="Book Antiqua"/>
          <w:b/>
          <w:bCs/>
          <w:color w:val="000000" w:themeColor="text1"/>
        </w:rPr>
        <w:t>Zinman</w:t>
      </w:r>
      <w:proofErr w:type="spellEnd"/>
      <w:r w:rsidRPr="004541C8">
        <w:rPr>
          <w:rFonts w:ascii="Book Antiqua" w:eastAsia="Book Antiqua" w:hAnsi="Book Antiqua" w:cs="Book Antiqua"/>
          <w:b/>
          <w:bCs/>
          <w:color w:val="000000" w:themeColor="text1"/>
        </w:rPr>
        <w:t xml:space="preserve">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Wanner</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Lachin</w:t>
      </w:r>
      <w:proofErr w:type="spellEnd"/>
      <w:r w:rsidRPr="004541C8">
        <w:rPr>
          <w:rFonts w:ascii="Book Antiqua" w:eastAsia="Book Antiqua" w:hAnsi="Book Antiqua" w:cs="Book Antiqua"/>
          <w:color w:val="000000" w:themeColor="text1"/>
        </w:rPr>
        <w:t xml:space="preserve"> JM, Fitchett D, </w:t>
      </w:r>
      <w:proofErr w:type="spellStart"/>
      <w:r w:rsidRPr="004541C8">
        <w:rPr>
          <w:rFonts w:ascii="Book Antiqua" w:eastAsia="Book Antiqua" w:hAnsi="Book Antiqua" w:cs="Book Antiqua"/>
          <w:color w:val="000000" w:themeColor="text1"/>
        </w:rPr>
        <w:t>Bluhmki</w:t>
      </w:r>
      <w:proofErr w:type="spellEnd"/>
      <w:r w:rsidRPr="004541C8">
        <w:rPr>
          <w:rFonts w:ascii="Book Antiqua" w:eastAsia="Book Antiqua" w:hAnsi="Book Antiqua" w:cs="Book Antiqua"/>
          <w:color w:val="000000" w:themeColor="text1"/>
        </w:rPr>
        <w:t xml:space="preserve"> E, </w:t>
      </w:r>
      <w:proofErr w:type="spellStart"/>
      <w:r w:rsidRPr="004541C8">
        <w:rPr>
          <w:rFonts w:ascii="Book Antiqua" w:eastAsia="Book Antiqua" w:hAnsi="Book Antiqua" w:cs="Book Antiqua"/>
          <w:color w:val="000000" w:themeColor="text1"/>
        </w:rPr>
        <w:t>Hantel</w:t>
      </w:r>
      <w:proofErr w:type="spellEnd"/>
      <w:r w:rsidRPr="004541C8">
        <w:rPr>
          <w:rFonts w:ascii="Book Antiqua" w:eastAsia="Book Antiqua" w:hAnsi="Book Antiqua" w:cs="Book Antiqua"/>
          <w:color w:val="000000" w:themeColor="text1"/>
        </w:rPr>
        <w:t xml:space="preserve"> S, </w:t>
      </w:r>
      <w:proofErr w:type="spellStart"/>
      <w:r w:rsidRPr="004541C8">
        <w:rPr>
          <w:rFonts w:ascii="Book Antiqua" w:eastAsia="Book Antiqua" w:hAnsi="Book Antiqua" w:cs="Book Antiqua"/>
          <w:color w:val="000000" w:themeColor="text1"/>
        </w:rPr>
        <w:t>Mattheus</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Devins</w:t>
      </w:r>
      <w:proofErr w:type="spellEnd"/>
      <w:r w:rsidRPr="004541C8">
        <w:rPr>
          <w:rFonts w:ascii="Book Antiqua" w:eastAsia="Book Antiqua" w:hAnsi="Book Antiqua" w:cs="Book Antiqua"/>
          <w:color w:val="000000" w:themeColor="text1"/>
        </w:rPr>
        <w:t xml:space="preserve"> T, Johansen OE, </w:t>
      </w:r>
      <w:proofErr w:type="spellStart"/>
      <w:r w:rsidRPr="004541C8">
        <w:rPr>
          <w:rFonts w:ascii="Book Antiqua" w:eastAsia="Book Antiqua" w:hAnsi="Book Antiqua" w:cs="Book Antiqua"/>
          <w:color w:val="000000" w:themeColor="text1"/>
        </w:rPr>
        <w:t>Woerle</w:t>
      </w:r>
      <w:proofErr w:type="spellEnd"/>
      <w:r w:rsidRPr="004541C8">
        <w:rPr>
          <w:rFonts w:ascii="Book Antiqua" w:eastAsia="Book Antiqua" w:hAnsi="Book Antiqua" w:cs="Book Antiqua"/>
          <w:color w:val="000000" w:themeColor="text1"/>
        </w:rPr>
        <w:t xml:space="preserve"> HJ, </w:t>
      </w:r>
      <w:proofErr w:type="spellStart"/>
      <w:r w:rsidRPr="004541C8">
        <w:rPr>
          <w:rFonts w:ascii="Book Antiqua" w:eastAsia="Book Antiqua" w:hAnsi="Book Antiqua" w:cs="Book Antiqua"/>
          <w:color w:val="000000" w:themeColor="text1"/>
        </w:rPr>
        <w:t>Broedl</w:t>
      </w:r>
      <w:proofErr w:type="spellEnd"/>
      <w:r w:rsidRPr="004541C8">
        <w:rPr>
          <w:rFonts w:ascii="Book Antiqua" w:eastAsia="Book Antiqua" w:hAnsi="Book Antiqua" w:cs="Book Antiqua"/>
          <w:color w:val="000000" w:themeColor="text1"/>
        </w:rPr>
        <w:t xml:space="preserve"> UC, </w:t>
      </w:r>
      <w:proofErr w:type="spellStart"/>
      <w:r w:rsidRPr="004541C8">
        <w:rPr>
          <w:rFonts w:ascii="Book Antiqua" w:eastAsia="Book Antiqua" w:hAnsi="Book Antiqua" w:cs="Book Antiqua"/>
          <w:color w:val="000000" w:themeColor="text1"/>
        </w:rPr>
        <w:t>Inzucchi</w:t>
      </w:r>
      <w:proofErr w:type="spellEnd"/>
      <w:r w:rsidRPr="004541C8">
        <w:rPr>
          <w:rFonts w:ascii="Book Antiqua" w:eastAsia="Book Antiqua" w:hAnsi="Book Antiqua" w:cs="Book Antiqua"/>
          <w:color w:val="000000" w:themeColor="text1"/>
        </w:rPr>
        <w:t xml:space="preserve"> SE; EMPA-REG OUTCOME Investigators. </w:t>
      </w:r>
      <w:proofErr w:type="gramStart"/>
      <w:r w:rsidRPr="004541C8">
        <w:rPr>
          <w:rFonts w:ascii="Book Antiqua" w:eastAsia="Book Antiqua" w:hAnsi="Book Antiqua" w:cs="Book Antiqua"/>
          <w:color w:val="000000" w:themeColor="text1"/>
        </w:rPr>
        <w:t>Empagliflozin, Cardiovascular Outcomes, and Mortality in 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2015; </w:t>
      </w:r>
      <w:r w:rsidRPr="004541C8">
        <w:rPr>
          <w:rFonts w:ascii="Book Antiqua" w:eastAsia="Book Antiqua" w:hAnsi="Book Antiqua" w:cs="Book Antiqua"/>
          <w:b/>
          <w:bCs/>
          <w:color w:val="000000" w:themeColor="text1"/>
        </w:rPr>
        <w:t>373</w:t>
      </w:r>
      <w:r w:rsidRPr="004541C8">
        <w:rPr>
          <w:rFonts w:ascii="Book Antiqua" w:eastAsia="Book Antiqua" w:hAnsi="Book Antiqua" w:cs="Book Antiqua"/>
          <w:color w:val="000000" w:themeColor="text1"/>
        </w:rPr>
        <w:t>: 2117-2128 [PMID: 26378978 DOI: 10.1056/NEJMoa1504720]</w:t>
      </w:r>
    </w:p>
    <w:p w14:paraId="2C4DA4E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24 </w:t>
      </w:r>
      <w:r w:rsidRPr="004541C8">
        <w:rPr>
          <w:rFonts w:ascii="Book Antiqua" w:eastAsia="Book Antiqua" w:hAnsi="Book Antiqua" w:cs="Book Antiqua"/>
          <w:b/>
          <w:bCs/>
          <w:color w:val="000000" w:themeColor="text1"/>
        </w:rPr>
        <w:t>Neal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Perkovic</w:t>
      </w:r>
      <w:proofErr w:type="spellEnd"/>
      <w:r w:rsidRPr="004541C8">
        <w:rPr>
          <w:rFonts w:ascii="Book Antiqua" w:eastAsia="Book Antiqua" w:hAnsi="Book Antiqua" w:cs="Book Antiqua"/>
          <w:color w:val="000000" w:themeColor="text1"/>
        </w:rPr>
        <w:t xml:space="preserve"> V, Mahaffey KW, de </w:t>
      </w:r>
      <w:proofErr w:type="spellStart"/>
      <w:r w:rsidRPr="004541C8">
        <w:rPr>
          <w:rFonts w:ascii="Book Antiqua" w:eastAsia="Book Antiqua" w:hAnsi="Book Antiqua" w:cs="Book Antiqua"/>
          <w:color w:val="000000" w:themeColor="text1"/>
        </w:rPr>
        <w:t>Zeeuw</w:t>
      </w:r>
      <w:proofErr w:type="spellEnd"/>
      <w:r w:rsidRPr="004541C8">
        <w:rPr>
          <w:rFonts w:ascii="Book Antiqua" w:eastAsia="Book Antiqua" w:hAnsi="Book Antiqua" w:cs="Book Antiqua"/>
          <w:color w:val="000000" w:themeColor="text1"/>
        </w:rPr>
        <w:t xml:space="preserve"> D, Fulcher G, </w:t>
      </w:r>
      <w:proofErr w:type="spellStart"/>
      <w:r w:rsidRPr="004541C8">
        <w:rPr>
          <w:rFonts w:ascii="Book Antiqua" w:eastAsia="Book Antiqua" w:hAnsi="Book Antiqua" w:cs="Book Antiqua"/>
          <w:color w:val="000000" w:themeColor="text1"/>
        </w:rPr>
        <w:t>Erondu</w:t>
      </w:r>
      <w:proofErr w:type="spellEnd"/>
      <w:r w:rsidRPr="004541C8">
        <w:rPr>
          <w:rFonts w:ascii="Book Antiqua" w:eastAsia="Book Antiqua" w:hAnsi="Book Antiqua" w:cs="Book Antiqua"/>
          <w:color w:val="000000" w:themeColor="text1"/>
        </w:rPr>
        <w:t xml:space="preserve"> N, Shaw W, Law G, Desai M, Matthews DR; CANVAS Program Collaborative Group. </w:t>
      </w:r>
      <w:proofErr w:type="gramStart"/>
      <w:r w:rsidRPr="004541C8">
        <w:rPr>
          <w:rFonts w:ascii="Book Antiqua" w:eastAsia="Book Antiqua" w:hAnsi="Book Antiqua" w:cs="Book Antiqua"/>
          <w:color w:val="000000" w:themeColor="text1"/>
        </w:rPr>
        <w:t>Canagliflozin and Cardiovascular and Renal Events in 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377</w:t>
      </w:r>
      <w:r w:rsidRPr="004541C8">
        <w:rPr>
          <w:rFonts w:ascii="Book Antiqua" w:eastAsia="Book Antiqua" w:hAnsi="Book Antiqua" w:cs="Book Antiqua"/>
          <w:color w:val="000000" w:themeColor="text1"/>
        </w:rPr>
        <w:t>: 644-657 [PMID: 28605608 DOI: 10.1056/NEJMoa1611925]</w:t>
      </w:r>
    </w:p>
    <w:p w14:paraId="39BD1B7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25 </w:t>
      </w:r>
      <w:proofErr w:type="spellStart"/>
      <w:r w:rsidRPr="004541C8">
        <w:rPr>
          <w:rFonts w:ascii="Book Antiqua" w:eastAsia="Book Antiqua" w:hAnsi="Book Antiqua" w:cs="Book Antiqua"/>
          <w:b/>
          <w:bCs/>
          <w:color w:val="000000" w:themeColor="text1"/>
        </w:rPr>
        <w:t>Wiviott</w:t>
      </w:r>
      <w:proofErr w:type="spellEnd"/>
      <w:r w:rsidRPr="004541C8">
        <w:rPr>
          <w:rFonts w:ascii="Book Antiqua" w:eastAsia="Book Antiqua" w:hAnsi="Book Antiqua" w:cs="Book Antiqua"/>
          <w:b/>
          <w:bCs/>
          <w:color w:val="000000" w:themeColor="text1"/>
        </w:rPr>
        <w:t xml:space="preserve"> SD</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Raz</w:t>
      </w:r>
      <w:proofErr w:type="spellEnd"/>
      <w:r w:rsidRPr="004541C8">
        <w:rPr>
          <w:rFonts w:ascii="Book Antiqua" w:eastAsia="Book Antiqua" w:hAnsi="Book Antiqua" w:cs="Book Antiqua"/>
          <w:color w:val="000000" w:themeColor="text1"/>
        </w:rPr>
        <w:t xml:space="preserve"> I, </w:t>
      </w:r>
      <w:proofErr w:type="spellStart"/>
      <w:r w:rsidRPr="004541C8">
        <w:rPr>
          <w:rFonts w:ascii="Book Antiqua" w:eastAsia="Book Antiqua" w:hAnsi="Book Antiqua" w:cs="Book Antiqua"/>
          <w:color w:val="000000" w:themeColor="text1"/>
        </w:rPr>
        <w:t>Bonaca</w:t>
      </w:r>
      <w:proofErr w:type="spellEnd"/>
      <w:r w:rsidRPr="004541C8">
        <w:rPr>
          <w:rFonts w:ascii="Book Antiqua" w:eastAsia="Book Antiqua" w:hAnsi="Book Antiqua" w:cs="Book Antiqua"/>
          <w:color w:val="000000" w:themeColor="text1"/>
        </w:rPr>
        <w:t xml:space="preserve"> MP,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Kato ET, Cahn A, Silverman MG, </w:t>
      </w:r>
      <w:proofErr w:type="spellStart"/>
      <w:r w:rsidRPr="004541C8">
        <w:rPr>
          <w:rFonts w:ascii="Book Antiqua" w:eastAsia="Book Antiqua" w:hAnsi="Book Antiqua" w:cs="Book Antiqua"/>
          <w:color w:val="000000" w:themeColor="text1"/>
        </w:rPr>
        <w:t>Zelniker</w:t>
      </w:r>
      <w:proofErr w:type="spellEnd"/>
      <w:r w:rsidRPr="004541C8">
        <w:rPr>
          <w:rFonts w:ascii="Book Antiqua" w:eastAsia="Book Antiqua" w:hAnsi="Book Antiqua" w:cs="Book Antiqua"/>
          <w:color w:val="000000" w:themeColor="text1"/>
        </w:rPr>
        <w:t xml:space="preserve"> TA, </w:t>
      </w:r>
      <w:proofErr w:type="spellStart"/>
      <w:r w:rsidRPr="004541C8">
        <w:rPr>
          <w:rFonts w:ascii="Book Antiqua" w:eastAsia="Book Antiqua" w:hAnsi="Book Antiqua" w:cs="Book Antiqua"/>
          <w:color w:val="000000" w:themeColor="text1"/>
        </w:rPr>
        <w:t>Kuder</w:t>
      </w:r>
      <w:proofErr w:type="spellEnd"/>
      <w:r w:rsidRPr="004541C8">
        <w:rPr>
          <w:rFonts w:ascii="Book Antiqua" w:eastAsia="Book Antiqua" w:hAnsi="Book Antiqua" w:cs="Book Antiqua"/>
          <w:color w:val="000000" w:themeColor="text1"/>
        </w:rPr>
        <w:t xml:space="preserve"> JF, Murphy SA, Bhatt DL, Leiter LA, McGuire DK, Wilding JPH, Ruff CT, </w:t>
      </w:r>
      <w:proofErr w:type="spellStart"/>
      <w:r w:rsidRPr="004541C8">
        <w:rPr>
          <w:rFonts w:ascii="Book Antiqua" w:eastAsia="Book Antiqua" w:hAnsi="Book Antiqua" w:cs="Book Antiqua"/>
          <w:color w:val="000000" w:themeColor="text1"/>
        </w:rPr>
        <w:t>Gause</w:t>
      </w:r>
      <w:proofErr w:type="spellEnd"/>
      <w:r w:rsidRPr="004541C8">
        <w:rPr>
          <w:rFonts w:ascii="Book Antiqua" w:eastAsia="Book Antiqua" w:hAnsi="Book Antiqua" w:cs="Book Antiqua"/>
          <w:color w:val="000000" w:themeColor="text1"/>
        </w:rPr>
        <w:t xml:space="preserve">-Nilsson IAM, </w:t>
      </w:r>
      <w:proofErr w:type="spellStart"/>
      <w:r w:rsidRPr="004541C8">
        <w:rPr>
          <w:rFonts w:ascii="Book Antiqua" w:eastAsia="Book Antiqua" w:hAnsi="Book Antiqua" w:cs="Book Antiqua"/>
          <w:color w:val="000000" w:themeColor="text1"/>
        </w:rPr>
        <w:t>Fredriksson</w:t>
      </w:r>
      <w:proofErr w:type="spellEnd"/>
      <w:r w:rsidRPr="004541C8">
        <w:rPr>
          <w:rFonts w:ascii="Book Antiqua" w:eastAsia="Book Antiqua" w:hAnsi="Book Antiqua" w:cs="Book Antiqua"/>
          <w:color w:val="000000" w:themeColor="text1"/>
        </w:rPr>
        <w:t xml:space="preserve"> M, Johansson PA, </w:t>
      </w:r>
      <w:proofErr w:type="spellStart"/>
      <w:r w:rsidRPr="004541C8">
        <w:rPr>
          <w:rFonts w:ascii="Book Antiqua" w:eastAsia="Book Antiqua" w:hAnsi="Book Antiqua" w:cs="Book Antiqua"/>
          <w:color w:val="000000" w:themeColor="text1"/>
        </w:rPr>
        <w:t>Langkilde</w:t>
      </w:r>
      <w:proofErr w:type="spellEnd"/>
      <w:r w:rsidRPr="004541C8">
        <w:rPr>
          <w:rFonts w:ascii="Book Antiqua" w:eastAsia="Book Antiqua" w:hAnsi="Book Antiqua" w:cs="Book Antiqua"/>
          <w:color w:val="000000" w:themeColor="text1"/>
        </w:rPr>
        <w:t xml:space="preserve"> AM, </w:t>
      </w:r>
      <w:proofErr w:type="spellStart"/>
      <w:r w:rsidRPr="004541C8">
        <w:rPr>
          <w:rFonts w:ascii="Book Antiqua" w:eastAsia="Book Antiqua" w:hAnsi="Book Antiqua" w:cs="Book Antiqua"/>
          <w:color w:val="000000" w:themeColor="text1"/>
        </w:rPr>
        <w:t>Sabatine</w:t>
      </w:r>
      <w:proofErr w:type="spellEnd"/>
      <w:r w:rsidRPr="004541C8">
        <w:rPr>
          <w:rFonts w:ascii="Book Antiqua" w:eastAsia="Book Antiqua" w:hAnsi="Book Antiqua" w:cs="Book Antiqua"/>
          <w:color w:val="000000" w:themeColor="text1"/>
        </w:rPr>
        <w:t xml:space="preserve"> MS; DECLARE–TIMI 58 Investigators. </w:t>
      </w:r>
      <w:proofErr w:type="gramStart"/>
      <w:r w:rsidRPr="004541C8">
        <w:rPr>
          <w:rFonts w:ascii="Book Antiqua" w:eastAsia="Book Antiqua" w:hAnsi="Book Antiqua" w:cs="Book Antiqua"/>
          <w:color w:val="000000" w:themeColor="text1"/>
        </w:rPr>
        <w:t xml:space="preserve">Dapagliflozin and Cardiovascular Outcomes in </w:t>
      </w:r>
      <w:r w:rsidRPr="004541C8">
        <w:rPr>
          <w:rFonts w:ascii="Book Antiqua" w:eastAsia="Book Antiqua" w:hAnsi="Book Antiqua" w:cs="Book Antiqua"/>
          <w:color w:val="000000" w:themeColor="text1"/>
        </w:rPr>
        <w:lastRenderedPageBreak/>
        <w:t>Type 2 Diabetes.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380</w:t>
      </w:r>
      <w:r w:rsidRPr="004541C8">
        <w:rPr>
          <w:rFonts w:ascii="Book Antiqua" w:eastAsia="Book Antiqua" w:hAnsi="Book Antiqua" w:cs="Book Antiqua"/>
          <w:color w:val="000000" w:themeColor="text1"/>
        </w:rPr>
        <w:t>: 347-357 [PMID: 30415602 DOI: 10.1056/NEJMoa1812389]</w:t>
      </w:r>
    </w:p>
    <w:p w14:paraId="26D2CE3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26 </w:t>
      </w:r>
      <w:proofErr w:type="spellStart"/>
      <w:r w:rsidRPr="004541C8">
        <w:rPr>
          <w:rFonts w:ascii="Book Antiqua" w:eastAsia="Book Antiqua" w:hAnsi="Book Antiqua" w:cs="Book Antiqua"/>
          <w:b/>
          <w:bCs/>
          <w:color w:val="000000" w:themeColor="text1"/>
        </w:rPr>
        <w:t>Zelniker</w:t>
      </w:r>
      <w:proofErr w:type="spellEnd"/>
      <w:r w:rsidRPr="004541C8">
        <w:rPr>
          <w:rFonts w:ascii="Book Antiqua" w:eastAsia="Book Antiqua" w:hAnsi="Book Antiqua" w:cs="Book Antiqua"/>
          <w:b/>
          <w:bCs/>
          <w:color w:val="000000" w:themeColor="text1"/>
        </w:rPr>
        <w:t xml:space="preserve"> TA</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Wiviott</w:t>
      </w:r>
      <w:proofErr w:type="spellEnd"/>
      <w:r w:rsidRPr="004541C8">
        <w:rPr>
          <w:rFonts w:ascii="Book Antiqua" w:eastAsia="Book Antiqua" w:hAnsi="Book Antiqua" w:cs="Book Antiqua"/>
          <w:color w:val="000000" w:themeColor="text1"/>
        </w:rPr>
        <w:t xml:space="preserve"> SD, </w:t>
      </w:r>
      <w:proofErr w:type="spellStart"/>
      <w:r w:rsidRPr="004541C8">
        <w:rPr>
          <w:rFonts w:ascii="Book Antiqua" w:eastAsia="Book Antiqua" w:hAnsi="Book Antiqua" w:cs="Book Antiqua"/>
          <w:color w:val="000000" w:themeColor="text1"/>
        </w:rPr>
        <w:t>Raz</w:t>
      </w:r>
      <w:proofErr w:type="spellEnd"/>
      <w:r w:rsidRPr="004541C8">
        <w:rPr>
          <w:rFonts w:ascii="Book Antiqua" w:eastAsia="Book Antiqua" w:hAnsi="Book Antiqua" w:cs="Book Antiqua"/>
          <w:color w:val="000000" w:themeColor="text1"/>
        </w:rPr>
        <w:t xml:space="preserve"> I, </w:t>
      </w:r>
      <w:proofErr w:type="spellStart"/>
      <w:r w:rsidRPr="004541C8">
        <w:rPr>
          <w:rFonts w:ascii="Book Antiqua" w:eastAsia="Book Antiqua" w:hAnsi="Book Antiqua" w:cs="Book Antiqua"/>
          <w:color w:val="000000" w:themeColor="text1"/>
        </w:rPr>
        <w:t>Im</w:t>
      </w:r>
      <w:proofErr w:type="spellEnd"/>
      <w:r w:rsidRPr="004541C8">
        <w:rPr>
          <w:rFonts w:ascii="Book Antiqua" w:eastAsia="Book Antiqua" w:hAnsi="Book Antiqua" w:cs="Book Antiqua"/>
          <w:color w:val="000000" w:themeColor="text1"/>
        </w:rPr>
        <w:t xml:space="preserve"> K, Goodrich EL, Furtado RHM, </w:t>
      </w:r>
      <w:proofErr w:type="spellStart"/>
      <w:r w:rsidRPr="004541C8">
        <w:rPr>
          <w:rFonts w:ascii="Book Antiqua" w:eastAsia="Book Antiqua" w:hAnsi="Book Antiqua" w:cs="Book Antiqua"/>
          <w:color w:val="000000" w:themeColor="text1"/>
        </w:rPr>
        <w:t>Bonaca</w:t>
      </w:r>
      <w:proofErr w:type="spellEnd"/>
      <w:r w:rsidRPr="004541C8">
        <w:rPr>
          <w:rFonts w:ascii="Book Antiqua" w:eastAsia="Book Antiqua" w:hAnsi="Book Antiqua" w:cs="Book Antiqua"/>
          <w:color w:val="000000" w:themeColor="text1"/>
        </w:rPr>
        <w:t xml:space="preserve"> MP,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Kato ET, Cahn A, Bhatt DL, Leiter LA, McGuire DK, Wilding JPH, </w:t>
      </w:r>
      <w:proofErr w:type="spellStart"/>
      <w:r w:rsidRPr="004541C8">
        <w:rPr>
          <w:rFonts w:ascii="Book Antiqua" w:eastAsia="Book Antiqua" w:hAnsi="Book Antiqua" w:cs="Book Antiqua"/>
          <w:color w:val="000000" w:themeColor="text1"/>
        </w:rPr>
        <w:t>Sabatine</w:t>
      </w:r>
      <w:proofErr w:type="spellEnd"/>
      <w:r w:rsidRPr="004541C8">
        <w:rPr>
          <w:rFonts w:ascii="Book Antiqua" w:eastAsia="Book Antiqua" w:hAnsi="Book Antiqua" w:cs="Book Antiqua"/>
          <w:color w:val="000000" w:themeColor="text1"/>
        </w:rPr>
        <w:t xml:space="preserve"> MS. Comparison of the Effects of Glucagon-Like Peptide Receptor Agonists and Sodium-Glucose Cotransporter 2 Inhibitors for Prevention of Major Adverse Cardiovascular and Renal Outcomes in Type 2 Diabetes Mellitus. </w:t>
      </w:r>
      <w:r w:rsidRPr="004541C8">
        <w:rPr>
          <w:rFonts w:ascii="Book Antiqua" w:eastAsia="Book Antiqua" w:hAnsi="Book Antiqua" w:cs="Book Antiqua"/>
          <w:i/>
          <w:iCs/>
          <w:color w:val="000000" w:themeColor="text1"/>
        </w:rPr>
        <w:t>Circulation</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139</w:t>
      </w:r>
      <w:r w:rsidRPr="004541C8">
        <w:rPr>
          <w:rFonts w:ascii="Book Antiqua" w:eastAsia="Book Antiqua" w:hAnsi="Book Antiqua" w:cs="Book Antiqua"/>
          <w:color w:val="000000" w:themeColor="text1"/>
        </w:rPr>
        <w:t>: 2022-2031 [PMID: 30786725 DOI: 10.1161/CIRCULATIONAHA.118.038868]</w:t>
      </w:r>
    </w:p>
    <w:p w14:paraId="003DD9B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27 </w:t>
      </w:r>
      <w:proofErr w:type="spellStart"/>
      <w:r w:rsidRPr="004541C8">
        <w:rPr>
          <w:rFonts w:ascii="Book Antiqua" w:eastAsia="Book Antiqua" w:hAnsi="Book Antiqua" w:cs="Book Antiqua"/>
          <w:b/>
          <w:bCs/>
          <w:color w:val="000000" w:themeColor="text1"/>
        </w:rPr>
        <w:t>Ninčević</w:t>
      </w:r>
      <w:proofErr w:type="spellEnd"/>
      <w:r w:rsidRPr="004541C8">
        <w:rPr>
          <w:rFonts w:ascii="Book Antiqua" w:eastAsia="Book Antiqua" w:hAnsi="Book Antiqua" w:cs="Book Antiqua"/>
          <w:b/>
          <w:bCs/>
          <w:color w:val="000000" w:themeColor="text1"/>
        </w:rPr>
        <w:t xml:space="preserve"> V</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Omanović</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Kolarić</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Roguljić</w:t>
      </w:r>
      <w:proofErr w:type="spellEnd"/>
      <w:r w:rsidRPr="004541C8">
        <w:rPr>
          <w:rFonts w:ascii="Book Antiqua" w:eastAsia="Book Antiqua" w:hAnsi="Book Antiqua" w:cs="Book Antiqua"/>
          <w:color w:val="000000" w:themeColor="text1"/>
        </w:rPr>
        <w:t xml:space="preserve"> H, </w:t>
      </w:r>
      <w:proofErr w:type="spellStart"/>
      <w:r w:rsidRPr="004541C8">
        <w:rPr>
          <w:rFonts w:ascii="Book Antiqua" w:eastAsia="Book Antiqua" w:hAnsi="Book Antiqua" w:cs="Book Antiqua"/>
          <w:color w:val="000000" w:themeColor="text1"/>
        </w:rPr>
        <w:t>Kizivat</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Smolić</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Bilić</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Ćurčić</w:t>
      </w:r>
      <w:proofErr w:type="spellEnd"/>
      <w:r w:rsidRPr="004541C8">
        <w:rPr>
          <w:rFonts w:ascii="Book Antiqua" w:eastAsia="Book Antiqua" w:hAnsi="Book Antiqua" w:cs="Book Antiqua"/>
          <w:color w:val="000000" w:themeColor="text1"/>
        </w:rPr>
        <w:t xml:space="preserve"> I. Renal Benefits of SGLT 2 Inhibitors and GLP-1 Receptor Agonists: Evidence Supporting a Paradigm Shift in the Medical Management of Type 2 Diabetes. </w:t>
      </w:r>
      <w:r w:rsidRPr="004541C8">
        <w:rPr>
          <w:rFonts w:ascii="Book Antiqua" w:eastAsia="Book Antiqua" w:hAnsi="Book Antiqua" w:cs="Book Antiqua"/>
          <w:i/>
          <w:iCs/>
          <w:color w:val="000000" w:themeColor="text1"/>
        </w:rPr>
        <w:t>Int J Mol Sci</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20</w:t>
      </w:r>
      <w:r w:rsidRPr="004541C8">
        <w:rPr>
          <w:rFonts w:ascii="Book Antiqua" w:eastAsia="Book Antiqua" w:hAnsi="Book Antiqua" w:cs="Book Antiqua"/>
          <w:color w:val="000000" w:themeColor="text1"/>
        </w:rPr>
        <w:t>: [PMID: 31757028 DOI: 10.3390/ijms20235831]</w:t>
      </w:r>
    </w:p>
    <w:p w14:paraId="5FD7059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28 </w:t>
      </w:r>
      <w:proofErr w:type="spellStart"/>
      <w:r w:rsidRPr="004541C8">
        <w:rPr>
          <w:rFonts w:ascii="Book Antiqua" w:eastAsia="Book Antiqua" w:hAnsi="Book Antiqua" w:cs="Book Antiqua"/>
          <w:b/>
          <w:bCs/>
          <w:color w:val="000000" w:themeColor="text1"/>
        </w:rPr>
        <w:t>Carretero</w:t>
      </w:r>
      <w:proofErr w:type="spellEnd"/>
      <w:r w:rsidRPr="004541C8">
        <w:rPr>
          <w:rFonts w:ascii="Book Antiqua" w:eastAsia="Book Antiqua" w:hAnsi="Book Antiqua" w:cs="Book Antiqua"/>
          <w:b/>
          <w:bCs/>
          <w:color w:val="000000" w:themeColor="text1"/>
        </w:rPr>
        <w:t xml:space="preserve"> Gómez J</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Arévalo</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Lorido</w:t>
      </w:r>
      <w:proofErr w:type="spellEnd"/>
      <w:r w:rsidRPr="004541C8">
        <w:rPr>
          <w:rFonts w:ascii="Book Antiqua" w:eastAsia="Book Antiqua" w:hAnsi="Book Antiqua" w:cs="Book Antiqua"/>
          <w:color w:val="000000" w:themeColor="text1"/>
        </w:rPr>
        <w:t xml:space="preserve"> JC, Gómez </w:t>
      </w:r>
      <w:proofErr w:type="spellStart"/>
      <w:r w:rsidRPr="004541C8">
        <w:rPr>
          <w:rFonts w:ascii="Book Antiqua" w:eastAsia="Book Antiqua" w:hAnsi="Book Antiqua" w:cs="Book Antiqua"/>
          <w:color w:val="000000" w:themeColor="text1"/>
        </w:rPr>
        <w:t>Huelgas</w:t>
      </w:r>
      <w:proofErr w:type="spellEnd"/>
      <w:r w:rsidRPr="004541C8">
        <w:rPr>
          <w:rFonts w:ascii="Book Antiqua" w:eastAsia="Book Antiqua" w:hAnsi="Book Antiqua" w:cs="Book Antiqua"/>
          <w:color w:val="000000" w:themeColor="text1"/>
        </w:rPr>
        <w:t xml:space="preserve"> R, García de Lucas D, </w:t>
      </w:r>
      <w:proofErr w:type="spellStart"/>
      <w:r w:rsidRPr="004541C8">
        <w:rPr>
          <w:rFonts w:ascii="Book Antiqua" w:eastAsia="Book Antiqua" w:hAnsi="Book Antiqua" w:cs="Book Antiqua"/>
          <w:color w:val="000000" w:themeColor="text1"/>
        </w:rPr>
        <w:t>Mateos</w:t>
      </w:r>
      <w:proofErr w:type="spellEnd"/>
      <w:r w:rsidRPr="004541C8">
        <w:rPr>
          <w:rFonts w:ascii="Book Antiqua" w:eastAsia="Book Antiqua" w:hAnsi="Book Antiqua" w:cs="Book Antiqua"/>
          <w:color w:val="000000" w:themeColor="text1"/>
        </w:rPr>
        <w:t xml:space="preserve"> Polo L, Varela Aguilar JM, </w:t>
      </w:r>
      <w:proofErr w:type="spellStart"/>
      <w:r w:rsidRPr="004541C8">
        <w:rPr>
          <w:rFonts w:ascii="Book Antiqua" w:eastAsia="Book Antiqua" w:hAnsi="Book Antiqua" w:cs="Book Antiqua"/>
          <w:color w:val="000000" w:themeColor="text1"/>
        </w:rPr>
        <w:t>Seguí</w:t>
      </w:r>
      <w:proofErr w:type="spellEnd"/>
      <w:r w:rsidRPr="004541C8">
        <w:rPr>
          <w:rFonts w:ascii="Book Antiqua" w:eastAsia="Book Antiqua" w:hAnsi="Book Antiqua" w:cs="Book Antiqua"/>
          <w:color w:val="000000" w:themeColor="text1"/>
        </w:rPr>
        <w:t xml:space="preserve"> Ripoll JM, </w:t>
      </w:r>
      <w:proofErr w:type="spellStart"/>
      <w:r w:rsidRPr="004541C8">
        <w:rPr>
          <w:rFonts w:ascii="Book Antiqua" w:eastAsia="Book Antiqua" w:hAnsi="Book Antiqua" w:cs="Book Antiqua"/>
          <w:color w:val="000000" w:themeColor="text1"/>
        </w:rPr>
        <w:t>Ena</w:t>
      </w:r>
      <w:proofErr w:type="spellEnd"/>
      <w:r w:rsidRPr="004541C8">
        <w:rPr>
          <w:rFonts w:ascii="Book Antiqua" w:eastAsia="Book Antiqua" w:hAnsi="Book Antiqua" w:cs="Book Antiqua"/>
          <w:color w:val="000000" w:themeColor="text1"/>
        </w:rPr>
        <w:t xml:space="preserve"> J; Diabetes, Obesity, and Nutrition Spanish Working Group. Combination Therapy </w:t>
      </w:r>
      <w:proofErr w:type="gramStart"/>
      <w:r w:rsidRPr="004541C8">
        <w:rPr>
          <w:rFonts w:ascii="Book Antiqua" w:eastAsia="Book Antiqua" w:hAnsi="Book Antiqua" w:cs="Book Antiqua"/>
          <w:color w:val="000000" w:themeColor="text1"/>
        </w:rPr>
        <w:t>With</w:t>
      </w:r>
      <w:proofErr w:type="gramEnd"/>
      <w:r w:rsidRPr="004541C8">
        <w:rPr>
          <w:rFonts w:ascii="Book Antiqua" w:eastAsia="Book Antiqua" w:hAnsi="Book Antiqua" w:cs="Book Antiqua"/>
          <w:color w:val="000000" w:themeColor="text1"/>
        </w:rPr>
        <w:t xml:space="preserve"> Glucagon-Like Peptide-1 Receptor Agonists and Sodium-Glucose Cotransporter 2 Inhibitors in Older Patients With Type 2 Diabetes: A Real-World Evidence Study. </w:t>
      </w:r>
      <w:r w:rsidRPr="004541C8">
        <w:rPr>
          <w:rFonts w:ascii="Book Antiqua" w:eastAsia="Book Antiqua" w:hAnsi="Book Antiqua" w:cs="Book Antiqua"/>
          <w:i/>
          <w:iCs/>
          <w:color w:val="000000" w:themeColor="text1"/>
        </w:rPr>
        <w:t>Can J Diabetes</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186-192 [PMID: 30415909 DOI: 10.1016/j.jcjd.2018.09.001]</w:t>
      </w:r>
    </w:p>
    <w:p w14:paraId="56FF760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29 </w:t>
      </w:r>
      <w:r w:rsidRPr="004541C8">
        <w:rPr>
          <w:rFonts w:ascii="Book Antiqua" w:eastAsia="Book Antiqua" w:hAnsi="Book Antiqua" w:cs="Book Antiqua"/>
          <w:b/>
          <w:bCs/>
          <w:color w:val="000000" w:themeColor="text1"/>
        </w:rPr>
        <w:t>Edelman SV</w:t>
      </w:r>
      <w:r w:rsidRPr="004541C8">
        <w:rPr>
          <w:rFonts w:ascii="Book Antiqua" w:eastAsia="Book Antiqua" w:hAnsi="Book Antiqua" w:cs="Book Antiqua"/>
          <w:color w:val="000000" w:themeColor="text1"/>
        </w:rPr>
        <w:t xml:space="preserve">, Polonsky WH. Type 2 Diabetes in the Real World: The Elusive Nature of Glycemic Control.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40</w:t>
      </w:r>
      <w:r w:rsidRPr="004541C8">
        <w:rPr>
          <w:rFonts w:ascii="Book Antiqua" w:eastAsia="Book Antiqua" w:hAnsi="Book Antiqua" w:cs="Book Antiqua"/>
          <w:color w:val="000000" w:themeColor="text1"/>
        </w:rPr>
        <w:t>: 1425-1432 [PMID: 28801473 DOI: 10.2337/dc16-1974]</w:t>
      </w:r>
    </w:p>
    <w:p w14:paraId="216108C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30 </w:t>
      </w:r>
      <w:proofErr w:type="spellStart"/>
      <w:r w:rsidRPr="004541C8">
        <w:rPr>
          <w:rFonts w:ascii="Book Antiqua" w:eastAsia="Book Antiqua" w:hAnsi="Book Antiqua" w:cs="Book Antiqua"/>
          <w:b/>
          <w:bCs/>
          <w:color w:val="000000" w:themeColor="text1"/>
        </w:rPr>
        <w:t>Cosentino</w:t>
      </w:r>
      <w:proofErr w:type="spellEnd"/>
      <w:r w:rsidRPr="004541C8">
        <w:rPr>
          <w:rFonts w:ascii="Book Antiqua" w:eastAsia="Book Antiqua" w:hAnsi="Book Antiqua" w:cs="Book Antiqua"/>
          <w:b/>
          <w:bCs/>
          <w:color w:val="000000" w:themeColor="text1"/>
        </w:rPr>
        <w:t xml:space="preserve"> F</w:t>
      </w:r>
      <w:r w:rsidRPr="004541C8">
        <w:rPr>
          <w:rFonts w:ascii="Book Antiqua" w:eastAsia="Book Antiqua" w:hAnsi="Book Antiqua" w:cs="Book Antiqua"/>
          <w:color w:val="000000" w:themeColor="text1"/>
        </w:rPr>
        <w:t xml:space="preserve">, Grant PJ, </w:t>
      </w:r>
      <w:proofErr w:type="spellStart"/>
      <w:r w:rsidRPr="004541C8">
        <w:rPr>
          <w:rFonts w:ascii="Book Antiqua" w:eastAsia="Book Antiqua" w:hAnsi="Book Antiqua" w:cs="Book Antiqua"/>
          <w:color w:val="000000" w:themeColor="text1"/>
        </w:rPr>
        <w:t>Aboyans</w:t>
      </w:r>
      <w:proofErr w:type="spellEnd"/>
      <w:r w:rsidRPr="004541C8">
        <w:rPr>
          <w:rFonts w:ascii="Book Antiqua" w:eastAsia="Book Antiqua" w:hAnsi="Book Antiqua" w:cs="Book Antiqua"/>
          <w:color w:val="000000" w:themeColor="text1"/>
        </w:rPr>
        <w:t xml:space="preserve"> V, Bailey CJ, </w:t>
      </w:r>
      <w:proofErr w:type="spellStart"/>
      <w:r w:rsidRPr="004541C8">
        <w:rPr>
          <w:rFonts w:ascii="Book Antiqua" w:eastAsia="Book Antiqua" w:hAnsi="Book Antiqua" w:cs="Book Antiqua"/>
          <w:color w:val="000000" w:themeColor="text1"/>
        </w:rPr>
        <w:t>Ceriello</w:t>
      </w:r>
      <w:proofErr w:type="spellEnd"/>
      <w:r w:rsidRPr="004541C8">
        <w:rPr>
          <w:rFonts w:ascii="Book Antiqua" w:eastAsia="Book Antiqua" w:hAnsi="Book Antiqua" w:cs="Book Antiqua"/>
          <w:color w:val="000000" w:themeColor="text1"/>
        </w:rPr>
        <w:t xml:space="preserve"> A, Delgado V, </w:t>
      </w:r>
      <w:proofErr w:type="spellStart"/>
      <w:r w:rsidRPr="004541C8">
        <w:rPr>
          <w:rFonts w:ascii="Book Antiqua" w:eastAsia="Book Antiqua" w:hAnsi="Book Antiqua" w:cs="Book Antiqua"/>
          <w:color w:val="000000" w:themeColor="text1"/>
        </w:rPr>
        <w:t>Federici</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Filippatos</w:t>
      </w:r>
      <w:proofErr w:type="spellEnd"/>
      <w:r w:rsidRPr="004541C8">
        <w:rPr>
          <w:rFonts w:ascii="Book Antiqua" w:eastAsia="Book Antiqua" w:hAnsi="Book Antiqua" w:cs="Book Antiqua"/>
          <w:color w:val="000000" w:themeColor="text1"/>
        </w:rPr>
        <w:t xml:space="preserve"> G, </w:t>
      </w:r>
      <w:proofErr w:type="spellStart"/>
      <w:r w:rsidRPr="004541C8">
        <w:rPr>
          <w:rFonts w:ascii="Book Antiqua" w:eastAsia="Book Antiqua" w:hAnsi="Book Antiqua" w:cs="Book Antiqua"/>
          <w:color w:val="000000" w:themeColor="text1"/>
        </w:rPr>
        <w:t>Grobbee</w:t>
      </w:r>
      <w:proofErr w:type="spellEnd"/>
      <w:r w:rsidRPr="004541C8">
        <w:rPr>
          <w:rFonts w:ascii="Book Antiqua" w:eastAsia="Book Antiqua" w:hAnsi="Book Antiqua" w:cs="Book Antiqua"/>
          <w:color w:val="000000" w:themeColor="text1"/>
        </w:rPr>
        <w:t xml:space="preserve"> DE, Hansen TB, </w:t>
      </w:r>
      <w:proofErr w:type="spellStart"/>
      <w:r w:rsidRPr="004541C8">
        <w:rPr>
          <w:rFonts w:ascii="Book Antiqua" w:eastAsia="Book Antiqua" w:hAnsi="Book Antiqua" w:cs="Book Antiqua"/>
          <w:color w:val="000000" w:themeColor="text1"/>
        </w:rPr>
        <w:t>Huikuri</w:t>
      </w:r>
      <w:proofErr w:type="spellEnd"/>
      <w:r w:rsidRPr="004541C8">
        <w:rPr>
          <w:rFonts w:ascii="Book Antiqua" w:eastAsia="Book Antiqua" w:hAnsi="Book Antiqua" w:cs="Book Antiqua"/>
          <w:color w:val="000000" w:themeColor="text1"/>
        </w:rPr>
        <w:t xml:space="preserve"> HV, Johansson I, </w:t>
      </w:r>
      <w:proofErr w:type="spellStart"/>
      <w:r w:rsidRPr="004541C8">
        <w:rPr>
          <w:rFonts w:ascii="Book Antiqua" w:eastAsia="Book Antiqua" w:hAnsi="Book Antiqua" w:cs="Book Antiqua"/>
          <w:color w:val="000000" w:themeColor="text1"/>
        </w:rPr>
        <w:t>Jüni</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Lettino</w:t>
      </w:r>
      <w:proofErr w:type="spellEnd"/>
      <w:r w:rsidRPr="004541C8">
        <w:rPr>
          <w:rFonts w:ascii="Book Antiqua" w:eastAsia="Book Antiqua" w:hAnsi="Book Antiqua" w:cs="Book Antiqua"/>
          <w:color w:val="000000" w:themeColor="text1"/>
        </w:rPr>
        <w:t xml:space="preserve"> M, Marx N, </w:t>
      </w:r>
      <w:proofErr w:type="spellStart"/>
      <w:r w:rsidRPr="004541C8">
        <w:rPr>
          <w:rFonts w:ascii="Book Antiqua" w:eastAsia="Book Antiqua" w:hAnsi="Book Antiqua" w:cs="Book Antiqua"/>
          <w:color w:val="000000" w:themeColor="text1"/>
        </w:rPr>
        <w:t>Mellbin</w:t>
      </w:r>
      <w:proofErr w:type="spellEnd"/>
      <w:r w:rsidRPr="004541C8">
        <w:rPr>
          <w:rFonts w:ascii="Book Antiqua" w:eastAsia="Book Antiqua" w:hAnsi="Book Antiqua" w:cs="Book Antiqua"/>
          <w:color w:val="000000" w:themeColor="text1"/>
        </w:rPr>
        <w:t xml:space="preserve"> LG, </w:t>
      </w:r>
      <w:proofErr w:type="spellStart"/>
      <w:r w:rsidRPr="004541C8">
        <w:rPr>
          <w:rFonts w:ascii="Book Antiqua" w:eastAsia="Book Antiqua" w:hAnsi="Book Antiqua" w:cs="Book Antiqua"/>
          <w:color w:val="000000" w:themeColor="text1"/>
        </w:rPr>
        <w:t>Östgren</w:t>
      </w:r>
      <w:proofErr w:type="spellEnd"/>
      <w:r w:rsidRPr="004541C8">
        <w:rPr>
          <w:rFonts w:ascii="Book Antiqua" w:eastAsia="Book Antiqua" w:hAnsi="Book Antiqua" w:cs="Book Antiqua"/>
          <w:color w:val="000000" w:themeColor="text1"/>
        </w:rPr>
        <w:t xml:space="preserve"> CJ, Rocca B, </w:t>
      </w:r>
      <w:proofErr w:type="spellStart"/>
      <w:r w:rsidRPr="004541C8">
        <w:rPr>
          <w:rFonts w:ascii="Book Antiqua" w:eastAsia="Book Antiqua" w:hAnsi="Book Antiqua" w:cs="Book Antiqua"/>
          <w:color w:val="000000" w:themeColor="text1"/>
        </w:rPr>
        <w:t>Roffi</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Sattar</w:t>
      </w:r>
      <w:proofErr w:type="spellEnd"/>
      <w:r w:rsidRPr="004541C8">
        <w:rPr>
          <w:rFonts w:ascii="Book Antiqua" w:eastAsia="Book Antiqua" w:hAnsi="Book Antiqua" w:cs="Book Antiqua"/>
          <w:color w:val="000000" w:themeColor="text1"/>
        </w:rPr>
        <w:t xml:space="preserve"> N, </w:t>
      </w:r>
      <w:proofErr w:type="spellStart"/>
      <w:r w:rsidRPr="004541C8">
        <w:rPr>
          <w:rFonts w:ascii="Book Antiqua" w:eastAsia="Book Antiqua" w:hAnsi="Book Antiqua" w:cs="Book Antiqua"/>
          <w:color w:val="000000" w:themeColor="text1"/>
        </w:rPr>
        <w:t>Seferović</w:t>
      </w:r>
      <w:proofErr w:type="spellEnd"/>
      <w:r w:rsidRPr="004541C8">
        <w:rPr>
          <w:rFonts w:ascii="Book Antiqua" w:eastAsia="Book Antiqua" w:hAnsi="Book Antiqua" w:cs="Book Antiqua"/>
          <w:color w:val="000000" w:themeColor="text1"/>
        </w:rPr>
        <w:t xml:space="preserve"> PM, Sousa-</w:t>
      </w:r>
      <w:proofErr w:type="spellStart"/>
      <w:r w:rsidRPr="004541C8">
        <w:rPr>
          <w:rFonts w:ascii="Book Antiqua" w:eastAsia="Book Antiqua" w:hAnsi="Book Antiqua" w:cs="Book Antiqua"/>
          <w:color w:val="000000" w:themeColor="text1"/>
        </w:rPr>
        <w:t>Uva</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Valensi</w:t>
      </w:r>
      <w:proofErr w:type="spellEnd"/>
      <w:r w:rsidRPr="004541C8">
        <w:rPr>
          <w:rFonts w:ascii="Book Antiqua" w:eastAsia="Book Antiqua" w:hAnsi="Book Antiqua" w:cs="Book Antiqua"/>
          <w:color w:val="000000" w:themeColor="text1"/>
        </w:rPr>
        <w:t xml:space="preserve"> P, Wheeler DC; ESC Scientific Document Group. 2019 ESC Guidelines on diabetes, pre-diabetes, and cardiovascular diseases developed in collaboration with the EASD. </w:t>
      </w:r>
      <w:r w:rsidRPr="004541C8">
        <w:rPr>
          <w:rFonts w:ascii="Book Antiqua" w:eastAsia="Book Antiqua" w:hAnsi="Book Antiqua" w:cs="Book Antiqua"/>
          <w:i/>
          <w:iCs/>
          <w:color w:val="000000" w:themeColor="text1"/>
        </w:rPr>
        <w:t>Eur Heart J</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41</w:t>
      </w:r>
      <w:r w:rsidRPr="004541C8">
        <w:rPr>
          <w:rFonts w:ascii="Book Antiqua" w:eastAsia="Book Antiqua" w:hAnsi="Book Antiqua" w:cs="Book Antiqua"/>
          <w:color w:val="000000" w:themeColor="text1"/>
        </w:rPr>
        <w:t>: 255-323 [PMID: 31497854 DOI: 10.1093/</w:t>
      </w:r>
      <w:proofErr w:type="spellStart"/>
      <w:r w:rsidRPr="004541C8">
        <w:rPr>
          <w:rFonts w:ascii="Book Antiqua" w:eastAsia="Book Antiqua" w:hAnsi="Book Antiqua" w:cs="Book Antiqua"/>
          <w:color w:val="000000" w:themeColor="text1"/>
        </w:rPr>
        <w:t>eurheartj</w:t>
      </w:r>
      <w:proofErr w:type="spellEnd"/>
      <w:r w:rsidRPr="004541C8">
        <w:rPr>
          <w:rFonts w:ascii="Book Antiqua" w:eastAsia="Book Antiqua" w:hAnsi="Book Antiqua" w:cs="Book Antiqua"/>
          <w:color w:val="000000" w:themeColor="text1"/>
        </w:rPr>
        <w:t>/ehz486]</w:t>
      </w:r>
    </w:p>
    <w:p w14:paraId="2299656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31 </w:t>
      </w:r>
      <w:r w:rsidRPr="004541C8">
        <w:rPr>
          <w:rFonts w:ascii="Book Antiqua" w:eastAsia="Book Antiqua" w:hAnsi="Book Antiqua" w:cs="Book Antiqua"/>
          <w:b/>
          <w:bCs/>
          <w:color w:val="000000" w:themeColor="text1"/>
        </w:rPr>
        <w:t>Ellis JJ</w:t>
      </w:r>
      <w:r w:rsidRPr="004541C8">
        <w:rPr>
          <w:rFonts w:ascii="Book Antiqua" w:eastAsia="Book Antiqua" w:hAnsi="Book Antiqua" w:cs="Book Antiqua"/>
          <w:color w:val="000000" w:themeColor="text1"/>
        </w:rPr>
        <w:t xml:space="preserve">, Erickson SR, Stevenson JG, Bernstein SJ, Stiles RA, </w:t>
      </w:r>
      <w:proofErr w:type="spellStart"/>
      <w:r w:rsidRPr="004541C8">
        <w:rPr>
          <w:rFonts w:ascii="Book Antiqua" w:eastAsia="Book Antiqua" w:hAnsi="Book Antiqua" w:cs="Book Antiqua"/>
          <w:color w:val="000000" w:themeColor="text1"/>
        </w:rPr>
        <w:t>Fendrick</w:t>
      </w:r>
      <w:proofErr w:type="spellEnd"/>
      <w:r w:rsidRPr="004541C8">
        <w:rPr>
          <w:rFonts w:ascii="Book Antiqua" w:eastAsia="Book Antiqua" w:hAnsi="Book Antiqua" w:cs="Book Antiqua"/>
          <w:color w:val="000000" w:themeColor="text1"/>
        </w:rPr>
        <w:t xml:space="preserve"> AM. </w:t>
      </w:r>
      <w:proofErr w:type="gramStart"/>
      <w:r w:rsidRPr="004541C8">
        <w:rPr>
          <w:rFonts w:ascii="Book Antiqua" w:eastAsia="Book Antiqua" w:hAnsi="Book Antiqua" w:cs="Book Antiqua"/>
          <w:color w:val="000000" w:themeColor="text1"/>
        </w:rPr>
        <w:t>Suboptimal statin adherence and discontinuation in primary and secondary prevention populations.</w:t>
      </w:r>
      <w:proofErr w:type="gramEnd"/>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lastRenderedPageBreak/>
        <w:t>J Gen Intern Med</w:t>
      </w:r>
      <w:r w:rsidRPr="004541C8">
        <w:rPr>
          <w:rFonts w:ascii="Book Antiqua" w:eastAsia="Book Antiqua" w:hAnsi="Book Antiqua" w:cs="Book Antiqua"/>
          <w:color w:val="000000" w:themeColor="text1"/>
        </w:rPr>
        <w:t xml:space="preserve"> 2004; </w:t>
      </w:r>
      <w:r w:rsidRPr="004541C8">
        <w:rPr>
          <w:rFonts w:ascii="Book Antiqua" w:eastAsia="Book Antiqua" w:hAnsi="Book Antiqua" w:cs="Book Antiqua"/>
          <w:b/>
          <w:bCs/>
          <w:color w:val="000000" w:themeColor="text1"/>
        </w:rPr>
        <w:t>19</w:t>
      </w:r>
      <w:r w:rsidRPr="004541C8">
        <w:rPr>
          <w:rFonts w:ascii="Book Antiqua" w:eastAsia="Book Antiqua" w:hAnsi="Book Antiqua" w:cs="Book Antiqua"/>
          <w:color w:val="000000" w:themeColor="text1"/>
        </w:rPr>
        <w:t>: 638-645 [PMID: 15209602 DOI: 10.1111/j.1525-1497.2004.30516.x]</w:t>
      </w:r>
    </w:p>
    <w:p w14:paraId="71D4B87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32 </w:t>
      </w:r>
      <w:proofErr w:type="spellStart"/>
      <w:r w:rsidRPr="004541C8">
        <w:rPr>
          <w:rFonts w:ascii="Book Antiqua" w:eastAsia="Book Antiqua" w:hAnsi="Book Antiqua" w:cs="Book Antiqua"/>
          <w:b/>
          <w:bCs/>
          <w:color w:val="000000" w:themeColor="text1"/>
        </w:rPr>
        <w:t>Gislason</w:t>
      </w:r>
      <w:proofErr w:type="spellEnd"/>
      <w:r w:rsidRPr="004541C8">
        <w:rPr>
          <w:rFonts w:ascii="Book Antiqua" w:eastAsia="Book Antiqua" w:hAnsi="Book Antiqua" w:cs="Book Antiqua"/>
          <w:b/>
          <w:bCs/>
          <w:color w:val="000000" w:themeColor="text1"/>
        </w:rPr>
        <w:t xml:space="preserve"> GH</w:t>
      </w:r>
      <w:r w:rsidRPr="004541C8">
        <w:rPr>
          <w:rFonts w:ascii="Book Antiqua" w:eastAsia="Book Antiqua" w:hAnsi="Book Antiqua" w:cs="Book Antiqua"/>
          <w:color w:val="000000" w:themeColor="text1"/>
        </w:rPr>
        <w:t xml:space="preserve">, Rasmussen JN, </w:t>
      </w:r>
      <w:proofErr w:type="spellStart"/>
      <w:r w:rsidRPr="004541C8">
        <w:rPr>
          <w:rFonts w:ascii="Book Antiqua" w:eastAsia="Book Antiqua" w:hAnsi="Book Antiqua" w:cs="Book Antiqua"/>
          <w:color w:val="000000" w:themeColor="text1"/>
        </w:rPr>
        <w:t>Abildstrøm</w:t>
      </w:r>
      <w:proofErr w:type="spellEnd"/>
      <w:r w:rsidRPr="004541C8">
        <w:rPr>
          <w:rFonts w:ascii="Book Antiqua" w:eastAsia="Book Antiqua" w:hAnsi="Book Antiqua" w:cs="Book Antiqua"/>
          <w:color w:val="000000" w:themeColor="text1"/>
        </w:rPr>
        <w:t xml:space="preserve"> SZ, </w:t>
      </w:r>
      <w:proofErr w:type="spellStart"/>
      <w:r w:rsidRPr="004541C8">
        <w:rPr>
          <w:rFonts w:ascii="Book Antiqua" w:eastAsia="Book Antiqua" w:hAnsi="Book Antiqua" w:cs="Book Antiqua"/>
          <w:color w:val="000000" w:themeColor="text1"/>
        </w:rPr>
        <w:t>Gadsbøll</w:t>
      </w:r>
      <w:proofErr w:type="spellEnd"/>
      <w:r w:rsidRPr="004541C8">
        <w:rPr>
          <w:rFonts w:ascii="Book Antiqua" w:eastAsia="Book Antiqua" w:hAnsi="Book Antiqua" w:cs="Book Antiqua"/>
          <w:color w:val="000000" w:themeColor="text1"/>
        </w:rPr>
        <w:t xml:space="preserve"> N, Buch P, Friberg J, Rasmussen S, </w:t>
      </w:r>
      <w:proofErr w:type="spellStart"/>
      <w:r w:rsidRPr="004541C8">
        <w:rPr>
          <w:rFonts w:ascii="Book Antiqua" w:eastAsia="Book Antiqua" w:hAnsi="Book Antiqua" w:cs="Book Antiqua"/>
          <w:color w:val="000000" w:themeColor="text1"/>
        </w:rPr>
        <w:t>Køber</w:t>
      </w:r>
      <w:proofErr w:type="spellEnd"/>
      <w:r w:rsidRPr="004541C8">
        <w:rPr>
          <w:rFonts w:ascii="Book Antiqua" w:eastAsia="Book Antiqua" w:hAnsi="Book Antiqua" w:cs="Book Antiqua"/>
          <w:color w:val="000000" w:themeColor="text1"/>
        </w:rPr>
        <w:t xml:space="preserve"> L, </w:t>
      </w:r>
      <w:proofErr w:type="spellStart"/>
      <w:r w:rsidRPr="004541C8">
        <w:rPr>
          <w:rFonts w:ascii="Book Antiqua" w:eastAsia="Book Antiqua" w:hAnsi="Book Antiqua" w:cs="Book Antiqua"/>
          <w:color w:val="000000" w:themeColor="text1"/>
        </w:rPr>
        <w:t>Stender</w:t>
      </w:r>
      <w:proofErr w:type="spellEnd"/>
      <w:r w:rsidRPr="004541C8">
        <w:rPr>
          <w:rFonts w:ascii="Book Antiqua" w:eastAsia="Book Antiqua" w:hAnsi="Book Antiqua" w:cs="Book Antiqua"/>
          <w:color w:val="000000" w:themeColor="text1"/>
        </w:rPr>
        <w:t xml:space="preserve"> S, Madsen M, Torp-Pedersen C. Long-term compliance with beta-blockers, angiotensin-converting enzyme inhibitors, and statins after acute myocardial infarction. </w:t>
      </w:r>
      <w:r w:rsidRPr="004541C8">
        <w:rPr>
          <w:rFonts w:ascii="Book Antiqua" w:eastAsia="Book Antiqua" w:hAnsi="Book Antiqua" w:cs="Book Antiqua"/>
          <w:i/>
          <w:iCs/>
          <w:color w:val="000000" w:themeColor="text1"/>
        </w:rPr>
        <w:t>Eur Heart J</w:t>
      </w:r>
      <w:r w:rsidRPr="004541C8">
        <w:rPr>
          <w:rFonts w:ascii="Book Antiqua" w:eastAsia="Book Antiqua" w:hAnsi="Book Antiqua" w:cs="Book Antiqua"/>
          <w:color w:val="000000" w:themeColor="text1"/>
        </w:rPr>
        <w:t xml:space="preserve"> 2006; </w:t>
      </w:r>
      <w:r w:rsidRPr="004541C8">
        <w:rPr>
          <w:rFonts w:ascii="Book Antiqua" w:eastAsia="Book Antiqua" w:hAnsi="Book Antiqua" w:cs="Book Antiqua"/>
          <w:b/>
          <w:bCs/>
          <w:color w:val="000000" w:themeColor="text1"/>
        </w:rPr>
        <w:t>27</w:t>
      </w:r>
      <w:r w:rsidRPr="004541C8">
        <w:rPr>
          <w:rFonts w:ascii="Book Antiqua" w:eastAsia="Book Antiqua" w:hAnsi="Book Antiqua" w:cs="Book Antiqua"/>
          <w:color w:val="000000" w:themeColor="text1"/>
        </w:rPr>
        <w:t>: 1153-1158 [PMID: 16399775 DOI: 10.1093/</w:t>
      </w:r>
      <w:proofErr w:type="spellStart"/>
      <w:r w:rsidRPr="004541C8">
        <w:rPr>
          <w:rFonts w:ascii="Book Antiqua" w:eastAsia="Book Antiqua" w:hAnsi="Book Antiqua" w:cs="Book Antiqua"/>
          <w:color w:val="000000" w:themeColor="text1"/>
        </w:rPr>
        <w:t>eurheartj</w:t>
      </w:r>
      <w:proofErr w:type="spellEnd"/>
      <w:r w:rsidRPr="004541C8">
        <w:rPr>
          <w:rFonts w:ascii="Book Antiqua" w:eastAsia="Book Antiqua" w:hAnsi="Book Antiqua" w:cs="Book Antiqua"/>
          <w:color w:val="000000" w:themeColor="text1"/>
        </w:rPr>
        <w:t>/ehi705]</w:t>
      </w:r>
    </w:p>
    <w:bookmarkEnd w:id="7"/>
    <w:bookmarkEnd w:id="8"/>
    <w:p w14:paraId="08B6DF4B" w14:textId="77777777" w:rsidR="00712681" w:rsidRPr="004541C8" w:rsidRDefault="00712681" w:rsidP="004541C8">
      <w:pPr>
        <w:snapToGrid w:val="0"/>
        <w:spacing w:line="360" w:lineRule="auto"/>
        <w:jc w:val="both"/>
        <w:rPr>
          <w:color w:val="000000" w:themeColor="text1"/>
        </w:rPr>
        <w:sectPr w:rsidR="00712681" w:rsidRPr="004541C8">
          <w:pgSz w:w="12240" w:h="15840"/>
          <w:pgMar w:top="1440" w:right="1440" w:bottom="1440" w:left="1440" w:header="720" w:footer="720" w:gutter="0"/>
          <w:cols w:space="720"/>
          <w:docGrid w:linePitch="360"/>
        </w:sectPr>
      </w:pPr>
    </w:p>
    <w:p w14:paraId="6AA0FD2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lastRenderedPageBreak/>
        <w:t>Footnotes</w:t>
      </w:r>
    </w:p>
    <w:p w14:paraId="3D1D019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Institutional review board statement: </w:t>
      </w:r>
      <w:r w:rsidRPr="004541C8">
        <w:rPr>
          <w:rFonts w:ascii="Book Antiqua" w:eastAsia="Book Antiqua" w:hAnsi="Book Antiqua" w:cs="Book Antiqua"/>
          <w:color w:val="000000" w:themeColor="text1"/>
        </w:rPr>
        <w:t>This study was reviewed and approved by the Ethics Committee of the University Hospital Centre “Sestre milosrdnice”.</w:t>
      </w:r>
    </w:p>
    <w:p w14:paraId="1CD29C5B" w14:textId="77777777" w:rsidR="00A77B3E" w:rsidRPr="004541C8" w:rsidRDefault="00A77B3E" w:rsidP="004541C8">
      <w:pPr>
        <w:snapToGrid w:val="0"/>
        <w:spacing w:line="360" w:lineRule="auto"/>
        <w:jc w:val="both"/>
        <w:rPr>
          <w:color w:val="000000" w:themeColor="text1"/>
        </w:rPr>
      </w:pPr>
    </w:p>
    <w:p w14:paraId="56C4FFC3" w14:textId="3E2F7291"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Informed consent statement: </w:t>
      </w:r>
      <w:r w:rsidRPr="004541C8">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5E94B83A" w14:textId="77777777" w:rsidR="00A77B3E" w:rsidRPr="004541C8" w:rsidRDefault="00A77B3E" w:rsidP="004541C8">
      <w:pPr>
        <w:snapToGrid w:val="0"/>
        <w:spacing w:line="360" w:lineRule="auto"/>
        <w:jc w:val="both"/>
        <w:rPr>
          <w:color w:val="000000" w:themeColor="text1"/>
        </w:rPr>
      </w:pPr>
    </w:p>
    <w:p w14:paraId="0A6C617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Conflict-of-interest statement: </w:t>
      </w:r>
      <w:r w:rsidRPr="004541C8">
        <w:rPr>
          <w:rFonts w:ascii="Book Antiqua" w:eastAsia="Book Antiqua" w:hAnsi="Book Antiqua" w:cs="Book Antiqua"/>
          <w:color w:val="000000" w:themeColor="text1"/>
        </w:rPr>
        <w:t>We have no financial relationships to disclose.</w:t>
      </w:r>
    </w:p>
    <w:p w14:paraId="7AE4B8C5" w14:textId="77777777" w:rsidR="00A77B3E" w:rsidRPr="004541C8" w:rsidRDefault="00A77B3E" w:rsidP="004541C8">
      <w:pPr>
        <w:snapToGrid w:val="0"/>
        <w:spacing w:line="360" w:lineRule="auto"/>
        <w:jc w:val="both"/>
        <w:rPr>
          <w:color w:val="000000" w:themeColor="text1"/>
        </w:rPr>
      </w:pPr>
    </w:p>
    <w:p w14:paraId="33915EE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Data sharing statement: </w:t>
      </w:r>
      <w:r w:rsidRPr="004541C8">
        <w:rPr>
          <w:rFonts w:ascii="Book Antiqua" w:eastAsia="Book Antiqua" w:hAnsi="Book Antiqua" w:cs="Book Antiqua"/>
          <w:color w:val="000000" w:themeColor="text1"/>
        </w:rPr>
        <w:t>No additional data are available.</w:t>
      </w:r>
    </w:p>
    <w:p w14:paraId="6AF23E72" w14:textId="77777777" w:rsidR="00A77B3E" w:rsidRPr="004541C8" w:rsidRDefault="00A77B3E" w:rsidP="004541C8">
      <w:pPr>
        <w:snapToGrid w:val="0"/>
        <w:spacing w:line="360" w:lineRule="auto"/>
        <w:jc w:val="both"/>
        <w:rPr>
          <w:color w:val="000000" w:themeColor="text1"/>
        </w:rPr>
      </w:pPr>
    </w:p>
    <w:p w14:paraId="6A5291A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STROBE statement: </w:t>
      </w:r>
      <w:r w:rsidRPr="004541C8">
        <w:rPr>
          <w:rFonts w:ascii="Book Antiqua" w:eastAsia="Book Antiqua" w:hAnsi="Book Antiqua" w:cs="Book Antiqua"/>
          <w:color w:val="000000" w:themeColor="text1"/>
        </w:rPr>
        <w:t>The authors have read the STROBE Statement checklist of items, and the manuscript was prepared and revised according to the STROBE Statement checklist of items.</w:t>
      </w:r>
    </w:p>
    <w:p w14:paraId="7CAA7F6B" w14:textId="77777777" w:rsidR="00A77B3E" w:rsidRPr="004541C8" w:rsidRDefault="00A77B3E" w:rsidP="004541C8">
      <w:pPr>
        <w:snapToGrid w:val="0"/>
        <w:spacing w:line="360" w:lineRule="auto"/>
        <w:jc w:val="both"/>
        <w:rPr>
          <w:color w:val="000000" w:themeColor="text1"/>
        </w:rPr>
      </w:pPr>
    </w:p>
    <w:p w14:paraId="33E71E3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Open-Access: </w:t>
      </w:r>
      <w:r w:rsidRPr="004541C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7EDEA6" w14:textId="77777777" w:rsidR="00A77B3E" w:rsidRPr="004541C8" w:rsidRDefault="00A77B3E" w:rsidP="004541C8">
      <w:pPr>
        <w:snapToGrid w:val="0"/>
        <w:spacing w:line="360" w:lineRule="auto"/>
        <w:jc w:val="both"/>
        <w:rPr>
          <w:color w:val="000000" w:themeColor="text1"/>
        </w:rPr>
      </w:pPr>
    </w:p>
    <w:p w14:paraId="523068C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source: </w:t>
      </w:r>
      <w:r w:rsidRPr="004541C8">
        <w:rPr>
          <w:rFonts w:ascii="Book Antiqua" w:eastAsia="Book Antiqua" w:hAnsi="Book Antiqua" w:cs="Book Antiqua"/>
          <w:color w:val="000000" w:themeColor="text1"/>
        </w:rPr>
        <w:t>Invite</w:t>
      </w:r>
      <w:r w:rsidR="00E9405E" w:rsidRPr="004541C8">
        <w:rPr>
          <w:rFonts w:ascii="Book Antiqua" w:eastAsia="Book Antiqua" w:hAnsi="Book Antiqua" w:cs="Book Antiqua"/>
          <w:color w:val="000000" w:themeColor="text1"/>
        </w:rPr>
        <w:t>d ma</w:t>
      </w:r>
      <w:r w:rsidRPr="004541C8">
        <w:rPr>
          <w:rFonts w:ascii="Book Antiqua" w:eastAsia="Book Antiqua" w:hAnsi="Book Antiqua" w:cs="Book Antiqua"/>
          <w:color w:val="000000" w:themeColor="text1"/>
        </w:rPr>
        <w:t>nuscript</w:t>
      </w:r>
    </w:p>
    <w:p w14:paraId="262FCE3E" w14:textId="77777777" w:rsidR="00A77B3E" w:rsidRPr="004541C8" w:rsidRDefault="00A77B3E" w:rsidP="004541C8">
      <w:pPr>
        <w:snapToGrid w:val="0"/>
        <w:spacing w:line="360" w:lineRule="auto"/>
        <w:jc w:val="both"/>
        <w:rPr>
          <w:color w:val="000000" w:themeColor="text1"/>
        </w:rPr>
      </w:pPr>
    </w:p>
    <w:p w14:paraId="1307EC5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Peer-review started: </w:t>
      </w:r>
      <w:r w:rsidRPr="004541C8">
        <w:rPr>
          <w:rFonts w:ascii="Book Antiqua" w:eastAsia="Book Antiqua" w:hAnsi="Book Antiqua" w:cs="Book Antiqua"/>
          <w:color w:val="000000" w:themeColor="text1"/>
        </w:rPr>
        <w:t>August 13, 2020</w:t>
      </w:r>
    </w:p>
    <w:p w14:paraId="32030BA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First decision: </w:t>
      </w:r>
      <w:r w:rsidRPr="004541C8">
        <w:rPr>
          <w:rFonts w:ascii="Book Antiqua" w:eastAsia="Book Antiqua" w:hAnsi="Book Antiqua" w:cs="Book Antiqua"/>
          <w:color w:val="000000" w:themeColor="text1"/>
        </w:rPr>
        <w:t>September 16, 2020</w:t>
      </w:r>
    </w:p>
    <w:p w14:paraId="39E26F57" w14:textId="34CADF04"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Article in press: </w:t>
      </w:r>
      <w:r w:rsidR="00F209C0" w:rsidRPr="004541C8">
        <w:rPr>
          <w:rFonts w:ascii="Book Antiqua" w:eastAsia="Book Antiqua" w:hAnsi="Book Antiqua" w:cs="Book Antiqua"/>
          <w:bCs/>
          <w:color w:val="000000" w:themeColor="text1"/>
        </w:rPr>
        <w:t>October 19, 2020</w:t>
      </w:r>
    </w:p>
    <w:p w14:paraId="3ED63180" w14:textId="77777777" w:rsidR="00A77B3E" w:rsidRPr="004541C8" w:rsidRDefault="00A77B3E" w:rsidP="004541C8">
      <w:pPr>
        <w:snapToGrid w:val="0"/>
        <w:spacing w:line="360" w:lineRule="auto"/>
        <w:jc w:val="both"/>
        <w:rPr>
          <w:color w:val="000000" w:themeColor="text1"/>
        </w:rPr>
      </w:pPr>
    </w:p>
    <w:p w14:paraId="3A35CD9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Specialty type: </w:t>
      </w:r>
      <w:r w:rsidRPr="004541C8">
        <w:rPr>
          <w:rFonts w:ascii="Book Antiqua" w:eastAsia="Book Antiqua" w:hAnsi="Book Antiqua" w:cs="Book Antiqua"/>
          <w:color w:val="000000" w:themeColor="text1"/>
        </w:rPr>
        <w:t>Endocrinology an</w:t>
      </w:r>
      <w:r w:rsidR="00E9405E" w:rsidRPr="004541C8">
        <w:rPr>
          <w:rFonts w:ascii="Book Antiqua" w:eastAsia="Book Antiqua" w:hAnsi="Book Antiqua" w:cs="Book Antiqua"/>
          <w:color w:val="000000" w:themeColor="text1"/>
        </w:rPr>
        <w:t>d metab</w:t>
      </w:r>
      <w:r w:rsidRPr="004541C8">
        <w:rPr>
          <w:rFonts w:ascii="Book Antiqua" w:eastAsia="Book Antiqua" w:hAnsi="Book Antiqua" w:cs="Book Antiqua"/>
          <w:color w:val="000000" w:themeColor="text1"/>
        </w:rPr>
        <w:t>olism</w:t>
      </w:r>
    </w:p>
    <w:p w14:paraId="3D1E299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Country/Territory of origin: </w:t>
      </w:r>
      <w:r w:rsidRPr="004541C8">
        <w:rPr>
          <w:rFonts w:ascii="Book Antiqua" w:eastAsia="Book Antiqua" w:hAnsi="Book Antiqua" w:cs="Book Antiqua"/>
          <w:color w:val="000000" w:themeColor="text1"/>
        </w:rPr>
        <w:t>Croatia</w:t>
      </w:r>
    </w:p>
    <w:p w14:paraId="492EAE7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Peer-review report’s scientific quality classification</w:t>
      </w:r>
    </w:p>
    <w:p w14:paraId="1EE7196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Grade </w:t>
      </w:r>
      <w:proofErr w:type="gramStart"/>
      <w:r w:rsidRPr="004541C8">
        <w:rPr>
          <w:rFonts w:ascii="Book Antiqua" w:eastAsia="Book Antiqua" w:hAnsi="Book Antiqua" w:cs="Book Antiqua"/>
          <w:color w:val="000000" w:themeColor="text1"/>
        </w:rPr>
        <w:t>A</w:t>
      </w:r>
      <w:proofErr w:type="gramEnd"/>
      <w:r w:rsidRPr="004541C8">
        <w:rPr>
          <w:rFonts w:ascii="Book Antiqua" w:eastAsia="Book Antiqua" w:hAnsi="Book Antiqua" w:cs="Book Antiqua"/>
          <w:color w:val="000000" w:themeColor="text1"/>
        </w:rPr>
        <w:t xml:space="preserve"> (Excellent): 0</w:t>
      </w:r>
    </w:p>
    <w:p w14:paraId="22C6D4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B (Very good): 0</w:t>
      </w:r>
    </w:p>
    <w:p w14:paraId="40DB6F2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C (Good): C</w:t>
      </w:r>
    </w:p>
    <w:p w14:paraId="3D453DD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D (Fair): 0</w:t>
      </w:r>
    </w:p>
    <w:p w14:paraId="2461F37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E (Poor): 0</w:t>
      </w:r>
    </w:p>
    <w:p w14:paraId="5CC5E2F6" w14:textId="77777777" w:rsidR="00A77B3E" w:rsidRPr="004541C8" w:rsidRDefault="00A77B3E" w:rsidP="004541C8">
      <w:pPr>
        <w:snapToGrid w:val="0"/>
        <w:spacing w:line="360" w:lineRule="auto"/>
        <w:jc w:val="both"/>
        <w:rPr>
          <w:color w:val="000000" w:themeColor="text1"/>
        </w:rPr>
      </w:pPr>
    </w:p>
    <w:p w14:paraId="2EA0E331" w14:textId="0C5347C2" w:rsidR="00712681" w:rsidRPr="00F209C0" w:rsidRDefault="009A4518" w:rsidP="004541C8">
      <w:pPr>
        <w:snapToGrid w:val="0"/>
        <w:spacing w:line="360" w:lineRule="auto"/>
        <w:jc w:val="both"/>
        <w:rPr>
          <w:rFonts w:hint="eastAsia"/>
          <w:color w:val="000000" w:themeColor="text1"/>
          <w:lang w:eastAsia="zh-CN"/>
        </w:rPr>
        <w:sectPr w:rsidR="00712681" w:rsidRPr="00F209C0">
          <w:pgSz w:w="12240" w:h="15840"/>
          <w:pgMar w:top="1440" w:right="1440" w:bottom="1440" w:left="1440" w:header="720" w:footer="720" w:gutter="0"/>
          <w:cols w:space="720"/>
          <w:docGrid w:linePitch="360"/>
        </w:sectPr>
      </w:pPr>
      <w:r w:rsidRPr="004541C8">
        <w:rPr>
          <w:rFonts w:ascii="Book Antiqua" w:eastAsia="Book Antiqua" w:hAnsi="Book Antiqua" w:cs="Book Antiqua"/>
          <w:b/>
          <w:color w:val="000000" w:themeColor="text1"/>
        </w:rPr>
        <w:t xml:space="preserve">P-Reviewer: </w:t>
      </w:r>
      <w:r w:rsidRPr="004541C8">
        <w:rPr>
          <w:rFonts w:ascii="Book Antiqua" w:eastAsia="Book Antiqua" w:hAnsi="Book Antiqua" w:cs="Book Antiqua"/>
          <w:color w:val="000000" w:themeColor="text1"/>
        </w:rPr>
        <w:t>Zhang LL</w:t>
      </w:r>
      <w:r w:rsidRPr="004541C8">
        <w:rPr>
          <w:rFonts w:ascii="Book Antiqua" w:eastAsia="Book Antiqua" w:hAnsi="Book Antiqua" w:cs="Book Antiqua"/>
          <w:b/>
          <w:color w:val="000000" w:themeColor="text1"/>
        </w:rPr>
        <w:t xml:space="preserve"> S-Editor: </w:t>
      </w:r>
      <w:proofErr w:type="gramStart"/>
      <w:r w:rsidRPr="004541C8">
        <w:rPr>
          <w:rFonts w:ascii="Book Antiqua" w:eastAsia="Book Antiqua" w:hAnsi="Book Antiqua" w:cs="Book Antiqua"/>
          <w:color w:val="000000" w:themeColor="text1"/>
        </w:rPr>
        <w:t>Gao</w:t>
      </w:r>
      <w:proofErr w:type="gramEnd"/>
      <w:r w:rsidRPr="004541C8">
        <w:rPr>
          <w:rFonts w:ascii="Book Antiqua" w:eastAsia="Book Antiqua" w:hAnsi="Book Antiqua" w:cs="Book Antiqua"/>
          <w:color w:val="000000" w:themeColor="text1"/>
        </w:rPr>
        <w:t xml:space="preserve"> CC</w:t>
      </w:r>
      <w:r w:rsidRPr="004541C8">
        <w:rPr>
          <w:rFonts w:ascii="Book Antiqua" w:eastAsia="Book Antiqua" w:hAnsi="Book Antiqua" w:cs="Book Antiqua"/>
          <w:b/>
          <w:color w:val="000000" w:themeColor="text1"/>
        </w:rPr>
        <w:t xml:space="preserve"> L-Editor: </w:t>
      </w:r>
      <w:proofErr w:type="spellStart"/>
      <w:r w:rsidR="004814D6" w:rsidRPr="004541C8">
        <w:rPr>
          <w:rFonts w:ascii="Book Antiqua" w:eastAsia="Book Antiqua" w:hAnsi="Book Antiqua" w:cs="Book Antiqua"/>
          <w:bCs/>
          <w:color w:val="000000" w:themeColor="text1"/>
        </w:rPr>
        <w:t>Filipodia</w:t>
      </w:r>
      <w:proofErr w:type="spellEnd"/>
      <w:r w:rsidRPr="004541C8">
        <w:rPr>
          <w:rFonts w:ascii="Book Antiqua" w:eastAsia="Book Antiqua" w:hAnsi="Book Antiqua" w:cs="Book Antiqua"/>
          <w:b/>
          <w:color w:val="000000" w:themeColor="text1"/>
        </w:rPr>
        <w:t xml:space="preserve"> P-Editor: </w:t>
      </w:r>
      <w:r w:rsidR="00F209C0" w:rsidRPr="00F209C0">
        <w:rPr>
          <w:rFonts w:ascii="Book Antiqua" w:hAnsi="Book Antiqua" w:cs="Book Antiqua" w:hint="eastAsia"/>
          <w:color w:val="000000" w:themeColor="text1"/>
          <w:lang w:eastAsia="zh-CN"/>
        </w:rPr>
        <w:t>Wang LYT</w:t>
      </w:r>
    </w:p>
    <w:p w14:paraId="6D3890E3" w14:textId="77777777" w:rsidR="00A77B3E" w:rsidRPr="004541C8" w:rsidRDefault="009A4518" w:rsidP="004541C8">
      <w:pPr>
        <w:snapToGrid w:val="0"/>
        <w:spacing w:line="360" w:lineRule="auto"/>
        <w:jc w:val="both"/>
        <w:rPr>
          <w:rFonts w:ascii="Book Antiqua" w:eastAsia="Book Antiqua" w:hAnsi="Book Antiqua" w:cs="Book Antiqua"/>
          <w:b/>
          <w:color w:val="000000" w:themeColor="text1"/>
        </w:rPr>
      </w:pPr>
      <w:r w:rsidRPr="004541C8">
        <w:rPr>
          <w:rFonts w:ascii="Book Antiqua" w:eastAsia="Book Antiqua" w:hAnsi="Book Antiqua" w:cs="Book Antiqua"/>
          <w:b/>
          <w:color w:val="000000" w:themeColor="text1"/>
        </w:rPr>
        <w:lastRenderedPageBreak/>
        <w:t>Figure Legends</w:t>
      </w:r>
    </w:p>
    <w:p w14:paraId="2E1B363F" w14:textId="58398B24" w:rsidR="003032EE" w:rsidRPr="004541C8" w:rsidRDefault="008B3458" w:rsidP="004541C8">
      <w:pPr>
        <w:snapToGrid w:val="0"/>
        <w:spacing w:line="360" w:lineRule="auto"/>
        <w:jc w:val="both"/>
        <w:rPr>
          <w:color w:val="000000" w:themeColor="text1"/>
        </w:rPr>
      </w:pPr>
      <w:r w:rsidRPr="004541C8">
        <w:rPr>
          <w:noProof/>
          <w:color w:val="000000" w:themeColor="text1"/>
          <w:lang w:eastAsia="zh-CN"/>
        </w:rPr>
        <w:drawing>
          <wp:inline distT="0" distB="0" distL="0" distR="0" wp14:anchorId="2F8ED8BB" wp14:editId="7C4F7173">
            <wp:extent cx="4133469" cy="45929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861" cy="4601133"/>
                    </a:xfrm>
                    <a:prstGeom prst="rect">
                      <a:avLst/>
                    </a:prstGeom>
                    <a:noFill/>
                  </pic:spPr>
                </pic:pic>
              </a:graphicData>
            </a:graphic>
          </wp:inline>
        </w:drawing>
      </w:r>
    </w:p>
    <w:p w14:paraId="64FCEA5F" w14:textId="5E86F214" w:rsidR="00C6711A" w:rsidRPr="004541C8" w:rsidRDefault="009A4518" w:rsidP="004541C8">
      <w:pPr>
        <w:snapToGrid w:val="0"/>
        <w:spacing w:line="360" w:lineRule="auto"/>
        <w:jc w:val="both"/>
        <w:rPr>
          <w:rFonts w:ascii="Book Antiqua" w:eastAsia="Book Antiqua" w:hAnsi="Book Antiqua" w:cs="Book Antiqua"/>
          <w:color w:val="000000" w:themeColor="text1"/>
        </w:rPr>
      </w:pPr>
      <w:r w:rsidRPr="004541C8">
        <w:rPr>
          <w:rFonts w:ascii="Book Antiqua" w:eastAsia="Book Antiqua" w:hAnsi="Book Antiqua" w:cs="Book Antiqua"/>
          <w:b/>
          <w:bCs/>
          <w:color w:val="000000" w:themeColor="text1"/>
        </w:rPr>
        <w:t xml:space="preserve">Figure 1 Change in average </w:t>
      </w:r>
      <w:r w:rsidR="008A2EDA" w:rsidRPr="004541C8">
        <w:rPr>
          <w:rFonts w:ascii="Book Antiqua" w:eastAsia="Book Antiqua" w:hAnsi="Book Antiqua" w:cs="Book Antiqua"/>
          <w:b/>
          <w:bCs/>
          <w:color w:val="000000" w:themeColor="text1"/>
        </w:rPr>
        <w:t xml:space="preserve">hemoglobin </w:t>
      </w:r>
      <w:proofErr w:type="gramStart"/>
      <w:r w:rsidR="008A2EDA" w:rsidRPr="004541C8">
        <w:rPr>
          <w:rFonts w:ascii="Book Antiqua" w:eastAsia="Book Antiqua" w:hAnsi="Book Antiqua" w:cs="Book Antiqua"/>
          <w:b/>
          <w:bCs/>
          <w:color w:val="000000" w:themeColor="text1"/>
        </w:rPr>
        <w:t>A1c</w:t>
      </w:r>
      <w:proofErr w:type="gramEnd"/>
      <w:r w:rsidRPr="004541C8">
        <w:rPr>
          <w:rFonts w:ascii="Book Antiqua" w:eastAsia="Book Antiqua" w:hAnsi="Book Antiqua" w:cs="Book Antiqua"/>
          <w:b/>
          <w:bCs/>
          <w:color w:val="000000" w:themeColor="text1"/>
        </w:rPr>
        <w:t xml:space="preserve"> and body mass index according to therapy group and time point </w:t>
      </w:r>
      <w:r w:rsidR="002425A7" w:rsidRPr="004541C8">
        <w:rPr>
          <w:rFonts w:ascii="Book Antiqua" w:eastAsia="Book Antiqua" w:hAnsi="Book Antiqua" w:cs="Book Antiqua"/>
          <w:b/>
          <w:bCs/>
          <w:color w:val="000000" w:themeColor="text1"/>
        </w:rPr>
        <w:t>[</w:t>
      </w:r>
      <w:r w:rsidRPr="004541C8">
        <w:rPr>
          <w:rFonts w:ascii="Book Antiqua" w:eastAsia="Book Antiqua" w:hAnsi="Book Antiqua" w:cs="Book Antiqua"/>
          <w:b/>
          <w:bCs/>
          <w:color w:val="000000" w:themeColor="text1"/>
        </w:rPr>
        <w:t xml:space="preserve">baseline, 6 </w:t>
      </w:r>
      <w:proofErr w:type="spellStart"/>
      <w:r w:rsidRPr="004541C8">
        <w:rPr>
          <w:rFonts w:ascii="Book Antiqua" w:eastAsia="Book Antiqua" w:hAnsi="Book Antiqua" w:cs="Book Antiqua"/>
          <w:b/>
          <w:bCs/>
          <w:color w:val="000000" w:themeColor="text1"/>
        </w:rPr>
        <w:t>mo</w:t>
      </w:r>
      <w:proofErr w:type="spellEnd"/>
      <w:r w:rsidRPr="004541C8">
        <w:rPr>
          <w:rFonts w:ascii="Book Antiqua" w:eastAsia="Book Antiqua" w:hAnsi="Book Antiqua" w:cs="Book Antiqua"/>
          <w:b/>
          <w:bCs/>
          <w:color w:val="000000" w:themeColor="text1"/>
        </w:rPr>
        <w:t xml:space="preserve"> (control), and </w:t>
      </w:r>
      <w:r w:rsidR="008A2EDA" w:rsidRPr="004541C8">
        <w:rPr>
          <w:rFonts w:ascii="Book Antiqua" w:eastAsia="Book Antiqua" w:hAnsi="Book Antiqua" w:cs="Book Antiqua"/>
          <w:b/>
          <w:bCs/>
          <w:color w:val="000000" w:themeColor="text1"/>
        </w:rPr>
        <w:t>1</w:t>
      </w:r>
      <w:r w:rsidRPr="004541C8">
        <w:rPr>
          <w:rFonts w:ascii="Book Antiqua" w:eastAsia="Book Antiqua" w:hAnsi="Book Antiqua" w:cs="Book Antiqua"/>
          <w:b/>
          <w:bCs/>
          <w:color w:val="000000" w:themeColor="text1"/>
        </w:rPr>
        <w:t xml:space="preserve"> year</w:t>
      </w:r>
      <w:r w:rsidR="002425A7" w:rsidRPr="004541C8">
        <w:rPr>
          <w:rFonts w:ascii="Book Antiqua" w:eastAsia="Book Antiqua" w:hAnsi="Book Antiqua" w:cs="Book Antiqua"/>
          <w:b/>
          <w:bCs/>
          <w:color w:val="000000" w:themeColor="text1"/>
        </w:rPr>
        <w:t>].</w:t>
      </w:r>
      <w:r w:rsidR="002425A7" w:rsidRPr="004541C8">
        <w:rPr>
          <w:rFonts w:ascii="Book Antiqua" w:eastAsia="Book Antiqua" w:hAnsi="Book Antiqua" w:cs="Book Antiqua"/>
          <w:color w:val="000000" w:themeColor="text1"/>
        </w:rPr>
        <w:t xml:space="preserve"> A: Hemoglobin </w:t>
      </w:r>
      <w:proofErr w:type="gramStart"/>
      <w:r w:rsidR="002425A7" w:rsidRPr="004541C8">
        <w:rPr>
          <w:rFonts w:ascii="Book Antiqua" w:eastAsia="Book Antiqua" w:hAnsi="Book Antiqua" w:cs="Book Antiqua"/>
          <w:color w:val="000000" w:themeColor="text1"/>
        </w:rPr>
        <w:t>A1c</w:t>
      </w:r>
      <w:proofErr w:type="gramEnd"/>
      <w:r w:rsidR="00F32AC0">
        <w:rPr>
          <w:rFonts w:ascii="Book Antiqua" w:eastAsia="Book Antiqua" w:hAnsi="Book Antiqua" w:cs="Book Antiqua"/>
          <w:color w:val="000000" w:themeColor="text1"/>
        </w:rPr>
        <w:t xml:space="preserve"> (HbA1c)</w:t>
      </w:r>
      <w:r w:rsidR="002425A7" w:rsidRPr="004541C8">
        <w:rPr>
          <w:rFonts w:ascii="Book Antiqua" w:eastAsia="Book Antiqua" w:hAnsi="Book Antiqua" w:cs="Book Antiqua"/>
          <w:color w:val="000000" w:themeColor="text1"/>
        </w:rPr>
        <w:t>; B: Body mass index</w:t>
      </w:r>
      <w:r w:rsidR="00F32AC0">
        <w:rPr>
          <w:rFonts w:ascii="Book Antiqua" w:eastAsia="Book Antiqua" w:hAnsi="Book Antiqua" w:cs="Book Antiqua"/>
          <w:color w:val="000000" w:themeColor="text1"/>
        </w:rPr>
        <w:t xml:space="preserve"> (BMI)</w:t>
      </w:r>
      <w:r w:rsidR="002425A7" w:rsidRPr="004541C8">
        <w:rPr>
          <w:rFonts w:ascii="Book Antiqua" w:eastAsia="Book Antiqua" w:hAnsi="Book Antiqua" w:cs="Book Antiqua"/>
          <w:color w:val="000000" w:themeColor="text1"/>
        </w:rPr>
        <w:t xml:space="preserve">. </w:t>
      </w:r>
      <w:r w:rsidR="003032EE" w:rsidRPr="004541C8">
        <w:rPr>
          <w:rFonts w:ascii="Book Antiqua" w:eastAsia="Book Antiqua" w:hAnsi="Book Antiqua" w:cs="Book Antiqua"/>
          <w:color w:val="000000" w:themeColor="text1"/>
        </w:rPr>
        <w:t>GLP-1: Glucagon-like-1</w:t>
      </w:r>
      <w:r w:rsidR="00C930BB">
        <w:rPr>
          <w:rFonts w:ascii="Book Antiqua" w:eastAsia="Book Antiqua" w:hAnsi="Book Antiqua" w:cs="Book Antiqua"/>
          <w:color w:val="000000" w:themeColor="text1"/>
        </w:rPr>
        <w:t>;</w:t>
      </w:r>
      <w:r w:rsidR="00C930BB" w:rsidRPr="00C930BB">
        <w:rPr>
          <w:rFonts w:ascii="Book Antiqua" w:eastAsia="Book Antiqua" w:hAnsi="Book Antiqua" w:cs="Book Antiqua"/>
          <w:color w:val="000000" w:themeColor="text1"/>
        </w:rPr>
        <w:t xml:space="preserve"> </w:t>
      </w:r>
      <w:r w:rsidR="00C930BB" w:rsidRPr="00246479">
        <w:rPr>
          <w:rFonts w:ascii="Book Antiqua" w:eastAsia="Book Antiqua" w:hAnsi="Book Antiqua" w:cs="Book Antiqua"/>
          <w:color w:val="000000" w:themeColor="text1"/>
        </w:rPr>
        <w:t>SGLT2: Sodium/glucose cotransporter</w:t>
      </w:r>
      <w:r w:rsidR="00521E5F">
        <w:rPr>
          <w:rFonts w:ascii="Book Antiqua" w:eastAsia="Book Antiqua" w:hAnsi="Book Antiqua" w:cs="Book Antiqua"/>
          <w:color w:val="000000" w:themeColor="text1"/>
        </w:rPr>
        <w:t>-</w:t>
      </w:r>
      <w:r w:rsidR="00C930BB" w:rsidRPr="00246479">
        <w:rPr>
          <w:rFonts w:ascii="Book Antiqua" w:eastAsia="Book Antiqua" w:hAnsi="Book Antiqua" w:cs="Book Antiqua"/>
          <w:color w:val="000000" w:themeColor="text1"/>
        </w:rPr>
        <w:t>2</w:t>
      </w:r>
      <w:r w:rsidR="00C930BB">
        <w:rPr>
          <w:rFonts w:ascii="Book Antiqua" w:eastAsia="Book Antiqua" w:hAnsi="Book Antiqua" w:cs="Book Antiqua"/>
          <w:color w:val="000000" w:themeColor="text1"/>
        </w:rPr>
        <w:t>.</w:t>
      </w:r>
    </w:p>
    <w:p w14:paraId="55B83665" w14:textId="5AB0A688" w:rsidR="00C6711A" w:rsidRPr="004541C8" w:rsidRDefault="00C6711A" w:rsidP="004541C8">
      <w:pPr>
        <w:pStyle w:val="a7"/>
        <w:shd w:val="clear" w:color="auto" w:fill="FFFFFF"/>
        <w:snapToGrid w:val="0"/>
        <w:spacing w:before="0" w:after="0" w:line="360" w:lineRule="auto"/>
        <w:jc w:val="both"/>
        <w:rPr>
          <w:rFonts w:ascii="Book Antiqua" w:hAnsi="Book Antiqua"/>
          <w:b/>
          <w:color w:val="000000" w:themeColor="text1"/>
        </w:rPr>
      </w:pPr>
      <w:r w:rsidRPr="004541C8">
        <w:rPr>
          <w:rFonts w:ascii="Book Antiqua" w:eastAsia="Book Antiqua" w:hAnsi="Book Antiqua" w:cs="Book Antiqua"/>
          <w:color w:val="000000" w:themeColor="text1"/>
        </w:rPr>
        <w:br w:type="page"/>
      </w:r>
      <w:r w:rsidRPr="004541C8">
        <w:rPr>
          <w:rFonts w:ascii="Book Antiqua" w:hAnsi="Book Antiqua" w:cs="Arial"/>
          <w:b/>
          <w:color w:val="000000" w:themeColor="text1"/>
        </w:rPr>
        <w:lastRenderedPageBreak/>
        <w:t>Table 1 Baseline characteristics of subjects at the time</w:t>
      </w:r>
      <w:r w:rsidRPr="004541C8">
        <w:rPr>
          <w:rFonts w:ascii="Book Antiqua" w:hAnsi="Book Antiqua"/>
          <w:b/>
          <w:color w:val="000000" w:themeColor="text1"/>
        </w:rPr>
        <w:t xml:space="preserve"> of therapy initiation </w:t>
      </w:r>
    </w:p>
    <w:tbl>
      <w:tblPr>
        <w:tblW w:w="5000" w:type="pct"/>
        <w:tblLook w:val="04A0" w:firstRow="1" w:lastRow="0" w:firstColumn="1" w:lastColumn="0" w:noHBand="0" w:noVBand="1"/>
      </w:tblPr>
      <w:tblGrid>
        <w:gridCol w:w="3245"/>
        <w:gridCol w:w="900"/>
        <w:gridCol w:w="807"/>
        <w:gridCol w:w="1142"/>
        <w:gridCol w:w="1426"/>
        <w:gridCol w:w="1441"/>
        <w:gridCol w:w="615"/>
      </w:tblGrid>
      <w:tr w:rsidR="00E67962" w:rsidRPr="00E67962" w14:paraId="322BF9F5" w14:textId="77777777" w:rsidTr="00C6711A">
        <w:tc>
          <w:tcPr>
            <w:tcW w:w="0" w:type="auto"/>
            <w:tcBorders>
              <w:top w:val="single" w:sz="4" w:space="0" w:color="auto"/>
              <w:bottom w:val="single" w:sz="4" w:space="0" w:color="auto"/>
            </w:tcBorders>
            <w:shd w:val="clear" w:color="auto" w:fill="auto"/>
          </w:tcPr>
          <w:p w14:paraId="170BB283" w14:textId="77777777" w:rsidR="00C6711A" w:rsidRPr="004541C8" w:rsidRDefault="00C6711A" w:rsidP="007F2BD5">
            <w:pPr>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shd w:val="clear" w:color="auto" w:fill="auto"/>
          </w:tcPr>
          <w:p w14:paraId="36CBFBB2"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Mean</w:t>
            </w:r>
          </w:p>
        </w:tc>
        <w:tc>
          <w:tcPr>
            <w:tcW w:w="0" w:type="auto"/>
            <w:tcBorders>
              <w:top w:val="single" w:sz="4" w:space="0" w:color="auto"/>
              <w:bottom w:val="single" w:sz="4" w:space="0" w:color="auto"/>
            </w:tcBorders>
            <w:shd w:val="clear" w:color="auto" w:fill="auto"/>
          </w:tcPr>
          <w:p w14:paraId="4A83A6AB"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379DC124"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Median</w:t>
            </w:r>
          </w:p>
        </w:tc>
        <w:tc>
          <w:tcPr>
            <w:tcW w:w="0" w:type="auto"/>
            <w:tcBorders>
              <w:top w:val="single" w:sz="4" w:space="0" w:color="auto"/>
              <w:bottom w:val="single" w:sz="4" w:space="0" w:color="auto"/>
            </w:tcBorders>
            <w:shd w:val="clear" w:color="auto" w:fill="auto"/>
          </w:tcPr>
          <w:p w14:paraId="3A0765CF"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Minimum</w:t>
            </w:r>
          </w:p>
        </w:tc>
        <w:tc>
          <w:tcPr>
            <w:tcW w:w="0" w:type="auto"/>
            <w:tcBorders>
              <w:top w:val="single" w:sz="4" w:space="0" w:color="auto"/>
              <w:bottom w:val="single" w:sz="4" w:space="0" w:color="auto"/>
            </w:tcBorders>
            <w:shd w:val="clear" w:color="auto" w:fill="auto"/>
          </w:tcPr>
          <w:p w14:paraId="48D986F9"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Maximum</w:t>
            </w:r>
          </w:p>
        </w:tc>
        <w:tc>
          <w:tcPr>
            <w:tcW w:w="0" w:type="auto"/>
            <w:tcBorders>
              <w:top w:val="single" w:sz="4" w:space="0" w:color="auto"/>
              <w:bottom w:val="single" w:sz="4" w:space="0" w:color="auto"/>
            </w:tcBorders>
            <w:shd w:val="clear" w:color="auto" w:fill="auto"/>
          </w:tcPr>
          <w:p w14:paraId="5C1BD0F4" w14:textId="77777777" w:rsidR="00C6711A" w:rsidRPr="004541C8" w:rsidRDefault="003B0A7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n</w:t>
            </w:r>
          </w:p>
        </w:tc>
      </w:tr>
      <w:tr w:rsidR="00E67962" w:rsidRPr="00E67962" w14:paraId="6CE4A290" w14:textId="77777777" w:rsidTr="00C6711A">
        <w:tc>
          <w:tcPr>
            <w:tcW w:w="0" w:type="auto"/>
            <w:tcBorders>
              <w:top w:val="single" w:sz="4" w:space="0" w:color="auto"/>
            </w:tcBorders>
            <w:shd w:val="clear" w:color="auto" w:fill="auto"/>
          </w:tcPr>
          <w:p w14:paraId="5C20F34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Age, yr</w:t>
            </w:r>
          </w:p>
        </w:tc>
        <w:tc>
          <w:tcPr>
            <w:tcW w:w="0" w:type="auto"/>
            <w:tcBorders>
              <w:top w:val="single" w:sz="4" w:space="0" w:color="auto"/>
            </w:tcBorders>
            <w:shd w:val="clear" w:color="auto" w:fill="auto"/>
          </w:tcPr>
          <w:p w14:paraId="7721213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62.12</w:t>
            </w:r>
          </w:p>
        </w:tc>
        <w:tc>
          <w:tcPr>
            <w:tcW w:w="0" w:type="auto"/>
            <w:tcBorders>
              <w:top w:val="single" w:sz="4" w:space="0" w:color="auto"/>
            </w:tcBorders>
            <w:shd w:val="clear" w:color="auto" w:fill="auto"/>
          </w:tcPr>
          <w:p w14:paraId="4D04069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9.49</w:t>
            </w:r>
          </w:p>
        </w:tc>
        <w:tc>
          <w:tcPr>
            <w:tcW w:w="0" w:type="auto"/>
            <w:tcBorders>
              <w:top w:val="single" w:sz="4" w:space="0" w:color="auto"/>
            </w:tcBorders>
            <w:shd w:val="clear" w:color="auto" w:fill="auto"/>
          </w:tcPr>
          <w:p w14:paraId="2E7D669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63</w:t>
            </w:r>
          </w:p>
        </w:tc>
        <w:tc>
          <w:tcPr>
            <w:tcW w:w="0" w:type="auto"/>
            <w:tcBorders>
              <w:top w:val="single" w:sz="4" w:space="0" w:color="auto"/>
            </w:tcBorders>
            <w:shd w:val="clear" w:color="auto" w:fill="auto"/>
          </w:tcPr>
          <w:p w14:paraId="1BD6386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37</w:t>
            </w:r>
          </w:p>
        </w:tc>
        <w:tc>
          <w:tcPr>
            <w:tcW w:w="0" w:type="auto"/>
            <w:tcBorders>
              <w:top w:val="single" w:sz="4" w:space="0" w:color="auto"/>
            </w:tcBorders>
            <w:shd w:val="clear" w:color="auto" w:fill="auto"/>
          </w:tcPr>
          <w:p w14:paraId="043E971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86</w:t>
            </w:r>
          </w:p>
        </w:tc>
        <w:tc>
          <w:tcPr>
            <w:tcW w:w="0" w:type="auto"/>
            <w:tcBorders>
              <w:top w:val="single" w:sz="4" w:space="0" w:color="auto"/>
            </w:tcBorders>
            <w:shd w:val="clear" w:color="auto" w:fill="auto"/>
          </w:tcPr>
          <w:p w14:paraId="7036443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r>
      <w:tr w:rsidR="00E67962" w:rsidRPr="00E67962" w14:paraId="6D723926" w14:textId="77777777" w:rsidTr="00C6711A">
        <w:tc>
          <w:tcPr>
            <w:tcW w:w="0" w:type="auto"/>
            <w:shd w:val="clear" w:color="auto" w:fill="auto"/>
          </w:tcPr>
          <w:p w14:paraId="1A3D566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Duration of diabetes, y</w:t>
            </w:r>
            <w:r w:rsidR="003B0A70" w:rsidRPr="004541C8">
              <w:rPr>
                <w:rFonts w:ascii="Book Antiqua" w:hAnsi="Book Antiqua"/>
                <w:color w:val="000000" w:themeColor="text1"/>
              </w:rPr>
              <w:t>r</w:t>
            </w:r>
          </w:p>
        </w:tc>
        <w:tc>
          <w:tcPr>
            <w:tcW w:w="0" w:type="auto"/>
            <w:shd w:val="clear" w:color="auto" w:fill="auto"/>
          </w:tcPr>
          <w:p w14:paraId="3E27F95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11.67</w:t>
            </w:r>
          </w:p>
        </w:tc>
        <w:tc>
          <w:tcPr>
            <w:tcW w:w="0" w:type="auto"/>
            <w:shd w:val="clear" w:color="auto" w:fill="auto"/>
          </w:tcPr>
          <w:p w14:paraId="1E95759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6.18</w:t>
            </w:r>
          </w:p>
        </w:tc>
        <w:tc>
          <w:tcPr>
            <w:tcW w:w="0" w:type="auto"/>
            <w:shd w:val="clear" w:color="auto" w:fill="auto"/>
          </w:tcPr>
          <w:p w14:paraId="66CD0CC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w:t>
            </w:r>
          </w:p>
        </w:tc>
        <w:tc>
          <w:tcPr>
            <w:tcW w:w="0" w:type="auto"/>
            <w:shd w:val="clear" w:color="auto" w:fill="auto"/>
          </w:tcPr>
          <w:p w14:paraId="63700FD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w:t>
            </w:r>
          </w:p>
        </w:tc>
        <w:tc>
          <w:tcPr>
            <w:tcW w:w="0" w:type="auto"/>
            <w:shd w:val="clear" w:color="auto" w:fill="auto"/>
          </w:tcPr>
          <w:p w14:paraId="5D1CE4B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w:t>
            </w:r>
          </w:p>
        </w:tc>
        <w:tc>
          <w:tcPr>
            <w:tcW w:w="0" w:type="auto"/>
            <w:shd w:val="clear" w:color="auto" w:fill="auto"/>
          </w:tcPr>
          <w:p w14:paraId="387EA44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196</w:t>
            </w:r>
          </w:p>
        </w:tc>
      </w:tr>
      <w:tr w:rsidR="00E67962" w:rsidRPr="00E67962" w14:paraId="42F90CFE" w14:textId="77777777" w:rsidTr="00C6711A">
        <w:tc>
          <w:tcPr>
            <w:tcW w:w="0" w:type="auto"/>
            <w:shd w:val="clear" w:color="auto" w:fill="auto"/>
          </w:tcPr>
          <w:p w14:paraId="5207477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HbA1c</w:t>
            </w:r>
            <w:r w:rsidR="003B0A70" w:rsidRPr="004541C8">
              <w:rPr>
                <w:rFonts w:ascii="Book Antiqua" w:hAnsi="Book Antiqua"/>
                <w:color w:val="000000" w:themeColor="text1"/>
              </w:rPr>
              <w:t>,</w:t>
            </w:r>
            <w:r w:rsidRPr="004541C8">
              <w:rPr>
                <w:rFonts w:ascii="Book Antiqua" w:hAnsi="Book Antiqua"/>
                <w:color w:val="000000" w:themeColor="text1"/>
              </w:rPr>
              <w:t xml:space="preserve"> %</w:t>
            </w:r>
          </w:p>
        </w:tc>
        <w:tc>
          <w:tcPr>
            <w:tcW w:w="0" w:type="auto"/>
            <w:shd w:val="clear" w:color="auto" w:fill="auto"/>
          </w:tcPr>
          <w:p w14:paraId="7C4D5FF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8.32</w:t>
            </w:r>
          </w:p>
        </w:tc>
        <w:tc>
          <w:tcPr>
            <w:tcW w:w="0" w:type="auto"/>
            <w:shd w:val="clear" w:color="auto" w:fill="auto"/>
          </w:tcPr>
          <w:p w14:paraId="3F6883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0" w:type="auto"/>
            <w:shd w:val="clear" w:color="auto" w:fill="auto"/>
          </w:tcPr>
          <w:p w14:paraId="277EBD3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8.20</w:t>
            </w:r>
          </w:p>
        </w:tc>
        <w:tc>
          <w:tcPr>
            <w:tcW w:w="0" w:type="auto"/>
            <w:shd w:val="clear" w:color="auto" w:fill="auto"/>
          </w:tcPr>
          <w:p w14:paraId="442D672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5.60</w:t>
            </w:r>
          </w:p>
        </w:tc>
        <w:tc>
          <w:tcPr>
            <w:tcW w:w="0" w:type="auto"/>
            <w:shd w:val="clear" w:color="auto" w:fill="auto"/>
          </w:tcPr>
          <w:p w14:paraId="1CDA44C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13.60</w:t>
            </w:r>
          </w:p>
        </w:tc>
        <w:tc>
          <w:tcPr>
            <w:tcW w:w="0" w:type="auto"/>
            <w:shd w:val="clear" w:color="auto" w:fill="auto"/>
          </w:tcPr>
          <w:p w14:paraId="7C8CDCA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r>
      <w:tr w:rsidR="00E67962" w:rsidRPr="00E67962" w14:paraId="3E5A836D" w14:textId="77777777" w:rsidTr="00C6711A">
        <w:tc>
          <w:tcPr>
            <w:tcW w:w="0" w:type="auto"/>
            <w:shd w:val="clear" w:color="auto" w:fill="auto"/>
          </w:tcPr>
          <w:p w14:paraId="6774338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6FE9B84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9.82</w:t>
            </w:r>
          </w:p>
        </w:tc>
        <w:tc>
          <w:tcPr>
            <w:tcW w:w="0" w:type="auto"/>
            <w:shd w:val="clear" w:color="auto" w:fill="auto"/>
          </w:tcPr>
          <w:p w14:paraId="744F6DC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2.88</w:t>
            </w:r>
          </w:p>
        </w:tc>
        <w:tc>
          <w:tcPr>
            <w:tcW w:w="0" w:type="auto"/>
            <w:shd w:val="clear" w:color="auto" w:fill="auto"/>
          </w:tcPr>
          <w:p w14:paraId="26328FF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9.60</w:t>
            </w:r>
          </w:p>
        </w:tc>
        <w:tc>
          <w:tcPr>
            <w:tcW w:w="0" w:type="auto"/>
            <w:shd w:val="clear" w:color="auto" w:fill="auto"/>
          </w:tcPr>
          <w:p w14:paraId="7CC973C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3.40</w:t>
            </w:r>
          </w:p>
        </w:tc>
        <w:tc>
          <w:tcPr>
            <w:tcW w:w="0" w:type="auto"/>
            <w:shd w:val="clear" w:color="auto" w:fill="auto"/>
          </w:tcPr>
          <w:p w14:paraId="576CA2D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20.30</w:t>
            </w:r>
          </w:p>
        </w:tc>
        <w:tc>
          <w:tcPr>
            <w:tcW w:w="0" w:type="auto"/>
            <w:shd w:val="clear" w:color="auto" w:fill="auto"/>
          </w:tcPr>
          <w:p w14:paraId="7DAF04D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r>
      <w:tr w:rsidR="00E67962" w:rsidRPr="00E67962" w14:paraId="163E4999" w14:textId="77777777" w:rsidTr="00C6711A">
        <w:tc>
          <w:tcPr>
            <w:tcW w:w="0" w:type="auto"/>
            <w:shd w:val="clear" w:color="auto" w:fill="auto"/>
          </w:tcPr>
          <w:p w14:paraId="3170D13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PPG</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501775B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11.17</w:t>
            </w:r>
          </w:p>
        </w:tc>
        <w:tc>
          <w:tcPr>
            <w:tcW w:w="0" w:type="auto"/>
            <w:shd w:val="clear" w:color="auto" w:fill="auto"/>
          </w:tcPr>
          <w:p w14:paraId="2F0C9B1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3.23</w:t>
            </w:r>
          </w:p>
        </w:tc>
        <w:tc>
          <w:tcPr>
            <w:tcW w:w="0" w:type="auto"/>
            <w:shd w:val="clear" w:color="auto" w:fill="auto"/>
          </w:tcPr>
          <w:p w14:paraId="11A5B8F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10.90</w:t>
            </w:r>
          </w:p>
        </w:tc>
        <w:tc>
          <w:tcPr>
            <w:tcW w:w="0" w:type="auto"/>
            <w:shd w:val="clear" w:color="auto" w:fill="auto"/>
          </w:tcPr>
          <w:p w14:paraId="1DB6854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4.50</w:t>
            </w:r>
          </w:p>
        </w:tc>
        <w:tc>
          <w:tcPr>
            <w:tcW w:w="0" w:type="auto"/>
            <w:shd w:val="clear" w:color="auto" w:fill="auto"/>
          </w:tcPr>
          <w:p w14:paraId="7E238D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24.30</w:t>
            </w:r>
          </w:p>
        </w:tc>
        <w:tc>
          <w:tcPr>
            <w:tcW w:w="0" w:type="auto"/>
            <w:shd w:val="clear" w:color="auto" w:fill="auto"/>
          </w:tcPr>
          <w:p w14:paraId="34ED7F6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r>
      <w:tr w:rsidR="00E67962" w:rsidRPr="00E67962" w14:paraId="474F73A0" w14:textId="77777777" w:rsidTr="00C6711A">
        <w:tc>
          <w:tcPr>
            <w:tcW w:w="0" w:type="auto"/>
            <w:shd w:val="clear" w:color="auto" w:fill="auto"/>
          </w:tcPr>
          <w:p w14:paraId="6E9A339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Urea</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2CBB27B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6.38</w:t>
            </w:r>
          </w:p>
        </w:tc>
        <w:tc>
          <w:tcPr>
            <w:tcW w:w="0" w:type="auto"/>
            <w:shd w:val="clear" w:color="auto" w:fill="auto"/>
          </w:tcPr>
          <w:p w14:paraId="22EF5FF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1.83</w:t>
            </w:r>
          </w:p>
        </w:tc>
        <w:tc>
          <w:tcPr>
            <w:tcW w:w="0" w:type="auto"/>
            <w:shd w:val="clear" w:color="auto" w:fill="auto"/>
          </w:tcPr>
          <w:p w14:paraId="5440467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6.10</w:t>
            </w:r>
          </w:p>
        </w:tc>
        <w:tc>
          <w:tcPr>
            <w:tcW w:w="0" w:type="auto"/>
            <w:shd w:val="clear" w:color="auto" w:fill="auto"/>
          </w:tcPr>
          <w:p w14:paraId="40DC19A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2.80</w:t>
            </w:r>
          </w:p>
        </w:tc>
        <w:tc>
          <w:tcPr>
            <w:tcW w:w="0" w:type="auto"/>
            <w:shd w:val="clear" w:color="auto" w:fill="auto"/>
          </w:tcPr>
          <w:p w14:paraId="56CFD32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11.80</w:t>
            </w:r>
          </w:p>
        </w:tc>
        <w:tc>
          <w:tcPr>
            <w:tcW w:w="0" w:type="auto"/>
            <w:shd w:val="clear" w:color="auto" w:fill="auto"/>
          </w:tcPr>
          <w:p w14:paraId="7DE4A30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89</w:t>
            </w:r>
          </w:p>
        </w:tc>
      </w:tr>
      <w:tr w:rsidR="00E67962" w:rsidRPr="00E67962" w14:paraId="3C757A34" w14:textId="77777777" w:rsidTr="00C6711A">
        <w:tc>
          <w:tcPr>
            <w:tcW w:w="0" w:type="auto"/>
            <w:shd w:val="clear" w:color="auto" w:fill="auto"/>
          </w:tcPr>
          <w:p w14:paraId="4E13959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Creatinine</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605DD0B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73.82</w:t>
            </w:r>
          </w:p>
        </w:tc>
        <w:tc>
          <w:tcPr>
            <w:tcW w:w="0" w:type="auto"/>
            <w:shd w:val="clear" w:color="auto" w:fill="auto"/>
          </w:tcPr>
          <w:p w14:paraId="0A1CCBA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20.41</w:t>
            </w:r>
          </w:p>
        </w:tc>
        <w:tc>
          <w:tcPr>
            <w:tcW w:w="0" w:type="auto"/>
            <w:shd w:val="clear" w:color="auto" w:fill="auto"/>
          </w:tcPr>
          <w:p w14:paraId="0DBEABD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71.00</w:t>
            </w:r>
          </w:p>
        </w:tc>
        <w:tc>
          <w:tcPr>
            <w:tcW w:w="0" w:type="auto"/>
            <w:shd w:val="clear" w:color="auto" w:fill="auto"/>
          </w:tcPr>
          <w:p w14:paraId="66D2A0C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29.00</w:t>
            </w:r>
          </w:p>
        </w:tc>
        <w:tc>
          <w:tcPr>
            <w:tcW w:w="0" w:type="auto"/>
            <w:shd w:val="clear" w:color="auto" w:fill="auto"/>
          </w:tcPr>
          <w:p w14:paraId="396EFE6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163.00</w:t>
            </w:r>
          </w:p>
        </w:tc>
        <w:tc>
          <w:tcPr>
            <w:tcW w:w="0" w:type="auto"/>
            <w:shd w:val="clear" w:color="auto" w:fill="auto"/>
          </w:tcPr>
          <w:p w14:paraId="7222CF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159</w:t>
            </w:r>
          </w:p>
        </w:tc>
      </w:tr>
      <w:tr w:rsidR="00E67962" w:rsidRPr="00E67962" w14:paraId="4B81DC2F" w14:textId="77777777" w:rsidTr="00C6711A">
        <w:tc>
          <w:tcPr>
            <w:tcW w:w="0" w:type="auto"/>
            <w:shd w:val="clear" w:color="auto" w:fill="auto"/>
          </w:tcPr>
          <w:p w14:paraId="01DE0053" w14:textId="7A01C619"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eGFR</w:t>
            </w:r>
            <w:r w:rsidR="003B0A70" w:rsidRPr="004541C8">
              <w:rPr>
                <w:rFonts w:ascii="Book Antiqua" w:hAnsi="Book Antiqua"/>
                <w:color w:val="000000" w:themeColor="text1"/>
              </w:rPr>
              <w:t>,</w:t>
            </w:r>
            <w:r w:rsidRPr="004541C8">
              <w:rPr>
                <w:rFonts w:ascii="Book Antiqua" w:hAnsi="Book Antiqua"/>
                <w:color w:val="000000" w:themeColor="text1"/>
              </w:rPr>
              <w:t xml:space="preserve"> m</w:t>
            </w:r>
            <w:r w:rsidR="005F26DC">
              <w:rPr>
                <w:rFonts w:ascii="Book Antiqua" w:hAnsi="Book Antiqua"/>
                <w:color w:val="000000" w:themeColor="text1"/>
              </w:rPr>
              <w:t>L</w:t>
            </w:r>
            <w:r w:rsidRPr="004541C8">
              <w:rPr>
                <w:rFonts w:ascii="Book Antiqua" w:hAnsi="Book Antiqua"/>
                <w:color w:val="000000" w:themeColor="text1"/>
              </w:rPr>
              <w:t>/min</w:t>
            </w:r>
            <w:r w:rsidR="003B0A70" w:rsidRPr="004541C8">
              <w:rPr>
                <w:rFonts w:ascii="Book Antiqua" w:hAnsi="Book Antiqua"/>
                <w:color w:val="000000" w:themeColor="text1"/>
              </w:rPr>
              <w:t xml:space="preserve"> per</w:t>
            </w:r>
            <w:r w:rsidR="005F26DC">
              <w:rPr>
                <w:rFonts w:ascii="Book Antiqua" w:hAnsi="Book Antiqua"/>
                <w:color w:val="000000" w:themeColor="text1"/>
              </w:rPr>
              <w:t xml:space="preserve"> </w:t>
            </w:r>
            <w:r w:rsidRPr="004541C8">
              <w:rPr>
                <w:rFonts w:ascii="Book Antiqua" w:hAnsi="Book Antiqua"/>
                <w:color w:val="000000" w:themeColor="text1"/>
              </w:rPr>
              <w:t>1.73m</w:t>
            </w:r>
            <w:r w:rsidRPr="004541C8">
              <w:rPr>
                <w:rFonts w:ascii="Book Antiqua" w:hAnsi="Book Antiqua"/>
                <w:color w:val="000000" w:themeColor="text1"/>
                <w:vertAlign w:val="superscript"/>
              </w:rPr>
              <w:t>2</w:t>
            </w:r>
          </w:p>
        </w:tc>
        <w:tc>
          <w:tcPr>
            <w:tcW w:w="0" w:type="auto"/>
            <w:shd w:val="clear" w:color="auto" w:fill="auto"/>
          </w:tcPr>
          <w:p w14:paraId="3CBF250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85.88</w:t>
            </w:r>
          </w:p>
        </w:tc>
        <w:tc>
          <w:tcPr>
            <w:tcW w:w="0" w:type="auto"/>
            <w:shd w:val="clear" w:color="auto" w:fill="auto"/>
          </w:tcPr>
          <w:p w14:paraId="0BFD46B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19.27</w:t>
            </w:r>
          </w:p>
        </w:tc>
        <w:tc>
          <w:tcPr>
            <w:tcW w:w="0" w:type="auto"/>
            <w:shd w:val="clear" w:color="auto" w:fill="auto"/>
          </w:tcPr>
          <w:p w14:paraId="0E8E56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90.00</w:t>
            </w:r>
          </w:p>
        </w:tc>
        <w:tc>
          <w:tcPr>
            <w:tcW w:w="0" w:type="auto"/>
            <w:shd w:val="clear" w:color="auto" w:fill="auto"/>
          </w:tcPr>
          <w:p w14:paraId="058E21E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28.00</w:t>
            </w:r>
          </w:p>
        </w:tc>
        <w:tc>
          <w:tcPr>
            <w:tcW w:w="0" w:type="auto"/>
            <w:shd w:val="clear" w:color="auto" w:fill="auto"/>
          </w:tcPr>
          <w:p w14:paraId="38B7249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125.00</w:t>
            </w:r>
          </w:p>
        </w:tc>
        <w:tc>
          <w:tcPr>
            <w:tcW w:w="0" w:type="auto"/>
            <w:shd w:val="clear" w:color="auto" w:fill="auto"/>
          </w:tcPr>
          <w:p w14:paraId="6503528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128</w:t>
            </w:r>
          </w:p>
        </w:tc>
      </w:tr>
      <w:tr w:rsidR="00E67962" w:rsidRPr="00E67962" w14:paraId="6C484FD5" w14:textId="77777777" w:rsidTr="00C6711A">
        <w:tc>
          <w:tcPr>
            <w:tcW w:w="0" w:type="auto"/>
            <w:shd w:val="clear" w:color="auto" w:fill="auto"/>
          </w:tcPr>
          <w:p w14:paraId="4FE8DA6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Albuminuria</w:t>
            </w:r>
            <w:r w:rsidR="003B0A70" w:rsidRPr="004541C8">
              <w:rPr>
                <w:rFonts w:ascii="Book Antiqua" w:hAnsi="Book Antiqua"/>
                <w:color w:val="000000" w:themeColor="text1"/>
                <w:lang w:eastAsia="hr-HR"/>
              </w:rPr>
              <w:t>,</w:t>
            </w:r>
            <w:r w:rsidRPr="004541C8">
              <w:rPr>
                <w:rFonts w:ascii="Book Antiqua" w:hAnsi="Book Antiqua"/>
                <w:color w:val="000000" w:themeColor="text1"/>
                <w:lang w:eastAsia="hr-HR"/>
              </w:rPr>
              <w:t xml:space="preserve"> mg/L</w:t>
            </w:r>
          </w:p>
        </w:tc>
        <w:tc>
          <w:tcPr>
            <w:tcW w:w="0" w:type="auto"/>
            <w:shd w:val="clear" w:color="auto" w:fill="auto"/>
          </w:tcPr>
          <w:p w14:paraId="3310824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35.52</w:t>
            </w:r>
          </w:p>
        </w:tc>
        <w:tc>
          <w:tcPr>
            <w:tcW w:w="0" w:type="auto"/>
            <w:shd w:val="clear" w:color="auto" w:fill="auto"/>
          </w:tcPr>
          <w:p w14:paraId="1B61DEB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62.49</w:t>
            </w:r>
          </w:p>
        </w:tc>
        <w:tc>
          <w:tcPr>
            <w:tcW w:w="0" w:type="auto"/>
            <w:shd w:val="clear" w:color="auto" w:fill="auto"/>
          </w:tcPr>
          <w:p w14:paraId="14A9E9E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13.60</w:t>
            </w:r>
          </w:p>
        </w:tc>
        <w:tc>
          <w:tcPr>
            <w:tcW w:w="0" w:type="auto"/>
            <w:shd w:val="clear" w:color="auto" w:fill="auto"/>
          </w:tcPr>
          <w:p w14:paraId="557FDB9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2</w:t>
            </w:r>
          </w:p>
        </w:tc>
        <w:tc>
          <w:tcPr>
            <w:tcW w:w="0" w:type="auto"/>
            <w:shd w:val="clear" w:color="auto" w:fill="auto"/>
          </w:tcPr>
          <w:p w14:paraId="251866C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418</w:t>
            </w:r>
          </w:p>
        </w:tc>
        <w:tc>
          <w:tcPr>
            <w:tcW w:w="0" w:type="auto"/>
            <w:shd w:val="clear" w:color="auto" w:fill="auto"/>
          </w:tcPr>
          <w:p w14:paraId="342AE2B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62</w:t>
            </w:r>
          </w:p>
        </w:tc>
      </w:tr>
      <w:tr w:rsidR="00E67962" w:rsidRPr="00E67962" w14:paraId="16EC3B86" w14:textId="77777777" w:rsidTr="00C6711A">
        <w:tc>
          <w:tcPr>
            <w:tcW w:w="0" w:type="auto"/>
            <w:shd w:val="clear" w:color="auto" w:fill="auto"/>
          </w:tcPr>
          <w:p w14:paraId="2D2B97E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Cholesterol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7C6FB77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4.89</w:t>
            </w:r>
          </w:p>
        </w:tc>
        <w:tc>
          <w:tcPr>
            <w:tcW w:w="0" w:type="auto"/>
            <w:shd w:val="clear" w:color="auto" w:fill="auto"/>
          </w:tcPr>
          <w:p w14:paraId="64DE005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1.21</w:t>
            </w:r>
          </w:p>
        </w:tc>
        <w:tc>
          <w:tcPr>
            <w:tcW w:w="0" w:type="auto"/>
            <w:shd w:val="clear" w:color="auto" w:fill="auto"/>
          </w:tcPr>
          <w:p w14:paraId="33BFAE6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4.80</w:t>
            </w:r>
          </w:p>
        </w:tc>
        <w:tc>
          <w:tcPr>
            <w:tcW w:w="0" w:type="auto"/>
            <w:shd w:val="clear" w:color="auto" w:fill="auto"/>
          </w:tcPr>
          <w:p w14:paraId="5B9239A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2.60</w:t>
            </w:r>
          </w:p>
        </w:tc>
        <w:tc>
          <w:tcPr>
            <w:tcW w:w="0" w:type="auto"/>
            <w:shd w:val="clear" w:color="auto" w:fill="auto"/>
          </w:tcPr>
          <w:p w14:paraId="13BA70C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9.50</w:t>
            </w:r>
          </w:p>
        </w:tc>
        <w:tc>
          <w:tcPr>
            <w:tcW w:w="0" w:type="auto"/>
            <w:shd w:val="clear" w:color="auto" w:fill="auto"/>
          </w:tcPr>
          <w:p w14:paraId="7285ED4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144</w:t>
            </w:r>
          </w:p>
        </w:tc>
      </w:tr>
      <w:tr w:rsidR="00E67962" w:rsidRPr="00E67962" w14:paraId="16D8D8E3" w14:textId="77777777" w:rsidTr="00C6711A">
        <w:tc>
          <w:tcPr>
            <w:tcW w:w="0" w:type="auto"/>
            <w:shd w:val="clear" w:color="auto" w:fill="auto"/>
          </w:tcPr>
          <w:p w14:paraId="7FB433DB"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HDL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3F3650E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1.24</w:t>
            </w:r>
          </w:p>
        </w:tc>
        <w:tc>
          <w:tcPr>
            <w:tcW w:w="0" w:type="auto"/>
            <w:shd w:val="clear" w:color="auto" w:fill="auto"/>
          </w:tcPr>
          <w:p w14:paraId="21CA30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0.51</w:t>
            </w:r>
          </w:p>
        </w:tc>
        <w:tc>
          <w:tcPr>
            <w:tcW w:w="0" w:type="auto"/>
            <w:shd w:val="clear" w:color="auto" w:fill="auto"/>
          </w:tcPr>
          <w:p w14:paraId="64A98633"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1.15</w:t>
            </w:r>
          </w:p>
        </w:tc>
        <w:tc>
          <w:tcPr>
            <w:tcW w:w="0" w:type="auto"/>
            <w:shd w:val="clear" w:color="auto" w:fill="auto"/>
          </w:tcPr>
          <w:p w14:paraId="568E3DE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0.60</w:t>
            </w:r>
          </w:p>
        </w:tc>
        <w:tc>
          <w:tcPr>
            <w:tcW w:w="0" w:type="auto"/>
            <w:shd w:val="clear" w:color="auto" w:fill="auto"/>
          </w:tcPr>
          <w:p w14:paraId="29E9858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5.60</w:t>
            </w:r>
          </w:p>
        </w:tc>
        <w:tc>
          <w:tcPr>
            <w:tcW w:w="0" w:type="auto"/>
            <w:shd w:val="clear" w:color="auto" w:fill="auto"/>
          </w:tcPr>
          <w:p w14:paraId="7EB5931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151</w:t>
            </w:r>
          </w:p>
        </w:tc>
      </w:tr>
      <w:tr w:rsidR="00E67962" w:rsidRPr="00E67962" w14:paraId="729444C3" w14:textId="77777777" w:rsidTr="00C6711A">
        <w:tc>
          <w:tcPr>
            <w:tcW w:w="0" w:type="auto"/>
            <w:shd w:val="clear" w:color="auto" w:fill="auto"/>
          </w:tcPr>
          <w:p w14:paraId="180535F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LDL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1AF2F7E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2.60</w:t>
            </w:r>
          </w:p>
        </w:tc>
        <w:tc>
          <w:tcPr>
            <w:tcW w:w="0" w:type="auto"/>
            <w:shd w:val="clear" w:color="auto" w:fill="auto"/>
          </w:tcPr>
          <w:p w14:paraId="761C355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0.97</w:t>
            </w:r>
          </w:p>
        </w:tc>
        <w:tc>
          <w:tcPr>
            <w:tcW w:w="0" w:type="auto"/>
            <w:shd w:val="clear" w:color="auto" w:fill="auto"/>
          </w:tcPr>
          <w:p w14:paraId="3337838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2.50</w:t>
            </w:r>
          </w:p>
        </w:tc>
        <w:tc>
          <w:tcPr>
            <w:tcW w:w="0" w:type="auto"/>
            <w:shd w:val="clear" w:color="auto" w:fill="auto"/>
          </w:tcPr>
          <w:p w14:paraId="73BDB6F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0.80</w:t>
            </w:r>
          </w:p>
        </w:tc>
        <w:tc>
          <w:tcPr>
            <w:tcW w:w="0" w:type="auto"/>
            <w:shd w:val="clear" w:color="auto" w:fill="auto"/>
          </w:tcPr>
          <w:p w14:paraId="50213BA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5.30</w:t>
            </w:r>
          </w:p>
        </w:tc>
        <w:tc>
          <w:tcPr>
            <w:tcW w:w="0" w:type="auto"/>
            <w:shd w:val="clear" w:color="auto" w:fill="auto"/>
          </w:tcPr>
          <w:p w14:paraId="25F9934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146</w:t>
            </w:r>
          </w:p>
        </w:tc>
      </w:tr>
      <w:tr w:rsidR="00E67962" w:rsidRPr="00E67962" w14:paraId="74F38CF2" w14:textId="77777777" w:rsidTr="00C6711A">
        <w:tc>
          <w:tcPr>
            <w:tcW w:w="0" w:type="auto"/>
            <w:shd w:val="clear" w:color="auto" w:fill="auto"/>
          </w:tcPr>
          <w:p w14:paraId="3D1EE69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Triglycerides</w:t>
            </w:r>
          </w:p>
        </w:tc>
        <w:tc>
          <w:tcPr>
            <w:tcW w:w="0" w:type="auto"/>
            <w:shd w:val="clear" w:color="auto" w:fill="auto"/>
          </w:tcPr>
          <w:p w14:paraId="65815BD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2.41</w:t>
            </w:r>
          </w:p>
        </w:tc>
        <w:tc>
          <w:tcPr>
            <w:tcW w:w="0" w:type="auto"/>
            <w:shd w:val="clear" w:color="auto" w:fill="auto"/>
          </w:tcPr>
          <w:p w14:paraId="2EAE16C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1.38</w:t>
            </w:r>
          </w:p>
        </w:tc>
        <w:tc>
          <w:tcPr>
            <w:tcW w:w="0" w:type="auto"/>
            <w:shd w:val="clear" w:color="auto" w:fill="auto"/>
          </w:tcPr>
          <w:p w14:paraId="67ACED4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c>
          <w:tcPr>
            <w:tcW w:w="0" w:type="auto"/>
            <w:shd w:val="clear" w:color="auto" w:fill="auto"/>
          </w:tcPr>
          <w:p w14:paraId="7017382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0.70</w:t>
            </w:r>
          </w:p>
        </w:tc>
        <w:tc>
          <w:tcPr>
            <w:tcW w:w="0" w:type="auto"/>
            <w:shd w:val="clear" w:color="auto" w:fill="auto"/>
          </w:tcPr>
          <w:p w14:paraId="45D1D99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8.60</w:t>
            </w:r>
          </w:p>
        </w:tc>
        <w:tc>
          <w:tcPr>
            <w:tcW w:w="0" w:type="auto"/>
            <w:shd w:val="clear" w:color="auto" w:fill="auto"/>
          </w:tcPr>
          <w:p w14:paraId="1E95D40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159</w:t>
            </w:r>
          </w:p>
        </w:tc>
      </w:tr>
      <w:tr w:rsidR="00E67962" w:rsidRPr="00E67962" w14:paraId="71D73E51" w14:textId="77777777" w:rsidTr="00C6711A">
        <w:tc>
          <w:tcPr>
            <w:tcW w:w="0" w:type="auto"/>
            <w:tcBorders>
              <w:bottom w:val="single" w:sz="4" w:space="0" w:color="auto"/>
            </w:tcBorders>
            <w:shd w:val="clear" w:color="auto" w:fill="auto"/>
          </w:tcPr>
          <w:p w14:paraId="3E73048B"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w:t>
            </w:r>
          </w:p>
        </w:tc>
        <w:tc>
          <w:tcPr>
            <w:tcW w:w="0" w:type="auto"/>
            <w:tcBorders>
              <w:bottom w:val="single" w:sz="4" w:space="0" w:color="auto"/>
            </w:tcBorders>
            <w:shd w:val="clear" w:color="auto" w:fill="auto"/>
          </w:tcPr>
          <w:p w14:paraId="5D82203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39.41</w:t>
            </w:r>
          </w:p>
        </w:tc>
        <w:tc>
          <w:tcPr>
            <w:tcW w:w="0" w:type="auto"/>
            <w:tcBorders>
              <w:bottom w:val="single" w:sz="4" w:space="0" w:color="auto"/>
            </w:tcBorders>
            <w:shd w:val="clear" w:color="auto" w:fill="auto"/>
          </w:tcPr>
          <w:p w14:paraId="641B928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5.49</w:t>
            </w:r>
          </w:p>
        </w:tc>
        <w:tc>
          <w:tcPr>
            <w:tcW w:w="0" w:type="auto"/>
            <w:tcBorders>
              <w:bottom w:val="single" w:sz="4" w:space="0" w:color="auto"/>
            </w:tcBorders>
            <w:shd w:val="clear" w:color="auto" w:fill="auto"/>
          </w:tcPr>
          <w:p w14:paraId="10D16B7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37.90</w:t>
            </w:r>
          </w:p>
        </w:tc>
        <w:tc>
          <w:tcPr>
            <w:tcW w:w="0" w:type="auto"/>
            <w:tcBorders>
              <w:bottom w:val="single" w:sz="4" w:space="0" w:color="auto"/>
            </w:tcBorders>
            <w:shd w:val="clear" w:color="auto" w:fill="auto"/>
          </w:tcPr>
          <w:p w14:paraId="4D14519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30.00</w:t>
            </w:r>
          </w:p>
        </w:tc>
        <w:tc>
          <w:tcPr>
            <w:tcW w:w="0" w:type="auto"/>
            <w:tcBorders>
              <w:bottom w:val="single" w:sz="4" w:space="0" w:color="auto"/>
            </w:tcBorders>
            <w:shd w:val="clear" w:color="auto" w:fill="auto"/>
          </w:tcPr>
          <w:p w14:paraId="1F8B629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69.00</w:t>
            </w:r>
          </w:p>
        </w:tc>
        <w:tc>
          <w:tcPr>
            <w:tcW w:w="0" w:type="auto"/>
            <w:tcBorders>
              <w:bottom w:val="single" w:sz="4" w:space="0" w:color="auto"/>
            </w:tcBorders>
            <w:shd w:val="clear" w:color="auto" w:fill="auto"/>
          </w:tcPr>
          <w:p w14:paraId="415195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193</w:t>
            </w:r>
          </w:p>
        </w:tc>
      </w:tr>
    </w:tbl>
    <w:p w14:paraId="697E9E9D" w14:textId="2FD66AFB" w:rsidR="00017D80" w:rsidRPr="004541C8" w:rsidRDefault="003B0A7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 xml:space="preserve">BMI: Body mass index; </w:t>
      </w:r>
      <w:r w:rsidR="00B3262E" w:rsidRPr="004541C8">
        <w:rPr>
          <w:rFonts w:ascii="Book Antiqua" w:hAnsi="Book Antiqua"/>
          <w:color w:val="000000" w:themeColor="text1"/>
        </w:rPr>
        <w:t>eGFR</w:t>
      </w:r>
      <w:r w:rsidRPr="004541C8">
        <w:rPr>
          <w:rFonts w:ascii="Book Antiqua" w:hAnsi="Book Antiqua"/>
          <w:color w:val="000000" w:themeColor="text1"/>
        </w:rPr>
        <w:t xml:space="preserve">: Estimated glomerular filtration rate; FPG: Fasting plasma glucose; </w:t>
      </w:r>
      <w:r w:rsidR="005F26DC" w:rsidRPr="000D3512">
        <w:rPr>
          <w:rFonts w:ascii="Book Antiqua" w:hAnsi="Book Antiqua"/>
          <w:color w:val="000000" w:themeColor="text1"/>
        </w:rPr>
        <w:t xml:space="preserve">HbA1c: Hemoglobin A1c; </w:t>
      </w:r>
      <w:r w:rsidRPr="004541C8">
        <w:rPr>
          <w:rFonts w:ascii="Book Antiqua" w:hAnsi="Book Antiqua"/>
          <w:color w:val="000000" w:themeColor="text1"/>
        </w:rPr>
        <w:t>HDL: High-density lipoprotein cholesterol; LDL: Low-density lipoprotein cholesterol; PPG: Prandial plasma glucose</w:t>
      </w:r>
      <w:r w:rsidR="005F26DC">
        <w:rPr>
          <w:rFonts w:ascii="Book Antiqua" w:hAnsi="Book Antiqua"/>
          <w:color w:val="000000" w:themeColor="text1"/>
        </w:rPr>
        <w:t>;</w:t>
      </w:r>
      <w:r w:rsidR="005F26DC" w:rsidRPr="005F26DC">
        <w:rPr>
          <w:rFonts w:ascii="Book Antiqua" w:hAnsi="Book Antiqua"/>
          <w:color w:val="000000" w:themeColor="text1"/>
        </w:rPr>
        <w:t xml:space="preserve"> </w:t>
      </w:r>
      <w:r w:rsidR="005F26DC" w:rsidRPr="00885F51">
        <w:rPr>
          <w:rFonts w:ascii="Book Antiqua" w:hAnsi="Book Antiqua"/>
          <w:color w:val="000000" w:themeColor="text1"/>
        </w:rPr>
        <w:t>SD: Standard deviation</w:t>
      </w:r>
      <w:r w:rsidR="005F26DC">
        <w:rPr>
          <w:rFonts w:ascii="Book Antiqua" w:hAnsi="Book Antiqua"/>
          <w:color w:val="000000" w:themeColor="text1"/>
        </w:rPr>
        <w:t>.</w:t>
      </w:r>
    </w:p>
    <w:p w14:paraId="3997CA2C" w14:textId="77777777" w:rsidR="00A77B3E"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br w:type="page"/>
      </w:r>
      <w:r w:rsidRPr="004541C8">
        <w:rPr>
          <w:rFonts w:ascii="Book Antiqua" w:hAnsi="Book Antiqua"/>
          <w:b/>
          <w:bCs/>
          <w:color w:val="000000" w:themeColor="text1"/>
        </w:rPr>
        <w:lastRenderedPageBreak/>
        <w:t>Table 2 Differences in baseline parameters between three therapy groups</w:t>
      </w:r>
    </w:p>
    <w:tbl>
      <w:tblPr>
        <w:tblW w:w="4467"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967"/>
        <w:gridCol w:w="967"/>
        <w:gridCol w:w="729"/>
        <w:gridCol w:w="660"/>
        <w:gridCol w:w="3043"/>
        <w:gridCol w:w="1189"/>
      </w:tblGrid>
      <w:tr w:rsidR="00E67962" w:rsidRPr="00E67962" w14:paraId="2A235668" w14:textId="77777777" w:rsidTr="00017D80">
        <w:tc>
          <w:tcPr>
            <w:tcW w:w="0" w:type="auto"/>
            <w:tcBorders>
              <w:top w:val="single" w:sz="4" w:space="0" w:color="000000"/>
              <w:bottom w:val="single" w:sz="4" w:space="0" w:color="auto"/>
            </w:tcBorders>
            <w:shd w:val="clear" w:color="auto" w:fill="auto"/>
          </w:tcPr>
          <w:p w14:paraId="0F33CB5C" w14:textId="77777777" w:rsidR="00017D80" w:rsidRPr="004541C8" w:rsidRDefault="00017D80" w:rsidP="007F2BD5">
            <w:pPr>
              <w:snapToGrid w:val="0"/>
              <w:spacing w:line="360" w:lineRule="auto"/>
              <w:jc w:val="both"/>
              <w:rPr>
                <w:rFonts w:ascii="Book Antiqua" w:hAnsi="Book Antiqua"/>
                <w:b/>
                <w:bCs/>
                <w:color w:val="000000" w:themeColor="text1"/>
              </w:rPr>
            </w:pPr>
          </w:p>
        </w:tc>
        <w:tc>
          <w:tcPr>
            <w:tcW w:w="0" w:type="auto"/>
            <w:tcBorders>
              <w:top w:val="single" w:sz="4" w:space="0" w:color="000000"/>
              <w:bottom w:val="single" w:sz="4" w:space="0" w:color="auto"/>
            </w:tcBorders>
            <w:shd w:val="clear" w:color="auto" w:fill="auto"/>
          </w:tcPr>
          <w:p w14:paraId="510D45F0" w14:textId="77777777"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Mean</w:t>
            </w:r>
          </w:p>
        </w:tc>
        <w:tc>
          <w:tcPr>
            <w:tcW w:w="0" w:type="auto"/>
            <w:tcBorders>
              <w:top w:val="single" w:sz="4" w:space="0" w:color="000000"/>
              <w:bottom w:val="single" w:sz="4" w:space="0" w:color="auto"/>
            </w:tcBorders>
            <w:shd w:val="clear" w:color="auto" w:fill="auto"/>
          </w:tcPr>
          <w:p w14:paraId="0540E6E7" w14:textId="77777777"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000000"/>
              <w:bottom w:val="single" w:sz="4" w:space="0" w:color="auto"/>
            </w:tcBorders>
            <w:shd w:val="clear" w:color="auto" w:fill="auto"/>
          </w:tcPr>
          <w:p w14:paraId="25E6CFCF" w14:textId="77777777" w:rsidR="00017D80" w:rsidRPr="004541C8" w:rsidRDefault="00017D8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n</w:t>
            </w:r>
          </w:p>
        </w:tc>
        <w:tc>
          <w:tcPr>
            <w:tcW w:w="0" w:type="auto"/>
            <w:tcBorders>
              <w:top w:val="single" w:sz="4" w:space="0" w:color="000000"/>
              <w:bottom w:val="single" w:sz="4" w:space="0" w:color="auto"/>
            </w:tcBorders>
            <w:shd w:val="clear" w:color="auto" w:fill="auto"/>
          </w:tcPr>
          <w:p w14:paraId="172C7AEB" w14:textId="22D9B670"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i/>
                <w:iCs/>
                <w:color w:val="000000" w:themeColor="text1"/>
              </w:rPr>
              <w:t>F</w:t>
            </w:r>
            <w:r w:rsidRPr="004541C8">
              <w:rPr>
                <w:rFonts w:ascii="Book Antiqua" w:hAnsi="Book Antiqua"/>
                <w:b/>
                <w:bCs/>
                <w:color w:val="000000" w:themeColor="text1"/>
              </w:rPr>
              <w:t xml:space="preserve"> ratio/Kruskal-Wallis</w:t>
            </w:r>
          </w:p>
        </w:tc>
        <w:tc>
          <w:tcPr>
            <w:tcW w:w="0" w:type="auto"/>
            <w:tcBorders>
              <w:top w:val="single" w:sz="4" w:space="0" w:color="000000"/>
              <w:bottom w:val="single" w:sz="4" w:space="0" w:color="auto"/>
            </w:tcBorders>
            <w:shd w:val="clear" w:color="auto" w:fill="auto"/>
          </w:tcPr>
          <w:p w14:paraId="20745666" w14:textId="2D4B50A4" w:rsidR="00017D80" w:rsidRPr="004541C8" w:rsidRDefault="00017D8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r>
      <w:tr w:rsidR="00E67962" w:rsidRPr="00E67962" w14:paraId="4CAB39F5" w14:textId="77777777" w:rsidTr="00017D80">
        <w:tc>
          <w:tcPr>
            <w:tcW w:w="0" w:type="auto"/>
            <w:tcBorders>
              <w:top w:val="single" w:sz="4" w:space="0" w:color="auto"/>
              <w:bottom w:val="nil"/>
            </w:tcBorders>
            <w:shd w:val="clear" w:color="auto" w:fill="auto"/>
          </w:tcPr>
          <w:p w14:paraId="28B694F8" w14:textId="77777777" w:rsidR="00017D80" w:rsidRPr="004541C8" w:rsidRDefault="00017D80" w:rsidP="007F2BD5">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HbA1c, %</w:t>
            </w:r>
          </w:p>
        </w:tc>
        <w:tc>
          <w:tcPr>
            <w:tcW w:w="0" w:type="auto"/>
            <w:tcBorders>
              <w:top w:val="single" w:sz="4" w:space="0" w:color="auto"/>
              <w:bottom w:val="nil"/>
            </w:tcBorders>
            <w:shd w:val="clear" w:color="auto" w:fill="auto"/>
          </w:tcPr>
          <w:p w14:paraId="7F7DC8FA"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17942BB0"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2A5CC4FF" w14:textId="77777777" w:rsidR="00017D80" w:rsidRPr="004541C8" w:rsidRDefault="00017D80" w:rsidP="004541C8">
            <w:pPr>
              <w:snapToGrid w:val="0"/>
              <w:spacing w:line="360" w:lineRule="auto"/>
              <w:jc w:val="both"/>
              <w:rPr>
                <w:rFonts w:ascii="Book Antiqua" w:hAnsi="Book Antiqua"/>
                <w:b/>
                <w:bCs/>
                <w:i/>
                <w:iCs/>
                <w:color w:val="000000" w:themeColor="text1"/>
              </w:rPr>
            </w:pPr>
          </w:p>
        </w:tc>
        <w:tc>
          <w:tcPr>
            <w:tcW w:w="0" w:type="auto"/>
            <w:tcBorders>
              <w:top w:val="single" w:sz="4" w:space="0" w:color="auto"/>
              <w:bottom w:val="nil"/>
            </w:tcBorders>
            <w:shd w:val="clear" w:color="auto" w:fill="auto"/>
          </w:tcPr>
          <w:p w14:paraId="43FE3E1B"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0BA178FD" w14:textId="77777777" w:rsidR="00017D80" w:rsidRPr="004541C8" w:rsidRDefault="00017D80" w:rsidP="004541C8">
            <w:pPr>
              <w:snapToGrid w:val="0"/>
              <w:spacing w:line="360" w:lineRule="auto"/>
              <w:jc w:val="both"/>
              <w:rPr>
                <w:rFonts w:ascii="Book Antiqua" w:hAnsi="Book Antiqua"/>
                <w:b/>
                <w:bCs/>
                <w:i/>
                <w:iCs/>
                <w:color w:val="000000" w:themeColor="text1"/>
              </w:rPr>
            </w:pPr>
          </w:p>
        </w:tc>
      </w:tr>
      <w:tr w:rsidR="00E67962" w:rsidRPr="00E67962" w14:paraId="6BFDA009" w14:textId="77777777" w:rsidTr="00017D80">
        <w:tc>
          <w:tcPr>
            <w:tcW w:w="0" w:type="auto"/>
            <w:tcBorders>
              <w:top w:val="nil"/>
              <w:bottom w:val="nil"/>
            </w:tcBorders>
            <w:shd w:val="clear" w:color="auto" w:fill="auto"/>
          </w:tcPr>
          <w:p w14:paraId="5FDB40BF"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794FC9E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8.09</w:t>
            </w:r>
          </w:p>
        </w:tc>
        <w:tc>
          <w:tcPr>
            <w:tcW w:w="0" w:type="auto"/>
            <w:tcBorders>
              <w:top w:val="nil"/>
              <w:bottom w:val="nil"/>
            </w:tcBorders>
            <w:shd w:val="clear" w:color="auto" w:fill="auto"/>
          </w:tcPr>
          <w:p w14:paraId="0502BAE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1.07</w:t>
            </w:r>
          </w:p>
        </w:tc>
        <w:tc>
          <w:tcPr>
            <w:tcW w:w="0" w:type="auto"/>
            <w:tcBorders>
              <w:top w:val="nil"/>
              <w:bottom w:val="nil"/>
            </w:tcBorders>
            <w:shd w:val="clear" w:color="auto" w:fill="auto"/>
          </w:tcPr>
          <w:p w14:paraId="54C90B1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w:t>
            </w:r>
          </w:p>
        </w:tc>
        <w:tc>
          <w:tcPr>
            <w:tcW w:w="0" w:type="auto"/>
            <w:tcBorders>
              <w:top w:val="nil"/>
              <w:bottom w:val="nil"/>
            </w:tcBorders>
            <w:shd w:val="clear" w:color="auto" w:fill="auto"/>
          </w:tcPr>
          <w:p w14:paraId="3FBBE6D2"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6.436</w:t>
            </w:r>
          </w:p>
        </w:tc>
        <w:tc>
          <w:tcPr>
            <w:tcW w:w="0" w:type="auto"/>
            <w:tcBorders>
              <w:top w:val="nil"/>
              <w:bottom w:val="nil"/>
            </w:tcBorders>
            <w:shd w:val="clear" w:color="auto" w:fill="auto"/>
          </w:tcPr>
          <w:p w14:paraId="2692E23A"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0.002</w:t>
            </w:r>
          </w:p>
        </w:tc>
      </w:tr>
      <w:tr w:rsidR="00E67962" w:rsidRPr="00E67962" w14:paraId="047B299D" w14:textId="77777777" w:rsidTr="00017D80">
        <w:tc>
          <w:tcPr>
            <w:tcW w:w="0" w:type="auto"/>
            <w:tcBorders>
              <w:top w:val="nil"/>
              <w:bottom w:val="nil"/>
            </w:tcBorders>
            <w:shd w:val="clear" w:color="auto" w:fill="auto"/>
          </w:tcPr>
          <w:p w14:paraId="7BF178B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9B129F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8.07</w:t>
            </w:r>
          </w:p>
        </w:tc>
        <w:tc>
          <w:tcPr>
            <w:tcW w:w="0" w:type="auto"/>
            <w:tcBorders>
              <w:top w:val="nil"/>
              <w:bottom w:val="nil"/>
            </w:tcBorders>
            <w:shd w:val="clear" w:color="auto" w:fill="auto"/>
          </w:tcPr>
          <w:p w14:paraId="1CA4FEE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1.08</w:t>
            </w:r>
          </w:p>
        </w:tc>
        <w:tc>
          <w:tcPr>
            <w:tcW w:w="0" w:type="auto"/>
            <w:tcBorders>
              <w:top w:val="nil"/>
              <w:bottom w:val="nil"/>
            </w:tcBorders>
            <w:shd w:val="clear" w:color="auto" w:fill="auto"/>
          </w:tcPr>
          <w:p w14:paraId="00D44AC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6B4559C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E913A6C"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BC54E0D" w14:textId="77777777" w:rsidTr="00017D80">
        <w:tc>
          <w:tcPr>
            <w:tcW w:w="0" w:type="auto"/>
            <w:tcBorders>
              <w:top w:val="nil"/>
              <w:bottom w:val="nil"/>
            </w:tcBorders>
            <w:shd w:val="clear" w:color="auto" w:fill="auto"/>
          </w:tcPr>
          <w:p w14:paraId="03F8207D"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61031494"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8.72</w:t>
            </w:r>
          </w:p>
        </w:tc>
        <w:tc>
          <w:tcPr>
            <w:tcW w:w="0" w:type="auto"/>
            <w:tcBorders>
              <w:top w:val="nil"/>
              <w:bottom w:val="nil"/>
            </w:tcBorders>
            <w:shd w:val="clear" w:color="auto" w:fill="auto"/>
          </w:tcPr>
          <w:p w14:paraId="4E39624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c>
          <w:tcPr>
            <w:tcW w:w="0" w:type="auto"/>
            <w:tcBorders>
              <w:top w:val="nil"/>
              <w:bottom w:val="nil"/>
            </w:tcBorders>
            <w:shd w:val="clear" w:color="auto" w:fill="auto"/>
          </w:tcPr>
          <w:p w14:paraId="0A7D43CC"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029EAD73"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C70BB11"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518D004E" w14:textId="77777777" w:rsidTr="00017D80">
        <w:tc>
          <w:tcPr>
            <w:tcW w:w="0" w:type="auto"/>
            <w:tcBorders>
              <w:top w:val="nil"/>
              <w:bottom w:val="nil"/>
            </w:tcBorders>
            <w:shd w:val="clear" w:color="auto" w:fill="auto"/>
          </w:tcPr>
          <w:p w14:paraId="4B500F2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nil"/>
            </w:tcBorders>
            <w:shd w:val="clear" w:color="auto" w:fill="auto"/>
          </w:tcPr>
          <w:p w14:paraId="5962417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8.32</w:t>
            </w:r>
          </w:p>
        </w:tc>
        <w:tc>
          <w:tcPr>
            <w:tcW w:w="0" w:type="auto"/>
            <w:tcBorders>
              <w:top w:val="nil"/>
              <w:bottom w:val="nil"/>
            </w:tcBorders>
            <w:shd w:val="clear" w:color="auto" w:fill="auto"/>
          </w:tcPr>
          <w:p w14:paraId="2976DE4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0" w:type="auto"/>
            <w:tcBorders>
              <w:top w:val="nil"/>
              <w:bottom w:val="nil"/>
            </w:tcBorders>
            <w:shd w:val="clear" w:color="auto" w:fill="auto"/>
          </w:tcPr>
          <w:p w14:paraId="503943E5"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c>
          <w:tcPr>
            <w:tcW w:w="0" w:type="auto"/>
            <w:tcBorders>
              <w:top w:val="nil"/>
              <w:bottom w:val="nil"/>
            </w:tcBorders>
            <w:shd w:val="clear" w:color="auto" w:fill="auto"/>
          </w:tcPr>
          <w:p w14:paraId="3FEE91B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E58038D"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D9281F2" w14:textId="77777777" w:rsidTr="00017D80">
        <w:tc>
          <w:tcPr>
            <w:tcW w:w="0" w:type="auto"/>
            <w:tcBorders>
              <w:top w:val="nil"/>
              <w:bottom w:val="nil"/>
            </w:tcBorders>
            <w:shd w:val="clear" w:color="auto" w:fill="auto"/>
          </w:tcPr>
          <w:p w14:paraId="29518023"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 mmol/L</w:t>
            </w:r>
          </w:p>
        </w:tc>
        <w:tc>
          <w:tcPr>
            <w:tcW w:w="0" w:type="auto"/>
            <w:tcBorders>
              <w:top w:val="nil"/>
              <w:bottom w:val="nil"/>
            </w:tcBorders>
            <w:shd w:val="clear" w:color="auto" w:fill="auto"/>
          </w:tcPr>
          <w:p w14:paraId="36AD835A"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994D5DC"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DDD1B50"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66D7CFE"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160E733"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CED7341" w14:textId="77777777" w:rsidTr="00017D80">
        <w:tc>
          <w:tcPr>
            <w:tcW w:w="0" w:type="auto"/>
            <w:tcBorders>
              <w:top w:val="nil"/>
              <w:bottom w:val="nil"/>
            </w:tcBorders>
            <w:shd w:val="clear" w:color="auto" w:fill="auto"/>
          </w:tcPr>
          <w:p w14:paraId="688FE279"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72F039A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8.75</w:t>
            </w:r>
          </w:p>
        </w:tc>
        <w:tc>
          <w:tcPr>
            <w:tcW w:w="0" w:type="auto"/>
            <w:tcBorders>
              <w:top w:val="nil"/>
              <w:bottom w:val="nil"/>
            </w:tcBorders>
            <w:shd w:val="clear" w:color="auto" w:fill="auto"/>
          </w:tcPr>
          <w:p w14:paraId="04E1E6D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2.17</w:t>
            </w:r>
          </w:p>
        </w:tc>
        <w:tc>
          <w:tcPr>
            <w:tcW w:w="0" w:type="auto"/>
            <w:tcBorders>
              <w:top w:val="nil"/>
              <w:bottom w:val="nil"/>
            </w:tcBorders>
            <w:shd w:val="clear" w:color="auto" w:fill="auto"/>
          </w:tcPr>
          <w:p w14:paraId="696167B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35</w:t>
            </w:r>
          </w:p>
        </w:tc>
        <w:tc>
          <w:tcPr>
            <w:tcW w:w="0" w:type="auto"/>
            <w:tcBorders>
              <w:top w:val="nil"/>
              <w:bottom w:val="nil"/>
            </w:tcBorders>
            <w:shd w:val="clear" w:color="auto" w:fill="auto"/>
          </w:tcPr>
          <w:p w14:paraId="58D5F994"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3D491E3"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0.001</w:t>
            </w:r>
          </w:p>
        </w:tc>
      </w:tr>
      <w:tr w:rsidR="00E67962" w:rsidRPr="00E67962" w14:paraId="5DC4B85B" w14:textId="77777777" w:rsidTr="00017D80">
        <w:tc>
          <w:tcPr>
            <w:tcW w:w="0" w:type="auto"/>
            <w:tcBorders>
              <w:top w:val="nil"/>
              <w:bottom w:val="nil"/>
            </w:tcBorders>
            <w:shd w:val="clear" w:color="auto" w:fill="auto"/>
          </w:tcPr>
          <w:p w14:paraId="2C6B4A86"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2B16BC3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9.44</w:t>
            </w:r>
          </w:p>
        </w:tc>
        <w:tc>
          <w:tcPr>
            <w:tcW w:w="0" w:type="auto"/>
            <w:tcBorders>
              <w:top w:val="nil"/>
              <w:bottom w:val="nil"/>
            </w:tcBorders>
            <w:shd w:val="clear" w:color="auto" w:fill="auto"/>
          </w:tcPr>
          <w:p w14:paraId="223F530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2.43</w:t>
            </w:r>
          </w:p>
        </w:tc>
        <w:tc>
          <w:tcPr>
            <w:tcW w:w="0" w:type="auto"/>
            <w:tcBorders>
              <w:top w:val="nil"/>
              <w:bottom w:val="nil"/>
            </w:tcBorders>
            <w:shd w:val="clear" w:color="auto" w:fill="auto"/>
          </w:tcPr>
          <w:p w14:paraId="72615DE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55</w:t>
            </w:r>
          </w:p>
        </w:tc>
        <w:tc>
          <w:tcPr>
            <w:tcW w:w="0" w:type="auto"/>
            <w:tcBorders>
              <w:top w:val="nil"/>
              <w:bottom w:val="nil"/>
            </w:tcBorders>
            <w:shd w:val="clear" w:color="auto" w:fill="auto"/>
          </w:tcPr>
          <w:p w14:paraId="1C5D4F40"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2B6115B"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1B51756F" w14:textId="77777777" w:rsidTr="00017D80">
        <w:tc>
          <w:tcPr>
            <w:tcW w:w="0" w:type="auto"/>
            <w:tcBorders>
              <w:top w:val="nil"/>
              <w:bottom w:val="nil"/>
            </w:tcBorders>
            <w:shd w:val="clear" w:color="auto" w:fill="auto"/>
          </w:tcPr>
          <w:p w14:paraId="5EE17544"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0A5C955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11.43</w:t>
            </w:r>
          </w:p>
        </w:tc>
        <w:tc>
          <w:tcPr>
            <w:tcW w:w="0" w:type="auto"/>
            <w:tcBorders>
              <w:top w:val="nil"/>
              <w:bottom w:val="nil"/>
            </w:tcBorders>
            <w:shd w:val="clear" w:color="auto" w:fill="auto"/>
          </w:tcPr>
          <w:p w14:paraId="1CDAB43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3.45</w:t>
            </w:r>
          </w:p>
        </w:tc>
        <w:tc>
          <w:tcPr>
            <w:tcW w:w="0" w:type="auto"/>
            <w:tcBorders>
              <w:top w:val="nil"/>
              <w:bottom w:val="nil"/>
            </w:tcBorders>
            <w:shd w:val="clear" w:color="auto" w:fill="auto"/>
          </w:tcPr>
          <w:p w14:paraId="0D40EBB1"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36</w:t>
            </w:r>
          </w:p>
        </w:tc>
        <w:tc>
          <w:tcPr>
            <w:tcW w:w="0" w:type="auto"/>
            <w:tcBorders>
              <w:top w:val="nil"/>
              <w:bottom w:val="nil"/>
            </w:tcBorders>
            <w:shd w:val="clear" w:color="auto" w:fill="auto"/>
          </w:tcPr>
          <w:p w14:paraId="0E9E97E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5355D84"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DD9404B" w14:textId="77777777" w:rsidTr="00017D80">
        <w:tc>
          <w:tcPr>
            <w:tcW w:w="0" w:type="auto"/>
            <w:tcBorders>
              <w:top w:val="nil"/>
              <w:bottom w:val="nil"/>
            </w:tcBorders>
            <w:shd w:val="clear" w:color="auto" w:fill="auto"/>
          </w:tcPr>
          <w:p w14:paraId="1F12ED22"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nil"/>
            </w:tcBorders>
            <w:shd w:val="clear" w:color="auto" w:fill="auto"/>
          </w:tcPr>
          <w:p w14:paraId="341FE19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11.17</w:t>
            </w:r>
          </w:p>
        </w:tc>
        <w:tc>
          <w:tcPr>
            <w:tcW w:w="0" w:type="auto"/>
            <w:tcBorders>
              <w:top w:val="nil"/>
              <w:bottom w:val="nil"/>
            </w:tcBorders>
            <w:shd w:val="clear" w:color="auto" w:fill="auto"/>
          </w:tcPr>
          <w:p w14:paraId="461ED040"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3.23</w:t>
            </w:r>
          </w:p>
        </w:tc>
        <w:tc>
          <w:tcPr>
            <w:tcW w:w="0" w:type="auto"/>
            <w:tcBorders>
              <w:top w:val="nil"/>
              <w:bottom w:val="nil"/>
            </w:tcBorders>
            <w:shd w:val="clear" w:color="auto" w:fill="auto"/>
          </w:tcPr>
          <w:p w14:paraId="2727F20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c>
          <w:tcPr>
            <w:tcW w:w="0" w:type="auto"/>
            <w:tcBorders>
              <w:top w:val="nil"/>
              <w:bottom w:val="nil"/>
            </w:tcBorders>
            <w:shd w:val="clear" w:color="auto" w:fill="auto"/>
          </w:tcPr>
          <w:p w14:paraId="427CDB06"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AEB3EE9"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46BB009" w14:textId="77777777" w:rsidTr="00017D80">
        <w:tc>
          <w:tcPr>
            <w:tcW w:w="0" w:type="auto"/>
            <w:tcBorders>
              <w:top w:val="nil"/>
              <w:bottom w:val="nil"/>
            </w:tcBorders>
            <w:shd w:val="clear" w:color="auto" w:fill="auto"/>
          </w:tcPr>
          <w:p w14:paraId="52845A4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 kg/m</w:t>
            </w:r>
            <w:r w:rsidRPr="004541C8">
              <w:rPr>
                <w:rFonts w:ascii="Book Antiqua" w:hAnsi="Book Antiqua"/>
                <w:color w:val="000000" w:themeColor="text1"/>
                <w:vertAlign w:val="superscript"/>
              </w:rPr>
              <w:t>2</w:t>
            </w:r>
          </w:p>
        </w:tc>
        <w:tc>
          <w:tcPr>
            <w:tcW w:w="0" w:type="auto"/>
            <w:tcBorders>
              <w:top w:val="nil"/>
              <w:bottom w:val="nil"/>
            </w:tcBorders>
            <w:shd w:val="clear" w:color="auto" w:fill="auto"/>
          </w:tcPr>
          <w:p w14:paraId="3A89531B"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145F472"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3BF97C0"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82D6E86"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1F5F959"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049E3FDF" w14:textId="77777777" w:rsidTr="00017D80">
        <w:tc>
          <w:tcPr>
            <w:tcW w:w="0" w:type="auto"/>
            <w:tcBorders>
              <w:top w:val="nil"/>
              <w:bottom w:val="nil"/>
            </w:tcBorders>
            <w:shd w:val="clear" w:color="auto" w:fill="auto"/>
          </w:tcPr>
          <w:p w14:paraId="224D27E8" w14:textId="566B4BCA"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w:t>
            </w:r>
            <w:r w:rsidR="00521E5F">
              <w:rPr>
                <w:rFonts w:ascii="Book Antiqua" w:hAnsi="Book Antiqua"/>
                <w:color w:val="000000" w:themeColor="text1"/>
              </w:rPr>
              <w:t>-</w:t>
            </w:r>
            <w:r w:rsidRPr="004541C8">
              <w:rPr>
                <w:rFonts w:ascii="Book Antiqua" w:hAnsi="Book Antiqua"/>
                <w:color w:val="000000" w:themeColor="text1"/>
              </w:rPr>
              <w:t>2</w:t>
            </w:r>
          </w:p>
        </w:tc>
        <w:tc>
          <w:tcPr>
            <w:tcW w:w="0" w:type="auto"/>
            <w:tcBorders>
              <w:top w:val="nil"/>
              <w:bottom w:val="nil"/>
            </w:tcBorders>
            <w:shd w:val="clear" w:color="auto" w:fill="auto"/>
          </w:tcPr>
          <w:p w14:paraId="0500B29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38.18</w:t>
            </w:r>
          </w:p>
        </w:tc>
        <w:tc>
          <w:tcPr>
            <w:tcW w:w="0" w:type="auto"/>
            <w:tcBorders>
              <w:top w:val="nil"/>
              <w:bottom w:val="nil"/>
            </w:tcBorders>
            <w:shd w:val="clear" w:color="auto" w:fill="auto"/>
          </w:tcPr>
          <w:p w14:paraId="06CF42D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3.60</w:t>
            </w:r>
          </w:p>
        </w:tc>
        <w:tc>
          <w:tcPr>
            <w:tcW w:w="0" w:type="auto"/>
            <w:tcBorders>
              <w:top w:val="nil"/>
              <w:bottom w:val="nil"/>
            </w:tcBorders>
            <w:shd w:val="clear" w:color="auto" w:fill="auto"/>
          </w:tcPr>
          <w:p w14:paraId="5844D81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47</w:t>
            </w:r>
          </w:p>
        </w:tc>
        <w:tc>
          <w:tcPr>
            <w:tcW w:w="0" w:type="auto"/>
            <w:tcBorders>
              <w:top w:val="nil"/>
              <w:bottom w:val="nil"/>
            </w:tcBorders>
            <w:shd w:val="clear" w:color="auto" w:fill="auto"/>
          </w:tcPr>
          <w:p w14:paraId="6424142C"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726BFF0"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0.045</w:t>
            </w:r>
          </w:p>
        </w:tc>
      </w:tr>
      <w:tr w:rsidR="00E67962" w:rsidRPr="00E67962" w14:paraId="032554D6" w14:textId="77777777" w:rsidTr="00017D80">
        <w:tc>
          <w:tcPr>
            <w:tcW w:w="0" w:type="auto"/>
            <w:tcBorders>
              <w:top w:val="nil"/>
              <w:bottom w:val="nil"/>
            </w:tcBorders>
            <w:shd w:val="clear" w:color="auto" w:fill="auto"/>
          </w:tcPr>
          <w:p w14:paraId="4604EDC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4622EC1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38.74</w:t>
            </w:r>
          </w:p>
        </w:tc>
        <w:tc>
          <w:tcPr>
            <w:tcW w:w="0" w:type="auto"/>
            <w:tcBorders>
              <w:top w:val="nil"/>
              <w:bottom w:val="nil"/>
            </w:tcBorders>
            <w:shd w:val="clear" w:color="auto" w:fill="auto"/>
          </w:tcPr>
          <w:p w14:paraId="44C837C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4.75</w:t>
            </w:r>
          </w:p>
        </w:tc>
        <w:tc>
          <w:tcPr>
            <w:tcW w:w="0" w:type="auto"/>
            <w:tcBorders>
              <w:top w:val="nil"/>
              <w:bottom w:val="nil"/>
            </w:tcBorders>
            <w:shd w:val="clear" w:color="auto" w:fill="auto"/>
          </w:tcPr>
          <w:p w14:paraId="501085B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w:t>
            </w:r>
          </w:p>
        </w:tc>
        <w:tc>
          <w:tcPr>
            <w:tcW w:w="0" w:type="auto"/>
            <w:tcBorders>
              <w:top w:val="nil"/>
              <w:bottom w:val="nil"/>
            </w:tcBorders>
            <w:shd w:val="clear" w:color="auto" w:fill="auto"/>
          </w:tcPr>
          <w:p w14:paraId="24E68EB4"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BFD6555"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3BA5353" w14:textId="77777777" w:rsidTr="00017D80">
        <w:tc>
          <w:tcPr>
            <w:tcW w:w="0" w:type="auto"/>
            <w:tcBorders>
              <w:top w:val="nil"/>
              <w:bottom w:val="nil"/>
            </w:tcBorders>
            <w:shd w:val="clear" w:color="auto" w:fill="auto"/>
          </w:tcPr>
          <w:p w14:paraId="4A3438E2"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5077173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40.80</w:t>
            </w:r>
          </w:p>
        </w:tc>
        <w:tc>
          <w:tcPr>
            <w:tcW w:w="0" w:type="auto"/>
            <w:tcBorders>
              <w:top w:val="nil"/>
              <w:bottom w:val="nil"/>
            </w:tcBorders>
            <w:shd w:val="clear" w:color="auto" w:fill="auto"/>
          </w:tcPr>
          <w:p w14:paraId="03C24CA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6.72</w:t>
            </w:r>
          </w:p>
        </w:tc>
        <w:tc>
          <w:tcPr>
            <w:tcW w:w="0" w:type="auto"/>
            <w:tcBorders>
              <w:top w:val="nil"/>
              <w:bottom w:val="nil"/>
            </w:tcBorders>
            <w:shd w:val="clear" w:color="auto" w:fill="auto"/>
          </w:tcPr>
          <w:p w14:paraId="500495C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5AF33368"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F08127E"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0BF4C726" w14:textId="77777777" w:rsidTr="00017D80">
        <w:tc>
          <w:tcPr>
            <w:tcW w:w="0" w:type="auto"/>
            <w:tcBorders>
              <w:top w:val="nil"/>
              <w:bottom w:val="single" w:sz="4" w:space="0" w:color="000000"/>
            </w:tcBorders>
            <w:shd w:val="clear" w:color="auto" w:fill="auto"/>
          </w:tcPr>
          <w:p w14:paraId="0E1B720B"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single" w:sz="4" w:space="0" w:color="000000"/>
            </w:tcBorders>
            <w:shd w:val="clear" w:color="auto" w:fill="auto"/>
          </w:tcPr>
          <w:p w14:paraId="4DF2D02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39.41</w:t>
            </w:r>
          </w:p>
        </w:tc>
        <w:tc>
          <w:tcPr>
            <w:tcW w:w="0" w:type="auto"/>
            <w:tcBorders>
              <w:top w:val="nil"/>
              <w:bottom w:val="single" w:sz="4" w:space="0" w:color="000000"/>
            </w:tcBorders>
            <w:shd w:val="clear" w:color="auto" w:fill="auto"/>
          </w:tcPr>
          <w:p w14:paraId="772794C5"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5.49</w:t>
            </w:r>
          </w:p>
        </w:tc>
        <w:tc>
          <w:tcPr>
            <w:tcW w:w="0" w:type="auto"/>
            <w:tcBorders>
              <w:top w:val="nil"/>
              <w:bottom w:val="single" w:sz="4" w:space="0" w:color="000000"/>
            </w:tcBorders>
            <w:shd w:val="clear" w:color="auto" w:fill="auto"/>
          </w:tcPr>
          <w:p w14:paraId="4483436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193</w:t>
            </w:r>
          </w:p>
        </w:tc>
        <w:tc>
          <w:tcPr>
            <w:tcW w:w="0" w:type="auto"/>
            <w:tcBorders>
              <w:top w:val="nil"/>
              <w:bottom w:val="single" w:sz="4" w:space="0" w:color="000000"/>
            </w:tcBorders>
            <w:shd w:val="clear" w:color="auto" w:fill="auto"/>
          </w:tcPr>
          <w:p w14:paraId="7ABD876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single" w:sz="4" w:space="0" w:color="000000"/>
            </w:tcBorders>
            <w:shd w:val="clear" w:color="auto" w:fill="auto"/>
          </w:tcPr>
          <w:p w14:paraId="53FF8095" w14:textId="77777777" w:rsidR="00017D80" w:rsidRPr="004541C8" w:rsidRDefault="00017D80" w:rsidP="00521E5F">
            <w:pPr>
              <w:snapToGrid w:val="0"/>
              <w:spacing w:line="360" w:lineRule="auto"/>
              <w:jc w:val="both"/>
              <w:rPr>
                <w:rFonts w:ascii="Book Antiqua" w:hAnsi="Book Antiqua"/>
                <w:color w:val="000000" w:themeColor="text1"/>
              </w:rPr>
            </w:pPr>
          </w:p>
        </w:tc>
      </w:tr>
    </w:tbl>
    <w:p w14:paraId="3DD437DB" w14:textId="36B2EDB9"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 xml:space="preserve">BMI: Body mass index; FPG: Fasting plasma glucose; </w:t>
      </w:r>
      <w:r w:rsidR="005F26DC" w:rsidRPr="002069F2">
        <w:rPr>
          <w:rFonts w:ascii="Book Antiqua" w:eastAsia="Book Antiqua" w:hAnsi="Book Antiqua" w:cs="Book Antiqua"/>
          <w:color w:val="000000" w:themeColor="text1"/>
        </w:rPr>
        <w:t>GLP-1: Glucagon-like-1</w:t>
      </w:r>
      <w:r w:rsidR="005F26DC">
        <w:rPr>
          <w:rFonts w:ascii="Book Antiqua" w:eastAsia="Book Antiqua" w:hAnsi="Book Antiqua" w:cs="Book Antiqua"/>
          <w:color w:val="000000" w:themeColor="text1"/>
        </w:rPr>
        <w:t xml:space="preserve">; </w:t>
      </w:r>
      <w:r w:rsidRPr="004541C8">
        <w:rPr>
          <w:rFonts w:ascii="Book Antiqua" w:hAnsi="Book Antiqua"/>
          <w:color w:val="000000" w:themeColor="text1"/>
        </w:rPr>
        <w:t>HbA1c: Hemoglobin A1c</w:t>
      </w:r>
      <w:r w:rsidR="008A2EDA" w:rsidRPr="004541C8">
        <w:rPr>
          <w:rFonts w:ascii="Book Antiqua" w:hAnsi="Book Antiqua"/>
          <w:color w:val="000000" w:themeColor="text1"/>
        </w:rPr>
        <w:t xml:space="preserve">; </w:t>
      </w:r>
      <w:r w:rsidR="005F26DC" w:rsidRPr="00754445">
        <w:rPr>
          <w:rFonts w:ascii="Book Antiqua" w:hAnsi="Book Antiqua"/>
          <w:color w:val="000000" w:themeColor="text1"/>
        </w:rPr>
        <w:t xml:space="preserve">SD: Standard deviation; </w:t>
      </w:r>
      <w:r w:rsidR="005F26DC">
        <w:rPr>
          <w:rFonts w:ascii="Book Antiqua" w:hAnsi="Book Antiqua"/>
          <w:color w:val="000000" w:themeColor="text1"/>
        </w:rPr>
        <w:t>SGLT</w:t>
      </w:r>
      <w:r w:rsidR="00521E5F">
        <w:rPr>
          <w:rFonts w:ascii="Book Antiqua" w:hAnsi="Book Antiqua"/>
          <w:color w:val="000000" w:themeColor="text1"/>
        </w:rPr>
        <w:t>-</w:t>
      </w:r>
      <w:r w:rsidR="005F26DC">
        <w:rPr>
          <w:rFonts w:ascii="Book Antiqua" w:hAnsi="Book Antiqua"/>
          <w:color w:val="000000" w:themeColor="text1"/>
        </w:rPr>
        <w:t xml:space="preserve">2: </w:t>
      </w:r>
      <w:r w:rsidR="00F85497"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85497" w:rsidRPr="004541C8">
        <w:rPr>
          <w:rFonts w:ascii="Book Antiqua" w:eastAsia="Book Antiqua" w:hAnsi="Book Antiqua" w:cs="Book Antiqua"/>
          <w:color w:val="000000" w:themeColor="text1"/>
        </w:rPr>
        <w:t>2</w:t>
      </w:r>
      <w:r w:rsidR="005F26DC">
        <w:rPr>
          <w:rFonts w:ascii="Book Antiqua" w:eastAsia="Book Antiqua" w:hAnsi="Book Antiqua" w:cs="Book Antiqua"/>
          <w:color w:val="000000" w:themeColor="text1"/>
        </w:rPr>
        <w:t>.</w:t>
      </w:r>
      <w:r w:rsidR="005F26DC" w:rsidRPr="00754445">
        <w:rPr>
          <w:rFonts w:ascii="Book Antiqua" w:hAnsi="Book Antiqua"/>
          <w:color w:val="000000" w:themeColor="text1"/>
        </w:rPr>
        <w:t xml:space="preserve"> </w:t>
      </w:r>
      <w:r w:rsidR="009A4518" w:rsidRPr="004541C8">
        <w:rPr>
          <w:rFonts w:ascii="Book Antiqua" w:hAnsi="Book Antiqua"/>
          <w:color w:val="000000" w:themeColor="text1"/>
        </w:rPr>
        <w:br w:type="page"/>
      </w:r>
      <w:r w:rsidR="009A4518" w:rsidRPr="004541C8">
        <w:rPr>
          <w:rFonts w:ascii="Book Antiqua" w:hAnsi="Book Antiqua"/>
          <w:b/>
          <w:bCs/>
          <w:color w:val="000000" w:themeColor="text1"/>
        </w:rPr>
        <w:lastRenderedPageBreak/>
        <w:t>Table 3 Difference in antihyperglycemic therapy between three therapy groups</w:t>
      </w:r>
    </w:p>
    <w:tbl>
      <w:tblPr>
        <w:tblW w:w="5000" w:type="pct"/>
        <w:jc w:val="righ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852"/>
        <w:gridCol w:w="2264"/>
        <w:gridCol w:w="8"/>
        <w:gridCol w:w="2046"/>
        <w:gridCol w:w="8"/>
        <w:gridCol w:w="3174"/>
        <w:gridCol w:w="8"/>
      </w:tblGrid>
      <w:tr w:rsidR="00E67962" w:rsidRPr="00E67962" w14:paraId="5B6AF429" w14:textId="77777777" w:rsidTr="00F7713A">
        <w:trPr>
          <w:cantSplit/>
          <w:jc w:val="right"/>
        </w:trPr>
        <w:tc>
          <w:tcPr>
            <w:tcW w:w="0" w:type="auto"/>
            <w:tcBorders>
              <w:top w:val="single" w:sz="4" w:space="0" w:color="auto"/>
              <w:bottom w:val="nil"/>
            </w:tcBorders>
            <w:shd w:val="clear" w:color="auto" w:fill="FFFFFF"/>
          </w:tcPr>
          <w:p w14:paraId="116FA594" w14:textId="77777777" w:rsidR="009A4518" w:rsidRPr="004541C8" w:rsidRDefault="009A4518" w:rsidP="004541C8">
            <w:pPr>
              <w:autoSpaceDE w:val="0"/>
              <w:autoSpaceDN w:val="0"/>
              <w:adjustRightInd w:val="0"/>
              <w:snapToGrid w:val="0"/>
              <w:spacing w:line="360" w:lineRule="auto"/>
              <w:jc w:val="both"/>
              <w:rPr>
                <w:rFonts w:ascii="Book Antiqua" w:hAnsi="Book Antiqua"/>
                <w:b/>
                <w:bCs/>
                <w:color w:val="000000" w:themeColor="text1"/>
                <w:lang w:eastAsia="zh-CN"/>
              </w:rPr>
            </w:pPr>
          </w:p>
        </w:tc>
        <w:tc>
          <w:tcPr>
            <w:tcW w:w="0" w:type="auto"/>
            <w:gridSpan w:val="6"/>
            <w:tcBorders>
              <w:top w:val="single" w:sz="4" w:space="0" w:color="auto"/>
              <w:bottom w:val="single" w:sz="4" w:space="0" w:color="auto"/>
            </w:tcBorders>
            <w:shd w:val="clear" w:color="auto" w:fill="FFFFFF"/>
          </w:tcPr>
          <w:p w14:paraId="032FCA27" w14:textId="0956A5C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Th</w:t>
            </w:r>
            <w:r w:rsidR="009827FE">
              <w:rPr>
                <w:rFonts w:ascii="Book Antiqua" w:eastAsia="Calibri" w:hAnsi="Book Antiqua"/>
                <w:b/>
                <w:bCs/>
                <w:color w:val="000000" w:themeColor="text1"/>
              </w:rPr>
              <w:t>e</w:t>
            </w:r>
            <w:r w:rsidRPr="004541C8">
              <w:rPr>
                <w:rFonts w:ascii="Book Antiqua" w:eastAsia="Calibri" w:hAnsi="Book Antiqua"/>
                <w:b/>
                <w:bCs/>
                <w:color w:val="000000" w:themeColor="text1"/>
              </w:rPr>
              <w:t>rapy group</w:t>
            </w:r>
          </w:p>
        </w:tc>
      </w:tr>
      <w:tr w:rsidR="00E67962" w:rsidRPr="00E67962" w14:paraId="1F9F0769" w14:textId="77777777" w:rsidTr="00876FA9">
        <w:trPr>
          <w:cantSplit/>
          <w:jc w:val="right"/>
        </w:trPr>
        <w:tc>
          <w:tcPr>
            <w:tcW w:w="0" w:type="auto"/>
            <w:tcBorders>
              <w:top w:val="nil"/>
              <w:bottom w:val="nil"/>
            </w:tcBorders>
            <w:shd w:val="clear" w:color="auto" w:fill="FFFFFF"/>
          </w:tcPr>
          <w:p w14:paraId="3125B95E" w14:textId="77777777" w:rsidR="00F7713A" w:rsidRPr="004541C8" w:rsidRDefault="00F7713A" w:rsidP="004541C8">
            <w:pPr>
              <w:autoSpaceDE w:val="0"/>
              <w:autoSpaceDN w:val="0"/>
              <w:adjustRightInd w:val="0"/>
              <w:snapToGrid w:val="0"/>
              <w:spacing w:line="360" w:lineRule="auto"/>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0F4507EB" w14:textId="6AC5863D"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SGLT</w:t>
            </w:r>
            <w:r w:rsidR="00521E5F">
              <w:rPr>
                <w:rFonts w:ascii="Book Antiqua" w:eastAsia="Calibri" w:hAnsi="Book Antiqua"/>
                <w:b/>
                <w:bCs/>
                <w:color w:val="000000" w:themeColor="text1"/>
              </w:rPr>
              <w:t>-</w:t>
            </w:r>
            <w:r w:rsidRPr="004541C8">
              <w:rPr>
                <w:rFonts w:ascii="Book Antiqua" w:eastAsia="Calibri" w:hAnsi="Book Antiqua"/>
                <w:b/>
                <w:bCs/>
                <w:color w:val="000000" w:themeColor="text1"/>
              </w:rPr>
              <w:t xml:space="preserve">2,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664D81C2"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4677E2F1"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 xml:space="preserve">GLP-1,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004A0DDF"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3402E114"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 xml:space="preserve">Simultaneous,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6D819787"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r>
      <w:tr w:rsidR="00E67962" w:rsidRPr="00E67962" w14:paraId="5BF9DAFF" w14:textId="77777777" w:rsidTr="00F7713A">
        <w:trPr>
          <w:cantSplit/>
          <w:jc w:val="right"/>
        </w:trPr>
        <w:tc>
          <w:tcPr>
            <w:tcW w:w="0" w:type="auto"/>
            <w:tcBorders>
              <w:top w:val="single" w:sz="4" w:space="0" w:color="auto"/>
            </w:tcBorders>
            <w:shd w:val="clear" w:color="auto" w:fill="FFFFFF"/>
          </w:tcPr>
          <w:p w14:paraId="32EC1A3E"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Insulin</w:t>
            </w:r>
          </w:p>
        </w:tc>
        <w:tc>
          <w:tcPr>
            <w:tcW w:w="0" w:type="auto"/>
            <w:tcBorders>
              <w:top w:val="single" w:sz="4" w:space="0" w:color="auto"/>
            </w:tcBorders>
            <w:shd w:val="clear" w:color="auto" w:fill="FFFFFF"/>
          </w:tcPr>
          <w:p w14:paraId="26B780DC" w14:textId="3D99461D"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11</w:t>
            </w:r>
            <w:r w:rsidR="00F7713A" w:rsidRPr="004541C8">
              <w:rPr>
                <w:rFonts w:ascii="Book Antiqua" w:eastAsia="Calibri" w:hAnsi="Book Antiqua"/>
                <w:color w:val="000000" w:themeColor="text1"/>
              </w:rPr>
              <w:t xml:space="preserve"> (32.4)</w:t>
            </w:r>
          </w:p>
        </w:tc>
        <w:tc>
          <w:tcPr>
            <w:tcW w:w="0" w:type="auto"/>
            <w:tcBorders>
              <w:top w:val="single" w:sz="4" w:space="0" w:color="auto"/>
            </w:tcBorders>
            <w:shd w:val="clear" w:color="auto" w:fill="FFFFFF"/>
          </w:tcPr>
          <w:p w14:paraId="68D74492"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tcBorders>
              <w:top w:val="single" w:sz="4" w:space="0" w:color="auto"/>
            </w:tcBorders>
            <w:shd w:val="clear" w:color="auto" w:fill="FFFFFF"/>
          </w:tcPr>
          <w:p w14:paraId="256E8E46" w14:textId="0569B5C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28</w:t>
            </w:r>
            <w:r w:rsidR="00F7713A" w:rsidRPr="004541C8">
              <w:rPr>
                <w:rFonts w:ascii="Book Antiqua" w:eastAsia="Calibri" w:hAnsi="Book Antiqua"/>
                <w:color w:val="000000" w:themeColor="text1"/>
              </w:rPr>
              <w:t xml:space="preserve"> (45.2)</w:t>
            </w:r>
          </w:p>
        </w:tc>
        <w:tc>
          <w:tcPr>
            <w:tcW w:w="0" w:type="auto"/>
            <w:tcBorders>
              <w:top w:val="single" w:sz="4" w:space="0" w:color="auto"/>
            </w:tcBorders>
            <w:shd w:val="clear" w:color="auto" w:fill="FFFFFF"/>
          </w:tcPr>
          <w:p w14:paraId="1D54E93A"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tcBorders>
              <w:top w:val="single" w:sz="4" w:space="0" w:color="auto"/>
            </w:tcBorders>
            <w:shd w:val="clear" w:color="auto" w:fill="FFFFFF"/>
          </w:tcPr>
          <w:p w14:paraId="5D8408B8" w14:textId="0C7C3D8F"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11</w:t>
            </w:r>
            <w:r w:rsidR="00F7713A" w:rsidRPr="004541C8">
              <w:rPr>
                <w:rFonts w:ascii="Book Antiqua" w:eastAsia="Calibri" w:hAnsi="Book Antiqua"/>
                <w:color w:val="000000" w:themeColor="text1"/>
              </w:rPr>
              <w:t xml:space="preserve"> (26.2)</w:t>
            </w:r>
          </w:p>
        </w:tc>
        <w:tc>
          <w:tcPr>
            <w:tcW w:w="0" w:type="auto"/>
            <w:tcBorders>
              <w:top w:val="single" w:sz="4" w:space="0" w:color="auto"/>
            </w:tcBorders>
            <w:shd w:val="clear" w:color="auto" w:fill="FFFFFF"/>
          </w:tcPr>
          <w:p w14:paraId="2D4F72F5"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1CC64631" w14:textId="77777777" w:rsidTr="009A4518">
        <w:trPr>
          <w:cantSplit/>
          <w:jc w:val="right"/>
        </w:trPr>
        <w:tc>
          <w:tcPr>
            <w:tcW w:w="0" w:type="auto"/>
            <w:shd w:val="clear" w:color="auto" w:fill="FFFFFF"/>
          </w:tcPr>
          <w:p w14:paraId="1B53591B"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Metformin</w:t>
            </w:r>
          </w:p>
        </w:tc>
        <w:tc>
          <w:tcPr>
            <w:tcW w:w="0" w:type="auto"/>
            <w:shd w:val="clear" w:color="auto" w:fill="FFFFFF"/>
          </w:tcPr>
          <w:p w14:paraId="678E2CEF" w14:textId="3C23979C"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32</w:t>
            </w:r>
            <w:r w:rsidR="00F7713A" w:rsidRPr="004541C8">
              <w:rPr>
                <w:rFonts w:ascii="Book Antiqua" w:eastAsia="Calibri" w:hAnsi="Book Antiqua"/>
                <w:color w:val="000000" w:themeColor="text1"/>
              </w:rPr>
              <w:t xml:space="preserve"> (94.1)</w:t>
            </w:r>
          </w:p>
        </w:tc>
        <w:tc>
          <w:tcPr>
            <w:tcW w:w="0" w:type="auto"/>
            <w:shd w:val="clear" w:color="auto" w:fill="FFFFFF"/>
          </w:tcPr>
          <w:p w14:paraId="545EBBA4"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1517538" w14:textId="436E6EFA"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53</w:t>
            </w:r>
            <w:r w:rsidR="00F7713A" w:rsidRPr="004541C8">
              <w:rPr>
                <w:rFonts w:ascii="Book Antiqua" w:eastAsia="Calibri" w:hAnsi="Book Antiqua"/>
                <w:color w:val="000000" w:themeColor="text1"/>
              </w:rPr>
              <w:t xml:space="preserve"> (85.5)</w:t>
            </w:r>
          </w:p>
        </w:tc>
        <w:tc>
          <w:tcPr>
            <w:tcW w:w="0" w:type="auto"/>
            <w:shd w:val="clear" w:color="auto" w:fill="FFFFFF"/>
          </w:tcPr>
          <w:p w14:paraId="3D0ABBBD"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FD105B2" w14:textId="155251C5"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33</w:t>
            </w:r>
            <w:r w:rsidR="00F7713A" w:rsidRPr="004541C8">
              <w:rPr>
                <w:rFonts w:ascii="Book Antiqua" w:eastAsia="Calibri" w:hAnsi="Book Antiqua"/>
                <w:color w:val="000000" w:themeColor="text1"/>
              </w:rPr>
              <w:t xml:space="preserve"> (78.6)</w:t>
            </w:r>
          </w:p>
        </w:tc>
        <w:tc>
          <w:tcPr>
            <w:tcW w:w="0" w:type="auto"/>
            <w:shd w:val="clear" w:color="auto" w:fill="FFFFFF"/>
          </w:tcPr>
          <w:p w14:paraId="70D454C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120FC536" w14:textId="77777777" w:rsidTr="009A4518">
        <w:trPr>
          <w:cantSplit/>
          <w:jc w:val="right"/>
        </w:trPr>
        <w:tc>
          <w:tcPr>
            <w:tcW w:w="0" w:type="auto"/>
            <w:shd w:val="clear" w:color="auto" w:fill="FFFFFF"/>
          </w:tcPr>
          <w:p w14:paraId="7D7F9A3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SU</w:t>
            </w:r>
          </w:p>
        </w:tc>
        <w:tc>
          <w:tcPr>
            <w:tcW w:w="0" w:type="auto"/>
            <w:shd w:val="clear" w:color="auto" w:fill="FFFFFF"/>
          </w:tcPr>
          <w:p w14:paraId="234D3190" w14:textId="3C7C03AE"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4</w:t>
            </w:r>
            <w:r w:rsidR="00F7713A" w:rsidRPr="004541C8">
              <w:rPr>
                <w:rFonts w:ascii="Book Antiqua" w:eastAsia="Calibri" w:hAnsi="Book Antiqua"/>
                <w:color w:val="000000" w:themeColor="text1"/>
              </w:rPr>
              <w:t xml:space="preserve"> (11.8)</w:t>
            </w:r>
          </w:p>
        </w:tc>
        <w:tc>
          <w:tcPr>
            <w:tcW w:w="0" w:type="auto"/>
            <w:shd w:val="clear" w:color="auto" w:fill="FFFFFF"/>
          </w:tcPr>
          <w:p w14:paraId="637330A9"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51EAAF2" w14:textId="7EA439B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12</w:t>
            </w:r>
            <w:r w:rsidR="00F7713A" w:rsidRPr="004541C8">
              <w:rPr>
                <w:rFonts w:ascii="Book Antiqua" w:eastAsia="Calibri" w:hAnsi="Book Antiqua"/>
                <w:color w:val="000000" w:themeColor="text1"/>
              </w:rPr>
              <w:t xml:space="preserve"> (19.4)</w:t>
            </w:r>
          </w:p>
        </w:tc>
        <w:tc>
          <w:tcPr>
            <w:tcW w:w="0" w:type="auto"/>
            <w:shd w:val="clear" w:color="auto" w:fill="FFFFFF"/>
          </w:tcPr>
          <w:p w14:paraId="1490E0C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150CFEFA" w14:textId="1217BC99"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6</w:t>
            </w:r>
            <w:r w:rsidR="00F7713A" w:rsidRPr="004541C8">
              <w:rPr>
                <w:rFonts w:ascii="Book Antiqua" w:eastAsia="Calibri" w:hAnsi="Book Antiqua"/>
                <w:color w:val="000000" w:themeColor="text1"/>
              </w:rPr>
              <w:t xml:space="preserve"> (14.3)</w:t>
            </w:r>
          </w:p>
        </w:tc>
        <w:tc>
          <w:tcPr>
            <w:tcW w:w="0" w:type="auto"/>
            <w:shd w:val="clear" w:color="auto" w:fill="FFFFFF"/>
          </w:tcPr>
          <w:p w14:paraId="2E9E82E1"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2C3CA5F8" w14:textId="77777777" w:rsidTr="009A4518">
        <w:trPr>
          <w:cantSplit/>
          <w:jc w:val="right"/>
        </w:trPr>
        <w:tc>
          <w:tcPr>
            <w:tcW w:w="0" w:type="auto"/>
            <w:shd w:val="clear" w:color="auto" w:fill="FFFFFF"/>
          </w:tcPr>
          <w:p w14:paraId="020D696F"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O</w:t>
            </w:r>
            <w:r w:rsidR="009A4518" w:rsidRPr="004541C8">
              <w:rPr>
                <w:rFonts w:ascii="Book Antiqua" w:eastAsia="Calibri" w:hAnsi="Book Antiqua"/>
                <w:color w:val="000000" w:themeColor="text1"/>
              </w:rPr>
              <w:t>ther OAD</w:t>
            </w:r>
          </w:p>
        </w:tc>
        <w:tc>
          <w:tcPr>
            <w:tcW w:w="0" w:type="auto"/>
            <w:shd w:val="clear" w:color="auto" w:fill="FFFFFF"/>
          </w:tcPr>
          <w:p w14:paraId="57927F5F" w14:textId="7CA5F30A"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w:t>
            </w:r>
            <w:r w:rsidR="00F7713A" w:rsidRPr="004541C8">
              <w:rPr>
                <w:rFonts w:ascii="Book Antiqua" w:eastAsia="Calibri" w:hAnsi="Book Antiqua"/>
                <w:color w:val="000000" w:themeColor="text1"/>
              </w:rPr>
              <w:t xml:space="preserve"> (8.8)</w:t>
            </w:r>
          </w:p>
        </w:tc>
        <w:tc>
          <w:tcPr>
            <w:tcW w:w="0" w:type="auto"/>
            <w:shd w:val="clear" w:color="auto" w:fill="FFFFFF"/>
          </w:tcPr>
          <w:p w14:paraId="2A2D3442"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233AA32B" w14:textId="7D464970"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w:t>
            </w:r>
            <w:r w:rsidR="00F7713A" w:rsidRPr="004541C8">
              <w:rPr>
                <w:rFonts w:ascii="Book Antiqua" w:eastAsia="Calibri" w:hAnsi="Book Antiqua"/>
                <w:color w:val="000000" w:themeColor="text1"/>
              </w:rPr>
              <w:t xml:space="preserve"> (16.1)</w:t>
            </w:r>
          </w:p>
        </w:tc>
        <w:tc>
          <w:tcPr>
            <w:tcW w:w="0" w:type="auto"/>
            <w:shd w:val="clear" w:color="auto" w:fill="FFFFFF"/>
          </w:tcPr>
          <w:p w14:paraId="1B925E46"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9375901" w14:textId="33AAFEBE"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w:t>
            </w:r>
            <w:r w:rsidR="00F7713A" w:rsidRPr="004541C8">
              <w:rPr>
                <w:rFonts w:ascii="Book Antiqua" w:eastAsia="Calibri" w:hAnsi="Book Antiqua"/>
                <w:color w:val="000000" w:themeColor="text1"/>
              </w:rPr>
              <w:t xml:space="preserve"> (19.0)</w:t>
            </w:r>
          </w:p>
        </w:tc>
        <w:tc>
          <w:tcPr>
            <w:tcW w:w="0" w:type="auto"/>
            <w:shd w:val="clear" w:color="auto" w:fill="FFFFFF"/>
          </w:tcPr>
          <w:p w14:paraId="3B5E5055"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bl>
    <w:p w14:paraId="2DB7F3CF" w14:textId="0421A6CE" w:rsidR="007374E1" w:rsidRPr="004541C8" w:rsidRDefault="009827FE" w:rsidP="004541C8">
      <w:pPr>
        <w:snapToGrid w:val="0"/>
        <w:spacing w:line="360" w:lineRule="auto"/>
        <w:jc w:val="both"/>
        <w:rPr>
          <w:rFonts w:ascii="Book Antiqua" w:eastAsia="Book Antiqua" w:hAnsi="Book Antiqua" w:cs="Book Antiqua"/>
          <w:color w:val="000000" w:themeColor="text1"/>
        </w:rPr>
      </w:pPr>
      <w:r w:rsidRPr="00A065A7">
        <w:rPr>
          <w:rFonts w:ascii="Book Antiqua" w:eastAsia="Book Antiqua" w:hAnsi="Book Antiqua" w:cs="Book Antiqua"/>
          <w:color w:val="000000" w:themeColor="text1"/>
        </w:rPr>
        <w:t>GLP-1: Glucagon-like-1</w:t>
      </w:r>
      <w:r>
        <w:rPr>
          <w:rFonts w:ascii="Book Antiqua" w:eastAsia="Book Antiqua" w:hAnsi="Book Antiqua" w:cs="Book Antiqua"/>
          <w:color w:val="000000" w:themeColor="text1"/>
        </w:rPr>
        <w:t xml:space="preserve">; </w:t>
      </w:r>
      <w:r w:rsidR="00F7713A" w:rsidRPr="004541C8">
        <w:rPr>
          <w:rFonts w:ascii="Book Antiqua" w:hAnsi="Book Antiqua"/>
          <w:color w:val="000000" w:themeColor="text1"/>
        </w:rPr>
        <w:t xml:space="preserve">OAD: Oral antihyperglycemic drugs; </w:t>
      </w:r>
      <w:r w:rsidR="00F7713A" w:rsidRPr="004541C8">
        <w:rPr>
          <w:rFonts w:ascii="Book Antiqua" w:eastAsia="Book Antiqua" w:hAnsi="Book Antiqua" w:cs="Book Antiqua"/>
          <w:color w:val="000000" w:themeColor="text1"/>
        </w:rPr>
        <w:t>SGLT</w:t>
      </w:r>
      <w:r w:rsidR="00C3386C">
        <w:rPr>
          <w:rFonts w:ascii="Book Antiqua" w:eastAsia="Book Antiqua" w:hAnsi="Book Antiqua" w:cs="Book Antiqua"/>
          <w:color w:val="000000" w:themeColor="text1"/>
        </w:rPr>
        <w:t>-</w:t>
      </w:r>
      <w:r w:rsidR="00F7713A" w:rsidRPr="004541C8">
        <w:rPr>
          <w:rFonts w:ascii="Book Antiqua" w:eastAsia="Book Antiqua" w:hAnsi="Book Antiqua" w:cs="Book Antiqua"/>
          <w:color w:val="000000" w:themeColor="text1"/>
        </w:rPr>
        <w:t>2: Sodium/glucose cotransporter</w:t>
      </w:r>
      <w:r w:rsidR="00521E5F">
        <w:rPr>
          <w:rFonts w:ascii="Book Antiqua" w:eastAsia="Book Antiqua" w:hAnsi="Book Antiqua" w:cs="Book Antiqua"/>
          <w:color w:val="000000" w:themeColor="text1"/>
        </w:rPr>
        <w:t>-</w:t>
      </w:r>
      <w:r w:rsidR="00F7713A" w:rsidRPr="004541C8">
        <w:rPr>
          <w:rFonts w:ascii="Book Antiqua" w:eastAsia="Book Antiqua" w:hAnsi="Book Antiqua" w:cs="Book Antiqua"/>
          <w:color w:val="000000" w:themeColor="text1"/>
        </w:rPr>
        <w:t xml:space="preserve">2; </w:t>
      </w:r>
      <w:r w:rsidRPr="00635C1E">
        <w:rPr>
          <w:rFonts w:ascii="Book Antiqua" w:hAnsi="Book Antiqua"/>
          <w:color w:val="000000" w:themeColor="text1"/>
        </w:rPr>
        <w:t xml:space="preserve">SU: </w:t>
      </w:r>
      <w:proofErr w:type="spellStart"/>
      <w:r w:rsidRPr="00635C1E">
        <w:rPr>
          <w:rFonts w:ascii="Book Antiqua" w:hAnsi="Book Antiqua"/>
          <w:color w:val="000000" w:themeColor="text1"/>
        </w:rPr>
        <w:t>Sulphonylurea</w:t>
      </w:r>
      <w:proofErr w:type="spellEnd"/>
      <w:r>
        <w:rPr>
          <w:rFonts w:ascii="Book Antiqua" w:hAnsi="Book Antiqua"/>
          <w:color w:val="000000" w:themeColor="text1"/>
        </w:rPr>
        <w:t>.</w:t>
      </w:r>
      <w:r w:rsidRPr="00635C1E">
        <w:rPr>
          <w:rFonts w:ascii="Book Antiqua" w:hAnsi="Book Antiqua"/>
          <w:color w:val="000000" w:themeColor="text1"/>
        </w:rPr>
        <w:t xml:space="preserve"> </w:t>
      </w:r>
    </w:p>
    <w:p w14:paraId="05112871" w14:textId="77777777" w:rsidR="00712681" w:rsidRPr="004541C8" w:rsidRDefault="00712681" w:rsidP="004541C8">
      <w:pPr>
        <w:snapToGrid w:val="0"/>
        <w:spacing w:line="360" w:lineRule="auto"/>
        <w:jc w:val="both"/>
        <w:rPr>
          <w:rFonts w:ascii="Book Antiqua" w:eastAsia="Book Antiqua" w:hAnsi="Book Antiqua" w:cs="Book Antiqua"/>
          <w:color w:val="000000" w:themeColor="text1"/>
        </w:rPr>
        <w:sectPr w:rsidR="00712681" w:rsidRPr="004541C8">
          <w:pgSz w:w="12240" w:h="15840"/>
          <w:pgMar w:top="1440" w:right="1440" w:bottom="1440" w:left="1440" w:header="720" w:footer="720" w:gutter="0"/>
          <w:cols w:space="720"/>
          <w:docGrid w:linePitch="360"/>
        </w:sectPr>
      </w:pPr>
    </w:p>
    <w:p w14:paraId="7E491B2A" w14:textId="77777777" w:rsidR="009A4518" w:rsidRPr="004541C8" w:rsidRDefault="007374E1" w:rsidP="004541C8">
      <w:pPr>
        <w:snapToGrid w:val="0"/>
        <w:spacing w:line="360" w:lineRule="auto"/>
        <w:jc w:val="both"/>
        <w:rPr>
          <w:rFonts w:ascii="Book Antiqua" w:eastAsia="Book Antiqua" w:hAnsi="Book Antiqua" w:cs="Book Antiqua"/>
          <w:b/>
          <w:bCs/>
          <w:color w:val="000000" w:themeColor="text1"/>
        </w:rPr>
      </w:pPr>
      <w:r w:rsidRPr="004541C8">
        <w:rPr>
          <w:rFonts w:ascii="Book Antiqua" w:eastAsia="Book Antiqua" w:hAnsi="Book Antiqua" w:cs="Book Antiqua"/>
          <w:b/>
          <w:bCs/>
          <w:color w:val="000000" w:themeColor="text1"/>
        </w:rPr>
        <w:lastRenderedPageBreak/>
        <w:t>Table 4 Change of parameters over a follow-up period in three time points according to therapy group</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323"/>
        <w:gridCol w:w="1669"/>
        <w:gridCol w:w="843"/>
        <w:gridCol w:w="636"/>
        <w:gridCol w:w="843"/>
        <w:gridCol w:w="636"/>
        <w:gridCol w:w="843"/>
        <w:gridCol w:w="636"/>
        <w:gridCol w:w="3887"/>
        <w:gridCol w:w="828"/>
        <w:gridCol w:w="1032"/>
      </w:tblGrid>
      <w:tr w:rsidR="00E67962" w:rsidRPr="00E67962" w14:paraId="2532300F" w14:textId="77777777" w:rsidTr="00411268">
        <w:tc>
          <w:tcPr>
            <w:tcW w:w="0" w:type="auto"/>
            <w:tcBorders>
              <w:top w:val="single" w:sz="4" w:space="0" w:color="000000"/>
              <w:bottom w:val="nil"/>
            </w:tcBorders>
            <w:shd w:val="clear" w:color="auto" w:fill="auto"/>
          </w:tcPr>
          <w:p w14:paraId="55A4093A"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Parameter</w:t>
            </w:r>
          </w:p>
        </w:tc>
        <w:tc>
          <w:tcPr>
            <w:tcW w:w="0" w:type="auto"/>
            <w:tcBorders>
              <w:top w:val="single" w:sz="4" w:space="0" w:color="000000"/>
              <w:bottom w:val="nil"/>
            </w:tcBorders>
            <w:shd w:val="clear" w:color="auto" w:fill="auto"/>
          </w:tcPr>
          <w:p w14:paraId="1102D05D"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 xml:space="preserve">Therapy </w:t>
            </w:r>
          </w:p>
        </w:tc>
        <w:tc>
          <w:tcPr>
            <w:tcW w:w="0" w:type="auto"/>
            <w:gridSpan w:val="2"/>
            <w:tcBorders>
              <w:top w:val="single" w:sz="4" w:space="0" w:color="000000"/>
              <w:bottom w:val="single" w:sz="4" w:space="0" w:color="auto"/>
            </w:tcBorders>
            <w:shd w:val="clear" w:color="auto" w:fill="auto"/>
          </w:tcPr>
          <w:p w14:paraId="34002E8B"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Baseline</w:t>
            </w:r>
          </w:p>
        </w:tc>
        <w:tc>
          <w:tcPr>
            <w:tcW w:w="0" w:type="auto"/>
            <w:gridSpan w:val="2"/>
            <w:tcBorders>
              <w:top w:val="single" w:sz="4" w:space="0" w:color="000000"/>
              <w:bottom w:val="single" w:sz="4" w:space="0" w:color="auto"/>
            </w:tcBorders>
            <w:shd w:val="clear" w:color="auto" w:fill="auto"/>
          </w:tcPr>
          <w:p w14:paraId="06064B2A"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6 mo</w:t>
            </w:r>
          </w:p>
        </w:tc>
        <w:tc>
          <w:tcPr>
            <w:tcW w:w="0" w:type="auto"/>
            <w:gridSpan w:val="2"/>
            <w:tcBorders>
              <w:top w:val="single" w:sz="4" w:space="0" w:color="000000"/>
              <w:bottom w:val="single" w:sz="4" w:space="0" w:color="auto"/>
            </w:tcBorders>
            <w:shd w:val="clear" w:color="auto" w:fill="auto"/>
          </w:tcPr>
          <w:p w14:paraId="3A7E345E"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1 yr</w:t>
            </w:r>
          </w:p>
        </w:tc>
        <w:tc>
          <w:tcPr>
            <w:tcW w:w="3887" w:type="dxa"/>
            <w:tcBorders>
              <w:top w:val="single" w:sz="4" w:space="0" w:color="000000"/>
              <w:bottom w:val="nil"/>
            </w:tcBorders>
            <w:shd w:val="clear" w:color="auto" w:fill="auto"/>
          </w:tcPr>
          <w:p w14:paraId="16ABD723"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Two-way repeated measures ANCOVA</w:t>
            </w:r>
          </w:p>
        </w:tc>
        <w:tc>
          <w:tcPr>
            <w:tcW w:w="828" w:type="dxa"/>
            <w:tcBorders>
              <w:top w:val="single" w:sz="4" w:space="0" w:color="000000"/>
              <w:bottom w:val="nil"/>
            </w:tcBorders>
            <w:shd w:val="clear" w:color="auto" w:fill="auto"/>
          </w:tcPr>
          <w:p w14:paraId="59691D26" w14:textId="6A04B04F" w:rsidR="007374E1" w:rsidRPr="004541C8" w:rsidRDefault="007374E1"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F</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c>
          <w:tcPr>
            <w:tcW w:w="0" w:type="auto"/>
            <w:tcBorders>
              <w:top w:val="single" w:sz="4" w:space="0" w:color="000000"/>
              <w:bottom w:val="nil"/>
            </w:tcBorders>
            <w:shd w:val="clear" w:color="auto" w:fill="auto"/>
          </w:tcPr>
          <w:p w14:paraId="309026ED" w14:textId="1A0D1867" w:rsidR="007374E1" w:rsidRPr="004541C8" w:rsidRDefault="007374E1"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r>
      <w:tr w:rsidR="00E67962" w:rsidRPr="00E67962" w14:paraId="483191EE" w14:textId="77777777" w:rsidTr="00411268">
        <w:tc>
          <w:tcPr>
            <w:tcW w:w="0" w:type="auto"/>
            <w:tcBorders>
              <w:top w:val="nil"/>
              <w:bottom w:val="single" w:sz="4" w:space="0" w:color="auto"/>
            </w:tcBorders>
            <w:shd w:val="clear" w:color="auto" w:fill="auto"/>
          </w:tcPr>
          <w:p w14:paraId="116A80C0"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single" w:sz="4" w:space="0" w:color="auto"/>
            </w:tcBorders>
            <w:shd w:val="clear" w:color="auto" w:fill="auto"/>
          </w:tcPr>
          <w:p w14:paraId="3DD9FC4C" w14:textId="77777777" w:rsidR="007374E1" w:rsidRPr="004541C8" w:rsidRDefault="007374E1" w:rsidP="00411268">
            <w:pPr>
              <w:snapToGrid w:val="0"/>
              <w:spacing w:line="360" w:lineRule="auto"/>
              <w:jc w:val="both"/>
              <w:rPr>
                <w:rFonts w:ascii="Book Antiqua" w:hAnsi="Book Antiqua"/>
                <w:color w:val="000000" w:themeColor="text1"/>
              </w:rPr>
            </w:pPr>
          </w:p>
        </w:tc>
        <w:tc>
          <w:tcPr>
            <w:tcW w:w="0" w:type="auto"/>
            <w:tcBorders>
              <w:top w:val="single" w:sz="4" w:space="0" w:color="auto"/>
              <w:bottom w:val="single" w:sz="4" w:space="0" w:color="auto"/>
            </w:tcBorders>
            <w:shd w:val="clear" w:color="auto" w:fill="auto"/>
          </w:tcPr>
          <w:p w14:paraId="6EB0D270"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108602EF"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002B4233"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16975AEC"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4787D2A6"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40A8F404"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3887" w:type="dxa"/>
            <w:tcBorders>
              <w:top w:val="nil"/>
              <w:bottom w:val="single" w:sz="4" w:space="0" w:color="auto"/>
            </w:tcBorders>
            <w:shd w:val="clear" w:color="auto" w:fill="auto"/>
          </w:tcPr>
          <w:p w14:paraId="2CA614F9" w14:textId="77777777" w:rsidR="007374E1" w:rsidRPr="004541C8" w:rsidRDefault="007374E1" w:rsidP="007F2BD5">
            <w:pPr>
              <w:snapToGrid w:val="0"/>
              <w:spacing w:line="360" w:lineRule="auto"/>
              <w:jc w:val="both"/>
              <w:rPr>
                <w:rFonts w:ascii="Book Antiqua" w:hAnsi="Book Antiqua"/>
                <w:b/>
                <w:bCs/>
                <w:color w:val="000000" w:themeColor="text1"/>
              </w:rPr>
            </w:pPr>
          </w:p>
        </w:tc>
        <w:tc>
          <w:tcPr>
            <w:tcW w:w="828" w:type="dxa"/>
            <w:tcBorders>
              <w:top w:val="nil"/>
              <w:bottom w:val="single" w:sz="4" w:space="0" w:color="auto"/>
            </w:tcBorders>
            <w:shd w:val="clear" w:color="auto" w:fill="auto"/>
          </w:tcPr>
          <w:p w14:paraId="7A7F4DEC" w14:textId="77777777" w:rsidR="007374E1" w:rsidRPr="004541C8" w:rsidRDefault="007374E1" w:rsidP="00411268">
            <w:pPr>
              <w:snapToGrid w:val="0"/>
              <w:spacing w:line="360" w:lineRule="auto"/>
              <w:jc w:val="both"/>
              <w:rPr>
                <w:rFonts w:ascii="Book Antiqua" w:hAnsi="Book Antiqua"/>
                <w:color w:val="000000" w:themeColor="text1"/>
              </w:rPr>
            </w:pPr>
          </w:p>
        </w:tc>
        <w:tc>
          <w:tcPr>
            <w:tcW w:w="0" w:type="auto"/>
            <w:tcBorders>
              <w:top w:val="nil"/>
              <w:bottom w:val="single" w:sz="4" w:space="0" w:color="auto"/>
            </w:tcBorders>
            <w:shd w:val="clear" w:color="auto" w:fill="auto"/>
          </w:tcPr>
          <w:p w14:paraId="00DD6327" w14:textId="77777777" w:rsidR="007374E1" w:rsidRPr="004541C8" w:rsidRDefault="007374E1" w:rsidP="00CA36D0">
            <w:pPr>
              <w:snapToGrid w:val="0"/>
              <w:spacing w:line="360" w:lineRule="auto"/>
              <w:jc w:val="both"/>
              <w:rPr>
                <w:rFonts w:ascii="Book Antiqua" w:hAnsi="Book Antiqua"/>
                <w:color w:val="000000" w:themeColor="text1"/>
              </w:rPr>
            </w:pPr>
          </w:p>
        </w:tc>
      </w:tr>
      <w:tr w:rsidR="00E67962" w:rsidRPr="00E67962" w14:paraId="22137B9D" w14:textId="77777777" w:rsidTr="00411268">
        <w:tc>
          <w:tcPr>
            <w:tcW w:w="0" w:type="auto"/>
            <w:tcBorders>
              <w:top w:val="single" w:sz="4" w:space="0" w:color="auto"/>
              <w:bottom w:val="nil"/>
            </w:tcBorders>
            <w:shd w:val="clear" w:color="auto" w:fill="auto"/>
          </w:tcPr>
          <w:p w14:paraId="30B82B3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HbA1c</w:t>
            </w:r>
          </w:p>
        </w:tc>
        <w:tc>
          <w:tcPr>
            <w:tcW w:w="0" w:type="auto"/>
            <w:tcBorders>
              <w:top w:val="single" w:sz="4" w:space="0" w:color="auto"/>
              <w:bottom w:val="nil"/>
            </w:tcBorders>
            <w:shd w:val="clear" w:color="auto" w:fill="auto"/>
          </w:tcPr>
          <w:p w14:paraId="245F5E9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single" w:sz="4" w:space="0" w:color="auto"/>
              <w:bottom w:val="nil"/>
            </w:tcBorders>
            <w:shd w:val="clear" w:color="auto" w:fill="auto"/>
          </w:tcPr>
          <w:p w14:paraId="79BC666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7.74</w:t>
            </w:r>
          </w:p>
        </w:tc>
        <w:tc>
          <w:tcPr>
            <w:tcW w:w="0" w:type="auto"/>
            <w:tcBorders>
              <w:top w:val="single" w:sz="4" w:space="0" w:color="auto"/>
              <w:bottom w:val="nil"/>
            </w:tcBorders>
            <w:shd w:val="clear" w:color="auto" w:fill="auto"/>
          </w:tcPr>
          <w:p w14:paraId="4BB142F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0.78</w:t>
            </w:r>
          </w:p>
        </w:tc>
        <w:tc>
          <w:tcPr>
            <w:tcW w:w="0" w:type="auto"/>
            <w:tcBorders>
              <w:top w:val="single" w:sz="4" w:space="0" w:color="auto"/>
              <w:bottom w:val="nil"/>
            </w:tcBorders>
            <w:shd w:val="clear" w:color="auto" w:fill="auto"/>
          </w:tcPr>
          <w:p w14:paraId="6A6253B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7.03</w:t>
            </w:r>
          </w:p>
        </w:tc>
        <w:tc>
          <w:tcPr>
            <w:tcW w:w="0" w:type="auto"/>
            <w:tcBorders>
              <w:top w:val="single" w:sz="4" w:space="0" w:color="auto"/>
              <w:bottom w:val="nil"/>
            </w:tcBorders>
            <w:shd w:val="clear" w:color="auto" w:fill="auto"/>
          </w:tcPr>
          <w:p w14:paraId="5931B15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0.72</w:t>
            </w:r>
          </w:p>
        </w:tc>
        <w:tc>
          <w:tcPr>
            <w:tcW w:w="0" w:type="auto"/>
            <w:tcBorders>
              <w:top w:val="single" w:sz="4" w:space="0" w:color="auto"/>
              <w:bottom w:val="nil"/>
            </w:tcBorders>
            <w:shd w:val="clear" w:color="auto" w:fill="auto"/>
          </w:tcPr>
          <w:p w14:paraId="626C98F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7.09</w:t>
            </w:r>
          </w:p>
        </w:tc>
        <w:tc>
          <w:tcPr>
            <w:tcW w:w="0" w:type="auto"/>
            <w:tcBorders>
              <w:top w:val="single" w:sz="4" w:space="0" w:color="auto"/>
              <w:bottom w:val="nil"/>
            </w:tcBorders>
            <w:shd w:val="clear" w:color="auto" w:fill="auto"/>
          </w:tcPr>
          <w:p w14:paraId="7B341C9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0.83</w:t>
            </w:r>
          </w:p>
        </w:tc>
        <w:tc>
          <w:tcPr>
            <w:tcW w:w="3887" w:type="dxa"/>
            <w:tcBorders>
              <w:top w:val="single" w:sz="4" w:space="0" w:color="auto"/>
              <w:bottom w:val="nil"/>
            </w:tcBorders>
            <w:shd w:val="clear" w:color="auto" w:fill="auto"/>
          </w:tcPr>
          <w:p w14:paraId="1939617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single" w:sz="4" w:space="0" w:color="auto"/>
              <w:bottom w:val="nil"/>
            </w:tcBorders>
            <w:shd w:val="clear" w:color="auto" w:fill="auto"/>
          </w:tcPr>
          <w:p w14:paraId="495CC3E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7.035</w:t>
            </w:r>
          </w:p>
        </w:tc>
        <w:tc>
          <w:tcPr>
            <w:tcW w:w="0" w:type="auto"/>
            <w:tcBorders>
              <w:top w:val="single" w:sz="4" w:space="0" w:color="auto"/>
              <w:bottom w:val="nil"/>
            </w:tcBorders>
            <w:shd w:val="clear" w:color="auto" w:fill="auto"/>
          </w:tcPr>
          <w:p w14:paraId="06D4858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0.002</w:t>
            </w:r>
          </w:p>
        </w:tc>
      </w:tr>
      <w:tr w:rsidR="00E67962" w:rsidRPr="00E67962" w14:paraId="321B517A" w14:textId="77777777" w:rsidTr="00411268">
        <w:tc>
          <w:tcPr>
            <w:tcW w:w="0" w:type="auto"/>
            <w:tcBorders>
              <w:top w:val="nil"/>
              <w:bottom w:val="nil"/>
            </w:tcBorders>
            <w:shd w:val="clear" w:color="auto" w:fill="auto"/>
          </w:tcPr>
          <w:p w14:paraId="6079FB44"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42A9599D"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5DFA3D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8.03</w:t>
            </w:r>
          </w:p>
        </w:tc>
        <w:tc>
          <w:tcPr>
            <w:tcW w:w="0" w:type="auto"/>
            <w:tcBorders>
              <w:top w:val="nil"/>
              <w:bottom w:val="nil"/>
            </w:tcBorders>
            <w:shd w:val="clear" w:color="auto" w:fill="auto"/>
          </w:tcPr>
          <w:p w14:paraId="1F9C633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1.10</w:t>
            </w:r>
          </w:p>
        </w:tc>
        <w:tc>
          <w:tcPr>
            <w:tcW w:w="0" w:type="auto"/>
            <w:tcBorders>
              <w:top w:val="nil"/>
              <w:bottom w:val="nil"/>
            </w:tcBorders>
            <w:shd w:val="clear" w:color="auto" w:fill="auto"/>
          </w:tcPr>
          <w:p w14:paraId="4D970A2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7.22</w:t>
            </w:r>
          </w:p>
        </w:tc>
        <w:tc>
          <w:tcPr>
            <w:tcW w:w="0" w:type="auto"/>
            <w:tcBorders>
              <w:top w:val="nil"/>
              <w:bottom w:val="nil"/>
            </w:tcBorders>
            <w:shd w:val="clear" w:color="auto" w:fill="auto"/>
          </w:tcPr>
          <w:p w14:paraId="366E27F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1.00</w:t>
            </w:r>
          </w:p>
        </w:tc>
        <w:tc>
          <w:tcPr>
            <w:tcW w:w="0" w:type="auto"/>
            <w:tcBorders>
              <w:top w:val="nil"/>
              <w:bottom w:val="nil"/>
            </w:tcBorders>
            <w:shd w:val="clear" w:color="auto" w:fill="auto"/>
          </w:tcPr>
          <w:p w14:paraId="3B00948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7.16</w:t>
            </w:r>
          </w:p>
        </w:tc>
        <w:tc>
          <w:tcPr>
            <w:tcW w:w="0" w:type="auto"/>
            <w:tcBorders>
              <w:top w:val="nil"/>
              <w:bottom w:val="nil"/>
            </w:tcBorders>
            <w:shd w:val="clear" w:color="auto" w:fill="auto"/>
          </w:tcPr>
          <w:p w14:paraId="204F292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0.85</w:t>
            </w:r>
          </w:p>
        </w:tc>
        <w:tc>
          <w:tcPr>
            <w:tcW w:w="3887" w:type="dxa"/>
            <w:tcBorders>
              <w:top w:val="nil"/>
              <w:bottom w:val="nil"/>
            </w:tcBorders>
            <w:shd w:val="clear" w:color="auto" w:fill="auto"/>
          </w:tcPr>
          <w:p w14:paraId="17E9BD4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7D0EB13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4.389</w:t>
            </w:r>
          </w:p>
        </w:tc>
        <w:tc>
          <w:tcPr>
            <w:tcW w:w="0" w:type="auto"/>
            <w:tcBorders>
              <w:top w:val="nil"/>
              <w:bottom w:val="nil"/>
            </w:tcBorders>
            <w:shd w:val="clear" w:color="auto" w:fill="auto"/>
          </w:tcPr>
          <w:p w14:paraId="37B1912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0.004</w:t>
            </w:r>
          </w:p>
        </w:tc>
      </w:tr>
      <w:tr w:rsidR="00E67962" w:rsidRPr="00E67962" w14:paraId="1ECC6258" w14:textId="77777777" w:rsidTr="00411268">
        <w:tc>
          <w:tcPr>
            <w:tcW w:w="0" w:type="auto"/>
            <w:tcBorders>
              <w:top w:val="nil"/>
              <w:bottom w:val="nil"/>
            </w:tcBorders>
            <w:shd w:val="clear" w:color="auto" w:fill="auto"/>
          </w:tcPr>
          <w:p w14:paraId="5D117EE6"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033E25A2" w14:textId="77777777" w:rsidR="007374E1" w:rsidRPr="004541C8" w:rsidRDefault="00EC3C1C"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w:t>
            </w:r>
            <w:r w:rsidR="007374E1" w:rsidRPr="004541C8">
              <w:rPr>
                <w:rFonts w:ascii="Book Antiqua" w:hAnsi="Book Antiqua"/>
                <w:color w:val="000000" w:themeColor="text1"/>
              </w:rPr>
              <w:t>imultaneous</w:t>
            </w:r>
          </w:p>
        </w:tc>
        <w:tc>
          <w:tcPr>
            <w:tcW w:w="0" w:type="auto"/>
            <w:tcBorders>
              <w:top w:val="nil"/>
              <w:bottom w:val="nil"/>
            </w:tcBorders>
            <w:shd w:val="clear" w:color="auto" w:fill="auto"/>
          </w:tcPr>
          <w:p w14:paraId="023676C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8.49</w:t>
            </w:r>
          </w:p>
        </w:tc>
        <w:tc>
          <w:tcPr>
            <w:tcW w:w="0" w:type="auto"/>
            <w:tcBorders>
              <w:top w:val="nil"/>
              <w:bottom w:val="nil"/>
            </w:tcBorders>
            <w:shd w:val="clear" w:color="auto" w:fill="auto"/>
          </w:tcPr>
          <w:p w14:paraId="7E78136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1.34</w:t>
            </w:r>
          </w:p>
        </w:tc>
        <w:tc>
          <w:tcPr>
            <w:tcW w:w="0" w:type="auto"/>
            <w:tcBorders>
              <w:top w:val="nil"/>
              <w:bottom w:val="nil"/>
            </w:tcBorders>
            <w:shd w:val="clear" w:color="auto" w:fill="auto"/>
          </w:tcPr>
          <w:p w14:paraId="5F8D361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7.11</w:t>
            </w:r>
          </w:p>
        </w:tc>
        <w:tc>
          <w:tcPr>
            <w:tcW w:w="0" w:type="auto"/>
            <w:tcBorders>
              <w:top w:val="nil"/>
              <w:bottom w:val="nil"/>
            </w:tcBorders>
            <w:shd w:val="clear" w:color="auto" w:fill="auto"/>
          </w:tcPr>
          <w:p w14:paraId="47612DA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0.96</w:t>
            </w:r>
          </w:p>
        </w:tc>
        <w:tc>
          <w:tcPr>
            <w:tcW w:w="0" w:type="auto"/>
            <w:tcBorders>
              <w:top w:val="nil"/>
              <w:bottom w:val="nil"/>
            </w:tcBorders>
            <w:shd w:val="clear" w:color="auto" w:fill="auto"/>
          </w:tcPr>
          <w:p w14:paraId="76205D7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6.96</w:t>
            </w:r>
          </w:p>
        </w:tc>
        <w:tc>
          <w:tcPr>
            <w:tcW w:w="0" w:type="auto"/>
            <w:tcBorders>
              <w:top w:val="nil"/>
              <w:bottom w:val="nil"/>
            </w:tcBorders>
            <w:shd w:val="clear" w:color="auto" w:fill="auto"/>
          </w:tcPr>
          <w:p w14:paraId="52AD9DB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0.85</w:t>
            </w:r>
          </w:p>
        </w:tc>
        <w:tc>
          <w:tcPr>
            <w:tcW w:w="3887" w:type="dxa"/>
            <w:tcBorders>
              <w:top w:val="nil"/>
              <w:bottom w:val="nil"/>
            </w:tcBorders>
            <w:shd w:val="clear" w:color="auto" w:fill="auto"/>
          </w:tcPr>
          <w:p w14:paraId="6988D52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nil"/>
            </w:tcBorders>
            <w:shd w:val="clear" w:color="auto" w:fill="auto"/>
          </w:tcPr>
          <w:p w14:paraId="4165A77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0.432</w:t>
            </w:r>
          </w:p>
        </w:tc>
        <w:tc>
          <w:tcPr>
            <w:tcW w:w="0" w:type="auto"/>
            <w:tcBorders>
              <w:top w:val="nil"/>
              <w:bottom w:val="nil"/>
            </w:tcBorders>
            <w:shd w:val="clear" w:color="auto" w:fill="auto"/>
          </w:tcPr>
          <w:p w14:paraId="73D71EF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0.650</w:t>
            </w:r>
          </w:p>
        </w:tc>
      </w:tr>
      <w:tr w:rsidR="00E67962" w:rsidRPr="00E67962" w14:paraId="11A8AF0B" w14:textId="77777777" w:rsidTr="00411268">
        <w:tc>
          <w:tcPr>
            <w:tcW w:w="0" w:type="auto"/>
            <w:tcBorders>
              <w:top w:val="nil"/>
              <w:bottom w:val="nil"/>
            </w:tcBorders>
            <w:shd w:val="clear" w:color="auto" w:fill="auto"/>
          </w:tcPr>
          <w:p w14:paraId="21E597D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w:t>
            </w:r>
          </w:p>
        </w:tc>
        <w:tc>
          <w:tcPr>
            <w:tcW w:w="0" w:type="auto"/>
            <w:tcBorders>
              <w:top w:val="nil"/>
              <w:bottom w:val="nil"/>
            </w:tcBorders>
            <w:shd w:val="clear" w:color="auto" w:fill="auto"/>
          </w:tcPr>
          <w:p w14:paraId="7FFE228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5380CEE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7.98</w:t>
            </w:r>
          </w:p>
        </w:tc>
        <w:tc>
          <w:tcPr>
            <w:tcW w:w="0" w:type="auto"/>
            <w:tcBorders>
              <w:top w:val="nil"/>
              <w:bottom w:val="nil"/>
            </w:tcBorders>
            <w:shd w:val="clear" w:color="auto" w:fill="auto"/>
          </w:tcPr>
          <w:p w14:paraId="0F8E064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1.40</w:t>
            </w:r>
          </w:p>
        </w:tc>
        <w:tc>
          <w:tcPr>
            <w:tcW w:w="0" w:type="auto"/>
            <w:tcBorders>
              <w:top w:val="nil"/>
              <w:bottom w:val="nil"/>
            </w:tcBorders>
            <w:shd w:val="clear" w:color="auto" w:fill="auto"/>
          </w:tcPr>
          <w:p w14:paraId="5693988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7.11</w:t>
            </w:r>
          </w:p>
        </w:tc>
        <w:tc>
          <w:tcPr>
            <w:tcW w:w="0" w:type="auto"/>
            <w:tcBorders>
              <w:top w:val="nil"/>
              <w:bottom w:val="nil"/>
            </w:tcBorders>
            <w:shd w:val="clear" w:color="auto" w:fill="auto"/>
          </w:tcPr>
          <w:p w14:paraId="774F388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2.41</w:t>
            </w:r>
          </w:p>
        </w:tc>
        <w:tc>
          <w:tcPr>
            <w:tcW w:w="0" w:type="auto"/>
            <w:tcBorders>
              <w:top w:val="nil"/>
              <w:bottom w:val="nil"/>
            </w:tcBorders>
            <w:shd w:val="clear" w:color="auto" w:fill="auto"/>
          </w:tcPr>
          <w:p w14:paraId="35376EF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6.84</w:t>
            </w:r>
          </w:p>
        </w:tc>
        <w:tc>
          <w:tcPr>
            <w:tcW w:w="0" w:type="auto"/>
            <w:tcBorders>
              <w:top w:val="nil"/>
              <w:bottom w:val="nil"/>
            </w:tcBorders>
            <w:shd w:val="clear" w:color="auto" w:fill="auto"/>
          </w:tcPr>
          <w:p w14:paraId="2AA8423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3887" w:type="dxa"/>
            <w:tcBorders>
              <w:top w:val="nil"/>
              <w:bottom w:val="nil"/>
            </w:tcBorders>
            <w:shd w:val="clear" w:color="auto" w:fill="auto"/>
          </w:tcPr>
          <w:p w14:paraId="1400D49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nil"/>
              <w:bottom w:val="nil"/>
            </w:tcBorders>
            <w:shd w:val="clear" w:color="auto" w:fill="auto"/>
          </w:tcPr>
          <w:p w14:paraId="7EE9009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2.647</w:t>
            </w:r>
          </w:p>
        </w:tc>
        <w:tc>
          <w:tcPr>
            <w:tcW w:w="0" w:type="auto"/>
            <w:tcBorders>
              <w:top w:val="nil"/>
              <w:bottom w:val="nil"/>
            </w:tcBorders>
            <w:shd w:val="clear" w:color="auto" w:fill="auto"/>
          </w:tcPr>
          <w:p w14:paraId="4BC9A41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0.091</w:t>
            </w:r>
          </w:p>
        </w:tc>
      </w:tr>
      <w:tr w:rsidR="00E67962" w:rsidRPr="00E67962" w14:paraId="737DC550" w14:textId="77777777" w:rsidTr="00411268">
        <w:tc>
          <w:tcPr>
            <w:tcW w:w="0" w:type="auto"/>
            <w:tcBorders>
              <w:top w:val="nil"/>
              <w:bottom w:val="nil"/>
            </w:tcBorders>
            <w:shd w:val="clear" w:color="auto" w:fill="auto"/>
          </w:tcPr>
          <w:p w14:paraId="0F5004AD"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0BD025D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4B49279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9.90</w:t>
            </w:r>
          </w:p>
        </w:tc>
        <w:tc>
          <w:tcPr>
            <w:tcW w:w="0" w:type="auto"/>
            <w:tcBorders>
              <w:top w:val="nil"/>
              <w:bottom w:val="nil"/>
            </w:tcBorders>
            <w:shd w:val="clear" w:color="auto" w:fill="auto"/>
          </w:tcPr>
          <w:p w14:paraId="507F937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2.33</w:t>
            </w:r>
          </w:p>
        </w:tc>
        <w:tc>
          <w:tcPr>
            <w:tcW w:w="0" w:type="auto"/>
            <w:tcBorders>
              <w:top w:val="nil"/>
              <w:bottom w:val="nil"/>
            </w:tcBorders>
            <w:shd w:val="clear" w:color="auto" w:fill="auto"/>
          </w:tcPr>
          <w:p w14:paraId="4948C8A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7.48</w:t>
            </w:r>
          </w:p>
        </w:tc>
        <w:tc>
          <w:tcPr>
            <w:tcW w:w="0" w:type="auto"/>
            <w:tcBorders>
              <w:top w:val="nil"/>
              <w:bottom w:val="nil"/>
            </w:tcBorders>
            <w:shd w:val="clear" w:color="auto" w:fill="auto"/>
          </w:tcPr>
          <w:p w14:paraId="084727C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1.67</w:t>
            </w:r>
          </w:p>
        </w:tc>
        <w:tc>
          <w:tcPr>
            <w:tcW w:w="0" w:type="auto"/>
            <w:tcBorders>
              <w:top w:val="nil"/>
              <w:bottom w:val="nil"/>
            </w:tcBorders>
            <w:shd w:val="clear" w:color="auto" w:fill="auto"/>
          </w:tcPr>
          <w:p w14:paraId="2CCEE1F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7.99</w:t>
            </w:r>
          </w:p>
        </w:tc>
        <w:tc>
          <w:tcPr>
            <w:tcW w:w="0" w:type="auto"/>
            <w:tcBorders>
              <w:top w:val="nil"/>
              <w:bottom w:val="nil"/>
            </w:tcBorders>
            <w:shd w:val="clear" w:color="auto" w:fill="auto"/>
          </w:tcPr>
          <w:p w14:paraId="17BF187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1.68</w:t>
            </w:r>
          </w:p>
        </w:tc>
        <w:tc>
          <w:tcPr>
            <w:tcW w:w="3887" w:type="dxa"/>
            <w:tcBorders>
              <w:top w:val="nil"/>
              <w:bottom w:val="nil"/>
            </w:tcBorders>
            <w:shd w:val="clear" w:color="auto" w:fill="auto"/>
          </w:tcPr>
          <w:p w14:paraId="191B853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4FD2A15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4.333</w:t>
            </w:r>
          </w:p>
        </w:tc>
        <w:tc>
          <w:tcPr>
            <w:tcW w:w="0" w:type="auto"/>
            <w:tcBorders>
              <w:top w:val="nil"/>
              <w:bottom w:val="nil"/>
            </w:tcBorders>
            <w:shd w:val="clear" w:color="auto" w:fill="auto"/>
          </w:tcPr>
          <w:p w14:paraId="5E83707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0.007</w:t>
            </w:r>
          </w:p>
        </w:tc>
      </w:tr>
      <w:tr w:rsidR="00E67962" w:rsidRPr="00E67962" w14:paraId="7726BD01" w14:textId="77777777" w:rsidTr="00411268">
        <w:tc>
          <w:tcPr>
            <w:tcW w:w="0" w:type="auto"/>
            <w:tcBorders>
              <w:top w:val="nil"/>
              <w:bottom w:val="nil"/>
            </w:tcBorders>
            <w:shd w:val="clear" w:color="auto" w:fill="auto"/>
          </w:tcPr>
          <w:p w14:paraId="3B079097"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2C42B48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1614069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10.86</w:t>
            </w:r>
          </w:p>
        </w:tc>
        <w:tc>
          <w:tcPr>
            <w:tcW w:w="0" w:type="auto"/>
            <w:tcBorders>
              <w:top w:val="nil"/>
              <w:bottom w:val="nil"/>
            </w:tcBorders>
            <w:shd w:val="clear" w:color="auto" w:fill="auto"/>
          </w:tcPr>
          <w:p w14:paraId="194EACF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3.53</w:t>
            </w:r>
          </w:p>
        </w:tc>
        <w:tc>
          <w:tcPr>
            <w:tcW w:w="0" w:type="auto"/>
            <w:tcBorders>
              <w:top w:val="nil"/>
              <w:bottom w:val="nil"/>
            </w:tcBorders>
            <w:shd w:val="clear" w:color="auto" w:fill="auto"/>
          </w:tcPr>
          <w:p w14:paraId="7A4F850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7.53</w:t>
            </w:r>
          </w:p>
        </w:tc>
        <w:tc>
          <w:tcPr>
            <w:tcW w:w="0" w:type="auto"/>
            <w:tcBorders>
              <w:top w:val="nil"/>
              <w:bottom w:val="nil"/>
            </w:tcBorders>
            <w:shd w:val="clear" w:color="auto" w:fill="auto"/>
          </w:tcPr>
          <w:p w14:paraId="57B062C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1.64</w:t>
            </w:r>
          </w:p>
        </w:tc>
        <w:tc>
          <w:tcPr>
            <w:tcW w:w="0" w:type="auto"/>
            <w:tcBorders>
              <w:top w:val="nil"/>
              <w:bottom w:val="nil"/>
            </w:tcBorders>
            <w:shd w:val="clear" w:color="auto" w:fill="auto"/>
          </w:tcPr>
          <w:p w14:paraId="24CAF79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7.33</w:t>
            </w:r>
          </w:p>
        </w:tc>
        <w:tc>
          <w:tcPr>
            <w:tcW w:w="0" w:type="auto"/>
            <w:tcBorders>
              <w:top w:val="nil"/>
              <w:bottom w:val="nil"/>
            </w:tcBorders>
            <w:shd w:val="clear" w:color="auto" w:fill="auto"/>
          </w:tcPr>
          <w:p w14:paraId="198825C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1.31</w:t>
            </w:r>
          </w:p>
        </w:tc>
        <w:tc>
          <w:tcPr>
            <w:tcW w:w="3887" w:type="dxa"/>
            <w:tcBorders>
              <w:top w:val="nil"/>
              <w:bottom w:val="nil"/>
            </w:tcBorders>
            <w:shd w:val="clear" w:color="auto" w:fill="auto"/>
          </w:tcPr>
          <w:p w14:paraId="171E34A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nil"/>
            </w:tcBorders>
            <w:shd w:val="clear" w:color="auto" w:fill="auto"/>
          </w:tcPr>
          <w:p w14:paraId="7CD70A6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4.227</w:t>
            </w:r>
          </w:p>
        </w:tc>
        <w:tc>
          <w:tcPr>
            <w:tcW w:w="0" w:type="auto"/>
            <w:tcBorders>
              <w:top w:val="nil"/>
              <w:bottom w:val="nil"/>
            </w:tcBorders>
            <w:shd w:val="clear" w:color="auto" w:fill="auto"/>
          </w:tcPr>
          <w:p w14:paraId="60B7683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0.020</w:t>
            </w:r>
          </w:p>
        </w:tc>
      </w:tr>
      <w:tr w:rsidR="00E67962" w:rsidRPr="00E67962" w14:paraId="1B5607E7" w14:textId="77777777" w:rsidTr="00411268">
        <w:tc>
          <w:tcPr>
            <w:tcW w:w="0" w:type="auto"/>
            <w:tcBorders>
              <w:top w:val="nil"/>
              <w:bottom w:val="nil"/>
            </w:tcBorders>
            <w:shd w:val="clear" w:color="auto" w:fill="auto"/>
          </w:tcPr>
          <w:p w14:paraId="242DCF3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w:t>
            </w:r>
          </w:p>
        </w:tc>
        <w:tc>
          <w:tcPr>
            <w:tcW w:w="0" w:type="auto"/>
            <w:tcBorders>
              <w:top w:val="nil"/>
              <w:bottom w:val="nil"/>
            </w:tcBorders>
            <w:shd w:val="clear" w:color="auto" w:fill="auto"/>
          </w:tcPr>
          <w:p w14:paraId="0C72602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1ADF410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37.54</w:t>
            </w:r>
          </w:p>
        </w:tc>
        <w:tc>
          <w:tcPr>
            <w:tcW w:w="0" w:type="auto"/>
            <w:tcBorders>
              <w:top w:val="nil"/>
              <w:bottom w:val="nil"/>
            </w:tcBorders>
            <w:shd w:val="clear" w:color="auto" w:fill="auto"/>
          </w:tcPr>
          <w:p w14:paraId="01CDD43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3.18</w:t>
            </w:r>
          </w:p>
        </w:tc>
        <w:tc>
          <w:tcPr>
            <w:tcW w:w="0" w:type="auto"/>
            <w:tcBorders>
              <w:top w:val="nil"/>
              <w:bottom w:val="nil"/>
            </w:tcBorders>
            <w:shd w:val="clear" w:color="auto" w:fill="auto"/>
          </w:tcPr>
          <w:p w14:paraId="505286A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35.92</w:t>
            </w:r>
          </w:p>
        </w:tc>
        <w:tc>
          <w:tcPr>
            <w:tcW w:w="0" w:type="auto"/>
            <w:tcBorders>
              <w:top w:val="nil"/>
              <w:bottom w:val="nil"/>
            </w:tcBorders>
            <w:shd w:val="clear" w:color="auto" w:fill="auto"/>
          </w:tcPr>
          <w:p w14:paraId="0903FA7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3.01</w:t>
            </w:r>
          </w:p>
        </w:tc>
        <w:tc>
          <w:tcPr>
            <w:tcW w:w="0" w:type="auto"/>
            <w:tcBorders>
              <w:top w:val="nil"/>
              <w:bottom w:val="nil"/>
            </w:tcBorders>
            <w:shd w:val="clear" w:color="auto" w:fill="auto"/>
          </w:tcPr>
          <w:p w14:paraId="78ABF972"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35.32</w:t>
            </w:r>
          </w:p>
        </w:tc>
        <w:tc>
          <w:tcPr>
            <w:tcW w:w="0" w:type="auto"/>
            <w:tcBorders>
              <w:top w:val="nil"/>
              <w:bottom w:val="nil"/>
            </w:tcBorders>
            <w:shd w:val="clear" w:color="auto" w:fill="auto"/>
          </w:tcPr>
          <w:p w14:paraId="788D8B4A"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3.05</w:t>
            </w:r>
          </w:p>
        </w:tc>
        <w:tc>
          <w:tcPr>
            <w:tcW w:w="3887" w:type="dxa"/>
            <w:tcBorders>
              <w:top w:val="nil"/>
              <w:bottom w:val="nil"/>
            </w:tcBorders>
            <w:shd w:val="clear" w:color="auto" w:fill="auto"/>
          </w:tcPr>
          <w:p w14:paraId="69257FE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nil"/>
              <w:bottom w:val="nil"/>
            </w:tcBorders>
            <w:shd w:val="clear" w:color="auto" w:fill="auto"/>
          </w:tcPr>
          <w:p w14:paraId="5EA8C20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4.867</w:t>
            </w:r>
          </w:p>
        </w:tc>
        <w:tc>
          <w:tcPr>
            <w:tcW w:w="0" w:type="auto"/>
            <w:tcBorders>
              <w:top w:val="nil"/>
              <w:bottom w:val="nil"/>
            </w:tcBorders>
            <w:shd w:val="clear" w:color="auto" w:fill="auto"/>
          </w:tcPr>
          <w:p w14:paraId="0B28126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0.013</w:t>
            </w:r>
          </w:p>
        </w:tc>
      </w:tr>
      <w:tr w:rsidR="00E67962" w:rsidRPr="00E67962" w14:paraId="50E03F2C" w14:textId="77777777" w:rsidTr="00411268">
        <w:tc>
          <w:tcPr>
            <w:tcW w:w="0" w:type="auto"/>
            <w:tcBorders>
              <w:top w:val="nil"/>
              <w:bottom w:val="nil"/>
            </w:tcBorders>
            <w:shd w:val="clear" w:color="auto" w:fill="auto"/>
          </w:tcPr>
          <w:p w14:paraId="4E79FBA3"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38B78A6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446A59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38.76</w:t>
            </w:r>
          </w:p>
        </w:tc>
        <w:tc>
          <w:tcPr>
            <w:tcW w:w="0" w:type="auto"/>
            <w:tcBorders>
              <w:top w:val="nil"/>
              <w:bottom w:val="nil"/>
            </w:tcBorders>
            <w:shd w:val="clear" w:color="auto" w:fill="auto"/>
          </w:tcPr>
          <w:p w14:paraId="554B1620"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4.60</w:t>
            </w:r>
          </w:p>
        </w:tc>
        <w:tc>
          <w:tcPr>
            <w:tcW w:w="0" w:type="auto"/>
            <w:tcBorders>
              <w:top w:val="nil"/>
              <w:bottom w:val="nil"/>
            </w:tcBorders>
            <w:shd w:val="clear" w:color="auto" w:fill="auto"/>
          </w:tcPr>
          <w:p w14:paraId="3C9CB11A"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37.27</w:t>
            </w:r>
          </w:p>
        </w:tc>
        <w:tc>
          <w:tcPr>
            <w:tcW w:w="0" w:type="auto"/>
            <w:tcBorders>
              <w:top w:val="nil"/>
              <w:bottom w:val="nil"/>
            </w:tcBorders>
            <w:shd w:val="clear" w:color="auto" w:fill="auto"/>
          </w:tcPr>
          <w:p w14:paraId="6243065D"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4.44</w:t>
            </w:r>
          </w:p>
        </w:tc>
        <w:tc>
          <w:tcPr>
            <w:tcW w:w="0" w:type="auto"/>
            <w:tcBorders>
              <w:top w:val="nil"/>
              <w:bottom w:val="nil"/>
            </w:tcBorders>
            <w:shd w:val="clear" w:color="auto" w:fill="auto"/>
          </w:tcPr>
          <w:p w14:paraId="40580869"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36.80</w:t>
            </w:r>
          </w:p>
        </w:tc>
        <w:tc>
          <w:tcPr>
            <w:tcW w:w="0" w:type="auto"/>
            <w:tcBorders>
              <w:top w:val="nil"/>
              <w:bottom w:val="nil"/>
            </w:tcBorders>
            <w:shd w:val="clear" w:color="auto" w:fill="auto"/>
          </w:tcPr>
          <w:p w14:paraId="0C4769D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4.43</w:t>
            </w:r>
          </w:p>
        </w:tc>
        <w:tc>
          <w:tcPr>
            <w:tcW w:w="3887" w:type="dxa"/>
            <w:tcBorders>
              <w:top w:val="nil"/>
              <w:bottom w:val="nil"/>
            </w:tcBorders>
            <w:shd w:val="clear" w:color="auto" w:fill="auto"/>
          </w:tcPr>
          <w:p w14:paraId="2AB3C10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4D003F2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2.123</w:t>
            </w:r>
          </w:p>
        </w:tc>
        <w:tc>
          <w:tcPr>
            <w:tcW w:w="0" w:type="auto"/>
            <w:tcBorders>
              <w:top w:val="nil"/>
              <w:bottom w:val="nil"/>
            </w:tcBorders>
            <w:shd w:val="clear" w:color="auto" w:fill="auto"/>
          </w:tcPr>
          <w:p w14:paraId="1D834AFB"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0.092</w:t>
            </w:r>
          </w:p>
        </w:tc>
      </w:tr>
      <w:tr w:rsidR="00E67962" w:rsidRPr="00E67962" w14:paraId="2828B0B0" w14:textId="77777777" w:rsidTr="00411268">
        <w:tc>
          <w:tcPr>
            <w:tcW w:w="0" w:type="auto"/>
            <w:tcBorders>
              <w:top w:val="nil"/>
              <w:bottom w:val="single" w:sz="4" w:space="0" w:color="auto"/>
            </w:tcBorders>
            <w:shd w:val="clear" w:color="auto" w:fill="auto"/>
          </w:tcPr>
          <w:p w14:paraId="45E45978"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single" w:sz="4" w:space="0" w:color="auto"/>
            </w:tcBorders>
            <w:shd w:val="clear" w:color="auto" w:fill="auto"/>
          </w:tcPr>
          <w:p w14:paraId="64492C4E" w14:textId="77777777" w:rsidR="007374E1" w:rsidRPr="004541C8" w:rsidRDefault="00EC3C1C"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w:t>
            </w:r>
            <w:r w:rsidR="007374E1" w:rsidRPr="004541C8">
              <w:rPr>
                <w:rFonts w:ascii="Book Antiqua" w:hAnsi="Book Antiqua"/>
                <w:color w:val="000000" w:themeColor="text1"/>
              </w:rPr>
              <w:t>imultaneous</w:t>
            </w:r>
          </w:p>
        </w:tc>
        <w:tc>
          <w:tcPr>
            <w:tcW w:w="0" w:type="auto"/>
            <w:tcBorders>
              <w:top w:val="nil"/>
              <w:bottom w:val="single" w:sz="4" w:space="0" w:color="auto"/>
            </w:tcBorders>
            <w:shd w:val="clear" w:color="auto" w:fill="auto"/>
          </w:tcPr>
          <w:p w14:paraId="663592C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39.66</w:t>
            </w:r>
          </w:p>
        </w:tc>
        <w:tc>
          <w:tcPr>
            <w:tcW w:w="0" w:type="auto"/>
            <w:tcBorders>
              <w:top w:val="nil"/>
              <w:bottom w:val="single" w:sz="4" w:space="0" w:color="auto"/>
            </w:tcBorders>
            <w:shd w:val="clear" w:color="auto" w:fill="auto"/>
          </w:tcPr>
          <w:p w14:paraId="304C284B"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5.59</w:t>
            </w:r>
          </w:p>
        </w:tc>
        <w:tc>
          <w:tcPr>
            <w:tcW w:w="0" w:type="auto"/>
            <w:tcBorders>
              <w:top w:val="nil"/>
              <w:bottom w:val="single" w:sz="4" w:space="0" w:color="auto"/>
            </w:tcBorders>
            <w:shd w:val="clear" w:color="auto" w:fill="auto"/>
          </w:tcPr>
          <w:p w14:paraId="74B29CD6"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37.22</w:t>
            </w:r>
          </w:p>
        </w:tc>
        <w:tc>
          <w:tcPr>
            <w:tcW w:w="0" w:type="auto"/>
            <w:tcBorders>
              <w:top w:val="nil"/>
              <w:bottom w:val="single" w:sz="4" w:space="0" w:color="auto"/>
            </w:tcBorders>
            <w:shd w:val="clear" w:color="auto" w:fill="auto"/>
          </w:tcPr>
          <w:p w14:paraId="0337A48C"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5.41</w:t>
            </w:r>
          </w:p>
        </w:tc>
        <w:tc>
          <w:tcPr>
            <w:tcW w:w="0" w:type="auto"/>
            <w:tcBorders>
              <w:top w:val="nil"/>
              <w:bottom w:val="single" w:sz="4" w:space="0" w:color="auto"/>
            </w:tcBorders>
            <w:shd w:val="clear" w:color="auto" w:fill="auto"/>
          </w:tcPr>
          <w:p w14:paraId="08B04A6E"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36.94</w:t>
            </w:r>
          </w:p>
        </w:tc>
        <w:tc>
          <w:tcPr>
            <w:tcW w:w="0" w:type="auto"/>
            <w:tcBorders>
              <w:top w:val="nil"/>
              <w:bottom w:val="single" w:sz="4" w:space="0" w:color="auto"/>
            </w:tcBorders>
            <w:shd w:val="clear" w:color="auto" w:fill="auto"/>
          </w:tcPr>
          <w:p w14:paraId="6E2420F2"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5.42</w:t>
            </w:r>
          </w:p>
        </w:tc>
        <w:tc>
          <w:tcPr>
            <w:tcW w:w="3887" w:type="dxa"/>
            <w:tcBorders>
              <w:top w:val="nil"/>
              <w:bottom w:val="single" w:sz="4" w:space="0" w:color="auto"/>
            </w:tcBorders>
            <w:shd w:val="clear" w:color="auto" w:fill="auto"/>
          </w:tcPr>
          <w:p w14:paraId="7B10E39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single" w:sz="4" w:space="0" w:color="auto"/>
            </w:tcBorders>
            <w:shd w:val="clear" w:color="auto" w:fill="auto"/>
          </w:tcPr>
          <w:p w14:paraId="51F7A99D"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1.473</w:t>
            </w:r>
          </w:p>
        </w:tc>
        <w:tc>
          <w:tcPr>
            <w:tcW w:w="0" w:type="auto"/>
            <w:tcBorders>
              <w:top w:val="nil"/>
              <w:bottom w:val="single" w:sz="4" w:space="0" w:color="auto"/>
            </w:tcBorders>
            <w:shd w:val="clear" w:color="auto" w:fill="auto"/>
          </w:tcPr>
          <w:p w14:paraId="2532C7D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0.234</w:t>
            </w:r>
          </w:p>
        </w:tc>
      </w:tr>
    </w:tbl>
    <w:p w14:paraId="28223E40" w14:textId="3467B0F4" w:rsidR="00712681" w:rsidRPr="004541C8" w:rsidRDefault="00411268" w:rsidP="004541C8">
      <w:pPr>
        <w:snapToGrid w:val="0"/>
        <w:spacing w:line="360" w:lineRule="auto"/>
        <w:jc w:val="both"/>
        <w:rPr>
          <w:rFonts w:ascii="Book Antiqua" w:eastAsia="Book Antiqua" w:hAnsi="Book Antiqua" w:cs="Book Antiqua"/>
          <w:b/>
          <w:bCs/>
          <w:color w:val="000000" w:themeColor="text1"/>
        </w:rPr>
        <w:sectPr w:rsidR="00712681" w:rsidRPr="004541C8" w:rsidSect="007374E1">
          <w:pgSz w:w="15840" w:h="12240" w:orient="landscape"/>
          <w:pgMar w:top="1440" w:right="1440" w:bottom="1440" w:left="1440" w:header="720" w:footer="720" w:gutter="0"/>
          <w:cols w:space="720"/>
          <w:docGrid w:linePitch="360"/>
        </w:sectPr>
      </w:pPr>
      <w:r w:rsidRPr="00F76691">
        <w:rPr>
          <w:rFonts w:ascii="Book Antiqua" w:eastAsia="Book Antiqua" w:hAnsi="Book Antiqua" w:cs="Book Antiqua"/>
          <w:color w:val="000000" w:themeColor="text1"/>
        </w:rPr>
        <w:t>ANCOVA: Analysis of covariance</w:t>
      </w:r>
      <w:r>
        <w:rPr>
          <w:rFonts w:ascii="Book Antiqua" w:eastAsia="Book Antiqua" w:hAnsi="Book Antiqua" w:cs="Book Antiqua"/>
          <w:color w:val="000000" w:themeColor="text1"/>
        </w:rPr>
        <w:t>;</w:t>
      </w:r>
      <w:r w:rsidRPr="00411268">
        <w:rPr>
          <w:rFonts w:ascii="Book Antiqua" w:hAnsi="Book Antiqua"/>
          <w:color w:val="000000" w:themeColor="text1"/>
        </w:rPr>
        <w:t xml:space="preserve"> </w:t>
      </w:r>
      <w:r w:rsidR="00EC3C1C" w:rsidRPr="004541C8">
        <w:rPr>
          <w:rFonts w:ascii="Book Antiqua" w:hAnsi="Book Antiqua"/>
          <w:color w:val="000000" w:themeColor="text1"/>
        </w:rPr>
        <w:t>BMI: Body mass index; FPG: Fasting plasma glucose; HbA1c: Hemoglobin A1c</w:t>
      </w:r>
      <w:r w:rsidR="00F85497" w:rsidRPr="004541C8">
        <w:rPr>
          <w:rFonts w:ascii="Book Antiqua" w:hAnsi="Book Antiqua"/>
          <w:color w:val="000000" w:themeColor="text1"/>
        </w:rPr>
        <w:t xml:space="preserve">; </w:t>
      </w:r>
      <w:r>
        <w:rPr>
          <w:rFonts w:ascii="Book Antiqua" w:hAnsi="Book Antiqua"/>
          <w:color w:val="000000" w:themeColor="text1"/>
        </w:rPr>
        <w:t xml:space="preserve">SGLT-2: </w:t>
      </w:r>
      <w:r w:rsidR="00F85497"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85497" w:rsidRPr="004541C8">
        <w:rPr>
          <w:rFonts w:ascii="Book Antiqua" w:eastAsia="Book Antiqua" w:hAnsi="Book Antiqua" w:cs="Book Antiqua"/>
          <w:color w:val="000000" w:themeColor="text1"/>
        </w:rPr>
        <w:t>2; GLP-1: Glucagon-like-1;</w:t>
      </w:r>
      <w:r>
        <w:rPr>
          <w:rFonts w:ascii="Book Antiqua" w:hAnsi="Book Antiqua"/>
          <w:color w:val="000000" w:themeColor="text1"/>
        </w:rPr>
        <w:t xml:space="preserve"> </w:t>
      </w:r>
      <w:r w:rsidRPr="00347852">
        <w:rPr>
          <w:rFonts w:ascii="Book Antiqua" w:hAnsi="Book Antiqua"/>
          <w:color w:val="000000" w:themeColor="text1"/>
        </w:rPr>
        <w:t>SD: Standard deviation</w:t>
      </w:r>
      <w:r>
        <w:rPr>
          <w:rFonts w:ascii="Book Antiqua" w:hAnsi="Book Antiqua"/>
          <w:color w:val="000000" w:themeColor="text1"/>
        </w:rPr>
        <w:t>.</w:t>
      </w:r>
    </w:p>
    <w:p w14:paraId="44BADA2B" w14:textId="77777777" w:rsidR="007374E1" w:rsidRPr="004541C8" w:rsidRDefault="00AB6FCB" w:rsidP="004541C8">
      <w:pPr>
        <w:snapToGrid w:val="0"/>
        <w:spacing w:line="360" w:lineRule="auto"/>
        <w:jc w:val="both"/>
        <w:rPr>
          <w:rFonts w:ascii="Book Antiqua" w:eastAsia="Book Antiqua" w:hAnsi="Book Antiqua" w:cs="Book Antiqua"/>
          <w:b/>
          <w:bCs/>
          <w:color w:val="000000" w:themeColor="text1"/>
        </w:rPr>
      </w:pPr>
      <w:r w:rsidRPr="004541C8">
        <w:rPr>
          <w:rFonts w:ascii="Book Antiqua" w:eastAsia="Book Antiqua" w:hAnsi="Book Antiqua" w:cs="Book Antiqua"/>
          <w:b/>
          <w:bCs/>
          <w:color w:val="000000" w:themeColor="text1"/>
        </w:rPr>
        <w:lastRenderedPageBreak/>
        <w:t>Table 5 Percentage of patients achieving target values according to therapy group</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833"/>
        <w:gridCol w:w="1150"/>
        <w:gridCol w:w="1270"/>
        <w:gridCol w:w="1736"/>
        <w:gridCol w:w="1429"/>
        <w:gridCol w:w="1037"/>
      </w:tblGrid>
      <w:tr w:rsidR="00E67962" w:rsidRPr="00E67962" w14:paraId="3FD64746" w14:textId="77777777" w:rsidTr="00AB6FCB">
        <w:tc>
          <w:tcPr>
            <w:tcW w:w="0" w:type="auto"/>
            <w:tcBorders>
              <w:top w:val="single" w:sz="4" w:space="0" w:color="000000"/>
              <w:bottom w:val="single" w:sz="4" w:space="0" w:color="000000"/>
            </w:tcBorders>
            <w:shd w:val="clear" w:color="auto" w:fill="auto"/>
          </w:tcPr>
          <w:p w14:paraId="4F5070F2" w14:textId="77777777" w:rsidR="00C2440C" w:rsidRPr="004541C8" w:rsidRDefault="00C2440C" w:rsidP="007F2BD5">
            <w:pPr>
              <w:snapToGrid w:val="0"/>
              <w:spacing w:line="360" w:lineRule="auto"/>
              <w:jc w:val="both"/>
              <w:rPr>
                <w:rFonts w:ascii="Book Antiqua" w:hAnsi="Book Antiqua"/>
                <w:b/>
                <w:bCs/>
                <w:color w:val="000000" w:themeColor="text1"/>
              </w:rPr>
            </w:pPr>
          </w:p>
        </w:tc>
        <w:tc>
          <w:tcPr>
            <w:tcW w:w="0" w:type="auto"/>
            <w:tcBorders>
              <w:top w:val="single" w:sz="4" w:space="0" w:color="000000"/>
              <w:bottom w:val="single" w:sz="4" w:space="0" w:color="000000"/>
            </w:tcBorders>
            <w:shd w:val="clear" w:color="auto" w:fill="auto"/>
          </w:tcPr>
          <w:p w14:paraId="5C09DF23"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SGLT-2i</w:t>
            </w:r>
          </w:p>
        </w:tc>
        <w:tc>
          <w:tcPr>
            <w:tcW w:w="0" w:type="auto"/>
            <w:tcBorders>
              <w:top w:val="single" w:sz="4" w:space="0" w:color="000000"/>
              <w:bottom w:val="single" w:sz="4" w:space="0" w:color="000000"/>
            </w:tcBorders>
            <w:shd w:val="clear" w:color="auto" w:fill="auto"/>
          </w:tcPr>
          <w:p w14:paraId="01C218C9"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GLP-1RA</w:t>
            </w:r>
          </w:p>
        </w:tc>
        <w:tc>
          <w:tcPr>
            <w:tcW w:w="0" w:type="auto"/>
            <w:tcBorders>
              <w:top w:val="single" w:sz="4" w:space="0" w:color="000000"/>
              <w:bottom w:val="single" w:sz="4" w:space="0" w:color="000000"/>
            </w:tcBorders>
            <w:shd w:val="clear" w:color="auto" w:fill="auto"/>
          </w:tcPr>
          <w:p w14:paraId="0E3D8D0C"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Simultaneous</w:t>
            </w:r>
          </w:p>
        </w:tc>
        <w:tc>
          <w:tcPr>
            <w:tcW w:w="0" w:type="auto"/>
            <w:tcBorders>
              <w:top w:val="single" w:sz="4" w:space="0" w:color="000000"/>
              <w:bottom w:val="single" w:sz="4" w:space="0" w:color="000000"/>
            </w:tcBorders>
            <w:shd w:val="clear" w:color="auto" w:fill="auto"/>
          </w:tcPr>
          <w:p w14:paraId="6A58B769"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Chi-square</w:t>
            </w:r>
          </w:p>
        </w:tc>
        <w:tc>
          <w:tcPr>
            <w:tcW w:w="0" w:type="auto"/>
            <w:tcBorders>
              <w:top w:val="single" w:sz="4" w:space="0" w:color="000000"/>
              <w:bottom w:val="single" w:sz="4" w:space="0" w:color="000000"/>
            </w:tcBorders>
            <w:shd w:val="clear" w:color="auto" w:fill="auto"/>
          </w:tcPr>
          <w:p w14:paraId="688134DF" w14:textId="07D6ED9D" w:rsidR="00C2440C" w:rsidRPr="004541C8" w:rsidRDefault="00C2440C"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43415" w:rsidRPr="004541C8">
              <w:rPr>
                <w:rFonts w:ascii="Book Antiqua" w:hAnsi="Book Antiqua"/>
                <w:b/>
                <w:bCs/>
                <w:i/>
                <w:iCs/>
                <w:color w:val="000000" w:themeColor="text1"/>
              </w:rPr>
              <w:t xml:space="preserve"> </w:t>
            </w:r>
            <w:r w:rsidR="00843415" w:rsidRPr="004541C8">
              <w:rPr>
                <w:rFonts w:ascii="Book Antiqua" w:hAnsi="Book Antiqua"/>
                <w:b/>
                <w:bCs/>
                <w:color w:val="000000" w:themeColor="text1"/>
              </w:rPr>
              <w:t>value</w:t>
            </w:r>
          </w:p>
        </w:tc>
      </w:tr>
      <w:tr w:rsidR="00E67962" w:rsidRPr="00E67962" w14:paraId="0EF90C12" w14:textId="77777777" w:rsidTr="005D7D49">
        <w:tc>
          <w:tcPr>
            <w:tcW w:w="0" w:type="auto"/>
            <w:tcBorders>
              <w:top w:val="single" w:sz="4" w:space="0" w:color="000000"/>
              <w:bottom w:val="nil"/>
            </w:tcBorders>
            <w:shd w:val="clear" w:color="auto" w:fill="auto"/>
          </w:tcPr>
          <w:p w14:paraId="1A79105D" w14:textId="77777777" w:rsidR="00C2440C" w:rsidRPr="004541C8" w:rsidRDefault="00C2440C" w:rsidP="007F2BD5">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HbA1c</w:t>
            </w:r>
          </w:p>
        </w:tc>
        <w:tc>
          <w:tcPr>
            <w:tcW w:w="0" w:type="auto"/>
            <w:tcBorders>
              <w:top w:val="single" w:sz="4" w:space="0" w:color="000000"/>
              <w:bottom w:val="nil"/>
            </w:tcBorders>
            <w:shd w:val="clear" w:color="auto" w:fill="auto"/>
          </w:tcPr>
          <w:p w14:paraId="317581A6"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03FB8A2F"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63F0EE7C"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2CF9FAD7"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0D18E43F" w14:textId="77777777" w:rsidR="00C2440C" w:rsidRPr="004541C8" w:rsidRDefault="00C2440C" w:rsidP="004541C8">
            <w:pPr>
              <w:snapToGrid w:val="0"/>
              <w:spacing w:line="360" w:lineRule="auto"/>
              <w:jc w:val="both"/>
              <w:rPr>
                <w:rFonts w:ascii="Book Antiqua" w:hAnsi="Book Antiqua"/>
                <w:b/>
                <w:bCs/>
                <w:color w:val="000000" w:themeColor="text1"/>
              </w:rPr>
            </w:pPr>
          </w:p>
        </w:tc>
      </w:tr>
      <w:tr w:rsidR="00E67962" w:rsidRPr="00E67962" w14:paraId="0E201510" w14:textId="77777777" w:rsidTr="005D7D49">
        <w:tc>
          <w:tcPr>
            <w:tcW w:w="0" w:type="auto"/>
            <w:tcBorders>
              <w:top w:val="nil"/>
              <w:bottom w:val="nil"/>
            </w:tcBorders>
            <w:shd w:val="clear" w:color="auto" w:fill="auto"/>
          </w:tcPr>
          <w:p w14:paraId="0350D773"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&lt; 7% </w:t>
            </w:r>
          </w:p>
        </w:tc>
        <w:tc>
          <w:tcPr>
            <w:tcW w:w="0" w:type="auto"/>
            <w:tcBorders>
              <w:top w:val="nil"/>
              <w:bottom w:val="nil"/>
            </w:tcBorders>
            <w:shd w:val="clear" w:color="auto" w:fill="auto"/>
          </w:tcPr>
          <w:p w14:paraId="4F66002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51.7 </w:t>
            </w:r>
          </w:p>
        </w:tc>
        <w:tc>
          <w:tcPr>
            <w:tcW w:w="0" w:type="auto"/>
            <w:tcBorders>
              <w:top w:val="nil"/>
              <w:bottom w:val="nil"/>
            </w:tcBorders>
            <w:shd w:val="clear" w:color="auto" w:fill="auto"/>
          </w:tcPr>
          <w:p w14:paraId="172022C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47.9 </w:t>
            </w:r>
          </w:p>
        </w:tc>
        <w:tc>
          <w:tcPr>
            <w:tcW w:w="0" w:type="auto"/>
            <w:tcBorders>
              <w:top w:val="nil"/>
              <w:bottom w:val="nil"/>
            </w:tcBorders>
            <w:shd w:val="clear" w:color="auto" w:fill="auto"/>
          </w:tcPr>
          <w:p w14:paraId="46E1D6A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47.4 </w:t>
            </w:r>
          </w:p>
        </w:tc>
        <w:tc>
          <w:tcPr>
            <w:tcW w:w="0" w:type="auto"/>
            <w:tcBorders>
              <w:top w:val="nil"/>
              <w:bottom w:val="nil"/>
            </w:tcBorders>
            <w:shd w:val="clear" w:color="auto" w:fill="auto"/>
          </w:tcPr>
          <w:p w14:paraId="60F563CB"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0.156</w:t>
            </w:r>
          </w:p>
        </w:tc>
        <w:tc>
          <w:tcPr>
            <w:tcW w:w="0" w:type="auto"/>
            <w:tcBorders>
              <w:top w:val="nil"/>
              <w:bottom w:val="nil"/>
            </w:tcBorders>
            <w:shd w:val="clear" w:color="auto" w:fill="auto"/>
          </w:tcPr>
          <w:p w14:paraId="41023E62"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eastAsia="Calibri" w:hAnsi="Book Antiqua"/>
                <w:color w:val="000000" w:themeColor="text1"/>
              </w:rPr>
              <w:t>0.925</w:t>
            </w:r>
          </w:p>
        </w:tc>
      </w:tr>
      <w:tr w:rsidR="00E67962" w:rsidRPr="00E67962" w14:paraId="366CF9E9" w14:textId="77777777" w:rsidTr="005D7D49">
        <w:tc>
          <w:tcPr>
            <w:tcW w:w="0" w:type="auto"/>
            <w:tcBorders>
              <w:top w:val="nil"/>
              <w:bottom w:val="nil"/>
            </w:tcBorders>
            <w:shd w:val="clear" w:color="auto" w:fill="auto"/>
          </w:tcPr>
          <w:p w14:paraId="7FD4CA05"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&gt; 7% </w:t>
            </w:r>
          </w:p>
        </w:tc>
        <w:tc>
          <w:tcPr>
            <w:tcW w:w="0" w:type="auto"/>
            <w:tcBorders>
              <w:top w:val="nil"/>
              <w:bottom w:val="nil"/>
            </w:tcBorders>
            <w:shd w:val="clear" w:color="auto" w:fill="auto"/>
          </w:tcPr>
          <w:p w14:paraId="21571F6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48.3 </w:t>
            </w:r>
          </w:p>
        </w:tc>
        <w:tc>
          <w:tcPr>
            <w:tcW w:w="0" w:type="auto"/>
            <w:tcBorders>
              <w:top w:val="nil"/>
              <w:bottom w:val="nil"/>
            </w:tcBorders>
            <w:shd w:val="clear" w:color="auto" w:fill="auto"/>
          </w:tcPr>
          <w:p w14:paraId="265C500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52.1 </w:t>
            </w:r>
          </w:p>
        </w:tc>
        <w:tc>
          <w:tcPr>
            <w:tcW w:w="0" w:type="auto"/>
            <w:tcBorders>
              <w:top w:val="nil"/>
              <w:bottom w:val="nil"/>
            </w:tcBorders>
            <w:shd w:val="clear" w:color="auto" w:fill="auto"/>
          </w:tcPr>
          <w:p w14:paraId="3E7679A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52.6 </w:t>
            </w:r>
          </w:p>
        </w:tc>
        <w:tc>
          <w:tcPr>
            <w:tcW w:w="0" w:type="auto"/>
            <w:tcBorders>
              <w:top w:val="nil"/>
              <w:bottom w:val="nil"/>
            </w:tcBorders>
            <w:shd w:val="clear" w:color="auto" w:fill="auto"/>
          </w:tcPr>
          <w:p w14:paraId="6224D69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A49A5DE"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A877BCE" w14:textId="77777777" w:rsidTr="005D7D49">
        <w:tc>
          <w:tcPr>
            <w:tcW w:w="0" w:type="auto"/>
            <w:tcBorders>
              <w:top w:val="nil"/>
              <w:bottom w:val="nil"/>
            </w:tcBorders>
            <w:shd w:val="clear" w:color="auto" w:fill="auto"/>
          </w:tcPr>
          <w:p w14:paraId="0DBC2555"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05F0DE8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0494F6A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1C6F47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289DD2A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9A7EEF8"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8B5D23D" w14:textId="77777777" w:rsidTr="005D7D49">
        <w:tc>
          <w:tcPr>
            <w:tcW w:w="0" w:type="auto"/>
            <w:tcBorders>
              <w:top w:val="nil"/>
              <w:bottom w:val="nil"/>
            </w:tcBorders>
            <w:shd w:val="clear" w:color="auto" w:fill="auto"/>
          </w:tcPr>
          <w:p w14:paraId="4AA57443" w14:textId="77777777" w:rsidR="00C2440C" w:rsidRPr="004541C8" w:rsidRDefault="00C2440C" w:rsidP="007F2BD5">
            <w:pPr>
              <w:snapToGrid w:val="0"/>
              <w:spacing w:line="360" w:lineRule="auto"/>
              <w:jc w:val="both"/>
              <w:rPr>
                <w:rFonts w:ascii="Book Antiqua" w:hAnsi="Book Antiqua"/>
                <w:color w:val="000000" w:themeColor="text1"/>
                <w:lang w:eastAsia="zh-CN"/>
              </w:rPr>
            </w:pPr>
            <w:r w:rsidRPr="004541C8">
              <w:rPr>
                <w:rFonts w:ascii="Book Antiqua" w:hAnsi="Book Antiqua"/>
                <w:color w:val="000000" w:themeColor="text1"/>
              </w:rPr>
              <w:t>FPG</w:t>
            </w:r>
          </w:p>
        </w:tc>
        <w:tc>
          <w:tcPr>
            <w:tcW w:w="0" w:type="auto"/>
            <w:tcBorders>
              <w:top w:val="nil"/>
              <w:bottom w:val="nil"/>
            </w:tcBorders>
            <w:shd w:val="clear" w:color="auto" w:fill="auto"/>
          </w:tcPr>
          <w:p w14:paraId="486A13CB"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28862A5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3E130C0B"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BC1E3E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851E472"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65DF1919" w14:textId="77777777" w:rsidTr="005D7D49">
        <w:tc>
          <w:tcPr>
            <w:tcW w:w="0" w:type="auto"/>
            <w:tcBorders>
              <w:top w:val="nil"/>
              <w:bottom w:val="nil"/>
            </w:tcBorders>
            <w:shd w:val="clear" w:color="auto" w:fill="auto"/>
          </w:tcPr>
          <w:p w14:paraId="524F4C6B"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7 mmol</w:t>
            </w:r>
          </w:p>
        </w:tc>
        <w:tc>
          <w:tcPr>
            <w:tcW w:w="0" w:type="auto"/>
            <w:tcBorders>
              <w:top w:val="nil"/>
              <w:bottom w:val="nil"/>
            </w:tcBorders>
            <w:shd w:val="clear" w:color="auto" w:fill="auto"/>
          </w:tcPr>
          <w:p w14:paraId="4733920B"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70.6 </w:t>
            </w:r>
          </w:p>
        </w:tc>
        <w:tc>
          <w:tcPr>
            <w:tcW w:w="0" w:type="auto"/>
            <w:tcBorders>
              <w:top w:val="nil"/>
              <w:bottom w:val="nil"/>
            </w:tcBorders>
            <w:shd w:val="clear" w:color="auto" w:fill="auto"/>
          </w:tcPr>
          <w:p w14:paraId="20767C6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30.0 </w:t>
            </w:r>
          </w:p>
        </w:tc>
        <w:tc>
          <w:tcPr>
            <w:tcW w:w="0" w:type="auto"/>
            <w:tcBorders>
              <w:top w:val="nil"/>
              <w:bottom w:val="nil"/>
            </w:tcBorders>
            <w:shd w:val="clear" w:color="auto" w:fill="auto"/>
          </w:tcPr>
          <w:p w14:paraId="7C901F8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54.5 </w:t>
            </w:r>
          </w:p>
        </w:tc>
        <w:tc>
          <w:tcPr>
            <w:tcW w:w="0" w:type="auto"/>
            <w:tcBorders>
              <w:top w:val="nil"/>
              <w:bottom w:val="nil"/>
            </w:tcBorders>
            <w:shd w:val="clear" w:color="auto" w:fill="auto"/>
          </w:tcPr>
          <w:p w14:paraId="4017B978"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7.748</w:t>
            </w:r>
          </w:p>
        </w:tc>
        <w:tc>
          <w:tcPr>
            <w:tcW w:w="0" w:type="auto"/>
            <w:tcBorders>
              <w:top w:val="nil"/>
              <w:bottom w:val="nil"/>
            </w:tcBorders>
            <w:shd w:val="clear" w:color="auto" w:fill="auto"/>
          </w:tcPr>
          <w:p w14:paraId="693308A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0.021</w:t>
            </w:r>
          </w:p>
        </w:tc>
      </w:tr>
      <w:tr w:rsidR="00E67962" w:rsidRPr="00E67962" w14:paraId="70D37115" w14:textId="77777777" w:rsidTr="005D7D49">
        <w:tc>
          <w:tcPr>
            <w:tcW w:w="0" w:type="auto"/>
            <w:tcBorders>
              <w:top w:val="nil"/>
              <w:bottom w:val="nil"/>
            </w:tcBorders>
            <w:shd w:val="clear" w:color="auto" w:fill="auto"/>
          </w:tcPr>
          <w:p w14:paraId="3AD2C3A7"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7 mmol</w:t>
            </w:r>
          </w:p>
        </w:tc>
        <w:tc>
          <w:tcPr>
            <w:tcW w:w="0" w:type="auto"/>
            <w:tcBorders>
              <w:top w:val="nil"/>
              <w:bottom w:val="nil"/>
            </w:tcBorders>
            <w:shd w:val="clear" w:color="auto" w:fill="auto"/>
          </w:tcPr>
          <w:p w14:paraId="42A8A2E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29.4 </w:t>
            </w:r>
          </w:p>
        </w:tc>
        <w:tc>
          <w:tcPr>
            <w:tcW w:w="0" w:type="auto"/>
            <w:tcBorders>
              <w:top w:val="nil"/>
              <w:bottom w:val="nil"/>
            </w:tcBorders>
            <w:shd w:val="clear" w:color="auto" w:fill="auto"/>
          </w:tcPr>
          <w:p w14:paraId="5A7E4B7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70.0 </w:t>
            </w:r>
          </w:p>
        </w:tc>
        <w:tc>
          <w:tcPr>
            <w:tcW w:w="0" w:type="auto"/>
            <w:tcBorders>
              <w:top w:val="nil"/>
              <w:bottom w:val="nil"/>
            </w:tcBorders>
            <w:shd w:val="clear" w:color="auto" w:fill="auto"/>
          </w:tcPr>
          <w:p w14:paraId="3A21DC0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45.5 </w:t>
            </w:r>
          </w:p>
        </w:tc>
        <w:tc>
          <w:tcPr>
            <w:tcW w:w="0" w:type="auto"/>
            <w:tcBorders>
              <w:top w:val="nil"/>
              <w:bottom w:val="nil"/>
            </w:tcBorders>
            <w:shd w:val="clear" w:color="auto" w:fill="auto"/>
          </w:tcPr>
          <w:p w14:paraId="4002396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060135C"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24F98EC" w14:textId="77777777" w:rsidTr="005D7D49">
        <w:tc>
          <w:tcPr>
            <w:tcW w:w="0" w:type="auto"/>
            <w:tcBorders>
              <w:top w:val="nil"/>
              <w:bottom w:val="nil"/>
            </w:tcBorders>
            <w:shd w:val="clear" w:color="auto" w:fill="auto"/>
          </w:tcPr>
          <w:p w14:paraId="7AA62976"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5391975E"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368C29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34FE2C1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5ED62C4"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EF2C3D5"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741F76C" w14:textId="77777777" w:rsidTr="005D7D49">
        <w:tc>
          <w:tcPr>
            <w:tcW w:w="0" w:type="auto"/>
            <w:tcBorders>
              <w:top w:val="nil"/>
              <w:bottom w:val="nil"/>
            </w:tcBorders>
            <w:shd w:val="clear" w:color="auto" w:fill="auto"/>
          </w:tcPr>
          <w:p w14:paraId="52AA67B5"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PPG</w:t>
            </w:r>
          </w:p>
        </w:tc>
        <w:tc>
          <w:tcPr>
            <w:tcW w:w="0" w:type="auto"/>
            <w:tcBorders>
              <w:top w:val="nil"/>
              <w:bottom w:val="nil"/>
            </w:tcBorders>
            <w:shd w:val="clear" w:color="auto" w:fill="auto"/>
          </w:tcPr>
          <w:p w14:paraId="6E5959A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4D13FC5"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1A885C2F"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C45350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0610A2CB"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249FFED" w14:textId="77777777" w:rsidTr="005D7D49">
        <w:tc>
          <w:tcPr>
            <w:tcW w:w="0" w:type="auto"/>
            <w:tcBorders>
              <w:top w:val="nil"/>
              <w:bottom w:val="nil"/>
            </w:tcBorders>
            <w:shd w:val="clear" w:color="auto" w:fill="auto"/>
          </w:tcPr>
          <w:p w14:paraId="48BDD47C"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10 mmol</w:t>
            </w:r>
          </w:p>
        </w:tc>
        <w:tc>
          <w:tcPr>
            <w:tcW w:w="0" w:type="auto"/>
            <w:tcBorders>
              <w:top w:val="nil"/>
              <w:bottom w:val="nil"/>
            </w:tcBorders>
            <w:shd w:val="clear" w:color="auto" w:fill="auto"/>
          </w:tcPr>
          <w:p w14:paraId="358D624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90.0 </w:t>
            </w:r>
          </w:p>
        </w:tc>
        <w:tc>
          <w:tcPr>
            <w:tcW w:w="0" w:type="auto"/>
            <w:tcBorders>
              <w:top w:val="nil"/>
              <w:bottom w:val="nil"/>
            </w:tcBorders>
            <w:shd w:val="clear" w:color="auto" w:fill="auto"/>
          </w:tcPr>
          <w:p w14:paraId="0BFF1CD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84.4 </w:t>
            </w:r>
          </w:p>
        </w:tc>
        <w:tc>
          <w:tcPr>
            <w:tcW w:w="0" w:type="auto"/>
            <w:tcBorders>
              <w:top w:val="nil"/>
              <w:bottom w:val="nil"/>
            </w:tcBorders>
            <w:shd w:val="clear" w:color="auto" w:fill="auto"/>
          </w:tcPr>
          <w:p w14:paraId="5502846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72.7 </w:t>
            </w:r>
          </w:p>
        </w:tc>
        <w:tc>
          <w:tcPr>
            <w:tcW w:w="0" w:type="auto"/>
            <w:tcBorders>
              <w:top w:val="nil"/>
              <w:bottom w:val="nil"/>
            </w:tcBorders>
            <w:shd w:val="clear" w:color="auto" w:fill="auto"/>
          </w:tcPr>
          <w:p w14:paraId="5C9D450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2.775</w:t>
            </w:r>
          </w:p>
        </w:tc>
        <w:tc>
          <w:tcPr>
            <w:tcW w:w="0" w:type="auto"/>
            <w:tcBorders>
              <w:top w:val="nil"/>
              <w:bottom w:val="nil"/>
            </w:tcBorders>
            <w:shd w:val="clear" w:color="auto" w:fill="auto"/>
          </w:tcPr>
          <w:p w14:paraId="186DAB1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0.250</w:t>
            </w:r>
          </w:p>
        </w:tc>
      </w:tr>
      <w:tr w:rsidR="00E67962" w:rsidRPr="00E67962" w14:paraId="11963ADF" w14:textId="77777777" w:rsidTr="005D7D49">
        <w:tc>
          <w:tcPr>
            <w:tcW w:w="0" w:type="auto"/>
            <w:tcBorders>
              <w:top w:val="nil"/>
              <w:bottom w:val="nil"/>
            </w:tcBorders>
            <w:shd w:val="clear" w:color="auto" w:fill="auto"/>
          </w:tcPr>
          <w:p w14:paraId="2BEC0E20"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10 mmol</w:t>
            </w:r>
          </w:p>
        </w:tc>
        <w:tc>
          <w:tcPr>
            <w:tcW w:w="0" w:type="auto"/>
            <w:tcBorders>
              <w:top w:val="nil"/>
              <w:bottom w:val="nil"/>
            </w:tcBorders>
            <w:shd w:val="clear" w:color="auto" w:fill="auto"/>
          </w:tcPr>
          <w:p w14:paraId="19E6B21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 </w:t>
            </w:r>
          </w:p>
        </w:tc>
        <w:tc>
          <w:tcPr>
            <w:tcW w:w="0" w:type="auto"/>
            <w:tcBorders>
              <w:top w:val="nil"/>
              <w:bottom w:val="nil"/>
            </w:tcBorders>
            <w:shd w:val="clear" w:color="auto" w:fill="auto"/>
          </w:tcPr>
          <w:p w14:paraId="424B461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15.6 </w:t>
            </w:r>
          </w:p>
        </w:tc>
        <w:tc>
          <w:tcPr>
            <w:tcW w:w="0" w:type="auto"/>
            <w:tcBorders>
              <w:top w:val="nil"/>
              <w:bottom w:val="nil"/>
            </w:tcBorders>
            <w:shd w:val="clear" w:color="auto" w:fill="auto"/>
          </w:tcPr>
          <w:p w14:paraId="5CCBE3F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27.3 </w:t>
            </w:r>
          </w:p>
        </w:tc>
        <w:tc>
          <w:tcPr>
            <w:tcW w:w="0" w:type="auto"/>
            <w:tcBorders>
              <w:top w:val="nil"/>
              <w:bottom w:val="nil"/>
            </w:tcBorders>
            <w:shd w:val="clear" w:color="auto" w:fill="auto"/>
          </w:tcPr>
          <w:p w14:paraId="14F5B395"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0F712BA"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2961AC9" w14:textId="77777777" w:rsidTr="005D7D49">
        <w:tc>
          <w:tcPr>
            <w:tcW w:w="0" w:type="auto"/>
            <w:tcBorders>
              <w:top w:val="nil"/>
              <w:bottom w:val="nil"/>
            </w:tcBorders>
            <w:shd w:val="clear" w:color="auto" w:fill="auto"/>
          </w:tcPr>
          <w:p w14:paraId="4B5D338F"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518FD7C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655DD8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720AE5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3BCDADE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C945BE4"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33A2BB21" w14:textId="77777777" w:rsidTr="005D7D49">
        <w:tc>
          <w:tcPr>
            <w:tcW w:w="0" w:type="auto"/>
            <w:tcBorders>
              <w:top w:val="nil"/>
              <w:bottom w:val="nil"/>
            </w:tcBorders>
            <w:shd w:val="clear" w:color="auto" w:fill="auto"/>
          </w:tcPr>
          <w:p w14:paraId="138E6C83"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eGFR</w:t>
            </w:r>
          </w:p>
        </w:tc>
        <w:tc>
          <w:tcPr>
            <w:tcW w:w="0" w:type="auto"/>
            <w:tcBorders>
              <w:top w:val="nil"/>
              <w:bottom w:val="nil"/>
            </w:tcBorders>
            <w:shd w:val="clear" w:color="auto" w:fill="auto"/>
          </w:tcPr>
          <w:p w14:paraId="59E588BF"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5BBF934"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2754165C"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FEA926C"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500329E"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628FB455" w14:textId="77777777" w:rsidTr="005D7D49">
        <w:tc>
          <w:tcPr>
            <w:tcW w:w="0" w:type="auto"/>
            <w:tcBorders>
              <w:top w:val="nil"/>
              <w:bottom w:val="nil"/>
            </w:tcBorders>
            <w:shd w:val="clear" w:color="auto" w:fill="auto"/>
          </w:tcPr>
          <w:p w14:paraId="04F1B1C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60 mL/min per 1.73m</w:t>
            </w:r>
            <w:r w:rsidRPr="004541C8">
              <w:rPr>
                <w:rFonts w:ascii="Book Antiqua" w:eastAsia="Calibri" w:hAnsi="Book Antiqua"/>
                <w:color w:val="000000" w:themeColor="text1"/>
                <w:vertAlign w:val="superscript"/>
              </w:rPr>
              <w:t>2</w:t>
            </w:r>
          </w:p>
        </w:tc>
        <w:tc>
          <w:tcPr>
            <w:tcW w:w="0" w:type="auto"/>
            <w:tcBorders>
              <w:top w:val="nil"/>
              <w:bottom w:val="nil"/>
            </w:tcBorders>
            <w:shd w:val="clear" w:color="auto" w:fill="auto"/>
          </w:tcPr>
          <w:p w14:paraId="473D585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90.9 </w:t>
            </w:r>
          </w:p>
        </w:tc>
        <w:tc>
          <w:tcPr>
            <w:tcW w:w="0" w:type="auto"/>
            <w:tcBorders>
              <w:top w:val="nil"/>
              <w:bottom w:val="nil"/>
            </w:tcBorders>
            <w:shd w:val="clear" w:color="auto" w:fill="auto"/>
          </w:tcPr>
          <w:p w14:paraId="1772B48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80.8 </w:t>
            </w:r>
          </w:p>
        </w:tc>
        <w:tc>
          <w:tcPr>
            <w:tcW w:w="0" w:type="auto"/>
            <w:tcBorders>
              <w:top w:val="nil"/>
              <w:bottom w:val="nil"/>
            </w:tcBorders>
            <w:shd w:val="clear" w:color="auto" w:fill="auto"/>
          </w:tcPr>
          <w:p w14:paraId="2685993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86.0 </w:t>
            </w:r>
          </w:p>
        </w:tc>
        <w:tc>
          <w:tcPr>
            <w:tcW w:w="0" w:type="auto"/>
            <w:tcBorders>
              <w:top w:val="nil"/>
              <w:bottom w:val="nil"/>
            </w:tcBorders>
            <w:shd w:val="clear" w:color="auto" w:fill="auto"/>
          </w:tcPr>
          <w:p w14:paraId="6E53562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1.008</w:t>
            </w:r>
          </w:p>
        </w:tc>
        <w:tc>
          <w:tcPr>
            <w:tcW w:w="0" w:type="auto"/>
            <w:tcBorders>
              <w:top w:val="nil"/>
              <w:bottom w:val="nil"/>
            </w:tcBorders>
            <w:shd w:val="clear" w:color="auto" w:fill="auto"/>
          </w:tcPr>
          <w:p w14:paraId="0E1BFB98"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0.604</w:t>
            </w:r>
          </w:p>
        </w:tc>
      </w:tr>
      <w:tr w:rsidR="00E67962" w:rsidRPr="00E67962" w14:paraId="42C8F217" w14:textId="77777777" w:rsidTr="005D7D49">
        <w:tc>
          <w:tcPr>
            <w:tcW w:w="0" w:type="auto"/>
            <w:tcBorders>
              <w:top w:val="nil"/>
              <w:bottom w:val="nil"/>
            </w:tcBorders>
            <w:shd w:val="clear" w:color="auto" w:fill="auto"/>
          </w:tcPr>
          <w:p w14:paraId="3E0610F9"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60 mL/min per 1.73m</w:t>
            </w:r>
            <w:r w:rsidRPr="004541C8">
              <w:rPr>
                <w:rFonts w:ascii="Book Antiqua" w:eastAsia="Calibri" w:hAnsi="Book Antiqua"/>
                <w:color w:val="000000" w:themeColor="text1"/>
                <w:vertAlign w:val="superscript"/>
              </w:rPr>
              <w:t>2</w:t>
            </w:r>
          </w:p>
        </w:tc>
        <w:tc>
          <w:tcPr>
            <w:tcW w:w="0" w:type="auto"/>
            <w:tcBorders>
              <w:top w:val="nil"/>
              <w:bottom w:val="nil"/>
            </w:tcBorders>
            <w:shd w:val="clear" w:color="auto" w:fill="auto"/>
          </w:tcPr>
          <w:p w14:paraId="09C5F01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9.1 </w:t>
            </w:r>
          </w:p>
        </w:tc>
        <w:tc>
          <w:tcPr>
            <w:tcW w:w="0" w:type="auto"/>
            <w:tcBorders>
              <w:top w:val="nil"/>
              <w:bottom w:val="nil"/>
            </w:tcBorders>
            <w:shd w:val="clear" w:color="auto" w:fill="auto"/>
          </w:tcPr>
          <w:p w14:paraId="099918E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19.2 </w:t>
            </w:r>
          </w:p>
        </w:tc>
        <w:tc>
          <w:tcPr>
            <w:tcW w:w="0" w:type="auto"/>
            <w:tcBorders>
              <w:top w:val="nil"/>
              <w:bottom w:val="nil"/>
            </w:tcBorders>
            <w:shd w:val="clear" w:color="auto" w:fill="auto"/>
          </w:tcPr>
          <w:p w14:paraId="515BED6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14.0 </w:t>
            </w:r>
          </w:p>
        </w:tc>
        <w:tc>
          <w:tcPr>
            <w:tcW w:w="0" w:type="auto"/>
            <w:tcBorders>
              <w:top w:val="nil"/>
              <w:bottom w:val="nil"/>
            </w:tcBorders>
            <w:shd w:val="clear" w:color="auto" w:fill="auto"/>
          </w:tcPr>
          <w:p w14:paraId="4EAFE382"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CB7D090"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787F4EFB" w14:textId="77777777" w:rsidTr="005D7D49">
        <w:tc>
          <w:tcPr>
            <w:tcW w:w="0" w:type="auto"/>
            <w:tcBorders>
              <w:top w:val="nil"/>
              <w:bottom w:val="nil"/>
            </w:tcBorders>
            <w:shd w:val="clear" w:color="auto" w:fill="auto"/>
          </w:tcPr>
          <w:p w14:paraId="31FC24AA"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31174C1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5CF39B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59E60B2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945CF2C"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629B130"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05517A7" w14:textId="77777777" w:rsidTr="005D7D49">
        <w:tc>
          <w:tcPr>
            <w:tcW w:w="0" w:type="auto"/>
            <w:tcBorders>
              <w:top w:val="nil"/>
              <w:bottom w:val="nil"/>
            </w:tcBorders>
            <w:shd w:val="clear" w:color="auto" w:fill="auto"/>
          </w:tcPr>
          <w:p w14:paraId="4705FD80" w14:textId="77777777" w:rsidR="00C2440C" w:rsidRPr="004541C8" w:rsidRDefault="00B33F39"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L</w:t>
            </w:r>
            <w:r w:rsidR="00C2440C" w:rsidRPr="004541C8">
              <w:rPr>
                <w:rFonts w:ascii="Book Antiqua" w:hAnsi="Book Antiqua"/>
                <w:color w:val="000000" w:themeColor="text1"/>
              </w:rPr>
              <w:t>DL</w:t>
            </w:r>
          </w:p>
        </w:tc>
        <w:tc>
          <w:tcPr>
            <w:tcW w:w="0" w:type="auto"/>
            <w:tcBorders>
              <w:top w:val="nil"/>
              <w:bottom w:val="nil"/>
            </w:tcBorders>
            <w:shd w:val="clear" w:color="auto" w:fill="auto"/>
          </w:tcPr>
          <w:p w14:paraId="4BDAFD54"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B355396"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7D473B0"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C670ABD"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813F2C4"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1DEDC600" w14:textId="77777777" w:rsidTr="005D7D49">
        <w:tc>
          <w:tcPr>
            <w:tcW w:w="0" w:type="auto"/>
            <w:tcBorders>
              <w:top w:val="nil"/>
              <w:bottom w:val="nil"/>
            </w:tcBorders>
            <w:shd w:val="clear" w:color="auto" w:fill="auto"/>
          </w:tcPr>
          <w:p w14:paraId="1B79425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1.8 mmol</w:t>
            </w:r>
          </w:p>
        </w:tc>
        <w:tc>
          <w:tcPr>
            <w:tcW w:w="0" w:type="auto"/>
            <w:tcBorders>
              <w:top w:val="nil"/>
              <w:bottom w:val="nil"/>
            </w:tcBorders>
            <w:shd w:val="clear" w:color="auto" w:fill="auto"/>
          </w:tcPr>
          <w:p w14:paraId="15F2502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16.7</w:t>
            </w:r>
          </w:p>
        </w:tc>
        <w:tc>
          <w:tcPr>
            <w:tcW w:w="0" w:type="auto"/>
            <w:tcBorders>
              <w:top w:val="nil"/>
              <w:bottom w:val="nil"/>
            </w:tcBorders>
            <w:shd w:val="clear" w:color="auto" w:fill="auto"/>
          </w:tcPr>
          <w:p w14:paraId="0BF8E3F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21.6</w:t>
            </w:r>
          </w:p>
        </w:tc>
        <w:tc>
          <w:tcPr>
            <w:tcW w:w="0" w:type="auto"/>
            <w:tcBorders>
              <w:top w:val="nil"/>
              <w:bottom w:val="nil"/>
            </w:tcBorders>
            <w:shd w:val="clear" w:color="auto" w:fill="auto"/>
          </w:tcPr>
          <w:p w14:paraId="664F779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29.5</w:t>
            </w:r>
          </w:p>
        </w:tc>
        <w:tc>
          <w:tcPr>
            <w:tcW w:w="0" w:type="auto"/>
            <w:tcBorders>
              <w:top w:val="nil"/>
              <w:bottom w:val="nil"/>
            </w:tcBorders>
            <w:shd w:val="clear" w:color="auto" w:fill="auto"/>
          </w:tcPr>
          <w:p w14:paraId="11ABC06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1.571</w:t>
            </w:r>
          </w:p>
        </w:tc>
        <w:tc>
          <w:tcPr>
            <w:tcW w:w="0" w:type="auto"/>
            <w:tcBorders>
              <w:top w:val="nil"/>
              <w:bottom w:val="nil"/>
            </w:tcBorders>
            <w:shd w:val="clear" w:color="auto" w:fill="auto"/>
          </w:tcPr>
          <w:p w14:paraId="05014CD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0.456</w:t>
            </w:r>
          </w:p>
        </w:tc>
      </w:tr>
      <w:tr w:rsidR="00E67962" w:rsidRPr="00E67962" w14:paraId="00C4F494" w14:textId="77777777" w:rsidTr="005D7D49">
        <w:tc>
          <w:tcPr>
            <w:tcW w:w="0" w:type="auto"/>
            <w:tcBorders>
              <w:top w:val="nil"/>
              <w:bottom w:val="nil"/>
            </w:tcBorders>
            <w:shd w:val="clear" w:color="auto" w:fill="auto"/>
          </w:tcPr>
          <w:p w14:paraId="45D1A513"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1.8 mmol</w:t>
            </w:r>
          </w:p>
        </w:tc>
        <w:tc>
          <w:tcPr>
            <w:tcW w:w="0" w:type="auto"/>
            <w:tcBorders>
              <w:top w:val="nil"/>
              <w:bottom w:val="nil"/>
            </w:tcBorders>
            <w:shd w:val="clear" w:color="auto" w:fill="auto"/>
          </w:tcPr>
          <w:p w14:paraId="16B690C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83.3 </w:t>
            </w:r>
          </w:p>
        </w:tc>
        <w:tc>
          <w:tcPr>
            <w:tcW w:w="0" w:type="auto"/>
            <w:tcBorders>
              <w:top w:val="nil"/>
              <w:bottom w:val="nil"/>
            </w:tcBorders>
            <w:shd w:val="clear" w:color="auto" w:fill="auto"/>
          </w:tcPr>
          <w:p w14:paraId="74DD426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78.4 </w:t>
            </w:r>
          </w:p>
        </w:tc>
        <w:tc>
          <w:tcPr>
            <w:tcW w:w="0" w:type="auto"/>
            <w:tcBorders>
              <w:top w:val="nil"/>
              <w:bottom w:val="nil"/>
            </w:tcBorders>
            <w:shd w:val="clear" w:color="auto" w:fill="auto"/>
          </w:tcPr>
          <w:p w14:paraId="6749BCB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70.5 </w:t>
            </w:r>
          </w:p>
        </w:tc>
        <w:tc>
          <w:tcPr>
            <w:tcW w:w="0" w:type="auto"/>
            <w:tcBorders>
              <w:top w:val="nil"/>
              <w:bottom w:val="nil"/>
            </w:tcBorders>
            <w:shd w:val="clear" w:color="auto" w:fill="auto"/>
          </w:tcPr>
          <w:p w14:paraId="12D99B04"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11C9676"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134CB104" w14:textId="77777777" w:rsidTr="005D7D49">
        <w:tc>
          <w:tcPr>
            <w:tcW w:w="0" w:type="auto"/>
            <w:tcBorders>
              <w:top w:val="nil"/>
              <w:bottom w:val="nil"/>
            </w:tcBorders>
            <w:shd w:val="clear" w:color="auto" w:fill="auto"/>
          </w:tcPr>
          <w:p w14:paraId="1EE77EBA"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31F5587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2C4EFF9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DAF405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743556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D3131B4"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733BD1B" w14:textId="77777777" w:rsidTr="005D7D49">
        <w:tc>
          <w:tcPr>
            <w:tcW w:w="0" w:type="auto"/>
            <w:tcBorders>
              <w:top w:val="nil"/>
              <w:bottom w:val="nil"/>
            </w:tcBorders>
            <w:shd w:val="clear" w:color="auto" w:fill="auto"/>
          </w:tcPr>
          <w:p w14:paraId="002FAC37"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LDL</w:t>
            </w:r>
          </w:p>
        </w:tc>
        <w:tc>
          <w:tcPr>
            <w:tcW w:w="0" w:type="auto"/>
            <w:tcBorders>
              <w:top w:val="nil"/>
              <w:bottom w:val="nil"/>
            </w:tcBorders>
            <w:shd w:val="clear" w:color="auto" w:fill="auto"/>
          </w:tcPr>
          <w:p w14:paraId="3FEE7194"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9880C11"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343AD1C"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654E935"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2836E85"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0A01A9C4" w14:textId="77777777" w:rsidTr="005D7D49">
        <w:tc>
          <w:tcPr>
            <w:tcW w:w="0" w:type="auto"/>
            <w:tcBorders>
              <w:top w:val="nil"/>
              <w:bottom w:val="nil"/>
            </w:tcBorders>
            <w:shd w:val="clear" w:color="auto" w:fill="auto"/>
          </w:tcPr>
          <w:p w14:paraId="26EA980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2.5 mmol</w:t>
            </w:r>
          </w:p>
        </w:tc>
        <w:tc>
          <w:tcPr>
            <w:tcW w:w="0" w:type="auto"/>
            <w:tcBorders>
              <w:top w:val="nil"/>
              <w:bottom w:val="nil"/>
            </w:tcBorders>
            <w:shd w:val="clear" w:color="auto" w:fill="auto"/>
          </w:tcPr>
          <w:p w14:paraId="10D697D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66.7 </w:t>
            </w:r>
          </w:p>
        </w:tc>
        <w:tc>
          <w:tcPr>
            <w:tcW w:w="0" w:type="auto"/>
            <w:tcBorders>
              <w:top w:val="nil"/>
              <w:bottom w:val="nil"/>
            </w:tcBorders>
            <w:shd w:val="clear" w:color="auto" w:fill="auto"/>
          </w:tcPr>
          <w:p w14:paraId="138ACF8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54.1 </w:t>
            </w:r>
          </w:p>
        </w:tc>
        <w:tc>
          <w:tcPr>
            <w:tcW w:w="0" w:type="auto"/>
            <w:tcBorders>
              <w:top w:val="nil"/>
              <w:bottom w:val="nil"/>
            </w:tcBorders>
            <w:shd w:val="clear" w:color="auto" w:fill="auto"/>
          </w:tcPr>
          <w:p w14:paraId="4F48DE3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52.3 </w:t>
            </w:r>
          </w:p>
        </w:tc>
        <w:tc>
          <w:tcPr>
            <w:tcW w:w="0" w:type="auto"/>
            <w:tcBorders>
              <w:top w:val="nil"/>
              <w:bottom w:val="nil"/>
            </w:tcBorders>
            <w:shd w:val="clear" w:color="auto" w:fill="auto"/>
          </w:tcPr>
          <w:p w14:paraId="3980B75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1.413</w:t>
            </w:r>
          </w:p>
        </w:tc>
        <w:tc>
          <w:tcPr>
            <w:tcW w:w="0" w:type="auto"/>
            <w:tcBorders>
              <w:top w:val="nil"/>
              <w:bottom w:val="nil"/>
            </w:tcBorders>
            <w:shd w:val="clear" w:color="auto" w:fill="auto"/>
          </w:tcPr>
          <w:p w14:paraId="1A0697FE"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0.493</w:t>
            </w:r>
          </w:p>
        </w:tc>
      </w:tr>
      <w:tr w:rsidR="00E67962" w:rsidRPr="00E67962" w14:paraId="66129EB8" w14:textId="77777777" w:rsidTr="005D7D49">
        <w:tc>
          <w:tcPr>
            <w:tcW w:w="0" w:type="auto"/>
            <w:tcBorders>
              <w:top w:val="nil"/>
              <w:bottom w:val="nil"/>
            </w:tcBorders>
            <w:shd w:val="clear" w:color="auto" w:fill="auto"/>
          </w:tcPr>
          <w:p w14:paraId="7CDA8A68"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2.5 mmol</w:t>
            </w:r>
          </w:p>
        </w:tc>
        <w:tc>
          <w:tcPr>
            <w:tcW w:w="0" w:type="auto"/>
            <w:tcBorders>
              <w:top w:val="nil"/>
              <w:bottom w:val="nil"/>
            </w:tcBorders>
            <w:shd w:val="clear" w:color="auto" w:fill="auto"/>
          </w:tcPr>
          <w:p w14:paraId="66FCBF8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33.3 </w:t>
            </w:r>
          </w:p>
        </w:tc>
        <w:tc>
          <w:tcPr>
            <w:tcW w:w="0" w:type="auto"/>
            <w:tcBorders>
              <w:top w:val="nil"/>
              <w:bottom w:val="nil"/>
            </w:tcBorders>
            <w:shd w:val="clear" w:color="auto" w:fill="auto"/>
          </w:tcPr>
          <w:p w14:paraId="094D632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45.9 </w:t>
            </w:r>
          </w:p>
        </w:tc>
        <w:tc>
          <w:tcPr>
            <w:tcW w:w="0" w:type="auto"/>
            <w:tcBorders>
              <w:top w:val="nil"/>
              <w:bottom w:val="nil"/>
            </w:tcBorders>
            <w:shd w:val="clear" w:color="auto" w:fill="auto"/>
          </w:tcPr>
          <w:p w14:paraId="78E1D4B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47.7 </w:t>
            </w:r>
          </w:p>
        </w:tc>
        <w:tc>
          <w:tcPr>
            <w:tcW w:w="0" w:type="auto"/>
            <w:tcBorders>
              <w:top w:val="nil"/>
              <w:bottom w:val="nil"/>
            </w:tcBorders>
            <w:shd w:val="clear" w:color="auto" w:fill="auto"/>
          </w:tcPr>
          <w:p w14:paraId="0AA9580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DA1DFC7"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75FA9A5" w14:textId="77777777" w:rsidTr="005D7D49">
        <w:tc>
          <w:tcPr>
            <w:tcW w:w="0" w:type="auto"/>
            <w:tcBorders>
              <w:top w:val="nil"/>
              <w:bottom w:val="nil"/>
            </w:tcBorders>
            <w:shd w:val="clear" w:color="auto" w:fill="auto"/>
          </w:tcPr>
          <w:p w14:paraId="735FF958"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43ED928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0C1A9B0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3B97962" w14:textId="77777777" w:rsidR="00C2440C" w:rsidRPr="004541C8" w:rsidRDefault="00C2440C" w:rsidP="007F2BD5">
            <w:pPr>
              <w:numPr>
                <w:ilvl w:val="0"/>
                <w:numId w:val="1"/>
              </w:num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D72A6C1"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2740139"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3AFCC792" w14:textId="77777777" w:rsidTr="005D7D49">
        <w:tc>
          <w:tcPr>
            <w:tcW w:w="0" w:type="auto"/>
            <w:tcBorders>
              <w:top w:val="nil"/>
              <w:bottom w:val="nil"/>
            </w:tcBorders>
            <w:shd w:val="clear" w:color="auto" w:fill="auto"/>
          </w:tcPr>
          <w:p w14:paraId="0BFBF2CA" w14:textId="54C60B3E"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lastRenderedPageBreak/>
              <w:t>Weight loss</w:t>
            </w:r>
            <w:r w:rsidR="003508AB" w:rsidRPr="004541C8">
              <w:rPr>
                <w:rFonts w:ascii="Book Antiqua" w:hAnsi="Book Antiqua"/>
                <w:color w:val="000000" w:themeColor="text1"/>
              </w:rPr>
              <w:t xml:space="preserve"> &gt; 5%</w:t>
            </w:r>
          </w:p>
        </w:tc>
        <w:tc>
          <w:tcPr>
            <w:tcW w:w="0" w:type="auto"/>
            <w:tcBorders>
              <w:top w:val="nil"/>
              <w:bottom w:val="nil"/>
            </w:tcBorders>
            <w:shd w:val="clear" w:color="auto" w:fill="auto"/>
          </w:tcPr>
          <w:p w14:paraId="5B9DECAC"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48D72A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174474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4DF9475"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04F3DA5"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53C4667B" w14:textId="77777777" w:rsidTr="005D7D49">
        <w:tc>
          <w:tcPr>
            <w:tcW w:w="0" w:type="auto"/>
            <w:tcBorders>
              <w:top w:val="nil"/>
              <w:bottom w:val="nil"/>
            </w:tcBorders>
            <w:shd w:val="clear" w:color="auto" w:fill="auto"/>
          </w:tcPr>
          <w:p w14:paraId="0E8103B5"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No </w:t>
            </w:r>
          </w:p>
        </w:tc>
        <w:tc>
          <w:tcPr>
            <w:tcW w:w="0" w:type="auto"/>
            <w:tcBorders>
              <w:top w:val="nil"/>
              <w:bottom w:val="nil"/>
            </w:tcBorders>
            <w:shd w:val="clear" w:color="auto" w:fill="auto"/>
          </w:tcPr>
          <w:p w14:paraId="0677FE2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58.6 </w:t>
            </w:r>
          </w:p>
        </w:tc>
        <w:tc>
          <w:tcPr>
            <w:tcW w:w="0" w:type="auto"/>
            <w:tcBorders>
              <w:top w:val="nil"/>
              <w:bottom w:val="nil"/>
            </w:tcBorders>
            <w:shd w:val="clear" w:color="auto" w:fill="auto"/>
          </w:tcPr>
          <w:p w14:paraId="445E48B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52.3 </w:t>
            </w:r>
          </w:p>
        </w:tc>
        <w:tc>
          <w:tcPr>
            <w:tcW w:w="0" w:type="auto"/>
            <w:tcBorders>
              <w:top w:val="nil"/>
              <w:bottom w:val="nil"/>
            </w:tcBorders>
            <w:shd w:val="clear" w:color="auto" w:fill="auto"/>
          </w:tcPr>
          <w:p w14:paraId="70180B1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33.3 </w:t>
            </w:r>
          </w:p>
        </w:tc>
        <w:tc>
          <w:tcPr>
            <w:tcW w:w="0" w:type="auto"/>
            <w:tcBorders>
              <w:top w:val="nil"/>
              <w:bottom w:val="nil"/>
            </w:tcBorders>
            <w:shd w:val="clear" w:color="auto" w:fill="auto"/>
          </w:tcPr>
          <w:p w14:paraId="656F3CB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6.232</w:t>
            </w:r>
          </w:p>
        </w:tc>
        <w:tc>
          <w:tcPr>
            <w:tcW w:w="0" w:type="auto"/>
            <w:tcBorders>
              <w:top w:val="nil"/>
              <w:bottom w:val="nil"/>
            </w:tcBorders>
            <w:shd w:val="clear" w:color="auto" w:fill="auto"/>
          </w:tcPr>
          <w:p w14:paraId="77780E2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0.044</w:t>
            </w:r>
          </w:p>
        </w:tc>
      </w:tr>
      <w:tr w:rsidR="00E67962" w:rsidRPr="00E67962" w14:paraId="00F61257" w14:textId="77777777" w:rsidTr="005D7D49">
        <w:tc>
          <w:tcPr>
            <w:tcW w:w="0" w:type="auto"/>
            <w:tcBorders>
              <w:top w:val="nil"/>
              <w:bottom w:val="nil"/>
            </w:tcBorders>
            <w:shd w:val="clear" w:color="auto" w:fill="auto"/>
          </w:tcPr>
          <w:p w14:paraId="309C5506"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auto"/>
          </w:tcPr>
          <w:p w14:paraId="7876A6E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41.4 </w:t>
            </w:r>
          </w:p>
        </w:tc>
        <w:tc>
          <w:tcPr>
            <w:tcW w:w="0" w:type="auto"/>
            <w:tcBorders>
              <w:top w:val="nil"/>
              <w:bottom w:val="nil"/>
            </w:tcBorders>
            <w:shd w:val="clear" w:color="auto" w:fill="auto"/>
          </w:tcPr>
          <w:p w14:paraId="7AEF244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47.7 </w:t>
            </w:r>
          </w:p>
        </w:tc>
        <w:tc>
          <w:tcPr>
            <w:tcW w:w="0" w:type="auto"/>
            <w:tcBorders>
              <w:top w:val="nil"/>
              <w:bottom w:val="nil"/>
            </w:tcBorders>
            <w:shd w:val="clear" w:color="auto" w:fill="auto"/>
          </w:tcPr>
          <w:p w14:paraId="434F583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66.7 </w:t>
            </w:r>
          </w:p>
        </w:tc>
        <w:tc>
          <w:tcPr>
            <w:tcW w:w="0" w:type="auto"/>
            <w:tcBorders>
              <w:top w:val="nil"/>
              <w:bottom w:val="nil"/>
            </w:tcBorders>
            <w:shd w:val="clear" w:color="auto" w:fill="auto"/>
          </w:tcPr>
          <w:p w14:paraId="55F8E8A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90286B1"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214CAC40" w14:textId="77777777" w:rsidTr="005D7D49">
        <w:tc>
          <w:tcPr>
            <w:tcW w:w="0" w:type="auto"/>
            <w:tcBorders>
              <w:top w:val="nil"/>
              <w:bottom w:val="single" w:sz="4" w:space="0" w:color="000000"/>
            </w:tcBorders>
            <w:shd w:val="clear" w:color="auto" w:fill="auto"/>
          </w:tcPr>
          <w:p w14:paraId="7B2A4581"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single" w:sz="4" w:space="0" w:color="000000"/>
            </w:tcBorders>
            <w:shd w:val="clear" w:color="auto" w:fill="auto"/>
          </w:tcPr>
          <w:p w14:paraId="1FB9650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2665394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1452FEB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4F023C25"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single" w:sz="4" w:space="0" w:color="000000"/>
            </w:tcBorders>
            <w:shd w:val="clear" w:color="auto" w:fill="auto"/>
          </w:tcPr>
          <w:p w14:paraId="23CA41D7" w14:textId="77777777" w:rsidR="00C2440C" w:rsidRPr="004541C8" w:rsidRDefault="00C2440C" w:rsidP="00CA36D0">
            <w:pPr>
              <w:snapToGrid w:val="0"/>
              <w:spacing w:line="360" w:lineRule="auto"/>
              <w:jc w:val="both"/>
              <w:rPr>
                <w:rFonts w:ascii="Book Antiqua" w:hAnsi="Book Antiqua"/>
                <w:color w:val="000000" w:themeColor="text1"/>
              </w:rPr>
            </w:pPr>
          </w:p>
        </w:tc>
      </w:tr>
    </w:tbl>
    <w:p w14:paraId="1578D03F" w14:textId="4A006CBB" w:rsidR="007A2E44" w:rsidRPr="004541C8" w:rsidRDefault="00B3262E" w:rsidP="004541C8">
      <w:pPr>
        <w:snapToGrid w:val="0"/>
        <w:spacing w:line="360" w:lineRule="auto"/>
        <w:jc w:val="both"/>
        <w:rPr>
          <w:rFonts w:ascii="Book Antiqua" w:hAnsi="Book Antiqua"/>
          <w:color w:val="000000" w:themeColor="text1"/>
        </w:rPr>
      </w:pPr>
      <w:r w:rsidRPr="004541C8">
        <w:rPr>
          <w:rFonts w:ascii="Book Antiqua" w:eastAsia="Book Antiqua" w:hAnsi="Book Antiqua" w:cs="Book Antiqua"/>
          <w:color w:val="000000" w:themeColor="text1"/>
        </w:rPr>
        <w:t xml:space="preserve">BMI: Body mass index; </w:t>
      </w:r>
      <w:r w:rsidR="00521E5F" w:rsidRPr="00F52278">
        <w:rPr>
          <w:rFonts w:ascii="Book Antiqua" w:hAnsi="Book Antiqua"/>
          <w:color w:val="000000" w:themeColor="text1"/>
        </w:rPr>
        <w:t>eGFR: Estimated glomerular filtration rate;</w:t>
      </w:r>
      <w:r w:rsidR="00521E5F">
        <w:rPr>
          <w:rFonts w:ascii="Book Antiqua" w:hAnsi="Book Antiqua"/>
          <w:color w:val="000000" w:themeColor="text1"/>
        </w:rPr>
        <w:t xml:space="preserve"> </w:t>
      </w:r>
      <w:r w:rsidR="00521E5F" w:rsidRPr="00842FFA">
        <w:rPr>
          <w:rFonts w:ascii="Book Antiqua" w:hAnsi="Book Antiqua"/>
          <w:color w:val="000000" w:themeColor="text1"/>
        </w:rPr>
        <w:t xml:space="preserve">FPG: Fasting plasma glucose; </w:t>
      </w:r>
      <w:r w:rsidRPr="004541C8">
        <w:rPr>
          <w:rFonts w:ascii="Book Antiqua" w:eastAsia="Book Antiqua" w:hAnsi="Book Antiqua" w:cs="Book Antiqua"/>
          <w:color w:val="000000" w:themeColor="text1"/>
        </w:rPr>
        <w:t xml:space="preserve">GLP-1: Glucagon-like-1; </w:t>
      </w:r>
      <w:r w:rsidR="00521E5F" w:rsidRPr="00C74EE0">
        <w:rPr>
          <w:rFonts w:ascii="Book Antiqua" w:eastAsia="Book Antiqua" w:hAnsi="Book Antiqua" w:cs="Book Antiqua"/>
          <w:color w:val="000000" w:themeColor="text1"/>
        </w:rPr>
        <w:t>HbA1c: Hemoglobin A1c;</w:t>
      </w:r>
      <w:r w:rsidRPr="004541C8">
        <w:rPr>
          <w:rFonts w:ascii="Book Antiqua" w:hAnsi="Book Antiqua"/>
          <w:color w:val="000000" w:themeColor="text1"/>
        </w:rPr>
        <w:t xml:space="preserve"> LDL: Low-density lipoprotein cholesterol</w:t>
      </w:r>
      <w:r w:rsidR="00521E5F">
        <w:rPr>
          <w:rFonts w:ascii="Book Antiqua" w:hAnsi="Book Antiqua"/>
          <w:color w:val="000000" w:themeColor="text1"/>
        </w:rPr>
        <w:t>;</w:t>
      </w:r>
      <w:r w:rsidR="00521E5F" w:rsidRPr="00521E5F">
        <w:rPr>
          <w:rFonts w:ascii="Book Antiqua" w:eastAsia="Book Antiqua" w:hAnsi="Book Antiqua" w:cs="Book Antiqua"/>
          <w:color w:val="000000" w:themeColor="text1"/>
        </w:rPr>
        <w:t xml:space="preserve"> </w:t>
      </w:r>
      <w:r w:rsidR="00521E5F" w:rsidRPr="00A437B9">
        <w:rPr>
          <w:rFonts w:ascii="Book Antiqua" w:hAnsi="Book Antiqua"/>
          <w:color w:val="000000" w:themeColor="text1"/>
        </w:rPr>
        <w:t xml:space="preserve">PPG: Prandial plasma glucose; </w:t>
      </w:r>
      <w:r w:rsidR="00521E5F" w:rsidRPr="001C42DB">
        <w:rPr>
          <w:rFonts w:ascii="Book Antiqua" w:eastAsia="Book Antiqua" w:hAnsi="Book Antiqua" w:cs="Book Antiqua"/>
          <w:color w:val="000000" w:themeColor="text1"/>
        </w:rPr>
        <w:t>SGLT</w:t>
      </w:r>
      <w:r w:rsidR="00521E5F">
        <w:rPr>
          <w:rFonts w:ascii="Book Antiqua" w:eastAsia="Book Antiqua" w:hAnsi="Book Antiqua" w:cs="Book Antiqua"/>
          <w:color w:val="000000" w:themeColor="text1"/>
        </w:rPr>
        <w:t>-</w:t>
      </w:r>
      <w:r w:rsidR="00521E5F" w:rsidRPr="001C42DB">
        <w:rPr>
          <w:rFonts w:ascii="Book Antiqua" w:eastAsia="Book Antiqua" w:hAnsi="Book Antiqua" w:cs="Book Antiqua"/>
          <w:color w:val="000000" w:themeColor="text1"/>
        </w:rPr>
        <w:t>2</w:t>
      </w:r>
      <w:r w:rsidR="00C3386C">
        <w:rPr>
          <w:rFonts w:ascii="Book Antiqua" w:eastAsia="Book Antiqua" w:hAnsi="Book Antiqua" w:cs="Book Antiqua"/>
          <w:color w:val="000000" w:themeColor="text1"/>
        </w:rPr>
        <w:t>i</w:t>
      </w:r>
      <w:r w:rsidR="00521E5F" w:rsidRPr="001C42DB">
        <w:rPr>
          <w:rFonts w:ascii="Book Antiqua" w:eastAsia="Book Antiqua" w:hAnsi="Book Antiqua" w:cs="Book Antiqua"/>
          <w:color w:val="000000" w:themeColor="text1"/>
        </w:rPr>
        <w:t>: Sodium/glucose cotransporter</w:t>
      </w:r>
      <w:r w:rsidR="00521E5F">
        <w:rPr>
          <w:rFonts w:ascii="Book Antiqua" w:eastAsia="Book Antiqua" w:hAnsi="Book Antiqua" w:cs="Book Antiqua"/>
          <w:color w:val="000000" w:themeColor="text1"/>
        </w:rPr>
        <w:t>-</w:t>
      </w:r>
      <w:r w:rsidR="00521E5F" w:rsidRPr="001C42DB">
        <w:rPr>
          <w:rFonts w:ascii="Book Antiqua" w:eastAsia="Book Antiqua" w:hAnsi="Book Antiqua" w:cs="Book Antiqua"/>
          <w:color w:val="000000" w:themeColor="text1"/>
        </w:rPr>
        <w:t>2</w:t>
      </w:r>
      <w:r w:rsidR="00C3386C">
        <w:rPr>
          <w:rFonts w:ascii="Book Antiqua" w:eastAsia="Book Antiqua" w:hAnsi="Book Antiqua" w:cs="Book Antiqua"/>
          <w:color w:val="000000" w:themeColor="text1"/>
        </w:rPr>
        <w:t xml:space="preserve"> inhibitor</w:t>
      </w:r>
      <w:r w:rsidR="00521E5F">
        <w:rPr>
          <w:rFonts w:ascii="Book Antiqua" w:eastAsia="Book Antiqua" w:hAnsi="Book Antiqua" w:cs="Book Antiqua"/>
          <w:color w:val="000000" w:themeColor="text1"/>
        </w:rPr>
        <w:t>.</w:t>
      </w:r>
    </w:p>
    <w:p w14:paraId="56D9AED1" w14:textId="77777777" w:rsidR="00AB6FCB" w:rsidRPr="004541C8" w:rsidRDefault="007A2E44"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br w:type="page"/>
      </w:r>
      <w:r w:rsidRPr="004541C8">
        <w:rPr>
          <w:rFonts w:ascii="Book Antiqua" w:hAnsi="Book Antiqua"/>
          <w:b/>
          <w:bCs/>
          <w:color w:val="000000" w:themeColor="text1"/>
        </w:rPr>
        <w:lastRenderedPageBreak/>
        <w:t>Table 6 Percentage of patients achieving composite outcome</w:t>
      </w:r>
    </w:p>
    <w:tbl>
      <w:tblPr>
        <w:tblW w:w="0" w:type="auto"/>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5703"/>
        <w:gridCol w:w="497"/>
        <w:gridCol w:w="480"/>
        <w:gridCol w:w="820"/>
      </w:tblGrid>
      <w:tr w:rsidR="00E67962" w:rsidRPr="00E67962" w14:paraId="27469831" w14:textId="77777777" w:rsidTr="007A2E44">
        <w:trPr>
          <w:cantSplit/>
        </w:trPr>
        <w:tc>
          <w:tcPr>
            <w:tcW w:w="0" w:type="auto"/>
            <w:gridSpan w:val="2"/>
            <w:tcBorders>
              <w:top w:val="single" w:sz="4" w:space="0" w:color="000000"/>
              <w:bottom w:val="single" w:sz="4" w:space="0" w:color="auto"/>
            </w:tcBorders>
            <w:shd w:val="clear" w:color="auto" w:fill="FFFFFF"/>
          </w:tcPr>
          <w:p w14:paraId="78146F06" w14:textId="77777777" w:rsidR="007A2E44" w:rsidRPr="004541C8" w:rsidRDefault="007A2E44" w:rsidP="007F2BD5">
            <w:pPr>
              <w:snapToGrid w:val="0"/>
              <w:spacing w:line="360" w:lineRule="auto"/>
              <w:jc w:val="both"/>
              <w:rPr>
                <w:rFonts w:ascii="Book Antiqua" w:eastAsia="Calibri" w:hAnsi="Book Antiqua"/>
                <w:b/>
                <w:bCs/>
                <w:color w:val="000000" w:themeColor="text1"/>
              </w:rPr>
            </w:pPr>
          </w:p>
        </w:tc>
        <w:tc>
          <w:tcPr>
            <w:tcW w:w="0" w:type="auto"/>
            <w:tcBorders>
              <w:top w:val="single" w:sz="4" w:space="0" w:color="000000"/>
              <w:bottom w:val="single" w:sz="4" w:space="0" w:color="auto"/>
            </w:tcBorders>
            <w:shd w:val="clear" w:color="auto" w:fill="FFFFFF"/>
          </w:tcPr>
          <w:p w14:paraId="42F436FC" w14:textId="77777777" w:rsidR="007A2E44" w:rsidRPr="004541C8" w:rsidRDefault="007A2E44" w:rsidP="004541C8">
            <w:pPr>
              <w:snapToGrid w:val="0"/>
              <w:spacing w:line="360" w:lineRule="auto"/>
              <w:ind w:left="60" w:right="60"/>
              <w:jc w:val="both"/>
              <w:rPr>
                <w:rFonts w:ascii="Book Antiqua" w:eastAsia="Calibri" w:hAnsi="Book Antiqua"/>
                <w:b/>
                <w:bCs/>
                <w:i/>
                <w:iCs/>
                <w:color w:val="000000" w:themeColor="text1"/>
              </w:rPr>
            </w:pPr>
            <w:r w:rsidRPr="004541C8">
              <w:rPr>
                <w:rFonts w:ascii="Book Antiqua" w:eastAsia="Calibri" w:hAnsi="Book Antiqua"/>
                <w:b/>
                <w:bCs/>
                <w:i/>
                <w:iCs/>
                <w:color w:val="000000" w:themeColor="text1"/>
              </w:rPr>
              <w:t>n</w:t>
            </w:r>
          </w:p>
        </w:tc>
        <w:tc>
          <w:tcPr>
            <w:tcW w:w="0" w:type="auto"/>
            <w:tcBorders>
              <w:top w:val="single" w:sz="4" w:space="0" w:color="000000"/>
              <w:bottom w:val="single" w:sz="4" w:space="0" w:color="auto"/>
            </w:tcBorders>
            <w:shd w:val="clear" w:color="auto" w:fill="FFFFFF"/>
          </w:tcPr>
          <w:p w14:paraId="2DEE3A7D" w14:textId="77777777" w:rsidR="007A2E44" w:rsidRPr="004541C8" w:rsidRDefault="007A2E44" w:rsidP="004541C8">
            <w:pPr>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w:t>
            </w:r>
          </w:p>
        </w:tc>
      </w:tr>
      <w:tr w:rsidR="00E67962" w:rsidRPr="00E67962" w14:paraId="31CD4310" w14:textId="77777777" w:rsidTr="007A2E44">
        <w:trPr>
          <w:cantSplit/>
        </w:trPr>
        <w:tc>
          <w:tcPr>
            <w:tcW w:w="0" w:type="auto"/>
            <w:vMerge w:val="restart"/>
            <w:tcBorders>
              <w:top w:val="single" w:sz="4" w:space="0" w:color="auto"/>
              <w:bottom w:val="nil"/>
            </w:tcBorders>
            <w:shd w:val="clear" w:color="auto" w:fill="FFFFFF"/>
          </w:tcPr>
          <w:p w14:paraId="5A494DEA"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HbA1c &lt; 7% and 5% weight loss</w:t>
            </w:r>
          </w:p>
        </w:tc>
        <w:tc>
          <w:tcPr>
            <w:tcW w:w="0" w:type="auto"/>
            <w:tcBorders>
              <w:top w:val="single" w:sz="4" w:space="0" w:color="auto"/>
              <w:bottom w:val="nil"/>
            </w:tcBorders>
            <w:shd w:val="clear" w:color="auto" w:fill="FFFFFF"/>
          </w:tcPr>
          <w:p w14:paraId="493EFA1A"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No</w:t>
            </w:r>
          </w:p>
        </w:tc>
        <w:tc>
          <w:tcPr>
            <w:tcW w:w="0" w:type="auto"/>
            <w:tcBorders>
              <w:top w:val="single" w:sz="4" w:space="0" w:color="auto"/>
              <w:bottom w:val="nil"/>
            </w:tcBorders>
            <w:shd w:val="clear" w:color="auto" w:fill="FFFFFF"/>
          </w:tcPr>
          <w:p w14:paraId="100D871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88</w:t>
            </w:r>
          </w:p>
        </w:tc>
        <w:tc>
          <w:tcPr>
            <w:tcW w:w="0" w:type="auto"/>
            <w:tcBorders>
              <w:top w:val="single" w:sz="4" w:space="0" w:color="auto"/>
              <w:bottom w:val="nil"/>
            </w:tcBorders>
            <w:shd w:val="clear" w:color="auto" w:fill="FFFFFF"/>
          </w:tcPr>
          <w:p w14:paraId="720480C7"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(67.7)</w:t>
            </w:r>
          </w:p>
        </w:tc>
      </w:tr>
      <w:tr w:rsidR="00E67962" w:rsidRPr="00E67962" w14:paraId="56AF995F" w14:textId="77777777" w:rsidTr="007A2E44">
        <w:trPr>
          <w:cantSplit/>
        </w:trPr>
        <w:tc>
          <w:tcPr>
            <w:tcW w:w="0" w:type="auto"/>
            <w:vMerge/>
            <w:tcBorders>
              <w:top w:val="nil"/>
              <w:bottom w:val="nil"/>
            </w:tcBorders>
            <w:shd w:val="clear" w:color="auto" w:fill="FFFFFF"/>
          </w:tcPr>
          <w:p w14:paraId="2A927E87" w14:textId="77777777" w:rsidR="007A2E44" w:rsidRPr="004541C8" w:rsidRDefault="007A2E44">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FFFFFF"/>
          </w:tcPr>
          <w:p w14:paraId="510CBFF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FFFFFF"/>
          </w:tcPr>
          <w:p w14:paraId="712DF033"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42</w:t>
            </w:r>
          </w:p>
        </w:tc>
        <w:tc>
          <w:tcPr>
            <w:tcW w:w="0" w:type="auto"/>
            <w:tcBorders>
              <w:top w:val="nil"/>
              <w:bottom w:val="nil"/>
            </w:tcBorders>
            <w:shd w:val="clear" w:color="auto" w:fill="FFFFFF"/>
          </w:tcPr>
          <w:p w14:paraId="0A64C393"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(32.3)</w:t>
            </w:r>
          </w:p>
        </w:tc>
      </w:tr>
      <w:tr w:rsidR="00E67962" w:rsidRPr="00E67962" w14:paraId="64D00F49" w14:textId="77777777" w:rsidTr="007A2E44">
        <w:trPr>
          <w:cantSplit/>
        </w:trPr>
        <w:tc>
          <w:tcPr>
            <w:tcW w:w="0" w:type="auto"/>
            <w:gridSpan w:val="2"/>
            <w:tcBorders>
              <w:top w:val="nil"/>
              <w:bottom w:val="nil"/>
            </w:tcBorders>
            <w:shd w:val="clear" w:color="auto" w:fill="FFFFFF"/>
          </w:tcPr>
          <w:p w14:paraId="299BA97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Total</w:t>
            </w:r>
          </w:p>
        </w:tc>
        <w:tc>
          <w:tcPr>
            <w:tcW w:w="0" w:type="auto"/>
            <w:tcBorders>
              <w:top w:val="nil"/>
              <w:bottom w:val="nil"/>
            </w:tcBorders>
            <w:shd w:val="clear" w:color="auto" w:fill="FFFFFF"/>
          </w:tcPr>
          <w:p w14:paraId="53C1909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130</w:t>
            </w:r>
          </w:p>
        </w:tc>
        <w:tc>
          <w:tcPr>
            <w:tcW w:w="0" w:type="auto"/>
            <w:tcBorders>
              <w:top w:val="nil"/>
              <w:bottom w:val="nil"/>
            </w:tcBorders>
            <w:shd w:val="clear" w:color="auto" w:fill="FFFFFF"/>
          </w:tcPr>
          <w:p w14:paraId="43D53145"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(100.0)</w:t>
            </w:r>
          </w:p>
        </w:tc>
      </w:tr>
      <w:tr w:rsidR="00E67962" w:rsidRPr="00E67962" w14:paraId="08BD0729" w14:textId="77777777" w:rsidTr="007A2E44">
        <w:trPr>
          <w:cantSplit/>
        </w:trPr>
        <w:tc>
          <w:tcPr>
            <w:tcW w:w="0" w:type="auto"/>
            <w:vMerge w:val="restart"/>
            <w:tcBorders>
              <w:top w:val="nil"/>
              <w:bottom w:val="nil"/>
            </w:tcBorders>
            <w:shd w:val="clear" w:color="auto" w:fill="FFFFFF"/>
          </w:tcPr>
          <w:p w14:paraId="1CE760F4"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HbA1c &lt; 7%, 5% weight loss and LDL &lt; 2.5 mmol/L</w:t>
            </w:r>
          </w:p>
        </w:tc>
        <w:tc>
          <w:tcPr>
            <w:tcW w:w="0" w:type="auto"/>
            <w:tcBorders>
              <w:top w:val="nil"/>
              <w:bottom w:val="nil"/>
            </w:tcBorders>
            <w:shd w:val="clear" w:color="auto" w:fill="FFFFFF"/>
          </w:tcPr>
          <w:p w14:paraId="737F26A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No</w:t>
            </w:r>
          </w:p>
        </w:tc>
        <w:tc>
          <w:tcPr>
            <w:tcW w:w="0" w:type="auto"/>
            <w:tcBorders>
              <w:top w:val="nil"/>
              <w:bottom w:val="nil"/>
            </w:tcBorders>
            <w:shd w:val="clear" w:color="auto" w:fill="FFFFFF"/>
          </w:tcPr>
          <w:p w14:paraId="6FFB202C"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72</w:t>
            </w:r>
          </w:p>
        </w:tc>
        <w:tc>
          <w:tcPr>
            <w:tcW w:w="0" w:type="auto"/>
            <w:tcBorders>
              <w:top w:val="nil"/>
              <w:bottom w:val="nil"/>
            </w:tcBorders>
            <w:shd w:val="clear" w:color="auto" w:fill="FFFFFF"/>
          </w:tcPr>
          <w:p w14:paraId="100E1EB7"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(81.8)</w:t>
            </w:r>
          </w:p>
        </w:tc>
      </w:tr>
      <w:tr w:rsidR="00E67962" w:rsidRPr="00E67962" w14:paraId="0CA49354" w14:textId="77777777" w:rsidTr="007A2E44">
        <w:trPr>
          <w:cantSplit/>
        </w:trPr>
        <w:tc>
          <w:tcPr>
            <w:tcW w:w="0" w:type="auto"/>
            <w:vMerge/>
            <w:tcBorders>
              <w:top w:val="nil"/>
              <w:bottom w:val="nil"/>
            </w:tcBorders>
            <w:shd w:val="clear" w:color="auto" w:fill="FFFFFF"/>
          </w:tcPr>
          <w:p w14:paraId="56C8579B" w14:textId="77777777" w:rsidR="007A2E44" w:rsidRPr="004541C8" w:rsidRDefault="007A2E44">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FFFFFF"/>
          </w:tcPr>
          <w:p w14:paraId="5ED5B97C"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FFFFFF"/>
          </w:tcPr>
          <w:p w14:paraId="4839C4A1"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16</w:t>
            </w:r>
          </w:p>
        </w:tc>
        <w:tc>
          <w:tcPr>
            <w:tcW w:w="0" w:type="auto"/>
            <w:tcBorders>
              <w:top w:val="nil"/>
              <w:bottom w:val="nil"/>
            </w:tcBorders>
            <w:shd w:val="clear" w:color="auto" w:fill="FFFFFF"/>
          </w:tcPr>
          <w:p w14:paraId="6B39349E"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(18.2)</w:t>
            </w:r>
          </w:p>
        </w:tc>
      </w:tr>
      <w:tr w:rsidR="00E67962" w:rsidRPr="00E67962" w14:paraId="38901D51" w14:textId="77777777" w:rsidTr="007A2E44">
        <w:trPr>
          <w:cantSplit/>
        </w:trPr>
        <w:tc>
          <w:tcPr>
            <w:tcW w:w="0" w:type="auto"/>
            <w:gridSpan w:val="2"/>
            <w:tcBorders>
              <w:top w:val="nil"/>
              <w:bottom w:val="single" w:sz="4" w:space="0" w:color="000000"/>
            </w:tcBorders>
            <w:shd w:val="clear" w:color="auto" w:fill="FFFFFF"/>
          </w:tcPr>
          <w:p w14:paraId="20B4AFC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Total</w:t>
            </w:r>
          </w:p>
        </w:tc>
        <w:tc>
          <w:tcPr>
            <w:tcW w:w="0" w:type="auto"/>
            <w:tcBorders>
              <w:top w:val="nil"/>
              <w:bottom w:val="single" w:sz="4" w:space="0" w:color="000000"/>
            </w:tcBorders>
            <w:shd w:val="clear" w:color="auto" w:fill="FFFFFF"/>
          </w:tcPr>
          <w:p w14:paraId="4EC8D404"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88</w:t>
            </w:r>
          </w:p>
        </w:tc>
        <w:tc>
          <w:tcPr>
            <w:tcW w:w="0" w:type="auto"/>
            <w:tcBorders>
              <w:top w:val="nil"/>
              <w:bottom w:val="single" w:sz="4" w:space="0" w:color="000000"/>
            </w:tcBorders>
            <w:shd w:val="clear" w:color="auto" w:fill="FFFFFF"/>
          </w:tcPr>
          <w:p w14:paraId="097A6C0E"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(100.0)</w:t>
            </w:r>
          </w:p>
        </w:tc>
      </w:tr>
    </w:tbl>
    <w:p w14:paraId="0BC18A2A" w14:textId="77777777" w:rsidR="007A2E44" w:rsidRPr="004541C8" w:rsidRDefault="007A2E44" w:rsidP="004541C8">
      <w:pPr>
        <w:snapToGrid w:val="0"/>
        <w:spacing w:line="360" w:lineRule="auto"/>
        <w:jc w:val="both"/>
        <w:rPr>
          <w:rFonts w:ascii="Book Antiqua" w:hAnsi="Book Antiqua"/>
          <w:color w:val="000000" w:themeColor="text1"/>
        </w:rPr>
      </w:pPr>
      <w:r w:rsidRPr="004541C8">
        <w:rPr>
          <w:rFonts w:ascii="Book Antiqua" w:eastAsia="Book Antiqua" w:hAnsi="Book Antiqua" w:cs="Book Antiqua"/>
          <w:color w:val="000000" w:themeColor="text1"/>
        </w:rPr>
        <w:t xml:space="preserve">HbA1c: Hemoglobin </w:t>
      </w:r>
      <w:proofErr w:type="gramStart"/>
      <w:r w:rsidRPr="004541C8">
        <w:rPr>
          <w:rFonts w:ascii="Book Antiqua" w:eastAsia="Book Antiqua" w:hAnsi="Book Antiqua" w:cs="Book Antiqua"/>
          <w:color w:val="000000" w:themeColor="text1"/>
        </w:rPr>
        <w:t>A1c</w:t>
      </w:r>
      <w:proofErr w:type="gramEnd"/>
      <w:r w:rsidRPr="004541C8">
        <w:rPr>
          <w:rFonts w:ascii="Book Antiqua" w:eastAsia="Book Antiqua" w:hAnsi="Book Antiqua" w:cs="Book Antiqua"/>
          <w:color w:val="000000" w:themeColor="text1"/>
        </w:rPr>
        <w:t xml:space="preserve">; </w:t>
      </w:r>
      <w:r w:rsidRPr="004541C8">
        <w:rPr>
          <w:rFonts w:ascii="Book Antiqua" w:hAnsi="Book Antiqua"/>
          <w:color w:val="000000" w:themeColor="text1"/>
        </w:rPr>
        <w:t>LDL: Low-density lipoprotein cholesterol.</w:t>
      </w:r>
    </w:p>
    <w:sectPr w:rsidR="007A2E44" w:rsidRPr="004541C8" w:rsidSect="00AB6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8DD74" w14:textId="77777777" w:rsidR="00EB08B6" w:rsidRDefault="00EB08B6" w:rsidP="00120FFB">
      <w:r>
        <w:separator/>
      </w:r>
    </w:p>
  </w:endnote>
  <w:endnote w:type="continuationSeparator" w:id="0">
    <w:p w14:paraId="47A396BA" w14:textId="77777777" w:rsidR="00EB08B6" w:rsidRDefault="00EB08B6" w:rsidP="0012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18256"/>
      <w:docPartObj>
        <w:docPartGallery w:val="Page Numbers (Bottom of Page)"/>
        <w:docPartUnique/>
      </w:docPartObj>
    </w:sdtPr>
    <w:sdtEndPr>
      <w:rPr>
        <w:noProof/>
      </w:rPr>
    </w:sdtEndPr>
    <w:sdtContent>
      <w:p w14:paraId="2E992FA9" w14:textId="0A5A4F51" w:rsidR="00F93C47" w:rsidRDefault="00F93C47">
        <w:pPr>
          <w:pStyle w:val="a9"/>
          <w:jc w:val="right"/>
        </w:pPr>
        <w:r w:rsidRPr="004541C8">
          <w:rPr>
            <w:rFonts w:ascii="Book Antiqua" w:hAnsi="Book Antiqua"/>
            <w:sz w:val="24"/>
            <w:szCs w:val="24"/>
          </w:rPr>
          <w:fldChar w:fldCharType="begin"/>
        </w:r>
        <w:r w:rsidRPr="004541C8">
          <w:rPr>
            <w:rFonts w:ascii="Book Antiqua" w:hAnsi="Book Antiqua"/>
            <w:sz w:val="24"/>
            <w:szCs w:val="24"/>
          </w:rPr>
          <w:instrText xml:space="preserve"> PAGE   \* MERGEFORMAT </w:instrText>
        </w:r>
        <w:r w:rsidRPr="004541C8">
          <w:rPr>
            <w:rFonts w:ascii="Book Antiqua" w:hAnsi="Book Antiqua"/>
            <w:sz w:val="24"/>
            <w:szCs w:val="24"/>
          </w:rPr>
          <w:fldChar w:fldCharType="separate"/>
        </w:r>
        <w:r w:rsidR="00D60F0A">
          <w:rPr>
            <w:rFonts w:ascii="Book Antiqua" w:hAnsi="Book Antiqua"/>
            <w:noProof/>
            <w:sz w:val="24"/>
            <w:szCs w:val="24"/>
          </w:rPr>
          <w:t>34</w:t>
        </w:r>
        <w:r w:rsidRPr="004541C8">
          <w:rPr>
            <w:rFonts w:ascii="Book Antiqua" w:hAnsi="Book Antiqua"/>
            <w:noProof/>
            <w:sz w:val="24"/>
            <w:szCs w:val="24"/>
          </w:rPr>
          <w:fldChar w:fldCharType="end"/>
        </w:r>
        <w:r>
          <w:rPr>
            <w:rFonts w:ascii="Book Antiqua" w:hAnsi="Book Antiqua"/>
            <w:noProof/>
            <w:sz w:val="24"/>
            <w:szCs w:val="24"/>
          </w:rPr>
          <w:t xml:space="preserve"> </w:t>
        </w:r>
        <w:r w:rsidRPr="004541C8">
          <w:rPr>
            <w:rFonts w:ascii="Book Antiqua" w:hAnsi="Book Antiqua"/>
            <w:noProof/>
            <w:sz w:val="24"/>
            <w:szCs w:val="24"/>
          </w:rPr>
          <w:t>/</w:t>
        </w:r>
        <w:r>
          <w:rPr>
            <w:rFonts w:ascii="Book Antiqua" w:hAnsi="Book Antiqua"/>
            <w:noProof/>
            <w:sz w:val="24"/>
            <w:szCs w:val="24"/>
          </w:rPr>
          <w:t xml:space="preserve"> </w:t>
        </w:r>
        <w:r w:rsidRPr="004541C8">
          <w:rPr>
            <w:rFonts w:ascii="Book Antiqua" w:hAnsi="Book Antiqua"/>
            <w:noProof/>
            <w:sz w:val="24"/>
            <w:szCs w:val="24"/>
          </w:rPr>
          <w:t>33</w:t>
        </w:r>
      </w:p>
    </w:sdtContent>
  </w:sdt>
  <w:p w14:paraId="277749FE" w14:textId="77777777" w:rsidR="00F93C47" w:rsidRDefault="00F93C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3A09" w14:textId="77777777" w:rsidR="00EB08B6" w:rsidRDefault="00EB08B6" w:rsidP="00120FFB">
      <w:r>
        <w:separator/>
      </w:r>
    </w:p>
  </w:footnote>
  <w:footnote w:type="continuationSeparator" w:id="0">
    <w:p w14:paraId="6B5A4184" w14:textId="77777777" w:rsidR="00EB08B6" w:rsidRDefault="00EB08B6" w:rsidP="0012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34FF"/>
    <w:multiLevelType w:val="multilevel"/>
    <w:tmpl w:val="C94AD148"/>
    <w:lvl w:ilvl="0">
      <w:start w:val="100"/>
      <w:numFmt w:val="decimal"/>
      <w:lvlText w:val="%1.0"/>
      <w:lvlJc w:val="left"/>
      <w:pPr>
        <w:ind w:left="492" w:hanging="492"/>
      </w:pPr>
      <w:rPr>
        <w:rFonts w:eastAsia="Calibri"/>
        <w:sz w:val="22"/>
      </w:rPr>
    </w:lvl>
    <w:lvl w:ilvl="1">
      <w:start w:val="1"/>
      <w:numFmt w:val="decimal"/>
      <w:lvlText w:val="%1.%2"/>
      <w:lvlJc w:val="left"/>
      <w:pPr>
        <w:ind w:left="1200" w:hanging="492"/>
      </w:pPr>
      <w:rPr>
        <w:rFonts w:eastAsia="Calibri"/>
      </w:rPr>
    </w:lvl>
    <w:lvl w:ilvl="2">
      <w:start w:val="1"/>
      <w:numFmt w:val="decimal"/>
      <w:lvlText w:val="%1.%2.%3"/>
      <w:lvlJc w:val="left"/>
      <w:pPr>
        <w:ind w:left="2136" w:hanging="720"/>
      </w:pPr>
      <w:rPr>
        <w:rFonts w:eastAsia="Calibri"/>
      </w:rPr>
    </w:lvl>
    <w:lvl w:ilvl="3">
      <w:start w:val="1"/>
      <w:numFmt w:val="decimal"/>
      <w:lvlText w:val="%1.%2.%3.%4"/>
      <w:lvlJc w:val="left"/>
      <w:pPr>
        <w:ind w:left="2844" w:hanging="720"/>
      </w:pPr>
      <w:rPr>
        <w:rFonts w:eastAsia="Calibri"/>
      </w:rPr>
    </w:lvl>
    <w:lvl w:ilvl="4">
      <w:start w:val="1"/>
      <w:numFmt w:val="decimal"/>
      <w:lvlText w:val="%1.%2.%3.%4.%5"/>
      <w:lvlJc w:val="left"/>
      <w:pPr>
        <w:ind w:left="3912" w:hanging="1080"/>
      </w:pPr>
      <w:rPr>
        <w:rFonts w:eastAsia="Calibri"/>
      </w:rPr>
    </w:lvl>
    <w:lvl w:ilvl="5">
      <w:start w:val="1"/>
      <w:numFmt w:val="decimal"/>
      <w:lvlText w:val="%1.%2.%3.%4.%5.%6"/>
      <w:lvlJc w:val="left"/>
      <w:pPr>
        <w:ind w:left="4620" w:hanging="1080"/>
      </w:pPr>
      <w:rPr>
        <w:rFonts w:eastAsia="Calibri"/>
      </w:rPr>
    </w:lvl>
    <w:lvl w:ilvl="6">
      <w:start w:val="1"/>
      <w:numFmt w:val="decimal"/>
      <w:lvlText w:val="%1.%2.%3.%4.%5.%6.%7"/>
      <w:lvlJc w:val="left"/>
      <w:pPr>
        <w:ind w:left="5688" w:hanging="1440"/>
      </w:pPr>
      <w:rPr>
        <w:rFonts w:eastAsia="Calibri"/>
      </w:rPr>
    </w:lvl>
    <w:lvl w:ilvl="7">
      <w:start w:val="1"/>
      <w:numFmt w:val="decimal"/>
      <w:lvlText w:val="%1.%2.%3.%4.%5.%6.%7.%8"/>
      <w:lvlJc w:val="left"/>
      <w:pPr>
        <w:ind w:left="6396" w:hanging="1440"/>
      </w:pPr>
      <w:rPr>
        <w:rFonts w:eastAsia="Calibri"/>
      </w:rPr>
    </w:lvl>
    <w:lvl w:ilvl="8">
      <w:start w:val="1"/>
      <w:numFmt w:val="decimal"/>
      <w:lvlText w:val="%1.%2.%3.%4.%5.%6.%7.%8.%9"/>
      <w:lvlJc w:val="left"/>
      <w:pPr>
        <w:ind w:left="7104" w:hanging="1440"/>
      </w:pPr>
      <w:rPr>
        <w:rFonts w:eastAsia="Calibr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ECE"/>
    <w:rsid w:val="00010623"/>
    <w:rsid w:val="00017D80"/>
    <w:rsid w:val="000229A5"/>
    <w:rsid w:val="00035B5A"/>
    <w:rsid w:val="000B4A11"/>
    <w:rsid w:val="000D74D8"/>
    <w:rsid w:val="00120365"/>
    <w:rsid w:val="00120FFB"/>
    <w:rsid w:val="00140CF0"/>
    <w:rsid w:val="001C08ED"/>
    <w:rsid w:val="00207F47"/>
    <w:rsid w:val="002425A7"/>
    <w:rsid w:val="002532CE"/>
    <w:rsid w:val="003032EE"/>
    <w:rsid w:val="003508AB"/>
    <w:rsid w:val="00396F77"/>
    <w:rsid w:val="003B0A70"/>
    <w:rsid w:val="003E424B"/>
    <w:rsid w:val="003F6B6A"/>
    <w:rsid w:val="00411268"/>
    <w:rsid w:val="004541C8"/>
    <w:rsid w:val="004814D6"/>
    <w:rsid w:val="00504272"/>
    <w:rsid w:val="00521E5F"/>
    <w:rsid w:val="005D7D49"/>
    <w:rsid w:val="005F26DC"/>
    <w:rsid w:val="006064D9"/>
    <w:rsid w:val="006263BC"/>
    <w:rsid w:val="0069232C"/>
    <w:rsid w:val="006948F2"/>
    <w:rsid w:val="007079B4"/>
    <w:rsid w:val="00712681"/>
    <w:rsid w:val="00716E0D"/>
    <w:rsid w:val="007374E1"/>
    <w:rsid w:val="00792C6C"/>
    <w:rsid w:val="007A2E44"/>
    <w:rsid w:val="007A448A"/>
    <w:rsid w:val="007D0743"/>
    <w:rsid w:val="007D32F2"/>
    <w:rsid w:val="007F2BD5"/>
    <w:rsid w:val="00802268"/>
    <w:rsid w:val="00833730"/>
    <w:rsid w:val="00843415"/>
    <w:rsid w:val="00844999"/>
    <w:rsid w:val="00852E8A"/>
    <w:rsid w:val="00876FA9"/>
    <w:rsid w:val="008A2EDA"/>
    <w:rsid w:val="008B3458"/>
    <w:rsid w:val="008F4ED0"/>
    <w:rsid w:val="00905F8C"/>
    <w:rsid w:val="009827FE"/>
    <w:rsid w:val="009A4518"/>
    <w:rsid w:val="009A7BF9"/>
    <w:rsid w:val="009B16D9"/>
    <w:rsid w:val="009F1044"/>
    <w:rsid w:val="009F6C60"/>
    <w:rsid w:val="00A07FE5"/>
    <w:rsid w:val="00A66E07"/>
    <w:rsid w:val="00A77B3E"/>
    <w:rsid w:val="00AA281C"/>
    <w:rsid w:val="00AA7DC4"/>
    <w:rsid w:val="00AB6FCB"/>
    <w:rsid w:val="00AC1706"/>
    <w:rsid w:val="00B3262E"/>
    <w:rsid w:val="00B33F39"/>
    <w:rsid w:val="00B51EE1"/>
    <w:rsid w:val="00B73981"/>
    <w:rsid w:val="00BA4CBC"/>
    <w:rsid w:val="00C01D52"/>
    <w:rsid w:val="00C2440C"/>
    <w:rsid w:val="00C3386C"/>
    <w:rsid w:val="00C6711A"/>
    <w:rsid w:val="00C90A7B"/>
    <w:rsid w:val="00C930BB"/>
    <w:rsid w:val="00CA2A55"/>
    <w:rsid w:val="00CA36D0"/>
    <w:rsid w:val="00D52919"/>
    <w:rsid w:val="00D60F0A"/>
    <w:rsid w:val="00D71EBC"/>
    <w:rsid w:val="00DC18E5"/>
    <w:rsid w:val="00DE6655"/>
    <w:rsid w:val="00DF4F4C"/>
    <w:rsid w:val="00E261F4"/>
    <w:rsid w:val="00E3013E"/>
    <w:rsid w:val="00E65DC2"/>
    <w:rsid w:val="00E67962"/>
    <w:rsid w:val="00E7638F"/>
    <w:rsid w:val="00E9405E"/>
    <w:rsid w:val="00EB08B6"/>
    <w:rsid w:val="00EB6204"/>
    <w:rsid w:val="00EC3C1C"/>
    <w:rsid w:val="00F209C0"/>
    <w:rsid w:val="00F32AC0"/>
    <w:rsid w:val="00F7713A"/>
    <w:rsid w:val="00F85497"/>
    <w:rsid w:val="00F93C47"/>
    <w:rsid w:val="00FB2929"/>
    <w:rsid w:val="00FD317D"/>
    <w:rsid w:val="00FE0B43"/>
    <w:rsid w:val="00FE67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52E8A"/>
    <w:rPr>
      <w:sz w:val="18"/>
      <w:szCs w:val="18"/>
    </w:rPr>
  </w:style>
  <w:style w:type="character" w:customStyle="1" w:styleId="Char">
    <w:name w:val="批注框文本 Char"/>
    <w:basedOn w:val="a0"/>
    <w:link w:val="a3"/>
    <w:rsid w:val="00852E8A"/>
    <w:rPr>
      <w:sz w:val="18"/>
      <w:szCs w:val="18"/>
    </w:rPr>
  </w:style>
  <w:style w:type="character" w:styleId="a4">
    <w:name w:val="annotation reference"/>
    <w:basedOn w:val="a0"/>
    <w:semiHidden/>
    <w:unhideWhenUsed/>
    <w:rsid w:val="00EB6204"/>
    <w:rPr>
      <w:sz w:val="21"/>
      <w:szCs w:val="21"/>
    </w:rPr>
  </w:style>
  <w:style w:type="paragraph" w:styleId="a5">
    <w:name w:val="annotation text"/>
    <w:basedOn w:val="a"/>
    <w:link w:val="Char0"/>
    <w:semiHidden/>
    <w:unhideWhenUsed/>
    <w:rsid w:val="00EB6204"/>
  </w:style>
  <w:style w:type="character" w:customStyle="1" w:styleId="Char0">
    <w:name w:val="批注文字 Char"/>
    <w:basedOn w:val="a0"/>
    <w:link w:val="a5"/>
    <w:semiHidden/>
    <w:rsid w:val="00EB6204"/>
    <w:rPr>
      <w:sz w:val="24"/>
      <w:szCs w:val="24"/>
    </w:rPr>
  </w:style>
  <w:style w:type="paragraph" w:styleId="a6">
    <w:name w:val="annotation subject"/>
    <w:basedOn w:val="a5"/>
    <w:next w:val="a5"/>
    <w:link w:val="Char1"/>
    <w:semiHidden/>
    <w:unhideWhenUsed/>
    <w:rsid w:val="00EB6204"/>
    <w:rPr>
      <w:b/>
      <w:bCs/>
    </w:rPr>
  </w:style>
  <w:style w:type="character" w:customStyle="1" w:styleId="Char1">
    <w:name w:val="批注主题 Char"/>
    <w:basedOn w:val="Char0"/>
    <w:link w:val="a6"/>
    <w:semiHidden/>
    <w:rsid w:val="00EB6204"/>
    <w:rPr>
      <w:b/>
      <w:bCs/>
      <w:sz w:val="24"/>
      <w:szCs w:val="24"/>
    </w:rPr>
  </w:style>
  <w:style w:type="paragraph" w:styleId="a7">
    <w:name w:val="Normal (Web)"/>
    <w:basedOn w:val="a"/>
    <w:uiPriority w:val="99"/>
    <w:qFormat/>
    <w:rsid w:val="00007ECE"/>
    <w:pPr>
      <w:spacing w:before="280" w:after="280"/>
    </w:pPr>
    <w:rPr>
      <w:rFonts w:eastAsia="Times New Roman"/>
      <w:lang w:eastAsia="zh-CN"/>
    </w:rPr>
  </w:style>
  <w:style w:type="paragraph" w:styleId="a8">
    <w:name w:val="header"/>
    <w:basedOn w:val="a"/>
    <w:link w:val="Char2"/>
    <w:unhideWhenUsed/>
    <w:rsid w:val="00120F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120FFB"/>
    <w:rPr>
      <w:sz w:val="18"/>
      <w:szCs w:val="18"/>
    </w:rPr>
  </w:style>
  <w:style w:type="paragraph" w:styleId="a9">
    <w:name w:val="footer"/>
    <w:basedOn w:val="a"/>
    <w:link w:val="Char3"/>
    <w:uiPriority w:val="99"/>
    <w:unhideWhenUsed/>
    <w:rsid w:val="00120FFB"/>
    <w:pPr>
      <w:tabs>
        <w:tab w:val="center" w:pos="4153"/>
        <w:tab w:val="right" w:pos="8306"/>
      </w:tabs>
      <w:snapToGrid w:val="0"/>
    </w:pPr>
    <w:rPr>
      <w:sz w:val="18"/>
      <w:szCs w:val="18"/>
    </w:rPr>
  </w:style>
  <w:style w:type="character" w:customStyle="1" w:styleId="Char3">
    <w:name w:val="页脚 Char"/>
    <w:basedOn w:val="a0"/>
    <w:link w:val="a9"/>
    <w:uiPriority w:val="99"/>
    <w:rsid w:val="00120FFB"/>
    <w:rPr>
      <w:sz w:val="18"/>
      <w:szCs w:val="18"/>
    </w:rPr>
  </w:style>
  <w:style w:type="character" w:styleId="aa">
    <w:name w:val="Hyperlink"/>
    <w:basedOn w:val="a0"/>
    <w:unhideWhenUsed/>
    <w:rsid w:val="00D60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52E8A"/>
    <w:rPr>
      <w:sz w:val="18"/>
      <w:szCs w:val="18"/>
    </w:rPr>
  </w:style>
  <w:style w:type="character" w:customStyle="1" w:styleId="Char">
    <w:name w:val="批注框文本 Char"/>
    <w:basedOn w:val="a0"/>
    <w:link w:val="a3"/>
    <w:rsid w:val="00852E8A"/>
    <w:rPr>
      <w:sz w:val="18"/>
      <w:szCs w:val="18"/>
    </w:rPr>
  </w:style>
  <w:style w:type="character" w:styleId="a4">
    <w:name w:val="annotation reference"/>
    <w:basedOn w:val="a0"/>
    <w:semiHidden/>
    <w:unhideWhenUsed/>
    <w:rsid w:val="00EB6204"/>
    <w:rPr>
      <w:sz w:val="21"/>
      <w:szCs w:val="21"/>
    </w:rPr>
  </w:style>
  <w:style w:type="paragraph" w:styleId="a5">
    <w:name w:val="annotation text"/>
    <w:basedOn w:val="a"/>
    <w:link w:val="Char0"/>
    <w:semiHidden/>
    <w:unhideWhenUsed/>
    <w:rsid w:val="00EB6204"/>
  </w:style>
  <w:style w:type="character" w:customStyle="1" w:styleId="Char0">
    <w:name w:val="批注文字 Char"/>
    <w:basedOn w:val="a0"/>
    <w:link w:val="a5"/>
    <w:semiHidden/>
    <w:rsid w:val="00EB6204"/>
    <w:rPr>
      <w:sz w:val="24"/>
      <w:szCs w:val="24"/>
    </w:rPr>
  </w:style>
  <w:style w:type="paragraph" w:styleId="a6">
    <w:name w:val="annotation subject"/>
    <w:basedOn w:val="a5"/>
    <w:next w:val="a5"/>
    <w:link w:val="Char1"/>
    <w:semiHidden/>
    <w:unhideWhenUsed/>
    <w:rsid w:val="00EB6204"/>
    <w:rPr>
      <w:b/>
      <w:bCs/>
    </w:rPr>
  </w:style>
  <w:style w:type="character" w:customStyle="1" w:styleId="Char1">
    <w:name w:val="批注主题 Char"/>
    <w:basedOn w:val="Char0"/>
    <w:link w:val="a6"/>
    <w:semiHidden/>
    <w:rsid w:val="00EB6204"/>
    <w:rPr>
      <w:b/>
      <w:bCs/>
      <w:sz w:val="24"/>
      <w:szCs w:val="24"/>
    </w:rPr>
  </w:style>
  <w:style w:type="paragraph" w:styleId="a7">
    <w:name w:val="Normal (Web)"/>
    <w:basedOn w:val="a"/>
    <w:uiPriority w:val="99"/>
    <w:qFormat/>
    <w:rsid w:val="00007ECE"/>
    <w:pPr>
      <w:spacing w:before="280" w:after="280"/>
    </w:pPr>
    <w:rPr>
      <w:rFonts w:eastAsia="Times New Roman"/>
      <w:lang w:eastAsia="zh-CN"/>
    </w:rPr>
  </w:style>
  <w:style w:type="paragraph" w:styleId="a8">
    <w:name w:val="header"/>
    <w:basedOn w:val="a"/>
    <w:link w:val="Char2"/>
    <w:unhideWhenUsed/>
    <w:rsid w:val="00120F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120FFB"/>
    <w:rPr>
      <w:sz w:val="18"/>
      <w:szCs w:val="18"/>
    </w:rPr>
  </w:style>
  <w:style w:type="paragraph" w:styleId="a9">
    <w:name w:val="footer"/>
    <w:basedOn w:val="a"/>
    <w:link w:val="Char3"/>
    <w:uiPriority w:val="99"/>
    <w:unhideWhenUsed/>
    <w:rsid w:val="00120FFB"/>
    <w:pPr>
      <w:tabs>
        <w:tab w:val="center" w:pos="4153"/>
        <w:tab w:val="right" w:pos="8306"/>
      </w:tabs>
      <w:snapToGrid w:val="0"/>
    </w:pPr>
    <w:rPr>
      <w:sz w:val="18"/>
      <w:szCs w:val="18"/>
    </w:rPr>
  </w:style>
  <w:style w:type="character" w:customStyle="1" w:styleId="Char3">
    <w:name w:val="页脚 Char"/>
    <w:basedOn w:val="a0"/>
    <w:link w:val="a9"/>
    <w:uiPriority w:val="99"/>
    <w:rsid w:val="00120FFB"/>
    <w:rPr>
      <w:sz w:val="18"/>
      <w:szCs w:val="18"/>
    </w:rPr>
  </w:style>
  <w:style w:type="character" w:styleId="aa">
    <w:name w:val="Hyperlink"/>
    <w:basedOn w:val="a0"/>
    <w:unhideWhenUsed/>
    <w:rsid w:val="00D60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1/i11/5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20</cp:revision>
  <dcterms:created xsi:type="dcterms:W3CDTF">2020-10-20T19:25:00Z</dcterms:created>
  <dcterms:modified xsi:type="dcterms:W3CDTF">2020-11-12T06:06:00Z</dcterms:modified>
</cp:coreProperties>
</file>