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DAC1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Name of Journal: </w:t>
      </w:r>
      <w:r w:rsidRPr="00CE29BF">
        <w:rPr>
          <w:rFonts w:ascii="Book Antiqua" w:eastAsia="Book Antiqua" w:hAnsi="Book Antiqua" w:cs="Book Antiqua"/>
          <w:i/>
          <w:color w:val="000000"/>
        </w:rPr>
        <w:t>World Journal of Clinical Cases</w:t>
      </w:r>
    </w:p>
    <w:p w14:paraId="2E4EF5F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Manuscript NO: </w:t>
      </w:r>
      <w:r w:rsidRPr="00CE29BF">
        <w:rPr>
          <w:rFonts w:ascii="Book Antiqua" w:eastAsia="Book Antiqua" w:hAnsi="Book Antiqua" w:cs="Book Antiqua"/>
          <w:color w:val="000000"/>
        </w:rPr>
        <w:t>58773</w:t>
      </w:r>
    </w:p>
    <w:p w14:paraId="263E22BA"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Manuscript Type: </w:t>
      </w:r>
      <w:r w:rsidRPr="00CE29BF">
        <w:rPr>
          <w:rFonts w:ascii="Book Antiqua" w:eastAsia="Book Antiqua" w:hAnsi="Book Antiqua" w:cs="Book Antiqua"/>
          <w:color w:val="000000"/>
        </w:rPr>
        <w:t>CASE REPORT</w:t>
      </w:r>
    </w:p>
    <w:p w14:paraId="38C6FCEE" w14:textId="77777777" w:rsidR="005A7788" w:rsidRPr="00CE29BF" w:rsidRDefault="005A7788">
      <w:pPr>
        <w:spacing w:line="360" w:lineRule="auto"/>
        <w:jc w:val="both"/>
        <w:rPr>
          <w:rFonts w:ascii="Book Antiqua" w:hAnsi="Book Antiqua" w:cs="Book Antiqua"/>
        </w:rPr>
      </w:pPr>
    </w:p>
    <w:p w14:paraId="44E21B9D"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Gonadal </w:t>
      </w:r>
      <w:r w:rsidR="00F802DE" w:rsidRPr="00CE29BF">
        <w:rPr>
          <w:rFonts w:ascii="Book Antiqua" w:eastAsia="Book Antiqua" w:hAnsi="Book Antiqua" w:cs="Book Antiqua"/>
          <w:b/>
          <w:color w:val="000000"/>
        </w:rPr>
        <w:t>d</w:t>
      </w:r>
      <w:r w:rsidRPr="00CE29BF">
        <w:rPr>
          <w:rFonts w:ascii="Book Antiqua" w:eastAsia="Book Antiqua" w:hAnsi="Book Antiqua" w:cs="Book Antiqua"/>
          <w:b/>
          <w:color w:val="000000"/>
        </w:rPr>
        <w:t xml:space="preserve">ysgenesis in Turner </w:t>
      </w:r>
      <w:r w:rsidR="00F802DE" w:rsidRPr="00CE29BF">
        <w:rPr>
          <w:rFonts w:ascii="Book Antiqua" w:eastAsia="Book Antiqua" w:hAnsi="Book Antiqua" w:cs="Book Antiqua"/>
          <w:b/>
          <w:color w:val="000000"/>
        </w:rPr>
        <w:t>s</w:t>
      </w:r>
      <w:r w:rsidRPr="00CE29BF">
        <w:rPr>
          <w:rFonts w:ascii="Book Antiqua" w:eastAsia="Book Antiqua" w:hAnsi="Book Antiqua" w:cs="Book Antiqua"/>
          <w:b/>
          <w:color w:val="000000"/>
        </w:rPr>
        <w:t xml:space="preserve">yndrome with Y-chromosome </w:t>
      </w:r>
      <w:r w:rsidR="00F802DE" w:rsidRPr="00CE29BF">
        <w:rPr>
          <w:rFonts w:ascii="Book Antiqua" w:eastAsia="Book Antiqua" w:hAnsi="Book Antiqua" w:cs="Book Antiqua"/>
          <w:b/>
          <w:color w:val="000000"/>
        </w:rPr>
        <w:t>m</w:t>
      </w:r>
      <w:r w:rsidRPr="00CE29BF">
        <w:rPr>
          <w:rFonts w:ascii="Book Antiqua" w:eastAsia="Book Antiqua" w:hAnsi="Book Antiqua" w:cs="Book Antiqua"/>
          <w:b/>
          <w:color w:val="000000"/>
        </w:rPr>
        <w:t xml:space="preserve">osaicism: </w:t>
      </w:r>
      <w:r w:rsidR="00DB6556" w:rsidRPr="00CE29BF">
        <w:rPr>
          <w:rFonts w:ascii="Book Antiqua" w:eastAsia="Book Antiqua" w:hAnsi="Book Antiqua" w:cs="Book Antiqua"/>
          <w:b/>
          <w:color w:val="000000"/>
        </w:rPr>
        <w:t xml:space="preserve">Two </w:t>
      </w:r>
      <w:r w:rsidRPr="00CE29BF">
        <w:rPr>
          <w:rFonts w:ascii="Book Antiqua" w:eastAsia="Book Antiqua" w:hAnsi="Book Antiqua" w:cs="Book Antiqua"/>
          <w:b/>
          <w:color w:val="000000"/>
        </w:rPr>
        <w:t>case report</w:t>
      </w:r>
      <w:r w:rsidR="00DB6556" w:rsidRPr="00CE29BF">
        <w:rPr>
          <w:rFonts w:ascii="Book Antiqua" w:eastAsia="Book Antiqua" w:hAnsi="Book Antiqua" w:cs="Book Antiqua"/>
          <w:b/>
          <w:color w:val="000000"/>
        </w:rPr>
        <w:t>s</w:t>
      </w:r>
    </w:p>
    <w:p w14:paraId="314A381E" w14:textId="77777777" w:rsidR="005A7788" w:rsidRPr="00CE29BF" w:rsidRDefault="005A7788">
      <w:pPr>
        <w:spacing w:line="360" w:lineRule="auto"/>
        <w:jc w:val="both"/>
        <w:rPr>
          <w:rFonts w:ascii="Book Antiqua" w:hAnsi="Book Antiqua" w:cs="Book Antiqua"/>
        </w:rPr>
      </w:pPr>
    </w:p>
    <w:p w14:paraId="0757A7D3" w14:textId="77777777" w:rsidR="005A7788" w:rsidRPr="00CE29BF" w:rsidRDefault="00F802DE">
      <w:pPr>
        <w:spacing w:line="360" w:lineRule="auto"/>
        <w:jc w:val="both"/>
        <w:rPr>
          <w:rFonts w:ascii="Book Antiqua" w:hAnsi="Book Antiqua" w:cs="Book Antiqua"/>
        </w:rPr>
      </w:pPr>
      <w:r w:rsidRPr="00CE29BF">
        <w:rPr>
          <w:rFonts w:ascii="Book Antiqua" w:eastAsia="Book Antiqua" w:hAnsi="Book Antiqua" w:cs="Book Antiqua"/>
          <w:color w:val="000000"/>
        </w:rPr>
        <w:t xml:space="preserve">Leng XF </w:t>
      </w:r>
      <w:r w:rsidRPr="00CE29BF">
        <w:rPr>
          <w:rFonts w:ascii="Book Antiqua" w:eastAsia="Book Antiqua" w:hAnsi="Book Antiqua" w:cs="Book Antiqua"/>
          <w:i/>
          <w:color w:val="000000"/>
        </w:rPr>
        <w:t>et al</w:t>
      </w:r>
      <w:r w:rsidRPr="00CE29BF">
        <w:rPr>
          <w:rFonts w:ascii="Book Antiqua" w:eastAsia="Book Antiqua" w:hAnsi="Book Antiqua" w:cs="Book Antiqua"/>
          <w:color w:val="000000"/>
        </w:rPr>
        <w:t xml:space="preserve">. </w:t>
      </w:r>
      <w:r w:rsidR="006866CF" w:rsidRPr="00CE29BF">
        <w:rPr>
          <w:rFonts w:ascii="Book Antiqua" w:eastAsia="Book Antiqua" w:hAnsi="Book Antiqua" w:cs="Book Antiqua"/>
          <w:color w:val="000000"/>
        </w:rPr>
        <w:t xml:space="preserve">Gonadal </w:t>
      </w:r>
      <w:r w:rsidRPr="00CE29BF">
        <w:rPr>
          <w:rFonts w:ascii="Book Antiqua" w:eastAsia="Book Antiqua" w:hAnsi="Book Antiqua" w:cs="Book Antiqua"/>
          <w:color w:val="000000"/>
        </w:rPr>
        <w:t>d</w:t>
      </w:r>
      <w:r w:rsidR="006866CF" w:rsidRPr="00CE29BF">
        <w:rPr>
          <w:rFonts w:ascii="Book Antiqua" w:eastAsia="Book Antiqua" w:hAnsi="Book Antiqua" w:cs="Book Antiqua"/>
          <w:color w:val="000000"/>
        </w:rPr>
        <w:t>ysgenesis in T</w:t>
      </w:r>
      <w:r w:rsidRPr="00CE29BF">
        <w:rPr>
          <w:rFonts w:ascii="Book Antiqua" w:eastAsiaTheme="minorEastAsia" w:hAnsi="Book Antiqua" w:cs="Book Antiqua"/>
          <w:color w:val="000000"/>
          <w:lang w:eastAsia="zh-CN"/>
        </w:rPr>
        <w:t>S</w:t>
      </w:r>
      <w:r w:rsidRPr="00CE29BF">
        <w:rPr>
          <w:rFonts w:ascii="Book Antiqua" w:eastAsia="Book Antiqua" w:hAnsi="Book Antiqua" w:cs="Book Antiqua"/>
          <w:color w:val="000000"/>
        </w:rPr>
        <w:t xml:space="preserve"> </w:t>
      </w:r>
      <w:r w:rsidR="006866CF" w:rsidRPr="00CE29BF">
        <w:rPr>
          <w:rFonts w:ascii="Book Antiqua" w:eastAsia="Book Antiqua" w:hAnsi="Book Antiqua" w:cs="Book Antiqua"/>
          <w:color w:val="000000"/>
        </w:rPr>
        <w:t xml:space="preserve">with Y-chromosome </w:t>
      </w:r>
      <w:r w:rsidRPr="00CE29BF">
        <w:rPr>
          <w:rFonts w:ascii="Book Antiqua" w:eastAsia="Book Antiqua" w:hAnsi="Book Antiqua" w:cs="Book Antiqua"/>
          <w:color w:val="000000"/>
        </w:rPr>
        <w:t>m</w:t>
      </w:r>
      <w:r w:rsidR="006866CF" w:rsidRPr="00CE29BF">
        <w:rPr>
          <w:rFonts w:ascii="Book Antiqua" w:eastAsia="Book Antiqua" w:hAnsi="Book Antiqua" w:cs="Book Antiqua"/>
          <w:color w:val="000000"/>
        </w:rPr>
        <w:t>osaicism</w:t>
      </w:r>
    </w:p>
    <w:p w14:paraId="48CE03B9" w14:textId="77777777" w:rsidR="005A7788" w:rsidRPr="00CE29BF" w:rsidRDefault="005A7788">
      <w:pPr>
        <w:spacing w:line="360" w:lineRule="auto"/>
        <w:jc w:val="both"/>
        <w:rPr>
          <w:rFonts w:ascii="Book Antiqua" w:hAnsi="Book Antiqua" w:cs="Book Antiqua"/>
        </w:rPr>
      </w:pPr>
    </w:p>
    <w:p w14:paraId="2271A14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Xue-Fei Leng, Ke Lei, Yi Li, Fei Tian, Qin Yao, Qing-Mei Zheng, Zhi-Hong Chen</w:t>
      </w:r>
    </w:p>
    <w:p w14:paraId="7C450F29" w14:textId="77777777" w:rsidR="005A7788" w:rsidRPr="00CE29BF" w:rsidRDefault="005A7788">
      <w:pPr>
        <w:spacing w:line="360" w:lineRule="auto"/>
        <w:jc w:val="both"/>
        <w:rPr>
          <w:rFonts w:ascii="Book Antiqua" w:hAnsi="Book Antiqua" w:cs="Book Antiqua"/>
        </w:rPr>
      </w:pPr>
    </w:p>
    <w:p w14:paraId="0063871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Xue-Fei Leng, Fei Tian, Zhi-Hong Chen, </w:t>
      </w:r>
      <w:r w:rsidR="002E0C15">
        <w:rPr>
          <w:rFonts w:ascii="Book Antiqua" w:eastAsia="Book Antiqua" w:hAnsi="Book Antiqua" w:cs="Book Antiqua"/>
          <w:color w:val="000000"/>
        </w:rPr>
        <w:t xml:space="preserve">Department of </w:t>
      </w:r>
      <w:r w:rsidRPr="00CE29BF">
        <w:rPr>
          <w:rFonts w:ascii="Book Antiqua" w:eastAsia="Book Antiqua" w:hAnsi="Book Antiqua" w:cs="Book Antiqua"/>
          <w:color w:val="000000"/>
        </w:rPr>
        <w:t>Pediatric Endocrinology, Affiliated Hospital of Medical College Qingdao University, Qingdao 266001, Shandong Province, China</w:t>
      </w:r>
    </w:p>
    <w:p w14:paraId="0542461D" w14:textId="77777777" w:rsidR="005A7788" w:rsidRPr="00CE29BF" w:rsidRDefault="005A7788">
      <w:pPr>
        <w:spacing w:line="360" w:lineRule="auto"/>
        <w:jc w:val="both"/>
        <w:rPr>
          <w:rFonts w:ascii="Book Antiqua" w:hAnsi="Book Antiqua" w:cs="Book Antiqua"/>
        </w:rPr>
      </w:pPr>
    </w:p>
    <w:p w14:paraId="5A888853"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Ke Lei, </w:t>
      </w:r>
      <w:r w:rsidR="002E0C15">
        <w:rPr>
          <w:rFonts w:ascii="Book Antiqua" w:eastAsia="Book Antiqua" w:hAnsi="Book Antiqua" w:cs="Book Antiqua"/>
          <w:color w:val="000000"/>
        </w:rPr>
        <w:t xml:space="preserve">Department of </w:t>
      </w:r>
      <w:r w:rsidRPr="00CE29BF">
        <w:rPr>
          <w:rFonts w:ascii="Book Antiqua" w:eastAsia="Book Antiqua" w:hAnsi="Book Antiqua" w:cs="Book Antiqua"/>
          <w:color w:val="000000"/>
        </w:rPr>
        <w:t>Laboratory Medicine, Affiliated Hospital of Medical College Qingdao University, Qingdao 266001, Shandong Province, China</w:t>
      </w:r>
    </w:p>
    <w:p w14:paraId="42E2AC6F" w14:textId="77777777" w:rsidR="005A7788" w:rsidRPr="00CE29BF" w:rsidRDefault="005A7788">
      <w:pPr>
        <w:spacing w:line="360" w:lineRule="auto"/>
        <w:jc w:val="both"/>
        <w:rPr>
          <w:rFonts w:ascii="Book Antiqua" w:hAnsi="Book Antiqua" w:cs="Book Antiqua"/>
        </w:rPr>
      </w:pPr>
    </w:p>
    <w:p w14:paraId="0CFDEE93"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Yi Li, </w:t>
      </w:r>
      <w:r w:rsidR="002E0C15">
        <w:rPr>
          <w:rFonts w:ascii="Book Antiqua" w:eastAsia="Book Antiqua" w:hAnsi="Book Antiqua" w:cs="Book Antiqua"/>
          <w:color w:val="000000"/>
        </w:rPr>
        <w:t xml:space="preserve">Department of </w:t>
      </w:r>
      <w:r w:rsidRPr="00CE29BF">
        <w:rPr>
          <w:rFonts w:ascii="Book Antiqua" w:eastAsia="Book Antiqua" w:hAnsi="Book Antiqua" w:cs="Book Antiqua"/>
          <w:color w:val="000000"/>
        </w:rPr>
        <w:t>Gastrointestinal Surgery, Affiliated Hospital of Medical College Qingdao University, Qingdao 266001, Shandong Province, China</w:t>
      </w:r>
    </w:p>
    <w:p w14:paraId="04B6457D" w14:textId="77777777" w:rsidR="005A7788" w:rsidRPr="00CE29BF" w:rsidRDefault="005A7788">
      <w:pPr>
        <w:spacing w:line="360" w:lineRule="auto"/>
        <w:jc w:val="both"/>
        <w:rPr>
          <w:rFonts w:ascii="Book Antiqua" w:hAnsi="Book Antiqua" w:cs="Book Antiqua"/>
        </w:rPr>
      </w:pPr>
    </w:p>
    <w:p w14:paraId="5F9475D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Qin Yao, Qing-Mei Zheng, </w:t>
      </w:r>
      <w:r w:rsidR="002E0C15">
        <w:rPr>
          <w:rFonts w:ascii="Book Antiqua" w:eastAsia="Book Antiqua" w:hAnsi="Book Antiqua" w:cs="Book Antiqua"/>
          <w:color w:val="000000"/>
        </w:rPr>
        <w:t xml:space="preserve">Department of </w:t>
      </w:r>
      <w:r w:rsidRPr="00CE29BF">
        <w:rPr>
          <w:rFonts w:ascii="Book Antiqua" w:eastAsia="Book Antiqua" w:hAnsi="Book Antiqua" w:cs="Book Antiqua"/>
          <w:color w:val="000000"/>
        </w:rPr>
        <w:t>Gynecology, Affiliated Hospital of Medical College Qingdao University, Qingdao 266001, Shandong Province, China</w:t>
      </w:r>
    </w:p>
    <w:p w14:paraId="5D79CA77" w14:textId="77777777" w:rsidR="005A7788" w:rsidRPr="00CE29BF" w:rsidRDefault="005A7788">
      <w:pPr>
        <w:spacing w:line="360" w:lineRule="auto"/>
        <w:jc w:val="both"/>
        <w:rPr>
          <w:rFonts w:ascii="Book Antiqua" w:hAnsi="Book Antiqua" w:cs="Book Antiqua"/>
        </w:rPr>
      </w:pPr>
    </w:p>
    <w:p w14:paraId="24591FC2" w14:textId="0B908CCF"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Author contributions: </w:t>
      </w:r>
      <w:r w:rsidRPr="00CE29BF">
        <w:rPr>
          <w:rFonts w:ascii="Book Antiqua" w:eastAsia="Book Antiqua" w:hAnsi="Book Antiqua" w:cs="Book Antiqua"/>
          <w:color w:val="000000"/>
        </w:rPr>
        <w:t>Each author has participated sufficiently in the research to take public responsibility for appropriate portions of the content; Chen ZH as the corresponding author, conceptualized and designed the study, reviewed and revised the manuscript,</w:t>
      </w:r>
      <w:r w:rsidRPr="00CE29BF">
        <w:rPr>
          <w:rFonts w:ascii="Book Antiqua" w:eastAsia="Book Antiqua" w:hAnsi="Book Antiqua" w:cs="Book Antiqua"/>
          <w:color w:val="000000"/>
          <w:shd w:val="clear" w:color="auto" w:fill="FFFFFF"/>
        </w:rPr>
        <w:t xml:space="preserve"> and will ensure that questions related to the accuracy or integrity of any part of this research will be appropriately investigated and resolved;</w:t>
      </w:r>
      <w:r w:rsidRPr="00CE29BF">
        <w:rPr>
          <w:rFonts w:ascii="Book Antiqua" w:eastAsia="Book Antiqua" w:hAnsi="Book Antiqua" w:cs="Book Antiqua"/>
          <w:color w:val="000000"/>
        </w:rPr>
        <w:t xml:space="preserve"> Leng XF </w:t>
      </w:r>
      <w:r w:rsidRPr="00CE29BF">
        <w:rPr>
          <w:rFonts w:ascii="Book Antiqua" w:eastAsia="Book Antiqua" w:hAnsi="Book Antiqua" w:cs="Book Antiqua"/>
          <w:color w:val="000000"/>
          <w:shd w:val="clear" w:color="auto" w:fill="FFFFFF"/>
        </w:rPr>
        <w:t xml:space="preserve">made </w:t>
      </w:r>
      <w:r w:rsidRPr="00CE29BF">
        <w:rPr>
          <w:rFonts w:ascii="Book Antiqua" w:eastAsia="Book Antiqua" w:hAnsi="Book Antiqua" w:cs="Book Antiqua"/>
          <w:color w:val="000000"/>
          <w:shd w:val="clear" w:color="auto" w:fill="FFFFFF"/>
        </w:rPr>
        <w:lastRenderedPageBreak/>
        <w:t xml:space="preserve">substantial contributions to the acquisition of data, </w:t>
      </w:r>
      <w:r w:rsidRPr="00CE29BF">
        <w:rPr>
          <w:rFonts w:ascii="Book Antiqua" w:eastAsia="Book Antiqua" w:hAnsi="Book Antiqua" w:cs="Book Antiqua"/>
          <w:color w:val="000000"/>
        </w:rPr>
        <w:t xml:space="preserve">conducted the initial analyses, and drafted the initial manuscript; Lei K helped to analyse the data, provided technical assistance, and </w:t>
      </w:r>
      <w:r w:rsidRPr="00CE29BF">
        <w:rPr>
          <w:rFonts w:ascii="Book Antiqua" w:eastAsia="Book Antiqua" w:hAnsi="Book Antiqua" w:cs="Book Antiqua"/>
          <w:color w:val="000000"/>
          <w:shd w:val="clear" w:color="auto" w:fill="FFFFFF"/>
        </w:rPr>
        <w:t>critically revise</w:t>
      </w:r>
      <w:r w:rsidR="00DB5039">
        <w:rPr>
          <w:rFonts w:ascii="Book Antiqua" w:eastAsia="Book Antiqua" w:hAnsi="Book Antiqua" w:cs="Book Antiqua"/>
          <w:color w:val="000000"/>
          <w:shd w:val="clear" w:color="auto" w:fill="FFFFFF"/>
        </w:rPr>
        <w:t>d</w:t>
      </w:r>
      <w:r w:rsidRPr="00CE29BF">
        <w:rPr>
          <w:rFonts w:ascii="Book Antiqua" w:eastAsia="Book Antiqua" w:hAnsi="Book Antiqua" w:cs="Book Antiqua"/>
          <w:color w:val="000000"/>
          <w:shd w:val="clear" w:color="auto" w:fill="FFFFFF"/>
        </w:rPr>
        <w:t xml:space="preserve"> the manuscript for important intellectual content</w:t>
      </w:r>
      <w:r w:rsidRPr="00CE29BF">
        <w:rPr>
          <w:rFonts w:ascii="Book Antiqua" w:eastAsia="Book Antiqua" w:hAnsi="Book Antiqua" w:cs="Book Antiqua"/>
          <w:color w:val="000000"/>
        </w:rPr>
        <w:t xml:space="preserve">; Li Y and Tian F helped to collect data, coordinated and supervised the data collection, and critically reviewed the manuscript for important intellectual content; Yao Q and Zheng QM provided data relating to surgeries and helped analyse the data with regard to surgeries and histopathology; </w:t>
      </w:r>
      <w:r w:rsidR="00C805F6" w:rsidRPr="00CE29BF">
        <w:rPr>
          <w:rFonts w:ascii="Book Antiqua" w:eastAsia="Book Antiqua" w:hAnsi="Book Antiqua" w:cs="Book Antiqua"/>
          <w:color w:val="000000"/>
        </w:rPr>
        <w:t>a</w:t>
      </w:r>
      <w:r w:rsidRPr="00CE29BF">
        <w:rPr>
          <w:rFonts w:ascii="Book Antiqua" w:eastAsia="Book Antiqua" w:hAnsi="Book Antiqua" w:cs="Book Antiqua"/>
          <w:color w:val="000000"/>
        </w:rPr>
        <w:t>ll authors read and approved the final manuscript.</w:t>
      </w:r>
    </w:p>
    <w:p w14:paraId="0A2417DE" w14:textId="77777777" w:rsidR="005A7788" w:rsidRPr="00CE29BF" w:rsidRDefault="005A7788">
      <w:pPr>
        <w:spacing w:line="360" w:lineRule="auto"/>
        <w:jc w:val="both"/>
        <w:rPr>
          <w:rFonts w:ascii="Book Antiqua" w:hAnsi="Book Antiqua" w:cs="Book Antiqua"/>
        </w:rPr>
      </w:pPr>
    </w:p>
    <w:p w14:paraId="25B45094" w14:textId="1B515E70"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Corresponding author: Zhi-Hong Chen, MD, Chief Doctor, </w:t>
      </w:r>
      <w:r w:rsidR="00AE2593">
        <w:rPr>
          <w:rFonts w:ascii="Book Antiqua" w:eastAsia="Book Antiqua" w:hAnsi="Book Antiqua" w:cs="Book Antiqua"/>
          <w:color w:val="000000"/>
        </w:rPr>
        <w:t>Department of</w:t>
      </w:r>
      <w:r w:rsidR="00AE2593" w:rsidRPr="00CE29BF">
        <w:rPr>
          <w:rFonts w:ascii="Book Antiqua" w:eastAsia="Book Antiqua" w:hAnsi="Book Antiqua" w:cs="Book Antiqua"/>
          <w:color w:val="000000"/>
        </w:rPr>
        <w:t xml:space="preserve"> </w:t>
      </w:r>
      <w:r w:rsidRPr="00CE29BF">
        <w:rPr>
          <w:rFonts w:ascii="Book Antiqua" w:eastAsia="Book Antiqua" w:hAnsi="Book Antiqua" w:cs="Book Antiqua"/>
          <w:color w:val="000000"/>
        </w:rPr>
        <w:t>Pediatric Endocrinology, Affiliated Hospital of Medical College Qingdao University, N</w:t>
      </w:r>
      <w:r w:rsidR="00FB3D6C" w:rsidRPr="00CE29BF">
        <w:rPr>
          <w:rFonts w:ascii="Book Antiqua" w:eastAsia="Book Antiqua" w:hAnsi="Book Antiqua" w:cs="Book Antiqua"/>
          <w:color w:val="000000"/>
        </w:rPr>
        <w:t>o</w:t>
      </w:r>
      <w:r w:rsidRPr="00CE29BF">
        <w:rPr>
          <w:rFonts w:ascii="Book Antiqua" w:eastAsia="Book Antiqua" w:hAnsi="Book Antiqua" w:cs="Book Antiqua"/>
          <w:color w:val="000000"/>
        </w:rPr>
        <w:t>.</w:t>
      </w:r>
      <w:r w:rsidR="00F802DE" w:rsidRPr="00CE29BF">
        <w:rPr>
          <w:rFonts w:ascii="Book Antiqua" w:eastAsia="Book Antiqua" w:hAnsi="Book Antiqua" w:cs="Book Antiqua"/>
          <w:color w:val="000000"/>
        </w:rPr>
        <w:t xml:space="preserve"> </w:t>
      </w:r>
      <w:r w:rsidRPr="00CE29BF">
        <w:rPr>
          <w:rFonts w:ascii="Book Antiqua" w:eastAsia="Book Antiqua" w:hAnsi="Book Antiqua" w:cs="Book Antiqua"/>
          <w:color w:val="000000"/>
        </w:rPr>
        <w:t>16 Jiangsu Road, Qingdao 266001, Shandong Province, China. qyczh123@163.com</w:t>
      </w:r>
    </w:p>
    <w:p w14:paraId="118408B2" w14:textId="77777777" w:rsidR="005A7788" w:rsidRPr="00CE29BF" w:rsidRDefault="005A7788">
      <w:pPr>
        <w:spacing w:line="360" w:lineRule="auto"/>
        <w:jc w:val="both"/>
        <w:rPr>
          <w:rFonts w:ascii="Book Antiqua" w:hAnsi="Book Antiqua" w:cs="Book Antiqua"/>
        </w:rPr>
      </w:pPr>
    </w:p>
    <w:p w14:paraId="114E60B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Received: </w:t>
      </w:r>
      <w:r w:rsidRPr="00CE29BF">
        <w:rPr>
          <w:rFonts w:ascii="Book Antiqua" w:eastAsia="Book Antiqua" w:hAnsi="Book Antiqua" w:cs="Book Antiqua"/>
          <w:color w:val="000000"/>
        </w:rPr>
        <w:t>August 6, 2020</w:t>
      </w:r>
    </w:p>
    <w:p w14:paraId="06E13456"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Revised: </w:t>
      </w:r>
      <w:r w:rsidRPr="00CE29BF">
        <w:rPr>
          <w:rFonts w:ascii="Book Antiqua" w:eastAsia="Book Antiqua" w:hAnsi="Book Antiqua" w:cs="Book Antiqua"/>
          <w:color w:val="000000"/>
        </w:rPr>
        <w:t>September 4, 2020</w:t>
      </w:r>
    </w:p>
    <w:p w14:paraId="08A17148" w14:textId="27583B35"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Accepted: </w:t>
      </w:r>
      <w:r w:rsidR="00515161" w:rsidRPr="00515161">
        <w:rPr>
          <w:rFonts w:ascii="Book Antiqua" w:eastAsia="Book Antiqua" w:hAnsi="Book Antiqua" w:cs="Book Antiqua"/>
          <w:color w:val="000000"/>
        </w:rPr>
        <w:t>September 18, 2020</w:t>
      </w:r>
    </w:p>
    <w:p w14:paraId="348386D0" w14:textId="79EAE729" w:rsidR="005A7788" w:rsidRPr="00391A0A" w:rsidRDefault="006866CF">
      <w:pPr>
        <w:spacing w:line="360" w:lineRule="auto"/>
        <w:jc w:val="both"/>
        <w:rPr>
          <w:rFonts w:ascii="Book Antiqua" w:eastAsiaTheme="minorEastAsia" w:hAnsi="Book Antiqua" w:cs="Book Antiqua"/>
          <w:lang w:eastAsia="zh-CN"/>
        </w:rPr>
      </w:pPr>
      <w:r w:rsidRPr="00CE29BF">
        <w:rPr>
          <w:rFonts w:ascii="Book Antiqua" w:eastAsia="Book Antiqua" w:hAnsi="Book Antiqua" w:cs="Book Antiqua"/>
          <w:b/>
          <w:bCs/>
          <w:color w:val="000000"/>
        </w:rPr>
        <w:t xml:space="preserve">Published online: </w:t>
      </w:r>
      <w:r w:rsidR="00391A0A" w:rsidRPr="00391A0A">
        <w:rPr>
          <w:rFonts w:ascii="Book Antiqua" w:eastAsiaTheme="minorEastAsia" w:hAnsi="Book Antiqua" w:cs="Book Antiqua" w:hint="eastAsia"/>
          <w:bCs/>
          <w:color w:val="000000"/>
          <w:lang w:eastAsia="zh-CN"/>
        </w:rPr>
        <w:t>November 26, 2020</w:t>
      </w:r>
    </w:p>
    <w:p w14:paraId="34D7A11F" w14:textId="77777777" w:rsidR="005A7788" w:rsidRPr="00CE29BF" w:rsidRDefault="005A7788">
      <w:pPr>
        <w:spacing w:line="360" w:lineRule="auto"/>
        <w:jc w:val="both"/>
        <w:rPr>
          <w:rFonts w:ascii="Book Antiqua" w:hAnsi="Book Antiqua" w:cs="Book Antiqua"/>
        </w:rPr>
        <w:sectPr w:rsidR="005A7788" w:rsidRPr="00CE29BF">
          <w:footerReference w:type="default" r:id="rId9"/>
          <w:pgSz w:w="12240" w:h="15840"/>
          <w:pgMar w:top="1440" w:right="1440" w:bottom="1440" w:left="1440" w:header="720" w:footer="720" w:gutter="0"/>
          <w:cols w:space="720"/>
          <w:docGrid w:linePitch="360"/>
        </w:sectPr>
      </w:pPr>
    </w:p>
    <w:p w14:paraId="4F4CE7A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Abstract</w:t>
      </w:r>
    </w:p>
    <w:p w14:paraId="545F866C"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BACKGROUND</w:t>
      </w:r>
    </w:p>
    <w:p w14:paraId="6FB4C32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Turner syndrome (TS) has a variety of different karyotypes, with a wide range of phenotypic features, but the specific karyotype may not always predict the phenotype. TS with Y chromosome mosaicism may have mixed gonadal dysgenesis, and the mosaicism is related to the potential for gonadoblastoma.</w:t>
      </w:r>
    </w:p>
    <w:p w14:paraId="04AEF0C2" w14:textId="77777777" w:rsidR="005A7788" w:rsidRPr="00CE29BF" w:rsidRDefault="005A7788">
      <w:pPr>
        <w:spacing w:line="360" w:lineRule="auto"/>
        <w:jc w:val="both"/>
        <w:rPr>
          <w:rFonts w:ascii="Book Antiqua" w:hAnsi="Book Antiqua" w:cs="Book Antiqua"/>
        </w:rPr>
      </w:pPr>
    </w:p>
    <w:p w14:paraId="4656EA43"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CASE SUMMARY</w:t>
      </w:r>
    </w:p>
    <w:p w14:paraId="0F65F77E"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 xml:space="preserve">In this case report, we report two cases of TS with different karyotypes and gonadal dysgenesis. Patient 1 had obvious virilization, and was positive for the </w:t>
      </w:r>
      <w:r w:rsidRPr="00C242D2">
        <w:rPr>
          <w:rFonts w:ascii="Book Antiqua" w:eastAsia="Book Antiqua" w:hAnsi="Book Antiqua" w:cs="Book Antiqua"/>
          <w:i/>
          <w:color w:val="000000"/>
        </w:rPr>
        <w:t>SRY</w:t>
      </w:r>
      <w:r w:rsidRPr="00CE29BF">
        <w:rPr>
          <w:rFonts w:ascii="Book Antiqua" w:eastAsia="Book Antiqua" w:hAnsi="Book Antiqua" w:cs="Book Antiqua"/>
          <w:color w:val="000000"/>
        </w:rPr>
        <w:t xml:space="preserve"> gene, but her karyotype in peripheral blood lymphocytes was 45X. Patient 2 had a mosaic karyotype, 45X/46X, dic (Y:Y) (p11.3:p11.2), and the proportion of Y-bearing cells was 50% in peripheral blood lymphocytes, but the patient had normal female external genitalia and streaky gonads, with no genital virilism. Different tissues in the same TS individual may exhibit different ratios of mosaicism. The gonadal determination and differentiation of mosaic TS are primarily dependent on the predominant cell line in the gonads. </w:t>
      </w:r>
    </w:p>
    <w:p w14:paraId="55D44682" w14:textId="77777777" w:rsidR="005A7788" w:rsidRPr="00CE29BF" w:rsidRDefault="005A7788">
      <w:pPr>
        <w:spacing w:line="360" w:lineRule="auto"/>
        <w:jc w:val="both"/>
        <w:rPr>
          <w:rFonts w:ascii="Book Antiqua" w:hAnsi="Book Antiqua" w:cs="Book Antiqua"/>
        </w:rPr>
      </w:pPr>
    </w:p>
    <w:p w14:paraId="4BA1C9BC"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CONCLUSION</w:t>
      </w:r>
    </w:p>
    <w:p w14:paraId="18C50957"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In TS patients with virilization, it is necessary to test at least two to three tissues to search for cryptic Y material.</w:t>
      </w:r>
    </w:p>
    <w:p w14:paraId="5A04127D" w14:textId="77777777" w:rsidR="005A7788" w:rsidRPr="00CE29BF" w:rsidRDefault="005A7788">
      <w:pPr>
        <w:spacing w:line="360" w:lineRule="auto"/>
        <w:jc w:val="both"/>
        <w:rPr>
          <w:rFonts w:ascii="Book Antiqua" w:hAnsi="Book Antiqua" w:cs="Book Antiqua"/>
        </w:rPr>
      </w:pPr>
    </w:p>
    <w:p w14:paraId="694634FA"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Key Words: </w:t>
      </w:r>
      <w:r w:rsidRPr="00CE29BF">
        <w:rPr>
          <w:rFonts w:ascii="Book Antiqua" w:eastAsia="Book Antiqua" w:hAnsi="Book Antiqua" w:cs="Book Antiqua"/>
          <w:color w:val="000000"/>
        </w:rPr>
        <w:t>Turner syndrome; Gonadal dysgenesis; Virilization; Y chromosome mosaicism; Gonadoblastoma; Case report</w:t>
      </w:r>
    </w:p>
    <w:p w14:paraId="456B466B" w14:textId="77777777" w:rsidR="005A7788" w:rsidRPr="00CE29BF" w:rsidRDefault="005A7788">
      <w:pPr>
        <w:spacing w:line="360" w:lineRule="auto"/>
        <w:jc w:val="both"/>
        <w:rPr>
          <w:rFonts w:ascii="Book Antiqua" w:hAnsi="Book Antiqua" w:cs="Book Antiqua"/>
        </w:rPr>
      </w:pPr>
    </w:p>
    <w:p w14:paraId="6F0A92CF" w14:textId="163805E4" w:rsidR="00FE3C99" w:rsidRDefault="00693282">
      <w:pPr>
        <w:spacing w:line="360" w:lineRule="auto"/>
        <w:jc w:val="both"/>
        <w:rPr>
          <w:rFonts w:ascii="Book Antiqua" w:eastAsiaTheme="minorEastAsia" w:hAnsi="Book Antiqua" w:cs="Book Antiqua" w:hint="eastAsia"/>
          <w:color w:val="000000"/>
          <w:lang w:eastAsia="zh-CN"/>
        </w:rPr>
      </w:pPr>
      <w:r w:rsidRPr="00693282">
        <w:rPr>
          <w:rFonts w:ascii="Book Antiqua" w:eastAsiaTheme="minorEastAsia" w:hAnsi="Book Antiqua" w:cs="Book Antiqua" w:hint="eastAsia"/>
          <w:b/>
          <w:color w:val="000000"/>
          <w:lang w:eastAsia="zh-CN"/>
        </w:rPr>
        <w:t xml:space="preserve">Citation: </w:t>
      </w:r>
      <w:r w:rsidR="006866CF" w:rsidRPr="00CE29BF">
        <w:rPr>
          <w:rFonts w:ascii="Book Antiqua" w:eastAsia="Book Antiqua" w:hAnsi="Book Antiqua" w:cs="Book Antiqua"/>
          <w:color w:val="000000"/>
        </w:rPr>
        <w:t xml:space="preserve">Leng XF, Lei K, Li Y, Tian F, Yao Q, Zheng QM, Chen ZH. </w:t>
      </w:r>
      <w:r w:rsidR="00AF48EB" w:rsidRPr="00CE29BF">
        <w:rPr>
          <w:rFonts w:ascii="Book Antiqua" w:eastAsia="Book Antiqua" w:hAnsi="Book Antiqua" w:cs="Book Antiqua"/>
          <w:color w:val="000000"/>
        </w:rPr>
        <w:t>Gonadal dysgenesis in Turner syndrome with Y-chromosome mosaicism: Two case reports</w:t>
      </w:r>
      <w:r w:rsidR="006866CF" w:rsidRPr="00CE29BF">
        <w:rPr>
          <w:rFonts w:ascii="Book Antiqua" w:eastAsia="Book Antiqua" w:hAnsi="Book Antiqua" w:cs="Book Antiqua"/>
          <w:color w:val="000000"/>
        </w:rPr>
        <w:t xml:space="preserve">. </w:t>
      </w:r>
      <w:r w:rsidR="006866CF" w:rsidRPr="00CE29BF">
        <w:rPr>
          <w:rFonts w:ascii="Book Antiqua" w:eastAsia="Book Antiqua" w:hAnsi="Book Antiqua" w:cs="Book Antiqua"/>
          <w:i/>
          <w:iCs/>
          <w:color w:val="000000"/>
        </w:rPr>
        <w:t>World J Clin Cases</w:t>
      </w:r>
      <w:r w:rsidR="006866CF" w:rsidRPr="00CE29BF">
        <w:rPr>
          <w:rFonts w:ascii="Book Antiqua" w:eastAsia="Book Antiqua" w:hAnsi="Book Antiqua" w:cs="Book Antiqua"/>
          <w:color w:val="000000"/>
        </w:rPr>
        <w:t xml:space="preserve"> 2020; </w:t>
      </w:r>
      <w:r w:rsidR="00FD02EC" w:rsidRPr="00FD02EC">
        <w:rPr>
          <w:rFonts w:ascii="Book Antiqua" w:eastAsia="Book Antiqua" w:hAnsi="Book Antiqua" w:cs="Book Antiqua"/>
          <w:color w:val="000000"/>
        </w:rPr>
        <w:t xml:space="preserve">8(22): </w:t>
      </w:r>
      <w:r w:rsidR="008E19F2" w:rsidRPr="008E19F2">
        <w:rPr>
          <w:rFonts w:ascii="Book Antiqua" w:eastAsia="Book Antiqua" w:hAnsi="Book Antiqua" w:cs="Book Antiqua"/>
          <w:color w:val="000000"/>
        </w:rPr>
        <w:t>5737-5743</w:t>
      </w:r>
      <w:r w:rsidR="00FD02EC" w:rsidRPr="00FD02EC">
        <w:rPr>
          <w:rFonts w:ascii="Book Antiqua" w:eastAsia="Book Antiqua" w:hAnsi="Book Antiqua" w:cs="Book Antiqua"/>
          <w:color w:val="000000"/>
        </w:rPr>
        <w:t xml:space="preserve">  </w:t>
      </w:r>
    </w:p>
    <w:p w14:paraId="6E19D226" w14:textId="77777777" w:rsidR="00FE3C99" w:rsidRDefault="00FD02EC">
      <w:pPr>
        <w:spacing w:line="360" w:lineRule="auto"/>
        <w:jc w:val="both"/>
        <w:rPr>
          <w:rFonts w:ascii="Book Antiqua" w:eastAsiaTheme="minorEastAsia" w:hAnsi="Book Antiqua" w:cs="Book Antiqua" w:hint="eastAsia"/>
          <w:color w:val="000000"/>
          <w:lang w:eastAsia="zh-CN"/>
        </w:rPr>
      </w:pPr>
      <w:r w:rsidRPr="00693282">
        <w:rPr>
          <w:rFonts w:ascii="Book Antiqua" w:eastAsia="Book Antiqua" w:hAnsi="Book Antiqua" w:cs="Book Antiqua"/>
          <w:b/>
          <w:color w:val="000000"/>
        </w:rPr>
        <w:t>URL:</w:t>
      </w:r>
      <w:r w:rsidRPr="00FD02EC">
        <w:rPr>
          <w:rFonts w:ascii="Book Antiqua" w:eastAsia="Book Antiqua" w:hAnsi="Book Antiqua" w:cs="Book Antiqua"/>
          <w:color w:val="000000"/>
        </w:rPr>
        <w:t xml:space="preserve"> https://www.wjgnet.com/2307-8960/full/v8/i22/</w:t>
      </w:r>
      <w:r w:rsidR="008E19F2">
        <w:rPr>
          <w:rFonts w:ascii="Book Antiqua" w:eastAsiaTheme="minorEastAsia" w:hAnsi="Book Antiqua" w:cs="Book Antiqua" w:hint="eastAsia"/>
          <w:color w:val="000000"/>
          <w:lang w:eastAsia="zh-CN"/>
        </w:rPr>
        <w:t>5737</w:t>
      </w:r>
      <w:r w:rsidRPr="00FD02EC">
        <w:rPr>
          <w:rFonts w:ascii="Book Antiqua" w:eastAsia="Book Antiqua" w:hAnsi="Book Antiqua" w:cs="Book Antiqua"/>
          <w:color w:val="000000"/>
        </w:rPr>
        <w:t xml:space="preserve">.htm  </w:t>
      </w:r>
    </w:p>
    <w:p w14:paraId="3F794A6B" w14:textId="6F9FE41A" w:rsidR="005A7788" w:rsidRPr="008E19F2" w:rsidRDefault="00FD02EC">
      <w:pPr>
        <w:spacing w:line="360" w:lineRule="auto"/>
        <w:jc w:val="both"/>
        <w:rPr>
          <w:rFonts w:ascii="Book Antiqua" w:eastAsiaTheme="minorEastAsia" w:hAnsi="Book Antiqua" w:cs="Book Antiqua" w:hint="eastAsia"/>
          <w:lang w:eastAsia="zh-CN"/>
        </w:rPr>
      </w:pPr>
      <w:bookmarkStart w:id="0" w:name="_GoBack"/>
      <w:r w:rsidRPr="00693282">
        <w:rPr>
          <w:rFonts w:ascii="Book Antiqua" w:eastAsia="Book Antiqua" w:hAnsi="Book Antiqua" w:cs="Book Antiqua"/>
          <w:b/>
          <w:color w:val="000000"/>
        </w:rPr>
        <w:t>DOI:</w:t>
      </w:r>
      <w:bookmarkEnd w:id="0"/>
      <w:r w:rsidRPr="00FD02EC">
        <w:rPr>
          <w:rFonts w:ascii="Book Antiqua" w:eastAsia="Book Antiqua" w:hAnsi="Book Antiqua" w:cs="Book Antiqua"/>
          <w:color w:val="000000"/>
        </w:rPr>
        <w:t xml:space="preserve"> https://dx.doi.org/10.12998/wjcc.v8.i22.</w:t>
      </w:r>
      <w:r w:rsidR="008E19F2">
        <w:rPr>
          <w:rFonts w:ascii="Book Antiqua" w:eastAsiaTheme="minorEastAsia" w:hAnsi="Book Antiqua" w:cs="Book Antiqua" w:hint="eastAsia"/>
          <w:color w:val="000000"/>
          <w:lang w:eastAsia="zh-CN"/>
        </w:rPr>
        <w:t>5737</w:t>
      </w:r>
    </w:p>
    <w:p w14:paraId="2B28B2A7" w14:textId="77777777" w:rsidR="005A7788" w:rsidRPr="00CE29BF" w:rsidRDefault="005A7788">
      <w:pPr>
        <w:spacing w:line="360" w:lineRule="auto"/>
        <w:jc w:val="both"/>
        <w:rPr>
          <w:rFonts w:ascii="Book Antiqua" w:hAnsi="Book Antiqua" w:cs="Book Antiqua"/>
        </w:rPr>
      </w:pPr>
    </w:p>
    <w:p w14:paraId="535A8AF5" w14:textId="37F8D999"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Core Tip: </w:t>
      </w:r>
      <w:r w:rsidRPr="00CE29BF">
        <w:rPr>
          <w:rFonts w:ascii="Book Antiqua" w:eastAsia="Book Antiqua" w:hAnsi="Book Antiqua" w:cs="Book Antiqua"/>
          <w:color w:val="000000"/>
        </w:rPr>
        <w:t xml:space="preserve">In this article, we report two cases of Turner </w:t>
      </w:r>
      <w:r w:rsidR="00CE29BF" w:rsidRPr="00CE29BF">
        <w:rPr>
          <w:rFonts w:ascii="Book Antiqua" w:eastAsia="Book Antiqua" w:hAnsi="Book Antiqua" w:cs="Book Antiqua"/>
          <w:color w:val="000000"/>
        </w:rPr>
        <w:t>s</w:t>
      </w:r>
      <w:r w:rsidRPr="00CE29BF">
        <w:rPr>
          <w:rFonts w:ascii="Book Antiqua" w:eastAsia="Book Antiqua" w:hAnsi="Book Antiqua" w:cs="Book Antiqua"/>
          <w:color w:val="000000"/>
        </w:rPr>
        <w:t xml:space="preserve">yndrome (TS) with different karyotypes and gonadal dysgenesis. The results show the importance of testing at least two to three tissues to search for cryptic Y material in TS patients with virilization. Polymerase chain reaction and </w:t>
      </w:r>
      <w:r w:rsidR="004F636F">
        <w:rPr>
          <w:rFonts w:ascii="Book Antiqua" w:eastAsia="Book Antiqua" w:hAnsi="Book Antiqua" w:cs="Book Antiqua"/>
          <w:color w:val="000000"/>
        </w:rPr>
        <w:t xml:space="preserve">fluorescence in situ hybridization </w:t>
      </w:r>
      <w:r w:rsidRPr="004F636F">
        <w:rPr>
          <w:rFonts w:ascii="Book Antiqua" w:eastAsia="Book Antiqua" w:hAnsi="Book Antiqua" w:cs="Book Antiqua"/>
          <w:color w:val="000000"/>
        </w:rPr>
        <w:t>a</w:t>
      </w:r>
      <w:r w:rsidRPr="00CE29BF">
        <w:rPr>
          <w:rFonts w:ascii="Book Antiqua" w:eastAsia="Book Antiqua" w:hAnsi="Book Antiqua" w:cs="Book Antiqua"/>
          <w:color w:val="000000"/>
        </w:rPr>
        <w:t xml:space="preserve">nalyses can be used for enhanced screening of Y sequences in TS patients. Different tissues in the same TS individual may exhibit different ratios of mosaicism. The gonadal determination and differentiation of mosaic TS are primarily dependent on the predominant cell line in the gonads. </w:t>
      </w:r>
    </w:p>
    <w:p w14:paraId="5391AE1F" w14:textId="77777777" w:rsidR="005A7788" w:rsidRPr="00CE29BF" w:rsidRDefault="005A7788">
      <w:pPr>
        <w:spacing w:line="360" w:lineRule="auto"/>
        <w:jc w:val="both"/>
        <w:rPr>
          <w:rFonts w:ascii="Book Antiqua" w:hAnsi="Book Antiqua" w:cs="Book Antiqua"/>
        </w:rPr>
      </w:pPr>
    </w:p>
    <w:p w14:paraId="16D1C24A"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INTRODUCTION</w:t>
      </w:r>
    </w:p>
    <w:p w14:paraId="0817615C" w14:textId="4D80976A"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 xml:space="preserve">Turner syndrome (TS) is considered to be one of the most common aneuploidies, with an incidence of 1:2500 </w:t>
      </w:r>
      <w:r w:rsidR="00953A76">
        <w:rPr>
          <w:rFonts w:ascii="Book Antiqua" w:eastAsia="Book Antiqua" w:hAnsi="Book Antiqua" w:cs="Book Antiqua"/>
          <w:color w:val="000000"/>
        </w:rPr>
        <w:t>l</w:t>
      </w:r>
      <w:r w:rsidRPr="00CE29BF">
        <w:rPr>
          <w:rFonts w:ascii="Book Antiqua" w:eastAsia="Book Antiqua" w:hAnsi="Book Antiqua" w:cs="Book Antiqua"/>
          <w:color w:val="000000"/>
        </w:rPr>
        <w:t>ive-born female infants</w:t>
      </w:r>
      <w:r w:rsidRPr="00CE29BF">
        <w:rPr>
          <w:rFonts w:ascii="Book Antiqua" w:eastAsia="Book Antiqua" w:hAnsi="Book Antiqua" w:cs="Book Antiqua"/>
          <w:color w:val="000000"/>
          <w:vertAlign w:val="superscript"/>
        </w:rPr>
        <w:t>[1]</w:t>
      </w:r>
      <w:r w:rsidRPr="00CE29BF">
        <w:rPr>
          <w:rFonts w:ascii="Book Antiqua" w:eastAsia="Book Antiqua" w:hAnsi="Book Antiqua" w:cs="Book Antiqua"/>
          <w:color w:val="000000"/>
        </w:rPr>
        <w:t xml:space="preserve">. This condition is caused by the complete or partial loss of one X chromosome in all or a portion of cells, resulting in a variety of different karyotypes, with a wide range of phenotypic features. However, it is difficult to </w:t>
      </w:r>
      <w:r w:rsidR="00953A76">
        <w:rPr>
          <w:rFonts w:ascii="Book Antiqua" w:eastAsia="Book Antiqua" w:hAnsi="Book Antiqua" w:cs="Book Antiqua"/>
          <w:color w:val="000000"/>
        </w:rPr>
        <w:t>carry out a</w:t>
      </w:r>
      <w:r w:rsidRPr="00CE29BF">
        <w:rPr>
          <w:rFonts w:ascii="Book Antiqua" w:eastAsia="Book Antiqua" w:hAnsi="Book Antiqua" w:cs="Book Antiqua"/>
          <w:color w:val="000000"/>
        </w:rPr>
        <w:t xml:space="preserve"> comparative analysis of the karyotypes and phenotypes in TS, and the specific karyotype does not always predict the phenotype</w:t>
      </w:r>
      <w:r w:rsidRPr="00CE29BF">
        <w:rPr>
          <w:rFonts w:ascii="Book Antiqua" w:eastAsia="Book Antiqua" w:hAnsi="Book Antiqua" w:cs="Book Antiqua"/>
          <w:color w:val="000000"/>
          <w:vertAlign w:val="superscript"/>
        </w:rPr>
        <w:t>[2]</w:t>
      </w:r>
      <w:r w:rsidRPr="00CE29BF">
        <w:rPr>
          <w:rFonts w:ascii="Book Antiqua" w:eastAsia="Book Antiqua" w:hAnsi="Book Antiqua" w:cs="Book Antiqua"/>
          <w:color w:val="000000"/>
        </w:rPr>
        <w:t>. TS with Y chromosome mosaicism may have mixed gonadal dysgenesis, and the mosaicism is related to the potential for gonadoblastoma</w:t>
      </w:r>
      <w:r w:rsidR="00953A76">
        <w:rPr>
          <w:rFonts w:ascii="Book Antiqua" w:eastAsia="Book Antiqua" w:hAnsi="Book Antiqua" w:cs="Book Antiqua"/>
          <w:color w:val="000000"/>
        </w:rPr>
        <w:t>; thus</w:t>
      </w:r>
      <w:r w:rsidRPr="00CE29BF">
        <w:rPr>
          <w:rFonts w:ascii="Book Antiqua" w:eastAsia="Book Antiqua" w:hAnsi="Book Antiqua" w:cs="Book Antiqua"/>
          <w:color w:val="000000"/>
        </w:rPr>
        <w:t xml:space="preserve">, it is important to detect the mosaic Y material. In this article, we reported two </w:t>
      </w:r>
      <w:r w:rsidR="00953A76">
        <w:rPr>
          <w:rFonts w:ascii="Book Antiqua" w:eastAsia="Book Antiqua" w:hAnsi="Book Antiqua" w:cs="Book Antiqua"/>
          <w:color w:val="000000"/>
        </w:rPr>
        <w:t xml:space="preserve">girls with </w:t>
      </w:r>
      <w:r w:rsidRPr="00CE29BF">
        <w:rPr>
          <w:rFonts w:ascii="Book Antiqua" w:eastAsia="Book Antiqua" w:hAnsi="Book Antiqua" w:cs="Book Antiqua"/>
          <w:color w:val="000000"/>
        </w:rPr>
        <w:t xml:space="preserve">TS, who had different karyotypes and sexual phenotypes. We </w:t>
      </w:r>
      <w:r w:rsidR="00953A76">
        <w:rPr>
          <w:rFonts w:ascii="Book Antiqua" w:eastAsia="Book Antiqua" w:hAnsi="Book Antiqua" w:cs="Book Antiqua"/>
          <w:color w:val="000000"/>
        </w:rPr>
        <w:t>attempted</w:t>
      </w:r>
      <w:r w:rsidRPr="00CE29BF">
        <w:rPr>
          <w:rFonts w:ascii="Book Antiqua" w:eastAsia="Book Antiqua" w:hAnsi="Book Antiqua" w:cs="Book Antiqua"/>
          <w:color w:val="000000"/>
        </w:rPr>
        <w:t xml:space="preserve"> to identify </w:t>
      </w:r>
      <w:r w:rsidR="00953A76">
        <w:rPr>
          <w:rFonts w:ascii="Book Antiqua" w:eastAsia="Book Antiqua" w:hAnsi="Book Antiqua" w:cs="Book Antiqua"/>
          <w:color w:val="000000"/>
        </w:rPr>
        <w:t>the</w:t>
      </w:r>
      <w:r w:rsidRPr="00CE29BF">
        <w:rPr>
          <w:rFonts w:ascii="Book Antiqua" w:eastAsia="Book Antiqua" w:hAnsi="Book Antiqua" w:cs="Book Antiqua"/>
          <w:color w:val="000000"/>
        </w:rPr>
        <w:t xml:space="preserve"> associations between karyotype and sexual phenotype in TS </w:t>
      </w:r>
      <w:r w:rsidR="00953A76">
        <w:rPr>
          <w:rFonts w:ascii="Book Antiqua" w:eastAsia="Book Antiqua" w:hAnsi="Book Antiqua" w:cs="Book Antiqua"/>
          <w:color w:val="000000"/>
        </w:rPr>
        <w:t>in</w:t>
      </w:r>
      <w:r w:rsidRPr="00CE29BF">
        <w:rPr>
          <w:rFonts w:ascii="Book Antiqua" w:eastAsia="Book Antiqua" w:hAnsi="Book Antiqua" w:cs="Book Antiqua"/>
          <w:color w:val="000000"/>
        </w:rPr>
        <w:t xml:space="preserve"> these cases, and discuss the detection of the Y chromosome mosaicism in TS. </w:t>
      </w:r>
      <w:r w:rsidR="00953A76">
        <w:rPr>
          <w:rFonts w:ascii="Book Antiqua" w:eastAsia="Book Antiqua" w:hAnsi="Book Antiqua" w:cs="Book Antiqua"/>
          <w:color w:val="000000"/>
        </w:rPr>
        <w:t>T</w:t>
      </w:r>
      <w:r w:rsidRPr="00CE29BF">
        <w:rPr>
          <w:rFonts w:ascii="Book Antiqua" w:eastAsia="Book Antiqua" w:hAnsi="Book Antiqua" w:cs="Book Antiqua"/>
          <w:color w:val="000000"/>
        </w:rPr>
        <w:t xml:space="preserve">his information may aid physicians in making more precise judgements in the clinic. </w:t>
      </w:r>
    </w:p>
    <w:p w14:paraId="03FEBD0C" w14:textId="77777777" w:rsidR="005A7788" w:rsidRPr="00CE29BF" w:rsidRDefault="005A7788" w:rsidP="00CE29BF">
      <w:pPr>
        <w:spacing w:line="360" w:lineRule="auto"/>
        <w:jc w:val="both"/>
        <w:rPr>
          <w:rFonts w:ascii="Book Antiqua" w:hAnsi="Book Antiqua" w:cs="Book Antiqua"/>
        </w:rPr>
      </w:pPr>
    </w:p>
    <w:p w14:paraId="5EA738CB"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CASE PRESENTATION</w:t>
      </w:r>
    </w:p>
    <w:p w14:paraId="503AAFDE"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Chief complaints</w:t>
      </w:r>
    </w:p>
    <w:p w14:paraId="7679B59B" w14:textId="19F57A38"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A 12-year-old girl was brought to the pediatric clinic in our hospital due to clitoromegaly since infancy and short stature.</w:t>
      </w:r>
    </w:p>
    <w:p w14:paraId="3638F2F8" w14:textId="77777777" w:rsidR="005A7788" w:rsidRPr="00CE29BF" w:rsidRDefault="005A7788">
      <w:pPr>
        <w:spacing w:line="360" w:lineRule="auto"/>
        <w:jc w:val="both"/>
        <w:rPr>
          <w:rFonts w:ascii="Book Antiqua" w:eastAsia="Book Antiqua" w:hAnsi="Book Antiqua" w:cs="Book Antiqua"/>
          <w:color w:val="000000"/>
        </w:rPr>
      </w:pPr>
    </w:p>
    <w:p w14:paraId="41CDF114" w14:textId="795E823E"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A 10-year-old girl was presented to our department with short stature.</w:t>
      </w:r>
    </w:p>
    <w:p w14:paraId="14A67611" w14:textId="77777777" w:rsidR="005A7788" w:rsidRPr="00CE29BF" w:rsidRDefault="005A7788">
      <w:pPr>
        <w:spacing w:line="360" w:lineRule="auto"/>
        <w:jc w:val="both"/>
        <w:rPr>
          <w:rFonts w:ascii="Book Antiqua" w:hAnsi="Book Antiqua" w:cs="Book Antiqua"/>
        </w:rPr>
      </w:pPr>
    </w:p>
    <w:p w14:paraId="510C2FEF"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History of present illness</w:t>
      </w:r>
    </w:p>
    <w:p w14:paraId="5B97C1C8" w14:textId="3AF57ECE"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The girl was found </w:t>
      </w:r>
      <w:r w:rsidR="00953A76">
        <w:rPr>
          <w:rFonts w:ascii="Book Antiqua" w:eastAsia="Book Antiqua" w:hAnsi="Book Antiqua" w:cs="Book Antiqua"/>
          <w:color w:val="000000"/>
        </w:rPr>
        <w:t xml:space="preserve">to have </w:t>
      </w:r>
      <w:r w:rsidR="006866CF" w:rsidRPr="00CE29BF">
        <w:rPr>
          <w:rFonts w:ascii="Book Antiqua" w:eastAsia="Book Antiqua" w:hAnsi="Book Antiqua" w:cs="Book Antiqua"/>
          <w:color w:val="000000"/>
        </w:rPr>
        <w:t xml:space="preserve">an abnormal enlargement of the clitoris since </w:t>
      </w:r>
      <w:r w:rsidR="00953A76">
        <w:rPr>
          <w:rFonts w:ascii="Book Antiqua" w:eastAsia="Book Antiqua" w:hAnsi="Book Antiqua" w:cs="Book Antiqua"/>
          <w:color w:val="000000"/>
        </w:rPr>
        <w:t>birth</w:t>
      </w:r>
      <w:r w:rsidR="00953A76">
        <w:rPr>
          <w:rFonts w:ascii="宋体" w:eastAsia="宋体" w:hAnsi="宋体" w:cs="宋体"/>
          <w:color w:val="000000"/>
        </w:rPr>
        <w:t xml:space="preserve"> </w:t>
      </w:r>
      <w:r w:rsidR="006866CF" w:rsidRPr="00CE29BF">
        <w:rPr>
          <w:rFonts w:ascii="Book Antiqua" w:eastAsia="Book Antiqua" w:hAnsi="Book Antiqua" w:cs="Book Antiqua"/>
          <w:color w:val="000000"/>
        </w:rPr>
        <w:t xml:space="preserve">and she grew slower than </w:t>
      </w:r>
      <w:r w:rsidR="00953A76">
        <w:rPr>
          <w:rFonts w:ascii="Book Antiqua" w:eastAsia="Book Antiqua" w:hAnsi="Book Antiqua" w:cs="Book Antiqua"/>
          <w:color w:val="000000"/>
        </w:rPr>
        <w:t>her</w:t>
      </w:r>
      <w:r w:rsidR="006866CF" w:rsidRPr="00CE29BF">
        <w:rPr>
          <w:rFonts w:ascii="Book Antiqua" w:eastAsia="Book Antiqua" w:hAnsi="Book Antiqua" w:cs="Book Antiqua"/>
          <w:color w:val="000000"/>
        </w:rPr>
        <w:t xml:space="preserve"> peers at the same age.</w:t>
      </w:r>
    </w:p>
    <w:p w14:paraId="67F20D51" w14:textId="77777777" w:rsidR="005A7788" w:rsidRPr="00CE29BF" w:rsidRDefault="005A7788">
      <w:pPr>
        <w:spacing w:line="360" w:lineRule="auto"/>
        <w:jc w:val="both"/>
        <w:rPr>
          <w:rFonts w:ascii="Book Antiqua" w:eastAsia="Book Antiqua" w:hAnsi="Book Antiqua" w:cs="Book Antiqua"/>
          <w:color w:val="000000"/>
        </w:rPr>
      </w:pPr>
    </w:p>
    <w:p w14:paraId="4BF5B956" w14:textId="4A8CB01B"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The girl was </w:t>
      </w:r>
      <w:r w:rsidR="00953A76">
        <w:rPr>
          <w:rFonts w:ascii="Book Antiqua" w:eastAsia="Book Antiqua" w:hAnsi="Book Antiqua" w:cs="Book Antiqua"/>
          <w:color w:val="000000"/>
        </w:rPr>
        <w:t>observed to</w:t>
      </w:r>
      <w:r w:rsidR="006866CF" w:rsidRPr="00CE29BF">
        <w:rPr>
          <w:rFonts w:ascii="Book Antiqua" w:eastAsia="Book Antiqua" w:hAnsi="Book Antiqua" w:cs="Book Antiqua"/>
          <w:color w:val="000000"/>
        </w:rPr>
        <w:t xml:space="preserve"> grow slower than </w:t>
      </w:r>
      <w:r w:rsidR="00953A76">
        <w:rPr>
          <w:rFonts w:ascii="Book Antiqua" w:eastAsia="Book Antiqua" w:hAnsi="Book Antiqua" w:cs="Book Antiqua"/>
          <w:color w:val="000000"/>
        </w:rPr>
        <w:t>her</w:t>
      </w:r>
      <w:r w:rsidR="006866CF" w:rsidRPr="00CE29BF">
        <w:rPr>
          <w:rFonts w:ascii="Book Antiqua" w:eastAsia="Book Antiqua" w:hAnsi="Book Antiqua" w:cs="Book Antiqua"/>
          <w:color w:val="000000"/>
        </w:rPr>
        <w:t xml:space="preserve"> peers at the same age since she was a baby.</w:t>
      </w:r>
    </w:p>
    <w:p w14:paraId="2CD3FB13" w14:textId="77777777" w:rsidR="005A7788" w:rsidRPr="00CE29BF" w:rsidRDefault="005A7788">
      <w:pPr>
        <w:spacing w:line="360" w:lineRule="auto"/>
        <w:jc w:val="both"/>
        <w:rPr>
          <w:rFonts w:ascii="Book Antiqua" w:hAnsi="Book Antiqua" w:cs="Book Antiqua"/>
        </w:rPr>
      </w:pPr>
    </w:p>
    <w:p w14:paraId="5B53D1C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History of past illness</w:t>
      </w:r>
    </w:p>
    <w:p w14:paraId="39A3C33E" w14:textId="77777777"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She had undergone repair of an interventricular septal defect and surgery for a right indirect inguinal hernia, at 1 year of age and 12 years of age, respectively.</w:t>
      </w:r>
    </w:p>
    <w:p w14:paraId="5A85F657" w14:textId="77777777" w:rsidR="005A7788" w:rsidRPr="00CE29BF" w:rsidRDefault="005A7788">
      <w:pPr>
        <w:spacing w:line="360" w:lineRule="auto"/>
        <w:jc w:val="both"/>
        <w:rPr>
          <w:rFonts w:ascii="Book Antiqua" w:eastAsia="Book Antiqua" w:hAnsi="Book Antiqua" w:cs="Book Antiqua"/>
          <w:b/>
          <w:bCs/>
          <w:color w:val="000000"/>
        </w:rPr>
      </w:pPr>
    </w:p>
    <w:p w14:paraId="6048591F" w14:textId="124CDE92" w:rsidR="005A7788" w:rsidRPr="00CE29BF" w:rsidRDefault="00CE29BF">
      <w:pPr>
        <w:spacing w:line="360" w:lineRule="auto"/>
        <w:jc w:val="both"/>
        <w:rPr>
          <w:rFonts w:ascii="Book Antiqua" w:hAnsi="Book Antiqua" w:cs="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w:t>
      </w:r>
      <w:r w:rsidR="006866CF" w:rsidRPr="00CE29BF">
        <w:rPr>
          <w:rFonts w:ascii="Book Antiqua" w:hAnsi="Book Antiqua"/>
        </w:rPr>
        <w:t xml:space="preserve">The patient had </w:t>
      </w:r>
      <w:r w:rsidR="00953A76">
        <w:rPr>
          <w:rFonts w:ascii="Book Antiqua" w:hAnsi="Book Antiqua"/>
        </w:rPr>
        <w:t>no</w:t>
      </w:r>
      <w:r w:rsidR="006866CF" w:rsidRPr="00CE29BF">
        <w:rPr>
          <w:rFonts w:ascii="Book Antiqua" w:hAnsi="Book Antiqua"/>
        </w:rPr>
        <w:t xml:space="preserve"> previous medical history.</w:t>
      </w:r>
    </w:p>
    <w:p w14:paraId="528FDB38" w14:textId="77777777" w:rsidR="005A7788" w:rsidRPr="00CE29BF" w:rsidRDefault="005A7788">
      <w:pPr>
        <w:spacing w:line="360" w:lineRule="auto"/>
        <w:jc w:val="both"/>
        <w:rPr>
          <w:rFonts w:ascii="Book Antiqua" w:hAnsi="Book Antiqua"/>
          <w:b/>
          <w:bCs/>
          <w:i/>
          <w:iCs/>
          <w:color w:val="FF0000"/>
        </w:rPr>
      </w:pPr>
    </w:p>
    <w:p w14:paraId="73D9CED4" w14:textId="77777777" w:rsidR="005A7788" w:rsidRPr="00CE29BF" w:rsidRDefault="006866CF">
      <w:pPr>
        <w:spacing w:line="360" w:lineRule="auto"/>
        <w:jc w:val="both"/>
        <w:rPr>
          <w:rFonts w:ascii="Book Antiqua" w:hAnsi="Book Antiqua"/>
          <w:b/>
          <w:bCs/>
          <w:i/>
          <w:iCs/>
        </w:rPr>
      </w:pPr>
      <w:r w:rsidRPr="00CE29BF">
        <w:rPr>
          <w:rFonts w:ascii="Book Antiqua" w:hAnsi="Book Antiqua"/>
          <w:b/>
          <w:bCs/>
          <w:i/>
          <w:iCs/>
        </w:rPr>
        <w:t>Personal history</w:t>
      </w:r>
    </w:p>
    <w:p w14:paraId="05E092E8" w14:textId="08F7A93F" w:rsidR="005A7788" w:rsidRPr="00CE29BF" w:rsidRDefault="00CE29BF">
      <w:pPr>
        <w:spacing w:line="360" w:lineRule="auto"/>
        <w:jc w:val="both"/>
        <w:rPr>
          <w:rFonts w:ascii="Book Antiqua" w:hAnsi="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 </w:t>
      </w:r>
      <w:r w:rsidR="006866CF" w:rsidRPr="00CE29BF">
        <w:rPr>
          <w:rFonts w:ascii="Book Antiqua" w:hAnsi="Book Antiqua"/>
        </w:rPr>
        <w:t xml:space="preserve">She was the first child </w:t>
      </w:r>
      <w:r w:rsidR="00953A76">
        <w:rPr>
          <w:rFonts w:ascii="Book Antiqua" w:hAnsi="Book Antiqua"/>
        </w:rPr>
        <w:t>of</w:t>
      </w:r>
      <w:r w:rsidR="006866CF" w:rsidRPr="00CE29BF">
        <w:rPr>
          <w:rFonts w:ascii="Book Antiqua" w:hAnsi="Book Antiqua"/>
        </w:rPr>
        <w:t xml:space="preserve"> non-consanguineous </w:t>
      </w:r>
      <w:r w:rsidR="00953A76">
        <w:rPr>
          <w:rFonts w:ascii="Book Antiqua" w:hAnsi="Book Antiqua"/>
        </w:rPr>
        <w:t>parents</w:t>
      </w:r>
      <w:r w:rsidR="006866CF" w:rsidRPr="00CE29BF">
        <w:rPr>
          <w:rFonts w:ascii="Book Antiqua" w:hAnsi="Book Antiqua"/>
        </w:rPr>
        <w:t xml:space="preserve"> with an uneventful birth history. Mental development was in line with her peers, and menarche</w:t>
      </w:r>
      <w:r w:rsidR="00953A76">
        <w:rPr>
          <w:rFonts w:ascii="Book Antiqua" w:hAnsi="Book Antiqua"/>
        </w:rPr>
        <w:t xml:space="preserve"> was absent</w:t>
      </w:r>
      <w:r w:rsidR="006866CF" w:rsidRPr="00CE29BF">
        <w:rPr>
          <w:rFonts w:ascii="Book Antiqua" w:hAnsi="Book Antiqua"/>
        </w:rPr>
        <w:t>.</w:t>
      </w:r>
    </w:p>
    <w:p w14:paraId="13707360" w14:textId="77777777" w:rsidR="005A7788" w:rsidRPr="00CE29BF" w:rsidRDefault="005A7788">
      <w:pPr>
        <w:spacing w:line="360" w:lineRule="auto"/>
        <w:jc w:val="both"/>
        <w:rPr>
          <w:rFonts w:ascii="Book Antiqua" w:hAnsi="Book Antiqua"/>
        </w:rPr>
      </w:pPr>
    </w:p>
    <w:p w14:paraId="5C06D9FA" w14:textId="25EC1486" w:rsidR="005A7788" w:rsidRPr="00CE29BF" w:rsidRDefault="00CE29BF">
      <w:pPr>
        <w:spacing w:line="360" w:lineRule="auto"/>
        <w:jc w:val="both"/>
        <w:rPr>
          <w:rFonts w:ascii="Book Antiqua" w:hAnsi="Book Antiqua"/>
        </w:rPr>
      </w:pPr>
      <w:r w:rsidRPr="00CE29BF">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 </w:t>
      </w:r>
      <w:r w:rsidR="006866CF" w:rsidRPr="00CE29BF">
        <w:rPr>
          <w:rFonts w:ascii="Book Antiqua" w:hAnsi="Book Antiqua"/>
        </w:rPr>
        <w:t xml:space="preserve">She was the only child </w:t>
      </w:r>
      <w:r w:rsidR="00953A76">
        <w:rPr>
          <w:rFonts w:ascii="Book Antiqua" w:hAnsi="Book Antiqua"/>
        </w:rPr>
        <w:t>of</w:t>
      </w:r>
      <w:r w:rsidR="006866CF" w:rsidRPr="00CE29BF">
        <w:rPr>
          <w:rFonts w:ascii="Book Antiqua" w:hAnsi="Book Antiqua"/>
        </w:rPr>
        <w:t xml:space="preserve"> non-consanguineous </w:t>
      </w:r>
      <w:r w:rsidR="00953A76">
        <w:rPr>
          <w:rFonts w:ascii="Book Antiqua" w:hAnsi="Book Antiqua"/>
        </w:rPr>
        <w:t>parents</w:t>
      </w:r>
      <w:r w:rsidR="006866CF" w:rsidRPr="00CE29BF">
        <w:rPr>
          <w:rFonts w:ascii="Book Antiqua" w:hAnsi="Book Antiqua"/>
        </w:rPr>
        <w:t xml:space="preserve"> with an uneventful birth history. </w:t>
      </w:r>
      <w:bookmarkStart w:id="1" w:name="OLE_LINK64"/>
      <w:bookmarkStart w:id="2" w:name="OLE_LINK63"/>
      <w:r w:rsidR="006866CF" w:rsidRPr="00CE29BF">
        <w:rPr>
          <w:rFonts w:ascii="Book Antiqua" w:hAnsi="Book Antiqua"/>
        </w:rPr>
        <w:t>Her</w:t>
      </w:r>
      <w:bookmarkEnd w:id="1"/>
      <w:bookmarkEnd w:id="2"/>
      <w:r w:rsidR="006866CF" w:rsidRPr="00CE29BF">
        <w:rPr>
          <w:rFonts w:ascii="Book Antiqua" w:hAnsi="Book Antiqua"/>
        </w:rPr>
        <w:t xml:space="preserve"> mental development was in line with her peers, and menarche</w:t>
      </w:r>
      <w:r w:rsidR="00953A76">
        <w:rPr>
          <w:rFonts w:ascii="Book Antiqua" w:hAnsi="Book Antiqua"/>
        </w:rPr>
        <w:t xml:space="preserve"> was absent</w:t>
      </w:r>
      <w:r w:rsidR="006866CF" w:rsidRPr="00CE29BF">
        <w:rPr>
          <w:rFonts w:ascii="Book Antiqua" w:hAnsi="Book Antiqua"/>
        </w:rPr>
        <w:t>.</w:t>
      </w:r>
    </w:p>
    <w:p w14:paraId="0DE53D31" w14:textId="77777777" w:rsidR="005A7788" w:rsidRPr="00CE29BF" w:rsidRDefault="005A7788">
      <w:pPr>
        <w:spacing w:line="360" w:lineRule="auto"/>
        <w:jc w:val="both"/>
        <w:rPr>
          <w:rFonts w:ascii="Book Antiqua" w:hAnsi="Book Antiqua"/>
        </w:rPr>
      </w:pPr>
    </w:p>
    <w:p w14:paraId="2E692D76"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Physical examination</w:t>
      </w:r>
    </w:p>
    <w:p w14:paraId="1401C53D" w14:textId="78C1F242" w:rsidR="005A7788" w:rsidRPr="00CE29BF" w:rsidRDefault="00824947">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On examination, her height was 141 cm (&lt; 3</w:t>
      </w:r>
      <w:r w:rsidR="006866CF" w:rsidRPr="00CE29BF">
        <w:rPr>
          <w:rFonts w:ascii="Book Antiqua" w:eastAsia="Book Antiqua" w:hAnsi="Book Antiqua" w:cs="Book Antiqua"/>
          <w:color w:val="000000"/>
          <w:vertAlign w:val="superscript"/>
        </w:rPr>
        <w:t>rd</w:t>
      </w:r>
      <w:r w:rsidR="006866CF" w:rsidRPr="00CE29BF">
        <w:rPr>
          <w:rFonts w:ascii="Book Antiqua" w:eastAsia="Book Antiqua" w:hAnsi="Book Antiqua" w:cs="Book Antiqua"/>
          <w:color w:val="000000"/>
        </w:rPr>
        <w:t xml:space="preserve"> percentile), body weight was 36 kg (&gt; 3</w:t>
      </w:r>
      <w:r w:rsidR="006866CF" w:rsidRPr="00CE29BF">
        <w:rPr>
          <w:rFonts w:ascii="Book Antiqua" w:eastAsia="Book Antiqua" w:hAnsi="Book Antiqua" w:cs="Book Antiqua"/>
          <w:color w:val="000000"/>
          <w:vertAlign w:val="superscript"/>
        </w:rPr>
        <w:t>rd</w:t>
      </w:r>
      <w:r w:rsidR="006866CF" w:rsidRPr="00CE29BF">
        <w:rPr>
          <w:rFonts w:ascii="Book Antiqua" w:eastAsia="Book Antiqua" w:hAnsi="Book Antiqua" w:cs="Book Antiqua"/>
          <w:color w:val="000000"/>
        </w:rPr>
        <w:t xml:space="preserve"> percentile), the external genitalia exhibit</w:t>
      </w:r>
      <w:r w:rsidR="00CC7353">
        <w:rPr>
          <w:rFonts w:ascii="Book Antiqua" w:eastAsia="Book Antiqua" w:hAnsi="Book Antiqua" w:cs="Book Antiqua"/>
          <w:color w:val="000000"/>
        </w:rPr>
        <w:t xml:space="preserve">ed </w:t>
      </w:r>
      <w:r w:rsidR="006866CF" w:rsidRPr="00CE29BF">
        <w:rPr>
          <w:rFonts w:ascii="Book Antiqua" w:eastAsia="Book Antiqua" w:hAnsi="Book Antiqua" w:cs="Book Antiqua"/>
          <w:color w:val="000000"/>
        </w:rPr>
        <w:t>clitoromegaly (phallic length: 2 cm), and after stimulation, the clitoris could become erect (phallic length: 3 cm). There was no deformity of the cubitus valgus, no webbed neck, and no other body deformit</w:t>
      </w:r>
      <w:r w:rsidR="00CC7353">
        <w:rPr>
          <w:rFonts w:ascii="Book Antiqua" w:eastAsia="Book Antiqua" w:hAnsi="Book Antiqua" w:cs="Book Antiqua"/>
          <w:color w:val="000000"/>
        </w:rPr>
        <w:t>ies</w:t>
      </w:r>
      <w:r w:rsidR="006866CF" w:rsidRPr="00CE29BF">
        <w:rPr>
          <w:rFonts w:ascii="Book Antiqua" w:eastAsia="Book Antiqua" w:hAnsi="Book Antiqua" w:cs="Book Antiqua"/>
          <w:color w:val="000000"/>
        </w:rPr>
        <w:t>.</w:t>
      </w:r>
    </w:p>
    <w:p w14:paraId="22F85F92" w14:textId="77777777" w:rsidR="005A7788" w:rsidRPr="00CE29BF" w:rsidRDefault="005A7788">
      <w:pPr>
        <w:spacing w:line="360" w:lineRule="auto"/>
        <w:jc w:val="both"/>
        <w:rPr>
          <w:rFonts w:ascii="Book Antiqua" w:eastAsia="Book Antiqua" w:hAnsi="Book Antiqua" w:cs="Book Antiqua"/>
          <w:b/>
          <w:bCs/>
          <w:color w:val="000000"/>
        </w:rPr>
      </w:pPr>
    </w:p>
    <w:p w14:paraId="2D773689" w14:textId="67C3BE6A" w:rsidR="005A7788" w:rsidRPr="00CE29BF" w:rsidRDefault="00824947">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Her height was 134 cm (10</w:t>
      </w:r>
      <w:r w:rsidR="006866CF" w:rsidRPr="00CE29BF">
        <w:rPr>
          <w:rFonts w:ascii="Book Antiqua" w:eastAsia="Book Antiqua" w:hAnsi="Book Antiqua" w:cs="Book Antiqua"/>
          <w:color w:val="000000"/>
          <w:vertAlign w:val="superscript"/>
        </w:rPr>
        <w:t>th</w:t>
      </w:r>
      <w:r w:rsidR="006866CF" w:rsidRPr="00CE29BF">
        <w:rPr>
          <w:rFonts w:ascii="Book Antiqua" w:eastAsia="Book Antiqua" w:hAnsi="Book Antiqua" w:cs="Book Antiqua"/>
          <w:color w:val="000000"/>
        </w:rPr>
        <w:t xml:space="preserve"> percentile), and her body weight was 35 kg (50</w:t>
      </w:r>
      <w:r w:rsidR="006866CF" w:rsidRPr="00CE29BF">
        <w:rPr>
          <w:rFonts w:ascii="Book Antiqua" w:eastAsia="Book Antiqua" w:hAnsi="Book Antiqua" w:cs="Book Antiqua"/>
          <w:color w:val="000000"/>
          <w:vertAlign w:val="superscript"/>
        </w:rPr>
        <w:t>th</w:t>
      </w:r>
      <w:r w:rsidR="006866CF" w:rsidRPr="00CE29BF">
        <w:rPr>
          <w:rFonts w:ascii="Book Antiqua" w:eastAsia="Book Antiqua" w:hAnsi="Book Antiqua" w:cs="Book Antiqua"/>
          <w:color w:val="000000"/>
        </w:rPr>
        <w:t xml:space="preserve"> percentile). She had cubitus valgus and webbed neck, </w:t>
      </w:r>
      <w:r w:rsidR="00CC7353">
        <w:rPr>
          <w:rFonts w:ascii="Book Antiqua" w:eastAsia="Book Antiqua" w:hAnsi="Book Antiqua" w:cs="Book Antiqua"/>
          <w:color w:val="000000"/>
        </w:rPr>
        <w:t xml:space="preserve">with </w:t>
      </w:r>
      <w:r w:rsidR="006866CF" w:rsidRPr="00CE29BF">
        <w:rPr>
          <w:rFonts w:ascii="Book Antiqua" w:eastAsia="Book Antiqua" w:hAnsi="Book Antiqua" w:cs="Book Antiqua"/>
          <w:color w:val="000000"/>
        </w:rPr>
        <w:t>no other body deformit</w:t>
      </w:r>
      <w:r w:rsidR="00CC7353">
        <w:rPr>
          <w:rFonts w:ascii="Book Antiqua" w:eastAsia="Book Antiqua" w:hAnsi="Book Antiqua" w:cs="Book Antiqua"/>
          <w:color w:val="000000"/>
        </w:rPr>
        <w:t>ies</w:t>
      </w:r>
      <w:r w:rsidR="006866CF" w:rsidRPr="00CE29BF">
        <w:rPr>
          <w:rFonts w:ascii="Book Antiqua" w:eastAsia="Book Antiqua" w:hAnsi="Book Antiqua" w:cs="Book Antiqua"/>
          <w:color w:val="000000"/>
        </w:rPr>
        <w:t xml:space="preserve">. Her breasts were </w:t>
      </w:r>
      <w:r w:rsidR="00CC7353">
        <w:rPr>
          <w:rFonts w:ascii="Book Antiqua" w:eastAsia="Book Antiqua" w:hAnsi="Book Antiqua" w:cs="Book Antiqua"/>
          <w:color w:val="000000"/>
        </w:rPr>
        <w:t>T</w:t>
      </w:r>
      <w:r w:rsidR="006866CF" w:rsidRPr="00CE29BF">
        <w:rPr>
          <w:rFonts w:ascii="Book Antiqua" w:eastAsia="Book Antiqua" w:hAnsi="Book Antiqua" w:cs="Book Antiqua"/>
          <w:color w:val="000000"/>
        </w:rPr>
        <w:t xml:space="preserve">anner 1 stage and she had no pubic hair or </w:t>
      </w:r>
      <w:r w:rsidR="00CC7353">
        <w:rPr>
          <w:rFonts w:ascii="Book Antiqua" w:eastAsia="Book Antiqua" w:hAnsi="Book Antiqua" w:cs="Book Antiqua"/>
          <w:color w:val="000000"/>
        </w:rPr>
        <w:t>under</w:t>
      </w:r>
      <w:r w:rsidR="006866CF" w:rsidRPr="00CE29BF">
        <w:rPr>
          <w:rFonts w:ascii="Book Antiqua" w:eastAsia="Book Antiqua" w:hAnsi="Book Antiqua" w:cs="Book Antiqua"/>
          <w:color w:val="000000"/>
        </w:rPr>
        <w:t xml:space="preserve">arm hair. Examination of the external genitalia showed a normal female vulva, with separate urethral and vaginal orifices and no clitoromegaly. </w:t>
      </w:r>
    </w:p>
    <w:p w14:paraId="5173FF15" w14:textId="77777777" w:rsidR="005A7788" w:rsidRPr="00CE29BF" w:rsidRDefault="005A7788">
      <w:pPr>
        <w:spacing w:line="360" w:lineRule="auto"/>
        <w:jc w:val="both"/>
        <w:rPr>
          <w:rFonts w:ascii="Book Antiqua" w:hAnsi="Book Antiqua" w:cs="Book Antiqua"/>
        </w:rPr>
      </w:pPr>
    </w:p>
    <w:p w14:paraId="6A0DB63F"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Laboratory examinations</w:t>
      </w:r>
    </w:p>
    <w:p w14:paraId="2B158520" w14:textId="741CDEEB" w:rsidR="005A7788" w:rsidRPr="00CE29BF" w:rsidRDefault="006C2AA7">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Laboratory findings were as follows: </w:t>
      </w:r>
      <w:r w:rsidR="00757397">
        <w:rPr>
          <w:rFonts w:ascii="Book Antiqua" w:eastAsiaTheme="minorEastAsia" w:hAnsi="Book Antiqua" w:cs="Book Antiqua" w:hint="eastAsia"/>
          <w:color w:val="000000"/>
          <w:lang w:eastAsia="zh-CN"/>
        </w:rPr>
        <w:t>T</w:t>
      </w:r>
      <w:r w:rsidR="006866CF" w:rsidRPr="00CE29BF">
        <w:rPr>
          <w:rFonts w:ascii="Book Antiqua" w:eastAsia="Book Antiqua" w:hAnsi="Book Antiqua" w:cs="Book Antiqua"/>
          <w:color w:val="000000"/>
        </w:rPr>
        <w:t>estosterone (T; 4.29 nmol/L), progesterone (P; 1.53 nmol/L), estradiol (E2; 21.93 pmol/L), and follicle-stimulating hormone (FSH) 32.22 IU/L.</w:t>
      </w:r>
    </w:p>
    <w:p w14:paraId="73A0E83A" w14:textId="77777777" w:rsidR="005A7788" w:rsidRPr="00CE29BF" w:rsidRDefault="005A7788">
      <w:pPr>
        <w:spacing w:line="360" w:lineRule="auto"/>
        <w:jc w:val="both"/>
        <w:rPr>
          <w:rFonts w:ascii="Book Antiqua" w:eastAsia="Book Antiqua" w:hAnsi="Book Antiqua" w:cs="Book Antiqua"/>
          <w:color w:val="000000"/>
        </w:rPr>
      </w:pPr>
    </w:p>
    <w:p w14:paraId="7EF9DD79" w14:textId="77777777" w:rsidR="005A7788" w:rsidRPr="00CE29BF" w:rsidRDefault="006C2AA7">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Laboratory findings showed that serum T was &lt; 0.1 ng/mL, E2 was &lt; 5 pg/mL, and FSH was 70.61 IU/L. </w:t>
      </w:r>
    </w:p>
    <w:p w14:paraId="52B25415" w14:textId="77777777" w:rsidR="005A7788" w:rsidRPr="00CE29BF" w:rsidRDefault="005A7788">
      <w:pPr>
        <w:spacing w:line="360" w:lineRule="auto"/>
        <w:jc w:val="both"/>
        <w:rPr>
          <w:rFonts w:ascii="Book Antiqua" w:hAnsi="Book Antiqua" w:cs="Book Antiqua"/>
        </w:rPr>
      </w:pPr>
    </w:p>
    <w:p w14:paraId="1E507D7A"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Imaging examinations</w:t>
      </w:r>
    </w:p>
    <w:p w14:paraId="10EA6E9D" w14:textId="77777777" w:rsidR="005A7788" w:rsidRPr="00CE29BF" w:rsidRDefault="00A93D8A">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Pelvic ultrasonography demonstrated a primordial uterus with a patent vagina, but failed to identify the ovaries.</w:t>
      </w:r>
    </w:p>
    <w:p w14:paraId="0CA246D8" w14:textId="77777777" w:rsidR="005A7788" w:rsidRPr="00CE29BF" w:rsidRDefault="005A7788">
      <w:pPr>
        <w:spacing w:line="360" w:lineRule="auto"/>
        <w:jc w:val="both"/>
        <w:rPr>
          <w:rFonts w:ascii="Book Antiqua" w:eastAsia="Book Antiqua" w:hAnsi="Book Antiqua" w:cs="Book Antiqua"/>
          <w:color w:val="000000"/>
        </w:rPr>
      </w:pPr>
    </w:p>
    <w:p w14:paraId="48847CB9" w14:textId="77274F30" w:rsidR="005A7788" w:rsidRPr="00CE29BF" w:rsidRDefault="00A93D8A">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Pelvic ultrasonography demonstrated a primordial uterus, and failed to identify the ovaries. </w:t>
      </w:r>
      <w:r w:rsidR="00CC7353">
        <w:rPr>
          <w:rFonts w:ascii="Book Antiqua" w:eastAsia="Book Antiqua" w:hAnsi="Book Antiqua" w:cs="Book Antiqua"/>
          <w:color w:val="000000"/>
        </w:rPr>
        <w:t>C</w:t>
      </w:r>
      <w:r w:rsidR="006866CF" w:rsidRPr="00CE29BF">
        <w:rPr>
          <w:rFonts w:ascii="Book Antiqua" w:eastAsia="Book Antiqua" w:hAnsi="Book Antiqua" w:cs="Book Antiqua"/>
          <w:color w:val="000000"/>
        </w:rPr>
        <w:t>ardiac u</w:t>
      </w:r>
      <w:r w:rsidR="00CC7353">
        <w:rPr>
          <w:rFonts w:ascii="Book Antiqua" w:eastAsia="Book Antiqua" w:hAnsi="Book Antiqua" w:cs="Book Antiqua"/>
          <w:color w:val="000000"/>
        </w:rPr>
        <w:t>lt</w:t>
      </w:r>
      <w:r w:rsidR="006866CF" w:rsidRPr="00CE29BF">
        <w:rPr>
          <w:rFonts w:ascii="Book Antiqua" w:eastAsia="Book Antiqua" w:hAnsi="Book Antiqua" w:cs="Book Antiqua"/>
          <w:color w:val="000000"/>
        </w:rPr>
        <w:t xml:space="preserve">rasonography </w:t>
      </w:r>
      <w:r w:rsidR="00CC7353">
        <w:rPr>
          <w:rFonts w:ascii="Book Antiqua" w:eastAsia="Book Antiqua" w:hAnsi="Book Antiqua" w:cs="Book Antiqua"/>
          <w:color w:val="000000"/>
        </w:rPr>
        <w:t>did not identify any</w:t>
      </w:r>
      <w:r w:rsidR="006866CF" w:rsidRPr="00CE29BF">
        <w:rPr>
          <w:rFonts w:ascii="Book Antiqua" w:eastAsia="Book Antiqua" w:hAnsi="Book Antiqua" w:cs="Book Antiqua"/>
          <w:color w:val="000000"/>
        </w:rPr>
        <w:t xml:space="preserve"> heart malformation</w:t>
      </w:r>
      <w:r w:rsidR="00CC7353">
        <w:rPr>
          <w:rFonts w:ascii="Book Antiqua" w:eastAsia="Book Antiqua" w:hAnsi="Book Antiqua" w:cs="Book Antiqua"/>
          <w:color w:val="000000"/>
        </w:rPr>
        <w:t>s</w:t>
      </w:r>
      <w:r w:rsidR="006866CF" w:rsidRPr="00CE29BF">
        <w:rPr>
          <w:rFonts w:ascii="Book Antiqua" w:eastAsia="Book Antiqua" w:hAnsi="Book Antiqua" w:cs="Book Antiqua"/>
          <w:color w:val="000000"/>
        </w:rPr>
        <w:t>.</w:t>
      </w:r>
    </w:p>
    <w:p w14:paraId="1DB19E26" w14:textId="77777777" w:rsidR="005A7788" w:rsidRPr="00CE29BF" w:rsidRDefault="005A7788">
      <w:pPr>
        <w:spacing w:line="360" w:lineRule="auto"/>
        <w:jc w:val="both"/>
        <w:rPr>
          <w:rFonts w:ascii="Book Antiqua" w:hAnsi="Book Antiqua" w:cs="Book Antiqua"/>
        </w:rPr>
      </w:pPr>
    </w:p>
    <w:p w14:paraId="420CE29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i/>
          <w:color w:val="000000"/>
        </w:rPr>
        <w:t>Further diagnostic work-up</w:t>
      </w:r>
    </w:p>
    <w:p w14:paraId="035D529D" w14:textId="7108E654" w:rsidR="005A7788" w:rsidRPr="00CE29BF" w:rsidRDefault="00DF3695">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1:</w:t>
      </w:r>
      <w:r w:rsidR="006866CF" w:rsidRPr="00CE29BF">
        <w:rPr>
          <w:rFonts w:ascii="Book Antiqua" w:eastAsia="Book Antiqua" w:hAnsi="Book Antiqua" w:cs="Book Antiqua"/>
          <w:color w:val="000000"/>
        </w:rPr>
        <w:t xml:space="preserve"> Chromosomal analysis of peripheral blood lymphocytes revealed hypodiploidy, with only one X chromosome (45, X). Gene </w:t>
      </w:r>
      <w:r w:rsidR="00CC7353">
        <w:rPr>
          <w:rFonts w:ascii="Book Antiqua" w:eastAsia="Book Antiqua" w:hAnsi="Book Antiqua" w:cs="Book Antiqua"/>
          <w:color w:val="000000"/>
        </w:rPr>
        <w:t>analysis</w:t>
      </w:r>
      <w:r w:rsidR="006866CF" w:rsidRPr="00CE29BF">
        <w:rPr>
          <w:rFonts w:ascii="Book Antiqua" w:eastAsia="Book Antiqua" w:hAnsi="Book Antiqua" w:cs="Book Antiqua"/>
          <w:color w:val="000000"/>
        </w:rPr>
        <w:t xml:space="preserve">, using peripheral blood lymphocytes and polymerase chain reaction (PCR) revealed that the patient was positive for the </w:t>
      </w:r>
      <w:r w:rsidR="006866CF" w:rsidRPr="00C242D2">
        <w:rPr>
          <w:rFonts w:ascii="Book Antiqua" w:eastAsia="Book Antiqua" w:hAnsi="Book Antiqua" w:cs="Book Antiqua"/>
          <w:i/>
          <w:color w:val="000000"/>
        </w:rPr>
        <w:t>SRY</w:t>
      </w:r>
      <w:r w:rsidR="006866CF" w:rsidRPr="00CE29BF">
        <w:rPr>
          <w:rFonts w:ascii="Book Antiqua" w:eastAsia="Book Antiqua" w:hAnsi="Book Antiqua" w:cs="Book Antiqua"/>
          <w:color w:val="000000"/>
        </w:rPr>
        <w:t xml:space="preserve"> gene. To screen for hidden Y-chromosome sequences, we used chromosomal microarray analysis (CMA) with the Cytoscan HD chip, which also did not detect any Y sequences.</w:t>
      </w:r>
    </w:p>
    <w:p w14:paraId="2E36F467" w14:textId="77777777" w:rsidR="005A7788" w:rsidRPr="00CE29BF" w:rsidRDefault="005A7788">
      <w:pPr>
        <w:spacing w:line="360" w:lineRule="auto"/>
        <w:jc w:val="both"/>
        <w:rPr>
          <w:rFonts w:ascii="Book Antiqua" w:eastAsia="Book Antiqua" w:hAnsi="Book Antiqua" w:cs="Book Antiqua"/>
          <w:color w:val="000000"/>
        </w:rPr>
      </w:pPr>
    </w:p>
    <w:p w14:paraId="0D4AE312" w14:textId="3DAC613E" w:rsidR="005A7788" w:rsidRPr="00CE29BF" w:rsidRDefault="00DF3695">
      <w:pPr>
        <w:spacing w:line="360" w:lineRule="auto"/>
        <w:jc w:val="both"/>
        <w:rPr>
          <w:rFonts w:ascii="Book Antiqua" w:hAnsi="Book Antiqua" w:cs="Book Antiqua"/>
        </w:rPr>
      </w:pPr>
      <w:r>
        <w:rPr>
          <w:rFonts w:ascii="Book Antiqua" w:eastAsia="Book Antiqua" w:hAnsi="Book Antiqua" w:cs="Book Antiqua"/>
          <w:b/>
          <w:bCs/>
          <w:color w:val="000000"/>
        </w:rPr>
        <w:t>Case</w:t>
      </w:r>
      <w:r w:rsidR="006866CF" w:rsidRPr="00CE29BF">
        <w:rPr>
          <w:rFonts w:ascii="Book Antiqua" w:eastAsia="Book Antiqua" w:hAnsi="Book Antiqua" w:cs="Book Antiqua"/>
          <w:b/>
          <w:bCs/>
          <w:color w:val="000000"/>
        </w:rPr>
        <w:t xml:space="preserve"> 2:</w:t>
      </w:r>
      <w:r w:rsidR="006866CF" w:rsidRPr="00CE29BF">
        <w:rPr>
          <w:rFonts w:ascii="Book Antiqua" w:eastAsia="Book Antiqua" w:hAnsi="Book Antiqua" w:cs="Book Antiqua"/>
          <w:color w:val="000000"/>
        </w:rPr>
        <w:t xml:space="preserve"> Chromosomal analysis of peripheral blood lymphocytes indicated that her karyotype was 45, X/46, X, dic (Y:Y) (p11.3:p11.2). CMA further revealed two populations of cells: </w:t>
      </w:r>
      <w:r w:rsidR="00757397">
        <w:rPr>
          <w:rFonts w:ascii="Book Antiqua" w:eastAsiaTheme="minorEastAsia" w:hAnsi="Book Antiqua" w:cs="Book Antiqua" w:hint="eastAsia"/>
          <w:color w:val="000000"/>
          <w:lang w:eastAsia="zh-CN"/>
        </w:rPr>
        <w:t>O</w:t>
      </w:r>
      <w:r w:rsidR="006866CF" w:rsidRPr="00CE29BF">
        <w:rPr>
          <w:rFonts w:ascii="Book Antiqua" w:eastAsia="Book Antiqua" w:hAnsi="Book Antiqua" w:cs="Book Antiqua"/>
          <w:color w:val="000000"/>
        </w:rPr>
        <w:t>ne cell line (50%) showed 45, X monosomy; while the other cell line (50%) was diploid, with one X chromosome and a dicentric Y chromosome.</w:t>
      </w:r>
    </w:p>
    <w:p w14:paraId="0CF5E03D" w14:textId="77777777" w:rsidR="005A7788" w:rsidRPr="00CE29BF" w:rsidRDefault="005A7788">
      <w:pPr>
        <w:spacing w:line="360" w:lineRule="auto"/>
        <w:jc w:val="both"/>
        <w:rPr>
          <w:rFonts w:ascii="Book Antiqua" w:hAnsi="Book Antiqua" w:cs="Book Antiqua"/>
        </w:rPr>
      </w:pPr>
    </w:p>
    <w:p w14:paraId="4FA84E90"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FINAL DIAGNOSIS</w:t>
      </w:r>
    </w:p>
    <w:p w14:paraId="06DAD251" w14:textId="28F03648"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 xml:space="preserve">The final diagnosis of patient 1 was Turner </w:t>
      </w:r>
      <w:r w:rsidR="00CC7353">
        <w:rPr>
          <w:rFonts w:ascii="Book Antiqua" w:eastAsia="Book Antiqua" w:hAnsi="Book Antiqua" w:cs="Book Antiqua"/>
          <w:color w:val="000000"/>
        </w:rPr>
        <w:t>s</w:t>
      </w:r>
      <w:r w:rsidRPr="00CE29BF">
        <w:rPr>
          <w:rFonts w:ascii="Book Antiqua" w:eastAsia="Book Antiqua" w:hAnsi="Book Antiqua" w:cs="Book Antiqua"/>
          <w:color w:val="000000"/>
        </w:rPr>
        <w:t xml:space="preserve">yndrome with mixed gonadal dysgenesis, and patient 2 was also Turner </w:t>
      </w:r>
      <w:r w:rsidR="00CC7353">
        <w:rPr>
          <w:rFonts w:ascii="Book Antiqua" w:eastAsia="Book Antiqua" w:hAnsi="Book Antiqua" w:cs="Book Antiqua"/>
          <w:color w:val="000000"/>
        </w:rPr>
        <w:t>s</w:t>
      </w:r>
      <w:r w:rsidRPr="00CE29BF">
        <w:rPr>
          <w:rFonts w:ascii="Book Antiqua" w:eastAsia="Book Antiqua" w:hAnsi="Book Antiqua" w:cs="Book Antiqua"/>
          <w:color w:val="000000"/>
        </w:rPr>
        <w:t>yndrome, with a 45, X/46, XY karyotype.</w:t>
      </w:r>
    </w:p>
    <w:p w14:paraId="13C32566" w14:textId="77777777" w:rsidR="005A7788" w:rsidRPr="00CE29BF" w:rsidRDefault="005A7788">
      <w:pPr>
        <w:spacing w:line="360" w:lineRule="auto"/>
        <w:ind w:firstLine="240"/>
        <w:jc w:val="both"/>
        <w:rPr>
          <w:rFonts w:ascii="Book Antiqua" w:hAnsi="Book Antiqua" w:cs="Book Antiqua"/>
        </w:rPr>
      </w:pPr>
    </w:p>
    <w:p w14:paraId="407E87D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TREATMENT</w:t>
      </w:r>
    </w:p>
    <w:p w14:paraId="512DBEAF" w14:textId="65E7095A"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 xml:space="preserve">Considering the risk of gonadoblastoma in TS with a mosaic of Y sequences, it was suggested that the two patients undergo gonadectomy. The two patients, and their parents, provided consent. </w:t>
      </w:r>
      <w:r w:rsidR="00CC7353">
        <w:rPr>
          <w:rFonts w:ascii="Book Antiqua" w:eastAsia="Book Antiqua" w:hAnsi="Book Antiqua" w:cs="Book Antiqua"/>
          <w:color w:val="000000"/>
        </w:rPr>
        <w:t>P</w:t>
      </w:r>
      <w:r w:rsidRPr="00CE29BF">
        <w:rPr>
          <w:rFonts w:ascii="Book Antiqua" w:eastAsia="Book Antiqua" w:hAnsi="Book Antiqua" w:cs="Book Antiqua"/>
          <w:color w:val="000000"/>
        </w:rPr>
        <w:t xml:space="preserve">atient 1 was </w:t>
      </w:r>
      <w:r w:rsidR="00CC7353">
        <w:rPr>
          <w:rFonts w:ascii="Book Antiqua" w:eastAsia="Book Antiqua" w:hAnsi="Book Antiqua" w:cs="Book Antiqua"/>
          <w:color w:val="000000"/>
        </w:rPr>
        <w:t xml:space="preserve">then </w:t>
      </w:r>
      <w:r w:rsidRPr="00CE29BF">
        <w:rPr>
          <w:rFonts w:ascii="Book Antiqua" w:eastAsia="Book Antiqua" w:hAnsi="Book Antiqua" w:cs="Book Antiqua"/>
          <w:color w:val="000000"/>
        </w:rPr>
        <w:t xml:space="preserve">scheduled to undergo clitoroplasty and bilateral gonadectomy. On pelvic laparoscopy (Figures 1 and 2), the primordial uterus </w:t>
      </w:r>
      <w:r w:rsidR="00CC7353">
        <w:rPr>
          <w:rFonts w:ascii="Book Antiqua" w:eastAsia="Book Antiqua" w:hAnsi="Book Antiqua" w:cs="Book Antiqua"/>
          <w:color w:val="000000"/>
        </w:rPr>
        <w:t>was</w:t>
      </w:r>
      <w:r w:rsidRPr="00CE29BF">
        <w:rPr>
          <w:rFonts w:ascii="Book Antiqua" w:eastAsia="Book Antiqua" w:hAnsi="Book Antiqua" w:cs="Book Antiqua"/>
          <w:color w:val="000000"/>
        </w:rPr>
        <w:t xml:space="preserve"> seen, which was approximately 4 cm × 2 cm × 3 cm in size. Both fallopian tubes looked normal, although the left gonad looked streaky in appearance, and was approximately 0.5 cm × 0.3 cm in size. However, the right gonad looked similar to the testicular tissue, and was approximately 1 cm × 1 cm × 0.5 cm in size. Both adnexa were removed during surgery. Histopathology (Figures 3 and 4) showed that only a small amount of hyperplastic fibrous tissue and smooth muscle tissue were evident in the left dysgenetic gonad, </w:t>
      </w:r>
      <w:r w:rsidR="00CC7353">
        <w:rPr>
          <w:rFonts w:ascii="Book Antiqua" w:eastAsia="Book Antiqua" w:hAnsi="Book Antiqua" w:cs="Book Antiqua"/>
          <w:color w:val="000000"/>
        </w:rPr>
        <w:t>and</w:t>
      </w:r>
      <w:r w:rsidRPr="00CE29BF">
        <w:rPr>
          <w:rFonts w:ascii="Book Antiqua" w:eastAsia="Book Antiqua" w:hAnsi="Book Antiqua" w:cs="Book Antiqua"/>
          <w:color w:val="000000"/>
        </w:rPr>
        <w:t xml:space="preserve"> angiogenesis</w:t>
      </w:r>
      <w:r w:rsidR="00B77311">
        <w:rPr>
          <w:rFonts w:ascii="Book Antiqua" w:eastAsia="Book Antiqua" w:hAnsi="Book Antiqua" w:cs="Book Antiqua"/>
          <w:color w:val="000000"/>
        </w:rPr>
        <w:t xml:space="preserve"> was observed</w:t>
      </w:r>
      <w:r w:rsidRPr="00CE29BF">
        <w:rPr>
          <w:rFonts w:ascii="Book Antiqua" w:eastAsia="Book Antiqua" w:hAnsi="Book Antiqua" w:cs="Book Antiqua"/>
          <w:color w:val="000000"/>
        </w:rPr>
        <w:t xml:space="preserve">. Neither ovarian stroma nor testicular tissue was evident. The right gonad mainly consisted of immature testicular tissue rather than ovarian elements. Only Sertoli cells could be seen in the seminiferous tubules of the right gonad; no germ cells were detected. Using PCR, we also detected Y mosaicism in two sides of the removed gonads. The left gonad, which had a streaky appearance, was negative for the </w:t>
      </w:r>
      <w:r w:rsidRPr="00C242D2">
        <w:rPr>
          <w:rFonts w:ascii="Book Antiqua" w:eastAsia="Book Antiqua" w:hAnsi="Book Antiqua" w:cs="Book Antiqua"/>
          <w:i/>
          <w:color w:val="000000"/>
        </w:rPr>
        <w:t>SRY</w:t>
      </w:r>
      <w:r w:rsidRPr="00CE29BF">
        <w:rPr>
          <w:rFonts w:ascii="Book Antiqua" w:eastAsia="Book Antiqua" w:hAnsi="Book Antiqua" w:cs="Book Antiqua"/>
          <w:color w:val="000000"/>
        </w:rPr>
        <w:t xml:space="preserve"> gene, while the right gonad looked similar to the testicular tissue and was positive for the </w:t>
      </w:r>
      <w:r w:rsidRPr="00C242D2">
        <w:rPr>
          <w:rFonts w:ascii="Book Antiqua" w:eastAsia="Book Antiqua" w:hAnsi="Book Antiqua" w:cs="Book Antiqua"/>
          <w:i/>
          <w:color w:val="000000"/>
        </w:rPr>
        <w:t>SRY</w:t>
      </w:r>
      <w:r w:rsidRPr="00CE29BF">
        <w:rPr>
          <w:rFonts w:ascii="Book Antiqua" w:eastAsia="Book Antiqua" w:hAnsi="Book Antiqua" w:cs="Book Antiqua"/>
          <w:color w:val="000000"/>
        </w:rPr>
        <w:t xml:space="preserve"> gene. </w:t>
      </w:r>
      <w:r w:rsidR="00CC7353">
        <w:rPr>
          <w:rFonts w:ascii="Book Antiqua" w:eastAsia="Book Antiqua" w:hAnsi="Book Antiqua" w:cs="Book Antiqua"/>
          <w:color w:val="000000"/>
        </w:rPr>
        <w:t>P</w:t>
      </w:r>
      <w:r w:rsidRPr="00CE29BF">
        <w:rPr>
          <w:rFonts w:ascii="Book Antiqua" w:eastAsia="Book Antiqua" w:hAnsi="Book Antiqua" w:cs="Book Antiqua"/>
          <w:color w:val="000000"/>
        </w:rPr>
        <w:t>atient 2 also underwent bilateral gonadectomy. On pelvic laparoscopy, the primordial uterus could be seen, and the gonads on both sides looked streaky in appearance. Both adnexa were removed during surgery. Histopathology revealed that ovarian and fallopian tube tissue were present in the left and right adnexa. Furthermore, an epithelium inclusion, including endometrioid epithelium and mucous epithelium, was evident in the cortex of the ovary; no follicles were present. Following surger</w:t>
      </w:r>
      <w:r w:rsidR="00CC7353">
        <w:rPr>
          <w:rFonts w:ascii="Book Antiqua" w:eastAsia="Book Antiqua" w:hAnsi="Book Antiqua" w:cs="Book Antiqua"/>
          <w:color w:val="000000"/>
        </w:rPr>
        <w:t>y</w:t>
      </w:r>
      <w:r w:rsidRPr="00CE29BF">
        <w:rPr>
          <w:rFonts w:ascii="Book Antiqua" w:eastAsia="Book Antiqua" w:hAnsi="Book Antiqua" w:cs="Book Antiqua"/>
          <w:color w:val="000000"/>
        </w:rPr>
        <w:t xml:space="preserve">, </w:t>
      </w:r>
      <w:r w:rsidR="00CC7353">
        <w:rPr>
          <w:rFonts w:ascii="Book Antiqua" w:eastAsia="Book Antiqua" w:hAnsi="Book Antiqua" w:cs="Book Antiqua"/>
          <w:color w:val="000000"/>
        </w:rPr>
        <w:t xml:space="preserve">both </w:t>
      </w:r>
      <w:r w:rsidRPr="00CE29BF">
        <w:rPr>
          <w:rFonts w:ascii="Book Antiqua" w:eastAsia="Book Antiqua" w:hAnsi="Book Antiqua" w:cs="Book Antiqua"/>
          <w:color w:val="000000"/>
        </w:rPr>
        <w:t xml:space="preserve">patients commenced growth hormone (GH) treatment to increase levels to those normally attained during childhood. The dose of GH </w:t>
      </w:r>
      <w:r w:rsidR="00E461B2">
        <w:rPr>
          <w:rFonts w:ascii="Book Antiqua" w:eastAsia="Book Antiqua" w:hAnsi="Book Antiqua" w:cs="Book Antiqua"/>
          <w:color w:val="000000"/>
        </w:rPr>
        <w:t>in</w:t>
      </w:r>
      <w:r w:rsidR="00986C51">
        <w:rPr>
          <w:rFonts w:ascii="Book Antiqua" w:eastAsia="Book Antiqua" w:hAnsi="Book Antiqua" w:cs="Book Antiqua"/>
          <w:color w:val="000000"/>
        </w:rPr>
        <w:t xml:space="preserve"> both </w:t>
      </w:r>
      <w:r w:rsidR="00E461B2">
        <w:rPr>
          <w:rFonts w:ascii="Book Antiqua" w:eastAsia="Book Antiqua" w:hAnsi="Book Antiqua" w:cs="Book Antiqua"/>
          <w:color w:val="000000"/>
        </w:rPr>
        <w:t xml:space="preserve">patients was </w:t>
      </w:r>
      <w:r w:rsidR="00986C51">
        <w:rPr>
          <w:rFonts w:ascii="Book Antiqua" w:eastAsia="Book Antiqua" w:hAnsi="Book Antiqua" w:cs="Book Antiqua"/>
          <w:color w:val="000000"/>
        </w:rPr>
        <w:t>initiated at 1.5 IU/kg</w:t>
      </w:r>
      <w:r w:rsidR="00E461B2">
        <w:rPr>
          <w:rFonts w:ascii="Book Antiqua" w:eastAsia="Book Antiqua" w:hAnsi="Book Antiqua" w:cs="Book Antiqua"/>
          <w:color w:val="000000"/>
        </w:rPr>
        <w:t>/</w:t>
      </w:r>
      <w:r w:rsidR="00986C51">
        <w:rPr>
          <w:rFonts w:ascii="Book Antiqua" w:eastAsia="Book Antiqua" w:hAnsi="Book Antiqua" w:cs="Book Antiqua"/>
          <w:color w:val="000000"/>
        </w:rPr>
        <w:t>d</w:t>
      </w:r>
      <w:r w:rsidR="00326F07">
        <w:rPr>
          <w:rFonts w:ascii="Book Antiqua" w:eastAsiaTheme="minorEastAsia" w:hAnsi="Book Antiqua" w:cs="Book Antiqua" w:hint="eastAsia"/>
          <w:color w:val="000000"/>
          <w:lang w:eastAsia="zh-CN"/>
        </w:rPr>
        <w:t>ay</w:t>
      </w:r>
      <w:r w:rsidRPr="00CE29BF">
        <w:rPr>
          <w:rFonts w:ascii="Book Antiqua" w:eastAsia="Book Antiqua" w:hAnsi="Book Antiqua" w:cs="Book Antiqua"/>
          <w:color w:val="000000"/>
        </w:rPr>
        <w:t xml:space="preserve">. </w:t>
      </w:r>
    </w:p>
    <w:p w14:paraId="62F92447" w14:textId="77777777" w:rsidR="005A7788" w:rsidRPr="00CE29BF" w:rsidRDefault="005A7788">
      <w:pPr>
        <w:spacing w:line="360" w:lineRule="auto"/>
        <w:ind w:firstLine="240"/>
        <w:jc w:val="both"/>
        <w:rPr>
          <w:rFonts w:ascii="Book Antiqua" w:hAnsi="Book Antiqua" w:cs="Book Antiqua"/>
        </w:rPr>
      </w:pPr>
    </w:p>
    <w:p w14:paraId="0AF1966E"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OUTCOME AND FOLLOW-UP</w:t>
      </w:r>
    </w:p>
    <w:p w14:paraId="7124BD3E" w14:textId="4FD90B46"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 xml:space="preserve">Two days after surgery, the level of serum </w:t>
      </w:r>
      <w:r w:rsidR="00E461B2">
        <w:rPr>
          <w:rFonts w:ascii="Book Antiqua" w:eastAsia="Book Antiqua" w:hAnsi="Book Antiqua" w:cs="Book Antiqua"/>
          <w:color w:val="000000"/>
        </w:rPr>
        <w:t>T</w:t>
      </w:r>
      <w:r w:rsidRPr="00CE29BF">
        <w:rPr>
          <w:rFonts w:ascii="Book Antiqua" w:eastAsia="Book Antiqua" w:hAnsi="Book Antiqua" w:cs="Book Antiqua"/>
          <w:color w:val="000000"/>
        </w:rPr>
        <w:t xml:space="preserve"> in patient 1 was markedly reduced to less than 0.45 nmol/L. The rate of height growth </w:t>
      </w:r>
      <w:r w:rsidR="00E461B2">
        <w:rPr>
          <w:rFonts w:ascii="Book Antiqua" w:eastAsia="Book Antiqua" w:hAnsi="Book Antiqua" w:cs="Book Antiqua"/>
          <w:color w:val="000000"/>
        </w:rPr>
        <w:t xml:space="preserve">in both </w:t>
      </w:r>
      <w:r w:rsidRPr="00CE29BF">
        <w:rPr>
          <w:rFonts w:ascii="Book Antiqua" w:eastAsia="Book Antiqua" w:hAnsi="Book Antiqua" w:cs="Book Antiqua"/>
          <w:color w:val="000000"/>
        </w:rPr>
        <w:t>patients after GH treatment w</w:t>
      </w:r>
      <w:r w:rsidR="00E461B2">
        <w:rPr>
          <w:rFonts w:ascii="Book Antiqua" w:eastAsia="Book Antiqua" w:hAnsi="Book Antiqua" w:cs="Book Antiqua"/>
          <w:color w:val="000000"/>
        </w:rPr>
        <w:t>as</w:t>
      </w:r>
      <w:r w:rsidRPr="00CE29BF">
        <w:rPr>
          <w:rFonts w:ascii="Book Antiqua" w:eastAsia="Book Antiqua" w:hAnsi="Book Antiqua" w:cs="Book Antiqua"/>
          <w:color w:val="000000"/>
        </w:rPr>
        <w:t xml:space="preserve"> accelerated. Regular follow-up</w:t>
      </w:r>
      <w:r w:rsidR="00E461B2">
        <w:rPr>
          <w:rFonts w:ascii="Book Antiqua" w:eastAsia="Book Antiqua" w:hAnsi="Book Antiqua" w:cs="Book Antiqua"/>
          <w:color w:val="000000"/>
        </w:rPr>
        <w:t xml:space="preserve"> is</w:t>
      </w:r>
      <w:r w:rsidRPr="00CE29BF">
        <w:rPr>
          <w:rFonts w:ascii="Book Antiqua" w:eastAsia="Book Antiqua" w:hAnsi="Book Antiqua" w:cs="Book Antiqua"/>
          <w:color w:val="000000"/>
        </w:rPr>
        <w:t xml:space="preserve"> still in progress, and no gonadoblastomas </w:t>
      </w:r>
      <w:r w:rsidR="00E461B2">
        <w:rPr>
          <w:rFonts w:ascii="Book Antiqua" w:eastAsia="Book Antiqua" w:hAnsi="Book Antiqua" w:cs="Book Antiqua"/>
          <w:color w:val="000000"/>
        </w:rPr>
        <w:t>have been</w:t>
      </w:r>
      <w:r w:rsidRPr="00CE29BF">
        <w:rPr>
          <w:rFonts w:ascii="Book Antiqua" w:eastAsia="Book Antiqua" w:hAnsi="Book Antiqua" w:cs="Book Antiqua"/>
          <w:color w:val="000000"/>
        </w:rPr>
        <w:t xml:space="preserve"> detected.</w:t>
      </w:r>
    </w:p>
    <w:p w14:paraId="297CF813" w14:textId="77777777" w:rsidR="005A7788" w:rsidRPr="00CE29BF" w:rsidRDefault="005A7788">
      <w:pPr>
        <w:spacing w:line="360" w:lineRule="auto"/>
        <w:ind w:firstLine="240"/>
        <w:jc w:val="both"/>
        <w:rPr>
          <w:rFonts w:ascii="Book Antiqua" w:hAnsi="Book Antiqua" w:cs="Book Antiqua"/>
        </w:rPr>
      </w:pPr>
    </w:p>
    <w:p w14:paraId="3A45B0D1"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DISCUSSION</w:t>
      </w:r>
    </w:p>
    <w:p w14:paraId="1E9D1972" w14:textId="1AACD513" w:rsidR="005A7788" w:rsidRPr="00986C51"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The most frequent karyotype in TS is 45, X monosomy, and accounts for 40%-50% of all karyotypes</w:t>
      </w:r>
      <w:r w:rsidRPr="00CE29BF">
        <w:rPr>
          <w:rFonts w:ascii="Book Antiqua" w:eastAsia="Book Antiqua" w:hAnsi="Book Antiqua" w:cs="Book Antiqua"/>
          <w:color w:val="000000"/>
          <w:vertAlign w:val="superscript"/>
        </w:rPr>
        <w:t>[</w:t>
      </w:r>
      <w:r w:rsidRPr="00CE29BF">
        <w:rPr>
          <w:rFonts w:ascii="Book Antiqua" w:eastAsia="Book Antiqua" w:hAnsi="Book Antiqua" w:cs="Book Antiqua"/>
          <w:color w:val="000000"/>
          <w:u w:val="single" w:color="0000EE"/>
          <w:vertAlign w:val="superscript"/>
        </w:rPr>
        <w:t>2</w:t>
      </w:r>
      <w:r w:rsidRPr="00CE29BF">
        <w:rPr>
          <w:rFonts w:ascii="Book Antiqua" w:eastAsia="Book Antiqua" w:hAnsi="Book Antiqua" w:cs="Book Antiqua"/>
          <w:color w:val="000000"/>
          <w:vertAlign w:val="superscript"/>
        </w:rPr>
        <w:t>]</w:t>
      </w:r>
      <w:r w:rsidRPr="00CE29BF">
        <w:rPr>
          <w:rFonts w:ascii="Book Antiqua" w:eastAsia="Book Antiqua" w:hAnsi="Book Antiqua" w:cs="Book Antiqua"/>
          <w:color w:val="000000"/>
        </w:rPr>
        <w:t xml:space="preserve">. The common clinical manifestations of TS include a characteristic facial appearance; linear growth failure; ovarian insufficiency; early sensorineural hearing loss; distinctive congenital cardiovascular, skeletal, digital and renal anomalies; and a range of other disorders. Generally, patients with 45, X TS have gonads that are streaky in appearance or have immature ovaries. In this report, we describe the case of Patient 1, who had no ovarian tissue; instead, she had some immature testicular tissue containing Sertoli cells. This form of gonadal dysgenesis is typically observed in a mosaic 45, X/46, XY karyotype. However, standard cytogenetic analysis of peripheral blood lymphocytes, and even CMA, failed to detect any Y-chromosome sequences in Patient 1. Interestingly, PCR of the peripheral blood lymphocytes showed that </w:t>
      </w:r>
      <w:r w:rsidR="00E461B2">
        <w:rPr>
          <w:rFonts w:ascii="Book Antiqua" w:eastAsia="Book Antiqua" w:hAnsi="Book Antiqua" w:cs="Book Antiqua"/>
          <w:color w:val="000000"/>
        </w:rPr>
        <w:t>this</w:t>
      </w:r>
      <w:r w:rsidRPr="00CE29BF">
        <w:rPr>
          <w:rFonts w:ascii="Book Antiqua" w:eastAsia="Book Antiqua" w:hAnsi="Book Antiqua" w:cs="Book Antiqua"/>
          <w:color w:val="000000"/>
        </w:rPr>
        <w:t xml:space="preserve"> patient was positive for the </w:t>
      </w:r>
      <w:r w:rsidRPr="00C242D2">
        <w:rPr>
          <w:rFonts w:ascii="Book Antiqua" w:eastAsia="Book Antiqua" w:hAnsi="Book Antiqua" w:cs="Book Antiqua"/>
          <w:i/>
          <w:color w:val="000000"/>
        </w:rPr>
        <w:t>SRY</w:t>
      </w:r>
      <w:r w:rsidRPr="00CE29BF">
        <w:rPr>
          <w:rFonts w:ascii="Book Antiqua" w:eastAsia="Book Antiqua" w:hAnsi="Book Antiqua" w:cs="Book Antiqua"/>
          <w:i/>
          <w:iCs/>
          <w:color w:val="000000"/>
        </w:rPr>
        <w:t xml:space="preserve"> </w:t>
      </w:r>
      <w:r w:rsidRPr="00CE29BF">
        <w:rPr>
          <w:rFonts w:ascii="Book Antiqua" w:eastAsia="Book Antiqua" w:hAnsi="Book Antiqua" w:cs="Book Antiqua"/>
          <w:color w:val="000000"/>
        </w:rPr>
        <w:t>gene.</w:t>
      </w:r>
      <w:r w:rsidRPr="00CE29BF">
        <w:rPr>
          <w:rFonts w:ascii="Book Antiqua" w:eastAsia="Book Antiqua" w:hAnsi="Book Antiqua" w:cs="Book Antiqua"/>
          <w:i/>
          <w:iCs/>
          <w:color w:val="000000"/>
        </w:rPr>
        <w:t xml:space="preserve"> </w:t>
      </w:r>
      <w:r w:rsidRPr="00CE29BF">
        <w:rPr>
          <w:rFonts w:ascii="Book Antiqua" w:eastAsia="Book Antiqua" w:hAnsi="Book Antiqua" w:cs="Book Antiqua"/>
          <w:color w:val="000000"/>
        </w:rPr>
        <w:t xml:space="preserve">This approach provided evidence of unrecognized Y sequences that were not found by classic karyotyping or CMA. In 2015, Jung </w:t>
      </w:r>
      <w:r w:rsidRPr="00CE29BF">
        <w:rPr>
          <w:rFonts w:ascii="Book Antiqua" w:eastAsia="Book Antiqua" w:hAnsi="Book Antiqua" w:cs="Book Antiqua"/>
          <w:i/>
          <w:iCs/>
          <w:color w:val="000000"/>
        </w:rPr>
        <w:t>et al</w:t>
      </w:r>
      <w:r w:rsidRPr="00CE29BF">
        <w:rPr>
          <w:rFonts w:ascii="Book Antiqua" w:eastAsia="Book Antiqua" w:hAnsi="Book Antiqua" w:cs="Book Antiqua"/>
          <w:color w:val="000000"/>
          <w:vertAlign w:val="superscript"/>
        </w:rPr>
        <w:t>[</w:t>
      </w:r>
      <w:r w:rsidRPr="00CE29BF">
        <w:rPr>
          <w:rFonts w:ascii="Book Antiqua" w:eastAsia="Book Antiqua" w:hAnsi="Book Antiqua" w:cs="Book Antiqua"/>
          <w:color w:val="000000"/>
          <w:u w:val="single" w:color="0000EE"/>
          <w:vertAlign w:val="superscript"/>
        </w:rPr>
        <w:t>3</w:t>
      </w:r>
      <w:r w:rsidRPr="00CE29BF">
        <w:rPr>
          <w:rFonts w:ascii="Book Antiqua" w:eastAsia="Book Antiqua" w:hAnsi="Book Antiqua" w:cs="Book Antiqua"/>
          <w:color w:val="000000"/>
          <w:vertAlign w:val="superscript"/>
        </w:rPr>
        <w:t>]</w:t>
      </w:r>
      <w:r w:rsidRPr="00CE29BF">
        <w:rPr>
          <w:rFonts w:ascii="Book Antiqua" w:eastAsia="Book Antiqua" w:hAnsi="Book Antiqua" w:cs="Book Antiqua"/>
          <w:color w:val="000000"/>
        </w:rPr>
        <w:t xml:space="preserve"> reported a similar case; the authors identified a TS patient (45, X) who was positive for the </w:t>
      </w:r>
      <w:r w:rsidRPr="00C242D2">
        <w:rPr>
          <w:rFonts w:ascii="Book Antiqua" w:eastAsia="Book Antiqua" w:hAnsi="Book Antiqua" w:cs="Book Antiqua"/>
          <w:i/>
          <w:color w:val="000000"/>
        </w:rPr>
        <w:t>SRY</w:t>
      </w:r>
      <w:r w:rsidRPr="00CE29BF">
        <w:rPr>
          <w:rFonts w:ascii="Book Antiqua" w:eastAsia="Book Antiqua" w:hAnsi="Book Antiqua" w:cs="Book Antiqua"/>
          <w:color w:val="000000"/>
        </w:rPr>
        <w:t xml:space="preserve"> gene. This patient had a normal female phenotype; however, pathological </w:t>
      </w:r>
      <w:r w:rsidRPr="00986C51">
        <w:rPr>
          <w:rFonts w:ascii="Book Antiqua" w:eastAsia="Book Antiqua" w:hAnsi="Book Antiqua" w:cs="Book Antiqua"/>
          <w:color w:val="000000"/>
        </w:rPr>
        <w:t xml:space="preserve">examination revealed a combination of ovarian tissue, including primordial follicles and testicular tissue, containing spermatogonia and seminiferous tubules. In 1992, Held </w:t>
      </w:r>
      <w:r w:rsidRPr="00986C51">
        <w:rPr>
          <w:rFonts w:ascii="Book Antiqua" w:eastAsia="Book Antiqua" w:hAnsi="Book Antiqua" w:cs="Book Antiqua"/>
          <w:i/>
          <w:iCs/>
          <w:color w:val="000000"/>
        </w:rPr>
        <w:t>et al</w:t>
      </w:r>
      <w:r w:rsidRPr="00986C51">
        <w:rPr>
          <w:rFonts w:ascii="Book Antiqua" w:eastAsia="Book Antiqua" w:hAnsi="Book Antiqua" w:cs="Book Antiqua"/>
          <w:color w:val="000000"/>
          <w:vertAlign w:val="superscript"/>
        </w:rPr>
        <w:t>[4]</w:t>
      </w:r>
      <w:r w:rsidRPr="00986C51">
        <w:rPr>
          <w:rFonts w:ascii="Book Antiqua" w:eastAsia="Book Antiqua" w:hAnsi="Book Antiqua" w:cs="Book Antiqua"/>
          <w:color w:val="000000"/>
        </w:rPr>
        <w:t xml:space="preserve"> proposed that all female patients with TS and 45, X karyotypes carry a cell line containing two sex chromosomes at a low level of mosaicism, which is undetectable using standard cytogenetic analysis. This hypothesi</w:t>
      </w:r>
      <w:r w:rsidR="00E461B2">
        <w:rPr>
          <w:rFonts w:ascii="Book Antiqua" w:eastAsia="Book Antiqua" w:hAnsi="Book Antiqua" w:cs="Book Antiqua"/>
          <w:color w:val="000000"/>
        </w:rPr>
        <w:t>s</w:t>
      </w:r>
      <w:r w:rsidRPr="00986C51">
        <w:rPr>
          <w:rFonts w:ascii="Book Antiqua" w:eastAsia="Book Antiqua" w:hAnsi="Book Antiqua" w:cs="Book Antiqua"/>
          <w:color w:val="000000"/>
        </w:rPr>
        <w:t xml:space="preserve"> was also mentioned in the European Clinical Practice Guideline in 2016, although this was not proven conclusively</w:t>
      </w:r>
      <w:r w:rsidRPr="00986C51">
        <w:rPr>
          <w:rFonts w:ascii="Book Antiqua" w:eastAsia="Book Antiqua" w:hAnsi="Book Antiqua" w:cs="Book Antiqua"/>
          <w:color w:val="000000"/>
          <w:vertAlign w:val="superscript"/>
        </w:rPr>
        <w:t>[2]</w:t>
      </w:r>
      <w:r w:rsidRPr="00986C51">
        <w:rPr>
          <w:rFonts w:ascii="Book Antiqua" w:eastAsia="Book Antiqua" w:hAnsi="Book Antiqua" w:cs="Book Antiqua"/>
          <w:color w:val="000000"/>
        </w:rPr>
        <w:t xml:space="preserve">. In view of this, we propose that Patient 1 carried a low level of Y mosaicism, which was undetectable using conventional karyotype analysis, even by CMA. PCR, with multiple Y-specific probes, is more sensitive for the detection of Y mosaicism in TS patients. In our cases, we used an SRY probe as a marker for the presence of Y sequences. </w:t>
      </w:r>
    </w:p>
    <w:p w14:paraId="0BE5E3E3" w14:textId="2E86AB43" w:rsidR="005A7788" w:rsidRPr="00986C51" w:rsidRDefault="006866CF">
      <w:pPr>
        <w:spacing w:line="360" w:lineRule="auto"/>
        <w:ind w:firstLine="240"/>
        <w:jc w:val="both"/>
        <w:rPr>
          <w:rFonts w:ascii="Book Antiqua" w:hAnsi="Book Antiqua" w:cs="Book Antiqua"/>
        </w:rPr>
      </w:pPr>
      <w:r w:rsidRPr="00986C51">
        <w:rPr>
          <w:rFonts w:ascii="Book Antiqua" w:eastAsia="Book Antiqua" w:hAnsi="Book Antiqua" w:cs="Book Antiqua"/>
          <w:color w:val="000000"/>
        </w:rPr>
        <w:t>However, this still does not explain why Patient 1, with a 45, X karyotype, had more obvious virilization than Patient 2, who had normal female external genitalia and no genital virilism, while her karyotype was obviously mosaic with numerous Y sequences. Thus, it appears that the specific karyotype does not always predict the sexual phenotype. Therefore, wh</w:t>
      </w:r>
      <w:r w:rsidR="00E461B2">
        <w:rPr>
          <w:rFonts w:ascii="Book Antiqua" w:eastAsia="Book Antiqua" w:hAnsi="Book Antiqua" w:cs="Book Antiqua"/>
          <w:color w:val="000000"/>
        </w:rPr>
        <w:t>ich</w:t>
      </w:r>
      <w:r w:rsidRPr="00986C51">
        <w:rPr>
          <w:rFonts w:ascii="Book Antiqua" w:eastAsia="Book Antiqua" w:hAnsi="Book Antiqua" w:cs="Book Antiqua"/>
          <w:color w:val="000000"/>
        </w:rPr>
        <w:t xml:space="preserve"> factors determine the sexual phenotype of TS patients? We know that the key to testicular formation from the undifferentiated embryonic gonad is the presence of the short arm of the Y chromosome, which contains the </w:t>
      </w:r>
      <w:r w:rsidRPr="00C242D2">
        <w:rPr>
          <w:rFonts w:ascii="Book Antiqua" w:eastAsia="Book Antiqua" w:hAnsi="Book Antiqua" w:cs="Book Antiqua"/>
          <w:i/>
          <w:color w:val="000000"/>
        </w:rPr>
        <w:t>SRY</w:t>
      </w:r>
      <w:r w:rsidRPr="00986C51">
        <w:rPr>
          <w:rFonts w:ascii="Book Antiqua" w:eastAsia="Book Antiqua" w:hAnsi="Book Antiqua" w:cs="Book Antiqua"/>
          <w:color w:val="000000"/>
        </w:rPr>
        <w:t xml:space="preserve"> gene. The </w:t>
      </w:r>
      <w:r w:rsidRPr="00C242D2">
        <w:rPr>
          <w:rFonts w:ascii="Book Antiqua" w:eastAsia="Book Antiqua" w:hAnsi="Book Antiqua" w:cs="Book Antiqua"/>
          <w:i/>
          <w:color w:val="000000"/>
        </w:rPr>
        <w:t>SRY</w:t>
      </w:r>
      <w:r w:rsidRPr="00986C51">
        <w:rPr>
          <w:rFonts w:ascii="Book Antiqua" w:eastAsia="Book Antiqua" w:hAnsi="Book Antiqua" w:cs="Book Antiqua"/>
          <w:color w:val="000000"/>
        </w:rPr>
        <w:t xml:space="preserve"> gene, located on Yp11.3, is a major molecular trigger of sex determination and differentiation. The presence of Y chromosome mosaicism in TS may determine modifications in the typical female phenotype, causing a wide range of degrees of virilization of the genital tract. However, this conclusion does not concur with the high proportion of Y-bearing cells in peripheral blood from Patient 2 (50%), whose gonads contained no sign of virilization.</w:t>
      </w:r>
    </w:p>
    <w:p w14:paraId="0D643B28" w14:textId="75847858" w:rsidR="005A7788" w:rsidRPr="00986C51" w:rsidRDefault="006866CF">
      <w:pPr>
        <w:spacing w:line="360" w:lineRule="auto"/>
        <w:ind w:firstLineChars="100" w:firstLine="240"/>
        <w:jc w:val="both"/>
        <w:rPr>
          <w:rFonts w:ascii="Book Antiqua" w:hAnsi="Book Antiqua" w:cs="Book Antiqua"/>
        </w:rPr>
      </w:pPr>
      <w:r w:rsidRPr="00986C51">
        <w:rPr>
          <w:rFonts w:ascii="Book Antiqua" w:eastAsia="Book Antiqua" w:hAnsi="Book Antiqua" w:cs="Book Antiqua"/>
          <w:color w:val="000000"/>
        </w:rPr>
        <w:t>Many recent studies have shown that the percentage of Y-bearing cell line in the peripheral blood remains an unreliable indicator of the sexual phenotype</w:t>
      </w:r>
      <w:r w:rsidRPr="00986C51">
        <w:rPr>
          <w:rFonts w:ascii="Book Antiqua" w:eastAsia="Book Antiqua" w:hAnsi="Book Antiqua" w:cs="Book Antiqua"/>
          <w:color w:val="000000"/>
          <w:vertAlign w:val="superscript"/>
        </w:rPr>
        <w:t>[5,6]</w:t>
      </w:r>
      <w:r w:rsidRPr="00986C51">
        <w:rPr>
          <w:rFonts w:ascii="Book Antiqua" w:eastAsia="Book Antiqua" w:hAnsi="Book Antiqua" w:cs="Book Antiqua"/>
          <w:color w:val="000000"/>
        </w:rPr>
        <w:t xml:space="preserve">. In these articles, the authors compared the ratio of cell lines in different tissues from TS patients including peripheral blood lymphocytes, buccal mucosa cells, skin fibroblasts, and gonadal tissue. They found that the ratio of cells showing 45, X monosomy, and cells with an abnormal Y chromosome, may differ from tissue to tissue.  For example, Gole </w:t>
      </w:r>
      <w:r w:rsidRPr="00986C51">
        <w:rPr>
          <w:rFonts w:ascii="Book Antiqua" w:eastAsia="Book Antiqua" w:hAnsi="Book Antiqua" w:cs="Book Antiqua"/>
          <w:i/>
          <w:iCs/>
          <w:color w:val="000000"/>
        </w:rPr>
        <w:t>et al</w:t>
      </w:r>
      <w:r w:rsidRPr="00986C51">
        <w:rPr>
          <w:rFonts w:ascii="Book Antiqua" w:eastAsia="Book Antiqua" w:hAnsi="Book Antiqua" w:cs="Book Antiqua"/>
          <w:color w:val="000000"/>
          <w:vertAlign w:val="superscript"/>
        </w:rPr>
        <w:t>[5]</w:t>
      </w:r>
      <w:r w:rsidRPr="00986C51">
        <w:rPr>
          <w:rFonts w:ascii="Book Antiqua" w:eastAsia="Book Antiqua" w:hAnsi="Book Antiqua" w:cs="Book Antiqua"/>
          <w:color w:val="000000"/>
        </w:rPr>
        <w:t xml:space="preserve"> analyzed a Turner phenotype with mixed gonadal dysgenesis, and karyotyped gonadal skin, the peripheral blood, and the right and left gonads, to determine the distribution of these two cell lines. The results showed that the patient’s right gonad, which was an ovotestis, had 31% of idic Y cells, while the left gonad, which was a streaky ovary, featured cells with a 45, X karyotype; the peripheral blood lymphocytes showed that 90% of cells had an idic Y chromosome. These studies suggest that the gonadal determination and differentiation of mosaic subjects is primarily dependent on the predominant cell line in the gonads. In other words, 45, X leads to the development of streaky gonad, while 46, X, idic (Y), or 46, XY, leads to a dysgenetic testis; the presence of both cell lines results in mixed gonadal dysgenesis</w:t>
      </w:r>
      <w:r w:rsidRPr="00986C51">
        <w:rPr>
          <w:rFonts w:ascii="Book Antiqua" w:eastAsia="Book Antiqua" w:hAnsi="Book Antiqua" w:cs="Book Antiqua"/>
          <w:color w:val="000000"/>
          <w:vertAlign w:val="superscript"/>
        </w:rPr>
        <w:t>[7]</w:t>
      </w:r>
      <w:r w:rsidRPr="00986C51">
        <w:rPr>
          <w:rFonts w:ascii="Book Antiqua" w:eastAsia="Book Antiqua" w:hAnsi="Book Antiqua" w:cs="Book Antiqua"/>
          <w:color w:val="000000"/>
        </w:rPr>
        <w:t>. This conclusion may support the discrepancy in our patients between their peripheral blood karyotypes, and their sexual phenotypes. In the majority of cells, the gonosomal karyotype in the gonadal tissue may represent the key factor responsible for the patient’s phenotypic characteristics</w:t>
      </w:r>
      <w:r w:rsidRPr="00986C51">
        <w:rPr>
          <w:rFonts w:ascii="Book Antiqua" w:eastAsia="Book Antiqua" w:hAnsi="Book Antiqua" w:cs="Book Antiqua"/>
          <w:color w:val="000000"/>
          <w:vertAlign w:val="superscript"/>
        </w:rPr>
        <w:t>[6]</w:t>
      </w:r>
      <w:r w:rsidRPr="00986C51">
        <w:rPr>
          <w:rFonts w:ascii="Book Antiqua" w:eastAsia="Book Antiqua" w:hAnsi="Book Antiqua" w:cs="Book Antiqua"/>
          <w:color w:val="000000"/>
        </w:rPr>
        <w:t xml:space="preserve">. Therefore, being able to identify the gonosomal karyotype is important, as it appears to influence the phenotypic presentation. One limitation of this study is that we could not further analyze the karyotypes of the gonadal tissue from these two patients. </w:t>
      </w:r>
    </w:p>
    <w:p w14:paraId="593E3024" w14:textId="7F7CD527" w:rsidR="005A7788" w:rsidRPr="00986C51" w:rsidRDefault="006866CF">
      <w:pPr>
        <w:spacing w:line="360" w:lineRule="auto"/>
        <w:ind w:firstLineChars="100" w:firstLine="240"/>
        <w:jc w:val="both"/>
        <w:rPr>
          <w:rFonts w:ascii="Book Antiqua" w:hAnsi="Book Antiqua" w:cs="Book Antiqua"/>
        </w:rPr>
      </w:pPr>
      <w:r w:rsidRPr="00986C51">
        <w:rPr>
          <w:rFonts w:ascii="Book Antiqua" w:eastAsia="Book Antiqua" w:hAnsi="Book Antiqua" w:cs="Book Antiqua"/>
          <w:color w:val="000000"/>
        </w:rPr>
        <w:t>The European Clinical Practice Guideline of 2016 reported that 45, X/46, XY accounted for 10%-12% of all karyotypes in TS</w:t>
      </w:r>
      <w:r w:rsidRPr="00986C51">
        <w:rPr>
          <w:rFonts w:ascii="Book Antiqua" w:eastAsia="Book Antiqua" w:hAnsi="Book Antiqua" w:cs="Book Antiqua"/>
          <w:color w:val="000000"/>
          <w:vertAlign w:val="superscript"/>
        </w:rPr>
        <w:t>[2]</w:t>
      </w:r>
      <w:r w:rsidRPr="00986C51">
        <w:rPr>
          <w:rFonts w:ascii="Book Antiqua" w:eastAsia="Book Antiqua" w:hAnsi="Book Antiqua" w:cs="Book Antiqua"/>
          <w:color w:val="000000"/>
        </w:rPr>
        <w:t>. However, another recent study reported that the frequency of Y-chromosome sequences in TS patients ranged from 4.6% to 60%</w:t>
      </w:r>
      <w:r w:rsidRPr="00986C51">
        <w:rPr>
          <w:rFonts w:ascii="Book Antiqua" w:eastAsia="Book Antiqua" w:hAnsi="Book Antiqua" w:cs="Book Antiqua"/>
          <w:color w:val="000000"/>
          <w:vertAlign w:val="superscript"/>
        </w:rPr>
        <w:t>[8]</w:t>
      </w:r>
      <w:r w:rsidRPr="00986C51">
        <w:rPr>
          <w:rFonts w:ascii="Book Antiqua" w:eastAsia="Book Antiqua" w:hAnsi="Book Antiqua" w:cs="Book Antiqua"/>
          <w:color w:val="000000"/>
        </w:rPr>
        <w:t>. These differences may be due to a range of factors including the criteria used to select patients, sample size, methodology, and the Y-chromosome markers used. When the analyzed tissue was peripheral blood alone, the prevalence of Y sequences ranged from 4.6% to 18.5%. However, in studies where more than one tissue was evaluated, the prevalence was greater. Y-chromosome sequences in TS patients raise concerns related to the potential for gonadoblastoma, a form of benign gonadal tumor with a high potential for malignant transformation. This tumor is mainly reported in females with gonadal dysgenesis; approximately 95% of these patients have Y sequences in their genomes</w:t>
      </w:r>
      <w:r w:rsidRPr="00986C51">
        <w:rPr>
          <w:rFonts w:ascii="Book Antiqua" w:eastAsia="Book Antiqua" w:hAnsi="Book Antiqua" w:cs="Book Antiqua"/>
          <w:color w:val="000000"/>
          <w:vertAlign w:val="superscript"/>
        </w:rPr>
        <w:t>[9]</w:t>
      </w:r>
      <w:r w:rsidRPr="00986C51">
        <w:rPr>
          <w:rFonts w:ascii="Book Antiqua" w:eastAsia="Book Antiqua" w:hAnsi="Book Antiqua" w:cs="Book Antiqua"/>
          <w:color w:val="000000"/>
        </w:rPr>
        <w:t>. Approximately 10% of TS patients with Y chromosome sequences may develop gonadoblastoma</w:t>
      </w:r>
      <w:r w:rsidRPr="00986C51">
        <w:rPr>
          <w:rFonts w:ascii="Book Antiqua" w:eastAsia="Book Antiqua" w:hAnsi="Book Antiqua" w:cs="Book Antiqua"/>
          <w:color w:val="000000"/>
          <w:vertAlign w:val="superscript"/>
        </w:rPr>
        <w:t>[2]</w:t>
      </w:r>
      <w:r w:rsidRPr="00986C51">
        <w:rPr>
          <w:rFonts w:ascii="Book Antiqua" w:eastAsia="Book Antiqua" w:hAnsi="Book Antiqua" w:cs="Book Antiqua"/>
          <w:color w:val="000000"/>
        </w:rPr>
        <w:t xml:space="preserve">. Therefore, when virilization is present in TS, it is necessary to test at least two to three tissues to search for cryptic Y material. </w:t>
      </w:r>
      <w:r w:rsidR="004F636F">
        <w:rPr>
          <w:rFonts w:ascii="Book Antiqua" w:eastAsia="Book Antiqua" w:hAnsi="Book Antiqua" w:cs="Book Antiqua"/>
          <w:color w:val="000000"/>
        </w:rPr>
        <w:t>Fluorescence in situ hybridization (</w:t>
      </w:r>
      <w:r w:rsidRPr="00986C51">
        <w:rPr>
          <w:rFonts w:ascii="Book Antiqua" w:eastAsia="Book Antiqua" w:hAnsi="Book Antiqua" w:cs="Book Antiqua"/>
          <w:color w:val="000000"/>
        </w:rPr>
        <w:t>FISH</w:t>
      </w:r>
      <w:r w:rsidR="004F636F">
        <w:rPr>
          <w:rFonts w:ascii="Book Antiqua" w:eastAsia="Book Antiqua" w:hAnsi="Book Antiqua" w:cs="Book Antiqua"/>
          <w:color w:val="000000"/>
        </w:rPr>
        <w:t>)</w:t>
      </w:r>
      <w:r w:rsidRPr="00986C51">
        <w:rPr>
          <w:rFonts w:ascii="Book Antiqua" w:eastAsia="Book Antiqua" w:hAnsi="Book Antiqua" w:cs="Book Antiqua"/>
          <w:color w:val="000000"/>
        </w:rPr>
        <w:t xml:space="preserve"> or PCR with multiple Y-specific probes can increase the detection rate of Y-chromosomal material. Moreover, prophylactic gonadectomy is suggested in TS cases with Y chromosome material identified on standard karyotyping</w:t>
      </w:r>
      <w:r w:rsidRPr="00986C51">
        <w:rPr>
          <w:rFonts w:ascii="Book Antiqua" w:eastAsia="Book Antiqua" w:hAnsi="Book Antiqua" w:cs="Book Antiqua"/>
          <w:color w:val="000000"/>
          <w:vertAlign w:val="superscript"/>
        </w:rPr>
        <w:t>[2]</w:t>
      </w:r>
      <w:r w:rsidRPr="00986C51">
        <w:rPr>
          <w:rFonts w:ascii="Book Antiqua" w:eastAsia="Book Antiqua" w:hAnsi="Book Antiqua" w:cs="Book Antiqua"/>
          <w:color w:val="000000"/>
        </w:rPr>
        <w:t xml:space="preserve">. </w:t>
      </w:r>
    </w:p>
    <w:p w14:paraId="41C9C146" w14:textId="77777777" w:rsidR="005A7788" w:rsidRPr="00986C51" w:rsidRDefault="005A7788">
      <w:pPr>
        <w:spacing w:line="360" w:lineRule="auto"/>
        <w:jc w:val="both"/>
        <w:rPr>
          <w:rFonts w:ascii="Book Antiqua" w:hAnsi="Book Antiqua" w:cs="Book Antiqua"/>
        </w:rPr>
      </w:pPr>
    </w:p>
    <w:p w14:paraId="74087F5B"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aps/>
          <w:color w:val="000000"/>
          <w:u w:val="single"/>
        </w:rPr>
        <w:t>CONCLUSION</w:t>
      </w:r>
    </w:p>
    <w:p w14:paraId="050AB99A"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In conclusion,</w:t>
      </w:r>
      <w:r w:rsidRPr="00CE29BF">
        <w:rPr>
          <w:rFonts w:ascii="Book Antiqua" w:eastAsia="Book Antiqua" w:hAnsi="Book Antiqua" w:cs="Book Antiqua"/>
          <w:b/>
          <w:bCs/>
          <w:color w:val="000000"/>
        </w:rPr>
        <w:t xml:space="preserve"> </w:t>
      </w:r>
      <w:r w:rsidRPr="00CE29BF">
        <w:rPr>
          <w:rFonts w:ascii="Book Antiqua" w:eastAsia="Book Antiqua" w:hAnsi="Book Antiqua" w:cs="Book Antiqua"/>
          <w:color w:val="000000"/>
        </w:rPr>
        <w:t>different tissues in the same TS individual may exhibit different ratios of mosaicism, and the gonadal determination and differentiation of mosaic TS are primarily dependent on the predominant cell line in the gonads. The mosaicism of Y chromosome sequences in TS is related to the potential for gonadoblastoma. Therefore, in TS patients with virilization, it is necessary to test at least two to three tissues to search for cryptic Y material, such as peripheral blood, buccal mucosa cells, skin fibroblasts, and especially gonadal tissue. However, conventional karyotype analysis is not sufficient. PCR or FISH analysis should be used to enhance the efficiency of screening for Y-chromosomal material in TS patients.</w:t>
      </w:r>
    </w:p>
    <w:p w14:paraId="077F0005" w14:textId="77777777" w:rsidR="005A7788" w:rsidRPr="00CE29BF" w:rsidRDefault="005A7788" w:rsidP="000573CF">
      <w:pPr>
        <w:spacing w:line="360" w:lineRule="auto"/>
        <w:jc w:val="both"/>
        <w:rPr>
          <w:rFonts w:ascii="Book Antiqua" w:hAnsi="Book Antiqua" w:cs="Book Antiqua"/>
        </w:rPr>
      </w:pPr>
    </w:p>
    <w:p w14:paraId="2E3086B3"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REFERENCES</w:t>
      </w:r>
    </w:p>
    <w:p w14:paraId="16AC546D"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1 </w:t>
      </w:r>
      <w:r w:rsidRPr="00CE29BF">
        <w:rPr>
          <w:rFonts w:ascii="Book Antiqua" w:hAnsi="Book Antiqua" w:cs="Book Antiqua"/>
          <w:b/>
        </w:rPr>
        <w:t>Sybert VP</w:t>
      </w:r>
      <w:r w:rsidRPr="00CE29BF">
        <w:rPr>
          <w:rFonts w:ascii="Book Antiqua" w:hAnsi="Book Antiqua" w:cs="Book Antiqua"/>
        </w:rPr>
        <w:t xml:space="preserve">, McCauley E. Turner's syndrome. </w:t>
      </w:r>
      <w:r w:rsidRPr="00CE29BF">
        <w:rPr>
          <w:rFonts w:ascii="Book Antiqua" w:hAnsi="Book Antiqua" w:cs="Book Antiqua"/>
          <w:i/>
        </w:rPr>
        <w:t>N Engl J Med</w:t>
      </w:r>
      <w:r w:rsidRPr="00CE29BF">
        <w:rPr>
          <w:rFonts w:ascii="Book Antiqua" w:hAnsi="Book Antiqua" w:cs="Book Antiqua"/>
        </w:rPr>
        <w:t xml:space="preserve"> 2004; </w:t>
      </w:r>
      <w:r w:rsidRPr="00CE29BF">
        <w:rPr>
          <w:rFonts w:ascii="Book Antiqua" w:hAnsi="Book Antiqua" w:cs="Book Antiqua"/>
          <w:b/>
        </w:rPr>
        <w:t>351</w:t>
      </w:r>
      <w:r w:rsidRPr="00CE29BF">
        <w:rPr>
          <w:rFonts w:ascii="Book Antiqua" w:hAnsi="Book Antiqua" w:cs="Book Antiqua"/>
        </w:rPr>
        <w:t>: 1227-1238 [PMID: 15371580 DOI: 10.1056/NEJMra030360]</w:t>
      </w:r>
    </w:p>
    <w:p w14:paraId="6C2F9371"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2 </w:t>
      </w:r>
      <w:r w:rsidRPr="00CE29BF">
        <w:rPr>
          <w:rFonts w:ascii="Book Antiqua" w:hAnsi="Book Antiqua" w:cs="Book Antiqua"/>
          <w:b/>
        </w:rPr>
        <w:t>Gravholt CH</w:t>
      </w:r>
      <w:r w:rsidRPr="00CE29BF">
        <w:rPr>
          <w:rFonts w:ascii="Book Antiqua" w:hAnsi="Book Antiqua" w:cs="Book Antiqua"/>
        </w:rPr>
        <w:t xml:space="preserve">, Andersen NH, Conway GS, Dekkers OM, Geffner ME, Klein KO, Lin AE, Mauras N, Quigley CA, Rubin K, Sandberg DE, Sas TCJ, Silberbach M, Söderström-Anttila V, Stochholm K, van Alfen-van derVelden JA, Woelfle J, Backeljauw PF; International Turner Syndrome Consensus Group. Clinical practice guidelines for the care of girls and women with Turner syndrome: proceedings from the 2016 Cincinnati International Turner Syndrome Meeting. </w:t>
      </w:r>
      <w:r w:rsidRPr="00CE29BF">
        <w:rPr>
          <w:rFonts w:ascii="Book Antiqua" w:hAnsi="Book Antiqua" w:cs="Book Antiqua"/>
          <w:i/>
        </w:rPr>
        <w:t>Eur J Endocrinol</w:t>
      </w:r>
      <w:r w:rsidRPr="00CE29BF">
        <w:rPr>
          <w:rFonts w:ascii="Book Antiqua" w:hAnsi="Book Antiqua" w:cs="Book Antiqua"/>
        </w:rPr>
        <w:t xml:space="preserve"> 2017; </w:t>
      </w:r>
      <w:r w:rsidRPr="00CE29BF">
        <w:rPr>
          <w:rFonts w:ascii="Book Antiqua" w:hAnsi="Book Antiqua" w:cs="Book Antiqua"/>
          <w:b/>
        </w:rPr>
        <w:t>177</w:t>
      </w:r>
      <w:r w:rsidRPr="00CE29BF">
        <w:rPr>
          <w:rFonts w:ascii="Book Antiqua" w:hAnsi="Book Antiqua" w:cs="Book Antiqua"/>
        </w:rPr>
        <w:t>: G1-G70 [PMID: 28705803 DOI: 10.1530/eje-17-0430]</w:t>
      </w:r>
    </w:p>
    <w:p w14:paraId="78383894"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3 </w:t>
      </w:r>
      <w:r w:rsidRPr="00CE29BF">
        <w:rPr>
          <w:rFonts w:ascii="Book Antiqua" w:hAnsi="Book Antiqua" w:cs="Book Antiqua"/>
          <w:b/>
        </w:rPr>
        <w:t>Jung JY</w:t>
      </w:r>
      <w:r w:rsidRPr="00CE29BF">
        <w:rPr>
          <w:rFonts w:ascii="Book Antiqua" w:hAnsi="Book Antiqua" w:cs="Book Antiqua"/>
        </w:rPr>
        <w:t xml:space="preserve">, Yang S, Jeong EH, Lee HC, Lee YM, Han HS, Yi KH. Mixed gonadal dysgenesis in 45,X Turner syndrome with SRY gene. </w:t>
      </w:r>
      <w:r w:rsidRPr="00CE29BF">
        <w:rPr>
          <w:rFonts w:ascii="Book Antiqua" w:hAnsi="Book Antiqua" w:cs="Book Antiqua"/>
          <w:i/>
        </w:rPr>
        <w:t>Ann Pediatr Endocrinol Metab</w:t>
      </w:r>
      <w:r w:rsidRPr="00CE29BF">
        <w:rPr>
          <w:rFonts w:ascii="Book Antiqua" w:hAnsi="Book Antiqua" w:cs="Book Antiqua"/>
        </w:rPr>
        <w:t xml:space="preserve"> 2015; </w:t>
      </w:r>
      <w:r w:rsidRPr="00CE29BF">
        <w:rPr>
          <w:rFonts w:ascii="Book Antiqua" w:hAnsi="Book Antiqua" w:cs="Book Antiqua"/>
          <w:b/>
        </w:rPr>
        <w:t>20</w:t>
      </w:r>
      <w:r w:rsidRPr="00CE29BF">
        <w:rPr>
          <w:rFonts w:ascii="Book Antiqua" w:hAnsi="Book Antiqua" w:cs="Book Antiqua"/>
        </w:rPr>
        <w:t>: 226-229 [PMID: 26817010 DOI: 10.6065/apem.2015.20.4.226]</w:t>
      </w:r>
    </w:p>
    <w:p w14:paraId="1FDF8093"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4 </w:t>
      </w:r>
      <w:r w:rsidRPr="00CE29BF">
        <w:rPr>
          <w:rFonts w:ascii="Book Antiqua" w:hAnsi="Book Antiqua" w:cs="Book Antiqua"/>
          <w:b/>
        </w:rPr>
        <w:t>Held KR</w:t>
      </w:r>
      <w:r w:rsidRPr="00CE29BF">
        <w:rPr>
          <w:rFonts w:ascii="Book Antiqua" w:hAnsi="Book Antiqua" w:cs="Book Antiqua"/>
        </w:rPr>
        <w:t xml:space="preserve">, Kerber S, Kaminsky E, Singh S, Goetz P, Seemanova E, Goedde HW. Mosaicism in 45,X Turner syndrome: does survival in early pregnancy depend on the presence of two sex chromosomes? </w:t>
      </w:r>
      <w:r w:rsidRPr="00CE29BF">
        <w:rPr>
          <w:rFonts w:ascii="Book Antiqua" w:hAnsi="Book Antiqua" w:cs="Book Antiqua"/>
          <w:i/>
        </w:rPr>
        <w:t>Hum Genet</w:t>
      </w:r>
      <w:r w:rsidRPr="00CE29BF">
        <w:rPr>
          <w:rFonts w:ascii="Book Antiqua" w:hAnsi="Book Antiqua" w:cs="Book Antiqua"/>
        </w:rPr>
        <w:t xml:space="preserve"> 1992; </w:t>
      </w:r>
      <w:r w:rsidRPr="00CE29BF">
        <w:rPr>
          <w:rFonts w:ascii="Book Antiqua" w:hAnsi="Book Antiqua" w:cs="Book Antiqua"/>
          <w:b/>
        </w:rPr>
        <w:t>88</w:t>
      </w:r>
      <w:r w:rsidRPr="00CE29BF">
        <w:rPr>
          <w:rFonts w:ascii="Book Antiqua" w:hAnsi="Book Antiqua" w:cs="Book Antiqua"/>
        </w:rPr>
        <w:t>: 288-294 [PMID: 1733830 DOI: 10.1007/bf00197261]</w:t>
      </w:r>
    </w:p>
    <w:p w14:paraId="5C545627"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5 </w:t>
      </w:r>
      <w:r w:rsidRPr="00CE29BF">
        <w:rPr>
          <w:rFonts w:ascii="Book Antiqua" w:hAnsi="Book Antiqua" w:cs="Book Antiqua"/>
          <w:b/>
        </w:rPr>
        <w:t>Gole LA</w:t>
      </w:r>
      <w:r w:rsidRPr="00CE29BF">
        <w:rPr>
          <w:rFonts w:ascii="Book Antiqua" w:hAnsi="Book Antiqua" w:cs="Book Antiqua"/>
        </w:rPr>
        <w:t xml:space="preserve">, Lim J, Crolla JA, Loke KY. Gonadal mosaicism 45,X/46,X,psu dic(Y)(q11.2) resulting in a Turner phenotype with mixed gonadal dysgenesis. </w:t>
      </w:r>
      <w:r w:rsidRPr="00CE29BF">
        <w:rPr>
          <w:rFonts w:ascii="Book Antiqua" w:hAnsi="Book Antiqua" w:cs="Book Antiqua"/>
          <w:i/>
        </w:rPr>
        <w:t>Singapore Med J</w:t>
      </w:r>
      <w:r w:rsidRPr="00CE29BF">
        <w:rPr>
          <w:rFonts w:ascii="Book Antiqua" w:hAnsi="Book Antiqua" w:cs="Book Antiqua"/>
        </w:rPr>
        <w:t xml:space="preserve"> 2008; </w:t>
      </w:r>
      <w:r w:rsidRPr="00CE29BF">
        <w:rPr>
          <w:rFonts w:ascii="Book Antiqua" w:hAnsi="Book Antiqua" w:cs="Book Antiqua"/>
          <w:b/>
        </w:rPr>
        <w:t>49</w:t>
      </w:r>
      <w:r w:rsidRPr="00CE29BF">
        <w:rPr>
          <w:rFonts w:ascii="Book Antiqua" w:hAnsi="Book Antiqua" w:cs="Book Antiqua"/>
        </w:rPr>
        <w:t>: 349-351 [PMID: 18418530]</w:t>
      </w:r>
    </w:p>
    <w:p w14:paraId="2A79EC56"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6 </w:t>
      </w:r>
      <w:r w:rsidRPr="00CE29BF">
        <w:rPr>
          <w:rFonts w:ascii="Book Antiqua" w:hAnsi="Book Antiqua" w:cs="Book Antiqua"/>
          <w:b/>
        </w:rPr>
        <w:t>Baer TG</w:t>
      </w:r>
      <w:r w:rsidRPr="00CE29BF">
        <w:rPr>
          <w:rFonts w:ascii="Book Antiqua" w:hAnsi="Book Antiqua" w:cs="Book Antiqua"/>
        </w:rPr>
        <w:t xml:space="preserve">, Freeman CE, Cujar C, Mansukhani M, Singh B, Chen X, Abellar R, Oberfield SE, Levy B. Prevalence and Physical Distribution of SRY in the Gonads of a Woman with Turner Syndrome: Phenotypic Presentation, Tubal Formation, and Malignancy Risk. </w:t>
      </w:r>
      <w:r w:rsidRPr="00CE29BF">
        <w:rPr>
          <w:rFonts w:ascii="Book Antiqua" w:hAnsi="Book Antiqua" w:cs="Book Antiqua"/>
          <w:i/>
        </w:rPr>
        <w:t>Horm Res Paediatr</w:t>
      </w:r>
      <w:r w:rsidRPr="00CE29BF">
        <w:rPr>
          <w:rFonts w:ascii="Book Antiqua" w:hAnsi="Book Antiqua" w:cs="Book Antiqua"/>
        </w:rPr>
        <w:t xml:space="preserve"> 2017; </w:t>
      </w:r>
      <w:r w:rsidRPr="00CE29BF">
        <w:rPr>
          <w:rFonts w:ascii="Book Antiqua" w:hAnsi="Book Antiqua" w:cs="Book Antiqua"/>
          <w:b/>
        </w:rPr>
        <w:t>88</w:t>
      </w:r>
      <w:r w:rsidRPr="00CE29BF">
        <w:rPr>
          <w:rFonts w:ascii="Book Antiqua" w:hAnsi="Book Antiqua" w:cs="Book Antiqua"/>
        </w:rPr>
        <w:t>: 291-297 [PMID: 28618411 DOI: 10.1159/000477240]</w:t>
      </w:r>
    </w:p>
    <w:p w14:paraId="226C74BD"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7 </w:t>
      </w:r>
      <w:r w:rsidRPr="00CE29BF">
        <w:rPr>
          <w:rFonts w:ascii="Book Antiqua" w:hAnsi="Book Antiqua" w:cs="Book Antiqua"/>
          <w:b/>
        </w:rPr>
        <w:t>Shinawi M</w:t>
      </w:r>
      <w:r w:rsidRPr="00CE29BF">
        <w:rPr>
          <w:rFonts w:ascii="Book Antiqua" w:hAnsi="Book Antiqua" w:cs="Book Antiqua"/>
        </w:rPr>
        <w:t xml:space="preserve">, Cain MP, Vanderbrink BA, Grignon DJ, Mensing D, Cooper ML, Bader P, Cheung SW. Mixed gonadal dysgenesis in a child with isodicentric Y chromosome: Does the relative proportion of the 45,X line really matter? </w:t>
      </w:r>
      <w:r w:rsidRPr="00CE29BF">
        <w:rPr>
          <w:rFonts w:ascii="Book Antiqua" w:hAnsi="Book Antiqua" w:cs="Book Antiqua"/>
          <w:i/>
        </w:rPr>
        <w:t>Am J Med Genet A</w:t>
      </w:r>
      <w:r w:rsidRPr="00CE29BF">
        <w:rPr>
          <w:rFonts w:ascii="Book Antiqua" w:hAnsi="Book Antiqua" w:cs="Book Antiqua"/>
        </w:rPr>
        <w:t xml:space="preserve"> 2010; </w:t>
      </w:r>
      <w:r w:rsidRPr="00CE29BF">
        <w:rPr>
          <w:rFonts w:ascii="Book Antiqua" w:hAnsi="Book Antiqua" w:cs="Book Antiqua"/>
          <w:b/>
        </w:rPr>
        <w:t>152A</w:t>
      </w:r>
      <w:r w:rsidRPr="00CE29BF">
        <w:rPr>
          <w:rFonts w:ascii="Book Antiqua" w:hAnsi="Book Antiqua" w:cs="Book Antiqua"/>
        </w:rPr>
        <w:t>: 1832-1837 [PMID: 20583182 DOI: 10.1002/ajmg.a.33475]</w:t>
      </w:r>
    </w:p>
    <w:p w14:paraId="35C733CD"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8 </w:t>
      </w:r>
      <w:r w:rsidRPr="00CE29BF">
        <w:rPr>
          <w:rFonts w:ascii="Book Antiqua" w:hAnsi="Book Antiqua" w:cs="Book Antiqua"/>
          <w:b/>
        </w:rPr>
        <w:t>de Marqui AB</w:t>
      </w:r>
      <w:r w:rsidRPr="00CE29BF">
        <w:rPr>
          <w:rFonts w:ascii="Book Antiqua" w:hAnsi="Book Antiqua" w:cs="Book Antiqua"/>
        </w:rPr>
        <w:t xml:space="preserve">, da Silva-Grecco RL, Balarin MA. [Prevalence of Y-chromosome sequences and gonadoblastoma in Turner syndrome]. </w:t>
      </w:r>
      <w:r w:rsidRPr="00CE29BF">
        <w:rPr>
          <w:rFonts w:ascii="Book Antiqua" w:hAnsi="Book Antiqua" w:cs="Book Antiqua"/>
          <w:i/>
        </w:rPr>
        <w:t>Rev Paul Pediatr</w:t>
      </w:r>
      <w:r w:rsidRPr="00CE29BF">
        <w:rPr>
          <w:rFonts w:ascii="Book Antiqua" w:hAnsi="Book Antiqua" w:cs="Book Antiqua"/>
        </w:rPr>
        <w:t xml:space="preserve"> 2016; </w:t>
      </w:r>
      <w:r w:rsidRPr="00CE29BF">
        <w:rPr>
          <w:rFonts w:ascii="Book Antiqua" w:hAnsi="Book Antiqua" w:cs="Book Antiqua"/>
          <w:b/>
        </w:rPr>
        <w:t>34</w:t>
      </w:r>
      <w:r w:rsidRPr="00CE29BF">
        <w:rPr>
          <w:rFonts w:ascii="Book Antiqua" w:hAnsi="Book Antiqua" w:cs="Book Antiqua"/>
        </w:rPr>
        <w:t>: 114-121 [PMID: 26525685 DOI: 10.1016/j.rpped.2015.06.007]</w:t>
      </w:r>
    </w:p>
    <w:p w14:paraId="361B21B4" w14:textId="77777777" w:rsidR="005A7788" w:rsidRPr="00CE29BF" w:rsidRDefault="006866CF">
      <w:pPr>
        <w:widowControl w:val="0"/>
        <w:spacing w:line="360" w:lineRule="auto"/>
        <w:jc w:val="both"/>
        <w:rPr>
          <w:rFonts w:ascii="Book Antiqua" w:hAnsi="Book Antiqua" w:cs="Book Antiqua"/>
        </w:rPr>
      </w:pPr>
      <w:r w:rsidRPr="00CE29BF">
        <w:rPr>
          <w:rFonts w:ascii="Book Antiqua" w:hAnsi="Book Antiqua" w:cs="Book Antiqua"/>
        </w:rPr>
        <w:t xml:space="preserve">9 </w:t>
      </w:r>
      <w:r w:rsidRPr="00CE29BF">
        <w:rPr>
          <w:rFonts w:ascii="Book Antiqua" w:hAnsi="Book Antiqua" w:cs="Book Antiqua"/>
          <w:b/>
        </w:rPr>
        <w:t>Lipay MV</w:t>
      </w:r>
      <w:r w:rsidRPr="00CE29BF">
        <w:rPr>
          <w:rFonts w:ascii="Book Antiqua" w:hAnsi="Book Antiqua" w:cs="Book Antiqua"/>
        </w:rPr>
        <w:t xml:space="preserve">, Bianco B, Verreschi IT. [Gonadal dysgenesis and tumors: genetic and clinical features]. </w:t>
      </w:r>
      <w:r w:rsidRPr="00CE29BF">
        <w:rPr>
          <w:rFonts w:ascii="Book Antiqua" w:hAnsi="Book Antiqua" w:cs="Book Antiqua"/>
          <w:i/>
        </w:rPr>
        <w:t>Arq Bras Endocrinol Metabol</w:t>
      </w:r>
      <w:r w:rsidRPr="00CE29BF">
        <w:rPr>
          <w:rFonts w:ascii="Book Antiqua" w:hAnsi="Book Antiqua" w:cs="Book Antiqua"/>
        </w:rPr>
        <w:t xml:space="preserve"> 2005; </w:t>
      </w:r>
      <w:r w:rsidRPr="00CE29BF">
        <w:rPr>
          <w:rFonts w:ascii="Book Antiqua" w:hAnsi="Book Antiqua" w:cs="Book Antiqua"/>
          <w:b/>
        </w:rPr>
        <w:t>49</w:t>
      </w:r>
      <w:r w:rsidRPr="00CE29BF">
        <w:rPr>
          <w:rFonts w:ascii="Book Antiqua" w:hAnsi="Book Antiqua" w:cs="Book Antiqua"/>
        </w:rPr>
        <w:t>: 60-70 [PMID: 16544035 DOI: 10.1590/s0004-27302005000100008]</w:t>
      </w:r>
    </w:p>
    <w:p w14:paraId="49E8D540" w14:textId="77777777" w:rsidR="005A7788" w:rsidRPr="00CE29BF" w:rsidRDefault="005A7788">
      <w:pPr>
        <w:spacing w:line="360" w:lineRule="auto"/>
        <w:jc w:val="both"/>
        <w:rPr>
          <w:rFonts w:ascii="Book Antiqua" w:hAnsi="Book Antiqua" w:cs="Book Antiqua"/>
        </w:rPr>
      </w:pPr>
    </w:p>
    <w:p w14:paraId="0449D072" w14:textId="77777777" w:rsidR="005A7788" w:rsidRPr="00CE29BF" w:rsidRDefault="005A7788">
      <w:pPr>
        <w:spacing w:line="360" w:lineRule="auto"/>
        <w:jc w:val="both"/>
        <w:rPr>
          <w:rFonts w:ascii="Book Antiqua" w:hAnsi="Book Antiqua" w:cs="Book Antiqua"/>
        </w:rPr>
        <w:sectPr w:rsidR="005A7788" w:rsidRPr="00CE29BF">
          <w:pgSz w:w="12240" w:h="15840"/>
          <w:pgMar w:top="1440" w:right="1440" w:bottom="1440" w:left="1440" w:header="720" w:footer="720" w:gutter="0"/>
          <w:cols w:space="720"/>
          <w:docGrid w:linePitch="360"/>
        </w:sectPr>
      </w:pPr>
    </w:p>
    <w:p w14:paraId="1ECE50E0"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Footnotes</w:t>
      </w:r>
    </w:p>
    <w:p w14:paraId="6C016256" w14:textId="58614B64"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Informed consent statement: </w:t>
      </w:r>
      <w:r w:rsidRPr="00CE29BF">
        <w:rPr>
          <w:rFonts w:ascii="Book Antiqua" w:eastAsia="Book Antiqua" w:hAnsi="Book Antiqua" w:cs="Book Antiqua"/>
          <w:color w:val="000000"/>
        </w:rPr>
        <w:t xml:space="preserve">Written informed consent was obtained from the patient's parent/guardian for publication of this </w:t>
      </w:r>
      <w:r w:rsidR="004F636F">
        <w:rPr>
          <w:rFonts w:ascii="Book Antiqua" w:eastAsia="Book Antiqua" w:hAnsi="Book Antiqua" w:cs="Book Antiqua"/>
          <w:color w:val="000000"/>
        </w:rPr>
        <w:t>c</w:t>
      </w:r>
      <w:r w:rsidRPr="00CE29BF">
        <w:rPr>
          <w:rFonts w:ascii="Book Antiqua" w:eastAsia="Book Antiqua" w:hAnsi="Book Antiqua" w:cs="Book Antiqua"/>
          <w:color w:val="000000"/>
        </w:rPr>
        <w:t>ase report and any accompanying images.</w:t>
      </w:r>
    </w:p>
    <w:p w14:paraId="0C266998" w14:textId="77777777" w:rsidR="005A7788" w:rsidRPr="00CE29BF" w:rsidRDefault="005A7788">
      <w:pPr>
        <w:spacing w:line="360" w:lineRule="auto"/>
        <w:jc w:val="both"/>
        <w:rPr>
          <w:rFonts w:ascii="Book Antiqua" w:hAnsi="Book Antiqua" w:cs="Book Antiqua"/>
        </w:rPr>
      </w:pPr>
    </w:p>
    <w:p w14:paraId="38AD928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Conflict-of-interest statement: </w:t>
      </w:r>
      <w:r w:rsidRPr="00CE29BF">
        <w:rPr>
          <w:rFonts w:ascii="Book Antiqua" w:eastAsia="Book Antiqua" w:hAnsi="Book Antiqua" w:cs="Book Antiqua"/>
          <w:color w:val="000000"/>
        </w:rPr>
        <w:t xml:space="preserve">The authors declare that they have no competing interests. </w:t>
      </w:r>
    </w:p>
    <w:p w14:paraId="75DA5818" w14:textId="77777777" w:rsidR="005A7788" w:rsidRPr="00CE29BF" w:rsidRDefault="005A7788">
      <w:pPr>
        <w:spacing w:line="360" w:lineRule="auto"/>
        <w:jc w:val="both"/>
        <w:rPr>
          <w:rFonts w:ascii="Book Antiqua" w:hAnsi="Book Antiqua" w:cs="Book Antiqua"/>
        </w:rPr>
      </w:pPr>
    </w:p>
    <w:p w14:paraId="54728CE0"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CARE Checklist (2016) statement: </w:t>
      </w:r>
      <w:r w:rsidRPr="00CE29BF">
        <w:rPr>
          <w:rFonts w:ascii="Book Antiqua" w:eastAsia="Book Antiqua" w:hAnsi="Book Antiqua" w:cs="Book Antiqua"/>
          <w:color w:val="000000"/>
        </w:rPr>
        <w:t>The authors have read the CARE Checklist (2016), and the manuscript was prepared and revised according to the CARE Checklist (2016).</w:t>
      </w:r>
    </w:p>
    <w:p w14:paraId="49934677" w14:textId="77777777" w:rsidR="005A7788" w:rsidRPr="00CE29BF" w:rsidRDefault="005A7788">
      <w:pPr>
        <w:spacing w:line="360" w:lineRule="auto"/>
        <w:jc w:val="both"/>
        <w:rPr>
          <w:rFonts w:ascii="Book Antiqua" w:hAnsi="Book Antiqua" w:cs="Book Antiqua"/>
        </w:rPr>
      </w:pPr>
    </w:p>
    <w:p w14:paraId="32031BF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bCs/>
          <w:color w:val="000000"/>
        </w:rPr>
        <w:t xml:space="preserve">Open-Access: </w:t>
      </w:r>
      <w:r w:rsidRPr="00CE29B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53EF27" w14:textId="77777777" w:rsidR="005A7788" w:rsidRPr="00CE29BF" w:rsidRDefault="005A7788">
      <w:pPr>
        <w:spacing w:line="360" w:lineRule="auto"/>
        <w:jc w:val="both"/>
        <w:rPr>
          <w:rFonts w:ascii="Book Antiqua" w:hAnsi="Book Antiqua" w:cs="Book Antiqua"/>
        </w:rPr>
      </w:pPr>
    </w:p>
    <w:p w14:paraId="7B0A75A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Manuscript source: </w:t>
      </w:r>
      <w:r w:rsidRPr="00CE29BF">
        <w:rPr>
          <w:rFonts w:ascii="Book Antiqua" w:eastAsia="Book Antiqua" w:hAnsi="Book Antiqua" w:cs="Book Antiqua"/>
          <w:color w:val="000000"/>
        </w:rPr>
        <w:t>Unsolicited manuscript</w:t>
      </w:r>
    </w:p>
    <w:p w14:paraId="5B5029E9" w14:textId="77777777" w:rsidR="005A7788" w:rsidRPr="00CE29BF" w:rsidRDefault="005A7788">
      <w:pPr>
        <w:spacing w:line="360" w:lineRule="auto"/>
        <w:jc w:val="both"/>
        <w:rPr>
          <w:rFonts w:ascii="Book Antiqua" w:hAnsi="Book Antiqua" w:cs="Book Antiqua"/>
        </w:rPr>
      </w:pPr>
    </w:p>
    <w:p w14:paraId="2D64A9EF"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Peer-review started: </w:t>
      </w:r>
      <w:r w:rsidRPr="00CE29BF">
        <w:rPr>
          <w:rFonts w:ascii="Book Antiqua" w:eastAsia="Book Antiqua" w:hAnsi="Book Antiqua" w:cs="Book Antiqua"/>
          <w:color w:val="000000"/>
        </w:rPr>
        <w:t>August 6, 2020</w:t>
      </w:r>
    </w:p>
    <w:p w14:paraId="09D80AF2"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First decision: </w:t>
      </w:r>
      <w:r w:rsidRPr="00CE29BF">
        <w:rPr>
          <w:rFonts w:ascii="Book Antiqua" w:eastAsia="Book Antiqua" w:hAnsi="Book Antiqua" w:cs="Book Antiqua"/>
          <w:color w:val="000000"/>
        </w:rPr>
        <w:t>August 21, 2020</w:t>
      </w:r>
    </w:p>
    <w:p w14:paraId="4028A694" w14:textId="5742659C"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Article in press: </w:t>
      </w:r>
      <w:r w:rsidR="00391A0A" w:rsidRPr="00515161">
        <w:rPr>
          <w:rFonts w:ascii="Book Antiqua" w:eastAsia="Book Antiqua" w:hAnsi="Book Antiqua" w:cs="Book Antiqua"/>
          <w:color w:val="000000"/>
        </w:rPr>
        <w:t>September 18, 2020</w:t>
      </w:r>
    </w:p>
    <w:p w14:paraId="728B4C3C" w14:textId="77777777" w:rsidR="005A7788" w:rsidRPr="00CE29BF" w:rsidRDefault="005A7788">
      <w:pPr>
        <w:spacing w:line="360" w:lineRule="auto"/>
        <w:jc w:val="both"/>
        <w:rPr>
          <w:rFonts w:ascii="Book Antiqua" w:hAnsi="Book Antiqua" w:cs="Book Antiqua"/>
        </w:rPr>
      </w:pPr>
    </w:p>
    <w:p w14:paraId="64F89D2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Specialty type: </w:t>
      </w:r>
      <w:r w:rsidRPr="00CE29BF">
        <w:rPr>
          <w:rFonts w:ascii="Book Antiqua" w:eastAsia="Book Antiqua" w:hAnsi="Book Antiqua" w:cs="Book Antiqua"/>
          <w:color w:val="000000"/>
        </w:rPr>
        <w:t>Pediatrics</w:t>
      </w:r>
    </w:p>
    <w:p w14:paraId="30B17E51"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 xml:space="preserve">Country/Territory of origin: </w:t>
      </w:r>
      <w:r w:rsidRPr="00CE29BF">
        <w:rPr>
          <w:rFonts w:ascii="Book Antiqua" w:eastAsia="Book Antiqua" w:hAnsi="Book Antiqua" w:cs="Book Antiqua"/>
          <w:color w:val="000000"/>
        </w:rPr>
        <w:t>China</w:t>
      </w:r>
    </w:p>
    <w:p w14:paraId="2447B628"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b/>
          <w:color w:val="000000"/>
        </w:rPr>
        <w:t>Peer-review report’s scientific quality classification</w:t>
      </w:r>
    </w:p>
    <w:p w14:paraId="6E23D001"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Grade A (Excellent): 0</w:t>
      </w:r>
    </w:p>
    <w:p w14:paraId="6EEFAE65"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Grade B (Very good): B</w:t>
      </w:r>
    </w:p>
    <w:p w14:paraId="7C025897"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Grade C (Good): 0</w:t>
      </w:r>
    </w:p>
    <w:p w14:paraId="010D9B76"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Grade D (Fair): 0</w:t>
      </w:r>
    </w:p>
    <w:p w14:paraId="0211A210" w14:textId="77777777" w:rsidR="005A7788" w:rsidRPr="00CE29BF" w:rsidRDefault="006866CF">
      <w:pPr>
        <w:spacing w:line="360" w:lineRule="auto"/>
        <w:jc w:val="both"/>
        <w:rPr>
          <w:rFonts w:ascii="Book Antiqua" w:hAnsi="Book Antiqua" w:cs="Book Antiqua"/>
        </w:rPr>
      </w:pPr>
      <w:r w:rsidRPr="00CE29BF">
        <w:rPr>
          <w:rFonts w:ascii="Book Antiqua" w:eastAsia="Book Antiqua" w:hAnsi="Book Antiqua" w:cs="Book Antiqua"/>
          <w:color w:val="000000"/>
        </w:rPr>
        <w:t>Grade E (Poor): 0</w:t>
      </w:r>
    </w:p>
    <w:p w14:paraId="7982E905" w14:textId="77777777" w:rsidR="005A7788" w:rsidRPr="00CE29BF" w:rsidRDefault="005A7788">
      <w:pPr>
        <w:spacing w:line="360" w:lineRule="auto"/>
        <w:jc w:val="both"/>
        <w:rPr>
          <w:rFonts w:ascii="Book Antiqua" w:hAnsi="Book Antiqua" w:cs="Book Antiqua"/>
        </w:rPr>
      </w:pPr>
    </w:p>
    <w:p w14:paraId="2E326CC6" w14:textId="10159694" w:rsidR="005A7788" w:rsidRPr="00CE29BF" w:rsidRDefault="008D2C43" w:rsidP="008D2C43">
      <w:pPr>
        <w:spacing w:line="360" w:lineRule="auto"/>
        <w:jc w:val="both"/>
        <w:rPr>
          <w:rFonts w:ascii="Book Antiqua" w:eastAsia="Book Antiqua" w:hAnsi="Book Antiqua" w:cs="Book Antiqua"/>
          <w:b/>
          <w:color w:val="000000"/>
        </w:rPr>
      </w:pPr>
      <w:r>
        <w:rPr>
          <w:rFonts w:ascii="Book Antiqua" w:eastAsiaTheme="minorEastAsia" w:hAnsi="Book Antiqua" w:cs="Book Antiqua" w:hint="eastAsia"/>
          <w:b/>
          <w:color w:val="000000"/>
          <w:lang w:eastAsia="zh-CN"/>
        </w:rPr>
        <w:t>P-</w:t>
      </w:r>
      <w:r w:rsidR="006866CF" w:rsidRPr="00CE29BF">
        <w:rPr>
          <w:rFonts w:ascii="Book Antiqua" w:eastAsia="Book Antiqua" w:hAnsi="Book Antiqua" w:cs="Book Antiqua"/>
          <w:b/>
          <w:color w:val="000000"/>
        </w:rPr>
        <w:t xml:space="preserve">Reviewer: </w:t>
      </w:r>
      <w:r w:rsidR="006866CF" w:rsidRPr="00CE29BF">
        <w:rPr>
          <w:rFonts w:ascii="Book Antiqua" w:eastAsia="Book Antiqua" w:hAnsi="Book Antiqua" w:cs="Book Antiqua"/>
          <w:color w:val="000000"/>
        </w:rPr>
        <w:t>Huang T</w:t>
      </w:r>
      <w:r w:rsidR="006866CF" w:rsidRPr="00CE29BF">
        <w:rPr>
          <w:rFonts w:ascii="Book Antiqua" w:eastAsia="Book Antiqua" w:hAnsi="Book Antiqua" w:cs="Book Antiqua"/>
          <w:b/>
          <w:color w:val="000000"/>
        </w:rPr>
        <w:t xml:space="preserve"> S-Editor: </w:t>
      </w:r>
      <w:r w:rsidR="006866CF" w:rsidRPr="00CE29BF">
        <w:rPr>
          <w:rFonts w:ascii="Book Antiqua" w:eastAsia="Book Antiqua" w:hAnsi="Book Antiqua" w:cs="Book Antiqua"/>
          <w:color w:val="000000"/>
        </w:rPr>
        <w:t>Gong ZM</w:t>
      </w:r>
      <w:r w:rsidR="006866CF" w:rsidRPr="00CE29BF">
        <w:rPr>
          <w:rFonts w:ascii="Book Antiqua" w:eastAsia="Book Antiqua" w:hAnsi="Book Antiqua" w:cs="Book Antiqua"/>
          <w:b/>
          <w:color w:val="000000"/>
        </w:rPr>
        <w:t xml:space="preserve"> L-Editor:  </w:t>
      </w:r>
      <w:r w:rsidR="004F636F">
        <w:rPr>
          <w:rFonts w:ascii="Book Antiqua" w:eastAsia="Book Antiqua" w:hAnsi="Book Antiqua" w:cs="Book Antiqua"/>
          <w:color w:val="000000"/>
        </w:rPr>
        <w:t xml:space="preserve">Webster JR </w:t>
      </w:r>
      <w:r w:rsidR="006866CF" w:rsidRPr="00CE29BF">
        <w:rPr>
          <w:rFonts w:ascii="Book Antiqua" w:eastAsia="Book Antiqua" w:hAnsi="Book Antiqua" w:cs="Book Antiqua"/>
          <w:b/>
          <w:color w:val="000000"/>
        </w:rPr>
        <w:t xml:space="preserve">P-Editor: </w:t>
      </w:r>
      <w:r w:rsidR="00391A0A" w:rsidRPr="00391A0A">
        <w:rPr>
          <w:rFonts w:ascii="Book Antiqua" w:eastAsiaTheme="minorEastAsia" w:hAnsi="Book Antiqua" w:cs="Book Antiqua" w:hint="eastAsia"/>
          <w:color w:val="000000"/>
          <w:lang w:eastAsia="zh-CN"/>
        </w:rPr>
        <w:t>Li JH</w:t>
      </w:r>
    </w:p>
    <w:p w14:paraId="5F83AE23" w14:textId="77777777" w:rsidR="005A7788" w:rsidRPr="00CE29BF" w:rsidRDefault="006866CF">
      <w:pPr>
        <w:spacing w:line="360" w:lineRule="auto"/>
        <w:jc w:val="both"/>
        <w:rPr>
          <w:rFonts w:ascii="Book Antiqua" w:eastAsia="Book Antiqua" w:hAnsi="Book Antiqua" w:cs="Book Antiqua"/>
          <w:b/>
          <w:color w:val="000000"/>
        </w:rPr>
      </w:pPr>
      <w:r w:rsidRPr="00CE29BF">
        <w:rPr>
          <w:rFonts w:ascii="Book Antiqua" w:eastAsia="Book Antiqua" w:hAnsi="Book Antiqua" w:cs="Book Antiqua"/>
          <w:b/>
          <w:color w:val="000000"/>
        </w:rPr>
        <w:br w:type="page"/>
        <w:t>Figure Legends</w:t>
      </w:r>
    </w:p>
    <w:p w14:paraId="59BC561F" w14:textId="77777777" w:rsidR="005A7788" w:rsidRPr="00CE29BF" w:rsidRDefault="006866CF">
      <w:pPr>
        <w:spacing w:line="360" w:lineRule="auto"/>
        <w:jc w:val="both"/>
        <w:rPr>
          <w:rFonts w:ascii="Book Antiqua" w:eastAsia="Book Antiqua" w:hAnsi="Book Antiqua" w:cs="Book Antiqua"/>
          <w:b/>
          <w:color w:val="000000"/>
        </w:rPr>
      </w:pPr>
      <w:r w:rsidRPr="00CE29BF">
        <w:rPr>
          <w:rFonts w:ascii="Book Antiqua" w:hAnsi="Book Antiqua" w:cs="Book Antiqua"/>
          <w:noProof/>
          <w:lang w:eastAsia="zh-CN"/>
        </w:rPr>
        <w:drawing>
          <wp:inline distT="0" distB="0" distL="114300" distR="114300" wp14:anchorId="754BB475" wp14:editId="7456E702">
            <wp:extent cx="5936615" cy="2286000"/>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936615" cy="2286000"/>
                    </a:xfrm>
                    <a:prstGeom prst="rect">
                      <a:avLst/>
                    </a:prstGeom>
                    <a:noFill/>
                    <a:ln>
                      <a:noFill/>
                    </a:ln>
                  </pic:spPr>
                </pic:pic>
              </a:graphicData>
            </a:graphic>
          </wp:inline>
        </w:drawing>
      </w:r>
    </w:p>
    <w:p w14:paraId="2940C233" w14:textId="77777777" w:rsidR="005A7788" w:rsidRPr="00CE29BF" w:rsidRDefault="006866CF">
      <w:pPr>
        <w:spacing w:line="360" w:lineRule="auto"/>
        <w:jc w:val="both"/>
        <w:rPr>
          <w:rFonts w:ascii="Book Antiqua" w:hAnsi="Book Antiqua" w:cs="Book Antiqua"/>
        </w:rPr>
      </w:pPr>
      <w:r w:rsidRPr="00CE29BF">
        <w:rPr>
          <w:rFonts w:ascii="Book Antiqua" w:hAnsi="Book Antiqua" w:cs="Book Antiqua"/>
          <w:b/>
          <w:bCs/>
        </w:rPr>
        <w:t>Figure 1</w:t>
      </w:r>
      <w:r w:rsidRPr="00CE29BF">
        <w:rPr>
          <w:rFonts w:ascii="Book Antiqua" w:hAnsi="Book Antiqua" w:cs="Book Antiqua"/>
          <w:b/>
        </w:rPr>
        <w:t xml:space="preserve"> </w:t>
      </w:r>
      <w:r w:rsidRPr="00CE29BF">
        <w:rPr>
          <w:rFonts w:ascii="Book Antiqua" w:hAnsi="Book Antiqua" w:cs="Book Antiqua"/>
          <w:b/>
          <w:bCs/>
        </w:rPr>
        <w:t xml:space="preserve">The primordial uterus and right gonad in </w:t>
      </w:r>
      <w:r w:rsidR="0086460F">
        <w:rPr>
          <w:rFonts w:ascii="Book Antiqua" w:eastAsia="Book Antiqua" w:hAnsi="Book Antiqua" w:cs="Book Antiqua"/>
          <w:b/>
          <w:bCs/>
          <w:color w:val="000000"/>
        </w:rPr>
        <w:t>Case</w:t>
      </w:r>
      <w:r w:rsidR="0086460F">
        <w:rPr>
          <w:rFonts w:ascii="Book Antiqua" w:hAnsi="Book Antiqua" w:cs="Book Antiqua"/>
          <w:b/>
          <w:bCs/>
        </w:rPr>
        <w:t xml:space="preserve"> </w:t>
      </w:r>
      <w:r w:rsidRPr="00CE29BF">
        <w:rPr>
          <w:rFonts w:ascii="Book Antiqua" w:hAnsi="Book Antiqua" w:cs="Book Antiqua"/>
          <w:b/>
          <w:bCs/>
        </w:rPr>
        <w:t xml:space="preserve">1. </w:t>
      </w:r>
      <w:r w:rsidRPr="00CE29BF">
        <w:rPr>
          <w:rFonts w:ascii="Book Antiqua" w:hAnsi="Book Antiqua" w:cs="Book Antiqua"/>
          <w:bCs/>
        </w:rPr>
        <w:t xml:space="preserve">A: </w:t>
      </w:r>
      <w:r w:rsidRPr="00CE29BF">
        <w:rPr>
          <w:rFonts w:ascii="Book Antiqua" w:hAnsi="Book Antiqua" w:cs="Book Antiqua"/>
        </w:rPr>
        <w:t xml:space="preserve">The uterus was approximately 4 cm × 2 cm × 3 cm in size. </w:t>
      </w:r>
      <w:r w:rsidRPr="00CE29BF">
        <w:rPr>
          <w:rFonts w:ascii="Book Antiqua" w:hAnsi="Book Antiqua" w:cs="Book Antiqua"/>
          <w:bCs/>
        </w:rPr>
        <w:t xml:space="preserve">B: </w:t>
      </w:r>
      <w:r w:rsidRPr="00CE29BF">
        <w:rPr>
          <w:rFonts w:ascii="Book Antiqua" w:hAnsi="Book Antiqua" w:cs="Book Antiqua"/>
        </w:rPr>
        <w:t>The right gonad looked similar to testicular tissue, and was approximately 1 cm × 1 cm × 0.5 cm in size.</w:t>
      </w:r>
    </w:p>
    <w:p w14:paraId="3466D753" w14:textId="77777777" w:rsidR="005A7788" w:rsidRPr="00CE29BF" w:rsidRDefault="006866CF">
      <w:pPr>
        <w:spacing w:line="360" w:lineRule="auto"/>
        <w:jc w:val="both"/>
        <w:rPr>
          <w:rFonts w:ascii="Book Antiqua" w:hAnsi="Book Antiqua" w:cs="Book Antiqua"/>
        </w:rPr>
      </w:pPr>
      <w:r w:rsidRPr="00CE29BF">
        <w:rPr>
          <w:rFonts w:ascii="Book Antiqua" w:hAnsi="Book Antiqua" w:cs="Book Antiqua"/>
        </w:rPr>
        <w:br w:type="page"/>
      </w:r>
      <w:r w:rsidRPr="00CE29BF">
        <w:rPr>
          <w:rFonts w:ascii="Book Antiqua" w:hAnsi="Book Antiqua" w:cs="Book Antiqua"/>
          <w:noProof/>
          <w:lang w:eastAsia="zh-CN"/>
        </w:rPr>
        <w:drawing>
          <wp:inline distT="0" distB="0" distL="114300" distR="114300" wp14:anchorId="44E93754" wp14:editId="41FC783E">
            <wp:extent cx="5938520" cy="2477770"/>
            <wp:effectExtent l="0" t="0" r="508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938520" cy="2477770"/>
                    </a:xfrm>
                    <a:prstGeom prst="rect">
                      <a:avLst/>
                    </a:prstGeom>
                    <a:noFill/>
                    <a:ln>
                      <a:noFill/>
                    </a:ln>
                  </pic:spPr>
                </pic:pic>
              </a:graphicData>
            </a:graphic>
          </wp:inline>
        </w:drawing>
      </w:r>
    </w:p>
    <w:p w14:paraId="685F58DA" w14:textId="51CA7B42" w:rsidR="005A7788" w:rsidRPr="00CE29BF" w:rsidRDefault="006866CF">
      <w:pPr>
        <w:spacing w:line="360" w:lineRule="auto"/>
        <w:jc w:val="both"/>
        <w:rPr>
          <w:rFonts w:ascii="Book Antiqua" w:hAnsi="Book Antiqua" w:cs="Book Antiqua"/>
        </w:rPr>
      </w:pPr>
      <w:r w:rsidRPr="00CE29BF">
        <w:rPr>
          <w:rFonts w:ascii="Book Antiqua" w:hAnsi="Book Antiqua" w:cs="Book Antiqua"/>
          <w:b/>
          <w:bCs/>
        </w:rPr>
        <w:t>Figure 2</w:t>
      </w:r>
      <w:r w:rsidRPr="00CE29BF">
        <w:rPr>
          <w:rFonts w:ascii="Book Antiqua" w:hAnsi="Book Antiqua" w:cs="Book Antiqua"/>
          <w:b/>
        </w:rPr>
        <w:t xml:space="preserve"> </w:t>
      </w:r>
      <w:r w:rsidRPr="00CE29BF">
        <w:rPr>
          <w:rFonts w:ascii="Book Antiqua" w:hAnsi="Book Antiqua" w:cs="Book Antiqua"/>
          <w:b/>
          <w:bCs/>
        </w:rPr>
        <w:t xml:space="preserve">The primordial uterus and the left gonad in </w:t>
      </w:r>
      <w:r w:rsidR="00EC3A9B">
        <w:rPr>
          <w:rFonts w:ascii="Book Antiqua" w:eastAsia="Book Antiqua" w:hAnsi="Book Antiqua" w:cs="Book Antiqua"/>
          <w:b/>
          <w:bCs/>
          <w:color w:val="000000"/>
        </w:rPr>
        <w:t>Case</w:t>
      </w:r>
      <w:r w:rsidR="00EC3A9B">
        <w:rPr>
          <w:rFonts w:ascii="Book Antiqua" w:hAnsi="Book Antiqua" w:cs="Book Antiqua"/>
          <w:b/>
          <w:bCs/>
        </w:rPr>
        <w:t xml:space="preserve"> </w:t>
      </w:r>
      <w:r w:rsidR="00EC3A9B" w:rsidRPr="00CE29BF">
        <w:rPr>
          <w:rFonts w:ascii="Book Antiqua" w:hAnsi="Book Antiqua" w:cs="Book Antiqua"/>
          <w:b/>
          <w:bCs/>
        </w:rPr>
        <w:t>1</w:t>
      </w:r>
      <w:r w:rsidRPr="00CE29BF">
        <w:rPr>
          <w:rFonts w:ascii="Book Antiqua" w:hAnsi="Book Antiqua" w:cs="Book Antiqua"/>
          <w:b/>
          <w:bCs/>
        </w:rPr>
        <w:t xml:space="preserve">. </w:t>
      </w:r>
      <w:r w:rsidRPr="00CE29BF">
        <w:rPr>
          <w:rFonts w:ascii="Book Antiqua" w:hAnsi="Book Antiqua" w:cs="Book Antiqua"/>
          <w:bCs/>
        </w:rPr>
        <w:t xml:space="preserve">A: </w:t>
      </w:r>
      <w:r w:rsidRPr="00CE29BF">
        <w:rPr>
          <w:rFonts w:ascii="Book Antiqua" w:hAnsi="Book Antiqua" w:cs="Book Antiqua"/>
        </w:rPr>
        <w:t>The uterus</w:t>
      </w:r>
      <w:r w:rsidRPr="00CE29BF">
        <w:rPr>
          <w:rFonts w:ascii="Book Antiqua" w:hAnsi="Book Antiqua" w:cs="Book Antiqua"/>
          <w:bCs/>
        </w:rPr>
        <w:t>; B:</w:t>
      </w:r>
      <w:r w:rsidRPr="00CE29BF">
        <w:rPr>
          <w:rFonts w:ascii="Book Antiqua" w:hAnsi="Book Antiqua" w:cs="Book Antiqua"/>
        </w:rPr>
        <w:t xml:space="preserve"> The left gonad looked streaky in appearance, and was approximately 0.5 cm × 0.3 cm in size.</w:t>
      </w:r>
    </w:p>
    <w:p w14:paraId="2CE08AE6" w14:textId="77777777" w:rsidR="005A7788" w:rsidRPr="00CE29BF" w:rsidRDefault="006866CF">
      <w:pPr>
        <w:spacing w:line="360" w:lineRule="auto"/>
        <w:jc w:val="both"/>
        <w:rPr>
          <w:rFonts w:ascii="Book Antiqua" w:hAnsi="Book Antiqua" w:cs="Book Antiqua"/>
        </w:rPr>
      </w:pPr>
      <w:r w:rsidRPr="00CE29BF">
        <w:rPr>
          <w:rFonts w:ascii="Book Antiqua" w:hAnsi="Book Antiqua" w:cs="Book Antiqua"/>
          <w:b/>
        </w:rPr>
        <w:t xml:space="preserve"> </w:t>
      </w:r>
      <w:r w:rsidRPr="00CE29BF">
        <w:rPr>
          <w:rFonts w:ascii="Book Antiqua" w:hAnsi="Book Antiqua" w:cs="Book Antiqua"/>
        </w:rPr>
        <w:br w:type="page"/>
      </w:r>
    </w:p>
    <w:p w14:paraId="3D3D5C04" w14:textId="77777777" w:rsidR="005A7788" w:rsidRPr="00CE29BF" w:rsidRDefault="006866CF">
      <w:pPr>
        <w:spacing w:line="360" w:lineRule="auto"/>
        <w:jc w:val="both"/>
        <w:rPr>
          <w:rFonts w:ascii="Book Antiqua" w:hAnsi="Book Antiqua" w:cs="Book Antiqua"/>
        </w:rPr>
      </w:pPr>
      <w:r w:rsidRPr="00CE29BF">
        <w:rPr>
          <w:rFonts w:ascii="Book Antiqua" w:hAnsi="Book Antiqua" w:cs="Book Antiqua"/>
          <w:noProof/>
          <w:lang w:eastAsia="zh-CN"/>
        </w:rPr>
        <w:drawing>
          <wp:inline distT="0" distB="0" distL="0" distR="0" wp14:anchorId="0D9DBD7D" wp14:editId="777B2B84">
            <wp:extent cx="5420995" cy="2159635"/>
            <wp:effectExtent l="0" t="0" r="8255" b="12065"/>
            <wp:docPr id="7" name="图片 7" descr="C:\Users\Administrator\AppData\Roaming\Tencent\Users\505154130\QQ\WinTemp\RichOle\LUXLHF5(YCC)]Z_$UN{I]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505154130\QQ\WinTemp\RichOle\LUXLHF5(YCC)]Z_$UN{I]5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21241" cy="2160000"/>
                    </a:xfrm>
                    <a:prstGeom prst="rect">
                      <a:avLst/>
                    </a:prstGeom>
                    <a:noFill/>
                    <a:ln>
                      <a:noFill/>
                    </a:ln>
                  </pic:spPr>
                </pic:pic>
              </a:graphicData>
            </a:graphic>
          </wp:inline>
        </w:drawing>
      </w:r>
    </w:p>
    <w:p w14:paraId="75FFE3B6" w14:textId="25A63FAE" w:rsidR="005A7788" w:rsidRPr="00CE29BF" w:rsidRDefault="006866CF">
      <w:pPr>
        <w:spacing w:line="360" w:lineRule="auto"/>
        <w:jc w:val="both"/>
        <w:rPr>
          <w:rFonts w:ascii="Book Antiqua" w:hAnsi="Book Antiqua" w:cs="Book Antiqua"/>
        </w:rPr>
      </w:pPr>
      <w:bookmarkStart w:id="3" w:name="OLE_LINK100"/>
      <w:r w:rsidRPr="00CE29BF">
        <w:rPr>
          <w:rFonts w:ascii="Book Antiqua" w:hAnsi="Book Antiqua" w:cs="Book Antiqua"/>
          <w:b/>
          <w:bCs/>
        </w:rPr>
        <w:t>Figure 3</w:t>
      </w:r>
      <w:r w:rsidRPr="00CE29BF">
        <w:rPr>
          <w:rFonts w:ascii="Book Antiqua" w:hAnsi="Book Antiqua" w:cs="Book Antiqua"/>
          <w:b/>
        </w:rPr>
        <w:t xml:space="preserve"> </w:t>
      </w:r>
      <w:r w:rsidRPr="00CE29BF">
        <w:rPr>
          <w:rFonts w:ascii="Book Antiqua" w:hAnsi="Book Antiqua" w:cs="Book Antiqua"/>
          <w:b/>
          <w:bCs/>
        </w:rPr>
        <w:t xml:space="preserve">Histopathology of the right gonad. </w:t>
      </w:r>
      <w:r w:rsidRPr="00CE29BF">
        <w:rPr>
          <w:rFonts w:ascii="Book Antiqua" w:hAnsi="Book Antiqua" w:cs="Book Antiqua"/>
        </w:rPr>
        <w:t xml:space="preserve">A: </w:t>
      </w:r>
      <w:r w:rsidRPr="00867398">
        <w:rPr>
          <w:rFonts w:ascii="Book Antiqua" w:hAnsi="Book Antiqua" w:cs="Book Antiqua"/>
          <w:caps/>
        </w:rPr>
        <w:t>b</w:t>
      </w:r>
      <w:r w:rsidRPr="00CE29BF">
        <w:rPr>
          <w:rFonts w:ascii="Book Antiqua" w:hAnsi="Book Antiqua" w:cs="Book Antiqua"/>
        </w:rPr>
        <w:t>oth tubal epithelium and vas deferens tissue can be seen</w:t>
      </w:r>
      <w:r w:rsidR="00C242D2">
        <w:rPr>
          <w:rFonts w:ascii="Book Antiqua" w:eastAsiaTheme="minorEastAsia" w:hAnsi="Book Antiqua" w:cs="Book Antiqua" w:hint="eastAsia"/>
          <w:lang w:eastAsia="zh-CN"/>
        </w:rPr>
        <w:t>;</w:t>
      </w:r>
      <w:r w:rsidRPr="00CE29BF">
        <w:rPr>
          <w:rFonts w:ascii="Book Antiqua" w:hAnsi="Book Antiqua" w:cs="Book Antiqua"/>
        </w:rPr>
        <w:t xml:space="preserve"> B: Sertoli cells could be seen in the seminiferous tubules of </w:t>
      </w:r>
      <w:r w:rsidR="004F636F">
        <w:rPr>
          <w:rFonts w:ascii="Book Antiqua" w:hAnsi="Book Antiqua" w:cs="Book Antiqua"/>
        </w:rPr>
        <w:t xml:space="preserve">the </w:t>
      </w:r>
      <w:r w:rsidRPr="00CE29BF">
        <w:rPr>
          <w:rFonts w:ascii="Book Antiqua" w:hAnsi="Book Antiqua" w:cs="Book Antiqua"/>
        </w:rPr>
        <w:t xml:space="preserve">right gonad. </w:t>
      </w:r>
    </w:p>
    <w:p w14:paraId="74CFAA49" w14:textId="77777777" w:rsidR="005A7788" w:rsidRPr="00CE29BF" w:rsidRDefault="006866CF">
      <w:pPr>
        <w:spacing w:line="360" w:lineRule="auto"/>
        <w:jc w:val="both"/>
        <w:rPr>
          <w:rFonts w:ascii="Book Antiqua" w:hAnsi="Book Antiqua" w:cs="Book Antiqua"/>
          <w:b/>
        </w:rPr>
      </w:pPr>
      <w:r w:rsidRPr="00CE29BF">
        <w:rPr>
          <w:rFonts w:ascii="Book Antiqua" w:hAnsi="Book Antiqua" w:cs="Book Antiqua"/>
        </w:rPr>
        <w:br w:type="page"/>
        <w:t xml:space="preserve"> </w:t>
      </w:r>
      <w:bookmarkEnd w:id="3"/>
      <w:r w:rsidRPr="00CE29BF">
        <w:rPr>
          <w:rFonts w:ascii="Book Antiqua" w:hAnsi="Book Antiqua" w:cs="Book Antiqua"/>
          <w:b/>
          <w:noProof/>
          <w:lang w:eastAsia="zh-CN"/>
        </w:rPr>
        <w:drawing>
          <wp:inline distT="0" distB="0" distL="0" distR="0" wp14:anchorId="4B414F41" wp14:editId="238A4476">
            <wp:extent cx="4808855" cy="3616960"/>
            <wp:effectExtent l="0" t="0" r="10795" b="2540"/>
            <wp:docPr id="1" name="图片 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08855" cy="3616960"/>
                    </a:xfrm>
                    <a:prstGeom prst="rect">
                      <a:avLst/>
                    </a:prstGeom>
                    <a:noFill/>
                    <a:ln>
                      <a:noFill/>
                    </a:ln>
                  </pic:spPr>
                </pic:pic>
              </a:graphicData>
            </a:graphic>
          </wp:inline>
        </w:drawing>
      </w:r>
    </w:p>
    <w:p w14:paraId="5DC4A562" w14:textId="77777777" w:rsidR="005A7788" w:rsidRPr="00CE29BF" w:rsidRDefault="006866CF">
      <w:pPr>
        <w:spacing w:line="360" w:lineRule="auto"/>
        <w:contextualSpacing/>
        <w:jc w:val="both"/>
        <w:rPr>
          <w:rFonts w:ascii="Book Antiqua" w:hAnsi="Book Antiqua" w:cs="Book Antiqua"/>
        </w:rPr>
      </w:pPr>
      <w:r w:rsidRPr="00CE29BF">
        <w:rPr>
          <w:rFonts w:ascii="Book Antiqua" w:hAnsi="Book Antiqua" w:cs="Book Antiqua"/>
          <w:b/>
          <w:bCs/>
        </w:rPr>
        <w:t>Figure 4</w:t>
      </w:r>
      <w:r w:rsidRPr="00CE29BF">
        <w:rPr>
          <w:rFonts w:ascii="Book Antiqua" w:hAnsi="Book Antiqua" w:cs="Book Antiqua"/>
          <w:b/>
        </w:rPr>
        <w:t xml:space="preserve"> </w:t>
      </w:r>
      <w:r w:rsidRPr="00CE29BF">
        <w:rPr>
          <w:rFonts w:ascii="Book Antiqua" w:hAnsi="Book Antiqua" w:cs="Book Antiqua"/>
          <w:b/>
          <w:bCs/>
        </w:rPr>
        <w:t xml:space="preserve">Histopathology of the left gonad in </w:t>
      </w:r>
      <w:r w:rsidR="00156F54">
        <w:rPr>
          <w:rFonts w:ascii="Book Antiqua" w:eastAsia="Book Antiqua" w:hAnsi="Book Antiqua" w:cs="Book Antiqua"/>
          <w:b/>
          <w:bCs/>
          <w:color w:val="000000"/>
        </w:rPr>
        <w:t>Case</w:t>
      </w:r>
      <w:r w:rsidR="00530140">
        <w:rPr>
          <w:rFonts w:ascii="Book Antiqua" w:hAnsi="Book Antiqua" w:cs="Book Antiqua"/>
          <w:b/>
          <w:bCs/>
        </w:rPr>
        <w:t xml:space="preserve"> </w:t>
      </w:r>
      <w:r w:rsidRPr="00CE29BF">
        <w:rPr>
          <w:rFonts w:ascii="Book Antiqua" w:hAnsi="Book Antiqua" w:cs="Book Antiqua"/>
          <w:b/>
          <w:bCs/>
        </w:rPr>
        <w:t xml:space="preserve">1. </w:t>
      </w:r>
      <w:r w:rsidRPr="00CE29BF">
        <w:rPr>
          <w:rFonts w:ascii="Book Antiqua" w:hAnsi="Book Antiqua" w:cs="Book Antiqua"/>
        </w:rPr>
        <w:t>Showing the tubal epithelium, a small amount of hyperplastic fibrous tissue, and smooth muscle tissue, with the presence of angiogenesis.</w:t>
      </w:r>
    </w:p>
    <w:p w14:paraId="5C098BF9" w14:textId="77777777" w:rsidR="005A7788" w:rsidRPr="00CE29BF" w:rsidRDefault="005A7788">
      <w:pPr>
        <w:spacing w:line="360" w:lineRule="auto"/>
        <w:jc w:val="both"/>
        <w:rPr>
          <w:rFonts w:ascii="Book Antiqua" w:eastAsia="Book Antiqua" w:hAnsi="Book Antiqua" w:cs="Book Antiqua"/>
          <w:b/>
          <w:color w:val="000000"/>
        </w:rPr>
      </w:pPr>
    </w:p>
    <w:sectPr w:rsidR="005A7788" w:rsidRPr="00CE29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9A72D" w14:textId="77777777" w:rsidR="00C32B9B" w:rsidRDefault="00C32B9B" w:rsidP="00F802DE">
      <w:r>
        <w:separator/>
      </w:r>
    </w:p>
  </w:endnote>
  <w:endnote w:type="continuationSeparator" w:id="0">
    <w:p w14:paraId="32C13AE7" w14:textId="77777777" w:rsidR="00C32B9B" w:rsidRDefault="00C32B9B" w:rsidP="00F8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566158"/>
      <w:docPartObj>
        <w:docPartGallery w:val="Page Numbers (Bottom of Page)"/>
        <w:docPartUnique/>
      </w:docPartObj>
    </w:sdtPr>
    <w:sdtEndPr/>
    <w:sdtContent>
      <w:sdt>
        <w:sdtPr>
          <w:id w:val="-1705238520"/>
          <w:docPartObj>
            <w:docPartGallery w:val="Page Numbers (Top of Page)"/>
            <w:docPartUnique/>
          </w:docPartObj>
        </w:sdtPr>
        <w:sdtEndPr/>
        <w:sdtContent>
          <w:p w14:paraId="173F4645" w14:textId="77777777" w:rsidR="00CD2359" w:rsidRDefault="00CD2359" w:rsidP="00CD235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2B9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2B9B">
              <w:rPr>
                <w:b/>
                <w:bCs/>
                <w:noProof/>
              </w:rPr>
              <w:t>1</w:t>
            </w:r>
            <w:r>
              <w:rPr>
                <w:b/>
                <w:bCs/>
                <w:sz w:val="24"/>
                <w:szCs w:val="24"/>
              </w:rPr>
              <w:fldChar w:fldCharType="end"/>
            </w:r>
          </w:p>
        </w:sdtContent>
      </w:sdt>
    </w:sdtContent>
  </w:sdt>
  <w:p w14:paraId="71777C23" w14:textId="77777777" w:rsidR="00CD2359" w:rsidRDefault="00CD235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27D3E" w14:textId="77777777" w:rsidR="00C32B9B" w:rsidRDefault="00C32B9B" w:rsidP="00F802DE">
      <w:r>
        <w:separator/>
      </w:r>
    </w:p>
  </w:footnote>
  <w:footnote w:type="continuationSeparator" w:id="0">
    <w:p w14:paraId="695D3896" w14:textId="77777777" w:rsidR="00C32B9B" w:rsidRDefault="00C32B9B" w:rsidP="00F80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F404D9"/>
    <w:multiLevelType w:val="singleLevel"/>
    <w:tmpl w:val="F4F404D9"/>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73D"/>
    <w:rsid w:val="000573CF"/>
    <w:rsid w:val="00156F54"/>
    <w:rsid w:val="00183B81"/>
    <w:rsid w:val="002640A9"/>
    <w:rsid w:val="002709BA"/>
    <w:rsid w:val="002E0C15"/>
    <w:rsid w:val="0031256E"/>
    <w:rsid w:val="00326F07"/>
    <w:rsid w:val="00391A0A"/>
    <w:rsid w:val="0043101A"/>
    <w:rsid w:val="00492624"/>
    <w:rsid w:val="004C22DD"/>
    <w:rsid w:val="004C6E4C"/>
    <w:rsid w:val="004F636F"/>
    <w:rsid w:val="00515161"/>
    <w:rsid w:val="00530140"/>
    <w:rsid w:val="005A1797"/>
    <w:rsid w:val="005A7788"/>
    <w:rsid w:val="006866CF"/>
    <w:rsid w:val="00693282"/>
    <w:rsid w:val="006C2AA7"/>
    <w:rsid w:val="006F28B7"/>
    <w:rsid w:val="00707A30"/>
    <w:rsid w:val="00754B72"/>
    <w:rsid w:val="00757397"/>
    <w:rsid w:val="007741F9"/>
    <w:rsid w:val="0079056C"/>
    <w:rsid w:val="007B1445"/>
    <w:rsid w:val="007D6BAD"/>
    <w:rsid w:val="00824947"/>
    <w:rsid w:val="0086460F"/>
    <w:rsid w:val="00867398"/>
    <w:rsid w:val="00874521"/>
    <w:rsid w:val="00895CA3"/>
    <w:rsid w:val="008D0305"/>
    <w:rsid w:val="008D2C43"/>
    <w:rsid w:val="008E19F2"/>
    <w:rsid w:val="00917542"/>
    <w:rsid w:val="00953A76"/>
    <w:rsid w:val="009728E8"/>
    <w:rsid w:val="00986C51"/>
    <w:rsid w:val="009918F8"/>
    <w:rsid w:val="009C104B"/>
    <w:rsid w:val="009D3D95"/>
    <w:rsid w:val="009E5734"/>
    <w:rsid w:val="00A37EE5"/>
    <w:rsid w:val="00A525E5"/>
    <w:rsid w:val="00A74167"/>
    <w:rsid w:val="00A77B3E"/>
    <w:rsid w:val="00A93D8A"/>
    <w:rsid w:val="00AE2593"/>
    <w:rsid w:val="00AF48EB"/>
    <w:rsid w:val="00B77311"/>
    <w:rsid w:val="00BA6010"/>
    <w:rsid w:val="00BE2F7C"/>
    <w:rsid w:val="00C242D2"/>
    <w:rsid w:val="00C32B9B"/>
    <w:rsid w:val="00C805F6"/>
    <w:rsid w:val="00CA2A55"/>
    <w:rsid w:val="00CC7353"/>
    <w:rsid w:val="00CD2359"/>
    <w:rsid w:val="00CE29BF"/>
    <w:rsid w:val="00D329E2"/>
    <w:rsid w:val="00D40874"/>
    <w:rsid w:val="00D421E2"/>
    <w:rsid w:val="00DB5039"/>
    <w:rsid w:val="00DB6556"/>
    <w:rsid w:val="00DC3F65"/>
    <w:rsid w:val="00DF3695"/>
    <w:rsid w:val="00E24199"/>
    <w:rsid w:val="00E461B2"/>
    <w:rsid w:val="00E970F3"/>
    <w:rsid w:val="00EC3A9B"/>
    <w:rsid w:val="00F802DE"/>
    <w:rsid w:val="00F815AE"/>
    <w:rsid w:val="00FB3D6C"/>
    <w:rsid w:val="00FD02EC"/>
    <w:rsid w:val="00FE3C99"/>
    <w:rsid w:val="2B861C34"/>
    <w:rsid w:val="3E6E52B2"/>
    <w:rsid w:val="4E163D45"/>
    <w:rsid w:val="7C101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F2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Mangal"/>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802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2DE"/>
    <w:rPr>
      <w:rFonts w:eastAsia="Times New Roman" w:cs="Times New Roman"/>
      <w:sz w:val="18"/>
      <w:szCs w:val="18"/>
      <w:lang w:eastAsia="en-US"/>
    </w:rPr>
  </w:style>
  <w:style w:type="paragraph" w:styleId="a4">
    <w:name w:val="footer"/>
    <w:basedOn w:val="a"/>
    <w:link w:val="Char0"/>
    <w:uiPriority w:val="99"/>
    <w:rsid w:val="00F802DE"/>
    <w:pPr>
      <w:tabs>
        <w:tab w:val="center" w:pos="4153"/>
        <w:tab w:val="right" w:pos="8306"/>
      </w:tabs>
      <w:snapToGrid w:val="0"/>
    </w:pPr>
    <w:rPr>
      <w:sz w:val="18"/>
      <w:szCs w:val="18"/>
    </w:rPr>
  </w:style>
  <w:style w:type="character" w:customStyle="1" w:styleId="Char0">
    <w:name w:val="页脚 Char"/>
    <w:basedOn w:val="a0"/>
    <w:link w:val="a4"/>
    <w:uiPriority w:val="99"/>
    <w:rsid w:val="00F802DE"/>
    <w:rPr>
      <w:rFonts w:eastAsia="Times New Roman" w:cs="Times New Roman"/>
      <w:sz w:val="18"/>
      <w:szCs w:val="18"/>
      <w:lang w:eastAsia="en-US"/>
    </w:rPr>
  </w:style>
  <w:style w:type="character" w:styleId="a5">
    <w:name w:val="annotation reference"/>
    <w:basedOn w:val="a0"/>
    <w:rsid w:val="0031256E"/>
    <w:rPr>
      <w:sz w:val="21"/>
      <w:szCs w:val="21"/>
    </w:rPr>
  </w:style>
  <w:style w:type="paragraph" w:styleId="a6">
    <w:name w:val="annotation text"/>
    <w:basedOn w:val="a"/>
    <w:link w:val="Char1"/>
    <w:rsid w:val="0031256E"/>
  </w:style>
  <w:style w:type="character" w:customStyle="1" w:styleId="Char1">
    <w:name w:val="批注文字 Char"/>
    <w:basedOn w:val="a0"/>
    <w:link w:val="a6"/>
    <w:rsid w:val="0031256E"/>
    <w:rPr>
      <w:rFonts w:eastAsia="Times New Roman" w:cs="Times New Roman"/>
      <w:sz w:val="24"/>
      <w:szCs w:val="24"/>
      <w:lang w:eastAsia="en-US"/>
    </w:rPr>
  </w:style>
  <w:style w:type="paragraph" w:styleId="a7">
    <w:name w:val="annotation subject"/>
    <w:basedOn w:val="a6"/>
    <w:next w:val="a6"/>
    <w:link w:val="Char2"/>
    <w:rsid w:val="0031256E"/>
    <w:rPr>
      <w:b/>
      <w:bCs/>
    </w:rPr>
  </w:style>
  <w:style w:type="character" w:customStyle="1" w:styleId="Char2">
    <w:name w:val="批注主题 Char"/>
    <w:basedOn w:val="Char1"/>
    <w:link w:val="a7"/>
    <w:rsid w:val="0031256E"/>
    <w:rPr>
      <w:rFonts w:eastAsia="Times New Roman" w:cs="Times New Roman"/>
      <w:b/>
      <w:bCs/>
      <w:sz w:val="24"/>
      <w:szCs w:val="24"/>
      <w:lang w:eastAsia="en-US"/>
    </w:rPr>
  </w:style>
  <w:style w:type="paragraph" w:styleId="a8">
    <w:name w:val="Balloon Text"/>
    <w:basedOn w:val="a"/>
    <w:link w:val="Char3"/>
    <w:rsid w:val="0031256E"/>
    <w:rPr>
      <w:sz w:val="18"/>
      <w:szCs w:val="18"/>
    </w:rPr>
  </w:style>
  <w:style w:type="character" w:customStyle="1" w:styleId="Char3">
    <w:name w:val="批注框文本 Char"/>
    <w:basedOn w:val="a0"/>
    <w:link w:val="a8"/>
    <w:rsid w:val="0031256E"/>
    <w:rPr>
      <w:rFonts w:eastAsia="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Mangal"/>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802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802DE"/>
    <w:rPr>
      <w:rFonts w:eastAsia="Times New Roman" w:cs="Times New Roman"/>
      <w:sz w:val="18"/>
      <w:szCs w:val="18"/>
      <w:lang w:eastAsia="en-US"/>
    </w:rPr>
  </w:style>
  <w:style w:type="paragraph" w:styleId="a4">
    <w:name w:val="footer"/>
    <w:basedOn w:val="a"/>
    <w:link w:val="Char0"/>
    <w:uiPriority w:val="99"/>
    <w:rsid w:val="00F802DE"/>
    <w:pPr>
      <w:tabs>
        <w:tab w:val="center" w:pos="4153"/>
        <w:tab w:val="right" w:pos="8306"/>
      </w:tabs>
      <w:snapToGrid w:val="0"/>
    </w:pPr>
    <w:rPr>
      <w:sz w:val="18"/>
      <w:szCs w:val="18"/>
    </w:rPr>
  </w:style>
  <w:style w:type="character" w:customStyle="1" w:styleId="Char0">
    <w:name w:val="页脚 Char"/>
    <w:basedOn w:val="a0"/>
    <w:link w:val="a4"/>
    <w:uiPriority w:val="99"/>
    <w:rsid w:val="00F802DE"/>
    <w:rPr>
      <w:rFonts w:eastAsia="Times New Roman" w:cs="Times New Roman"/>
      <w:sz w:val="18"/>
      <w:szCs w:val="18"/>
      <w:lang w:eastAsia="en-US"/>
    </w:rPr>
  </w:style>
  <w:style w:type="character" w:styleId="a5">
    <w:name w:val="annotation reference"/>
    <w:basedOn w:val="a0"/>
    <w:rsid w:val="0031256E"/>
    <w:rPr>
      <w:sz w:val="21"/>
      <w:szCs w:val="21"/>
    </w:rPr>
  </w:style>
  <w:style w:type="paragraph" w:styleId="a6">
    <w:name w:val="annotation text"/>
    <w:basedOn w:val="a"/>
    <w:link w:val="Char1"/>
    <w:rsid w:val="0031256E"/>
  </w:style>
  <w:style w:type="character" w:customStyle="1" w:styleId="Char1">
    <w:name w:val="批注文字 Char"/>
    <w:basedOn w:val="a0"/>
    <w:link w:val="a6"/>
    <w:rsid w:val="0031256E"/>
    <w:rPr>
      <w:rFonts w:eastAsia="Times New Roman" w:cs="Times New Roman"/>
      <w:sz w:val="24"/>
      <w:szCs w:val="24"/>
      <w:lang w:eastAsia="en-US"/>
    </w:rPr>
  </w:style>
  <w:style w:type="paragraph" w:styleId="a7">
    <w:name w:val="annotation subject"/>
    <w:basedOn w:val="a6"/>
    <w:next w:val="a6"/>
    <w:link w:val="Char2"/>
    <w:rsid w:val="0031256E"/>
    <w:rPr>
      <w:b/>
      <w:bCs/>
    </w:rPr>
  </w:style>
  <w:style w:type="character" w:customStyle="1" w:styleId="Char2">
    <w:name w:val="批注主题 Char"/>
    <w:basedOn w:val="Char1"/>
    <w:link w:val="a7"/>
    <w:rsid w:val="0031256E"/>
    <w:rPr>
      <w:rFonts w:eastAsia="Times New Roman" w:cs="Times New Roman"/>
      <w:b/>
      <w:bCs/>
      <w:sz w:val="24"/>
      <w:szCs w:val="24"/>
      <w:lang w:eastAsia="en-US"/>
    </w:rPr>
  </w:style>
  <w:style w:type="paragraph" w:styleId="a8">
    <w:name w:val="Balloon Text"/>
    <w:basedOn w:val="a"/>
    <w:link w:val="Char3"/>
    <w:rsid w:val="0031256E"/>
    <w:rPr>
      <w:sz w:val="18"/>
      <w:szCs w:val="18"/>
    </w:rPr>
  </w:style>
  <w:style w:type="character" w:customStyle="1" w:styleId="Char3">
    <w:name w:val="批注框文本 Char"/>
    <w:basedOn w:val="a0"/>
    <w:link w:val="a8"/>
    <w:rsid w:val="0031256E"/>
    <w:rPr>
      <w:rFonts w:eastAsia="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3472</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20</cp:revision>
  <dcterms:created xsi:type="dcterms:W3CDTF">2020-09-25T12:01:00Z</dcterms:created>
  <dcterms:modified xsi:type="dcterms:W3CDTF">2020-11-23T07:40:00Z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