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F1332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Name of Journal: </w:t>
      </w:r>
      <w:r w:rsidRPr="00257C0C">
        <w:rPr>
          <w:rFonts w:ascii="Book Antiqua" w:eastAsia="Book Antiqua" w:hAnsi="Book Antiqua" w:cs="Book Antiqua"/>
          <w:i/>
          <w:color w:val="000000" w:themeColor="text1"/>
        </w:rPr>
        <w:t>World Journal of Gastroenterology</w:t>
      </w:r>
    </w:p>
    <w:p w14:paraId="40434591"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Manuscript NO: </w:t>
      </w:r>
      <w:r w:rsidRPr="00257C0C">
        <w:rPr>
          <w:rFonts w:ascii="Book Antiqua" w:eastAsia="Book Antiqua" w:hAnsi="Book Antiqua" w:cs="Book Antiqua"/>
          <w:color w:val="000000" w:themeColor="text1"/>
        </w:rPr>
        <w:t>58780</w:t>
      </w:r>
    </w:p>
    <w:p w14:paraId="6FD0979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Manuscript Type: </w:t>
      </w:r>
      <w:r w:rsidRPr="00257C0C">
        <w:rPr>
          <w:rFonts w:ascii="Book Antiqua" w:eastAsia="Book Antiqua" w:hAnsi="Book Antiqua" w:cs="Book Antiqua"/>
          <w:color w:val="000000" w:themeColor="text1"/>
        </w:rPr>
        <w:t>ORIGINAL ARTICLE</w:t>
      </w:r>
    </w:p>
    <w:p w14:paraId="3053EE25" w14:textId="77777777" w:rsidR="00A77B3E" w:rsidRPr="00257C0C" w:rsidRDefault="00A77B3E" w:rsidP="00257C0C">
      <w:pPr>
        <w:snapToGrid w:val="0"/>
        <w:spacing w:line="360" w:lineRule="auto"/>
        <w:jc w:val="both"/>
        <w:rPr>
          <w:color w:val="000000" w:themeColor="text1"/>
        </w:rPr>
      </w:pPr>
    </w:p>
    <w:p w14:paraId="1EE3D22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Case Control Study</w:t>
      </w:r>
    </w:p>
    <w:p w14:paraId="25017A9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Contrast-enhanced ultrasound in association with serum biomarkers for differentiating combined hepatocellular-cholangiocarcinoma from hepatocellular carcinoma and intrahepatic cholangiocarcinoma</w:t>
      </w:r>
    </w:p>
    <w:p w14:paraId="44C969BF" w14:textId="77777777" w:rsidR="00A77B3E" w:rsidRPr="00257C0C" w:rsidRDefault="00A77B3E" w:rsidP="00257C0C">
      <w:pPr>
        <w:snapToGrid w:val="0"/>
        <w:spacing w:line="360" w:lineRule="auto"/>
        <w:jc w:val="both"/>
        <w:rPr>
          <w:color w:val="000000" w:themeColor="text1"/>
        </w:rPr>
      </w:pPr>
    </w:p>
    <w:p w14:paraId="7DEA8B44" w14:textId="6FB0042F" w:rsidR="00A77B3E" w:rsidRPr="00257C0C" w:rsidRDefault="00616237"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Yang</w:t>
      </w:r>
      <w:r w:rsidRPr="00257C0C" w:rsidDel="00616237">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J </w:t>
      </w:r>
      <w:r w:rsidRPr="00257C0C">
        <w:rPr>
          <w:rFonts w:ascii="Book Antiqua" w:eastAsia="Book Antiqua" w:hAnsi="Book Antiqua" w:cs="Book Antiqua"/>
          <w:i/>
          <w:iCs/>
          <w:color w:val="000000" w:themeColor="text1"/>
        </w:rPr>
        <w:t>et al</w:t>
      </w:r>
      <w:r w:rsidRPr="00257C0C">
        <w:rPr>
          <w:rFonts w:ascii="Book Antiqua" w:eastAsia="Book Antiqua" w:hAnsi="Book Antiqua" w:cs="Book Antiqua"/>
          <w:color w:val="000000" w:themeColor="text1"/>
        </w:rPr>
        <w:t xml:space="preserve">. Distinction between </w:t>
      </w:r>
      <w:r w:rsidR="002A1022" w:rsidRPr="00257C0C">
        <w:rPr>
          <w:rFonts w:ascii="Book Antiqua" w:eastAsia="Book Antiqua" w:hAnsi="Book Antiqua" w:cs="Book Antiqua"/>
          <w:color w:val="000000" w:themeColor="text1"/>
        </w:rPr>
        <w:t>CHC</w:t>
      </w:r>
      <w:r w:rsidR="005D4A19" w:rsidRPr="00257C0C">
        <w:rPr>
          <w:rFonts w:ascii="Book Antiqua" w:eastAsia="Book Antiqua" w:hAnsi="Book Antiqua" w:cs="Book Antiqua"/>
          <w:color w:val="000000" w:themeColor="text1"/>
        </w:rPr>
        <w:t>,</w:t>
      </w:r>
      <w:r w:rsidR="005D4A19" w:rsidRPr="00257C0C">
        <w:rPr>
          <w:rFonts w:asciiTheme="minorEastAsia" w:hAnsiTheme="minorEastAsia" w:cs="Book Antiqua"/>
          <w:color w:val="000000" w:themeColor="text1"/>
          <w:lang w:eastAsia="zh-CN"/>
        </w:rPr>
        <w:t xml:space="preserve"> </w:t>
      </w:r>
      <w:r w:rsidRPr="00257C0C">
        <w:rPr>
          <w:rFonts w:ascii="Book Antiqua" w:eastAsia="Book Antiqua" w:hAnsi="Book Antiqua" w:cs="Book Antiqua"/>
          <w:color w:val="000000" w:themeColor="text1"/>
        </w:rPr>
        <w:t>HCC and ICC</w:t>
      </w:r>
    </w:p>
    <w:p w14:paraId="29EDA977" w14:textId="77777777" w:rsidR="00A77B3E" w:rsidRPr="00257C0C" w:rsidRDefault="00A77B3E" w:rsidP="00257C0C">
      <w:pPr>
        <w:snapToGrid w:val="0"/>
        <w:spacing w:line="360" w:lineRule="auto"/>
        <w:jc w:val="both"/>
        <w:rPr>
          <w:color w:val="000000" w:themeColor="text1"/>
        </w:rPr>
      </w:pPr>
    </w:p>
    <w:p w14:paraId="1D8AF427"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Jie Yang, Ya-han Zhang, Jia-Wu Li, Ying-Yu Shi, Jia-Yan Huang, Yan Luo, Ji-Bin Liu, Qiang Lu</w:t>
      </w:r>
    </w:p>
    <w:p w14:paraId="76C53F4D" w14:textId="77777777" w:rsidR="00A77B3E" w:rsidRPr="00257C0C" w:rsidRDefault="00A77B3E" w:rsidP="00257C0C">
      <w:pPr>
        <w:snapToGrid w:val="0"/>
        <w:spacing w:line="360" w:lineRule="auto"/>
        <w:jc w:val="both"/>
        <w:rPr>
          <w:color w:val="000000" w:themeColor="text1"/>
        </w:rPr>
      </w:pPr>
    </w:p>
    <w:p w14:paraId="081A6396"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Jie Yang, Jia-Wu Li, Ying-Yu Shi, Jia-Yan Huang, Yan Luo, Qiang Lu, </w:t>
      </w:r>
      <w:r w:rsidRPr="00257C0C">
        <w:rPr>
          <w:rFonts w:ascii="Book Antiqua" w:eastAsia="Book Antiqua" w:hAnsi="Book Antiqua" w:cs="Book Antiqua"/>
          <w:color w:val="000000" w:themeColor="text1"/>
        </w:rPr>
        <w:t>Department of Medical Ultrasound, West China Hospital of Sichuan University, Chengdu 610041, Sichuan Province, China</w:t>
      </w:r>
    </w:p>
    <w:p w14:paraId="776B39A5" w14:textId="77777777" w:rsidR="00A77B3E" w:rsidRPr="00257C0C" w:rsidRDefault="00A77B3E" w:rsidP="00257C0C">
      <w:pPr>
        <w:snapToGrid w:val="0"/>
        <w:spacing w:line="360" w:lineRule="auto"/>
        <w:jc w:val="both"/>
        <w:rPr>
          <w:color w:val="000000" w:themeColor="text1"/>
        </w:rPr>
      </w:pPr>
    </w:p>
    <w:p w14:paraId="678F6C1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Ya-han Zhang, </w:t>
      </w:r>
      <w:r w:rsidRPr="00257C0C">
        <w:rPr>
          <w:rFonts w:ascii="Book Antiqua" w:eastAsia="Book Antiqua" w:hAnsi="Book Antiqua" w:cs="Book Antiqua"/>
          <w:color w:val="000000" w:themeColor="text1"/>
        </w:rPr>
        <w:t>Department of Pathology, West China Hospital of Sichuan University, Chengdu 610041, Sichuan Province, China</w:t>
      </w:r>
    </w:p>
    <w:p w14:paraId="0431D592" w14:textId="77777777" w:rsidR="00A77B3E" w:rsidRPr="00257C0C" w:rsidRDefault="00A77B3E" w:rsidP="00257C0C">
      <w:pPr>
        <w:snapToGrid w:val="0"/>
        <w:spacing w:line="360" w:lineRule="auto"/>
        <w:jc w:val="both"/>
        <w:rPr>
          <w:color w:val="000000" w:themeColor="text1"/>
        </w:rPr>
      </w:pPr>
    </w:p>
    <w:p w14:paraId="06DAEC27"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Ji-Bin Liu, </w:t>
      </w:r>
      <w:r w:rsidRPr="00257C0C">
        <w:rPr>
          <w:rFonts w:ascii="Book Antiqua" w:eastAsia="Book Antiqua" w:hAnsi="Book Antiqua" w:cs="Book Antiqua"/>
          <w:color w:val="000000" w:themeColor="text1"/>
        </w:rPr>
        <w:t>Department of Radiology, Thomas Jefferson University, Philadelphia, PA 19107, United States</w:t>
      </w:r>
    </w:p>
    <w:p w14:paraId="17A24ACB" w14:textId="77777777" w:rsidR="00A77B3E" w:rsidRPr="00257C0C" w:rsidRDefault="00A77B3E" w:rsidP="00257C0C">
      <w:pPr>
        <w:snapToGrid w:val="0"/>
        <w:spacing w:line="360" w:lineRule="auto"/>
        <w:jc w:val="both"/>
        <w:rPr>
          <w:color w:val="000000" w:themeColor="text1"/>
        </w:rPr>
      </w:pPr>
    </w:p>
    <w:p w14:paraId="481C112E" w14:textId="0C5F934B"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Author contributions: </w:t>
      </w:r>
      <w:r w:rsidRPr="00257C0C">
        <w:rPr>
          <w:rFonts w:ascii="Book Antiqua" w:eastAsia="Book Antiqua" w:hAnsi="Book Antiqua" w:cs="Book Antiqua"/>
          <w:color w:val="000000" w:themeColor="text1"/>
        </w:rPr>
        <w:t>Yang J and Lu Q designed the research; Yang J, Li JW, Shi YY, Luo Y and Lu Q performed the research; Zhang YH contributed to pathologic analysis studies</w:t>
      </w:r>
      <w:r w:rsidR="00616237"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Yang J, Li JW, Shi YY, Huang JY and Lu Q collected the data. Yang J and Lu Q drafted the manuscript and review</w:t>
      </w:r>
      <w:r w:rsidR="0091663A" w:rsidRPr="00257C0C">
        <w:rPr>
          <w:rFonts w:ascii="Book Antiqua" w:eastAsia="Book Antiqua" w:hAnsi="Book Antiqua" w:cs="Book Antiqua"/>
          <w:color w:val="000000" w:themeColor="text1"/>
        </w:rPr>
        <w:t>ed</w:t>
      </w:r>
      <w:r w:rsidRPr="00257C0C">
        <w:rPr>
          <w:rFonts w:ascii="Book Antiqua" w:eastAsia="Book Antiqua" w:hAnsi="Book Antiqua" w:cs="Book Antiqua"/>
          <w:color w:val="000000" w:themeColor="text1"/>
        </w:rPr>
        <w:t xml:space="preserve"> the literature</w:t>
      </w:r>
      <w:r w:rsidR="00616237"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Luo Y and Liu JB revised the </w:t>
      </w:r>
      <w:r w:rsidRPr="00257C0C">
        <w:rPr>
          <w:rFonts w:ascii="Book Antiqua" w:eastAsia="Book Antiqua" w:hAnsi="Book Antiqua" w:cs="Book Antiqua"/>
          <w:color w:val="000000" w:themeColor="text1"/>
        </w:rPr>
        <w:lastRenderedPageBreak/>
        <w:t>manuscript</w:t>
      </w:r>
      <w:r w:rsidR="00616237" w:rsidRPr="00257C0C">
        <w:rPr>
          <w:rFonts w:ascii="Book Antiqua" w:eastAsia="Book Antiqua" w:hAnsi="Book Antiqua" w:cs="Book Antiqua"/>
          <w:color w:val="000000" w:themeColor="text1"/>
        </w:rPr>
        <w:t xml:space="preserve">; </w:t>
      </w:r>
      <w:r w:rsidR="002C7E29">
        <w:rPr>
          <w:rFonts w:ascii="Book Antiqua" w:eastAsia="Book Antiqua" w:hAnsi="Book Antiqua" w:cs="Book Antiqua"/>
          <w:color w:val="000000" w:themeColor="text1"/>
        </w:rPr>
        <w:t>A</w:t>
      </w:r>
      <w:r w:rsidRPr="00257C0C">
        <w:rPr>
          <w:rFonts w:ascii="Book Antiqua" w:eastAsia="Book Antiqua" w:hAnsi="Book Antiqua" w:cs="Book Antiqua"/>
          <w:color w:val="000000" w:themeColor="text1"/>
        </w:rPr>
        <w:t>ll authors approv</w:t>
      </w:r>
      <w:r w:rsidR="0091663A" w:rsidRPr="00257C0C">
        <w:rPr>
          <w:rFonts w:ascii="Book Antiqua" w:eastAsia="Book Antiqua" w:hAnsi="Book Antiqua" w:cs="Book Antiqua"/>
          <w:color w:val="000000" w:themeColor="text1"/>
        </w:rPr>
        <w:t>e the</w:t>
      </w:r>
      <w:r w:rsidRPr="00257C0C">
        <w:rPr>
          <w:rFonts w:ascii="Book Antiqua" w:eastAsia="Book Antiqua" w:hAnsi="Book Antiqua" w:cs="Book Antiqua"/>
          <w:color w:val="000000" w:themeColor="text1"/>
        </w:rPr>
        <w:t xml:space="preserve"> final version of</w:t>
      </w:r>
      <w:r w:rsidR="0091663A" w:rsidRPr="00257C0C">
        <w:rPr>
          <w:rFonts w:ascii="Book Antiqua" w:eastAsia="Book Antiqua" w:hAnsi="Book Antiqua" w:cs="Book Antiqua"/>
          <w:color w:val="000000" w:themeColor="text1"/>
        </w:rPr>
        <w:t xml:space="preserve"> the</w:t>
      </w:r>
      <w:r w:rsidRPr="00257C0C">
        <w:rPr>
          <w:rFonts w:ascii="Book Antiqua" w:eastAsia="Book Antiqua" w:hAnsi="Book Antiqua" w:cs="Book Antiqua"/>
          <w:color w:val="000000" w:themeColor="text1"/>
        </w:rPr>
        <w:t xml:space="preserve"> submitted manuscript and agree to ensure that any questions related to the work are appropriately resolved.</w:t>
      </w:r>
    </w:p>
    <w:p w14:paraId="77CBFDD4" w14:textId="77777777" w:rsidR="00A77B3E" w:rsidRPr="00257C0C" w:rsidRDefault="00A77B3E" w:rsidP="00257C0C">
      <w:pPr>
        <w:snapToGrid w:val="0"/>
        <w:spacing w:line="360" w:lineRule="auto"/>
        <w:jc w:val="both"/>
        <w:rPr>
          <w:color w:val="000000" w:themeColor="text1"/>
        </w:rPr>
      </w:pPr>
    </w:p>
    <w:p w14:paraId="67D5B256" w14:textId="7A0440EB"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Supported by </w:t>
      </w:r>
      <w:r w:rsidRPr="00257C0C">
        <w:rPr>
          <w:rFonts w:ascii="Book Antiqua" w:eastAsia="Book Antiqua" w:hAnsi="Book Antiqua" w:cs="Book Antiqua"/>
          <w:color w:val="000000" w:themeColor="text1"/>
        </w:rPr>
        <w:t xml:space="preserve">National Natural Science Foundation of China, No. 81571697; </w:t>
      </w:r>
      <w:r w:rsidR="00616237" w:rsidRPr="00257C0C">
        <w:rPr>
          <w:rFonts w:ascii="Book Antiqua" w:eastAsia="Book Antiqua" w:hAnsi="Book Antiqua" w:cs="Book Antiqua"/>
          <w:color w:val="000000" w:themeColor="text1"/>
        </w:rPr>
        <w:t>and T</w:t>
      </w:r>
      <w:r w:rsidRPr="00257C0C">
        <w:rPr>
          <w:rFonts w:ascii="Book Antiqua" w:eastAsia="Book Antiqua" w:hAnsi="Book Antiqua" w:cs="Book Antiqua"/>
          <w:color w:val="000000" w:themeColor="text1"/>
        </w:rPr>
        <w:t>he Science and Technology Department of Sichuan Province, No. 2017SZ0003 and No. 2018FZ0044.</w:t>
      </w:r>
    </w:p>
    <w:p w14:paraId="0C27850E" w14:textId="77777777" w:rsidR="00A77B3E" w:rsidRPr="00257C0C" w:rsidRDefault="00A77B3E" w:rsidP="00257C0C">
      <w:pPr>
        <w:snapToGrid w:val="0"/>
        <w:spacing w:line="360" w:lineRule="auto"/>
        <w:jc w:val="both"/>
        <w:rPr>
          <w:color w:val="000000" w:themeColor="text1"/>
        </w:rPr>
      </w:pPr>
    </w:p>
    <w:p w14:paraId="63282E92" w14:textId="0B5DC906"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Corresponding author: Qiang Lu, MD, Professor, </w:t>
      </w:r>
      <w:r w:rsidRPr="00257C0C">
        <w:rPr>
          <w:rFonts w:ascii="Book Antiqua" w:eastAsia="Book Antiqua" w:hAnsi="Book Antiqua" w:cs="Book Antiqua"/>
          <w:color w:val="000000" w:themeColor="text1"/>
        </w:rPr>
        <w:t>Department of Medical Ultrasound, West China Hospital of Sichuan University, No. 37 Guo</w:t>
      </w:r>
      <w:r w:rsidR="00616237" w:rsidRPr="00257C0C">
        <w:rPr>
          <w:rFonts w:ascii="Book Antiqua" w:eastAsia="Book Antiqua" w:hAnsi="Book Antiqua" w:cs="Book Antiqua"/>
          <w:color w:val="000000" w:themeColor="text1"/>
        </w:rPr>
        <w:t>x</w:t>
      </w:r>
      <w:r w:rsidRPr="00257C0C">
        <w:rPr>
          <w:rFonts w:ascii="Book Antiqua" w:eastAsia="Book Antiqua" w:hAnsi="Book Antiqua" w:cs="Book Antiqua"/>
          <w:color w:val="000000" w:themeColor="text1"/>
        </w:rPr>
        <w:t>ue Xiang, Chengdu 610041, Sichuan Province, China. luqiang@scu.edu.cn</w:t>
      </w:r>
    </w:p>
    <w:p w14:paraId="178F71A1" w14:textId="77777777" w:rsidR="00A77B3E" w:rsidRPr="00257C0C" w:rsidRDefault="00A77B3E" w:rsidP="00257C0C">
      <w:pPr>
        <w:snapToGrid w:val="0"/>
        <w:spacing w:line="360" w:lineRule="auto"/>
        <w:jc w:val="both"/>
        <w:rPr>
          <w:color w:val="000000" w:themeColor="text1"/>
        </w:rPr>
      </w:pPr>
    </w:p>
    <w:p w14:paraId="7506F81D"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Received: </w:t>
      </w:r>
      <w:r w:rsidRPr="00257C0C">
        <w:rPr>
          <w:rFonts w:ascii="Book Antiqua" w:eastAsia="Book Antiqua" w:hAnsi="Book Antiqua" w:cs="Book Antiqua"/>
          <w:color w:val="000000" w:themeColor="text1"/>
        </w:rPr>
        <w:t>August 6, 2020</w:t>
      </w:r>
    </w:p>
    <w:p w14:paraId="27696D71"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Revised: </w:t>
      </w:r>
      <w:r w:rsidRPr="00257C0C">
        <w:rPr>
          <w:rFonts w:ascii="Book Antiqua" w:eastAsia="Book Antiqua" w:hAnsi="Book Antiqua" w:cs="Book Antiqua"/>
          <w:color w:val="000000" w:themeColor="text1"/>
        </w:rPr>
        <w:t>October 31, 2020</w:t>
      </w:r>
    </w:p>
    <w:p w14:paraId="12985A1A" w14:textId="35116F52"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Accepted: </w:t>
      </w:r>
      <w:r w:rsidR="00AB622F" w:rsidRPr="00257C0C">
        <w:rPr>
          <w:rFonts w:ascii="Book Antiqua" w:eastAsia="Book Antiqua" w:hAnsi="Book Antiqua" w:cs="Book Antiqua"/>
          <w:color w:val="000000" w:themeColor="text1"/>
        </w:rPr>
        <w:t>November 9, 2020</w:t>
      </w:r>
    </w:p>
    <w:p w14:paraId="79C546F2" w14:textId="3A3151D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Published online: </w:t>
      </w:r>
      <w:r w:rsidR="001520D7" w:rsidRPr="00C142F0">
        <w:rPr>
          <w:rFonts w:ascii="Book Antiqua" w:eastAsia="Book Antiqua" w:hAnsi="Book Antiqua" w:cs="Book Antiqua"/>
          <w:bCs/>
          <w:color w:val="000000"/>
        </w:rPr>
        <w:t xml:space="preserve">December </w:t>
      </w:r>
      <w:r w:rsidR="001520D7">
        <w:rPr>
          <w:rFonts w:ascii="Book Antiqua" w:hAnsi="Book Antiqua" w:cs="Book Antiqua" w:hint="eastAsia"/>
          <w:bCs/>
          <w:color w:val="000000"/>
          <w:lang w:eastAsia="zh-CN"/>
        </w:rPr>
        <w:t>14</w:t>
      </w:r>
      <w:r w:rsidR="001520D7" w:rsidRPr="00C142F0">
        <w:rPr>
          <w:rFonts w:ascii="Book Antiqua" w:hAnsi="Book Antiqua" w:cs="Book Antiqua" w:hint="eastAsia"/>
          <w:bCs/>
          <w:color w:val="000000"/>
          <w:lang w:eastAsia="zh-CN"/>
        </w:rPr>
        <w:t>, 2020</w:t>
      </w:r>
    </w:p>
    <w:p w14:paraId="203FB843" w14:textId="77777777" w:rsidR="001B1F2F" w:rsidRPr="00257C0C" w:rsidRDefault="001B1F2F" w:rsidP="00257C0C">
      <w:pPr>
        <w:snapToGrid w:val="0"/>
        <w:spacing w:line="360" w:lineRule="auto"/>
        <w:jc w:val="both"/>
        <w:rPr>
          <w:color w:val="000000" w:themeColor="text1"/>
        </w:rPr>
        <w:sectPr w:rsidR="001B1F2F" w:rsidRPr="00257C0C">
          <w:footerReference w:type="default" r:id="rId7"/>
          <w:pgSz w:w="12240" w:h="15840"/>
          <w:pgMar w:top="1440" w:right="1440" w:bottom="1440" w:left="1440" w:header="720" w:footer="720" w:gutter="0"/>
          <w:cols w:space="720"/>
          <w:docGrid w:linePitch="360"/>
        </w:sectPr>
      </w:pPr>
    </w:p>
    <w:p w14:paraId="478CB00A"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Abstract</w:t>
      </w:r>
    </w:p>
    <w:p w14:paraId="7B4A575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BACKGROUND</w:t>
      </w:r>
    </w:p>
    <w:p w14:paraId="6E0540B3"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Combined hepatocellular-cholangiocarcinoma (CHC) is a rare type of primary liver cancer. Due to its complex histopathological characteristics, the imaging features of CHC can overlap with those of hepatocellular carcinoma (HCC) and intrahepatic cholangiocarcinoma (ICC).</w:t>
      </w:r>
    </w:p>
    <w:p w14:paraId="5A9017B9" w14:textId="77777777" w:rsidR="00A77B3E" w:rsidRPr="00257C0C" w:rsidRDefault="00A77B3E" w:rsidP="00257C0C">
      <w:pPr>
        <w:snapToGrid w:val="0"/>
        <w:spacing w:line="360" w:lineRule="auto"/>
        <w:jc w:val="both"/>
        <w:rPr>
          <w:color w:val="000000" w:themeColor="text1"/>
        </w:rPr>
      </w:pPr>
    </w:p>
    <w:p w14:paraId="64EB086B"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AIM</w:t>
      </w:r>
    </w:p>
    <w:p w14:paraId="27AEE683" w14:textId="73B309E3"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To investigate the possibility and efficacy of differentiating CHC from HCC and ICC by using contrast-enhanced ultrasound (CEUS) Liver Imaging Reporting and Data System (LI-RADS) and tumor biomarkers.</w:t>
      </w:r>
    </w:p>
    <w:p w14:paraId="7BCDE9CE" w14:textId="77777777" w:rsidR="00A77B3E" w:rsidRPr="00257C0C" w:rsidRDefault="00A77B3E" w:rsidP="00257C0C">
      <w:pPr>
        <w:snapToGrid w:val="0"/>
        <w:spacing w:line="360" w:lineRule="auto"/>
        <w:jc w:val="both"/>
        <w:rPr>
          <w:color w:val="000000" w:themeColor="text1"/>
        </w:rPr>
      </w:pPr>
    </w:p>
    <w:p w14:paraId="258F8936"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METHODS</w:t>
      </w:r>
    </w:p>
    <w:p w14:paraId="0E8F9C62" w14:textId="2E1EC414"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Between January 2016 and December 2019, patients with histologically confirmed CHC, ICC and HCC with chronic liver disease were enrolled. The diagnostic formula for CHC was as follows: (1) LR-5 or LR-M with elevated alpha-fetoprotein (AFP) and carbohydrate antigen 19-9 (CA19-9); (2) LR-M with elevated AFP and normal CA19-9; or (3) LR-5 with elevated CA19-9 and normal AFP. The sensitivity, specificity, accuracy and area under the </w:t>
      </w:r>
      <w:r w:rsidR="00EB5E4A" w:rsidRPr="00257C0C">
        <w:rPr>
          <w:rFonts w:ascii="Book Antiqua" w:eastAsia="Book Antiqua" w:hAnsi="Book Antiqua" w:cs="Book Antiqua"/>
          <w:color w:val="000000" w:themeColor="text1"/>
        </w:rPr>
        <w:t xml:space="preserve">receiver operating characteristic </w:t>
      </w:r>
      <w:r w:rsidRPr="00257C0C">
        <w:rPr>
          <w:rFonts w:ascii="Book Antiqua" w:eastAsia="Book Antiqua" w:hAnsi="Book Antiqua" w:cs="Book Antiqua"/>
          <w:color w:val="000000" w:themeColor="text1"/>
        </w:rPr>
        <w:t>curve were calculated to determine the diagnostic value of the criteria.</w:t>
      </w:r>
    </w:p>
    <w:p w14:paraId="366F252F" w14:textId="77777777" w:rsidR="00A77B3E" w:rsidRPr="00257C0C" w:rsidRDefault="00A77B3E" w:rsidP="00257C0C">
      <w:pPr>
        <w:snapToGrid w:val="0"/>
        <w:spacing w:line="360" w:lineRule="auto"/>
        <w:jc w:val="both"/>
        <w:rPr>
          <w:color w:val="000000" w:themeColor="text1"/>
        </w:rPr>
      </w:pPr>
    </w:p>
    <w:p w14:paraId="60F23DC9"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RESULTS</w:t>
      </w:r>
    </w:p>
    <w:p w14:paraId="48392D53" w14:textId="713214A5"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After propensity score matching, 134 patients (mean age of 51.4</w:t>
      </w:r>
      <w:r w:rsidR="00E36CD0"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w:t>
      </w:r>
      <w:r w:rsidR="00E36CD0"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9.4 years, 108 men) were enrolled, including 35 CHC, 29 ICC and 70 HCC patients. Based on CEUS LI-RADS classification, 74.3% (26/35) and 25.7% (9/35) of CHC lesions were assessed as LR-M and LR-5, respectively. The rates of elevated AFP and CA19-9 in CHC patients were 51.4% and 11.4%, respectively, and simultaneous elevations of AFP and CA19-9 were found in 8.6% (3/35) of CHC patients. The sensitivity, specificity, positive predictive value, negative predictive value, accuracy and </w:t>
      </w:r>
      <w:r w:rsidR="00846989" w:rsidRPr="00257C0C">
        <w:rPr>
          <w:rFonts w:ascii="Book Antiqua" w:eastAsia="Book Antiqua" w:hAnsi="Book Antiqua" w:cs="Book Antiqua"/>
          <w:color w:val="000000" w:themeColor="text1"/>
        </w:rPr>
        <w:t xml:space="preserve">area under the </w:t>
      </w:r>
      <w:r w:rsidR="00EB5E4A" w:rsidRPr="00257C0C">
        <w:rPr>
          <w:rFonts w:ascii="Book Antiqua" w:eastAsia="Book Antiqua" w:hAnsi="Book Antiqua" w:cs="Book Antiqua"/>
          <w:color w:val="000000" w:themeColor="text1"/>
        </w:rPr>
        <w:t xml:space="preserve">receiver operating characteristic </w:t>
      </w:r>
      <w:r w:rsidR="00846989" w:rsidRPr="00257C0C">
        <w:rPr>
          <w:rFonts w:ascii="Book Antiqua" w:eastAsia="Book Antiqua" w:hAnsi="Book Antiqua" w:cs="Book Antiqua"/>
          <w:color w:val="000000" w:themeColor="text1"/>
        </w:rPr>
        <w:t>curve</w:t>
      </w:r>
      <w:r w:rsidR="00846989" w:rsidRPr="00257C0C" w:rsidDel="00846989">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of the aforementioned diagnostic criteria for discriminating CHC from HCC and ICC were 40.0%, 89.9%, 58.3%, 80.9%, 76.9% and 0.649, respectively. When considering the reported prevalence of CHC (0.4</w:t>
      </w:r>
      <w:r w:rsidR="00E36CD0"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14.2%), the </w:t>
      </w:r>
      <w:r w:rsidR="00846989" w:rsidRPr="00257C0C">
        <w:rPr>
          <w:rFonts w:ascii="Book Antiqua" w:eastAsia="Book Antiqua" w:hAnsi="Book Antiqua" w:cs="Book Antiqua"/>
          <w:color w:val="000000" w:themeColor="text1"/>
        </w:rPr>
        <w:t>positive predictive value</w:t>
      </w:r>
      <w:r w:rsidRPr="00257C0C">
        <w:rPr>
          <w:rFonts w:ascii="Book Antiqua" w:eastAsia="Book Antiqua" w:hAnsi="Book Antiqua" w:cs="Book Antiqua"/>
          <w:color w:val="000000" w:themeColor="text1"/>
        </w:rPr>
        <w:t xml:space="preserve"> and NPV were revised to 1.6%-39.6% and 90.1%-99.7%, respectively.</w:t>
      </w:r>
    </w:p>
    <w:p w14:paraId="548C92CE" w14:textId="77777777" w:rsidR="00A77B3E" w:rsidRPr="00257C0C" w:rsidRDefault="00A77B3E" w:rsidP="00257C0C">
      <w:pPr>
        <w:snapToGrid w:val="0"/>
        <w:spacing w:line="360" w:lineRule="auto"/>
        <w:jc w:val="both"/>
        <w:rPr>
          <w:color w:val="000000" w:themeColor="text1"/>
        </w:rPr>
      </w:pPr>
    </w:p>
    <w:p w14:paraId="2FE8D7E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CONCLUSION</w:t>
      </w:r>
    </w:p>
    <w:p w14:paraId="12AEB3E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CHCs are more likely to be classified as LR-M than LR-5 by CEUS LI-RADS. The combination of the CEUS LI-RADS classification with serum tumor markers shows high specificity but low sensitivity for the diagnosis of CHC. Moreover, CHC could be confidently excluded with high NPV.</w:t>
      </w:r>
    </w:p>
    <w:p w14:paraId="53392EC3" w14:textId="77777777" w:rsidR="00A77B3E" w:rsidRPr="00257C0C" w:rsidRDefault="00A77B3E" w:rsidP="00257C0C">
      <w:pPr>
        <w:snapToGrid w:val="0"/>
        <w:spacing w:line="360" w:lineRule="auto"/>
        <w:jc w:val="both"/>
        <w:rPr>
          <w:color w:val="000000" w:themeColor="text1"/>
        </w:rPr>
      </w:pPr>
    </w:p>
    <w:p w14:paraId="53C3DA5C" w14:textId="5288732D"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Key Words: </w:t>
      </w:r>
      <w:r w:rsidRPr="00257C0C">
        <w:rPr>
          <w:rFonts w:ascii="Book Antiqua" w:eastAsia="Book Antiqua" w:hAnsi="Book Antiqua" w:cs="Book Antiqua"/>
          <w:color w:val="000000" w:themeColor="text1"/>
        </w:rPr>
        <w:t xml:space="preserve">Combined hepatocellular-cholangiocarcinoma; Contrast-enhanced ultrasound; Liver imaging reporting and data system; Sensitivity; Diagnosis; Liver </w:t>
      </w:r>
      <w:r w:rsidR="00E36CD0" w:rsidRPr="00257C0C">
        <w:rPr>
          <w:rFonts w:ascii="Book Antiqua" w:eastAsia="Book Antiqua" w:hAnsi="Book Antiqua" w:cs="Book Antiqua"/>
          <w:color w:val="000000" w:themeColor="text1"/>
        </w:rPr>
        <w:t>n</w:t>
      </w:r>
      <w:r w:rsidRPr="00257C0C">
        <w:rPr>
          <w:rFonts w:ascii="Book Antiqua" w:eastAsia="Book Antiqua" w:hAnsi="Book Antiqua" w:cs="Book Antiqua"/>
          <w:color w:val="000000" w:themeColor="text1"/>
        </w:rPr>
        <w:t>eoplasms</w:t>
      </w:r>
    </w:p>
    <w:p w14:paraId="1B9CEE5D" w14:textId="77777777" w:rsidR="00A77B3E" w:rsidRPr="00867BC8" w:rsidRDefault="00A77B3E" w:rsidP="00257C0C">
      <w:pPr>
        <w:snapToGrid w:val="0"/>
        <w:spacing w:line="360" w:lineRule="auto"/>
        <w:jc w:val="both"/>
        <w:rPr>
          <w:b/>
          <w:color w:val="000000" w:themeColor="text1"/>
        </w:rPr>
      </w:pPr>
    </w:p>
    <w:p w14:paraId="694FDACB" w14:textId="77EB1678" w:rsidR="00867BC8" w:rsidRDefault="00867BC8" w:rsidP="00257C0C">
      <w:pPr>
        <w:snapToGrid w:val="0"/>
        <w:spacing w:line="360" w:lineRule="auto"/>
        <w:jc w:val="both"/>
        <w:rPr>
          <w:rFonts w:ascii="Book Antiqua" w:hAnsi="Book Antiqua" w:cs="Book Antiqua" w:hint="eastAsia"/>
          <w:color w:val="000000"/>
          <w:lang w:eastAsia="zh-CN"/>
        </w:rPr>
      </w:pPr>
      <w:r w:rsidRPr="00867BC8">
        <w:rPr>
          <w:rFonts w:ascii="Book Antiqua" w:hAnsi="Book Antiqua" w:cs="Book Antiqua" w:hint="eastAsia"/>
          <w:b/>
          <w:color w:val="000000" w:themeColor="text1"/>
          <w:lang w:eastAsia="zh-CN"/>
        </w:rPr>
        <w:t xml:space="preserve">Citation: </w:t>
      </w:r>
      <w:r w:rsidR="007D5730" w:rsidRPr="00257C0C">
        <w:rPr>
          <w:rFonts w:ascii="Book Antiqua" w:eastAsia="Book Antiqua" w:hAnsi="Book Antiqua" w:cs="Book Antiqua"/>
          <w:color w:val="000000" w:themeColor="text1"/>
        </w:rPr>
        <w:t xml:space="preserve">Yang J, Zhang YH, Li JW, Shi YY, Huang JY, Luo Y, Liu JB, Lu Q. Contrast-enhanced ultrasound in association with serum biomarkers for differentiating combined hepatocellular-cholangiocarcinoma from hepatocellular carcinoma and intrahepatic cholangiocarcinoma. </w:t>
      </w:r>
      <w:r w:rsidR="007D5730" w:rsidRPr="00257C0C">
        <w:rPr>
          <w:rFonts w:ascii="Book Antiqua" w:eastAsia="Book Antiqua" w:hAnsi="Book Antiqua" w:cs="Book Antiqua"/>
          <w:i/>
          <w:iCs/>
          <w:color w:val="000000" w:themeColor="text1"/>
        </w:rPr>
        <w:t>World J Gastroenterol</w:t>
      </w:r>
      <w:r w:rsidR="007D5730" w:rsidRPr="00257C0C">
        <w:rPr>
          <w:rFonts w:ascii="Book Antiqua" w:eastAsia="Book Antiqua" w:hAnsi="Book Antiqua" w:cs="Book Antiqua"/>
          <w:color w:val="000000" w:themeColor="text1"/>
        </w:rPr>
        <w:t xml:space="preserve"> </w:t>
      </w:r>
      <w:r w:rsidR="00F47AC4" w:rsidRPr="0032360E">
        <w:rPr>
          <w:rFonts w:ascii="Book Antiqua" w:eastAsia="Book Antiqua" w:hAnsi="Book Antiqua" w:cs="Book Antiqua"/>
          <w:color w:val="000000"/>
        </w:rPr>
        <w:t>2020; 26(4</w:t>
      </w:r>
      <w:r w:rsidR="00F47AC4">
        <w:rPr>
          <w:rFonts w:ascii="Book Antiqua" w:hAnsi="Book Antiqua" w:cs="Book Antiqua" w:hint="eastAsia"/>
          <w:color w:val="000000"/>
          <w:lang w:eastAsia="zh-CN"/>
        </w:rPr>
        <w:t>6</w:t>
      </w:r>
      <w:r w:rsidR="00F47AC4" w:rsidRPr="0032360E">
        <w:rPr>
          <w:rFonts w:ascii="Book Antiqua" w:eastAsia="Book Antiqua" w:hAnsi="Book Antiqua" w:cs="Book Antiqua"/>
          <w:color w:val="000000"/>
        </w:rPr>
        <w:t xml:space="preserve">): </w:t>
      </w:r>
      <w:r w:rsidR="003524A0" w:rsidRPr="003524A0">
        <w:rPr>
          <w:rFonts w:ascii="Book Antiqua" w:hAnsi="Book Antiqua" w:cs="Book Antiqua"/>
          <w:color w:val="000000"/>
          <w:lang w:eastAsia="zh-CN"/>
        </w:rPr>
        <w:t>7325-7337</w:t>
      </w:r>
      <w:r w:rsidR="00F47AC4" w:rsidRPr="0032360E">
        <w:rPr>
          <w:rFonts w:ascii="Book Antiqua" w:eastAsia="Book Antiqua" w:hAnsi="Book Antiqua" w:cs="Book Antiqua"/>
          <w:color w:val="000000"/>
        </w:rPr>
        <w:t xml:space="preserve">  </w:t>
      </w:r>
    </w:p>
    <w:p w14:paraId="34ED8B6B" w14:textId="77777777" w:rsidR="00867BC8" w:rsidRDefault="00F47AC4" w:rsidP="00257C0C">
      <w:pPr>
        <w:snapToGrid w:val="0"/>
        <w:spacing w:line="360" w:lineRule="auto"/>
        <w:jc w:val="both"/>
        <w:rPr>
          <w:rFonts w:ascii="Book Antiqua" w:hAnsi="Book Antiqua" w:cs="Book Antiqua" w:hint="eastAsia"/>
          <w:color w:val="000000"/>
          <w:lang w:eastAsia="zh-CN"/>
        </w:rPr>
      </w:pPr>
      <w:r w:rsidRPr="00867BC8">
        <w:rPr>
          <w:rFonts w:ascii="Book Antiqua" w:eastAsia="Book Antiqua" w:hAnsi="Book Antiqua" w:cs="Book Antiqua"/>
          <w:b/>
          <w:color w:val="000000"/>
        </w:rPr>
        <w:t xml:space="preserve">URL: </w:t>
      </w:r>
      <w:r w:rsidRPr="0032360E">
        <w:rPr>
          <w:rFonts w:ascii="Book Antiqua" w:eastAsia="Book Antiqua" w:hAnsi="Book Antiqua" w:cs="Book Antiqua"/>
          <w:color w:val="000000"/>
        </w:rPr>
        <w:t>https://www.wjgnet.com/1007-9327/full/v26/i4</w:t>
      </w:r>
      <w:r>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3524A0">
        <w:rPr>
          <w:rFonts w:ascii="Book Antiqua" w:hAnsi="Book Antiqua" w:cs="Book Antiqua" w:hint="eastAsia"/>
          <w:color w:val="000000"/>
          <w:lang w:eastAsia="zh-CN"/>
        </w:rPr>
        <w:t>7325</w:t>
      </w:r>
      <w:r w:rsidRPr="0032360E">
        <w:rPr>
          <w:rFonts w:ascii="Book Antiqua" w:eastAsia="Book Antiqua" w:hAnsi="Book Antiqua" w:cs="Book Antiqua"/>
          <w:color w:val="000000"/>
        </w:rPr>
        <w:t xml:space="preserve">.htm  </w:t>
      </w:r>
    </w:p>
    <w:p w14:paraId="6E7131AF" w14:textId="180A4923" w:rsidR="00A77B3E" w:rsidRPr="00257C0C" w:rsidRDefault="00F47AC4" w:rsidP="00257C0C">
      <w:pPr>
        <w:snapToGrid w:val="0"/>
        <w:spacing w:line="360" w:lineRule="auto"/>
        <w:jc w:val="both"/>
        <w:rPr>
          <w:color w:val="000000" w:themeColor="text1"/>
        </w:rPr>
      </w:pPr>
      <w:bookmarkStart w:id="0" w:name="_GoBack"/>
      <w:r w:rsidRPr="00867BC8">
        <w:rPr>
          <w:rFonts w:ascii="Book Antiqua" w:eastAsia="Book Antiqua" w:hAnsi="Book Antiqua" w:cs="Book Antiqua"/>
          <w:b/>
          <w:color w:val="000000"/>
        </w:rPr>
        <w:t xml:space="preserve">DOI: </w:t>
      </w:r>
      <w:bookmarkEnd w:id="0"/>
      <w:r w:rsidRPr="0032360E">
        <w:rPr>
          <w:rFonts w:ascii="Book Antiqua" w:eastAsia="Book Antiqua" w:hAnsi="Book Antiqua" w:cs="Book Antiqua"/>
          <w:color w:val="000000"/>
        </w:rPr>
        <w:t>https://dx.doi.org/10.3748/wjg.v26.i4</w:t>
      </w:r>
      <w:r>
        <w:rPr>
          <w:rFonts w:ascii="Book Antiqua" w:hAnsi="Book Antiqua" w:cs="Book Antiqua" w:hint="eastAsia"/>
          <w:color w:val="000000"/>
          <w:lang w:eastAsia="zh-CN"/>
        </w:rPr>
        <w:t>6</w:t>
      </w:r>
      <w:r w:rsidRPr="0032360E">
        <w:rPr>
          <w:rFonts w:ascii="Book Antiqua" w:eastAsia="Book Antiqua" w:hAnsi="Book Antiqua" w:cs="Book Antiqua"/>
          <w:color w:val="000000"/>
        </w:rPr>
        <w:t>.</w:t>
      </w:r>
      <w:r w:rsidR="003A1E54">
        <w:rPr>
          <w:rFonts w:ascii="Book Antiqua" w:hAnsi="Book Antiqua" w:cs="Book Antiqua" w:hint="eastAsia"/>
          <w:color w:val="000000"/>
          <w:lang w:eastAsia="zh-CN"/>
        </w:rPr>
        <w:t>7325</w:t>
      </w:r>
    </w:p>
    <w:p w14:paraId="078C06DB" w14:textId="77777777" w:rsidR="00A77B3E" w:rsidRPr="00257C0C" w:rsidRDefault="00A77B3E" w:rsidP="00257C0C">
      <w:pPr>
        <w:snapToGrid w:val="0"/>
        <w:spacing w:line="360" w:lineRule="auto"/>
        <w:jc w:val="both"/>
        <w:rPr>
          <w:color w:val="000000" w:themeColor="text1"/>
        </w:rPr>
      </w:pPr>
    </w:p>
    <w:p w14:paraId="21EFB1D6" w14:textId="1975A919" w:rsidR="00E36CD0"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b/>
          <w:bCs/>
          <w:color w:val="000000" w:themeColor="text1"/>
        </w:rPr>
        <w:t xml:space="preserve">Core Tip: </w:t>
      </w:r>
      <w:r w:rsidRPr="00257C0C">
        <w:rPr>
          <w:rFonts w:ascii="Book Antiqua" w:eastAsia="Book Antiqua" w:hAnsi="Book Antiqua" w:cs="Book Antiqua"/>
          <w:color w:val="000000" w:themeColor="text1"/>
        </w:rPr>
        <w:t xml:space="preserve">The imaging features of combined hepatocellular-cholangiocarcinoma (CHC) are complicated due to its complex histopathological characteristics. In addition, biopsy may misguide the correct diagnosis of CHC due to sampling error or tissue insufficiency. This study investigated the diagnostic value of the </w:t>
      </w:r>
      <w:r w:rsidR="00E36CD0" w:rsidRPr="00257C0C">
        <w:rPr>
          <w:rFonts w:ascii="Book Antiqua" w:eastAsia="Book Antiqua" w:hAnsi="Book Antiqua" w:cs="Book Antiqua"/>
          <w:color w:val="000000" w:themeColor="text1"/>
        </w:rPr>
        <w:t>contrast-enhanced ultrasound Liver Imaging Reporting and Data System</w:t>
      </w:r>
      <w:r w:rsidRPr="00257C0C">
        <w:rPr>
          <w:rFonts w:ascii="Book Antiqua" w:eastAsia="Book Antiqua" w:hAnsi="Book Antiqua" w:cs="Book Antiqua"/>
          <w:color w:val="000000" w:themeColor="text1"/>
        </w:rPr>
        <w:t xml:space="preserve"> classification in association with serological tumor markers in differentiating CHC from </w:t>
      </w:r>
      <w:r w:rsidR="00E36CD0" w:rsidRPr="00257C0C">
        <w:rPr>
          <w:rFonts w:ascii="Book Antiqua" w:eastAsia="Book Antiqua" w:hAnsi="Book Antiqua" w:cs="Book Antiqua"/>
          <w:color w:val="000000" w:themeColor="text1"/>
        </w:rPr>
        <w:t>hepatocellular carcinoma and intrahepatic cholangiocarcinoma</w:t>
      </w:r>
      <w:r w:rsidRPr="00257C0C">
        <w:rPr>
          <w:rFonts w:ascii="Book Antiqua" w:eastAsia="Book Antiqua" w:hAnsi="Book Antiqua" w:cs="Book Antiqua"/>
          <w:color w:val="000000" w:themeColor="text1"/>
        </w:rPr>
        <w:t>. The results showed that the combined diagnostic criteria had high specificity and negative predictive value but low sensitivity for the diagnosis of CHC. These findings could help radiologists and clinical investigators confidently exclude CHC lesions in the clinical setting.</w:t>
      </w:r>
    </w:p>
    <w:p w14:paraId="4E8625B0" w14:textId="18AF7B9E" w:rsidR="00A77B3E" w:rsidRPr="00257C0C" w:rsidRDefault="00E36CD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br w:type="page"/>
      </w:r>
      <w:r w:rsidR="007D5730" w:rsidRPr="00257C0C">
        <w:rPr>
          <w:rFonts w:ascii="Book Antiqua" w:eastAsia="Book Antiqua" w:hAnsi="Book Antiqua" w:cs="Book Antiqua"/>
          <w:b/>
          <w:caps/>
          <w:color w:val="000000" w:themeColor="text1"/>
          <w:u w:val="single"/>
        </w:rPr>
        <w:t>INTRODUCTION</w:t>
      </w:r>
    </w:p>
    <w:p w14:paraId="0B60BF89" w14:textId="294F039D"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Combined hepatocellular-cholangiocarcinoma (CHC) is increasingly recognized in cirrhotic liver, with a reported prevalence of 0.4</w:t>
      </w:r>
      <w:r w:rsidR="00E36CD0"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-14.2% of all primary liver carcinomas</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1-3</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CHC is the second most common primary liver cancer in cirrhotic liver, followed by intrahepatic cholangiocarcinoma (ICC), excluding perihilar cholangiocarcinoma</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4</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According to the 2010 World Health Organization classification</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5</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this special type of tumor requires the presence of both unambiguously differentiated hepatocellular and biliary components. CHC can have various imaging features overlapping with hepatocellular carcinoma (HCC), ICC and liver metastasis for complex histopathological components</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6-8</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However, the prognosis and treatment of CHC differ from those of HCC and ICC</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9</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and therefore the accurate diagnosis of this tumor type is of great importance for appropriate patient management.</w:t>
      </w:r>
    </w:p>
    <w:p w14:paraId="19A0A225" w14:textId="59891518"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A few studies have reported the imaging features of CHC lesions on contrast-enhanced ultrasound (CEUS)</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10-13</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Theoretically, due to the mixed elements of CHC, both HCC-like and ICC-like imaging features would be visualized. In addition, serum biomarkers, especially alpha-fetoprotein (AFP) and carbohydrate antigen 19-9 (CA19-9), have been shown to be helpful in the diagnosis of CHC</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10,11,13,14</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The combination of CEUS and serum biomarkers was reported to improve specificity for the differentiation between CHC and HCC or ICC in a study population not limited to patients at risk for HCC</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10</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w:t>
      </w:r>
    </w:p>
    <w:p w14:paraId="427921D5" w14:textId="574A79AC"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The American College of Radiology released CEUS Liver Imaging Reporting and Data System (LI-RADS) for standardizing CEUS diagnosis of liver nodules in high-risk patients</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15</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Although not fully validated, CEUS LI-RADS has been reported to be effective for the diagnosis of HCC</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16,17</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However, challenges still exist for the differential diagnosis of highly suspicious HCC and other malignant entities, such as CHC and ICC. The purpose of this study was to investigate whether the combination of CEUS LI-RADS and serum biomarkers is helpful for differentiating CHC from HCC and ICC in patients with chronic liver disease.</w:t>
      </w:r>
    </w:p>
    <w:p w14:paraId="3C13D1A7" w14:textId="77777777" w:rsidR="00A77B3E" w:rsidRPr="00257C0C" w:rsidRDefault="00A77B3E" w:rsidP="00257C0C">
      <w:pPr>
        <w:snapToGrid w:val="0"/>
        <w:spacing w:line="360" w:lineRule="auto"/>
        <w:jc w:val="both"/>
        <w:rPr>
          <w:color w:val="000000" w:themeColor="text1"/>
        </w:rPr>
      </w:pPr>
    </w:p>
    <w:p w14:paraId="5F5ED55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MATERIALS AND METHODS</w:t>
      </w:r>
    </w:p>
    <w:p w14:paraId="542C9851"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iCs/>
          <w:color w:val="000000" w:themeColor="text1"/>
        </w:rPr>
        <w:t>Study subjects</w:t>
      </w:r>
    </w:p>
    <w:p w14:paraId="4DDC5077" w14:textId="551017D7" w:rsidR="00A77B3E"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This retrospective study was approved by the institutional review board, and informed consent was obtained from all patients. From January 2016 to December 2019, patients with pathologically confirmed primary liver cancer after liver resection were retrospectively selected through a review of our Ultrasonic Information System. Inclusion criteria included</w:t>
      </w:r>
      <w:r w:rsidR="00DA1436"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(1) CEUS performed within 1 mo before liver resection; (2) patients with risk factors for HCC, including cirrhosis and chronic hepatitis B; and (3) testing of AFP and CA19-9 </w:t>
      </w:r>
      <w:r w:rsidR="00DA1436"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within 7 d before curative resection. Lesions with neoplastic vascular thrombi were excluded from this study. Eventually, we included 35 CHC, 29 ICC and 1051 HCC patients. After one-to-two (CHC:HCC</w:t>
      </w:r>
      <w:r w:rsidR="00E36CD0" w:rsidRPr="00257C0C">
        <w:rPr>
          <w:rFonts w:ascii="Book Antiqua" w:eastAsia="Book Antiqua" w:hAnsi="Book Antiqua" w:cs="Book Antiqua"/>
          <w:color w:val="000000" w:themeColor="text1"/>
        </w:rPr>
        <w:t xml:space="preserve"> = </w:t>
      </w:r>
      <w:r w:rsidRPr="00257C0C">
        <w:rPr>
          <w:rFonts w:ascii="Book Antiqua" w:eastAsia="Book Antiqua" w:hAnsi="Book Antiqua" w:cs="Book Antiqua"/>
          <w:color w:val="000000" w:themeColor="text1"/>
        </w:rPr>
        <w:t>1:2) propensity score matching by tumor size, age and gender, 70 HCC lesions were selected for analysis. A flow chart for the study population selection is presented in Figure 1.</w:t>
      </w:r>
    </w:p>
    <w:p w14:paraId="21EA1198" w14:textId="77777777" w:rsidR="00E36CD0" w:rsidRPr="00257C0C" w:rsidRDefault="00E36CD0" w:rsidP="00257C0C">
      <w:pPr>
        <w:snapToGrid w:val="0"/>
        <w:spacing w:line="360" w:lineRule="auto"/>
        <w:jc w:val="both"/>
        <w:rPr>
          <w:color w:val="000000" w:themeColor="text1"/>
        </w:rPr>
      </w:pPr>
    </w:p>
    <w:p w14:paraId="1807B46F"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color w:val="000000" w:themeColor="text1"/>
        </w:rPr>
        <w:t>Ultrasound examination</w:t>
      </w:r>
    </w:p>
    <w:p w14:paraId="7AA1B992" w14:textId="012BC09A" w:rsidR="00A77B3E"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All patients underwent B-mode ultrasound and CEUS examination by an ultrasound system (IU22, Philips Medical Solutions; Mountain View, CA</w:t>
      </w:r>
      <w:r w:rsidR="00DA1436" w:rsidRPr="00257C0C">
        <w:rPr>
          <w:rFonts w:ascii="Book Antiqua" w:eastAsia="Book Antiqua" w:hAnsi="Book Antiqua" w:cs="Book Antiqua"/>
          <w:color w:val="000000" w:themeColor="text1"/>
        </w:rPr>
        <w:t>, United States</w:t>
      </w:r>
      <w:r w:rsidRPr="00257C0C">
        <w:rPr>
          <w:rFonts w:ascii="Book Antiqua" w:eastAsia="Book Antiqua" w:hAnsi="Book Antiqua" w:cs="Book Antiqua"/>
          <w:color w:val="000000" w:themeColor="text1"/>
        </w:rPr>
        <w:t>) equipped with a C5-1 abdominal convex transducer (frequency range of 1-5 MHz). The CEUS examination was performed according to technical recommendations following the W</w:t>
      </w:r>
      <w:r w:rsidR="00DA1436" w:rsidRPr="00257C0C">
        <w:rPr>
          <w:rFonts w:ascii="Book Antiqua" w:eastAsia="Book Antiqua" w:hAnsi="Book Antiqua" w:cs="Book Antiqua"/>
          <w:color w:val="000000" w:themeColor="text1"/>
        </w:rPr>
        <w:t>orld Federation for Ultrasound in Medicine and Biology-European Federation of Societies for Ultrasound in Medicine and Biology</w:t>
      </w:r>
      <w:r w:rsidRPr="00257C0C">
        <w:rPr>
          <w:rFonts w:ascii="Book Antiqua" w:eastAsia="Book Antiqua" w:hAnsi="Book Antiqua" w:cs="Book Antiqua"/>
          <w:color w:val="000000" w:themeColor="text1"/>
        </w:rPr>
        <w:t xml:space="preserve"> guidelines after a conventional ultrasound study</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18</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After activation of the contrast-specific imaging mode, 1.2-2.4 mL of contrast agent (SonoVue, Bracco, Milan, Italy) was injected intravenously and flushed with 5 mL of 0.9% saline solution through a 20-gauge angio-catheter needle placed in the antecubital vein. The imaging timer was started immediately upon completion of SonoVue injection. The set of images was stored on the hard disk of the ultrasound system and copied to a portable hard disk for later evaluation.</w:t>
      </w:r>
    </w:p>
    <w:p w14:paraId="558D491F" w14:textId="77777777" w:rsidR="00E36CD0" w:rsidRPr="00257C0C" w:rsidRDefault="00E36CD0" w:rsidP="00257C0C">
      <w:pPr>
        <w:snapToGrid w:val="0"/>
        <w:spacing w:line="360" w:lineRule="auto"/>
        <w:jc w:val="both"/>
        <w:rPr>
          <w:color w:val="000000" w:themeColor="text1"/>
        </w:rPr>
      </w:pPr>
    </w:p>
    <w:p w14:paraId="29591F89"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color w:val="000000" w:themeColor="text1"/>
        </w:rPr>
        <w:t>CEUS imaging analysis</w:t>
      </w:r>
    </w:p>
    <w:p w14:paraId="5B1B8A3C" w14:textId="3F97A235"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According to the CEUS LI-RADS (2017 version), a hepatic nodule is categorized from LR-1 to LR-5 or LR-M and LR-TIV according to the likelihood of HCC</w:t>
      </w:r>
      <w:r w:rsidRPr="00257C0C">
        <w:rPr>
          <w:rFonts w:ascii="Book Antiqua" w:eastAsia="Book Antiqua" w:hAnsi="Book Antiqua" w:cs="Book Antiqua"/>
          <w:color w:val="000000" w:themeColor="text1"/>
          <w:vertAlign w:val="superscript"/>
        </w:rPr>
        <w:t>[</w:t>
      </w:r>
      <w:r w:rsidR="00E36CD0" w:rsidRPr="00257C0C">
        <w:rPr>
          <w:rFonts w:ascii="Book Antiqua" w:eastAsia="Book Antiqua" w:hAnsi="Book Antiqua" w:cs="Book Antiqua"/>
          <w:color w:val="000000" w:themeColor="text1"/>
          <w:vertAlign w:val="superscript"/>
        </w:rPr>
        <w:t>17</w:t>
      </w:r>
      <w:hyperlink w:anchor="_ENREF_17" w:tooltip="Lyshchik, 2018 #951" w:history="1"/>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The following imaging features were used to categorize each nodule: </w:t>
      </w:r>
      <w:r w:rsidR="00EB5E4A" w:rsidRPr="00257C0C">
        <w:rPr>
          <w:rFonts w:ascii="Book Antiqua" w:eastAsia="Book Antiqua" w:hAnsi="Book Antiqua" w:cs="Book Antiqua"/>
          <w:color w:val="000000" w:themeColor="text1"/>
        </w:rPr>
        <w:t>N</w:t>
      </w:r>
      <w:r w:rsidRPr="00257C0C">
        <w:rPr>
          <w:rFonts w:ascii="Book Antiqua" w:eastAsia="Book Antiqua" w:hAnsi="Book Antiqua" w:cs="Book Antiqua"/>
          <w:color w:val="000000" w:themeColor="text1"/>
        </w:rPr>
        <w:t>odule size, pattern of arterial phase enhancement, presence, timing and degree of washout and tumor-in-vein (</w:t>
      </w:r>
      <w:r w:rsidR="00E36CD0" w:rsidRPr="00257C0C">
        <w:rPr>
          <w:rFonts w:ascii="Book Antiqua" w:eastAsia="Book Antiqua" w:hAnsi="Book Antiqua" w:cs="Book Antiqua"/>
          <w:color w:val="000000" w:themeColor="text1"/>
        </w:rPr>
        <w:t xml:space="preserve">Supplementary </w:t>
      </w:r>
      <w:r w:rsidRPr="00257C0C">
        <w:rPr>
          <w:rFonts w:ascii="Book Antiqua" w:eastAsia="Book Antiqua" w:hAnsi="Book Antiqua" w:cs="Book Antiqua"/>
          <w:color w:val="000000" w:themeColor="text1"/>
        </w:rPr>
        <w:t xml:space="preserve">Appendix </w:t>
      </w:r>
      <w:r w:rsidR="00E36CD0" w:rsidRPr="00257C0C">
        <w:rPr>
          <w:rFonts w:ascii="Book Antiqua" w:eastAsia="Book Antiqua" w:hAnsi="Book Antiqua" w:cs="Book Antiqua"/>
          <w:color w:val="000000" w:themeColor="text1"/>
        </w:rPr>
        <w:t>T</w:t>
      </w:r>
      <w:r w:rsidRPr="00257C0C">
        <w:rPr>
          <w:rFonts w:ascii="Book Antiqua" w:eastAsia="Book Antiqua" w:hAnsi="Book Antiqua" w:cs="Book Antiqua"/>
          <w:color w:val="000000" w:themeColor="text1"/>
        </w:rPr>
        <w:t>able 1).</w:t>
      </w:r>
    </w:p>
    <w:p w14:paraId="4A92F3DE" w14:textId="47BCCE19" w:rsidR="00A77B3E" w:rsidRPr="00257C0C" w:rsidRDefault="007D5730" w:rsidP="00257C0C">
      <w:pPr>
        <w:snapToGrid w:val="0"/>
        <w:spacing w:line="360" w:lineRule="auto"/>
        <w:ind w:firstLineChars="100" w:firstLine="240"/>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The CEUS images were reviewed independently by two certified radiologists (</w:t>
      </w:r>
      <w:r w:rsidR="006A3AC1" w:rsidRPr="00257C0C">
        <w:rPr>
          <w:rFonts w:ascii="Book Antiqua" w:eastAsia="Book Antiqua" w:hAnsi="Book Antiqua" w:cs="Book Antiqua"/>
          <w:color w:val="000000" w:themeColor="text1"/>
        </w:rPr>
        <w:t>Li JW</w:t>
      </w:r>
      <w:r w:rsidRPr="00257C0C">
        <w:rPr>
          <w:rFonts w:ascii="Book Antiqua" w:eastAsia="Book Antiqua" w:hAnsi="Book Antiqua" w:cs="Book Antiqua"/>
          <w:color w:val="000000" w:themeColor="text1"/>
        </w:rPr>
        <w:t xml:space="preserve"> and </w:t>
      </w:r>
      <w:r w:rsidR="006A3AC1" w:rsidRPr="00257C0C">
        <w:rPr>
          <w:rFonts w:ascii="Book Antiqua" w:eastAsia="Book Antiqua" w:hAnsi="Book Antiqua" w:cs="Book Antiqua"/>
          <w:color w:val="000000" w:themeColor="text1"/>
        </w:rPr>
        <w:t>Shi YY</w:t>
      </w:r>
      <w:r w:rsidRPr="00257C0C">
        <w:rPr>
          <w:rFonts w:ascii="Book Antiqua" w:eastAsia="Book Antiqua" w:hAnsi="Book Antiqua" w:cs="Book Antiqua"/>
          <w:color w:val="000000" w:themeColor="text1"/>
        </w:rPr>
        <w:t xml:space="preserve"> with more than </w:t>
      </w:r>
      <w:r w:rsidR="00EB5E4A" w:rsidRPr="00257C0C">
        <w:rPr>
          <w:rFonts w:ascii="Book Antiqua" w:eastAsia="Book Antiqua" w:hAnsi="Book Antiqua" w:cs="Book Antiqua"/>
          <w:color w:val="000000" w:themeColor="text1"/>
        </w:rPr>
        <w:t>5</w:t>
      </w:r>
      <w:r w:rsidRPr="00257C0C">
        <w:rPr>
          <w:rFonts w:ascii="Book Antiqua" w:eastAsia="Book Antiqua" w:hAnsi="Book Antiqua" w:cs="Book Antiqua"/>
          <w:color w:val="000000" w:themeColor="text1"/>
        </w:rPr>
        <w:t xml:space="preserve"> and </w:t>
      </w:r>
      <w:r w:rsidR="00EB5E4A" w:rsidRPr="00257C0C">
        <w:rPr>
          <w:rFonts w:ascii="Book Antiqua" w:eastAsia="Book Antiqua" w:hAnsi="Book Antiqua" w:cs="Book Antiqua"/>
          <w:color w:val="000000" w:themeColor="text1"/>
        </w:rPr>
        <w:t>3</w:t>
      </w:r>
      <w:r w:rsidRPr="00257C0C">
        <w:rPr>
          <w:rFonts w:ascii="Book Antiqua" w:eastAsia="Book Antiqua" w:hAnsi="Book Antiqua" w:cs="Book Antiqua"/>
          <w:color w:val="000000" w:themeColor="text1"/>
        </w:rPr>
        <w:t xml:space="preserve"> years of experience with liver CEUS, respectively) who were blinded to the pathology results and serum biomarker levels and assigned a category to each nodule according to CEUS LI-RADS (2017 version)</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15,17</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In case of discordant interpretations between the reviewers, arbitration from an expert radiologist with more than 10 years of experience (</w:t>
      </w:r>
      <w:r w:rsidR="006A3AC1" w:rsidRPr="00257C0C">
        <w:rPr>
          <w:rFonts w:ascii="Book Antiqua" w:eastAsia="Book Antiqua" w:hAnsi="Book Antiqua" w:cs="Book Antiqua"/>
          <w:color w:val="000000" w:themeColor="text1"/>
        </w:rPr>
        <w:t>Lu Q</w:t>
      </w:r>
      <w:r w:rsidRPr="00257C0C">
        <w:rPr>
          <w:rFonts w:ascii="Book Antiqua" w:eastAsia="Book Antiqua" w:hAnsi="Book Antiqua" w:cs="Book Antiqua"/>
          <w:color w:val="000000" w:themeColor="text1"/>
        </w:rPr>
        <w:t>) was performed.</w:t>
      </w:r>
    </w:p>
    <w:p w14:paraId="1F58AA1B" w14:textId="77777777" w:rsidR="006A3AC1" w:rsidRPr="00257C0C" w:rsidRDefault="006A3AC1" w:rsidP="00257C0C">
      <w:pPr>
        <w:snapToGrid w:val="0"/>
        <w:spacing w:line="360" w:lineRule="auto"/>
        <w:jc w:val="both"/>
        <w:rPr>
          <w:color w:val="000000" w:themeColor="text1"/>
        </w:rPr>
      </w:pPr>
    </w:p>
    <w:p w14:paraId="02A25DD9"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color w:val="000000" w:themeColor="text1"/>
        </w:rPr>
        <w:t>Diagnostic criteria for distinguishing CHC from HCC or ICC</w:t>
      </w:r>
    </w:p>
    <w:p w14:paraId="29F70B46" w14:textId="4F15912D" w:rsidR="00A77B3E"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The diagnostic criteria of CHC were defined as follows: (1) LR-5 or LR-M lesion with simultaneously elevated AFP and CA19-9 (AFP &gt; 20 ng/mL and CA19-9 &gt; 100 units/mL) levels</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19-21</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(2) LR-M lesion with elevated AFP levels and normal CA19-9 Levels; or (3) LR-5 </w:t>
      </w:r>
      <w:r w:rsidR="00EB5E4A"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 xml:space="preserve">esion with elevated CA19-9 </w:t>
      </w:r>
      <w:r w:rsidR="00EB5E4A"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and normal AFP levels. The diagnostic test was performed with pathological results as the reference standard.</w:t>
      </w:r>
    </w:p>
    <w:p w14:paraId="5353E3B5" w14:textId="77777777" w:rsidR="006A3AC1" w:rsidRPr="00257C0C" w:rsidRDefault="006A3AC1" w:rsidP="00257C0C">
      <w:pPr>
        <w:snapToGrid w:val="0"/>
        <w:spacing w:line="360" w:lineRule="auto"/>
        <w:jc w:val="both"/>
        <w:rPr>
          <w:color w:val="000000" w:themeColor="text1"/>
        </w:rPr>
      </w:pPr>
    </w:p>
    <w:p w14:paraId="0578542D"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iCs/>
          <w:color w:val="000000" w:themeColor="text1"/>
        </w:rPr>
        <w:t>Statistical analysis</w:t>
      </w:r>
    </w:p>
    <w:p w14:paraId="7442015C" w14:textId="0B6243C3"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Quantitative data were expressed as the mean ± </w:t>
      </w:r>
      <w:r w:rsidR="00EB5E4A" w:rsidRPr="00257C0C">
        <w:rPr>
          <w:rFonts w:ascii="Book Antiqua" w:eastAsia="Book Antiqua" w:hAnsi="Book Antiqua" w:cs="Book Antiqua"/>
          <w:color w:val="000000" w:themeColor="text1"/>
        </w:rPr>
        <w:t>standard deviation</w:t>
      </w:r>
      <w:r w:rsidRPr="00257C0C">
        <w:rPr>
          <w:rFonts w:ascii="Book Antiqua" w:eastAsia="Book Antiqua" w:hAnsi="Book Antiqua" w:cs="Book Antiqua"/>
          <w:color w:val="000000" w:themeColor="text1"/>
        </w:rPr>
        <w:t xml:space="preserve">. Qualitative data were presented as numbers and percentages. Differences in quantitative variables were tested by the independent sample </w:t>
      </w:r>
      <w:r w:rsidRPr="00257C0C">
        <w:rPr>
          <w:rFonts w:ascii="Book Antiqua" w:eastAsia="Book Antiqua" w:hAnsi="Book Antiqua" w:cs="Book Antiqua"/>
          <w:i/>
          <w:iCs/>
          <w:color w:val="000000" w:themeColor="text1"/>
        </w:rPr>
        <w:t>t</w:t>
      </w:r>
      <w:r w:rsidRPr="00257C0C">
        <w:rPr>
          <w:rFonts w:ascii="Book Antiqua" w:eastAsia="Book Antiqua" w:hAnsi="Book Antiqua" w:cs="Book Antiqua"/>
          <w:color w:val="000000" w:themeColor="text1"/>
        </w:rPr>
        <w:t xml:space="preserve">-test. Comparison of the rates of imaging characteristics was performed by using the </w:t>
      </w:r>
      <w:r w:rsidRPr="00257C0C">
        <w:rPr>
          <w:rFonts w:ascii="Book Antiqua" w:eastAsia="Book Antiqua" w:hAnsi="Book Antiqua" w:cs="Book Antiqua"/>
          <w:i/>
          <w:iCs/>
          <w:color w:val="000000" w:themeColor="text1"/>
        </w:rPr>
        <w:t>χ</w:t>
      </w:r>
      <w:r w:rsidRPr="00257C0C">
        <w:rPr>
          <w:rFonts w:ascii="Book Antiqua" w:eastAsia="Book Antiqua" w:hAnsi="Book Antiqua" w:cs="Book Antiqua"/>
          <w:i/>
          <w:iCs/>
          <w:color w:val="000000" w:themeColor="text1"/>
          <w:vertAlign w:val="superscript"/>
        </w:rPr>
        <w:t>2</w:t>
      </w:r>
      <w:r w:rsidRPr="00257C0C">
        <w:rPr>
          <w:rFonts w:ascii="Book Antiqua" w:eastAsia="Book Antiqua" w:hAnsi="Book Antiqua" w:cs="Book Antiqua"/>
          <w:color w:val="000000" w:themeColor="text1"/>
        </w:rPr>
        <w:t xml:space="preserve"> test or Fisher’s exact test. The area under the receiver operating characteristic curve (AUC) was used to analyze the performance of the diagnostic criteria. The sensitivity, specificity, accuracy, positive predictive value (PPV) and negative predictive value (NPV) for CHC were calculated by using standard procedures</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22</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w:t>
      </w:r>
    </w:p>
    <w:p w14:paraId="233B1D69" w14:textId="53CE42CA"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Kappa values were evaluated to measure intrareader agreement of CEUS features and CEUS LI-RADS classification of the nodules. The strength of agreement was interpreted according to the classification scales for kappa: 0.00-0.20 poor, 0.21-0.40 fair, 0.41-0.60 moderate, 0.61-0.80 substantial and 0.81-1.00 almost perfect</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23</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Propensity score matching was performed with R software version 3.6.1 (R Foundation for Statistical Computing, Vienna, Austria; www.r-project.org). Statistical analyses were performed with the statistical software package SPSS, version 25.0; IBM, Armonk, NY</w:t>
      </w:r>
      <w:r w:rsidR="00EB5E4A" w:rsidRPr="00257C0C">
        <w:rPr>
          <w:rFonts w:ascii="Book Antiqua" w:eastAsia="Book Antiqua" w:hAnsi="Book Antiqua" w:cs="Book Antiqua"/>
          <w:color w:val="000000" w:themeColor="text1"/>
        </w:rPr>
        <w:t>, United States</w:t>
      </w:r>
      <w:r w:rsidRPr="00257C0C">
        <w:rPr>
          <w:rFonts w:ascii="Book Antiqua" w:eastAsia="Book Antiqua" w:hAnsi="Book Antiqua" w:cs="Book Antiqua"/>
          <w:color w:val="000000" w:themeColor="text1"/>
        </w:rPr>
        <w:t xml:space="preserve">). Significance was defined as two-sided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&lt;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0.05.</w:t>
      </w:r>
    </w:p>
    <w:p w14:paraId="2DE409B5" w14:textId="77777777" w:rsidR="00A77B3E" w:rsidRPr="00257C0C" w:rsidRDefault="00A77B3E" w:rsidP="00257C0C">
      <w:pPr>
        <w:snapToGrid w:val="0"/>
        <w:spacing w:line="360" w:lineRule="auto"/>
        <w:jc w:val="both"/>
        <w:rPr>
          <w:color w:val="000000" w:themeColor="text1"/>
        </w:rPr>
      </w:pPr>
    </w:p>
    <w:p w14:paraId="20551FF3"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RESULTS</w:t>
      </w:r>
    </w:p>
    <w:p w14:paraId="7CB773C8"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i/>
          <w:iCs/>
          <w:color w:val="000000" w:themeColor="text1"/>
        </w:rPr>
        <w:t>Patient characteristics</w:t>
      </w:r>
    </w:p>
    <w:p w14:paraId="24E1BCF0" w14:textId="2AE52D01" w:rsidR="00A77B3E"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 xml:space="preserve">After propensity score matching, a total of 35 CHC, 29 ICC and 70 HCC patients were included for analysis. The clinical characteristics of the 134 patients are shown in </w:t>
      </w:r>
      <w:r w:rsidR="006A3AC1" w:rsidRPr="00257C0C">
        <w:rPr>
          <w:rFonts w:ascii="Book Antiqua" w:eastAsia="Book Antiqua" w:hAnsi="Book Antiqua" w:cs="Book Antiqua"/>
          <w:color w:val="000000" w:themeColor="text1"/>
        </w:rPr>
        <w:t>T</w:t>
      </w:r>
      <w:r w:rsidRPr="00257C0C">
        <w:rPr>
          <w:rFonts w:ascii="Book Antiqua" w:eastAsia="Book Antiqua" w:hAnsi="Book Antiqua" w:cs="Book Antiqua"/>
          <w:color w:val="000000" w:themeColor="text1"/>
        </w:rPr>
        <w:t>able 1. In the CHC group, the mean nodule size was 5.6</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3.7 cm (range 2.0-17.0 cm) in diameter. Elevated AFP levels were found in 51.4% (18/35) of CHC patients, in contrast to 10.3% (3/29) of ICC patients and 58.6% (41/70) of HCC patients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0.001 and 0.535, respectively). In addition, elevated CA19-9 </w:t>
      </w:r>
      <w:r w:rsidR="00747E8F"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were found in 11.4% (4/35) of CHC patients compared with 31.0% (9/29) of ICC patients and 1.4% (1/70) of HCC patients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0.066 and 0.041, respectively). Simultaneous elevations in AFP and CA19-9 were found in 8.6% (3/35) of CHC, 3.4% (1/29) of ICC and 1.4% (1/70) of HCC patients (</w:t>
      </w:r>
      <w:r w:rsidR="006A3AC1" w:rsidRPr="00257C0C">
        <w:rPr>
          <w:rFonts w:ascii="Book Antiqua" w:eastAsia="Book Antiqua" w:hAnsi="Book Antiqua" w:cs="Book Antiqua"/>
          <w:i/>
          <w:iCs/>
          <w:color w:val="000000" w:themeColor="text1"/>
        </w:rPr>
        <w:t xml:space="preserve">P </w:t>
      </w:r>
      <w:r w:rsidRPr="00257C0C">
        <w:rPr>
          <w:rFonts w:ascii="Book Antiqua" w:eastAsia="Book Antiqua" w:hAnsi="Book Antiqua" w:cs="Book Antiqua"/>
          <w:color w:val="000000" w:themeColor="text1"/>
        </w:rPr>
        <w:t>&gt;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0.05).</w:t>
      </w:r>
    </w:p>
    <w:p w14:paraId="66B77AAF" w14:textId="77777777" w:rsidR="006A3AC1" w:rsidRPr="00257C0C" w:rsidRDefault="006A3AC1" w:rsidP="00257C0C">
      <w:pPr>
        <w:snapToGrid w:val="0"/>
        <w:spacing w:line="360" w:lineRule="auto"/>
        <w:jc w:val="both"/>
        <w:rPr>
          <w:color w:val="000000" w:themeColor="text1"/>
        </w:rPr>
      </w:pPr>
    </w:p>
    <w:p w14:paraId="031A11A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i/>
          <w:iCs/>
          <w:color w:val="000000" w:themeColor="text1"/>
        </w:rPr>
        <w:t>CEUS imaging characteristics</w:t>
      </w:r>
    </w:p>
    <w:p w14:paraId="1A237AE0" w14:textId="4E78A2C3"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All the CHC lesions illustrated hyperenhancement in the arterial phase and hypo-enhancement in the portal or late phase. In the arterial phase, peripheral irregular rim-like and non-rim-like hyperenhancement were demonstrated in 17.1% (6/35)</w:t>
      </w:r>
      <w:r w:rsidR="00BA0F5D" w:rsidRPr="00257C0C">
        <w:rPr>
          <w:rFonts w:ascii="Book Antiqua" w:eastAsia="Book Antiqua" w:hAnsi="Book Antiqua" w:cs="Book Antiqua"/>
          <w:color w:val="000000" w:themeColor="text1"/>
        </w:rPr>
        <w:t xml:space="preserve"> and</w:t>
      </w:r>
      <w:r w:rsidRPr="00257C0C">
        <w:rPr>
          <w:rFonts w:ascii="Book Antiqua" w:eastAsia="Book Antiqua" w:hAnsi="Book Antiqua" w:cs="Book Antiqua"/>
          <w:color w:val="000000" w:themeColor="text1"/>
        </w:rPr>
        <w:t xml:space="preserve"> 82.9% (29/35) of CHC lesions, respectively. In the portal phase, early washout was present in 74.3% (26/35) of CHC lesions compared with 96.6% (28/29) of ICC lesions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0.017) and 18.6% (13/70) of HCC patients (</w:t>
      </w:r>
      <w:r w:rsidR="006A3AC1" w:rsidRPr="00257C0C">
        <w:rPr>
          <w:rFonts w:ascii="Book Antiqua" w:eastAsia="Book Antiqua" w:hAnsi="Book Antiqua" w:cs="Book Antiqua"/>
          <w:i/>
          <w:iCs/>
          <w:color w:val="000000" w:themeColor="text1"/>
        </w:rPr>
        <w:t xml:space="preserve">P </w:t>
      </w:r>
      <w:r w:rsidRPr="00257C0C">
        <w:rPr>
          <w:rFonts w:ascii="Book Antiqua" w:eastAsia="Book Antiqua" w:hAnsi="Book Antiqua" w:cs="Book Antiqua"/>
          <w:color w:val="000000" w:themeColor="text1"/>
        </w:rPr>
        <w:t>&lt;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0.001). Marked washout within 120 s was found in 5.7% (2/35) of CHC lesions, in contrast to 3.4% (1/29) of ICC lesions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1.000) and none of the HCC lesions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0.109). According to CEUS LI-RADS, 25.7% (9/35) and 74.3% (26/35) of CHCs were classified as LR-5 and LR-M, respectively, in contrast to none and 100% in ICC (</w:t>
      </w:r>
      <w:r w:rsidRPr="00257C0C">
        <w:rPr>
          <w:rFonts w:ascii="Book Antiqua" w:eastAsia="Book Antiqua" w:hAnsi="Book Antiqua" w:cs="Book Antiqua"/>
          <w:i/>
          <w:iCs/>
          <w:color w:val="000000" w:themeColor="text1"/>
        </w:rPr>
        <w:t>P</w:t>
      </w:r>
      <w:r w:rsidRPr="00257C0C">
        <w:rPr>
          <w:rFonts w:ascii="Book Antiqua" w:eastAsia="Book Antiqua" w:hAnsi="Book Antiqua" w:cs="Book Antiqua"/>
          <w:color w:val="000000" w:themeColor="text1"/>
        </w:rPr>
        <w:t xml:space="preserve"> = 0.003) and 81.4% (57/70) and 18.6% (13/70) in HCC (</w:t>
      </w:r>
      <w:r w:rsidR="006A3AC1" w:rsidRPr="00257C0C">
        <w:rPr>
          <w:rFonts w:ascii="Book Antiqua" w:eastAsia="Book Antiqua" w:hAnsi="Book Antiqua" w:cs="Book Antiqua"/>
          <w:i/>
          <w:iCs/>
          <w:color w:val="000000" w:themeColor="text1"/>
        </w:rPr>
        <w:t xml:space="preserve">P </w:t>
      </w:r>
      <w:r w:rsidRPr="00257C0C">
        <w:rPr>
          <w:rFonts w:ascii="Book Antiqua" w:eastAsia="Book Antiqua" w:hAnsi="Book Antiqua" w:cs="Book Antiqua"/>
          <w:color w:val="000000" w:themeColor="text1"/>
        </w:rPr>
        <w:t>&lt;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0.001). The pre-contrast and contrast-enhanced ultrasonographic imaging features are presented in </w:t>
      </w:r>
      <w:r w:rsidR="006A3AC1" w:rsidRPr="00257C0C">
        <w:rPr>
          <w:rFonts w:ascii="Book Antiqua" w:eastAsia="Book Antiqua" w:hAnsi="Book Antiqua" w:cs="Book Antiqua"/>
          <w:color w:val="000000" w:themeColor="text1"/>
        </w:rPr>
        <w:t>T</w:t>
      </w:r>
      <w:r w:rsidRPr="00257C0C">
        <w:rPr>
          <w:rFonts w:ascii="Book Antiqua" w:eastAsia="Book Antiqua" w:hAnsi="Book Antiqua" w:cs="Book Antiqua"/>
          <w:color w:val="000000" w:themeColor="text1"/>
        </w:rPr>
        <w:t>able 2.</w:t>
      </w:r>
    </w:p>
    <w:p w14:paraId="5E2DA2FD" w14:textId="234E6683" w:rsidR="00A77B3E" w:rsidRPr="00257C0C" w:rsidRDefault="007D5730" w:rsidP="00257C0C">
      <w:pPr>
        <w:snapToGrid w:val="0"/>
        <w:spacing w:line="360" w:lineRule="auto"/>
        <w:ind w:firstLine="240"/>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t xml:space="preserve">The interobserver agreement of CEUS features for the CHC and non-CHC groups is summarized in </w:t>
      </w:r>
      <w:r w:rsidR="006A3AC1" w:rsidRPr="00257C0C">
        <w:rPr>
          <w:rFonts w:ascii="Book Antiqua" w:eastAsia="Book Antiqua" w:hAnsi="Book Antiqua" w:cs="Book Antiqua"/>
          <w:color w:val="000000" w:themeColor="text1"/>
        </w:rPr>
        <w:t>T</w:t>
      </w:r>
      <w:r w:rsidRPr="00257C0C">
        <w:rPr>
          <w:rFonts w:ascii="Book Antiqua" w:eastAsia="Book Antiqua" w:hAnsi="Book Antiqua" w:cs="Book Antiqua"/>
          <w:color w:val="000000" w:themeColor="text1"/>
        </w:rPr>
        <w:t>able 3. In the CHC group, the k values of interobserver agreements on the arterial phase hyperenhancement pattern, early washout and marked washout were 0.624, 0.608 and 0.635, respectively. In the non-CHC group, the k values of interobserver agreements on arterial enhancement pattern, early washout and marked washout were 0.524, 0.875 and 0.662, respectively. The k values of CEUS LI-RADS categorization in the two groups were 0.663 and 0.876, respectively.</w:t>
      </w:r>
    </w:p>
    <w:p w14:paraId="11BF84F0" w14:textId="77777777" w:rsidR="006A3AC1" w:rsidRPr="00257C0C" w:rsidRDefault="006A3AC1" w:rsidP="00257C0C">
      <w:pPr>
        <w:snapToGrid w:val="0"/>
        <w:spacing w:line="360" w:lineRule="auto"/>
        <w:jc w:val="both"/>
        <w:rPr>
          <w:color w:val="000000" w:themeColor="text1"/>
        </w:rPr>
      </w:pPr>
    </w:p>
    <w:p w14:paraId="17D2BCEC" w14:textId="77777777" w:rsidR="00A77B3E" w:rsidRPr="00257C0C" w:rsidRDefault="007D5730" w:rsidP="00257C0C">
      <w:pPr>
        <w:snapToGrid w:val="0"/>
        <w:spacing w:line="360" w:lineRule="auto"/>
        <w:jc w:val="both"/>
        <w:rPr>
          <w:b/>
          <w:bCs/>
          <w:color w:val="000000" w:themeColor="text1"/>
        </w:rPr>
      </w:pPr>
      <w:r w:rsidRPr="00257C0C">
        <w:rPr>
          <w:rFonts w:ascii="Book Antiqua" w:eastAsia="Book Antiqua" w:hAnsi="Book Antiqua" w:cs="Book Antiqua"/>
          <w:b/>
          <w:bCs/>
          <w:i/>
          <w:color w:val="000000" w:themeColor="text1"/>
        </w:rPr>
        <w:t>Performance of CHC diagnostic criteria in distinguishing between CHC and HCC or ICC</w:t>
      </w:r>
    </w:p>
    <w:p w14:paraId="0AA66AA0" w14:textId="74B3F796"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Serum tumor biomarkers (AFP and CA19-9) and the CEUS LI-RADS categorization of the 134 patients are shown in </w:t>
      </w:r>
      <w:r w:rsidR="006A3AC1" w:rsidRPr="00257C0C">
        <w:rPr>
          <w:rFonts w:ascii="Book Antiqua" w:eastAsia="Book Antiqua" w:hAnsi="Book Antiqua" w:cs="Book Antiqua"/>
          <w:color w:val="000000" w:themeColor="text1"/>
        </w:rPr>
        <w:t>T</w:t>
      </w:r>
      <w:r w:rsidRPr="00257C0C">
        <w:rPr>
          <w:rFonts w:ascii="Book Antiqua" w:eastAsia="Book Antiqua" w:hAnsi="Book Antiqua" w:cs="Book Antiqua"/>
          <w:color w:val="000000" w:themeColor="text1"/>
        </w:rPr>
        <w:t>able 4 (Figure 2-4). Table 5 shows the performance of the diagnostic criteria. The AUC, sensitivity, specificity, PPV, NPV, and accuracy were 0.649, 40.0%, 89.9%, 58.3%, 80.9%</w:t>
      </w:r>
      <w:r w:rsidR="00AE4B84" w:rsidRPr="00257C0C">
        <w:rPr>
          <w:rFonts w:ascii="Book Antiqua" w:eastAsia="Book Antiqua" w:hAnsi="Book Antiqua" w:cs="Book Antiqua"/>
          <w:color w:val="000000" w:themeColor="text1"/>
        </w:rPr>
        <w:t xml:space="preserve"> and</w:t>
      </w:r>
      <w:r w:rsidRPr="00257C0C">
        <w:rPr>
          <w:rFonts w:ascii="Book Antiqua" w:eastAsia="Book Antiqua" w:hAnsi="Book Antiqua" w:cs="Book Antiqua"/>
          <w:color w:val="000000" w:themeColor="text1"/>
        </w:rPr>
        <w:t xml:space="preserve"> 76.9%, respectively. In this study, CHC accounted for 26.1% (35/134) of the study population, yielding an adjusted PPV of 58.3% and NPV of 80.9%.</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However, the actual prevalence of CHC is much lower, reportedly accounting for 0.4</w:t>
      </w:r>
      <w:r w:rsidR="006A3AC1"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-14.2% of primary hepatic cancers</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2,24,25</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Considering</w:t>
      </w:r>
      <w:r w:rsidR="00AE4B84" w:rsidRPr="00257C0C">
        <w:rPr>
          <w:rFonts w:ascii="Book Antiqua" w:eastAsia="Book Antiqua" w:hAnsi="Book Antiqua" w:cs="Book Antiqua"/>
          <w:color w:val="000000" w:themeColor="text1"/>
        </w:rPr>
        <w:t xml:space="preserve"> eighth</w:t>
      </w:r>
      <w:r w:rsidRPr="00257C0C">
        <w:rPr>
          <w:rFonts w:ascii="Book Antiqua" w:eastAsia="Book Antiqua" w:hAnsi="Book Antiqua" w:cs="Book Antiqua"/>
          <w:color w:val="000000" w:themeColor="text1"/>
        </w:rPr>
        <w:t xml:space="preserve"> reported prevalence of CHC (0.4</w:t>
      </w:r>
      <w:r w:rsidR="006A3AC1"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-14.2%), the PPV and NPV were modified to 1.6%-39.6% and 90.1%-99.7%, respectively.</w:t>
      </w:r>
    </w:p>
    <w:p w14:paraId="2D553B24" w14:textId="77777777" w:rsidR="00A77B3E" w:rsidRPr="00257C0C" w:rsidRDefault="00A77B3E" w:rsidP="00257C0C">
      <w:pPr>
        <w:snapToGrid w:val="0"/>
        <w:spacing w:line="360" w:lineRule="auto"/>
        <w:jc w:val="both"/>
        <w:rPr>
          <w:color w:val="000000" w:themeColor="text1"/>
        </w:rPr>
      </w:pPr>
    </w:p>
    <w:p w14:paraId="39CAA4B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DISCUSSION</w:t>
      </w:r>
    </w:p>
    <w:p w14:paraId="2E1D51F4" w14:textId="0105B3E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CHC is the second most common type of primary liver cancer in cirrhotic liver</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4</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A definitive diagnosis of CHC requires both unambiguously differentiated hepatocellular and biliary components in the same tumor in pathological analysis as per the </w:t>
      </w:r>
      <w:r w:rsidR="00A744C0" w:rsidRPr="00257C0C">
        <w:rPr>
          <w:rFonts w:ascii="Book Antiqua" w:eastAsia="Book Antiqua" w:hAnsi="Book Antiqua" w:cs="Book Antiqua"/>
          <w:color w:val="000000" w:themeColor="text1"/>
        </w:rPr>
        <w:t xml:space="preserve">World Health Organization </w:t>
      </w:r>
      <w:r w:rsidRPr="00257C0C">
        <w:rPr>
          <w:rFonts w:ascii="Book Antiqua" w:eastAsia="Book Antiqua" w:hAnsi="Book Antiqua" w:cs="Book Antiqua"/>
          <w:color w:val="000000" w:themeColor="text1"/>
        </w:rPr>
        <w:t>classification</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5</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However, biopsy may misguide the correct diagnosis of CHC due to sampling error or tissue insufficiency</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26,27</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which highlights the importance of surgical specimens and imaging diagnosis. Our study indicated that a higher percentage of CHC was classified as LR-M than LR-5 (74.3% </w:t>
      </w:r>
      <w:r w:rsidRPr="00257C0C">
        <w:rPr>
          <w:rFonts w:ascii="Book Antiqua" w:eastAsia="Book Antiqua" w:hAnsi="Book Antiqua" w:cs="Book Antiqua"/>
          <w:i/>
          <w:iCs/>
          <w:color w:val="000000" w:themeColor="text1"/>
        </w:rPr>
        <w:t>vs</w:t>
      </w:r>
      <w:r w:rsidRPr="00257C0C">
        <w:rPr>
          <w:rFonts w:ascii="Book Antiqua" w:eastAsia="Book Antiqua" w:hAnsi="Book Antiqua" w:cs="Book Antiqua"/>
          <w:color w:val="000000" w:themeColor="text1"/>
        </w:rPr>
        <w:t xml:space="preserve"> 25.7%, </w:t>
      </w:r>
      <w:r w:rsidR="006A3AC1" w:rsidRPr="00257C0C">
        <w:rPr>
          <w:rFonts w:ascii="Book Antiqua" w:eastAsia="Book Antiqua" w:hAnsi="Book Antiqua" w:cs="Book Antiqua"/>
          <w:i/>
          <w:iCs/>
          <w:color w:val="000000" w:themeColor="text1"/>
        </w:rPr>
        <w:t xml:space="preserve">P </w:t>
      </w:r>
      <w:r w:rsidRPr="00257C0C">
        <w:rPr>
          <w:rFonts w:ascii="Book Antiqua" w:eastAsia="Book Antiqua" w:hAnsi="Book Antiqua" w:cs="Book Antiqua"/>
          <w:color w:val="000000" w:themeColor="text1"/>
        </w:rPr>
        <w:t>&lt;</w:t>
      </w:r>
      <w:r w:rsidR="006A3AC1"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0.05). Simultaneous elevation of AFP and CA19-9 was present in only 8.6% (3/35) of CHC patients. The combination of CEUS LI-RADS and serum AFP and CA19-9 </w:t>
      </w:r>
      <w:r w:rsidR="00AE4B84"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showed a specificity of 89.9% and accuracy of 76.9% for the diagnosis of CHC in patients with chronic liver disease.</w:t>
      </w:r>
    </w:p>
    <w:p w14:paraId="35DDB8D6" w14:textId="115787D7"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In our study, all CHC lesions showed typical manifestations of liver cancer (</w:t>
      </w:r>
      <w:r w:rsidRPr="00257C0C">
        <w:rPr>
          <w:rFonts w:ascii="Book Antiqua" w:eastAsia="Book Antiqua" w:hAnsi="Book Antiqua" w:cs="Book Antiqua"/>
          <w:i/>
          <w:iCs/>
          <w:color w:val="000000" w:themeColor="text1"/>
        </w:rPr>
        <w:t>i.e.</w:t>
      </w:r>
      <w:r w:rsidRPr="00257C0C">
        <w:rPr>
          <w:rFonts w:ascii="Book Antiqua" w:eastAsia="Book Antiqua" w:hAnsi="Book Antiqua" w:cs="Book Antiqua"/>
          <w:color w:val="000000" w:themeColor="text1"/>
        </w:rPr>
        <w:t xml:space="preserve"> the enhancement mode of “rapid wash in and out”)</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10-12,28</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However, 74.3% (26/35) of CHC cases were assessed as LR-M, which is higher than the rates reported by Choi </w:t>
      </w:r>
      <w:r w:rsidRPr="00257C0C">
        <w:rPr>
          <w:rFonts w:ascii="Book Antiqua" w:eastAsia="Book Antiqua" w:hAnsi="Book Antiqua" w:cs="Book Antiqua"/>
          <w:i/>
          <w:iCs/>
          <w:color w:val="000000" w:themeColor="text1"/>
        </w:rPr>
        <w:t>et al</w:t>
      </w:r>
      <w:r w:rsidR="006A3AC1" w:rsidRPr="00257C0C">
        <w:rPr>
          <w:rFonts w:ascii="Book Antiqua" w:eastAsia="Book Antiqua" w:hAnsi="Book Antiqua" w:cs="Book Antiqua"/>
          <w:color w:val="000000" w:themeColor="text1"/>
          <w:vertAlign w:val="superscript"/>
        </w:rPr>
        <w:t>[29]</w:t>
      </w:r>
      <w:r w:rsidRPr="00257C0C">
        <w:rPr>
          <w:rFonts w:ascii="Book Antiqua" w:eastAsia="Book Antiqua" w:hAnsi="Book Antiqua" w:cs="Book Antiqua"/>
          <w:color w:val="000000" w:themeColor="text1"/>
        </w:rPr>
        <w:t xml:space="preserve"> (28.0%) and Jeon </w:t>
      </w:r>
      <w:r w:rsidRPr="00257C0C">
        <w:rPr>
          <w:rFonts w:ascii="Book Antiqua" w:eastAsia="Book Antiqua" w:hAnsi="Book Antiqua" w:cs="Book Antiqua"/>
          <w:i/>
          <w:iCs/>
          <w:color w:val="000000" w:themeColor="text1"/>
        </w:rPr>
        <w:t>et al</w:t>
      </w:r>
      <w:r w:rsidRPr="00257C0C">
        <w:rPr>
          <w:rFonts w:ascii="Book Antiqua" w:eastAsia="Book Antiqua" w:hAnsi="Book Antiqua" w:cs="Book Antiqua"/>
          <w:color w:val="000000" w:themeColor="text1"/>
        </w:rPr>
        <w:t xml:space="preserve"> (61.4%) based on </w:t>
      </w:r>
      <w:r w:rsidR="00EB2C77" w:rsidRPr="00257C0C">
        <w:rPr>
          <w:rFonts w:ascii="Book Antiqua" w:eastAsia="Book Antiqua" w:hAnsi="Book Antiqua" w:cs="Book Antiqua"/>
          <w:color w:val="000000" w:themeColor="text1"/>
        </w:rPr>
        <w:t>magnetic resonance imaging (MRI)</w:t>
      </w:r>
      <w:r w:rsidRPr="00257C0C">
        <w:rPr>
          <w:rFonts w:ascii="Book Antiqua" w:eastAsia="Book Antiqua" w:hAnsi="Book Antiqua" w:cs="Book Antiqua"/>
          <w:color w:val="000000" w:themeColor="text1"/>
        </w:rPr>
        <w:t xml:space="preserve"> LI-RADS</w:t>
      </w:r>
      <w:r w:rsidRPr="00257C0C">
        <w:rPr>
          <w:rFonts w:ascii="Book Antiqua" w:eastAsia="Book Antiqua" w:hAnsi="Book Antiqua" w:cs="Book Antiqua"/>
          <w:color w:val="000000" w:themeColor="text1"/>
          <w:vertAlign w:val="superscript"/>
        </w:rPr>
        <w:t>[</w:t>
      </w:r>
      <w:r w:rsidR="006A3AC1" w:rsidRPr="00257C0C">
        <w:rPr>
          <w:rFonts w:ascii="Book Antiqua" w:eastAsia="Book Antiqua" w:hAnsi="Book Antiqua" w:cs="Book Antiqua"/>
          <w:color w:val="000000" w:themeColor="text1"/>
          <w:vertAlign w:val="superscript"/>
        </w:rPr>
        <w:t>30</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This discrepancy may be explained by the fact that early washout is more easily observed by CEUS due to higher temporal resolution than MRI. In this study, the other 25.7% (9/35) of CHC lesions were classified as LR-5. In other words, 100% of CHC lesions were correctly classified as malignant by CEUS LI-RADS, which is in line with the findings of Sagrini </w:t>
      </w:r>
      <w:r w:rsidRPr="00257C0C">
        <w:rPr>
          <w:rFonts w:ascii="Book Antiqua" w:eastAsia="Book Antiqua" w:hAnsi="Book Antiqua" w:cs="Book Antiqua"/>
          <w:i/>
          <w:iCs/>
          <w:color w:val="000000" w:themeColor="text1"/>
        </w:rPr>
        <w:t>et al</w:t>
      </w:r>
      <w:r w:rsidRPr="00257C0C">
        <w:rPr>
          <w:rFonts w:ascii="Book Antiqua" w:eastAsia="Book Antiqua" w:hAnsi="Book Antiqua" w:cs="Book Antiqua"/>
          <w:color w:val="000000" w:themeColor="text1"/>
          <w:vertAlign w:val="superscript"/>
        </w:rPr>
        <w:t>[</w:t>
      </w:r>
      <w:r w:rsidR="00FC1E8F" w:rsidRPr="00257C0C">
        <w:rPr>
          <w:rFonts w:ascii="Book Antiqua" w:eastAsia="Book Antiqua" w:hAnsi="Book Antiqua" w:cs="Book Antiqua"/>
          <w:color w:val="000000" w:themeColor="text1"/>
          <w:vertAlign w:val="superscript"/>
        </w:rPr>
        <w:t>12</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where CEUS correctly suggested a condition of malignancy in a higher number of cases than CT and MRI for the diagnosis of CHC.</w:t>
      </w:r>
    </w:p>
    <w:p w14:paraId="1608B041" w14:textId="1DC2A0E3"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 xml:space="preserve">Elevated AFP and CA19-9 </w:t>
      </w:r>
      <w:r w:rsidR="00EB2C77"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have</w:t>
      </w:r>
      <w:r w:rsidRPr="00257C0C">
        <w:rPr>
          <w:rFonts w:ascii="Book Antiqua" w:eastAsia="Book Antiqua" w:hAnsi="Book Antiqua" w:cs="Book Antiqua"/>
          <w:color w:val="000000" w:themeColor="text1"/>
          <w:vertAlign w:val="superscript"/>
        </w:rPr>
        <w:t xml:space="preserve"> </w:t>
      </w:r>
      <w:r w:rsidRPr="00257C0C">
        <w:rPr>
          <w:rFonts w:ascii="Book Antiqua" w:eastAsia="Book Antiqua" w:hAnsi="Book Antiqua" w:cs="Book Antiqua"/>
          <w:color w:val="000000" w:themeColor="text1"/>
        </w:rPr>
        <w:t>been reported as potential diagnostic indicators for HCC and ICC, respectively</w:t>
      </w:r>
      <w:r w:rsidRPr="00257C0C">
        <w:rPr>
          <w:rFonts w:ascii="Book Antiqua" w:eastAsia="Book Antiqua" w:hAnsi="Book Antiqua" w:cs="Book Antiqua"/>
          <w:color w:val="000000" w:themeColor="text1"/>
          <w:vertAlign w:val="superscript"/>
        </w:rPr>
        <w:t>[</w:t>
      </w:r>
      <w:r w:rsidR="00FC1E8F" w:rsidRPr="00257C0C">
        <w:rPr>
          <w:rFonts w:ascii="Book Antiqua" w:eastAsia="Book Antiqua" w:hAnsi="Book Antiqua" w:cs="Book Antiqua"/>
          <w:color w:val="000000" w:themeColor="text1"/>
          <w:vertAlign w:val="superscript"/>
        </w:rPr>
        <w:t>19,31</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Prior studies have demonstrated that the combination of AFP and CA19-9 with radiologic characteristics may aid the diagnosis of CHC</w:t>
      </w:r>
      <w:r w:rsidRPr="00257C0C">
        <w:rPr>
          <w:rFonts w:ascii="Book Antiqua" w:eastAsia="Book Antiqua" w:hAnsi="Book Antiqua" w:cs="Book Antiqua"/>
          <w:color w:val="000000" w:themeColor="text1"/>
          <w:vertAlign w:val="superscript"/>
        </w:rPr>
        <w:t>[</w:t>
      </w:r>
      <w:r w:rsidR="00FC1E8F" w:rsidRPr="00257C0C">
        <w:rPr>
          <w:rFonts w:ascii="Book Antiqua" w:eastAsia="Book Antiqua" w:hAnsi="Book Antiqua" w:cs="Book Antiqua"/>
          <w:color w:val="000000" w:themeColor="text1"/>
          <w:vertAlign w:val="superscript"/>
        </w:rPr>
        <w:t>10,11,13,14</w:t>
      </w:r>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Huang </w:t>
      </w:r>
      <w:r w:rsidRPr="00257C0C">
        <w:rPr>
          <w:rFonts w:ascii="Book Antiqua" w:eastAsia="Book Antiqua" w:hAnsi="Book Antiqua" w:cs="Book Antiqua"/>
          <w:i/>
          <w:iCs/>
          <w:color w:val="000000" w:themeColor="text1"/>
        </w:rPr>
        <w:t>et al</w:t>
      </w:r>
      <w:r w:rsidRPr="00257C0C">
        <w:rPr>
          <w:rFonts w:ascii="Book Antiqua" w:eastAsia="Book Antiqua" w:hAnsi="Book Antiqua" w:cs="Book Antiqua"/>
          <w:color w:val="000000" w:themeColor="text1"/>
          <w:vertAlign w:val="superscript"/>
        </w:rPr>
        <w:t>[</w:t>
      </w:r>
      <w:r w:rsidR="00FC1E8F" w:rsidRPr="00257C0C">
        <w:rPr>
          <w:rFonts w:ascii="Book Antiqua" w:eastAsia="Book Antiqua" w:hAnsi="Book Antiqua" w:cs="Book Antiqua"/>
          <w:color w:val="000000" w:themeColor="text1"/>
          <w:vertAlign w:val="superscript"/>
        </w:rPr>
        <w:t>10</w:t>
      </w:r>
      <w:hyperlink w:anchor="_ENREF_10" w:tooltip="Huang, 2018 #979" w:history="1"/>
      <w:r w:rsidRPr="00257C0C">
        <w:rPr>
          <w:rFonts w:ascii="Book Antiqua" w:eastAsia="Book Antiqua" w:hAnsi="Book Antiqua" w:cs="Book Antiqua"/>
          <w:color w:val="000000" w:themeColor="text1"/>
          <w:vertAlign w:val="superscript"/>
        </w:rPr>
        <w:t>]</w:t>
      </w:r>
      <w:r w:rsidRPr="00257C0C">
        <w:rPr>
          <w:rFonts w:ascii="Book Antiqua" w:eastAsia="Book Antiqua" w:hAnsi="Book Antiqua" w:cs="Book Antiqua"/>
          <w:color w:val="000000" w:themeColor="text1"/>
        </w:rPr>
        <w:t xml:space="preserve"> reported that the sensitivity and specificity of diagnosing CHC based on their criteria (</w:t>
      </w:r>
      <w:r w:rsidRPr="00257C0C">
        <w:rPr>
          <w:rFonts w:ascii="Book Antiqua" w:eastAsia="Book Antiqua" w:hAnsi="Book Antiqua" w:cs="Book Antiqua"/>
          <w:i/>
          <w:iCs/>
          <w:color w:val="000000" w:themeColor="text1"/>
        </w:rPr>
        <w:t>i.e.</w:t>
      </w:r>
      <w:r w:rsidRPr="00257C0C">
        <w:rPr>
          <w:rFonts w:ascii="Book Antiqua" w:eastAsia="Book Antiqua" w:hAnsi="Book Antiqua" w:cs="Book Antiqua"/>
          <w:color w:val="000000" w:themeColor="text1"/>
        </w:rPr>
        <w:t xml:space="preserve"> simultaneous elevation of AFP and CA19-9 or with a tumor marker elevation in discordance with HCC-like or ICC-like pattern on CEUS), were 32.5% and 92.8%, respectively, which is comparable to the result of our study. Compared with Huang’s study, HCC lesions were selected by propensity score matching in this study, which reduced patient selection bias. Moreover, CEUS LI-RADS was adopted in our criteria, which makes it more standardized to use in the clinical setting.</w:t>
      </w:r>
    </w:p>
    <w:p w14:paraId="665E5E2A" w14:textId="3F2F9639"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The diagnostic criteria for CHC showed high specificity (89.9%) and modified NPV (90.1</w:t>
      </w:r>
      <w:r w:rsidR="00FC1E8F"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to 99.7%), which indicated that CHC could be effectively ruled out by using CEUS LI-RADS. Atypical HCC or ICC would be classified as LR-M, a category indicating malignancy but not specific for HCC. Biopsy is recommended for the management of LR-M lesions. However, for CHC, the value of biopsy may be limited due to sampling error or tissue insufficiency. In such a scenario, combining CEUS LI-RADS with serum biomarkers could confidently exclude the possibility of CHC if the lesion does not meet the criteria. However, the performance of the diagnostic criteria in this study indicated that differentiation between CHC and HCC or ICC remains challenging.</w:t>
      </w:r>
    </w:p>
    <w:p w14:paraId="4D4F6612" w14:textId="07EB4DE4" w:rsidR="00A77B3E" w:rsidRPr="00257C0C" w:rsidRDefault="007D5730" w:rsidP="00257C0C">
      <w:pPr>
        <w:snapToGrid w:val="0"/>
        <w:spacing w:line="360" w:lineRule="auto"/>
        <w:ind w:firstLineChars="100" w:firstLine="240"/>
        <w:jc w:val="both"/>
        <w:rPr>
          <w:color w:val="000000" w:themeColor="text1"/>
        </w:rPr>
      </w:pPr>
      <w:r w:rsidRPr="00257C0C">
        <w:rPr>
          <w:rFonts w:ascii="Book Antiqua" w:eastAsia="Book Antiqua" w:hAnsi="Book Antiqua" w:cs="Book Antiqua"/>
          <w:color w:val="000000" w:themeColor="text1"/>
        </w:rPr>
        <w:t xml:space="preserve">There are a few limitations to our study. First, this was a single-center retrospective case-control study, which may have potential selection bias. Additional multicenter prospective studies are needed to validate the diagnostic criteria. Second, the sample size was small because of the relatively low incidence of CHC tumors. Third, this study </w:t>
      </w:r>
      <w:r w:rsidR="002A1022" w:rsidRPr="00257C0C">
        <w:rPr>
          <w:rFonts w:ascii="Book Antiqua" w:eastAsia="Book Antiqua" w:hAnsi="Book Antiqua" w:cs="Book Antiqua"/>
          <w:color w:val="000000" w:themeColor="text1"/>
        </w:rPr>
        <w:t>mainly</w:t>
      </w:r>
      <w:r w:rsidRPr="00257C0C">
        <w:rPr>
          <w:rFonts w:ascii="Book Antiqua" w:eastAsia="Book Antiqua" w:hAnsi="Book Antiqua" w:cs="Book Antiqua"/>
          <w:color w:val="000000" w:themeColor="text1"/>
        </w:rPr>
        <w:t xml:space="preserve"> enrolled patients with chronic hepatitis B. Therefore, our results may not be reproducible in patients with other etiologies, especially liver cirrhosis.</w:t>
      </w:r>
    </w:p>
    <w:p w14:paraId="7A0BA131" w14:textId="77777777" w:rsidR="00A77B3E" w:rsidRPr="00257C0C" w:rsidRDefault="00A77B3E" w:rsidP="00257C0C">
      <w:pPr>
        <w:snapToGrid w:val="0"/>
        <w:spacing w:line="360" w:lineRule="auto"/>
        <w:jc w:val="both"/>
        <w:rPr>
          <w:color w:val="000000" w:themeColor="text1"/>
        </w:rPr>
      </w:pPr>
    </w:p>
    <w:p w14:paraId="2B33E12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CONCLUSION</w:t>
      </w:r>
    </w:p>
    <w:p w14:paraId="0051042A"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In conclusion, CHC could be accurately diagnosed as malignant by CEUS LI-RADS, with the majority of the lesions in the LR-M category. The combination of CEUS LI-RADS classification with serum tumor markers shows high specificity but low sensitivity for the diagnosis of CHC. These findings could help radiologists and clinical investigators confidently exclude CHC lesions in the clinical setting.</w:t>
      </w:r>
    </w:p>
    <w:p w14:paraId="3F1969D1" w14:textId="77777777" w:rsidR="00A77B3E" w:rsidRPr="00257C0C" w:rsidRDefault="00A77B3E" w:rsidP="00257C0C">
      <w:pPr>
        <w:snapToGrid w:val="0"/>
        <w:spacing w:line="360" w:lineRule="auto"/>
        <w:jc w:val="both"/>
        <w:rPr>
          <w:color w:val="000000" w:themeColor="text1"/>
        </w:rPr>
      </w:pPr>
    </w:p>
    <w:p w14:paraId="4CFD575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ARTICLE HIGHLIGHTS</w:t>
      </w:r>
    </w:p>
    <w:p w14:paraId="2E0D43E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background</w:t>
      </w:r>
    </w:p>
    <w:p w14:paraId="4DF1F85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Combined hepatocellular-cholangiocarcinoma (CHC) is a rare type of primary liver cancer. Due to its complex histopathological characteristics, the imaging features of CHC may overlap with those of hepatocellular carcinoma (HCC) and intrahepatic cholangiocarcinoma (ICC).</w:t>
      </w:r>
    </w:p>
    <w:p w14:paraId="56CFEC47" w14:textId="77777777" w:rsidR="00A77B3E" w:rsidRPr="00257C0C" w:rsidRDefault="00A77B3E" w:rsidP="00257C0C">
      <w:pPr>
        <w:snapToGrid w:val="0"/>
        <w:spacing w:line="360" w:lineRule="auto"/>
        <w:jc w:val="both"/>
        <w:rPr>
          <w:color w:val="000000" w:themeColor="text1"/>
        </w:rPr>
      </w:pPr>
    </w:p>
    <w:p w14:paraId="01A84A1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motivation</w:t>
      </w:r>
    </w:p>
    <w:p w14:paraId="30303113" w14:textId="4EA2D75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The contrasted-enhanced ultrasound (CEUS) Liver Imaging Reporting and Data System (LI-RADS) released by the American College of Radiology has been reported to be effective for the diagnosis of HCC. However, CHC lesions meeting the criteria for LR-5 classification may compromise the high specificity of LR-5 for the diagnosis of HCC if we only take the imaging features into consideration. Serum biomarkers, especially alpha-fetoprotein (AFP) and carbohydrate antigen 19-9 (CA19-9), have been shown to be helpful in the diagnosis of CHC. However, whether combining CEUS LI-RADS with serum biomarkers is helpful for differentiating CHC from HCC and ICC in at-risk patients has not been fully evaluated.</w:t>
      </w:r>
    </w:p>
    <w:p w14:paraId="43D76704" w14:textId="77777777" w:rsidR="00A77B3E" w:rsidRPr="00257C0C" w:rsidRDefault="00A77B3E" w:rsidP="00257C0C">
      <w:pPr>
        <w:snapToGrid w:val="0"/>
        <w:spacing w:line="360" w:lineRule="auto"/>
        <w:jc w:val="both"/>
        <w:rPr>
          <w:color w:val="000000" w:themeColor="text1"/>
        </w:rPr>
      </w:pPr>
    </w:p>
    <w:p w14:paraId="3997E3E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objectives</w:t>
      </w:r>
    </w:p>
    <w:p w14:paraId="130DDB4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The purpose of this study was to investigate whether the combination of CEUS LI-RADS and serum biomarkers is helpful for differentiating CHC from HCC and ICC in patients with chronic liver disease.</w:t>
      </w:r>
    </w:p>
    <w:p w14:paraId="15A0D5AF" w14:textId="77777777" w:rsidR="00A77B3E" w:rsidRPr="00257C0C" w:rsidRDefault="00A77B3E" w:rsidP="00257C0C">
      <w:pPr>
        <w:snapToGrid w:val="0"/>
        <w:spacing w:line="360" w:lineRule="auto"/>
        <w:jc w:val="both"/>
        <w:rPr>
          <w:color w:val="000000" w:themeColor="text1"/>
        </w:rPr>
      </w:pPr>
    </w:p>
    <w:p w14:paraId="56324D3A"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methods</w:t>
      </w:r>
    </w:p>
    <w:p w14:paraId="62C97BD1" w14:textId="582C0B42"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Patients with histologically confirmed CHC, ICC and HCC with chronic liver disease between January 2016 and December 2019 were enrolled in this retrospective case control study. HCC patients were finally enrolled after one-to-two (CHC:HCC</w:t>
      </w:r>
      <w:r w:rsidR="00FC1E8F"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w:t>
      </w:r>
      <w:r w:rsidR="00FC1E8F"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1:2) propensity score matching by tumor size, age and sex. Differences in quantitative variables were tested by the independent sample </w:t>
      </w:r>
      <w:r w:rsidRPr="00257C0C">
        <w:rPr>
          <w:rFonts w:ascii="Book Antiqua" w:eastAsia="Book Antiqua" w:hAnsi="Book Antiqua" w:cs="Book Antiqua"/>
          <w:i/>
          <w:iCs/>
          <w:color w:val="000000" w:themeColor="text1"/>
        </w:rPr>
        <w:t>t</w:t>
      </w:r>
      <w:r w:rsidRPr="00257C0C">
        <w:rPr>
          <w:rFonts w:ascii="Book Antiqua" w:eastAsia="Book Antiqua" w:hAnsi="Book Antiqua" w:cs="Book Antiqua"/>
          <w:color w:val="000000" w:themeColor="text1"/>
        </w:rPr>
        <w:t xml:space="preserve">-test. The rates of imaging characteristics were compared by using the </w:t>
      </w:r>
      <w:r w:rsidRPr="00257C0C">
        <w:rPr>
          <w:rFonts w:ascii="Book Antiqua" w:eastAsia="Book Antiqua" w:hAnsi="Book Antiqua" w:cs="Book Antiqua"/>
          <w:i/>
          <w:iCs/>
          <w:color w:val="000000" w:themeColor="text1"/>
        </w:rPr>
        <w:t>χ</w:t>
      </w:r>
      <w:r w:rsidRPr="00257C0C">
        <w:rPr>
          <w:rFonts w:ascii="Book Antiqua" w:eastAsia="Book Antiqua" w:hAnsi="Book Antiqua" w:cs="Book Antiqua"/>
          <w:i/>
          <w:iCs/>
          <w:color w:val="000000" w:themeColor="text1"/>
          <w:vertAlign w:val="superscript"/>
        </w:rPr>
        <w:t>2</w:t>
      </w:r>
      <w:r w:rsidRPr="00257C0C">
        <w:rPr>
          <w:rFonts w:ascii="Book Antiqua" w:eastAsia="Book Antiqua" w:hAnsi="Book Antiqua" w:cs="Book Antiqua"/>
          <w:color w:val="000000" w:themeColor="text1"/>
        </w:rPr>
        <w:t xml:space="preserve"> test or Fisher’s exact test. Receiver operating characteristic curve analysis was used to investigate the potential of CEUS LI-RADS and serum tumor markers for differentiating CHC from HCC and ICC.</w:t>
      </w:r>
    </w:p>
    <w:p w14:paraId="669FE148" w14:textId="77777777" w:rsidR="00A77B3E" w:rsidRPr="00257C0C" w:rsidRDefault="00A77B3E" w:rsidP="00257C0C">
      <w:pPr>
        <w:snapToGrid w:val="0"/>
        <w:spacing w:line="360" w:lineRule="auto"/>
        <w:jc w:val="both"/>
        <w:rPr>
          <w:color w:val="000000" w:themeColor="text1"/>
        </w:rPr>
      </w:pPr>
    </w:p>
    <w:p w14:paraId="1E9277A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results</w:t>
      </w:r>
    </w:p>
    <w:p w14:paraId="74040140" w14:textId="2CB8B6F9" w:rsidR="00A77B3E" w:rsidRPr="00257C0C" w:rsidRDefault="007D5730" w:rsidP="00257C0C">
      <w:pPr>
        <w:spacing w:line="360" w:lineRule="auto"/>
        <w:jc w:val="both"/>
        <w:rPr>
          <w:color w:val="000000" w:themeColor="text1"/>
        </w:rPr>
      </w:pPr>
      <w:r w:rsidRPr="00257C0C">
        <w:rPr>
          <w:rFonts w:ascii="Book Antiqua" w:eastAsia="Book Antiqua" w:hAnsi="Book Antiqua" w:cs="Book Antiqua"/>
          <w:color w:val="000000" w:themeColor="text1"/>
        </w:rPr>
        <w:t>After propensity score matching, 134 patients (mean age of 51.4</w:t>
      </w:r>
      <w:r w:rsidR="00FC1E8F"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w:t>
      </w:r>
      <w:r w:rsidR="00FC1E8F"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 xml:space="preserve">9.4 years, 108 men) were enrolled, including 35 CHC, 29 ICC and 70 HCC patients. Based on the CEUS LI-RADS classification, 74.3% (26/35) and 25.7% (9/35) of CHC lesions were assessed as LR-M and LR-5, respectively. The rates of elevated AFP and CA19-9 </w:t>
      </w:r>
      <w:r w:rsidR="00EB2C77"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in CHC patients were 51.4% and 11.4%, respectively. Simultaneous elevation of AFP and CA19-9 was found in 8.6% (3/35) of CHC patients. The sensitivity, specificity, positive predictive value (PPV), negative predictive value (NPV), accuracy and AUC of the aforementioned diagnostic criteria for discriminating CHC from HCC and ICC were 40.0%, 89.9%, 58.3%, 80.9%, 76.9% and 0.649, respectively. When the reported prevalence rate of CHC (0.4</w:t>
      </w:r>
      <w:r w:rsidR="00FC1E8F"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14.2%) was taken into account, the </w:t>
      </w:r>
      <w:r w:rsidRPr="00257C0C">
        <w:rPr>
          <w:rFonts w:ascii="Book Antiqua" w:eastAsia="Book Antiqua" w:hAnsi="Book Antiqua" w:cs="Book Antiqua"/>
          <w:color w:val="000000"/>
        </w:rPr>
        <w:t xml:space="preserve">PPV </w:t>
      </w:r>
      <w:r w:rsidRPr="00257C0C">
        <w:rPr>
          <w:rFonts w:ascii="Book Antiqua" w:eastAsia="Book Antiqua" w:hAnsi="Book Antiqua" w:cs="Book Antiqua"/>
          <w:color w:val="000000" w:themeColor="text1"/>
        </w:rPr>
        <w:t>and NPV were revised to 1.6%-39.6% and 90.1%-99.7%, respectively.</w:t>
      </w:r>
    </w:p>
    <w:p w14:paraId="58B0E311" w14:textId="77777777" w:rsidR="00A77B3E" w:rsidRPr="00257C0C" w:rsidRDefault="00A77B3E" w:rsidP="00257C0C">
      <w:pPr>
        <w:snapToGrid w:val="0"/>
        <w:spacing w:line="360" w:lineRule="auto"/>
        <w:jc w:val="both"/>
        <w:rPr>
          <w:color w:val="000000" w:themeColor="text1"/>
        </w:rPr>
      </w:pPr>
    </w:p>
    <w:p w14:paraId="1503F5E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conclusions</w:t>
      </w:r>
    </w:p>
    <w:p w14:paraId="53FD093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CHCs are more likely to be classified as LR-M than LR-5 by CEUS LI-RADS. The combination of the CEUS LI-RADS classification with serum tumor markers shows high specificity but low sensitivity for the diagnosis of CHC. Moreover, CHC could be confidently excluded with a high NPV.</w:t>
      </w:r>
    </w:p>
    <w:p w14:paraId="2D565CB7" w14:textId="77777777" w:rsidR="00A77B3E" w:rsidRPr="00257C0C" w:rsidRDefault="00A77B3E" w:rsidP="00257C0C">
      <w:pPr>
        <w:snapToGrid w:val="0"/>
        <w:spacing w:line="360" w:lineRule="auto"/>
        <w:jc w:val="both"/>
        <w:rPr>
          <w:color w:val="000000" w:themeColor="text1"/>
        </w:rPr>
      </w:pPr>
    </w:p>
    <w:p w14:paraId="652FAFF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i/>
          <w:color w:val="000000" w:themeColor="text1"/>
        </w:rPr>
        <w:t>Research perspectives</w:t>
      </w:r>
    </w:p>
    <w:p w14:paraId="717FA978" w14:textId="455039AF"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 xml:space="preserve">The imaging features of CHC are complicated due to its complex histopathological characteristics. In addition, biopsy may misguide the correct diagnosis of CHC due to sampling error or tissue insufficiency. This study investigated the diagnostic value of the CEUS LI-RADS classification combined with serological tumor markers in differentiating CHC from HCC and ICC. The results showed that the combined diagnostic criteria had high specificity and </w:t>
      </w:r>
      <w:r w:rsidR="006F389C" w:rsidRPr="00257C0C">
        <w:rPr>
          <w:rFonts w:ascii="Book Antiqua" w:eastAsia="Book Antiqua" w:hAnsi="Book Antiqua" w:cs="Book Antiqua"/>
          <w:color w:val="000000" w:themeColor="text1"/>
        </w:rPr>
        <w:t>NPV</w:t>
      </w:r>
      <w:r w:rsidRPr="00257C0C">
        <w:rPr>
          <w:rFonts w:ascii="Book Antiqua" w:eastAsia="Book Antiqua" w:hAnsi="Book Antiqua" w:cs="Book Antiqua"/>
          <w:color w:val="000000" w:themeColor="text1"/>
        </w:rPr>
        <w:t xml:space="preserve"> but low sensitivity for the diagnosis of CHC. These findings could help radiologists and clinical investigators confidently exclude CHC lesions in the clinical setting. </w:t>
      </w:r>
    </w:p>
    <w:p w14:paraId="499546A5" w14:textId="77777777" w:rsidR="00A77B3E" w:rsidRPr="00257C0C" w:rsidRDefault="00A77B3E" w:rsidP="00257C0C">
      <w:pPr>
        <w:snapToGrid w:val="0"/>
        <w:spacing w:line="360" w:lineRule="auto"/>
        <w:jc w:val="both"/>
        <w:rPr>
          <w:color w:val="000000" w:themeColor="text1"/>
        </w:rPr>
      </w:pPr>
    </w:p>
    <w:p w14:paraId="7EC41110"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aps/>
          <w:color w:val="000000" w:themeColor="text1"/>
          <w:u w:val="single"/>
        </w:rPr>
        <w:t>ACKNOWLEDGEMENTS</w:t>
      </w:r>
    </w:p>
    <w:p w14:paraId="42CF8CF2"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We thank all medical staff and technicians of dialysis centers who agreed to participate in this study.</w:t>
      </w:r>
    </w:p>
    <w:p w14:paraId="2F5EFCC0" w14:textId="77777777" w:rsidR="00A77B3E" w:rsidRPr="00257C0C" w:rsidRDefault="00A77B3E" w:rsidP="00257C0C">
      <w:pPr>
        <w:snapToGrid w:val="0"/>
        <w:spacing w:line="360" w:lineRule="auto"/>
        <w:jc w:val="both"/>
        <w:rPr>
          <w:color w:val="000000" w:themeColor="text1"/>
        </w:rPr>
      </w:pPr>
    </w:p>
    <w:p w14:paraId="6A132D9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REFERENCES</w:t>
      </w:r>
    </w:p>
    <w:p w14:paraId="7CC9AE08"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 </w:t>
      </w:r>
      <w:r w:rsidRPr="007954D1">
        <w:rPr>
          <w:rFonts w:ascii="Book Antiqua" w:eastAsia="Book Antiqua" w:hAnsi="Book Antiqua" w:cs="Book Antiqua"/>
          <w:b/>
          <w:bCs/>
          <w:color w:val="000000" w:themeColor="text1"/>
        </w:rPr>
        <w:t>Wang J</w:t>
      </w:r>
      <w:r w:rsidRPr="007954D1">
        <w:rPr>
          <w:rFonts w:ascii="Book Antiqua" w:eastAsia="Book Antiqua" w:hAnsi="Book Antiqua" w:cs="Book Antiqua"/>
          <w:color w:val="000000" w:themeColor="text1"/>
        </w:rPr>
        <w:t xml:space="preserve">, Wang F, Kessinger A. Outcome of combined hepatocellular and cholangiocarcinoma of the liver. </w:t>
      </w:r>
      <w:r w:rsidRPr="007954D1">
        <w:rPr>
          <w:rFonts w:ascii="Book Antiqua" w:eastAsia="Book Antiqua" w:hAnsi="Book Antiqua" w:cs="Book Antiqua"/>
          <w:i/>
          <w:iCs/>
          <w:color w:val="000000" w:themeColor="text1"/>
        </w:rPr>
        <w:t>J Oncol</w:t>
      </w:r>
      <w:r w:rsidRPr="007954D1">
        <w:rPr>
          <w:rFonts w:ascii="Book Antiqua" w:eastAsia="Book Antiqua" w:hAnsi="Book Antiqua" w:cs="Book Antiqua"/>
          <w:color w:val="000000" w:themeColor="text1"/>
        </w:rPr>
        <w:t xml:space="preserve"> 2010; </w:t>
      </w:r>
      <w:r w:rsidRPr="007954D1">
        <w:rPr>
          <w:rFonts w:ascii="Book Antiqua" w:eastAsia="Book Antiqua" w:hAnsi="Book Antiqua" w:cs="Book Antiqua"/>
          <w:b/>
          <w:bCs/>
          <w:color w:val="000000" w:themeColor="text1"/>
        </w:rPr>
        <w:t>2010</w:t>
      </w:r>
      <w:r w:rsidRPr="007954D1">
        <w:rPr>
          <w:rFonts w:ascii="Book Antiqua" w:eastAsia="Book Antiqua" w:hAnsi="Book Antiqua" w:cs="Book Antiqua"/>
          <w:color w:val="000000" w:themeColor="text1"/>
        </w:rPr>
        <w:t>: [PMID: 20871663 DOI: 10.1155/2010/917356]</w:t>
      </w:r>
    </w:p>
    <w:p w14:paraId="60266C7B"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 </w:t>
      </w:r>
      <w:r w:rsidRPr="007954D1">
        <w:rPr>
          <w:rFonts w:ascii="Book Antiqua" w:eastAsia="Book Antiqua" w:hAnsi="Book Antiqua" w:cs="Book Antiqua"/>
          <w:b/>
          <w:bCs/>
          <w:color w:val="000000" w:themeColor="text1"/>
        </w:rPr>
        <w:t>Jarnagin WR</w:t>
      </w:r>
      <w:r w:rsidRPr="007954D1">
        <w:rPr>
          <w:rFonts w:ascii="Book Antiqua" w:eastAsia="Book Antiqua" w:hAnsi="Book Antiqua" w:cs="Book Antiqua"/>
          <w:color w:val="000000" w:themeColor="text1"/>
        </w:rPr>
        <w:t xml:space="preserve">, Weber S, Tickoo SK, Koea JB, Obiekwe S, Fong Y, DeMatteo RP, Blumgart LH, Klimstra D. Combined hepatocellular and cholangiocarcinoma: demographic, clinical, and prognostic factors. </w:t>
      </w:r>
      <w:r w:rsidRPr="007954D1">
        <w:rPr>
          <w:rFonts w:ascii="Book Antiqua" w:eastAsia="Book Antiqua" w:hAnsi="Book Antiqua" w:cs="Book Antiqua"/>
          <w:i/>
          <w:iCs/>
          <w:color w:val="000000" w:themeColor="text1"/>
        </w:rPr>
        <w:t>Cancer</w:t>
      </w:r>
      <w:r w:rsidRPr="007954D1">
        <w:rPr>
          <w:rFonts w:ascii="Book Antiqua" w:eastAsia="Book Antiqua" w:hAnsi="Book Antiqua" w:cs="Book Antiqua"/>
          <w:color w:val="000000" w:themeColor="text1"/>
        </w:rPr>
        <w:t xml:space="preserve"> 2002; </w:t>
      </w:r>
      <w:r w:rsidRPr="007954D1">
        <w:rPr>
          <w:rFonts w:ascii="Book Antiqua" w:eastAsia="Book Antiqua" w:hAnsi="Book Antiqua" w:cs="Book Antiqua"/>
          <w:b/>
          <w:bCs/>
          <w:color w:val="000000" w:themeColor="text1"/>
        </w:rPr>
        <w:t>94</w:t>
      </w:r>
      <w:r w:rsidRPr="007954D1">
        <w:rPr>
          <w:rFonts w:ascii="Book Antiqua" w:eastAsia="Book Antiqua" w:hAnsi="Book Antiqua" w:cs="Book Antiqua"/>
          <w:color w:val="000000" w:themeColor="text1"/>
        </w:rPr>
        <w:t>: 2040-2046 [PMID: 11932907 DOI: 10.1002/cncr.10392]</w:t>
      </w:r>
    </w:p>
    <w:p w14:paraId="3D1C8306"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3 </w:t>
      </w:r>
      <w:r w:rsidRPr="007954D1">
        <w:rPr>
          <w:rFonts w:ascii="Book Antiqua" w:eastAsia="Book Antiqua" w:hAnsi="Book Antiqua" w:cs="Book Antiqua"/>
          <w:b/>
          <w:bCs/>
          <w:color w:val="000000" w:themeColor="text1"/>
        </w:rPr>
        <w:t>ALLEN RA</w:t>
      </w:r>
      <w:r w:rsidRPr="007954D1">
        <w:rPr>
          <w:rFonts w:ascii="Book Antiqua" w:eastAsia="Book Antiqua" w:hAnsi="Book Antiqua" w:cs="Book Antiqua"/>
          <w:color w:val="000000" w:themeColor="text1"/>
        </w:rPr>
        <w:t xml:space="preserve">, LISA JR. Combined liver cell and bile duct carcinoma. </w:t>
      </w:r>
      <w:r w:rsidRPr="007954D1">
        <w:rPr>
          <w:rFonts w:ascii="Book Antiqua" w:eastAsia="Book Antiqua" w:hAnsi="Book Antiqua" w:cs="Book Antiqua"/>
          <w:i/>
          <w:iCs/>
          <w:color w:val="000000" w:themeColor="text1"/>
        </w:rPr>
        <w:t>Am J Pathol</w:t>
      </w:r>
      <w:r w:rsidRPr="007954D1">
        <w:rPr>
          <w:rFonts w:ascii="Book Antiqua" w:eastAsia="Book Antiqua" w:hAnsi="Book Antiqua" w:cs="Book Antiqua"/>
          <w:color w:val="000000" w:themeColor="text1"/>
        </w:rPr>
        <w:t xml:space="preserve"> 1949; </w:t>
      </w:r>
      <w:r w:rsidRPr="007954D1">
        <w:rPr>
          <w:rFonts w:ascii="Book Antiqua" w:eastAsia="Book Antiqua" w:hAnsi="Book Antiqua" w:cs="Book Antiqua"/>
          <w:b/>
          <w:bCs/>
          <w:color w:val="000000" w:themeColor="text1"/>
        </w:rPr>
        <w:t>25</w:t>
      </w:r>
      <w:r w:rsidRPr="007954D1">
        <w:rPr>
          <w:rFonts w:ascii="Book Antiqua" w:eastAsia="Book Antiqua" w:hAnsi="Book Antiqua" w:cs="Book Antiqua"/>
          <w:color w:val="000000" w:themeColor="text1"/>
        </w:rPr>
        <w:t>: 647-655 [PMID: 18152860]</w:t>
      </w:r>
    </w:p>
    <w:p w14:paraId="09DB5CF1"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4 </w:t>
      </w:r>
      <w:r w:rsidRPr="007954D1">
        <w:rPr>
          <w:rFonts w:ascii="Book Antiqua" w:eastAsia="Book Antiqua" w:hAnsi="Book Antiqua" w:cs="Book Antiqua"/>
          <w:b/>
          <w:bCs/>
          <w:color w:val="000000" w:themeColor="text1"/>
        </w:rPr>
        <w:t>Kim MJ</w:t>
      </w:r>
      <w:r w:rsidRPr="007954D1">
        <w:rPr>
          <w:rFonts w:ascii="Book Antiqua" w:eastAsia="Book Antiqua" w:hAnsi="Book Antiqua" w:cs="Book Antiqua"/>
          <w:color w:val="000000" w:themeColor="text1"/>
        </w:rPr>
        <w:t xml:space="preserve">, Lee S, An C. Problematic lesions in cirrhotic liver mimicking hepatocellular carcinoma. </w:t>
      </w:r>
      <w:r w:rsidRPr="007954D1">
        <w:rPr>
          <w:rFonts w:ascii="Book Antiqua" w:eastAsia="Book Antiqua" w:hAnsi="Book Antiqua" w:cs="Book Antiqua"/>
          <w:i/>
          <w:iCs/>
          <w:color w:val="000000" w:themeColor="text1"/>
        </w:rPr>
        <w:t>Eur Radiol</w:t>
      </w:r>
      <w:r w:rsidRPr="007954D1">
        <w:rPr>
          <w:rFonts w:ascii="Book Antiqua" w:eastAsia="Book Antiqua" w:hAnsi="Book Antiqua" w:cs="Book Antiqua"/>
          <w:color w:val="000000" w:themeColor="text1"/>
        </w:rPr>
        <w:t xml:space="preserve"> 2019; </w:t>
      </w:r>
      <w:r w:rsidRPr="007954D1">
        <w:rPr>
          <w:rFonts w:ascii="Book Antiqua" w:eastAsia="Book Antiqua" w:hAnsi="Book Antiqua" w:cs="Book Antiqua"/>
          <w:b/>
          <w:bCs/>
          <w:color w:val="000000" w:themeColor="text1"/>
        </w:rPr>
        <w:t>29</w:t>
      </w:r>
      <w:r w:rsidRPr="007954D1">
        <w:rPr>
          <w:rFonts w:ascii="Book Antiqua" w:eastAsia="Book Antiqua" w:hAnsi="Book Antiqua" w:cs="Book Antiqua"/>
          <w:color w:val="000000" w:themeColor="text1"/>
        </w:rPr>
        <w:t>: 5101-5110 [PMID: 30788586 DOI: 10.1007/s00330-019-06030-0]</w:t>
      </w:r>
    </w:p>
    <w:p w14:paraId="3F894246" w14:textId="27D56016"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5 </w:t>
      </w:r>
      <w:r w:rsidRPr="007954D1">
        <w:rPr>
          <w:rFonts w:ascii="Book Antiqua" w:eastAsia="Book Antiqua" w:hAnsi="Book Antiqua" w:cs="Book Antiqua"/>
          <w:b/>
          <w:bCs/>
          <w:color w:val="000000" w:themeColor="text1"/>
        </w:rPr>
        <w:t>Bosman FT</w:t>
      </w:r>
      <w:r w:rsidRPr="007954D1">
        <w:rPr>
          <w:rFonts w:ascii="Book Antiqua" w:eastAsia="Book Antiqua" w:hAnsi="Book Antiqua" w:cs="Book Antiqua"/>
          <w:color w:val="000000" w:themeColor="text1"/>
        </w:rPr>
        <w:t>. WHO classification of tumours of the digestive system 4th ed: Lyon, International Agency for Research on Cancer, 2010</w:t>
      </w:r>
    </w:p>
    <w:p w14:paraId="0FC03E2A"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6 </w:t>
      </w:r>
      <w:r w:rsidRPr="007954D1">
        <w:rPr>
          <w:rFonts w:ascii="Book Antiqua" w:eastAsia="Book Antiqua" w:hAnsi="Book Antiqua" w:cs="Book Antiqua"/>
          <w:b/>
          <w:bCs/>
          <w:color w:val="000000" w:themeColor="text1"/>
        </w:rPr>
        <w:t>Fowler KJ</w:t>
      </w:r>
      <w:r w:rsidRPr="007954D1">
        <w:rPr>
          <w:rFonts w:ascii="Book Antiqua" w:eastAsia="Book Antiqua" w:hAnsi="Book Antiqua" w:cs="Book Antiqua"/>
          <w:color w:val="000000" w:themeColor="text1"/>
        </w:rPr>
        <w:t xml:space="preserve">, Sheybani A, Parker RA 3rd, Doherty S, M Brunt E, Chapman WC, Menias CO. Combined hepatocellular and cholangiocarcinoma (biphenotypic) tumors: imaging features and diagnostic accuracy of contrast-enhanced CT and MRI. </w:t>
      </w:r>
      <w:r w:rsidRPr="007954D1">
        <w:rPr>
          <w:rFonts w:ascii="Book Antiqua" w:eastAsia="Book Antiqua" w:hAnsi="Book Antiqua" w:cs="Book Antiqua"/>
          <w:i/>
          <w:iCs/>
          <w:color w:val="000000" w:themeColor="text1"/>
        </w:rPr>
        <w:t>AJR Am J Roentgenol</w:t>
      </w:r>
      <w:r w:rsidRPr="007954D1">
        <w:rPr>
          <w:rFonts w:ascii="Book Antiqua" w:eastAsia="Book Antiqua" w:hAnsi="Book Antiqua" w:cs="Book Antiqua"/>
          <w:color w:val="000000" w:themeColor="text1"/>
        </w:rPr>
        <w:t xml:space="preserve"> 2013; </w:t>
      </w:r>
      <w:r w:rsidRPr="007954D1">
        <w:rPr>
          <w:rFonts w:ascii="Book Antiqua" w:eastAsia="Book Antiqua" w:hAnsi="Book Antiqua" w:cs="Book Antiqua"/>
          <w:b/>
          <w:bCs/>
          <w:color w:val="000000" w:themeColor="text1"/>
        </w:rPr>
        <w:t>201</w:t>
      </w:r>
      <w:r w:rsidRPr="007954D1">
        <w:rPr>
          <w:rFonts w:ascii="Book Antiqua" w:eastAsia="Book Antiqua" w:hAnsi="Book Antiqua" w:cs="Book Antiqua"/>
          <w:color w:val="000000" w:themeColor="text1"/>
        </w:rPr>
        <w:t>: 332-339 [PMID: 23883213 DOI: 10.2214/AJR.12.9488]</w:t>
      </w:r>
    </w:p>
    <w:p w14:paraId="5D1D96B7" w14:textId="0A1EFE6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7 </w:t>
      </w:r>
      <w:r w:rsidRPr="007954D1">
        <w:rPr>
          <w:rFonts w:ascii="Book Antiqua" w:eastAsia="Book Antiqua" w:hAnsi="Book Antiqua" w:cs="Book Antiqua"/>
          <w:b/>
          <w:bCs/>
          <w:color w:val="000000" w:themeColor="text1"/>
        </w:rPr>
        <w:t>Sammon J</w:t>
      </w:r>
      <w:r w:rsidRPr="007954D1">
        <w:rPr>
          <w:rFonts w:ascii="Book Antiqua" w:eastAsia="Book Antiqua" w:hAnsi="Book Antiqua" w:cs="Book Antiqua"/>
          <w:color w:val="000000" w:themeColor="text1"/>
        </w:rPr>
        <w:t>, Fischer S, Menezes R, Hosseini-Nik H, Lewis S, Taouli B, Jhaveri K. MRI features of combined hepatocellular- cholangiocarcinoma v</w:t>
      </w:r>
      <w:r w:rsidR="00990832" w:rsidRPr="007954D1">
        <w:rPr>
          <w:rFonts w:ascii="Book Antiqua" w:eastAsia="Book Antiqua" w:hAnsi="Book Antiqua" w:cs="Book Antiqua"/>
          <w:color w:val="000000" w:themeColor="text1"/>
        </w:rPr>
        <w:t>er</w:t>
      </w:r>
      <w:r w:rsidRPr="007954D1">
        <w:rPr>
          <w:rFonts w:ascii="Book Antiqua" w:eastAsia="Book Antiqua" w:hAnsi="Book Antiqua" w:cs="Book Antiqua"/>
          <w:color w:val="000000" w:themeColor="text1"/>
        </w:rPr>
        <w:t>s</w:t>
      </w:r>
      <w:r w:rsidR="00990832" w:rsidRPr="007954D1">
        <w:rPr>
          <w:rFonts w:ascii="Book Antiqua" w:eastAsia="Book Antiqua" w:hAnsi="Book Antiqua" w:cs="Book Antiqua"/>
          <w:color w:val="000000" w:themeColor="text1"/>
        </w:rPr>
        <w:t>us</w:t>
      </w:r>
      <w:r w:rsidRPr="007954D1">
        <w:rPr>
          <w:rFonts w:ascii="Book Antiqua" w:eastAsia="Book Antiqua" w:hAnsi="Book Antiqua" w:cs="Book Antiqua"/>
          <w:color w:val="000000" w:themeColor="text1"/>
        </w:rPr>
        <w:t xml:space="preserve"> mass forming intrahepatic cholangiocarcinoma. </w:t>
      </w:r>
      <w:r w:rsidRPr="007954D1">
        <w:rPr>
          <w:rFonts w:ascii="Book Antiqua" w:eastAsia="Book Antiqua" w:hAnsi="Book Antiqua" w:cs="Book Antiqua"/>
          <w:i/>
          <w:iCs/>
          <w:color w:val="000000" w:themeColor="text1"/>
        </w:rPr>
        <w:t>Cancer Imaging</w:t>
      </w:r>
      <w:r w:rsidRPr="007954D1">
        <w:rPr>
          <w:rFonts w:ascii="Book Antiqua" w:eastAsia="Book Antiqua" w:hAnsi="Book Antiqua" w:cs="Book Antiqua"/>
          <w:color w:val="000000" w:themeColor="text1"/>
        </w:rPr>
        <w:t xml:space="preserve"> 2018; </w:t>
      </w:r>
      <w:r w:rsidRPr="007954D1">
        <w:rPr>
          <w:rFonts w:ascii="Book Antiqua" w:eastAsia="Book Antiqua" w:hAnsi="Book Antiqua" w:cs="Book Antiqua"/>
          <w:b/>
          <w:bCs/>
          <w:color w:val="000000" w:themeColor="text1"/>
        </w:rPr>
        <w:t>18</w:t>
      </w:r>
      <w:r w:rsidRPr="007954D1">
        <w:rPr>
          <w:rFonts w:ascii="Book Antiqua" w:eastAsia="Book Antiqua" w:hAnsi="Book Antiqua" w:cs="Book Antiqua"/>
          <w:color w:val="000000" w:themeColor="text1"/>
        </w:rPr>
        <w:t>: 8 [PMID: 29486800 DOI: 10.1186/s40644-018-0142-z]</w:t>
      </w:r>
    </w:p>
    <w:p w14:paraId="532BD2EE"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8 </w:t>
      </w:r>
      <w:r w:rsidRPr="007954D1">
        <w:rPr>
          <w:rFonts w:ascii="Book Antiqua" w:eastAsia="Book Antiqua" w:hAnsi="Book Antiqua" w:cs="Book Antiqua"/>
          <w:b/>
          <w:bCs/>
          <w:color w:val="000000" w:themeColor="text1"/>
        </w:rPr>
        <w:t>Wells ML</w:t>
      </w:r>
      <w:r w:rsidRPr="007954D1">
        <w:rPr>
          <w:rFonts w:ascii="Book Antiqua" w:eastAsia="Book Antiqua" w:hAnsi="Book Antiqua" w:cs="Book Antiqua"/>
          <w:color w:val="000000" w:themeColor="text1"/>
        </w:rPr>
        <w:t xml:space="preserve">, Venkatesh SK, Chandan VS, Fidler JL, Fletcher JG, Johnson GB, Hough DM, Roberts LR. Biphenotypic hepatic tumors: imaging findings and review of literature. </w:t>
      </w:r>
      <w:r w:rsidRPr="007954D1">
        <w:rPr>
          <w:rFonts w:ascii="Book Antiqua" w:eastAsia="Book Antiqua" w:hAnsi="Book Antiqua" w:cs="Book Antiqua"/>
          <w:i/>
          <w:iCs/>
          <w:color w:val="000000" w:themeColor="text1"/>
        </w:rPr>
        <w:t>Abdom Imaging</w:t>
      </w:r>
      <w:r w:rsidRPr="007954D1">
        <w:rPr>
          <w:rFonts w:ascii="Book Antiqua" w:eastAsia="Book Antiqua" w:hAnsi="Book Antiqua" w:cs="Book Antiqua"/>
          <w:color w:val="000000" w:themeColor="text1"/>
        </w:rPr>
        <w:t xml:space="preserve"> 2015; </w:t>
      </w:r>
      <w:r w:rsidRPr="007954D1">
        <w:rPr>
          <w:rFonts w:ascii="Book Antiqua" w:eastAsia="Book Antiqua" w:hAnsi="Book Antiqua" w:cs="Book Antiqua"/>
          <w:b/>
          <w:bCs/>
          <w:color w:val="000000" w:themeColor="text1"/>
        </w:rPr>
        <w:t>40</w:t>
      </w:r>
      <w:r w:rsidRPr="007954D1">
        <w:rPr>
          <w:rFonts w:ascii="Book Antiqua" w:eastAsia="Book Antiqua" w:hAnsi="Book Antiqua" w:cs="Book Antiqua"/>
          <w:color w:val="000000" w:themeColor="text1"/>
        </w:rPr>
        <w:t>: 2293-2305 [PMID: 25952572 DOI: 10.1007/s00261-015-0433-9]</w:t>
      </w:r>
    </w:p>
    <w:p w14:paraId="5347D63E"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9 </w:t>
      </w:r>
      <w:r w:rsidRPr="007954D1">
        <w:rPr>
          <w:rFonts w:ascii="Book Antiqua" w:eastAsia="Book Antiqua" w:hAnsi="Book Antiqua" w:cs="Book Antiqua"/>
          <w:b/>
          <w:bCs/>
          <w:color w:val="000000" w:themeColor="text1"/>
        </w:rPr>
        <w:t>Rogers JE</w:t>
      </w:r>
      <w:r w:rsidRPr="007954D1">
        <w:rPr>
          <w:rFonts w:ascii="Book Antiqua" w:eastAsia="Book Antiqua" w:hAnsi="Book Antiqua" w:cs="Book Antiqua"/>
          <w:color w:val="000000" w:themeColor="text1"/>
        </w:rPr>
        <w:t xml:space="preserve">, Bolonesi RM, Rashid A, Elsayes KM, Elbanan MG, Law L, Kaseb A, Shroff RT. Systemic therapy for unresectable, mixed hepatocellular-cholangiocarcinoma: treatment of a rare malignancy. </w:t>
      </w:r>
      <w:r w:rsidRPr="007954D1">
        <w:rPr>
          <w:rFonts w:ascii="Book Antiqua" w:eastAsia="Book Antiqua" w:hAnsi="Book Antiqua" w:cs="Book Antiqua"/>
          <w:i/>
          <w:iCs/>
          <w:color w:val="000000" w:themeColor="text1"/>
        </w:rPr>
        <w:t>J Gastrointest Oncol</w:t>
      </w:r>
      <w:r w:rsidRPr="007954D1">
        <w:rPr>
          <w:rFonts w:ascii="Book Antiqua" w:eastAsia="Book Antiqua" w:hAnsi="Book Antiqua" w:cs="Book Antiqua"/>
          <w:color w:val="000000" w:themeColor="text1"/>
        </w:rPr>
        <w:t xml:space="preserve"> 2017; </w:t>
      </w:r>
      <w:r w:rsidRPr="007954D1">
        <w:rPr>
          <w:rFonts w:ascii="Book Antiqua" w:eastAsia="Book Antiqua" w:hAnsi="Book Antiqua" w:cs="Book Antiqua"/>
          <w:b/>
          <w:bCs/>
          <w:color w:val="000000" w:themeColor="text1"/>
        </w:rPr>
        <w:t>8</w:t>
      </w:r>
      <w:r w:rsidRPr="007954D1">
        <w:rPr>
          <w:rFonts w:ascii="Book Antiqua" w:eastAsia="Book Antiqua" w:hAnsi="Book Antiqua" w:cs="Book Antiqua"/>
          <w:color w:val="000000" w:themeColor="text1"/>
        </w:rPr>
        <w:t>: 347-351 [PMID: 28480073 DOI: 10.21037/jgo.2017.03.03]</w:t>
      </w:r>
    </w:p>
    <w:p w14:paraId="05F2E3F1"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10 </w:t>
      </w:r>
      <w:r w:rsidRPr="007954D1">
        <w:rPr>
          <w:rFonts w:ascii="Book Antiqua" w:eastAsia="Book Antiqua" w:hAnsi="Book Antiqua" w:cs="Book Antiqua"/>
          <w:b/>
          <w:bCs/>
          <w:color w:val="000000" w:themeColor="text1"/>
        </w:rPr>
        <w:t>Huang XW</w:t>
      </w:r>
      <w:r w:rsidRPr="007954D1">
        <w:rPr>
          <w:rFonts w:ascii="Book Antiqua" w:eastAsia="Book Antiqua" w:hAnsi="Book Antiqua" w:cs="Book Antiqua"/>
          <w:color w:val="000000" w:themeColor="text1"/>
        </w:rPr>
        <w:t xml:space="preserve">, Huang Y, Chen LD, Wang Z, Yang Z, Liu JY, Xie XY, Lu MD, Shen SL, Wang W. Potential diagnostic performance of contrast-enhanced ultrasound and tumor markers in differentiating combined hepatocellular-cholangiocarcinoma from hepatocellular carcinoma and cholangiocarcinoma. </w:t>
      </w:r>
      <w:r w:rsidRPr="007954D1">
        <w:rPr>
          <w:rFonts w:ascii="Book Antiqua" w:eastAsia="Book Antiqua" w:hAnsi="Book Antiqua" w:cs="Book Antiqua"/>
          <w:i/>
          <w:iCs/>
          <w:color w:val="000000" w:themeColor="text1"/>
        </w:rPr>
        <w:t>J Med Ultrason (2001)</w:t>
      </w:r>
      <w:r w:rsidRPr="007954D1">
        <w:rPr>
          <w:rFonts w:ascii="Book Antiqua" w:eastAsia="Book Antiqua" w:hAnsi="Book Antiqua" w:cs="Book Antiqua"/>
          <w:color w:val="000000" w:themeColor="text1"/>
        </w:rPr>
        <w:t xml:space="preserve"> 2018; </w:t>
      </w:r>
      <w:r w:rsidRPr="007954D1">
        <w:rPr>
          <w:rFonts w:ascii="Book Antiqua" w:eastAsia="Book Antiqua" w:hAnsi="Book Antiqua" w:cs="Book Antiqua"/>
          <w:b/>
          <w:bCs/>
          <w:color w:val="000000" w:themeColor="text1"/>
        </w:rPr>
        <w:t>45</w:t>
      </w:r>
      <w:r w:rsidRPr="007954D1">
        <w:rPr>
          <w:rFonts w:ascii="Book Antiqua" w:eastAsia="Book Antiqua" w:hAnsi="Book Antiqua" w:cs="Book Antiqua"/>
          <w:color w:val="000000" w:themeColor="text1"/>
        </w:rPr>
        <w:t>: 231-241 [PMID: 29052791 DOI: 10.1007/s10396-017-0834-1]</w:t>
      </w:r>
    </w:p>
    <w:p w14:paraId="521F38BE"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11 </w:t>
      </w:r>
      <w:r w:rsidRPr="007954D1">
        <w:rPr>
          <w:rFonts w:ascii="Book Antiqua" w:eastAsia="Book Antiqua" w:hAnsi="Book Antiqua" w:cs="Book Antiqua"/>
          <w:b/>
          <w:bCs/>
          <w:color w:val="000000" w:themeColor="text1"/>
        </w:rPr>
        <w:t>Li R</w:t>
      </w:r>
      <w:r w:rsidRPr="007954D1">
        <w:rPr>
          <w:rFonts w:ascii="Book Antiqua" w:eastAsia="Book Antiqua" w:hAnsi="Book Antiqua" w:cs="Book Antiqua"/>
          <w:color w:val="000000" w:themeColor="text1"/>
        </w:rPr>
        <w:t xml:space="preserve">, Yang D, Tang CL, Cai P, Ma KS, Ding SY, Zhang XH, Guo DY, Yan XC. Combined hepatocellular carcinoma and cholangiocarcinoma (biphenotypic) tumors: clinical characteristics, imaging features of contrast-enhanced ultrasound and computed tomography. </w:t>
      </w:r>
      <w:r w:rsidRPr="007954D1">
        <w:rPr>
          <w:rFonts w:ascii="Book Antiqua" w:eastAsia="Book Antiqua" w:hAnsi="Book Antiqua" w:cs="Book Antiqua"/>
          <w:i/>
          <w:iCs/>
          <w:color w:val="000000" w:themeColor="text1"/>
        </w:rPr>
        <w:t>BMC Cancer</w:t>
      </w:r>
      <w:r w:rsidRPr="007954D1">
        <w:rPr>
          <w:rFonts w:ascii="Book Antiqua" w:eastAsia="Book Antiqua" w:hAnsi="Book Antiqua" w:cs="Book Antiqua"/>
          <w:color w:val="000000" w:themeColor="text1"/>
        </w:rPr>
        <w:t xml:space="preserve"> 2016; </w:t>
      </w:r>
      <w:r w:rsidRPr="007954D1">
        <w:rPr>
          <w:rFonts w:ascii="Book Antiqua" w:eastAsia="Book Antiqua" w:hAnsi="Book Antiqua" w:cs="Book Antiqua"/>
          <w:b/>
          <w:bCs/>
          <w:color w:val="000000" w:themeColor="text1"/>
        </w:rPr>
        <w:t>16</w:t>
      </w:r>
      <w:r w:rsidRPr="007954D1">
        <w:rPr>
          <w:rFonts w:ascii="Book Antiqua" w:eastAsia="Book Antiqua" w:hAnsi="Book Antiqua" w:cs="Book Antiqua"/>
          <w:color w:val="000000" w:themeColor="text1"/>
        </w:rPr>
        <w:t>: 158 [PMID: 26917546 DOI: 10.1186/s12885-016-2156-x]</w:t>
      </w:r>
    </w:p>
    <w:p w14:paraId="12D0A09A"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12 </w:t>
      </w:r>
      <w:r w:rsidRPr="007954D1">
        <w:rPr>
          <w:rFonts w:ascii="Book Antiqua" w:eastAsia="Book Antiqua" w:hAnsi="Book Antiqua" w:cs="Book Antiqua"/>
          <w:b/>
          <w:bCs/>
          <w:color w:val="000000" w:themeColor="text1"/>
        </w:rPr>
        <w:t>Sagrini E</w:t>
      </w:r>
      <w:r w:rsidRPr="007954D1">
        <w:rPr>
          <w:rFonts w:ascii="Book Antiqua" w:eastAsia="Book Antiqua" w:hAnsi="Book Antiqua" w:cs="Book Antiqua"/>
          <w:color w:val="000000" w:themeColor="text1"/>
        </w:rPr>
        <w:t xml:space="preserve">, Iavarone M, Stefanini F, Tovoli F, Vavassori S, Maggioni M, Renzulli M, Salvatore V, Stefanescu H, Colombo M, Bolondi L, Piscaglia F. Imaging of combined hepatocellular-cholangiocarcinoma in cirrhosis and risk of false diagnosis of hepatocellular carcinoma. </w:t>
      </w:r>
      <w:r w:rsidRPr="007954D1">
        <w:rPr>
          <w:rFonts w:ascii="Book Antiqua" w:eastAsia="Book Antiqua" w:hAnsi="Book Antiqua" w:cs="Book Antiqua"/>
          <w:i/>
          <w:iCs/>
          <w:color w:val="000000" w:themeColor="text1"/>
        </w:rPr>
        <w:t>United European Gastroenterol J</w:t>
      </w:r>
      <w:r w:rsidRPr="007954D1">
        <w:rPr>
          <w:rFonts w:ascii="Book Antiqua" w:eastAsia="Book Antiqua" w:hAnsi="Book Antiqua" w:cs="Book Antiqua"/>
          <w:color w:val="000000" w:themeColor="text1"/>
        </w:rPr>
        <w:t xml:space="preserve"> 2019; </w:t>
      </w:r>
      <w:r w:rsidRPr="007954D1">
        <w:rPr>
          <w:rFonts w:ascii="Book Antiqua" w:eastAsia="Book Antiqua" w:hAnsi="Book Antiqua" w:cs="Book Antiqua"/>
          <w:b/>
          <w:bCs/>
          <w:color w:val="000000" w:themeColor="text1"/>
        </w:rPr>
        <w:t>7</w:t>
      </w:r>
      <w:r w:rsidRPr="007954D1">
        <w:rPr>
          <w:rFonts w:ascii="Book Antiqua" w:eastAsia="Book Antiqua" w:hAnsi="Book Antiqua" w:cs="Book Antiqua"/>
          <w:color w:val="000000" w:themeColor="text1"/>
        </w:rPr>
        <w:t>: 69-77 [PMID: 30788118 DOI: 10.1177/2050640618815378]</w:t>
      </w:r>
    </w:p>
    <w:p w14:paraId="68ADE3AC"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13 </w:t>
      </w:r>
      <w:r w:rsidRPr="007954D1">
        <w:rPr>
          <w:rFonts w:ascii="Book Antiqua" w:eastAsia="Book Antiqua" w:hAnsi="Book Antiqua" w:cs="Book Antiqua"/>
          <w:b/>
          <w:bCs/>
          <w:color w:val="000000" w:themeColor="text1"/>
        </w:rPr>
        <w:t>Ye J</w:t>
      </w:r>
      <w:r w:rsidRPr="007954D1">
        <w:rPr>
          <w:rFonts w:ascii="Book Antiqua" w:eastAsia="Book Antiqua" w:hAnsi="Book Antiqua" w:cs="Book Antiqua"/>
          <w:color w:val="000000" w:themeColor="text1"/>
        </w:rPr>
        <w:t xml:space="preserve">, Xie X, Liu B, Zhang X, Wang W, Huang X, Lu M, Huang G. Imaging Features on Contrast-Enhanced Ultrasound and Clinical Characteristics of Hepatitis B Virus-Related Combined Hepatocellular-Cholangiocarcinoma: Comparison with Hepatitis B Virus-Related Hepatocellular Carcinoma. </w:t>
      </w:r>
      <w:r w:rsidRPr="007954D1">
        <w:rPr>
          <w:rFonts w:ascii="Book Antiqua" w:eastAsia="Book Antiqua" w:hAnsi="Book Antiqua" w:cs="Book Antiqua"/>
          <w:i/>
          <w:iCs/>
          <w:color w:val="000000" w:themeColor="text1"/>
        </w:rPr>
        <w:t>Ultrasound Med Biol</w:t>
      </w:r>
      <w:r w:rsidRPr="007954D1">
        <w:rPr>
          <w:rFonts w:ascii="Book Antiqua" w:eastAsia="Book Antiqua" w:hAnsi="Book Antiqua" w:cs="Book Antiqua"/>
          <w:color w:val="000000" w:themeColor="text1"/>
        </w:rPr>
        <w:t xml:space="preserve"> 2017; </w:t>
      </w:r>
      <w:r w:rsidRPr="007954D1">
        <w:rPr>
          <w:rFonts w:ascii="Book Antiqua" w:eastAsia="Book Antiqua" w:hAnsi="Book Antiqua" w:cs="Book Antiqua"/>
          <w:b/>
          <w:bCs/>
          <w:color w:val="000000" w:themeColor="text1"/>
        </w:rPr>
        <w:t>43</w:t>
      </w:r>
      <w:r w:rsidRPr="007954D1">
        <w:rPr>
          <w:rFonts w:ascii="Book Antiqua" w:eastAsia="Book Antiqua" w:hAnsi="Book Antiqua" w:cs="Book Antiqua"/>
          <w:color w:val="000000" w:themeColor="text1"/>
        </w:rPr>
        <w:t>: 2530-2536 [PMID: 28847498 DOI: 10.1016/j.ultrasmedbio.2017.07.016]</w:t>
      </w:r>
    </w:p>
    <w:p w14:paraId="7204325F"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14 </w:t>
      </w:r>
      <w:r w:rsidRPr="007954D1">
        <w:rPr>
          <w:rFonts w:ascii="Book Antiqua" w:eastAsia="Book Antiqua" w:hAnsi="Book Antiqua" w:cs="Book Antiqua"/>
          <w:b/>
          <w:bCs/>
          <w:color w:val="000000" w:themeColor="text1"/>
        </w:rPr>
        <w:t>Kassahun WT</w:t>
      </w:r>
      <w:r w:rsidRPr="007954D1">
        <w:rPr>
          <w:rFonts w:ascii="Book Antiqua" w:eastAsia="Book Antiqua" w:hAnsi="Book Antiqua" w:cs="Book Antiqua"/>
          <w:color w:val="000000" w:themeColor="text1"/>
        </w:rPr>
        <w:t xml:space="preserve">, Hauss J. Management of combined hepatocellular and cholangiocarcinoma. </w:t>
      </w:r>
      <w:r w:rsidRPr="007954D1">
        <w:rPr>
          <w:rFonts w:ascii="Book Antiqua" w:eastAsia="Book Antiqua" w:hAnsi="Book Antiqua" w:cs="Book Antiqua"/>
          <w:i/>
          <w:iCs/>
          <w:color w:val="000000" w:themeColor="text1"/>
        </w:rPr>
        <w:t>Int J Clin Pract</w:t>
      </w:r>
      <w:r w:rsidRPr="007954D1">
        <w:rPr>
          <w:rFonts w:ascii="Book Antiqua" w:eastAsia="Book Antiqua" w:hAnsi="Book Antiqua" w:cs="Book Antiqua"/>
          <w:color w:val="000000" w:themeColor="text1"/>
        </w:rPr>
        <w:t xml:space="preserve"> 2008; </w:t>
      </w:r>
      <w:r w:rsidRPr="007954D1">
        <w:rPr>
          <w:rFonts w:ascii="Book Antiqua" w:eastAsia="Book Antiqua" w:hAnsi="Book Antiqua" w:cs="Book Antiqua"/>
          <w:b/>
          <w:bCs/>
          <w:color w:val="000000" w:themeColor="text1"/>
        </w:rPr>
        <w:t>62</w:t>
      </w:r>
      <w:r w:rsidRPr="007954D1">
        <w:rPr>
          <w:rFonts w:ascii="Book Antiqua" w:eastAsia="Book Antiqua" w:hAnsi="Book Antiqua" w:cs="Book Antiqua"/>
          <w:color w:val="000000" w:themeColor="text1"/>
        </w:rPr>
        <w:t>: 1271-1278 [PMID: 18284443 DOI: 10.1111/j.1742-1241.2007.01694.x]</w:t>
      </w:r>
    </w:p>
    <w:p w14:paraId="260D4E24"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15 </w:t>
      </w:r>
      <w:r w:rsidRPr="007954D1">
        <w:rPr>
          <w:rFonts w:ascii="Book Antiqua" w:eastAsia="Book Antiqua" w:hAnsi="Book Antiqua" w:cs="Book Antiqua"/>
          <w:b/>
          <w:bCs/>
          <w:color w:val="000000" w:themeColor="text1"/>
        </w:rPr>
        <w:t>Kono Y</w:t>
      </w:r>
      <w:r w:rsidRPr="007954D1">
        <w:rPr>
          <w:rFonts w:ascii="Book Antiqua" w:eastAsia="Book Antiqua" w:hAnsi="Book Antiqua" w:cs="Book Antiqua"/>
          <w:color w:val="000000" w:themeColor="text1"/>
        </w:rPr>
        <w:t xml:space="preserve">, Lyshchik A, Cosgrove D, Dietrich CF, Jang HJ, Kim TK, Piscaglia F, Willmann JK, Wilson SR, Santillan C, Kambadakone A, Mitchell D, Vezeridis A, Sirlin CB. Contrast Enhanced Ultrasound (CEUS) Liver Imaging Reporting and Data System (LI-RADS®): the official version by the American College of Radiology (ACR). </w:t>
      </w:r>
      <w:r w:rsidRPr="007954D1">
        <w:rPr>
          <w:rFonts w:ascii="Book Antiqua" w:eastAsia="Book Antiqua" w:hAnsi="Book Antiqua" w:cs="Book Antiqua"/>
          <w:i/>
          <w:iCs/>
          <w:color w:val="000000" w:themeColor="text1"/>
        </w:rPr>
        <w:t>Ultraschall Med</w:t>
      </w:r>
      <w:r w:rsidRPr="007954D1">
        <w:rPr>
          <w:rFonts w:ascii="Book Antiqua" w:eastAsia="Book Antiqua" w:hAnsi="Book Antiqua" w:cs="Book Antiqua"/>
          <w:color w:val="000000" w:themeColor="text1"/>
        </w:rPr>
        <w:t xml:space="preserve"> 2017; </w:t>
      </w:r>
      <w:r w:rsidRPr="007954D1">
        <w:rPr>
          <w:rFonts w:ascii="Book Antiqua" w:eastAsia="Book Antiqua" w:hAnsi="Book Antiqua" w:cs="Book Antiqua"/>
          <w:b/>
          <w:bCs/>
          <w:color w:val="000000" w:themeColor="text1"/>
        </w:rPr>
        <w:t>38</w:t>
      </w:r>
      <w:r w:rsidRPr="007954D1">
        <w:rPr>
          <w:rFonts w:ascii="Book Antiqua" w:eastAsia="Book Antiqua" w:hAnsi="Book Antiqua" w:cs="Book Antiqua"/>
          <w:color w:val="000000" w:themeColor="text1"/>
        </w:rPr>
        <w:t>: 85-86 [PMID: 28249328 DOI: 10.1055/s-0042-124369]</w:t>
      </w:r>
    </w:p>
    <w:p w14:paraId="677B76A5"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16 </w:t>
      </w:r>
      <w:r w:rsidRPr="007954D1">
        <w:rPr>
          <w:rFonts w:ascii="Book Antiqua" w:eastAsia="Book Antiqua" w:hAnsi="Book Antiqua" w:cs="Book Antiqua"/>
          <w:b/>
          <w:bCs/>
          <w:color w:val="000000" w:themeColor="text1"/>
        </w:rPr>
        <w:t>Huang JY</w:t>
      </w:r>
      <w:r w:rsidRPr="007954D1">
        <w:rPr>
          <w:rFonts w:ascii="Book Antiqua" w:eastAsia="Book Antiqua" w:hAnsi="Book Antiqua" w:cs="Book Antiqua"/>
          <w:color w:val="000000" w:themeColor="text1"/>
        </w:rPr>
        <w:t xml:space="preserve">, Li JW, Lu Q, Luo Y, Lin L, Shi YJ, Li T, Liu JB, Lyshchik A. Diagnostic Accuracy of CEUS LI-RADS for the Characterization of Liver Nodules 20 mm or Smaller in Patients at Risk for Hepatocellular Carcinoma. </w:t>
      </w:r>
      <w:r w:rsidRPr="007954D1">
        <w:rPr>
          <w:rFonts w:ascii="Book Antiqua" w:eastAsia="Book Antiqua" w:hAnsi="Book Antiqua" w:cs="Book Antiqua"/>
          <w:i/>
          <w:iCs/>
          <w:color w:val="000000" w:themeColor="text1"/>
        </w:rPr>
        <w:t>Radiology</w:t>
      </w:r>
      <w:r w:rsidRPr="007954D1">
        <w:rPr>
          <w:rFonts w:ascii="Book Antiqua" w:eastAsia="Book Antiqua" w:hAnsi="Book Antiqua" w:cs="Book Antiqua"/>
          <w:color w:val="000000" w:themeColor="text1"/>
        </w:rPr>
        <w:t xml:space="preserve"> 2020; </w:t>
      </w:r>
      <w:r w:rsidRPr="007954D1">
        <w:rPr>
          <w:rFonts w:ascii="Book Antiqua" w:eastAsia="Book Antiqua" w:hAnsi="Book Antiqua" w:cs="Book Antiqua"/>
          <w:b/>
          <w:bCs/>
          <w:color w:val="000000" w:themeColor="text1"/>
        </w:rPr>
        <w:t>294</w:t>
      </w:r>
      <w:r w:rsidRPr="007954D1">
        <w:rPr>
          <w:rFonts w:ascii="Book Antiqua" w:eastAsia="Book Antiqua" w:hAnsi="Book Antiqua" w:cs="Book Antiqua"/>
          <w:color w:val="000000" w:themeColor="text1"/>
        </w:rPr>
        <w:t>: 329-339 [PMID: 31793849 DOI: 10.1148/radiol.2019191086]</w:t>
      </w:r>
    </w:p>
    <w:p w14:paraId="0683814B"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17 </w:t>
      </w:r>
      <w:r w:rsidRPr="007954D1">
        <w:rPr>
          <w:rFonts w:ascii="Book Antiqua" w:eastAsia="Book Antiqua" w:hAnsi="Book Antiqua" w:cs="Book Antiqua"/>
          <w:b/>
          <w:bCs/>
          <w:color w:val="000000" w:themeColor="text1"/>
        </w:rPr>
        <w:t>Lyshchik A</w:t>
      </w:r>
      <w:r w:rsidRPr="007954D1">
        <w:rPr>
          <w:rFonts w:ascii="Book Antiqua" w:eastAsia="Book Antiqua" w:hAnsi="Book Antiqua" w:cs="Book Antiqua"/>
          <w:color w:val="000000" w:themeColor="text1"/>
        </w:rPr>
        <w:t xml:space="preserve">, Kono Y, Dietrich CF, Jang HJ, Kim TK, Piscaglia F, Vezeridis A, Willmann JK, Wilson SR. Contrast-enhanced ultrasound of the liver: technical and lexicon recommendations from the ACR CEUS LI-RADS working group. </w:t>
      </w:r>
      <w:r w:rsidRPr="007954D1">
        <w:rPr>
          <w:rFonts w:ascii="Book Antiqua" w:eastAsia="Book Antiqua" w:hAnsi="Book Antiqua" w:cs="Book Antiqua"/>
          <w:i/>
          <w:iCs/>
          <w:color w:val="000000" w:themeColor="text1"/>
        </w:rPr>
        <w:t>Abdom Radiol (NY)</w:t>
      </w:r>
      <w:r w:rsidRPr="007954D1">
        <w:rPr>
          <w:rFonts w:ascii="Book Antiqua" w:eastAsia="Book Antiqua" w:hAnsi="Book Antiqua" w:cs="Book Antiqua"/>
          <w:color w:val="000000" w:themeColor="text1"/>
        </w:rPr>
        <w:t xml:space="preserve"> 2018; </w:t>
      </w:r>
      <w:r w:rsidRPr="007954D1">
        <w:rPr>
          <w:rFonts w:ascii="Book Antiqua" w:eastAsia="Book Antiqua" w:hAnsi="Book Antiqua" w:cs="Book Antiqua"/>
          <w:b/>
          <w:bCs/>
          <w:color w:val="000000" w:themeColor="text1"/>
        </w:rPr>
        <w:t>43</w:t>
      </w:r>
      <w:r w:rsidRPr="007954D1">
        <w:rPr>
          <w:rFonts w:ascii="Book Antiqua" w:eastAsia="Book Antiqua" w:hAnsi="Book Antiqua" w:cs="Book Antiqua"/>
          <w:color w:val="000000" w:themeColor="text1"/>
        </w:rPr>
        <w:t>: 861-879 [PMID: 29151131 DOI: 10.1007/s00261-017-1392-0]</w:t>
      </w:r>
    </w:p>
    <w:p w14:paraId="7E03DC8E"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18 </w:t>
      </w:r>
      <w:r w:rsidRPr="007954D1">
        <w:rPr>
          <w:rFonts w:ascii="Book Antiqua" w:eastAsia="Book Antiqua" w:hAnsi="Book Antiqua" w:cs="Book Antiqua"/>
          <w:b/>
          <w:bCs/>
          <w:color w:val="000000" w:themeColor="text1"/>
        </w:rPr>
        <w:t>Claudon M</w:t>
      </w:r>
      <w:r w:rsidRPr="007954D1">
        <w:rPr>
          <w:rFonts w:ascii="Book Antiqua" w:eastAsia="Book Antiqua" w:hAnsi="Book Antiqua" w:cs="Book Antiqua"/>
          <w:color w:val="000000" w:themeColor="text1"/>
        </w:rPr>
        <w:t xml:space="preserve">, Dietrich CF, Choi BI, Cosgrove DO, Kudo M, Nolsøe CP, Piscaglia F, Wilson SR, Barr RG, Chammas MC, Chaubal NG, Chen MH, Clevert DA, Correas JM, Ding H, Forsberg F, Fowlkes JB, Gibson RN, Goldberg BB, Lassau N, Leen EL, Mattrey RF, Moriyasu F, Solbiati L, Weskott HP, Xu HX; World Federation for Ultrasound in Medicine; European Federation of Societies for Ultrasound. Guidelines and good clinical practice recommendations for Contrast Enhanced Ultrasound (CEUS) in the liver - update 2012: A WFUMB-EFSUMB initiative in cooperation with representatives of AFSUMB, AIUM, ASUM, FLAUS and ICUS. </w:t>
      </w:r>
      <w:r w:rsidRPr="007954D1">
        <w:rPr>
          <w:rFonts w:ascii="Book Antiqua" w:eastAsia="Book Antiqua" w:hAnsi="Book Antiqua" w:cs="Book Antiqua"/>
          <w:i/>
          <w:iCs/>
          <w:color w:val="000000" w:themeColor="text1"/>
        </w:rPr>
        <w:t>Ultrasound Med Biol</w:t>
      </w:r>
      <w:r w:rsidRPr="007954D1">
        <w:rPr>
          <w:rFonts w:ascii="Book Antiqua" w:eastAsia="Book Antiqua" w:hAnsi="Book Antiqua" w:cs="Book Antiqua"/>
          <w:color w:val="000000" w:themeColor="text1"/>
        </w:rPr>
        <w:t xml:space="preserve"> 2013; </w:t>
      </w:r>
      <w:r w:rsidRPr="007954D1">
        <w:rPr>
          <w:rFonts w:ascii="Book Antiqua" w:eastAsia="Book Antiqua" w:hAnsi="Book Antiqua" w:cs="Book Antiqua"/>
          <w:b/>
          <w:bCs/>
          <w:color w:val="000000" w:themeColor="text1"/>
        </w:rPr>
        <w:t>39</w:t>
      </w:r>
      <w:r w:rsidRPr="007954D1">
        <w:rPr>
          <w:rFonts w:ascii="Book Antiqua" w:eastAsia="Book Antiqua" w:hAnsi="Book Antiqua" w:cs="Book Antiqua"/>
          <w:color w:val="000000" w:themeColor="text1"/>
        </w:rPr>
        <w:t>: 187-210 [PMID: 23137926 DOI: 10.1016/j.ultrasmedbio.2012.09.002]</w:t>
      </w:r>
    </w:p>
    <w:p w14:paraId="75312A45"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19 </w:t>
      </w:r>
      <w:r w:rsidRPr="007954D1">
        <w:rPr>
          <w:rFonts w:ascii="Book Antiqua" w:eastAsia="Book Antiqua" w:hAnsi="Book Antiqua" w:cs="Book Antiqua"/>
          <w:b/>
          <w:bCs/>
          <w:color w:val="000000" w:themeColor="text1"/>
        </w:rPr>
        <w:t>Patel AH</w:t>
      </w:r>
      <w:r w:rsidRPr="007954D1">
        <w:rPr>
          <w:rFonts w:ascii="Book Antiqua" w:eastAsia="Book Antiqua" w:hAnsi="Book Antiqua" w:cs="Book Antiqua"/>
          <w:color w:val="000000" w:themeColor="text1"/>
        </w:rPr>
        <w:t xml:space="preserve">, Harnois DM, Klee GG, LaRusso NF, Gores GJ. The utility of CA 19-9 in the diagnoses of cholangiocarcinoma in patients without primary sclerosing cholangitis. </w:t>
      </w:r>
      <w:r w:rsidRPr="007954D1">
        <w:rPr>
          <w:rFonts w:ascii="Book Antiqua" w:eastAsia="Book Antiqua" w:hAnsi="Book Antiqua" w:cs="Book Antiqua"/>
          <w:i/>
          <w:iCs/>
          <w:color w:val="000000" w:themeColor="text1"/>
        </w:rPr>
        <w:t>Am J Gastroenterol</w:t>
      </w:r>
      <w:r w:rsidRPr="007954D1">
        <w:rPr>
          <w:rFonts w:ascii="Book Antiqua" w:eastAsia="Book Antiqua" w:hAnsi="Book Antiqua" w:cs="Book Antiqua"/>
          <w:color w:val="000000" w:themeColor="text1"/>
        </w:rPr>
        <w:t xml:space="preserve"> 2000; </w:t>
      </w:r>
      <w:r w:rsidRPr="007954D1">
        <w:rPr>
          <w:rFonts w:ascii="Book Antiqua" w:eastAsia="Book Antiqua" w:hAnsi="Book Antiqua" w:cs="Book Antiqua"/>
          <w:b/>
          <w:bCs/>
          <w:color w:val="000000" w:themeColor="text1"/>
        </w:rPr>
        <w:t>95</w:t>
      </w:r>
      <w:r w:rsidRPr="007954D1">
        <w:rPr>
          <w:rFonts w:ascii="Book Antiqua" w:eastAsia="Book Antiqua" w:hAnsi="Book Antiqua" w:cs="Book Antiqua"/>
          <w:color w:val="000000" w:themeColor="text1"/>
        </w:rPr>
        <w:t>: 204-207 [PMID: 10638584 DOI: 10.1111/j.1572-0241.2000.01685.x]</w:t>
      </w:r>
    </w:p>
    <w:p w14:paraId="7A2F8E7A"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20 </w:t>
      </w:r>
      <w:r w:rsidRPr="007954D1">
        <w:rPr>
          <w:rFonts w:ascii="Book Antiqua" w:eastAsia="Book Antiqua" w:hAnsi="Book Antiqua" w:cs="Book Antiqua"/>
          <w:b/>
          <w:bCs/>
          <w:color w:val="000000" w:themeColor="text1"/>
        </w:rPr>
        <w:t>Sherman M</w:t>
      </w:r>
      <w:r w:rsidRPr="007954D1">
        <w:rPr>
          <w:rFonts w:ascii="Book Antiqua" w:eastAsia="Book Antiqua" w:hAnsi="Book Antiqua" w:cs="Book Antiqua"/>
          <w:color w:val="000000" w:themeColor="text1"/>
        </w:rPr>
        <w:t xml:space="preserve">, Peltekian KM, Lee C. Screening for hepatocellular carcinoma in chronic carriers of hepatitis B virus: incidence and prevalence of hepatocellular carcinoma in a North American urban population. </w:t>
      </w:r>
      <w:r w:rsidRPr="007954D1">
        <w:rPr>
          <w:rFonts w:ascii="Book Antiqua" w:eastAsia="Book Antiqua" w:hAnsi="Book Antiqua" w:cs="Book Antiqua"/>
          <w:i/>
          <w:iCs/>
          <w:color w:val="000000" w:themeColor="text1"/>
        </w:rPr>
        <w:t>Hepatology</w:t>
      </w:r>
      <w:r w:rsidRPr="007954D1">
        <w:rPr>
          <w:rFonts w:ascii="Book Antiqua" w:eastAsia="Book Antiqua" w:hAnsi="Book Antiqua" w:cs="Book Antiqua"/>
          <w:color w:val="000000" w:themeColor="text1"/>
        </w:rPr>
        <w:t xml:space="preserve"> 1995; </w:t>
      </w:r>
      <w:r w:rsidRPr="007954D1">
        <w:rPr>
          <w:rFonts w:ascii="Book Antiqua" w:eastAsia="Book Antiqua" w:hAnsi="Book Antiqua" w:cs="Book Antiqua"/>
          <w:b/>
          <w:bCs/>
          <w:color w:val="000000" w:themeColor="text1"/>
        </w:rPr>
        <w:t>22</w:t>
      </w:r>
      <w:r w:rsidRPr="007954D1">
        <w:rPr>
          <w:rFonts w:ascii="Book Antiqua" w:eastAsia="Book Antiqua" w:hAnsi="Book Antiqua" w:cs="Book Antiqua"/>
          <w:color w:val="000000" w:themeColor="text1"/>
        </w:rPr>
        <w:t>: 432-438 [PMID: 7543434 DOI: 10.1002/hep.1840220210]</w:t>
      </w:r>
    </w:p>
    <w:p w14:paraId="0D79D071"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21 </w:t>
      </w:r>
      <w:r w:rsidRPr="007954D1">
        <w:rPr>
          <w:rFonts w:ascii="Book Antiqua" w:eastAsia="Book Antiqua" w:hAnsi="Book Antiqua" w:cs="Book Antiqua"/>
          <w:b/>
          <w:bCs/>
          <w:color w:val="000000" w:themeColor="text1"/>
        </w:rPr>
        <w:t>Heimbach JK</w:t>
      </w:r>
      <w:r w:rsidRPr="007954D1">
        <w:rPr>
          <w:rFonts w:ascii="Book Antiqua" w:eastAsia="Book Antiqua" w:hAnsi="Book Antiqua" w:cs="Book Antiqua"/>
          <w:color w:val="000000" w:themeColor="text1"/>
        </w:rPr>
        <w:t xml:space="preserve">, Kulik LM, Finn RS, Sirlin CB, Abecassis MM, Roberts LR, Zhu AX, Murad MH, Marrero JA. AASLD guidelines for the treatment of hepatocellular carcinoma. </w:t>
      </w:r>
      <w:r w:rsidRPr="007954D1">
        <w:rPr>
          <w:rFonts w:ascii="Book Antiqua" w:eastAsia="Book Antiqua" w:hAnsi="Book Antiqua" w:cs="Book Antiqua"/>
          <w:i/>
          <w:iCs/>
          <w:color w:val="000000" w:themeColor="text1"/>
        </w:rPr>
        <w:t>Hepatology</w:t>
      </w:r>
      <w:r w:rsidRPr="007954D1">
        <w:rPr>
          <w:rFonts w:ascii="Book Antiqua" w:eastAsia="Book Antiqua" w:hAnsi="Book Antiqua" w:cs="Book Antiqua"/>
          <w:color w:val="000000" w:themeColor="text1"/>
        </w:rPr>
        <w:t xml:space="preserve"> 2018; </w:t>
      </w:r>
      <w:r w:rsidRPr="007954D1">
        <w:rPr>
          <w:rFonts w:ascii="Book Antiqua" w:eastAsia="Book Antiqua" w:hAnsi="Book Antiqua" w:cs="Book Antiqua"/>
          <w:b/>
          <w:bCs/>
          <w:color w:val="000000" w:themeColor="text1"/>
        </w:rPr>
        <w:t>67</w:t>
      </w:r>
      <w:r w:rsidRPr="007954D1">
        <w:rPr>
          <w:rFonts w:ascii="Book Antiqua" w:eastAsia="Book Antiqua" w:hAnsi="Book Antiqua" w:cs="Book Antiqua"/>
          <w:color w:val="000000" w:themeColor="text1"/>
        </w:rPr>
        <w:t>: 358-380 [PMID: 28130846 DOI: 10.1002/hep.29086]</w:t>
      </w:r>
    </w:p>
    <w:p w14:paraId="153E24BE"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22 </w:t>
      </w:r>
      <w:r w:rsidRPr="007954D1">
        <w:rPr>
          <w:rFonts w:ascii="Book Antiqua" w:eastAsia="Book Antiqua" w:hAnsi="Book Antiqua" w:cs="Book Antiqua"/>
          <w:b/>
          <w:bCs/>
          <w:color w:val="000000" w:themeColor="text1"/>
        </w:rPr>
        <w:t>Bender R</w:t>
      </w:r>
      <w:r w:rsidRPr="007954D1">
        <w:rPr>
          <w:rFonts w:ascii="Book Antiqua" w:eastAsia="Book Antiqua" w:hAnsi="Book Antiqua" w:cs="Book Antiqua"/>
          <w:color w:val="000000" w:themeColor="text1"/>
        </w:rPr>
        <w:t xml:space="preserve">, Lange S, Freitag G, Trampisch HJ. Variation of sensitivity, specificity, likelihood ratios and predictive values with disease prevalence by H. Brenner and O. Gefeller, Statistics in Medicine, 16, 981-991 (1997) </w:t>
      </w:r>
      <w:r w:rsidRPr="007954D1">
        <w:rPr>
          <w:rFonts w:ascii="Book Antiqua" w:eastAsia="Book Antiqua" w:hAnsi="Book Antiqua" w:cs="Book Antiqua"/>
          <w:i/>
          <w:iCs/>
          <w:color w:val="000000" w:themeColor="text1"/>
        </w:rPr>
        <w:t>Stat Med</w:t>
      </w:r>
      <w:r w:rsidRPr="007954D1">
        <w:rPr>
          <w:rFonts w:ascii="Book Antiqua" w:eastAsia="Book Antiqua" w:hAnsi="Book Antiqua" w:cs="Book Antiqua"/>
          <w:color w:val="000000" w:themeColor="text1"/>
        </w:rPr>
        <w:t xml:space="preserve"> 1998; </w:t>
      </w:r>
      <w:r w:rsidRPr="007954D1">
        <w:rPr>
          <w:rFonts w:ascii="Book Antiqua" w:eastAsia="Book Antiqua" w:hAnsi="Book Antiqua" w:cs="Book Antiqua"/>
          <w:b/>
          <w:bCs/>
          <w:color w:val="000000" w:themeColor="text1"/>
        </w:rPr>
        <w:t>17</w:t>
      </w:r>
      <w:r w:rsidRPr="007954D1">
        <w:rPr>
          <w:rFonts w:ascii="Book Antiqua" w:eastAsia="Book Antiqua" w:hAnsi="Book Antiqua" w:cs="Book Antiqua"/>
          <w:color w:val="000000" w:themeColor="text1"/>
        </w:rPr>
        <w:t>: 946-948 [PMID: 9595621 DOI: 10.1002/(sici)1097-0258(19980430)17:8&lt;946::aid-sim</w:t>
      </w:r>
      <w:r w:rsidRPr="007954D1">
        <w:rPr>
          <w:rFonts w:ascii="Book Antiqua" w:eastAsia="Book Antiqua" w:hAnsi="Book Antiqua" w:cs="Book Antiqua"/>
          <w:color w:val="000000" w:themeColor="text1"/>
          <w:vertAlign w:val="superscript"/>
        </w:rPr>
        <w:t>2</w:t>
      </w:r>
      <w:r w:rsidRPr="007954D1">
        <w:rPr>
          <w:rFonts w:ascii="Book Antiqua" w:eastAsia="Book Antiqua" w:hAnsi="Book Antiqua" w:cs="Book Antiqua"/>
          <w:color w:val="000000" w:themeColor="text1"/>
        </w:rPr>
        <w:t>823&gt;3.0.co;2-3]</w:t>
      </w:r>
    </w:p>
    <w:p w14:paraId="0C144E84"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23 </w:t>
      </w:r>
      <w:r w:rsidRPr="007954D1">
        <w:rPr>
          <w:rFonts w:ascii="Book Antiqua" w:eastAsia="Book Antiqua" w:hAnsi="Book Antiqua" w:cs="Book Antiqua"/>
          <w:b/>
          <w:bCs/>
          <w:color w:val="000000" w:themeColor="text1"/>
        </w:rPr>
        <w:t>Viera AJ</w:t>
      </w:r>
      <w:r w:rsidRPr="007954D1">
        <w:rPr>
          <w:rFonts w:ascii="Book Antiqua" w:eastAsia="Book Antiqua" w:hAnsi="Book Antiqua" w:cs="Book Antiqua"/>
          <w:color w:val="000000" w:themeColor="text1"/>
        </w:rPr>
        <w:t xml:space="preserve">, Garrett JM. Understanding interobserver agreement: the kappa statistic. </w:t>
      </w:r>
      <w:r w:rsidRPr="007954D1">
        <w:rPr>
          <w:rFonts w:ascii="Book Antiqua" w:eastAsia="Book Antiqua" w:hAnsi="Book Antiqua" w:cs="Book Antiqua"/>
          <w:i/>
          <w:iCs/>
          <w:color w:val="000000" w:themeColor="text1"/>
        </w:rPr>
        <w:t>Fam Med</w:t>
      </w:r>
      <w:r w:rsidRPr="007954D1">
        <w:rPr>
          <w:rFonts w:ascii="Book Antiqua" w:eastAsia="Book Antiqua" w:hAnsi="Book Antiqua" w:cs="Book Antiqua"/>
          <w:color w:val="000000" w:themeColor="text1"/>
        </w:rPr>
        <w:t xml:space="preserve"> 2005; </w:t>
      </w:r>
      <w:r w:rsidRPr="007954D1">
        <w:rPr>
          <w:rFonts w:ascii="Book Antiqua" w:eastAsia="Book Antiqua" w:hAnsi="Book Antiqua" w:cs="Book Antiqua"/>
          <w:b/>
          <w:bCs/>
          <w:color w:val="000000" w:themeColor="text1"/>
        </w:rPr>
        <w:t>37</w:t>
      </w:r>
      <w:r w:rsidRPr="007954D1">
        <w:rPr>
          <w:rFonts w:ascii="Book Antiqua" w:eastAsia="Book Antiqua" w:hAnsi="Book Antiqua" w:cs="Book Antiqua"/>
          <w:color w:val="000000" w:themeColor="text1"/>
        </w:rPr>
        <w:t>: 360-363 [PMID: 15883903]</w:t>
      </w:r>
    </w:p>
    <w:p w14:paraId="0214C7FE"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24 </w:t>
      </w:r>
      <w:r w:rsidRPr="007954D1">
        <w:rPr>
          <w:rFonts w:ascii="Book Antiqua" w:eastAsia="Book Antiqua" w:hAnsi="Book Antiqua" w:cs="Book Antiqua"/>
          <w:b/>
          <w:bCs/>
          <w:color w:val="000000" w:themeColor="text1"/>
        </w:rPr>
        <w:t>Brunt E</w:t>
      </w:r>
      <w:r w:rsidRPr="007954D1">
        <w:rPr>
          <w:rFonts w:ascii="Book Antiqua" w:eastAsia="Book Antiqua" w:hAnsi="Book Antiqua" w:cs="Book Antiqua"/>
          <w:color w:val="000000" w:themeColor="text1"/>
        </w:rPr>
        <w:t xml:space="preserve">, Aishima S, Clavien PA, Fowler K, Goodman Z, Gores G, Gouw A, Kagen A, Klimstra D, Komuta M, Kondo F, Miksad R, Nakano M, Nakanuma Y, Ng I, Paradis V, Nyun Park Y, Quaglia A, Roncalli M, Roskams T, Sakamoto M, Saxena R, Sempoux C, Sirlin C, Stueck A, Thung S, Tsui WMS, Wang XW, Wee A, Yano H, Yeh M, Zen Y, Zucman-Rossi J, Theise N. cHCC-CCA: Consensus terminology for primary liver carcinomas with both hepatocytic and cholangiocytic differentation. </w:t>
      </w:r>
      <w:r w:rsidRPr="007954D1">
        <w:rPr>
          <w:rFonts w:ascii="Book Antiqua" w:eastAsia="Book Antiqua" w:hAnsi="Book Antiqua" w:cs="Book Antiqua"/>
          <w:i/>
          <w:iCs/>
          <w:color w:val="000000" w:themeColor="text1"/>
        </w:rPr>
        <w:t>Hepatology</w:t>
      </w:r>
      <w:r w:rsidRPr="007954D1">
        <w:rPr>
          <w:rFonts w:ascii="Book Antiqua" w:eastAsia="Book Antiqua" w:hAnsi="Book Antiqua" w:cs="Book Antiqua"/>
          <w:color w:val="000000" w:themeColor="text1"/>
        </w:rPr>
        <w:t xml:space="preserve"> 2018; </w:t>
      </w:r>
      <w:r w:rsidRPr="007954D1">
        <w:rPr>
          <w:rFonts w:ascii="Book Antiqua" w:eastAsia="Book Antiqua" w:hAnsi="Book Antiqua" w:cs="Book Antiqua"/>
          <w:b/>
          <w:bCs/>
          <w:color w:val="000000" w:themeColor="text1"/>
        </w:rPr>
        <w:t>68</w:t>
      </w:r>
      <w:r w:rsidRPr="007954D1">
        <w:rPr>
          <w:rFonts w:ascii="Book Antiqua" w:eastAsia="Book Antiqua" w:hAnsi="Book Antiqua" w:cs="Book Antiqua"/>
          <w:color w:val="000000" w:themeColor="text1"/>
        </w:rPr>
        <w:t>: 113-126 [PMID: 29360137 DOI: 10.1002/hep.29789]</w:t>
      </w:r>
    </w:p>
    <w:p w14:paraId="72490AED"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25 </w:t>
      </w:r>
      <w:r w:rsidRPr="007954D1">
        <w:rPr>
          <w:rFonts w:ascii="Book Antiqua" w:eastAsia="Book Antiqua" w:hAnsi="Book Antiqua" w:cs="Book Antiqua"/>
          <w:b/>
          <w:bCs/>
          <w:color w:val="000000" w:themeColor="text1"/>
        </w:rPr>
        <w:t>Koh KC</w:t>
      </w:r>
      <w:r w:rsidRPr="007954D1">
        <w:rPr>
          <w:rFonts w:ascii="Book Antiqua" w:eastAsia="Book Antiqua" w:hAnsi="Book Antiqua" w:cs="Book Antiqua"/>
          <w:color w:val="000000" w:themeColor="text1"/>
        </w:rPr>
        <w:t xml:space="preserve">, Lee H, Choi MS, Lee JH, Paik SW, Yoo BC, Rhee JC, Cho JW, Park CK, Kim HJ. Clinicopathologic features and prognosis of combined hepatocellular cholangiocarcinoma. </w:t>
      </w:r>
      <w:r w:rsidRPr="007954D1">
        <w:rPr>
          <w:rFonts w:ascii="Book Antiqua" w:eastAsia="Book Antiqua" w:hAnsi="Book Antiqua" w:cs="Book Antiqua"/>
          <w:i/>
          <w:iCs/>
          <w:color w:val="000000" w:themeColor="text1"/>
        </w:rPr>
        <w:t>Am J Surg</w:t>
      </w:r>
      <w:r w:rsidRPr="007954D1">
        <w:rPr>
          <w:rFonts w:ascii="Book Antiqua" w:eastAsia="Book Antiqua" w:hAnsi="Book Antiqua" w:cs="Book Antiqua"/>
          <w:color w:val="000000" w:themeColor="text1"/>
        </w:rPr>
        <w:t xml:space="preserve"> 2005; </w:t>
      </w:r>
      <w:r w:rsidRPr="007954D1">
        <w:rPr>
          <w:rFonts w:ascii="Book Antiqua" w:eastAsia="Book Antiqua" w:hAnsi="Book Antiqua" w:cs="Book Antiqua"/>
          <w:b/>
          <w:bCs/>
          <w:color w:val="000000" w:themeColor="text1"/>
        </w:rPr>
        <w:t>189</w:t>
      </w:r>
      <w:r w:rsidRPr="007954D1">
        <w:rPr>
          <w:rFonts w:ascii="Book Antiqua" w:eastAsia="Book Antiqua" w:hAnsi="Book Antiqua" w:cs="Book Antiqua"/>
          <w:color w:val="000000" w:themeColor="text1"/>
        </w:rPr>
        <w:t>: 120-125 [PMID: 15701504 DOI: 10.1016/j.amjsurg.2004.03.018]</w:t>
      </w:r>
    </w:p>
    <w:p w14:paraId="77351404"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26 </w:t>
      </w:r>
      <w:r w:rsidRPr="007954D1">
        <w:rPr>
          <w:rFonts w:ascii="Book Antiqua" w:eastAsia="Book Antiqua" w:hAnsi="Book Antiqua" w:cs="Book Antiqua"/>
          <w:b/>
          <w:bCs/>
          <w:color w:val="000000" w:themeColor="text1"/>
        </w:rPr>
        <w:t>Yeh MM</w:t>
      </w:r>
      <w:r w:rsidRPr="007954D1">
        <w:rPr>
          <w:rFonts w:ascii="Book Antiqua" w:eastAsia="Book Antiqua" w:hAnsi="Book Antiqua" w:cs="Book Antiqua"/>
          <w:color w:val="000000" w:themeColor="text1"/>
        </w:rPr>
        <w:t xml:space="preserve">. Pathology of combined hepatocellular-cholangiocarcinoma. </w:t>
      </w:r>
      <w:r w:rsidRPr="007954D1">
        <w:rPr>
          <w:rFonts w:ascii="Book Antiqua" w:eastAsia="Book Antiqua" w:hAnsi="Book Antiqua" w:cs="Book Antiqua"/>
          <w:i/>
          <w:iCs/>
          <w:color w:val="000000" w:themeColor="text1"/>
        </w:rPr>
        <w:t>J Gastroenterol Hepatol</w:t>
      </w:r>
      <w:r w:rsidRPr="007954D1">
        <w:rPr>
          <w:rFonts w:ascii="Book Antiqua" w:eastAsia="Book Antiqua" w:hAnsi="Book Antiqua" w:cs="Book Antiqua"/>
          <w:color w:val="000000" w:themeColor="text1"/>
        </w:rPr>
        <w:t xml:space="preserve"> 2010; </w:t>
      </w:r>
      <w:r w:rsidRPr="007954D1">
        <w:rPr>
          <w:rFonts w:ascii="Book Antiqua" w:eastAsia="Book Antiqua" w:hAnsi="Book Antiqua" w:cs="Book Antiqua"/>
          <w:b/>
          <w:bCs/>
          <w:color w:val="000000" w:themeColor="text1"/>
        </w:rPr>
        <w:t>25</w:t>
      </w:r>
      <w:r w:rsidRPr="007954D1">
        <w:rPr>
          <w:rFonts w:ascii="Book Antiqua" w:eastAsia="Book Antiqua" w:hAnsi="Book Antiqua" w:cs="Book Antiqua"/>
          <w:color w:val="000000" w:themeColor="text1"/>
        </w:rPr>
        <w:t>: 1485-1492 [PMID: 20796144 DOI: 10.1111/j.1440-1746.2010.06430.x]</w:t>
      </w:r>
    </w:p>
    <w:p w14:paraId="4A4DE034" w14:textId="2081FE9D"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27 </w:t>
      </w:r>
      <w:r w:rsidRPr="007954D1">
        <w:rPr>
          <w:rFonts w:ascii="Book Antiqua" w:eastAsia="Book Antiqua" w:hAnsi="Book Antiqua" w:cs="Book Antiqua"/>
          <w:b/>
          <w:bCs/>
          <w:color w:val="000000" w:themeColor="text1"/>
        </w:rPr>
        <w:t>Gigante E</w:t>
      </w:r>
      <w:r w:rsidRPr="007954D1">
        <w:rPr>
          <w:rFonts w:ascii="Book Antiqua" w:eastAsia="Book Antiqua" w:hAnsi="Book Antiqua" w:cs="Book Antiqua"/>
          <w:color w:val="000000" w:themeColor="text1"/>
        </w:rPr>
        <w:t xml:space="preserve">, Ronot M, Bertin C, Ciolina M, Bouattour M, Dondero F, Cauchy F, Soubrane O, Vilgrain V, Paradis V. Combining imaging and tumour biopsy improves the diagnosis of combined hepatocellular-cholangiocarcinoma. </w:t>
      </w:r>
      <w:r w:rsidRPr="007954D1">
        <w:rPr>
          <w:rFonts w:ascii="Book Antiqua" w:eastAsia="Book Antiqua" w:hAnsi="Book Antiqua" w:cs="Book Antiqua"/>
          <w:i/>
          <w:iCs/>
          <w:color w:val="000000" w:themeColor="text1"/>
        </w:rPr>
        <w:t>Liver Int</w:t>
      </w:r>
      <w:r w:rsidRPr="007954D1">
        <w:rPr>
          <w:rFonts w:ascii="Book Antiqua" w:eastAsia="Book Antiqua" w:hAnsi="Book Antiqua" w:cs="Book Antiqua"/>
          <w:color w:val="000000" w:themeColor="text1"/>
        </w:rPr>
        <w:t xml:space="preserve"> 2019; </w:t>
      </w:r>
      <w:r w:rsidRPr="007954D1">
        <w:rPr>
          <w:rFonts w:ascii="Book Antiqua" w:eastAsia="Book Antiqua" w:hAnsi="Book Antiqua" w:cs="Book Antiqua"/>
          <w:b/>
          <w:bCs/>
          <w:color w:val="000000" w:themeColor="text1"/>
        </w:rPr>
        <w:t>39</w:t>
      </w:r>
      <w:r w:rsidRPr="007954D1">
        <w:rPr>
          <w:rFonts w:ascii="Book Antiqua" w:eastAsia="Book Antiqua" w:hAnsi="Book Antiqua" w:cs="Book Antiqua"/>
          <w:color w:val="000000" w:themeColor="text1"/>
        </w:rPr>
        <w:t>: 2386-2396 [PMID: 31544304 DOI: 10.1111/</w:t>
      </w:r>
      <w:r w:rsidR="000C1EAE" w:rsidRPr="007954D1">
        <w:rPr>
          <w:rFonts w:ascii="Book Antiqua" w:eastAsia="Book Antiqua" w:hAnsi="Book Antiqua" w:cs="Book Antiqua"/>
          <w:color w:val="000000" w:themeColor="text1"/>
        </w:rPr>
        <w:t>l</w:t>
      </w:r>
      <w:r w:rsidRPr="007954D1">
        <w:rPr>
          <w:rFonts w:ascii="Book Antiqua" w:eastAsia="Book Antiqua" w:hAnsi="Book Antiqua" w:cs="Book Antiqua"/>
          <w:color w:val="000000" w:themeColor="text1"/>
        </w:rPr>
        <w:t>iv.14261]</w:t>
      </w:r>
    </w:p>
    <w:p w14:paraId="289F0362"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28 </w:t>
      </w:r>
      <w:r w:rsidRPr="007954D1">
        <w:rPr>
          <w:rFonts w:ascii="Book Antiqua" w:eastAsia="Book Antiqua" w:hAnsi="Book Antiqua" w:cs="Book Antiqua"/>
          <w:b/>
          <w:bCs/>
          <w:color w:val="000000" w:themeColor="text1"/>
        </w:rPr>
        <w:t>Wakizaka K</w:t>
      </w:r>
      <w:r w:rsidRPr="007954D1">
        <w:rPr>
          <w:rFonts w:ascii="Book Antiqua" w:eastAsia="Book Antiqua" w:hAnsi="Book Antiqua" w:cs="Book Antiqua"/>
          <w:color w:val="000000" w:themeColor="text1"/>
        </w:rPr>
        <w:t xml:space="preserve">, Yokoo H, Kamiyama T, Ohira M, Kato K, Fujii Y, Sugiyama K, Okada N, Ohata T, Nagatsu A, Shimada S, Orimo T, Kamachi H, Taketomi A. Clinical and pathological features of combined hepatocellular-cholangiocarcinoma compared with other liver cancers. </w:t>
      </w:r>
      <w:r w:rsidRPr="007954D1">
        <w:rPr>
          <w:rFonts w:ascii="Book Antiqua" w:eastAsia="Book Antiqua" w:hAnsi="Book Antiqua" w:cs="Book Antiqua"/>
          <w:i/>
          <w:iCs/>
          <w:color w:val="000000" w:themeColor="text1"/>
        </w:rPr>
        <w:t>J Gastroenterol Hepatol</w:t>
      </w:r>
      <w:r w:rsidRPr="007954D1">
        <w:rPr>
          <w:rFonts w:ascii="Book Antiqua" w:eastAsia="Book Antiqua" w:hAnsi="Book Antiqua" w:cs="Book Antiqua"/>
          <w:color w:val="000000" w:themeColor="text1"/>
        </w:rPr>
        <w:t xml:space="preserve"> 2019; </w:t>
      </w:r>
      <w:r w:rsidRPr="007954D1">
        <w:rPr>
          <w:rFonts w:ascii="Book Antiqua" w:eastAsia="Book Antiqua" w:hAnsi="Book Antiqua" w:cs="Book Antiqua"/>
          <w:b/>
          <w:bCs/>
          <w:color w:val="000000" w:themeColor="text1"/>
        </w:rPr>
        <w:t>34</w:t>
      </w:r>
      <w:r w:rsidRPr="007954D1">
        <w:rPr>
          <w:rFonts w:ascii="Book Antiqua" w:eastAsia="Book Antiqua" w:hAnsi="Book Antiqua" w:cs="Book Antiqua"/>
          <w:color w:val="000000" w:themeColor="text1"/>
        </w:rPr>
        <w:t>: 1074-1080 [PMID: 30462849 DOI: 10.1111/jgh.14547]</w:t>
      </w:r>
    </w:p>
    <w:p w14:paraId="77518DEE"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29 </w:t>
      </w:r>
      <w:r w:rsidRPr="007954D1">
        <w:rPr>
          <w:rFonts w:ascii="Book Antiqua" w:eastAsia="Book Antiqua" w:hAnsi="Book Antiqua" w:cs="Book Antiqua"/>
          <w:b/>
          <w:bCs/>
          <w:color w:val="000000" w:themeColor="text1"/>
        </w:rPr>
        <w:t>Choi SH</w:t>
      </w:r>
      <w:r w:rsidRPr="007954D1">
        <w:rPr>
          <w:rFonts w:ascii="Book Antiqua" w:eastAsia="Book Antiqua" w:hAnsi="Book Antiqua" w:cs="Book Antiqua"/>
          <w:color w:val="000000" w:themeColor="text1"/>
        </w:rPr>
        <w:t xml:space="preserve">, Lee SS, Park SH, Kim KM, Yu E, Park Y, Shin YM, Lee MG. LI-RADS Classification and Prognosis of Primary Liver Cancers at Gadoxetic Acid-enhanced MRI. </w:t>
      </w:r>
      <w:r w:rsidRPr="007954D1">
        <w:rPr>
          <w:rFonts w:ascii="Book Antiqua" w:eastAsia="Book Antiqua" w:hAnsi="Book Antiqua" w:cs="Book Antiqua"/>
          <w:i/>
          <w:iCs/>
          <w:color w:val="000000" w:themeColor="text1"/>
        </w:rPr>
        <w:t>Radiology</w:t>
      </w:r>
      <w:r w:rsidRPr="007954D1">
        <w:rPr>
          <w:rFonts w:ascii="Book Antiqua" w:eastAsia="Book Antiqua" w:hAnsi="Book Antiqua" w:cs="Book Antiqua"/>
          <w:color w:val="000000" w:themeColor="text1"/>
        </w:rPr>
        <w:t xml:space="preserve"> 2019; </w:t>
      </w:r>
      <w:r w:rsidRPr="007954D1">
        <w:rPr>
          <w:rFonts w:ascii="Book Antiqua" w:eastAsia="Book Antiqua" w:hAnsi="Book Antiqua" w:cs="Book Antiqua"/>
          <w:b/>
          <w:bCs/>
          <w:color w:val="000000" w:themeColor="text1"/>
        </w:rPr>
        <w:t>290</w:t>
      </w:r>
      <w:r w:rsidRPr="007954D1">
        <w:rPr>
          <w:rFonts w:ascii="Book Antiqua" w:eastAsia="Book Antiqua" w:hAnsi="Book Antiqua" w:cs="Book Antiqua"/>
          <w:color w:val="000000" w:themeColor="text1"/>
        </w:rPr>
        <w:t>: 388-397 [PMID: 30422088 DOI: 10.1148/radiol.2018181290]</w:t>
      </w:r>
    </w:p>
    <w:p w14:paraId="0EBEE0AB" w14:textId="77777777" w:rsidR="00A77B3E" w:rsidRPr="007954D1"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30 </w:t>
      </w:r>
      <w:r w:rsidRPr="007954D1">
        <w:rPr>
          <w:rFonts w:ascii="Book Antiqua" w:eastAsia="Book Antiqua" w:hAnsi="Book Antiqua" w:cs="Book Antiqua"/>
          <w:b/>
          <w:bCs/>
          <w:color w:val="000000" w:themeColor="text1"/>
        </w:rPr>
        <w:t>Jeon SK</w:t>
      </w:r>
      <w:r w:rsidRPr="007954D1">
        <w:rPr>
          <w:rFonts w:ascii="Book Antiqua" w:eastAsia="Book Antiqua" w:hAnsi="Book Antiqua" w:cs="Book Antiqua"/>
          <w:color w:val="000000" w:themeColor="text1"/>
        </w:rPr>
        <w:t xml:space="preserve">, Joo I, Lee DH, Lee SM, Kang HJ, Lee KB, Lee JM. Combined hepatocellular cholangiocarcinoma: LI-RADS v2017 categorisation for differential diagnosis and prognostication on gadoxetic acid-enhanced MR imaging. </w:t>
      </w:r>
      <w:r w:rsidRPr="007954D1">
        <w:rPr>
          <w:rFonts w:ascii="Book Antiqua" w:eastAsia="Book Antiqua" w:hAnsi="Book Antiqua" w:cs="Book Antiqua"/>
          <w:i/>
          <w:iCs/>
          <w:color w:val="000000" w:themeColor="text1"/>
        </w:rPr>
        <w:t>Eur Radiol</w:t>
      </w:r>
      <w:r w:rsidRPr="007954D1">
        <w:rPr>
          <w:rFonts w:ascii="Book Antiqua" w:eastAsia="Book Antiqua" w:hAnsi="Book Antiqua" w:cs="Book Antiqua"/>
          <w:color w:val="000000" w:themeColor="text1"/>
        </w:rPr>
        <w:t xml:space="preserve"> 2019; </w:t>
      </w:r>
      <w:r w:rsidRPr="007954D1">
        <w:rPr>
          <w:rFonts w:ascii="Book Antiqua" w:eastAsia="Book Antiqua" w:hAnsi="Book Antiqua" w:cs="Book Antiqua"/>
          <w:b/>
          <w:bCs/>
          <w:color w:val="000000" w:themeColor="text1"/>
        </w:rPr>
        <w:t>29</w:t>
      </w:r>
      <w:r w:rsidRPr="007954D1">
        <w:rPr>
          <w:rFonts w:ascii="Book Antiqua" w:eastAsia="Book Antiqua" w:hAnsi="Book Antiqua" w:cs="Book Antiqua"/>
          <w:color w:val="000000" w:themeColor="text1"/>
        </w:rPr>
        <w:t>: 373-382 [PMID: 29955948 DOI: 10.1007/s00330-018-5605-x]</w:t>
      </w:r>
    </w:p>
    <w:p w14:paraId="4BBDC7AD" w14:textId="77777777" w:rsidR="00A77B3E" w:rsidRPr="00257C0C" w:rsidRDefault="007D5730" w:rsidP="00257C0C">
      <w:pPr>
        <w:snapToGrid w:val="0"/>
        <w:spacing w:line="360" w:lineRule="auto"/>
        <w:jc w:val="both"/>
        <w:rPr>
          <w:color w:val="000000" w:themeColor="text1"/>
        </w:rPr>
      </w:pPr>
      <w:r w:rsidRPr="007954D1">
        <w:rPr>
          <w:rFonts w:ascii="Book Antiqua" w:eastAsia="Book Antiqua" w:hAnsi="Book Antiqua" w:cs="Book Antiqua"/>
          <w:color w:val="000000" w:themeColor="text1"/>
        </w:rPr>
        <w:t xml:space="preserve">31 </w:t>
      </w:r>
      <w:r w:rsidRPr="007954D1">
        <w:rPr>
          <w:rFonts w:ascii="Book Antiqua" w:eastAsia="Book Antiqua" w:hAnsi="Book Antiqua" w:cs="Book Antiqua"/>
          <w:b/>
          <w:bCs/>
          <w:color w:val="000000" w:themeColor="text1"/>
        </w:rPr>
        <w:t>Trevisani F</w:t>
      </w:r>
      <w:r w:rsidRPr="007954D1">
        <w:rPr>
          <w:rFonts w:ascii="Book Antiqua" w:eastAsia="Book Antiqua" w:hAnsi="Book Antiqua" w:cs="Book Antiqua"/>
          <w:color w:val="000000" w:themeColor="text1"/>
        </w:rPr>
        <w:t xml:space="preserve">, D'Intino PE, Morselli-Labate AM, Mazzella G, Accogli E, Caraceni P, Domenicali M, De Notariis S, Roda E, Bernardi M. Serum alpha-fetoprotein for diagnosis of hepatocellular carcinoma in patients with chronic liver disease: influence of HBsAg and anti-HCV status. </w:t>
      </w:r>
      <w:r w:rsidRPr="007954D1">
        <w:rPr>
          <w:rFonts w:ascii="Book Antiqua" w:eastAsia="Book Antiqua" w:hAnsi="Book Antiqua" w:cs="Book Antiqua"/>
          <w:i/>
          <w:iCs/>
          <w:color w:val="000000" w:themeColor="text1"/>
        </w:rPr>
        <w:t>J Hepatol</w:t>
      </w:r>
      <w:r w:rsidRPr="007954D1">
        <w:rPr>
          <w:rFonts w:ascii="Book Antiqua" w:eastAsia="Book Antiqua" w:hAnsi="Book Antiqua" w:cs="Book Antiqua"/>
          <w:color w:val="000000" w:themeColor="text1"/>
        </w:rPr>
        <w:t xml:space="preserve"> 2001; </w:t>
      </w:r>
      <w:r w:rsidRPr="007954D1">
        <w:rPr>
          <w:rFonts w:ascii="Book Antiqua" w:eastAsia="Book Antiqua" w:hAnsi="Book Antiqua" w:cs="Book Antiqua"/>
          <w:b/>
          <w:bCs/>
          <w:color w:val="000000" w:themeColor="text1"/>
        </w:rPr>
        <w:t>34</w:t>
      </w:r>
      <w:r w:rsidRPr="007954D1">
        <w:rPr>
          <w:rFonts w:ascii="Book Antiqua" w:eastAsia="Book Antiqua" w:hAnsi="Book Antiqua" w:cs="Book Antiqua"/>
          <w:color w:val="000000" w:themeColor="text1"/>
        </w:rPr>
        <w:t>: 570-575 [PMID: 11394657 DOI: 10.1016/s0168-8278(00)00053-2]</w:t>
      </w:r>
    </w:p>
    <w:p w14:paraId="4AA22398" w14:textId="77777777" w:rsidR="001B1F2F" w:rsidRPr="00257C0C" w:rsidRDefault="001B1F2F" w:rsidP="00257C0C">
      <w:pPr>
        <w:snapToGrid w:val="0"/>
        <w:spacing w:line="360" w:lineRule="auto"/>
        <w:jc w:val="both"/>
        <w:rPr>
          <w:color w:val="000000" w:themeColor="text1"/>
        </w:rPr>
        <w:sectPr w:rsidR="001B1F2F" w:rsidRPr="00257C0C">
          <w:pgSz w:w="12240" w:h="15840"/>
          <w:pgMar w:top="1440" w:right="1440" w:bottom="1440" w:left="1440" w:header="720" w:footer="720" w:gutter="0"/>
          <w:cols w:space="720"/>
          <w:docGrid w:linePitch="360"/>
        </w:sectPr>
      </w:pPr>
    </w:p>
    <w:p w14:paraId="493C5FB3"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Footnotes</w:t>
      </w:r>
    </w:p>
    <w:p w14:paraId="2C303BEE"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Institutional review board statement: </w:t>
      </w:r>
      <w:r w:rsidRPr="00257C0C">
        <w:rPr>
          <w:rFonts w:ascii="Book Antiqua" w:eastAsia="Book Antiqua" w:hAnsi="Book Antiqua" w:cs="Book Antiqua"/>
          <w:color w:val="000000" w:themeColor="text1"/>
        </w:rPr>
        <w:t>This study was reviewed and approved by the review board of West China Hospital of Sichuan University.</w:t>
      </w:r>
    </w:p>
    <w:p w14:paraId="5177F480" w14:textId="77777777" w:rsidR="00A77B3E" w:rsidRPr="00257C0C" w:rsidRDefault="00A77B3E" w:rsidP="00257C0C">
      <w:pPr>
        <w:snapToGrid w:val="0"/>
        <w:spacing w:line="360" w:lineRule="auto"/>
        <w:jc w:val="both"/>
        <w:rPr>
          <w:color w:val="000000" w:themeColor="text1"/>
        </w:rPr>
      </w:pPr>
    </w:p>
    <w:p w14:paraId="01EBA094"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Informed consent statement: </w:t>
      </w:r>
      <w:r w:rsidRPr="00257C0C">
        <w:rPr>
          <w:rFonts w:ascii="Book Antiqua" w:eastAsia="Book Antiqua" w:hAnsi="Book Antiqua" w:cs="Book Antiqua"/>
          <w:color w:val="000000" w:themeColor="text1"/>
        </w:rPr>
        <w:t>All study participants, or their legal guardian, provided informed written consent prior to study enrollment.</w:t>
      </w:r>
    </w:p>
    <w:p w14:paraId="477C0B95" w14:textId="77777777" w:rsidR="00A77B3E" w:rsidRPr="00257C0C" w:rsidRDefault="00A77B3E" w:rsidP="00257C0C">
      <w:pPr>
        <w:snapToGrid w:val="0"/>
        <w:spacing w:line="360" w:lineRule="auto"/>
        <w:jc w:val="both"/>
        <w:rPr>
          <w:color w:val="000000" w:themeColor="text1"/>
        </w:rPr>
      </w:pPr>
    </w:p>
    <w:p w14:paraId="7CD52759"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Conflict-of-interest statement: </w:t>
      </w:r>
      <w:r w:rsidRPr="00257C0C">
        <w:rPr>
          <w:rFonts w:ascii="Book Antiqua" w:eastAsia="Book Antiqua" w:hAnsi="Book Antiqua" w:cs="Book Antiqua"/>
          <w:color w:val="000000" w:themeColor="text1"/>
        </w:rPr>
        <w:t>All authors have no financial relationships to disclose.</w:t>
      </w:r>
    </w:p>
    <w:p w14:paraId="18537879" w14:textId="77777777" w:rsidR="00A77B3E" w:rsidRPr="00257C0C" w:rsidRDefault="00A77B3E" w:rsidP="00257C0C">
      <w:pPr>
        <w:snapToGrid w:val="0"/>
        <w:spacing w:line="360" w:lineRule="auto"/>
        <w:jc w:val="both"/>
        <w:rPr>
          <w:color w:val="000000" w:themeColor="text1"/>
        </w:rPr>
      </w:pPr>
    </w:p>
    <w:p w14:paraId="5541663D"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Data sharing statement: </w:t>
      </w:r>
      <w:r w:rsidRPr="00257C0C">
        <w:rPr>
          <w:rFonts w:ascii="Book Antiqua" w:eastAsia="Book Antiqua" w:hAnsi="Book Antiqua" w:cs="Book Antiqua"/>
          <w:color w:val="000000" w:themeColor="text1"/>
        </w:rPr>
        <w:t>No additional data are available.</w:t>
      </w:r>
    </w:p>
    <w:p w14:paraId="48FC1969" w14:textId="77777777" w:rsidR="00A77B3E" w:rsidRPr="00257C0C" w:rsidRDefault="00A77B3E" w:rsidP="00257C0C">
      <w:pPr>
        <w:snapToGrid w:val="0"/>
        <w:spacing w:line="360" w:lineRule="auto"/>
        <w:jc w:val="both"/>
        <w:rPr>
          <w:color w:val="000000" w:themeColor="text1"/>
        </w:rPr>
      </w:pPr>
    </w:p>
    <w:p w14:paraId="0A67B687" w14:textId="4301F8C9"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STROBE statement: </w:t>
      </w:r>
      <w:r w:rsidRPr="00257C0C">
        <w:rPr>
          <w:rFonts w:ascii="Book Antiqua" w:eastAsia="Book Antiqua" w:hAnsi="Book Antiqua" w:cs="Book Antiqua"/>
          <w:color w:val="000000" w:themeColor="text1"/>
          <w:shd w:val="clear" w:color="auto" w:fill="FFFFFF"/>
        </w:rPr>
        <w:t>The authors have read the STROBE Statement</w:t>
      </w:r>
      <w:r w:rsidR="00FC1E8F" w:rsidRPr="00257C0C">
        <w:rPr>
          <w:rFonts w:ascii="Book Antiqua" w:eastAsia="Book Antiqua" w:hAnsi="Book Antiqua" w:cs="Book Antiqua"/>
          <w:color w:val="000000" w:themeColor="text1"/>
          <w:shd w:val="clear" w:color="auto" w:fill="FFFFFF"/>
        </w:rPr>
        <w:t>-</w:t>
      </w:r>
      <w:r w:rsidRPr="00257C0C">
        <w:rPr>
          <w:rFonts w:ascii="Book Antiqua" w:eastAsia="Book Antiqua" w:hAnsi="Book Antiqua" w:cs="Book Antiqua"/>
          <w:color w:val="000000" w:themeColor="text1"/>
          <w:shd w:val="clear" w:color="auto" w:fill="FFFFFF"/>
        </w:rPr>
        <w:t>checklist of items, and the manuscript was prepared and revised according to the STROBE Statement</w:t>
      </w:r>
      <w:r w:rsidR="00FC1E8F" w:rsidRPr="00257C0C">
        <w:rPr>
          <w:rFonts w:ascii="Book Antiqua" w:eastAsia="Book Antiqua" w:hAnsi="Book Antiqua" w:cs="Book Antiqua"/>
          <w:color w:val="000000" w:themeColor="text1"/>
          <w:shd w:val="clear" w:color="auto" w:fill="FFFFFF"/>
        </w:rPr>
        <w:t>-</w:t>
      </w:r>
      <w:r w:rsidRPr="00257C0C">
        <w:rPr>
          <w:rFonts w:ascii="Book Antiqua" w:eastAsia="Book Antiqua" w:hAnsi="Book Antiqua" w:cs="Book Antiqua"/>
          <w:color w:val="000000" w:themeColor="text1"/>
          <w:shd w:val="clear" w:color="auto" w:fill="FFFFFF"/>
        </w:rPr>
        <w:t>checklist of items.</w:t>
      </w:r>
    </w:p>
    <w:p w14:paraId="47D2034D" w14:textId="77777777" w:rsidR="00A77B3E" w:rsidRPr="00257C0C" w:rsidRDefault="00A77B3E" w:rsidP="00257C0C">
      <w:pPr>
        <w:snapToGrid w:val="0"/>
        <w:spacing w:line="360" w:lineRule="auto"/>
        <w:jc w:val="both"/>
        <w:rPr>
          <w:color w:val="000000" w:themeColor="text1"/>
        </w:rPr>
      </w:pPr>
    </w:p>
    <w:p w14:paraId="5ED58BE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bCs/>
          <w:color w:val="000000" w:themeColor="text1"/>
        </w:rPr>
        <w:t xml:space="preserve">Open-Access: </w:t>
      </w:r>
      <w:r w:rsidRPr="00257C0C">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64B1C0" w14:textId="77777777" w:rsidR="00A77B3E" w:rsidRPr="00257C0C" w:rsidRDefault="00A77B3E" w:rsidP="00257C0C">
      <w:pPr>
        <w:snapToGrid w:val="0"/>
        <w:spacing w:line="360" w:lineRule="auto"/>
        <w:jc w:val="both"/>
        <w:rPr>
          <w:color w:val="000000" w:themeColor="text1"/>
        </w:rPr>
      </w:pPr>
    </w:p>
    <w:p w14:paraId="4F03D942" w14:textId="5B2291D2"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Manuscript source: </w:t>
      </w:r>
      <w:r w:rsidRPr="00257C0C">
        <w:rPr>
          <w:rFonts w:ascii="Book Antiqua" w:eastAsia="Book Antiqua" w:hAnsi="Book Antiqua" w:cs="Book Antiqua"/>
          <w:color w:val="000000" w:themeColor="text1"/>
        </w:rPr>
        <w:t>Unsolicited</w:t>
      </w:r>
      <w:r w:rsidR="00616237" w:rsidRPr="00257C0C">
        <w:rPr>
          <w:rFonts w:ascii="Book Antiqua" w:eastAsia="Book Antiqua" w:hAnsi="Book Antiqua" w:cs="Book Antiqua"/>
          <w:color w:val="000000" w:themeColor="text1"/>
        </w:rPr>
        <w:t xml:space="preserve"> m</w:t>
      </w:r>
      <w:r w:rsidRPr="00257C0C">
        <w:rPr>
          <w:rFonts w:ascii="Book Antiqua" w:eastAsia="Book Antiqua" w:hAnsi="Book Antiqua" w:cs="Book Antiqua"/>
          <w:color w:val="000000" w:themeColor="text1"/>
        </w:rPr>
        <w:t>anuscript</w:t>
      </w:r>
    </w:p>
    <w:p w14:paraId="61B28FE4" w14:textId="77777777" w:rsidR="00A77B3E" w:rsidRPr="00257C0C" w:rsidRDefault="00A77B3E" w:rsidP="00257C0C">
      <w:pPr>
        <w:snapToGrid w:val="0"/>
        <w:spacing w:line="360" w:lineRule="auto"/>
        <w:jc w:val="both"/>
        <w:rPr>
          <w:color w:val="000000" w:themeColor="text1"/>
        </w:rPr>
      </w:pPr>
    </w:p>
    <w:p w14:paraId="1A4712A5"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Peer-review started: </w:t>
      </w:r>
      <w:r w:rsidRPr="00257C0C">
        <w:rPr>
          <w:rFonts w:ascii="Book Antiqua" w:eastAsia="Book Antiqua" w:hAnsi="Book Antiqua" w:cs="Book Antiqua"/>
          <w:color w:val="000000" w:themeColor="text1"/>
        </w:rPr>
        <w:t>August 6, 2020</w:t>
      </w:r>
    </w:p>
    <w:p w14:paraId="33A2FE3D"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First decision: </w:t>
      </w:r>
      <w:r w:rsidRPr="00257C0C">
        <w:rPr>
          <w:rFonts w:ascii="Book Antiqua" w:eastAsia="Book Antiqua" w:hAnsi="Book Antiqua" w:cs="Book Antiqua"/>
          <w:color w:val="000000" w:themeColor="text1"/>
        </w:rPr>
        <w:t>October 18, 2020</w:t>
      </w:r>
    </w:p>
    <w:p w14:paraId="0F0029C7" w14:textId="51D40D52"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Article in press: </w:t>
      </w:r>
      <w:r w:rsidR="00861572" w:rsidRPr="00257C0C">
        <w:rPr>
          <w:rFonts w:ascii="Book Antiqua" w:eastAsia="Book Antiqua" w:hAnsi="Book Antiqua" w:cs="Book Antiqua"/>
          <w:color w:val="000000" w:themeColor="text1"/>
        </w:rPr>
        <w:t>November 9, 2020</w:t>
      </w:r>
    </w:p>
    <w:p w14:paraId="144F72F0" w14:textId="77777777" w:rsidR="00A77B3E" w:rsidRPr="00257C0C" w:rsidRDefault="00A77B3E" w:rsidP="00257C0C">
      <w:pPr>
        <w:snapToGrid w:val="0"/>
        <w:spacing w:line="360" w:lineRule="auto"/>
        <w:jc w:val="both"/>
        <w:rPr>
          <w:color w:val="000000" w:themeColor="text1"/>
        </w:rPr>
      </w:pPr>
    </w:p>
    <w:p w14:paraId="46F92B24" w14:textId="3DB20D30"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Specialty type: </w:t>
      </w:r>
      <w:r w:rsidR="00616237" w:rsidRPr="00257C0C">
        <w:rPr>
          <w:rFonts w:ascii="Book Antiqua" w:eastAsia="微软雅黑" w:hAnsi="Book Antiqua" w:cs="宋体"/>
          <w:color w:val="000000" w:themeColor="text1"/>
        </w:rPr>
        <w:t>Gastroenterology and hepatology</w:t>
      </w:r>
    </w:p>
    <w:p w14:paraId="5FF8E8A1"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 xml:space="preserve">Country/Territory of origin: </w:t>
      </w:r>
      <w:r w:rsidRPr="00257C0C">
        <w:rPr>
          <w:rFonts w:ascii="Book Antiqua" w:eastAsia="Book Antiqua" w:hAnsi="Book Antiqua" w:cs="Book Antiqua"/>
          <w:color w:val="000000" w:themeColor="text1"/>
        </w:rPr>
        <w:t>China</w:t>
      </w:r>
    </w:p>
    <w:p w14:paraId="6B015F8C"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b/>
          <w:color w:val="000000" w:themeColor="text1"/>
        </w:rPr>
        <w:t>Peer-review report’s scientific quality classification</w:t>
      </w:r>
    </w:p>
    <w:p w14:paraId="2EBB6FC0" w14:textId="4A57D88F"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Grade A (Excellent): A</w:t>
      </w:r>
      <w:r w:rsidR="00616237" w:rsidRPr="00257C0C">
        <w:rPr>
          <w:rFonts w:ascii="Book Antiqua" w:eastAsia="Book Antiqua" w:hAnsi="Book Antiqua" w:cs="Book Antiqua"/>
          <w:color w:val="000000" w:themeColor="text1"/>
        </w:rPr>
        <w:t>, A</w:t>
      </w:r>
    </w:p>
    <w:p w14:paraId="67BAF62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Grade B (Very good): 0</w:t>
      </w:r>
    </w:p>
    <w:p w14:paraId="0A835653"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Grade C (Good): C</w:t>
      </w:r>
    </w:p>
    <w:p w14:paraId="6B935B2F"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Grade D (Fair): 0</w:t>
      </w:r>
    </w:p>
    <w:p w14:paraId="0F1DFA49" w14:textId="77777777" w:rsidR="00A77B3E" w:rsidRPr="00257C0C" w:rsidRDefault="007D5730" w:rsidP="00257C0C">
      <w:pPr>
        <w:snapToGrid w:val="0"/>
        <w:spacing w:line="360" w:lineRule="auto"/>
        <w:jc w:val="both"/>
        <w:rPr>
          <w:color w:val="000000" w:themeColor="text1"/>
        </w:rPr>
      </w:pPr>
      <w:r w:rsidRPr="00257C0C">
        <w:rPr>
          <w:rFonts w:ascii="Book Antiqua" w:eastAsia="Book Antiqua" w:hAnsi="Book Antiqua" w:cs="Book Antiqua"/>
          <w:color w:val="000000" w:themeColor="text1"/>
        </w:rPr>
        <w:t>Grade E (Poor): 0</w:t>
      </w:r>
    </w:p>
    <w:p w14:paraId="0C177EB1" w14:textId="77777777" w:rsidR="00A77B3E" w:rsidRPr="00257C0C" w:rsidRDefault="00A77B3E" w:rsidP="00257C0C">
      <w:pPr>
        <w:snapToGrid w:val="0"/>
        <w:spacing w:line="360" w:lineRule="auto"/>
        <w:jc w:val="both"/>
        <w:rPr>
          <w:color w:val="000000" w:themeColor="text1"/>
        </w:rPr>
      </w:pPr>
    </w:p>
    <w:p w14:paraId="7C63FA4E" w14:textId="19802FA2" w:rsidR="00A77B3E" w:rsidRPr="00BF1926" w:rsidRDefault="007D5730" w:rsidP="00257C0C">
      <w:pPr>
        <w:snapToGrid w:val="0"/>
        <w:spacing w:line="360" w:lineRule="auto"/>
        <w:jc w:val="both"/>
        <w:rPr>
          <w:rFonts w:ascii="Book Antiqua" w:hAnsi="Book Antiqua" w:cs="Book Antiqua"/>
          <w:b/>
          <w:color w:val="000000" w:themeColor="text1"/>
          <w:lang w:eastAsia="zh-CN"/>
        </w:rPr>
      </w:pPr>
      <w:r w:rsidRPr="00257C0C">
        <w:rPr>
          <w:rFonts w:ascii="Book Antiqua" w:eastAsia="Book Antiqua" w:hAnsi="Book Antiqua" w:cs="Book Antiqua"/>
          <w:b/>
          <w:color w:val="000000" w:themeColor="text1"/>
        </w:rPr>
        <w:t xml:space="preserve">P-Reviewer: </w:t>
      </w:r>
      <w:r w:rsidRPr="00257C0C">
        <w:rPr>
          <w:rFonts w:ascii="Book Antiqua" w:eastAsia="Book Antiqua" w:hAnsi="Book Antiqua" w:cs="Book Antiqua"/>
          <w:color w:val="000000" w:themeColor="text1"/>
        </w:rPr>
        <w:t>Izbicki JR, Sempokuya T</w:t>
      </w:r>
      <w:r w:rsidRPr="00257C0C">
        <w:rPr>
          <w:rFonts w:ascii="Book Antiqua" w:eastAsia="Book Antiqua" w:hAnsi="Book Antiqua" w:cs="Book Antiqua"/>
          <w:b/>
          <w:color w:val="000000" w:themeColor="text1"/>
        </w:rPr>
        <w:t xml:space="preserve"> S-Editor: </w:t>
      </w:r>
      <w:r w:rsidRPr="00257C0C">
        <w:rPr>
          <w:rFonts w:ascii="Book Antiqua" w:eastAsia="Book Antiqua" w:hAnsi="Book Antiqua" w:cs="Book Antiqua"/>
          <w:color w:val="000000" w:themeColor="text1"/>
        </w:rPr>
        <w:t>Gao CC</w:t>
      </w:r>
      <w:r w:rsidRPr="00257C0C">
        <w:rPr>
          <w:rFonts w:ascii="Book Antiqua" w:eastAsia="Book Antiqua" w:hAnsi="Book Antiqua" w:cs="Book Antiqua"/>
          <w:b/>
          <w:color w:val="000000" w:themeColor="text1"/>
        </w:rPr>
        <w:t xml:space="preserve"> L-Editor: </w:t>
      </w:r>
      <w:r w:rsidR="00082D37" w:rsidRPr="00257C0C">
        <w:rPr>
          <w:rFonts w:ascii="Book Antiqua" w:eastAsia="Book Antiqua" w:hAnsi="Book Antiqua" w:cs="Book Antiqua"/>
          <w:bCs/>
          <w:color w:val="000000" w:themeColor="text1"/>
        </w:rPr>
        <w:t>Filipodia</w:t>
      </w:r>
      <w:r w:rsidRPr="00257C0C">
        <w:rPr>
          <w:rFonts w:ascii="Book Antiqua" w:eastAsia="Book Antiqua" w:hAnsi="Book Antiqua" w:cs="Book Antiqua"/>
          <w:b/>
          <w:color w:val="000000" w:themeColor="text1"/>
        </w:rPr>
        <w:t xml:space="preserve"> P-Editor: </w:t>
      </w:r>
      <w:r w:rsidR="00BF1926" w:rsidRPr="00BF1926">
        <w:rPr>
          <w:rFonts w:ascii="Book Antiqua" w:hAnsi="Book Antiqua" w:cs="Book Antiqua" w:hint="eastAsia"/>
          <w:color w:val="000000" w:themeColor="text1"/>
          <w:lang w:eastAsia="zh-CN"/>
        </w:rPr>
        <w:t>Liu JH</w:t>
      </w:r>
    </w:p>
    <w:p w14:paraId="6ACD1978" w14:textId="77777777" w:rsidR="00BF1926" w:rsidRPr="00BF1926" w:rsidRDefault="00BF1926" w:rsidP="00257C0C">
      <w:pPr>
        <w:snapToGrid w:val="0"/>
        <w:spacing w:line="360" w:lineRule="auto"/>
        <w:jc w:val="both"/>
        <w:rPr>
          <w:rFonts w:ascii="Book Antiqua" w:hAnsi="Book Antiqua" w:cs="Book Antiqua"/>
          <w:b/>
          <w:color w:val="000000" w:themeColor="text1"/>
          <w:lang w:eastAsia="zh-CN"/>
        </w:rPr>
      </w:pPr>
    </w:p>
    <w:p w14:paraId="4B0A1C0F" w14:textId="77777777" w:rsidR="001B1F2F" w:rsidRPr="00257C0C" w:rsidRDefault="001B1F2F" w:rsidP="00257C0C">
      <w:pPr>
        <w:snapToGrid w:val="0"/>
        <w:spacing w:line="360" w:lineRule="auto"/>
        <w:jc w:val="both"/>
        <w:rPr>
          <w:color w:val="000000" w:themeColor="text1"/>
          <w:lang w:eastAsia="zh-CN"/>
        </w:rPr>
        <w:sectPr w:rsidR="001B1F2F" w:rsidRPr="00257C0C">
          <w:pgSz w:w="12240" w:h="15840"/>
          <w:pgMar w:top="1440" w:right="1440" w:bottom="1440" w:left="1440" w:header="720" w:footer="720" w:gutter="0"/>
          <w:cols w:space="720"/>
          <w:docGrid w:linePitch="360"/>
        </w:sectPr>
      </w:pPr>
    </w:p>
    <w:p w14:paraId="22867068" w14:textId="531CCA37" w:rsidR="00A77B3E" w:rsidRPr="00257C0C" w:rsidRDefault="007D5730" w:rsidP="00257C0C">
      <w:pPr>
        <w:snapToGrid w:val="0"/>
        <w:spacing w:line="360" w:lineRule="auto"/>
        <w:jc w:val="both"/>
        <w:rPr>
          <w:rFonts w:ascii="Book Antiqua" w:eastAsia="Book Antiqua" w:hAnsi="Book Antiqua" w:cs="Book Antiqua"/>
          <w:b/>
          <w:color w:val="000000" w:themeColor="text1"/>
        </w:rPr>
      </w:pPr>
      <w:r w:rsidRPr="00257C0C">
        <w:rPr>
          <w:rFonts w:ascii="Book Antiqua" w:eastAsia="Book Antiqua" w:hAnsi="Book Antiqua" w:cs="Book Antiqua"/>
          <w:b/>
          <w:color w:val="000000" w:themeColor="text1"/>
        </w:rPr>
        <w:t>Figure Legends</w:t>
      </w:r>
    </w:p>
    <w:p w14:paraId="12867DB8" w14:textId="2809526B" w:rsidR="00FC1E8F" w:rsidRPr="00257C0C" w:rsidRDefault="00FC1E8F"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08AB8AD9" wp14:editId="37FA4E3F">
            <wp:extent cx="4914936" cy="530070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14936" cy="5300701"/>
                    </a:xfrm>
                    <a:prstGeom prst="rect">
                      <a:avLst/>
                    </a:prstGeom>
                  </pic:spPr>
                </pic:pic>
              </a:graphicData>
            </a:graphic>
          </wp:inline>
        </w:drawing>
      </w:r>
    </w:p>
    <w:p w14:paraId="1A93192E" w14:textId="3BD8BD9E" w:rsidR="00FC1E8F"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b/>
          <w:bCs/>
          <w:color w:val="000000" w:themeColor="text1"/>
        </w:rPr>
        <w:t xml:space="preserve">Figure 1 Study population selection flowchart. </w:t>
      </w:r>
      <w:r w:rsidR="002C7E29" w:rsidRPr="00AD3322">
        <w:rPr>
          <w:rFonts w:ascii="Book Antiqua" w:eastAsia="Book Antiqua" w:hAnsi="Book Antiqua" w:cs="Book Antiqua"/>
          <w:color w:val="000000" w:themeColor="text1"/>
        </w:rPr>
        <w:t xml:space="preserve">AFP: Alpha-fetoprotein; </w:t>
      </w:r>
      <w:r w:rsidR="002C7E29" w:rsidRPr="00F72187">
        <w:rPr>
          <w:rFonts w:ascii="Book Antiqua" w:eastAsia="Book Antiqua" w:hAnsi="Book Antiqua" w:cs="Book Antiqua"/>
          <w:color w:val="000000" w:themeColor="text1"/>
        </w:rPr>
        <w:t>CA19-9: Carbohydrate antigen 19-9</w:t>
      </w:r>
      <w:r w:rsidR="002C7E29">
        <w:rPr>
          <w:rFonts w:ascii="Book Antiqua" w:eastAsia="Book Antiqua" w:hAnsi="Book Antiqua" w:cs="Book Antiqua"/>
          <w:color w:val="000000" w:themeColor="text1"/>
        </w:rPr>
        <w:t xml:space="preserve">; </w:t>
      </w:r>
      <w:r w:rsidR="002C7E29" w:rsidRPr="001E1D6E">
        <w:rPr>
          <w:rFonts w:ascii="Book Antiqua" w:eastAsia="Book Antiqua" w:hAnsi="Book Antiqua" w:cs="Book Antiqua"/>
          <w:color w:val="000000" w:themeColor="text1"/>
        </w:rPr>
        <w:t xml:space="preserve">CEUS: Contrast-enhanced ultrasound; </w:t>
      </w:r>
      <w:r w:rsidRPr="00257C0C">
        <w:rPr>
          <w:rFonts w:ascii="Book Antiqua" w:eastAsia="Book Antiqua" w:hAnsi="Book Antiqua" w:cs="Book Antiqua"/>
          <w:color w:val="000000" w:themeColor="text1"/>
        </w:rPr>
        <w:t>CHC: Combined hepatocellular-cholangiocarcinoma; HCC: Hepatocellular carcinoma; ICC: Intrahepatic cholangiocarcinoma</w:t>
      </w:r>
      <w:r w:rsidR="00FC1E8F" w:rsidRPr="00257C0C">
        <w:rPr>
          <w:rFonts w:ascii="Book Antiqua" w:eastAsia="Book Antiqua" w:hAnsi="Book Antiqua" w:cs="Book Antiqua"/>
          <w:color w:val="000000" w:themeColor="text1"/>
        </w:rPr>
        <w:t>.</w:t>
      </w:r>
    </w:p>
    <w:p w14:paraId="3C465FC9" w14:textId="696991DE" w:rsidR="00A77B3E" w:rsidRPr="00257C0C" w:rsidRDefault="00FC1E8F"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br w:type="page"/>
      </w:r>
      <w:r w:rsidR="00ED4F37" w:rsidRPr="00257C0C">
        <w:rPr>
          <w:noProof/>
          <w:color w:val="000000" w:themeColor="text1"/>
          <w:lang w:eastAsia="zh-CN"/>
        </w:rPr>
        <w:drawing>
          <wp:inline distT="0" distB="0" distL="0" distR="0" wp14:anchorId="120DE471" wp14:editId="12706AF7">
            <wp:extent cx="3232150" cy="2501069"/>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35007" cy="2503280"/>
                    </a:xfrm>
                    <a:prstGeom prst="rect">
                      <a:avLst/>
                    </a:prstGeom>
                  </pic:spPr>
                </pic:pic>
              </a:graphicData>
            </a:graphic>
          </wp:inline>
        </w:drawing>
      </w:r>
    </w:p>
    <w:p w14:paraId="1A9B85A9" w14:textId="69482724" w:rsidR="00FC1E8F" w:rsidRPr="00257C0C" w:rsidRDefault="00ED4F37"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10126C51" wp14:editId="36F5405D">
            <wp:extent cx="3194050" cy="252128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96308" cy="2523070"/>
                    </a:xfrm>
                    <a:prstGeom prst="rect">
                      <a:avLst/>
                    </a:prstGeom>
                  </pic:spPr>
                </pic:pic>
              </a:graphicData>
            </a:graphic>
          </wp:inline>
        </w:drawing>
      </w:r>
    </w:p>
    <w:p w14:paraId="7DCE4DFF" w14:textId="69C9CB0B" w:rsidR="00FC1E8F" w:rsidRPr="00257C0C" w:rsidRDefault="00ED4F37"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7D7F5503" wp14:editId="5ABBE79A">
            <wp:extent cx="3194050" cy="25046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95761" cy="2505981"/>
                    </a:xfrm>
                    <a:prstGeom prst="rect">
                      <a:avLst/>
                    </a:prstGeom>
                  </pic:spPr>
                </pic:pic>
              </a:graphicData>
            </a:graphic>
          </wp:inline>
        </w:drawing>
      </w:r>
    </w:p>
    <w:p w14:paraId="3081D7A5" w14:textId="0740AB8A" w:rsidR="000E2466" w:rsidRPr="00257C0C" w:rsidRDefault="00ED4F37"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57018CAC" wp14:editId="563E9BA2">
            <wp:extent cx="3105150" cy="260494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07345" cy="2606789"/>
                    </a:xfrm>
                    <a:prstGeom prst="rect">
                      <a:avLst/>
                    </a:prstGeom>
                  </pic:spPr>
                </pic:pic>
              </a:graphicData>
            </a:graphic>
          </wp:inline>
        </w:drawing>
      </w:r>
    </w:p>
    <w:p w14:paraId="1839B38F" w14:textId="4A9AA8FF" w:rsidR="000E2466"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b/>
          <w:bCs/>
          <w:color w:val="000000" w:themeColor="text1"/>
        </w:rPr>
        <w:t>Figure 2 LR-M nodule in a 54-year-old man with chronic hepatitis B.</w:t>
      </w:r>
      <w:r w:rsidRPr="00257C0C">
        <w:rPr>
          <w:rFonts w:ascii="Book Antiqua" w:eastAsia="Book Antiqua" w:hAnsi="Book Antiqua" w:cs="Book Antiqua"/>
          <w:color w:val="000000" w:themeColor="text1"/>
        </w:rPr>
        <w:t xml:space="preserve"> </w:t>
      </w:r>
      <w:r w:rsidR="00FC1E8F" w:rsidRPr="00257C0C">
        <w:rPr>
          <w:rFonts w:ascii="Book Antiqua" w:eastAsia="Book Antiqua" w:hAnsi="Book Antiqua" w:cs="Book Antiqua"/>
          <w:color w:val="000000" w:themeColor="text1"/>
        </w:rPr>
        <w:t>A:</w:t>
      </w:r>
      <w:r w:rsidRPr="00257C0C">
        <w:rPr>
          <w:rFonts w:ascii="Book Antiqua" w:eastAsia="Book Antiqua" w:hAnsi="Book Antiqua" w:cs="Book Antiqua"/>
          <w:color w:val="000000" w:themeColor="text1"/>
        </w:rPr>
        <w:t xml:space="preserve"> A nodule with a diameter of 3.6 cm in the right liver lobe was homogeneously hyper-enhanced (arrow) in the arterial phase at contrast-enhanced ultrasound</w:t>
      </w:r>
      <w:r w:rsidR="00FC1E8F"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w:t>
      </w:r>
      <w:r w:rsidR="00FC1E8F" w:rsidRPr="00257C0C">
        <w:rPr>
          <w:rFonts w:ascii="Book Antiqua" w:eastAsia="Book Antiqua" w:hAnsi="Book Antiqua" w:cs="Book Antiqua"/>
          <w:color w:val="000000" w:themeColor="text1"/>
        </w:rPr>
        <w:t>B:</w:t>
      </w:r>
      <w:r w:rsidRPr="00257C0C">
        <w:rPr>
          <w:rFonts w:ascii="Book Antiqua" w:eastAsia="Book Antiqua" w:hAnsi="Book Antiqua" w:cs="Book Antiqua"/>
          <w:color w:val="000000" w:themeColor="text1"/>
        </w:rPr>
        <w:t xml:space="preserve"> Early washout (53 s) of the contrast agent was observed (arrow)</w:t>
      </w:r>
      <w:r w:rsidR="00FC1E8F"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w:t>
      </w:r>
      <w:r w:rsidR="00FC1E8F" w:rsidRPr="00257C0C">
        <w:rPr>
          <w:rFonts w:ascii="Book Antiqua" w:eastAsia="Book Antiqua" w:hAnsi="Book Antiqua" w:cs="Book Antiqua"/>
          <w:color w:val="000000" w:themeColor="text1"/>
        </w:rPr>
        <w:t>C:</w:t>
      </w:r>
      <w:r w:rsidRPr="00257C0C">
        <w:rPr>
          <w:rFonts w:ascii="Book Antiqua" w:eastAsia="Book Antiqua" w:hAnsi="Book Antiqua" w:cs="Book Antiqua"/>
          <w:color w:val="000000" w:themeColor="text1"/>
        </w:rPr>
        <w:t xml:space="preserve"> Hypo-enhancement (arrow) in the late phase was shown at contrast-enhanced </w:t>
      </w:r>
      <w:r w:rsidR="00FC1E8F" w:rsidRPr="00257C0C">
        <w:rPr>
          <w:rFonts w:ascii="Book Antiqua" w:eastAsia="Book Antiqua" w:hAnsi="Book Antiqua" w:cs="Book Antiqua"/>
          <w:color w:val="000000" w:themeColor="text1"/>
        </w:rPr>
        <w:t>ultrasonography</w:t>
      </w:r>
      <w:r w:rsidRPr="00257C0C">
        <w:rPr>
          <w:rFonts w:ascii="Book Antiqua" w:eastAsia="Book Antiqua" w:hAnsi="Book Antiqua" w:cs="Book Antiqua"/>
          <w:color w:val="000000" w:themeColor="text1"/>
        </w:rPr>
        <w:t xml:space="preserve">. Elevated </w:t>
      </w:r>
      <w:r w:rsidR="00922EEA" w:rsidRPr="00257C0C">
        <w:rPr>
          <w:rFonts w:ascii="Book Antiqua" w:eastAsia="Book Antiqua" w:hAnsi="Book Antiqua" w:cs="Book Antiqua"/>
          <w:color w:val="000000" w:themeColor="text1"/>
        </w:rPr>
        <w:t>alpha</w:t>
      </w:r>
      <w:r w:rsidR="00FC1E8F" w:rsidRPr="00257C0C">
        <w:rPr>
          <w:rFonts w:ascii="Book Antiqua" w:eastAsia="Book Antiqua" w:hAnsi="Book Antiqua" w:cs="Book Antiqua"/>
          <w:color w:val="000000" w:themeColor="text1"/>
        </w:rPr>
        <w:t>-fetoprotein</w:t>
      </w:r>
      <w:r w:rsidRPr="00257C0C">
        <w:rPr>
          <w:rFonts w:ascii="Book Antiqua" w:eastAsia="Book Antiqua" w:hAnsi="Book Antiqua" w:cs="Book Antiqua"/>
          <w:color w:val="000000" w:themeColor="text1"/>
        </w:rPr>
        <w:t xml:space="preserve"> and normal </w:t>
      </w:r>
      <w:r w:rsidR="000E2466" w:rsidRPr="00257C0C">
        <w:rPr>
          <w:rFonts w:ascii="Book Antiqua" w:eastAsia="Book Antiqua" w:hAnsi="Book Antiqua" w:cs="Book Antiqua"/>
          <w:color w:val="000000" w:themeColor="text1"/>
        </w:rPr>
        <w:t>carbohydrate antigen 19-9</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 xml:space="preserve">evel were found by in the serologic data. The nodule was assigned to </w:t>
      </w:r>
      <w:r w:rsidR="000E2466" w:rsidRPr="00257C0C">
        <w:rPr>
          <w:rFonts w:ascii="Book Antiqua" w:eastAsia="Book Antiqua" w:hAnsi="Book Antiqua" w:cs="Book Antiqua"/>
          <w:color w:val="000000" w:themeColor="text1"/>
        </w:rPr>
        <w:t>combined hepatocellular-cholangiocarcinoma</w:t>
      </w:r>
      <w:r w:rsidRPr="00257C0C">
        <w:rPr>
          <w:rFonts w:ascii="Book Antiqua" w:eastAsia="Book Antiqua" w:hAnsi="Book Antiqua" w:cs="Book Antiqua"/>
          <w:color w:val="000000" w:themeColor="text1"/>
        </w:rPr>
        <w:t xml:space="preserve"> lesion according to the diagnostic criteria</w:t>
      </w:r>
      <w:r w:rsidR="00FC1E8F"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w:t>
      </w:r>
      <w:r w:rsidR="00FC1E8F" w:rsidRPr="00257C0C">
        <w:rPr>
          <w:rFonts w:ascii="Book Antiqua" w:eastAsia="Book Antiqua" w:hAnsi="Book Antiqua" w:cs="Book Antiqua"/>
          <w:color w:val="000000" w:themeColor="text1"/>
        </w:rPr>
        <w:t>D:</w:t>
      </w:r>
      <w:r w:rsidRPr="00257C0C">
        <w:rPr>
          <w:rFonts w:ascii="Book Antiqua" w:eastAsia="Book Antiqua" w:hAnsi="Book Antiqua" w:cs="Book Antiqua"/>
          <w:color w:val="000000" w:themeColor="text1"/>
        </w:rPr>
        <w:t xml:space="preserve"> Both hepatocellular carcinoma (</w:t>
      </w:r>
      <w:r w:rsidR="00787A4F" w:rsidRPr="00787A4F">
        <w:rPr>
          <w:rFonts w:ascii="Book Antiqua" w:eastAsia="Book Antiqua" w:hAnsi="Book Antiqua" w:cs="Book Antiqua"/>
          <w:color w:val="000000" w:themeColor="text1"/>
        </w:rPr>
        <w:t>orange</w:t>
      </w:r>
      <w:r w:rsidRPr="00257C0C">
        <w:rPr>
          <w:rFonts w:ascii="Book Antiqua" w:eastAsia="Book Antiqua" w:hAnsi="Book Antiqua" w:cs="Book Antiqua"/>
          <w:color w:val="000000" w:themeColor="text1"/>
        </w:rPr>
        <w:t xml:space="preserve"> arrow) and intrahepatic cholangiocarcinoma (yellow arrow) components were found in histopathologic analysis, resulting in a final diagnosis of combined hepatocellular-cholangiocarcinoma</w:t>
      </w:r>
      <w:r w:rsidR="006F389C" w:rsidRPr="00257C0C">
        <w:rPr>
          <w:rFonts w:ascii="Book Antiqua" w:eastAsia="Book Antiqua" w:hAnsi="Book Antiqua" w:cs="Book Antiqua"/>
          <w:color w:val="000000" w:themeColor="text1"/>
        </w:rPr>
        <w:t xml:space="preserve"> (h</w:t>
      </w:r>
      <w:r w:rsidRPr="00257C0C">
        <w:rPr>
          <w:rFonts w:ascii="Book Antiqua" w:eastAsia="Book Antiqua" w:hAnsi="Book Antiqua" w:cs="Book Antiqua"/>
          <w:color w:val="000000" w:themeColor="text1"/>
        </w:rPr>
        <w:t xml:space="preserve">ematoxylin and </w:t>
      </w:r>
      <w:r w:rsidR="006F389C" w:rsidRPr="00257C0C">
        <w:rPr>
          <w:rFonts w:ascii="Book Antiqua" w:eastAsia="Book Antiqua" w:hAnsi="Book Antiqua" w:cs="Book Antiqua"/>
          <w:color w:val="000000" w:themeColor="text1"/>
        </w:rPr>
        <w:t>e</w:t>
      </w:r>
      <w:r w:rsidRPr="00257C0C">
        <w:rPr>
          <w:rFonts w:ascii="Book Antiqua" w:eastAsia="Book Antiqua" w:hAnsi="Book Antiqua" w:cs="Book Antiqua"/>
          <w:color w:val="000000" w:themeColor="text1"/>
        </w:rPr>
        <w:t>osin staining; magnification, ×</w:t>
      </w:r>
      <w:r w:rsidR="000E2466"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100</w:t>
      </w:r>
      <w:r w:rsidR="006F389C"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w:t>
      </w:r>
    </w:p>
    <w:p w14:paraId="29288CE7" w14:textId="49053523" w:rsidR="00A77B3E" w:rsidRPr="00257C0C" w:rsidRDefault="000E2466"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br w:type="page"/>
      </w:r>
      <w:r w:rsidR="00D73E13" w:rsidRPr="00257C0C">
        <w:rPr>
          <w:noProof/>
          <w:color w:val="000000" w:themeColor="text1"/>
          <w:lang w:eastAsia="zh-CN"/>
        </w:rPr>
        <w:drawing>
          <wp:inline distT="0" distB="0" distL="0" distR="0" wp14:anchorId="67D463AB" wp14:editId="09286DFD">
            <wp:extent cx="3105150" cy="253721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107282" cy="2538952"/>
                    </a:xfrm>
                    <a:prstGeom prst="rect">
                      <a:avLst/>
                    </a:prstGeom>
                  </pic:spPr>
                </pic:pic>
              </a:graphicData>
            </a:graphic>
          </wp:inline>
        </w:drawing>
      </w:r>
    </w:p>
    <w:p w14:paraId="2862E746" w14:textId="7F69EA3F" w:rsidR="000E2466" w:rsidRPr="00257C0C" w:rsidRDefault="00D73E13"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1D4C68FA" wp14:editId="554C27AD">
            <wp:extent cx="3105150" cy="2492867"/>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07358" cy="2494640"/>
                    </a:xfrm>
                    <a:prstGeom prst="rect">
                      <a:avLst/>
                    </a:prstGeom>
                  </pic:spPr>
                </pic:pic>
              </a:graphicData>
            </a:graphic>
          </wp:inline>
        </w:drawing>
      </w:r>
    </w:p>
    <w:p w14:paraId="2B38030F" w14:textId="24CE91FB" w:rsidR="000E2466" w:rsidRPr="00257C0C" w:rsidRDefault="00D73E13"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23C31E8E" wp14:editId="1D59A18F">
            <wp:extent cx="3048000" cy="2494936"/>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48985" cy="2495742"/>
                    </a:xfrm>
                    <a:prstGeom prst="rect">
                      <a:avLst/>
                    </a:prstGeom>
                  </pic:spPr>
                </pic:pic>
              </a:graphicData>
            </a:graphic>
          </wp:inline>
        </w:drawing>
      </w:r>
    </w:p>
    <w:p w14:paraId="15FB7D6E" w14:textId="3B382DEE" w:rsidR="000E2466" w:rsidRPr="00257C0C" w:rsidRDefault="00D73E13"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7546CCF6" wp14:editId="6DCA76E4">
            <wp:extent cx="3053495" cy="25781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057795" cy="2581730"/>
                    </a:xfrm>
                    <a:prstGeom prst="rect">
                      <a:avLst/>
                    </a:prstGeom>
                  </pic:spPr>
                </pic:pic>
              </a:graphicData>
            </a:graphic>
          </wp:inline>
        </w:drawing>
      </w:r>
    </w:p>
    <w:p w14:paraId="78AA311D" w14:textId="6FB110C7" w:rsidR="000E2466"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b/>
          <w:bCs/>
          <w:color w:val="000000" w:themeColor="text1"/>
        </w:rPr>
        <w:t>Figure 3 LR-M nodule in a 55-year-old woman with chronic hepatitis B.</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A:</w:t>
      </w:r>
      <w:r w:rsidRPr="00257C0C">
        <w:rPr>
          <w:rFonts w:ascii="Book Antiqua" w:eastAsia="Book Antiqua" w:hAnsi="Book Antiqua" w:cs="Book Antiqua"/>
          <w:color w:val="000000" w:themeColor="text1"/>
        </w:rPr>
        <w:t xml:space="preserve"> A hypoechoic nodule with a diameter of 3.4 cm in the left lobe of the liver was homogeneously hyper-enhanced (arrow) in the arterial phase; </w:t>
      </w:r>
      <w:r w:rsidR="000E2466" w:rsidRPr="00257C0C">
        <w:rPr>
          <w:rFonts w:ascii="Book Antiqua" w:eastAsia="Book Antiqua" w:hAnsi="Book Antiqua" w:cs="Book Antiqua"/>
          <w:color w:val="000000" w:themeColor="text1"/>
        </w:rPr>
        <w:t>B:</w:t>
      </w:r>
      <w:r w:rsidRPr="00257C0C">
        <w:rPr>
          <w:rFonts w:ascii="Book Antiqua" w:eastAsia="Book Antiqua" w:hAnsi="Book Antiqua" w:cs="Book Antiqua"/>
          <w:color w:val="000000" w:themeColor="text1"/>
        </w:rPr>
        <w:t xml:space="preserve"> Early washout was observed at 32 s after injection of contrast agent (SonoVue; Bracco)</w:t>
      </w:r>
      <w:r w:rsidR="000E2466" w:rsidRPr="00257C0C">
        <w:rPr>
          <w:rFonts w:ascii="Book Antiqua" w:eastAsia="Book Antiqua" w:hAnsi="Book Antiqua" w:cs="Book Antiqua"/>
          <w:color w:val="000000" w:themeColor="text1"/>
        </w:rPr>
        <w:t>;</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C:</w:t>
      </w:r>
      <w:r w:rsidRPr="00257C0C">
        <w:rPr>
          <w:rFonts w:ascii="Book Antiqua" w:eastAsia="Book Antiqua" w:hAnsi="Book Antiqua" w:cs="Book Antiqua"/>
          <w:color w:val="000000" w:themeColor="text1"/>
        </w:rPr>
        <w:t xml:space="preserve"> Hypo-enhancement of the whole nodule was demonstrated in the late phase. Serologic data indicated normal </w:t>
      </w:r>
      <w:r w:rsidR="00922EEA" w:rsidRPr="00257C0C">
        <w:rPr>
          <w:rFonts w:ascii="Book Antiqua" w:eastAsia="Book Antiqua" w:hAnsi="Book Antiqua" w:cs="Book Antiqua"/>
          <w:color w:val="000000" w:themeColor="text1"/>
        </w:rPr>
        <w:t>alpha</w:t>
      </w:r>
      <w:r w:rsidR="000E2466" w:rsidRPr="00257C0C">
        <w:rPr>
          <w:rFonts w:ascii="Book Antiqua" w:eastAsia="Book Antiqua" w:hAnsi="Book Antiqua" w:cs="Book Antiqua"/>
          <w:color w:val="000000" w:themeColor="text1"/>
        </w:rPr>
        <w:t>-fetoprotein</w:t>
      </w:r>
      <w:r w:rsidRPr="00257C0C">
        <w:rPr>
          <w:rFonts w:ascii="Book Antiqua" w:eastAsia="Book Antiqua" w:hAnsi="Book Antiqua" w:cs="Book Antiqua"/>
          <w:color w:val="000000" w:themeColor="text1"/>
        </w:rPr>
        <w:t xml:space="preserve"> and </w:t>
      </w:r>
      <w:r w:rsidR="000E2466" w:rsidRPr="00257C0C">
        <w:rPr>
          <w:rFonts w:ascii="Book Antiqua" w:eastAsia="Book Antiqua" w:hAnsi="Book Antiqua" w:cs="Book Antiqua"/>
          <w:color w:val="000000" w:themeColor="text1"/>
        </w:rPr>
        <w:t>carbohydrate antigen 19-9</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The nodule was assessed as non-</w:t>
      </w:r>
      <w:r w:rsidR="000E2466" w:rsidRPr="00257C0C">
        <w:rPr>
          <w:rFonts w:ascii="Book Antiqua" w:eastAsia="Book Antiqua" w:hAnsi="Book Antiqua" w:cs="Book Antiqua"/>
          <w:color w:val="000000" w:themeColor="text1"/>
        </w:rPr>
        <w:t>combined hepatocellular-cholangiocarcinoma</w:t>
      </w:r>
      <w:r w:rsidRPr="00257C0C">
        <w:rPr>
          <w:rFonts w:ascii="Book Antiqua" w:eastAsia="Book Antiqua" w:hAnsi="Book Antiqua" w:cs="Book Antiqua"/>
          <w:color w:val="000000" w:themeColor="text1"/>
        </w:rPr>
        <w:t xml:space="preserve"> lesion according to the diagnostic criteria</w:t>
      </w:r>
      <w:r w:rsidR="000E2466" w:rsidRPr="00257C0C">
        <w:rPr>
          <w:rFonts w:ascii="Book Antiqua" w:eastAsia="Book Antiqua" w:hAnsi="Book Antiqua" w:cs="Book Antiqua"/>
          <w:color w:val="000000" w:themeColor="text1"/>
        </w:rPr>
        <w:t>; D:</w:t>
      </w:r>
      <w:r w:rsidRPr="00257C0C">
        <w:rPr>
          <w:rFonts w:ascii="Book Antiqua" w:eastAsia="Book Antiqua" w:hAnsi="Book Antiqua" w:cs="Book Antiqua"/>
          <w:color w:val="000000" w:themeColor="text1"/>
        </w:rPr>
        <w:t xml:space="preserve"> The nodule was proved to be hepatocellular carcinoma by pathology (</w:t>
      </w:r>
      <w:r w:rsidR="006F389C" w:rsidRPr="00257C0C">
        <w:rPr>
          <w:rFonts w:ascii="Book Antiqua" w:eastAsia="Book Antiqua" w:hAnsi="Book Antiqua" w:cs="Book Antiqua"/>
          <w:color w:val="000000" w:themeColor="text1"/>
        </w:rPr>
        <w:t>h</w:t>
      </w:r>
      <w:r w:rsidRPr="00257C0C">
        <w:rPr>
          <w:rFonts w:ascii="Book Antiqua" w:eastAsia="Book Antiqua" w:hAnsi="Book Antiqua" w:cs="Book Antiqua"/>
          <w:color w:val="000000" w:themeColor="text1"/>
        </w:rPr>
        <w:t xml:space="preserve">ematoxylin and </w:t>
      </w:r>
      <w:r w:rsidR="006F389C" w:rsidRPr="00257C0C">
        <w:rPr>
          <w:rFonts w:ascii="Book Antiqua" w:eastAsia="Book Antiqua" w:hAnsi="Book Antiqua" w:cs="Book Antiqua"/>
          <w:color w:val="000000" w:themeColor="text1"/>
        </w:rPr>
        <w:t>e</w:t>
      </w:r>
      <w:r w:rsidRPr="00257C0C">
        <w:rPr>
          <w:rFonts w:ascii="Book Antiqua" w:eastAsia="Book Antiqua" w:hAnsi="Book Antiqua" w:cs="Book Antiqua"/>
          <w:color w:val="000000" w:themeColor="text1"/>
        </w:rPr>
        <w:t>osin staining; magnification, ×</w:t>
      </w:r>
      <w:r w:rsidR="000E2466"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100).</w:t>
      </w:r>
    </w:p>
    <w:p w14:paraId="0C26CFF9" w14:textId="4323071A" w:rsidR="00A77B3E" w:rsidRPr="00257C0C" w:rsidRDefault="000E2466"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br w:type="page"/>
      </w:r>
      <w:r w:rsidR="00B90D42" w:rsidRPr="00257C0C">
        <w:rPr>
          <w:noProof/>
          <w:color w:val="000000" w:themeColor="text1"/>
          <w:lang w:eastAsia="zh-CN"/>
        </w:rPr>
        <w:drawing>
          <wp:inline distT="0" distB="0" distL="0" distR="0" wp14:anchorId="31D4433E" wp14:editId="0F193E9D">
            <wp:extent cx="3244850" cy="2578272"/>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244445" cy="2577950"/>
                    </a:xfrm>
                    <a:prstGeom prst="rect">
                      <a:avLst/>
                    </a:prstGeom>
                  </pic:spPr>
                </pic:pic>
              </a:graphicData>
            </a:graphic>
          </wp:inline>
        </w:drawing>
      </w:r>
    </w:p>
    <w:p w14:paraId="2383C408" w14:textId="66A24D27" w:rsidR="000E2466" w:rsidRPr="00257C0C" w:rsidRDefault="00B90D42" w:rsidP="00257C0C">
      <w:pPr>
        <w:snapToGrid w:val="0"/>
        <w:spacing w:line="360" w:lineRule="auto"/>
        <w:jc w:val="both"/>
        <w:rPr>
          <w:color w:val="000000" w:themeColor="text1"/>
          <w:lang w:eastAsia="zh-CN"/>
        </w:rPr>
      </w:pPr>
      <w:r w:rsidRPr="00257C0C">
        <w:rPr>
          <w:noProof/>
          <w:color w:val="000000" w:themeColor="text1"/>
          <w:lang w:eastAsia="zh-CN"/>
        </w:rPr>
        <w:drawing>
          <wp:inline distT="0" distB="0" distL="0" distR="0" wp14:anchorId="7B76B7AB" wp14:editId="0AB85096">
            <wp:extent cx="3244850" cy="248979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47157" cy="2491568"/>
                    </a:xfrm>
                    <a:prstGeom prst="rect">
                      <a:avLst/>
                    </a:prstGeom>
                  </pic:spPr>
                </pic:pic>
              </a:graphicData>
            </a:graphic>
          </wp:inline>
        </w:drawing>
      </w:r>
    </w:p>
    <w:p w14:paraId="735B5B3A" w14:textId="3B941C77" w:rsidR="000E2466" w:rsidRPr="00257C0C" w:rsidRDefault="00B90D42" w:rsidP="00257C0C">
      <w:pPr>
        <w:snapToGrid w:val="0"/>
        <w:spacing w:line="360" w:lineRule="auto"/>
        <w:jc w:val="both"/>
        <w:rPr>
          <w:color w:val="000000" w:themeColor="text1"/>
        </w:rPr>
      </w:pPr>
      <w:r w:rsidRPr="00257C0C">
        <w:rPr>
          <w:noProof/>
          <w:color w:val="000000" w:themeColor="text1"/>
          <w:lang w:eastAsia="zh-CN"/>
        </w:rPr>
        <w:drawing>
          <wp:inline distT="0" distB="0" distL="0" distR="0" wp14:anchorId="3C14DA05" wp14:editId="69128AD7">
            <wp:extent cx="3244850" cy="2560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247053" cy="2561838"/>
                    </a:xfrm>
                    <a:prstGeom prst="rect">
                      <a:avLst/>
                    </a:prstGeom>
                  </pic:spPr>
                </pic:pic>
              </a:graphicData>
            </a:graphic>
          </wp:inline>
        </w:drawing>
      </w:r>
    </w:p>
    <w:p w14:paraId="05579E37" w14:textId="14E14BEF" w:rsidR="000E2466" w:rsidRPr="00257C0C" w:rsidRDefault="00344D5E" w:rsidP="00257C0C">
      <w:pPr>
        <w:snapToGrid w:val="0"/>
        <w:spacing w:line="360" w:lineRule="auto"/>
        <w:jc w:val="both"/>
        <w:rPr>
          <w:b/>
          <w:color w:val="000000" w:themeColor="text1"/>
        </w:rPr>
      </w:pPr>
      <w:r w:rsidRPr="00257C0C">
        <w:rPr>
          <w:noProof/>
          <w:color w:val="000000" w:themeColor="text1"/>
          <w:lang w:eastAsia="zh-CN"/>
        </w:rPr>
        <w:drawing>
          <wp:inline distT="0" distB="0" distL="0" distR="0" wp14:anchorId="222ABD24" wp14:editId="3C5623EF">
            <wp:extent cx="3244850" cy="274515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46554" cy="2746597"/>
                    </a:xfrm>
                    <a:prstGeom prst="rect">
                      <a:avLst/>
                    </a:prstGeom>
                  </pic:spPr>
                </pic:pic>
              </a:graphicData>
            </a:graphic>
          </wp:inline>
        </w:drawing>
      </w:r>
    </w:p>
    <w:p w14:paraId="342B2045" w14:textId="66EC8532" w:rsidR="007F0117" w:rsidRPr="00257C0C" w:rsidRDefault="007D5730"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b/>
          <w:bCs/>
          <w:color w:val="000000" w:themeColor="text1"/>
        </w:rPr>
        <w:t>Figure 4 LR-M nodule in a 46-year-old man with chronic hepatitis B.</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A:</w:t>
      </w:r>
      <w:r w:rsidRPr="00257C0C">
        <w:rPr>
          <w:rFonts w:ascii="Book Antiqua" w:eastAsia="Book Antiqua" w:hAnsi="Book Antiqua" w:cs="Book Antiqua"/>
          <w:color w:val="000000" w:themeColor="text1"/>
        </w:rPr>
        <w:t xml:space="preserve"> A hypoechoic nodule with a diameter of 3.9 cm in the right lobe of the liver was heterogeneously hyper-enhanced (arrow) in the arterial phase; </w:t>
      </w:r>
      <w:r w:rsidR="000E2466" w:rsidRPr="00257C0C">
        <w:rPr>
          <w:rFonts w:ascii="Book Antiqua" w:eastAsia="Book Antiqua" w:hAnsi="Book Antiqua" w:cs="Book Antiqua"/>
          <w:color w:val="000000" w:themeColor="text1"/>
        </w:rPr>
        <w:t>B:</w:t>
      </w:r>
      <w:r w:rsidRPr="00257C0C">
        <w:rPr>
          <w:rFonts w:ascii="Book Antiqua" w:eastAsia="Book Antiqua" w:hAnsi="Book Antiqua" w:cs="Book Antiqua"/>
          <w:color w:val="000000" w:themeColor="text1"/>
        </w:rPr>
        <w:t xml:space="preserve"> Early washout (30 s) of the contrast agent was observed (arrow); </w:t>
      </w:r>
      <w:r w:rsidR="000E2466" w:rsidRPr="00257C0C">
        <w:rPr>
          <w:rFonts w:ascii="Book Antiqua" w:eastAsia="Book Antiqua" w:hAnsi="Book Antiqua" w:cs="Book Antiqua"/>
          <w:color w:val="000000" w:themeColor="text1"/>
        </w:rPr>
        <w:t>C:</w:t>
      </w:r>
      <w:r w:rsidRPr="00257C0C">
        <w:rPr>
          <w:rFonts w:ascii="Book Antiqua" w:eastAsia="Book Antiqua" w:hAnsi="Book Antiqua" w:cs="Book Antiqua"/>
          <w:color w:val="000000" w:themeColor="text1"/>
        </w:rPr>
        <w:t xml:space="preserve"> Hypo-enhancement of the nodule (arrow) in the late phase was shown at contrast-enhanced ultrasound. The patient had both normal </w:t>
      </w:r>
      <w:r w:rsidR="00922EEA" w:rsidRPr="00257C0C">
        <w:rPr>
          <w:rFonts w:ascii="Book Antiqua" w:eastAsia="Book Antiqua" w:hAnsi="Book Antiqua" w:cs="Book Antiqua"/>
          <w:color w:val="000000" w:themeColor="text1"/>
        </w:rPr>
        <w:t>alpha</w:t>
      </w:r>
      <w:r w:rsidR="000E2466" w:rsidRPr="00257C0C">
        <w:rPr>
          <w:rFonts w:ascii="Book Antiqua" w:eastAsia="Book Antiqua" w:hAnsi="Book Antiqua" w:cs="Book Antiqua"/>
          <w:color w:val="000000" w:themeColor="text1"/>
        </w:rPr>
        <w:t>-fetoprotein and carbohydrate antigen 19-9</w:t>
      </w:r>
      <w:r w:rsidRPr="00257C0C">
        <w:rPr>
          <w:rFonts w:ascii="Book Antiqua" w:eastAsia="Book Antiqua" w:hAnsi="Book Antiqua" w:cs="Book Antiqua"/>
          <w:color w:val="000000" w:themeColor="text1"/>
        </w:rPr>
        <w:t xml:space="preserve"> </w:t>
      </w:r>
      <w:r w:rsidR="000E2466" w:rsidRPr="00257C0C">
        <w:rPr>
          <w:rFonts w:ascii="Book Antiqua" w:eastAsia="Book Antiqua" w:hAnsi="Book Antiqua" w:cs="Book Antiqua"/>
          <w:color w:val="000000" w:themeColor="text1"/>
        </w:rPr>
        <w:t>l</w:t>
      </w:r>
      <w:r w:rsidRPr="00257C0C">
        <w:rPr>
          <w:rFonts w:ascii="Book Antiqua" w:eastAsia="Book Antiqua" w:hAnsi="Book Antiqua" w:cs="Book Antiqua"/>
          <w:color w:val="000000" w:themeColor="text1"/>
        </w:rPr>
        <w:t>evels. The lesion was classified as non-</w:t>
      </w:r>
      <w:r w:rsidR="006F389C" w:rsidRPr="00257C0C">
        <w:rPr>
          <w:rFonts w:ascii="Book Antiqua" w:eastAsia="Book Antiqua" w:hAnsi="Book Antiqua" w:cs="Book Antiqua"/>
          <w:color w:val="000000" w:themeColor="text1"/>
        </w:rPr>
        <w:t>c</w:t>
      </w:r>
      <w:r w:rsidR="006F389C" w:rsidRPr="00257C0C">
        <w:rPr>
          <w:rFonts w:ascii="Book Antiqua" w:hAnsi="Book Antiqua"/>
          <w:color w:val="000000" w:themeColor="text1"/>
        </w:rPr>
        <w:t>ombined hepatocellular-cholangiocarcinoma</w:t>
      </w:r>
      <w:r w:rsidRPr="00257C0C">
        <w:rPr>
          <w:rFonts w:ascii="Book Antiqua" w:eastAsia="Book Antiqua" w:hAnsi="Book Antiqua" w:cs="Book Antiqua"/>
          <w:color w:val="000000" w:themeColor="text1"/>
        </w:rPr>
        <w:t xml:space="preserve"> lesion according to the diagnostic criteria</w:t>
      </w:r>
      <w:r w:rsidR="000E2466" w:rsidRPr="00257C0C">
        <w:rPr>
          <w:rFonts w:ascii="Book Antiqua" w:eastAsia="Book Antiqua" w:hAnsi="Book Antiqua" w:cs="Book Antiqua"/>
          <w:color w:val="000000" w:themeColor="text1"/>
        </w:rPr>
        <w:t>; D:</w:t>
      </w:r>
      <w:r w:rsidRPr="00257C0C">
        <w:rPr>
          <w:rFonts w:ascii="Book Antiqua" w:eastAsia="Book Antiqua" w:hAnsi="Book Antiqua" w:cs="Book Antiqua"/>
          <w:color w:val="000000" w:themeColor="text1"/>
        </w:rPr>
        <w:t xml:space="preserve"> Intrahepatic cholangiocarcinoma and cirrhosis of the surrounding liver were confirmed by pathology (</w:t>
      </w:r>
      <w:r w:rsidR="006F389C" w:rsidRPr="00257C0C">
        <w:rPr>
          <w:rFonts w:ascii="Book Antiqua" w:eastAsia="Book Antiqua" w:hAnsi="Book Antiqua" w:cs="Book Antiqua"/>
          <w:color w:val="000000" w:themeColor="text1"/>
        </w:rPr>
        <w:t>h</w:t>
      </w:r>
      <w:r w:rsidRPr="00257C0C">
        <w:rPr>
          <w:rFonts w:ascii="Book Antiqua" w:eastAsia="Book Antiqua" w:hAnsi="Book Antiqua" w:cs="Book Antiqua"/>
          <w:color w:val="000000" w:themeColor="text1"/>
        </w:rPr>
        <w:t xml:space="preserve">ematoxylin and </w:t>
      </w:r>
      <w:r w:rsidR="006F389C" w:rsidRPr="00257C0C">
        <w:rPr>
          <w:rFonts w:ascii="Book Antiqua" w:eastAsia="Book Antiqua" w:hAnsi="Book Antiqua" w:cs="Book Antiqua"/>
          <w:color w:val="000000" w:themeColor="text1"/>
        </w:rPr>
        <w:t>e</w:t>
      </w:r>
      <w:r w:rsidRPr="00257C0C">
        <w:rPr>
          <w:rFonts w:ascii="Book Antiqua" w:eastAsia="Book Antiqua" w:hAnsi="Book Antiqua" w:cs="Book Antiqua"/>
          <w:color w:val="000000" w:themeColor="text1"/>
        </w:rPr>
        <w:t>osin staining; magnification, ×</w:t>
      </w:r>
      <w:r w:rsidR="000E2466" w:rsidRPr="00257C0C">
        <w:rPr>
          <w:rFonts w:ascii="Book Antiqua" w:eastAsia="Book Antiqua" w:hAnsi="Book Antiqua" w:cs="Book Antiqua"/>
          <w:color w:val="000000" w:themeColor="text1"/>
        </w:rPr>
        <w:t xml:space="preserve"> </w:t>
      </w:r>
      <w:r w:rsidRPr="00257C0C">
        <w:rPr>
          <w:rFonts w:ascii="Book Antiqua" w:eastAsia="Book Antiqua" w:hAnsi="Book Antiqua" w:cs="Book Antiqua"/>
          <w:color w:val="000000" w:themeColor="text1"/>
        </w:rPr>
        <w:t>100).</w:t>
      </w:r>
    </w:p>
    <w:p w14:paraId="222A2E5F" w14:textId="09F88331" w:rsidR="00A77B3E" w:rsidRPr="00257C0C" w:rsidRDefault="007F0117" w:rsidP="00257C0C">
      <w:pPr>
        <w:snapToGrid w:val="0"/>
        <w:spacing w:line="360" w:lineRule="auto"/>
        <w:jc w:val="both"/>
        <w:rPr>
          <w:rFonts w:ascii="Book Antiqua" w:eastAsia="Book Antiqua" w:hAnsi="Book Antiqua" w:cs="Book Antiqua"/>
          <w:color w:val="000000" w:themeColor="text1"/>
        </w:rPr>
      </w:pPr>
      <w:r w:rsidRPr="00257C0C">
        <w:rPr>
          <w:rFonts w:ascii="Book Antiqua" w:eastAsia="Book Antiqua" w:hAnsi="Book Antiqua" w:cs="Book Antiqua"/>
          <w:color w:val="000000" w:themeColor="text1"/>
        </w:rPr>
        <w:br w:type="page"/>
      </w:r>
      <w:r w:rsidRPr="00257C0C">
        <w:rPr>
          <w:rFonts w:ascii="Book Antiqua" w:hAnsi="Book Antiqua"/>
          <w:b/>
          <w:bCs/>
          <w:color w:val="000000" w:themeColor="text1"/>
          <w:lang w:eastAsia="zh-CN"/>
        </w:rPr>
        <w:t>Table 1 Baseline characteristics of the study patients with combined hepatocellular-cholangiocarcinoma, intrahepatic cholangiocarcinoma and hepatocellular carcinoma</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1559"/>
        <w:gridCol w:w="1559"/>
        <w:gridCol w:w="1586"/>
        <w:gridCol w:w="1538"/>
        <w:gridCol w:w="1538"/>
      </w:tblGrid>
      <w:tr w:rsidR="002C7E29" w:rsidRPr="002C7E29" w14:paraId="1E9BEAE7" w14:textId="77777777" w:rsidTr="007D5730">
        <w:trPr>
          <w:trHeight w:val="878"/>
        </w:trPr>
        <w:tc>
          <w:tcPr>
            <w:tcW w:w="1796" w:type="dxa"/>
            <w:tcBorders>
              <w:top w:val="single" w:sz="4" w:space="0" w:color="auto"/>
            </w:tcBorders>
            <w:shd w:val="clear" w:color="auto" w:fill="auto"/>
          </w:tcPr>
          <w:p w14:paraId="72C2D46D" w14:textId="77777777" w:rsidR="00922EEA" w:rsidRPr="00257C0C" w:rsidRDefault="00922EEA" w:rsidP="00257C0C">
            <w:pPr>
              <w:snapToGrid w:val="0"/>
              <w:spacing w:line="360" w:lineRule="auto"/>
              <w:jc w:val="both"/>
              <w:rPr>
                <w:rFonts w:ascii="Book Antiqua" w:hAnsi="Book Antiqua"/>
                <w:color w:val="000000" w:themeColor="text1"/>
                <w:lang w:eastAsia="zh-CN"/>
              </w:rPr>
            </w:pPr>
          </w:p>
        </w:tc>
        <w:tc>
          <w:tcPr>
            <w:tcW w:w="1559" w:type="dxa"/>
            <w:tcBorders>
              <w:top w:val="single" w:sz="4" w:space="0" w:color="auto"/>
            </w:tcBorders>
            <w:shd w:val="clear" w:color="auto" w:fill="auto"/>
          </w:tcPr>
          <w:p w14:paraId="375C3F20" w14:textId="2151E6EC" w:rsidR="00922EEA" w:rsidRPr="00257C0C" w:rsidRDefault="00922EEA"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rPr>
              <w:t>CHC</w:t>
            </w:r>
            <w:r w:rsidR="009E60B4">
              <w:rPr>
                <w:rFonts w:ascii="Book Antiqua" w:hAnsi="Book Antiqua"/>
                <w:b/>
                <w:bCs/>
                <w:color w:val="000000" w:themeColor="text1"/>
              </w:rPr>
              <w:t>,</w:t>
            </w:r>
            <w:r w:rsidRPr="00257C0C">
              <w:rPr>
                <w:rFonts w:ascii="Book Antiqua" w:hAnsi="Book Antiqua"/>
                <w:b/>
                <w:bCs/>
                <w:color w:val="000000" w:themeColor="text1"/>
              </w:rPr>
              <w:t xml:space="preserve"> </w:t>
            </w:r>
            <w:r w:rsidRPr="00257C0C">
              <w:rPr>
                <w:rFonts w:ascii="Book Antiqua" w:hAnsi="Book Antiqua"/>
                <w:b/>
                <w:bCs/>
                <w:i/>
                <w:iCs/>
                <w:color w:val="000000" w:themeColor="text1"/>
              </w:rPr>
              <w:t>n</w:t>
            </w:r>
            <w:r w:rsidRPr="00257C0C">
              <w:rPr>
                <w:rFonts w:ascii="Book Antiqua" w:hAnsi="Book Antiqua"/>
                <w:b/>
                <w:bCs/>
                <w:color w:val="000000" w:themeColor="text1"/>
              </w:rPr>
              <w:t xml:space="preserve"> = 35</w:t>
            </w:r>
          </w:p>
        </w:tc>
        <w:tc>
          <w:tcPr>
            <w:tcW w:w="3145" w:type="dxa"/>
            <w:gridSpan w:val="2"/>
            <w:tcBorders>
              <w:top w:val="single" w:sz="4" w:space="0" w:color="auto"/>
              <w:bottom w:val="single" w:sz="4" w:space="0" w:color="auto"/>
            </w:tcBorders>
            <w:shd w:val="clear" w:color="auto" w:fill="auto"/>
          </w:tcPr>
          <w:p w14:paraId="68EE8D42" w14:textId="77777777" w:rsidR="00922EEA" w:rsidRPr="00257C0C" w:rsidRDefault="00922EEA"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Non-CHC</w:t>
            </w:r>
          </w:p>
        </w:tc>
        <w:tc>
          <w:tcPr>
            <w:tcW w:w="1538" w:type="dxa"/>
            <w:tcBorders>
              <w:top w:val="single" w:sz="4" w:space="0" w:color="auto"/>
            </w:tcBorders>
            <w:shd w:val="clear" w:color="auto" w:fill="auto"/>
          </w:tcPr>
          <w:p w14:paraId="22AE06A1" w14:textId="77777777" w:rsidR="00922EEA" w:rsidRPr="00257C0C" w:rsidRDefault="00922EEA"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P1</w:t>
            </w:r>
          </w:p>
        </w:tc>
        <w:tc>
          <w:tcPr>
            <w:tcW w:w="1538" w:type="dxa"/>
            <w:tcBorders>
              <w:top w:val="single" w:sz="4" w:space="0" w:color="auto"/>
            </w:tcBorders>
            <w:shd w:val="clear" w:color="auto" w:fill="auto"/>
          </w:tcPr>
          <w:p w14:paraId="09410650" w14:textId="77777777" w:rsidR="00922EEA" w:rsidRPr="00257C0C" w:rsidRDefault="00922EEA"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P2</w:t>
            </w:r>
          </w:p>
        </w:tc>
      </w:tr>
      <w:tr w:rsidR="002C7E29" w:rsidRPr="002C7E29" w14:paraId="2C8B41C3" w14:textId="77777777" w:rsidTr="007D5730">
        <w:tc>
          <w:tcPr>
            <w:tcW w:w="1796" w:type="dxa"/>
            <w:tcBorders>
              <w:bottom w:val="single" w:sz="4" w:space="0" w:color="auto"/>
            </w:tcBorders>
            <w:shd w:val="clear" w:color="auto" w:fill="auto"/>
          </w:tcPr>
          <w:p w14:paraId="79B045DA" w14:textId="45B826AE" w:rsidR="00922EEA" w:rsidRPr="00257C0C" w:rsidRDefault="00922EEA" w:rsidP="00257C0C">
            <w:pPr>
              <w:snapToGrid w:val="0"/>
              <w:spacing w:line="360" w:lineRule="auto"/>
              <w:jc w:val="both"/>
              <w:rPr>
                <w:rFonts w:ascii="Book Antiqua" w:hAnsi="Book Antiqua"/>
                <w:color w:val="000000" w:themeColor="text1"/>
                <w:lang w:eastAsia="zh-CN"/>
              </w:rPr>
            </w:pPr>
          </w:p>
        </w:tc>
        <w:tc>
          <w:tcPr>
            <w:tcW w:w="1559" w:type="dxa"/>
            <w:tcBorders>
              <w:bottom w:val="single" w:sz="4" w:space="0" w:color="auto"/>
            </w:tcBorders>
            <w:shd w:val="clear" w:color="auto" w:fill="auto"/>
          </w:tcPr>
          <w:p w14:paraId="7A74B880" w14:textId="66F45044" w:rsidR="00922EEA" w:rsidRPr="00257C0C" w:rsidRDefault="00922EEA" w:rsidP="00257C0C">
            <w:pPr>
              <w:snapToGrid w:val="0"/>
              <w:spacing w:line="360" w:lineRule="auto"/>
              <w:jc w:val="both"/>
              <w:rPr>
                <w:rFonts w:ascii="Book Antiqua" w:hAnsi="Book Antiqua"/>
                <w:color w:val="000000" w:themeColor="text1"/>
                <w:lang w:eastAsia="zh-CN"/>
              </w:rPr>
            </w:pPr>
          </w:p>
        </w:tc>
        <w:tc>
          <w:tcPr>
            <w:tcW w:w="1559" w:type="dxa"/>
            <w:tcBorders>
              <w:top w:val="single" w:sz="4" w:space="0" w:color="auto"/>
              <w:bottom w:val="single" w:sz="4" w:space="0" w:color="auto"/>
            </w:tcBorders>
            <w:shd w:val="clear" w:color="auto" w:fill="auto"/>
          </w:tcPr>
          <w:p w14:paraId="6AD6ED86" w14:textId="5BBBE34B"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rPr>
              <w:t>ICC</w:t>
            </w:r>
            <w:r w:rsidR="009E60B4">
              <w:rPr>
                <w:rFonts w:ascii="Book Antiqua" w:hAnsi="Book Antiqua"/>
                <w:b/>
                <w:bCs/>
                <w:color w:val="000000" w:themeColor="text1"/>
              </w:rPr>
              <w:t>,</w:t>
            </w:r>
            <w:r w:rsidRPr="00257C0C">
              <w:rPr>
                <w:rFonts w:ascii="Book Antiqua" w:hAnsi="Book Antiqua"/>
                <w:b/>
                <w:bCs/>
                <w:color w:val="000000" w:themeColor="text1"/>
              </w:rPr>
              <w:t xml:space="preserve"> </w:t>
            </w:r>
            <w:r w:rsidRPr="00257C0C">
              <w:rPr>
                <w:rFonts w:ascii="Book Antiqua" w:hAnsi="Book Antiqua"/>
                <w:b/>
                <w:bCs/>
                <w:i/>
                <w:iCs/>
                <w:color w:val="000000" w:themeColor="text1"/>
              </w:rPr>
              <w:t>n</w:t>
            </w:r>
            <w:r w:rsidRPr="00257C0C">
              <w:rPr>
                <w:rFonts w:ascii="Book Antiqua" w:hAnsi="Book Antiqua"/>
                <w:b/>
                <w:bCs/>
                <w:color w:val="000000" w:themeColor="text1"/>
              </w:rPr>
              <w:t xml:space="preserve"> = 29</w:t>
            </w:r>
          </w:p>
        </w:tc>
        <w:tc>
          <w:tcPr>
            <w:tcW w:w="1586" w:type="dxa"/>
            <w:tcBorders>
              <w:top w:val="single" w:sz="4" w:space="0" w:color="auto"/>
              <w:bottom w:val="single" w:sz="4" w:space="0" w:color="auto"/>
            </w:tcBorders>
            <w:shd w:val="clear" w:color="auto" w:fill="auto"/>
          </w:tcPr>
          <w:p w14:paraId="52632497" w14:textId="1FF7D7EF"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HCC</w:t>
            </w:r>
            <w:r w:rsidR="009E60B4">
              <w:rPr>
                <w:rFonts w:ascii="Book Antiqua" w:hAnsi="Book Antiqua"/>
                <w:b/>
                <w:bCs/>
                <w:color w:val="000000" w:themeColor="text1"/>
                <w:lang w:eastAsia="zh-CN"/>
              </w:rPr>
              <w:t>,</w:t>
            </w:r>
            <w:r w:rsidRPr="00257C0C">
              <w:rPr>
                <w:rFonts w:ascii="Book Antiqua" w:hAnsi="Book Antiqua"/>
                <w:b/>
                <w:bCs/>
                <w:color w:val="000000" w:themeColor="text1"/>
                <w:lang w:eastAsia="zh-CN"/>
              </w:rPr>
              <w:t xml:space="preserve"> </w:t>
            </w:r>
            <w:r w:rsidRPr="00257C0C">
              <w:rPr>
                <w:rFonts w:ascii="Book Antiqua" w:hAnsi="Book Antiqua"/>
                <w:b/>
                <w:bCs/>
                <w:i/>
                <w:iCs/>
                <w:color w:val="000000" w:themeColor="text1"/>
                <w:lang w:eastAsia="zh-CN"/>
              </w:rPr>
              <w:t>n</w:t>
            </w:r>
            <w:r w:rsidRPr="00257C0C">
              <w:rPr>
                <w:rFonts w:ascii="Book Antiqua" w:hAnsi="Book Antiqua"/>
                <w:b/>
                <w:bCs/>
                <w:color w:val="000000" w:themeColor="text1"/>
                <w:lang w:eastAsia="zh-CN"/>
              </w:rPr>
              <w:t xml:space="preserve"> = 70</w:t>
            </w:r>
          </w:p>
        </w:tc>
        <w:tc>
          <w:tcPr>
            <w:tcW w:w="1538" w:type="dxa"/>
            <w:tcBorders>
              <w:bottom w:val="single" w:sz="4" w:space="0" w:color="auto"/>
            </w:tcBorders>
            <w:shd w:val="clear" w:color="auto" w:fill="auto"/>
          </w:tcPr>
          <w:p w14:paraId="407F98E3" w14:textId="47A6FB51" w:rsidR="00922EEA" w:rsidRPr="00257C0C" w:rsidRDefault="00922EEA" w:rsidP="00257C0C">
            <w:pPr>
              <w:snapToGrid w:val="0"/>
              <w:spacing w:line="360" w:lineRule="auto"/>
              <w:jc w:val="both"/>
              <w:rPr>
                <w:rFonts w:ascii="Book Antiqua" w:hAnsi="Book Antiqua"/>
                <w:color w:val="000000" w:themeColor="text1"/>
                <w:lang w:eastAsia="zh-CN"/>
              </w:rPr>
            </w:pPr>
          </w:p>
        </w:tc>
        <w:tc>
          <w:tcPr>
            <w:tcW w:w="1538" w:type="dxa"/>
            <w:tcBorders>
              <w:bottom w:val="single" w:sz="4" w:space="0" w:color="auto"/>
            </w:tcBorders>
            <w:shd w:val="clear" w:color="auto" w:fill="auto"/>
          </w:tcPr>
          <w:p w14:paraId="7A1902BF" w14:textId="62934ABC" w:rsidR="00922EEA" w:rsidRPr="00257C0C" w:rsidRDefault="00922EEA" w:rsidP="00257C0C">
            <w:pPr>
              <w:snapToGrid w:val="0"/>
              <w:spacing w:line="360" w:lineRule="auto"/>
              <w:jc w:val="both"/>
              <w:rPr>
                <w:rFonts w:ascii="Book Antiqua" w:hAnsi="Book Antiqua"/>
                <w:color w:val="000000" w:themeColor="text1"/>
                <w:lang w:eastAsia="zh-CN"/>
              </w:rPr>
            </w:pPr>
          </w:p>
        </w:tc>
      </w:tr>
      <w:tr w:rsidR="002C7E29" w:rsidRPr="002C7E29" w14:paraId="67D378BC" w14:textId="77777777" w:rsidTr="007D5730">
        <w:tc>
          <w:tcPr>
            <w:tcW w:w="1796" w:type="dxa"/>
            <w:tcBorders>
              <w:top w:val="single" w:sz="4" w:space="0" w:color="auto"/>
            </w:tcBorders>
            <w:shd w:val="clear" w:color="auto" w:fill="auto"/>
          </w:tcPr>
          <w:p w14:paraId="4922E79B" w14:textId="2EB3DB5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 xml:space="preserve">Tumor size </w:t>
            </w:r>
            <w:r w:rsidR="009E60B4">
              <w:rPr>
                <w:rFonts w:ascii="Book Antiqua" w:hAnsi="Book Antiqua"/>
                <w:color w:val="000000" w:themeColor="text1"/>
                <w:lang w:eastAsia="zh-CN"/>
              </w:rPr>
              <w:t xml:space="preserve">in </w:t>
            </w:r>
            <w:r w:rsidRPr="00257C0C">
              <w:rPr>
                <w:rFonts w:ascii="Book Antiqua" w:hAnsi="Book Antiqua"/>
                <w:color w:val="000000" w:themeColor="text1"/>
                <w:lang w:eastAsia="zh-CN"/>
              </w:rPr>
              <w:t>cm</w:t>
            </w:r>
          </w:p>
        </w:tc>
        <w:tc>
          <w:tcPr>
            <w:tcW w:w="1559" w:type="dxa"/>
            <w:tcBorders>
              <w:top w:val="single" w:sz="4" w:space="0" w:color="auto"/>
            </w:tcBorders>
            <w:shd w:val="clear" w:color="auto" w:fill="auto"/>
          </w:tcPr>
          <w:p w14:paraId="5B1C06B7" w14:textId="34C3B41A"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5.6 ± 3.7</w:t>
            </w:r>
          </w:p>
        </w:tc>
        <w:tc>
          <w:tcPr>
            <w:tcW w:w="1559" w:type="dxa"/>
            <w:tcBorders>
              <w:top w:val="single" w:sz="4" w:space="0" w:color="auto"/>
            </w:tcBorders>
            <w:shd w:val="clear" w:color="auto" w:fill="auto"/>
          </w:tcPr>
          <w:p w14:paraId="5D3A796A" w14:textId="226115B4"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6.9 ± 3.3</w:t>
            </w:r>
          </w:p>
        </w:tc>
        <w:tc>
          <w:tcPr>
            <w:tcW w:w="1586" w:type="dxa"/>
            <w:tcBorders>
              <w:top w:val="single" w:sz="4" w:space="0" w:color="auto"/>
            </w:tcBorders>
            <w:shd w:val="clear" w:color="auto" w:fill="auto"/>
          </w:tcPr>
          <w:p w14:paraId="2750B6AB" w14:textId="325B6980"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5.1 ± 3.1</w:t>
            </w:r>
          </w:p>
        </w:tc>
        <w:tc>
          <w:tcPr>
            <w:tcW w:w="1538" w:type="dxa"/>
            <w:tcBorders>
              <w:top w:val="single" w:sz="4" w:space="0" w:color="auto"/>
            </w:tcBorders>
            <w:shd w:val="clear" w:color="auto" w:fill="auto"/>
          </w:tcPr>
          <w:p w14:paraId="5E7C8BD2" w14:textId="30E6CD05"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0.158</w:t>
            </w:r>
          </w:p>
        </w:tc>
        <w:tc>
          <w:tcPr>
            <w:tcW w:w="1538" w:type="dxa"/>
            <w:tcBorders>
              <w:top w:val="single" w:sz="4" w:space="0" w:color="auto"/>
            </w:tcBorders>
            <w:shd w:val="clear" w:color="auto" w:fill="auto"/>
          </w:tcPr>
          <w:p w14:paraId="6B0CDEFD" w14:textId="215407CB"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0.432</w:t>
            </w:r>
          </w:p>
        </w:tc>
      </w:tr>
      <w:tr w:rsidR="002C7E29" w:rsidRPr="002C7E29" w14:paraId="3D722258" w14:textId="77777777" w:rsidTr="007D5730">
        <w:tc>
          <w:tcPr>
            <w:tcW w:w="1796" w:type="dxa"/>
            <w:shd w:val="clear" w:color="auto" w:fill="auto"/>
          </w:tcPr>
          <w:p w14:paraId="7566B0BA" w14:textId="222C1E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Age</w:t>
            </w:r>
            <w:r w:rsidR="009E60B4">
              <w:rPr>
                <w:rFonts w:ascii="Book Antiqua" w:hAnsi="Book Antiqua"/>
                <w:color w:val="000000" w:themeColor="text1"/>
              </w:rPr>
              <w:t xml:space="preserve"> in </w:t>
            </w:r>
            <w:r w:rsidRPr="00257C0C">
              <w:rPr>
                <w:rFonts w:ascii="Book Antiqua" w:hAnsi="Book Antiqua"/>
                <w:color w:val="000000" w:themeColor="text1"/>
              </w:rPr>
              <w:t>yr</w:t>
            </w:r>
          </w:p>
        </w:tc>
        <w:tc>
          <w:tcPr>
            <w:tcW w:w="1559" w:type="dxa"/>
            <w:shd w:val="clear" w:color="auto" w:fill="auto"/>
          </w:tcPr>
          <w:p w14:paraId="7F96B612" w14:textId="151A5591"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49.3 ± 9.5</w:t>
            </w:r>
          </w:p>
        </w:tc>
        <w:tc>
          <w:tcPr>
            <w:tcW w:w="1559" w:type="dxa"/>
            <w:shd w:val="clear" w:color="auto" w:fill="auto"/>
          </w:tcPr>
          <w:p w14:paraId="53D3BCF6" w14:textId="7FAFA456"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55.0 ± 9.3</w:t>
            </w:r>
          </w:p>
        </w:tc>
        <w:tc>
          <w:tcPr>
            <w:tcW w:w="1586" w:type="dxa"/>
            <w:shd w:val="clear" w:color="auto" w:fill="auto"/>
          </w:tcPr>
          <w:p w14:paraId="7D04FCE9" w14:textId="157513AE"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50.5 ± 9.2</w:t>
            </w:r>
          </w:p>
        </w:tc>
        <w:tc>
          <w:tcPr>
            <w:tcW w:w="1538" w:type="dxa"/>
            <w:shd w:val="clear" w:color="auto" w:fill="auto"/>
          </w:tcPr>
          <w:p w14:paraId="436764CA"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0.018</w:t>
            </w:r>
          </w:p>
        </w:tc>
        <w:tc>
          <w:tcPr>
            <w:tcW w:w="1538" w:type="dxa"/>
            <w:shd w:val="clear" w:color="auto" w:fill="auto"/>
          </w:tcPr>
          <w:p w14:paraId="709273D2"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0.555</w:t>
            </w:r>
          </w:p>
        </w:tc>
      </w:tr>
      <w:tr w:rsidR="002C7E29" w:rsidRPr="002C7E29" w14:paraId="7A3F01F6" w14:textId="77777777" w:rsidTr="007D5730">
        <w:tc>
          <w:tcPr>
            <w:tcW w:w="1796" w:type="dxa"/>
            <w:shd w:val="clear" w:color="auto" w:fill="auto"/>
          </w:tcPr>
          <w:p w14:paraId="5E9C68E7" w14:textId="2909852F"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Numbers of male</w:t>
            </w:r>
          </w:p>
        </w:tc>
        <w:tc>
          <w:tcPr>
            <w:tcW w:w="1559" w:type="dxa"/>
            <w:shd w:val="clear" w:color="auto" w:fill="auto"/>
          </w:tcPr>
          <w:p w14:paraId="31714514"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31 (88.6)</w:t>
            </w:r>
          </w:p>
        </w:tc>
        <w:tc>
          <w:tcPr>
            <w:tcW w:w="1559" w:type="dxa"/>
            <w:shd w:val="clear" w:color="auto" w:fill="auto"/>
          </w:tcPr>
          <w:p w14:paraId="6173DDF7"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24 (82.8)</w:t>
            </w:r>
          </w:p>
        </w:tc>
        <w:tc>
          <w:tcPr>
            <w:tcW w:w="1586" w:type="dxa"/>
            <w:shd w:val="clear" w:color="auto" w:fill="auto"/>
          </w:tcPr>
          <w:p w14:paraId="3517346F"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46 (76.7)</w:t>
            </w:r>
          </w:p>
        </w:tc>
        <w:tc>
          <w:tcPr>
            <w:tcW w:w="1538" w:type="dxa"/>
            <w:shd w:val="clear" w:color="auto" w:fill="auto"/>
          </w:tcPr>
          <w:p w14:paraId="564348C9"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0.720</w:t>
            </w:r>
          </w:p>
        </w:tc>
        <w:tc>
          <w:tcPr>
            <w:tcW w:w="1538" w:type="dxa"/>
            <w:shd w:val="clear" w:color="auto" w:fill="auto"/>
          </w:tcPr>
          <w:p w14:paraId="6E4C2547" w14:textId="77777777" w:rsidR="00922EEA" w:rsidRPr="00257C0C" w:rsidRDefault="00922EEA" w:rsidP="00257C0C">
            <w:pPr>
              <w:snapToGrid w:val="0"/>
              <w:spacing w:line="360" w:lineRule="auto"/>
              <w:jc w:val="both"/>
              <w:rPr>
                <w:rFonts w:ascii="Book Antiqua" w:hAnsi="Book Antiqua"/>
                <w:color w:val="000000" w:themeColor="text1"/>
                <w:lang w:eastAsia="zh-CN"/>
              </w:rPr>
            </w:pPr>
          </w:p>
        </w:tc>
      </w:tr>
      <w:tr w:rsidR="002C7E29" w:rsidRPr="002C7E29" w14:paraId="674B71CE" w14:textId="77777777" w:rsidTr="007D5730">
        <w:tc>
          <w:tcPr>
            <w:tcW w:w="1796" w:type="dxa"/>
            <w:shd w:val="clear" w:color="auto" w:fill="auto"/>
          </w:tcPr>
          <w:p w14:paraId="5E3B2D3B"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HBV (+)</w:t>
            </w:r>
          </w:p>
        </w:tc>
        <w:tc>
          <w:tcPr>
            <w:tcW w:w="1559" w:type="dxa"/>
            <w:shd w:val="clear" w:color="auto" w:fill="auto"/>
          </w:tcPr>
          <w:p w14:paraId="1F431BCF"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30 (85.7)</w:t>
            </w:r>
          </w:p>
        </w:tc>
        <w:tc>
          <w:tcPr>
            <w:tcW w:w="1559" w:type="dxa"/>
            <w:shd w:val="clear" w:color="auto" w:fill="auto"/>
          </w:tcPr>
          <w:p w14:paraId="6C8E92D6"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21 (72.4)</w:t>
            </w:r>
          </w:p>
        </w:tc>
        <w:tc>
          <w:tcPr>
            <w:tcW w:w="1586" w:type="dxa"/>
            <w:shd w:val="clear" w:color="auto" w:fill="auto"/>
          </w:tcPr>
          <w:p w14:paraId="34A41640"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62 (88.6)</w:t>
            </w:r>
          </w:p>
        </w:tc>
        <w:tc>
          <w:tcPr>
            <w:tcW w:w="1538" w:type="dxa"/>
            <w:shd w:val="clear" w:color="auto" w:fill="auto"/>
          </w:tcPr>
          <w:p w14:paraId="15F66E7E"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0.224</w:t>
            </w:r>
          </w:p>
        </w:tc>
        <w:tc>
          <w:tcPr>
            <w:tcW w:w="1538" w:type="dxa"/>
            <w:shd w:val="clear" w:color="auto" w:fill="auto"/>
          </w:tcPr>
          <w:p w14:paraId="29F99810"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0.756</w:t>
            </w:r>
          </w:p>
        </w:tc>
      </w:tr>
      <w:tr w:rsidR="002C7E29" w:rsidRPr="002C7E29" w14:paraId="50C6D71A" w14:textId="77777777" w:rsidTr="007D5730">
        <w:tc>
          <w:tcPr>
            <w:tcW w:w="1796" w:type="dxa"/>
            <w:shd w:val="clear" w:color="auto" w:fill="auto"/>
          </w:tcPr>
          <w:p w14:paraId="5459DD6D"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HCV (+)</w:t>
            </w:r>
          </w:p>
        </w:tc>
        <w:tc>
          <w:tcPr>
            <w:tcW w:w="1559" w:type="dxa"/>
            <w:shd w:val="clear" w:color="auto" w:fill="auto"/>
          </w:tcPr>
          <w:p w14:paraId="16908687"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 (8.6)</w:t>
            </w:r>
          </w:p>
        </w:tc>
        <w:tc>
          <w:tcPr>
            <w:tcW w:w="1559" w:type="dxa"/>
            <w:shd w:val="clear" w:color="auto" w:fill="auto"/>
          </w:tcPr>
          <w:p w14:paraId="41859A0C"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 (10.3)</w:t>
            </w:r>
          </w:p>
        </w:tc>
        <w:tc>
          <w:tcPr>
            <w:tcW w:w="1586" w:type="dxa"/>
            <w:shd w:val="clear" w:color="auto" w:fill="auto"/>
          </w:tcPr>
          <w:p w14:paraId="3D739042"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 (0.0)</w:t>
            </w:r>
          </w:p>
        </w:tc>
        <w:tc>
          <w:tcPr>
            <w:tcW w:w="1538" w:type="dxa"/>
            <w:shd w:val="clear" w:color="auto" w:fill="auto"/>
          </w:tcPr>
          <w:p w14:paraId="1571FBE9"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1.000</w:t>
            </w:r>
          </w:p>
        </w:tc>
        <w:tc>
          <w:tcPr>
            <w:tcW w:w="1538" w:type="dxa"/>
            <w:shd w:val="clear" w:color="auto" w:fill="auto"/>
          </w:tcPr>
          <w:p w14:paraId="50D9DB81"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0.035</w:t>
            </w:r>
          </w:p>
        </w:tc>
      </w:tr>
      <w:tr w:rsidR="002C7E29" w:rsidRPr="002C7E29" w14:paraId="628A461A" w14:textId="77777777" w:rsidTr="007D5730">
        <w:tc>
          <w:tcPr>
            <w:tcW w:w="1796" w:type="dxa"/>
            <w:shd w:val="clear" w:color="auto" w:fill="auto"/>
          </w:tcPr>
          <w:p w14:paraId="7736E838" w14:textId="77777777" w:rsidR="00922EEA" w:rsidRPr="00257C0C" w:rsidRDefault="00922EEA"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t xml:space="preserve">Liver cirrhosis </w:t>
            </w:r>
          </w:p>
        </w:tc>
        <w:tc>
          <w:tcPr>
            <w:tcW w:w="1559" w:type="dxa"/>
            <w:shd w:val="clear" w:color="auto" w:fill="auto"/>
          </w:tcPr>
          <w:p w14:paraId="10779C24"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23 (65.7)</w:t>
            </w:r>
          </w:p>
        </w:tc>
        <w:tc>
          <w:tcPr>
            <w:tcW w:w="1559" w:type="dxa"/>
            <w:shd w:val="clear" w:color="auto" w:fill="auto"/>
          </w:tcPr>
          <w:p w14:paraId="57ADC4DA"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12 (41.4)</w:t>
            </w:r>
          </w:p>
        </w:tc>
        <w:tc>
          <w:tcPr>
            <w:tcW w:w="1586" w:type="dxa"/>
            <w:shd w:val="clear" w:color="auto" w:fill="auto"/>
          </w:tcPr>
          <w:p w14:paraId="4065CCBE"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42 (60.0)</w:t>
            </w:r>
          </w:p>
        </w:tc>
        <w:tc>
          <w:tcPr>
            <w:tcW w:w="1538" w:type="dxa"/>
            <w:shd w:val="clear" w:color="auto" w:fill="auto"/>
          </w:tcPr>
          <w:p w14:paraId="1C6C5DEE"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0.077</w:t>
            </w:r>
          </w:p>
        </w:tc>
        <w:tc>
          <w:tcPr>
            <w:tcW w:w="1538" w:type="dxa"/>
            <w:shd w:val="clear" w:color="auto" w:fill="auto"/>
          </w:tcPr>
          <w:p w14:paraId="045C4330"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0.671</w:t>
            </w:r>
          </w:p>
        </w:tc>
      </w:tr>
      <w:tr w:rsidR="002C7E29" w:rsidRPr="002C7E29" w14:paraId="6DB90282" w14:textId="77777777" w:rsidTr="007D5730">
        <w:tc>
          <w:tcPr>
            <w:tcW w:w="1796" w:type="dxa"/>
            <w:shd w:val="clear" w:color="auto" w:fill="auto"/>
          </w:tcPr>
          <w:p w14:paraId="6DB04017" w14:textId="7FBEE25B" w:rsidR="00922EEA" w:rsidRPr="00257C0C" w:rsidRDefault="00922EEA"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t>AFP</w:t>
            </w:r>
            <w:r w:rsidR="009E60B4">
              <w:rPr>
                <w:rFonts w:ascii="Book Antiqua" w:hAnsi="Book Antiqua"/>
                <w:color w:val="000000" w:themeColor="text1"/>
              </w:rPr>
              <w:t>,</w:t>
            </w:r>
            <w:r w:rsidRPr="00257C0C">
              <w:rPr>
                <w:rFonts w:ascii="Book Antiqua" w:hAnsi="Book Antiqua"/>
                <w:color w:val="000000" w:themeColor="text1"/>
              </w:rPr>
              <w:t xml:space="preserve"> </w:t>
            </w:r>
            <w:bookmarkStart w:id="1" w:name="_Hlk33650050"/>
            <w:r w:rsidRPr="00257C0C">
              <w:rPr>
                <w:rFonts w:ascii="Book Antiqua" w:hAnsi="Book Antiqua"/>
                <w:color w:val="000000" w:themeColor="text1"/>
                <w:lang w:eastAsia="zh-CN"/>
              </w:rPr>
              <w:t xml:space="preserve">&gt; </w:t>
            </w:r>
            <w:r w:rsidRPr="00257C0C">
              <w:rPr>
                <w:rFonts w:ascii="Book Antiqua" w:hAnsi="Book Antiqua"/>
                <w:color w:val="000000" w:themeColor="text1"/>
              </w:rPr>
              <w:t>20 ng/m</w:t>
            </w:r>
            <w:bookmarkEnd w:id="1"/>
            <w:r w:rsidRPr="00257C0C">
              <w:rPr>
                <w:rFonts w:ascii="Book Antiqua" w:hAnsi="Book Antiqua"/>
                <w:color w:val="000000" w:themeColor="text1"/>
              </w:rPr>
              <w:t>L</w:t>
            </w:r>
          </w:p>
        </w:tc>
        <w:tc>
          <w:tcPr>
            <w:tcW w:w="1559" w:type="dxa"/>
            <w:shd w:val="clear" w:color="auto" w:fill="auto"/>
          </w:tcPr>
          <w:p w14:paraId="1D979ABC"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18 (51.4)</w:t>
            </w:r>
          </w:p>
        </w:tc>
        <w:tc>
          <w:tcPr>
            <w:tcW w:w="1559" w:type="dxa"/>
            <w:shd w:val="clear" w:color="auto" w:fill="auto"/>
          </w:tcPr>
          <w:p w14:paraId="5C17D2D2"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 (10.3)</w:t>
            </w:r>
          </w:p>
        </w:tc>
        <w:tc>
          <w:tcPr>
            <w:tcW w:w="1586" w:type="dxa"/>
            <w:shd w:val="clear" w:color="auto" w:fill="auto"/>
          </w:tcPr>
          <w:p w14:paraId="18FFA8CB"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41 (58.6)</w:t>
            </w:r>
          </w:p>
        </w:tc>
        <w:tc>
          <w:tcPr>
            <w:tcW w:w="1538" w:type="dxa"/>
            <w:shd w:val="clear" w:color="auto" w:fill="auto"/>
          </w:tcPr>
          <w:p w14:paraId="22FB39CE"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0.001</w:t>
            </w:r>
          </w:p>
        </w:tc>
        <w:tc>
          <w:tcPr>
            <w:tcW w:w="1538" w:type="dxa"/>
            <w:shd w:val="clear" w:color="auto" w:fill="auto"/>
          </w:tcPr>
          <w:p w14:paraId="1AE5674F"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0.535</w:t>
            </w:r>
          </w:p>
        </w:tc>
      </w:tr>
      <w:tr w:rsidR="002C7E29" w:rsidRPr="002C7E29" w14:paraId="4D59148F" w14:textId="77777777" w:rsidTr="001D03BD">
        <w:tc>
          <w:tcPr>
            <w:tcW w:w="1796" w:type="dxa"/>
            <w:shd w:val="clear" w:color="auto" w:fill="auto"/>
          </w:tcPr>
          <w:p w14:paraId="6DA239FF" w14:textId="38BDA78F"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CA19-9</w:t>
            </w:r>
            <w:bookmarkStart w:id="2" w:name="_Hlk33650326"/>
            <w:r w:rsidR="009E60B4">
              <w:rPr>
                <w:rFonts w:ascii="Book Antiqua" w:hAnsi="Book Antiqua"/>
                <w:color w:val="000000" w:themeColor="text1"/>
              </w:rPr>
              <w:t>,</w:t>
            </w:r>
            <w:r w:rsidRPr="00257C0C">
              <w:rPr>
                <w:rFonts w:ascii="Book Antiqua" w:hAnsi="Book Antiqua"/>
                <w:color w:val="000000" w:themeColor="text1"/>
              </w:rPr>
              <w:t xml:space="preserve"> &gt; 100 U/m</w:t>
            </w:r>
            <w:bookmarkEnd w:id="2"/>
            <w:r w:rsidRPr="00257C0C">
              <w:rPr>
                <w:rFonts w:ascii="Book Antiqua" w:hAnsi="Book Antiqua"/>
                <w:color w:val="000000" w:themeColor="text1"/>
              </w:rPr>
              <w:t>L</w:t>
            </w:r>
          </w:p>
        </w:tc>
        <w:tc>
          <w:tcPr>
            <w:tcW w:w="1559" w:type="dxa"/>
            <w:shd w:val="clear" w:color="auto" w:fill="auto"/>
          </w:tcPr>
          <w:p w14:paraId="0397E6BF"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 (11.4)</w:t>
            </w:r>
          </w:p>
        </w:tc>
        <w:tc>
          <w:tcPr>
            <w:tcW w:w="1559" w:type="dxa"/>
            <w:shd w:val="clear" w:color="auto" w:fill="auto"/>
          </w:tcPr>
          <w:p w14:paraId="757BF1A5"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 (31.0)</w:t>
            </w:r>
          </w:p>
        </w:tc>
        <w:tc>
          <w:tcPr>
            <w:tcW w:w="1586" w:type="dxa"/>
            <w:shd w:val="clear" w:color="auto" w:fill="auto"/>
          </w:tcPr>
          <w:p w14:paraId="2EF232FD"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 (1.4)</w:t>
            </w:r>
          </w:p>
        </w:tc>
        <w:tc>
          <w:tcPr>
            <w:tcW w:w="1538" w:type="dxa"/>
            <w:shd w:val="clear" w:color="auto" w:fill="auto"/>
          </w:tcPr>
          <w:p w14:paraId="1C9AEB0E"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0.066</w:t>
            </w:r>
          </w:p>
        </w:tc>
        <w:tc>
          <w:tcPr>
            <w:tcW w:w="1538" w:type="dxa"/>
            <w:shd w:val="clear" w:color="auto" w:fill="auto"/>
          </w:tcPr>
          <w:p w14:paraId="7E383513"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0.041</w:t>
            </w:r>
          </w:p>
        </w:tc>
      </w:tr>
      <w:tr w:rsidR="002C7E29" w:rsidRPr="002C7E29" w14:paraId="5DA6BAAB" w14:textId="77777777" w:rsidTr="001D03BD">
        <w:tc>
          <w:tcPr>
            <w:tcW w:w="1796" w:type="dxa"/>
            <w:tcBorders>
              <w:bottom w:val="single" w:sz="4" w:space="0" w:color="auto"/>
            </w:tcBorders>
            <w:shd w:val="clear" w:color="auto" w:fill="auto"/>
          </w:tcPr>
          <w:p w14:paraId="6D76991F"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AC</w:t>
            </w:r>
          </w:p>
        </w:tc>
        <w:tc>
          <w:tcPr>
            <w:tcW w:w="1559" w:type="dxa"/>
            <w:tcBorders>
              <w:bottom w:val="single" w:sz="4" w:space="0" w:color="auto"/>
            </w:tcBorders>
            <w:shd w:val="clear" w:color="auto" w:fill="auto"/>
          </w:tcPr>
          <w:p w14:paraId="79DD3F08"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 (8.6)</w:t>
            </w:r>
          </w:p>
        </w:tc>
        <w:tc>
          <w:tcPr>
            <w:tcW w:w="1559" w:type="dxa"/>
            <w:tcBorders>
              <w:bottom w:val="single" w:sz="4" w:space="0" w:color="auto"/>
            </w:tcBorders>
            <w:shd w:val="clear" w:color="auto" w:fill="auto"/>
          </w:tcPr>
          <w:p w14:paraId="37C81104"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 (3.4)</w:t>
            </w:r>
          </w:p>
        </w:tc>
        <w:tc>
          <w:tcPr>
            <w:tcW w:w="1586" w:type="dxa"/>
            <w:tcBorders>
              <w:bottom w:val="single" w:sz="4" w:space="0" w:color="auto"/>
            </w:tcBorders>
            <w:shd w:val="clear" w:color="auto" w:fill="auto"/>
          </w:tcPr>
          <w:p w14:paraId="11418AB7"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 (1.4)</w:t>
            </w:r>
          </w:p>
        </w:tc>
        <w:tc>
          <w:tcPr>
            <w:tcW w:w="1538" w:type="dxa"/>
            <w:tcBorders>
              <w:bottom w:val="single" w:sz="4" w:space="0" w:color="auto"/>
            </w:tcBorders>
            <w:shd w:val="clear" w:color="auto" w:fill="auto"/>
          </w:tcPr>
          <w:p w14:paraId="1A73542B"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0.620</w:t>
            </w:r>
          </w:p>
        </w:tc>
        <w:tc>
          <w:tcPr>
            <w:tcW w:w="1538" w:type="dxa"/>
            <w:tcBorders>
              <w:bottom w:val="single" w:sz="4" w:space="0" w:color="auto"/>
            </w:tcBorders>
            <w:shd w:val="clear" w:color="auto" w:fill="auto"/>
          </w:tcPr>
          <w:p w14:paraId="5570A640" w14:textId="77777777" w:rsidR="00922EEA" w:rsidRPr="00257C0C" w:rsidRDefault="00922EEA"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0.107</w:t>
            </w:r>
          </w:p>
        </w:tc>
      </w:tr>
    </w:tbl>
    <w:p w14:paraId="78BCDA5D" w14:textId="4AE316AF" w:rsidR="007D5730" w:rsidRPr="00257C0C" w:rsidRDefault="00BD3FBF" w:rsidP="00257C0C">
      <w:pPr>
        <w:snapToGrid w:val="0"/>
        <w:spacing w:line="360" w:lineRule="auto"/>
        <w:jc w:val="both"/>
        <w:rPr>
          <w:rFonts w:ascii="Book Antiqua" w:hAnsi="Book Antiqua"/>
          <w:color w:val="000000" w:themeColor="text1"/>
        </w:rPr>
      </w:pPr>
      <w:r w:rsidRPr="00257C0C">
        <w:rPr>
          <w:rStyle w:val="fontstyle21"/>
          <w:rFonts w:ascii="Book Antiqua" w:hAnsi="Book Antiqua"/>
          <w:color w:val="000000" w:themeColor="text1"/>
          <w:sz w:val="24"/>
          <w:szCs w:val="24"/>
        </w:rPr>
        <w:t xml:space="preserve">Data are numbers of lesions, with percentages in parentheses or mean ± </w:t>
      </w:r>
      <w:r w:rsidR="005B07F4" w:rsidRPr="00257C0C">
        <w:rPr>
          <w:rStyle w:val="fontstyle21"/>
          <w:rFonts w:ascii="Book Antiqua" w:hAnsi="Book Antiqua"/>
          <w:color w:val="000000" w:themeColor="text1"/>
          <w:sz w:val="24"/>
          <w:szCs w:val="24"/>
          <w:lang w:eastAsia="zh-CN"/>
        </w:rPr>
        <w:t>SD</w:t>
      </w:r>
      <w:r w:rsidRPr="00257C0C">
        <w:rPr>
          <w:rStyle w:val="fontstyle21"/>
          <w:rFonts w:ascii="Book Antiqua" w:hAnsi="Book Antiqua"/>
          <w:color w:val="000000" w:themeColor="text1"/>
          <w:sz w:val="24"/>
          <w:szCs w:val="24"/>
          <w:lang w:eastAsia="zh-CN"/>
        </w:rPr>
        <w:t xml:space="preserve">. </w:t>
      </w:r>
      <w:r w:rsidR="00922EEA" w:rsidRPr="00257C0C">
        <w:rPr>
          <w:rStyle w:val="fontstyle01"/>
          <w:rFonts w:ascii="Book Antiqua" w:hAnsi="Book Antiqua"/>
          <w:color w:val="000000" w:themeColor="text1"/>
          <w:sz w:val="24"/>
          <w:szCs w:val="24"/>
        </w:rPr>
        <w:t xml:space="preserve">P1 </w:t>
      </w:r>
      <w:r w:rsidR="00922EEA" w:rsidRPr="00257C0C">
        <w:rPr>
          <w:rStyle w:val="fontstyle21"/>
          <w:rFonts w:ascii="Book Antiqua" w:hAnsi="Book Antiqua"/>
          <w:color w:val="000000" w:themeColor="text1"/>
          <w:sz w:val="24"/>
          <w:szCs w:val="24"/>
        </w:rPr>
        <w:t xml:space="preserve">statistical difference between </w:t>
      </w:r>
      <w:r w:rsidR="00922EEA" w:rsidRPr="00257C0C">
        <w:rPr>
          <w:rFonts w:ascii="Book Antiqua" w:hAnsi="Book Antiqua"/>
          <w:color w:val="000000" w:themeColor="text1"/>
        </w:rPr>
        <w:t>combined hepatocellular-cholangiocarcinoma</w:t>
      </w:r>
      <w:r w:rsidR="00922EEA" w:rsidRPr="00257C0C">
        <w:rPr>
          <w:rStyle w:val="fontstyle21"/>
          <w:rFonts w:ascii="Book Antiqua" w:hAnsi="Book Antiqua"/>
          <w:color w:val="000000" w:themeColor="text1"/>
          <w:sz w:val="24"/>
          <w:szCs w:val="24"/>
        </w:rPr>
        <w:t xml:space="preserve"> </w:t>
      </w:r>
      <w:r w:rsidR="008F2EE4">
        <w:rPr>
          <w:rStyle w:val="fontstyle21"/>
          <w:rFonts w:ascii="Book Antiqua" w:hAnsi="Book Antiqua"/>
          <w:color w:val="000000" w:themeColor="text1"/>
          <w:sz w:val="24"/>
          <w:szCs w:val="24"/>
        </w:rPr>
        <w:t xml:space="preserve">(CHC) </w:t>
      </w:r>
      <w:r w:rsidR="00922EEA" w:rsidRPr="00257C0C">
        <w:rPr>
          <w:rStyle w:val="fontstyle21"/>
          <w:rFonts w:ascii="Book Antiqua" w:hAnsi="Book Antiqua"/>
          <w:color w:val="000000" w:themeColor="text1"/>
          <w:sz w:val="24"/>
          <w:szCs w:val="24"/>
        </w:rPr>
        <w:t xml:space="preserve">and </w:t>
      </w:r>
      <w:r w:rsidR="00922EEA" w:rsidRPr="00257C0C">
        <w:rPr>
          <w:rFonts w:ascii="Book Antiqua" w:hAnsi="Book Antiqua"/>
          <w:color w:val="000000" w:themeColor="text1"/>
        </w:rPr>
        <w:t>intra</w:t>
      </w:r>
      <w:r w:rsidR="00922EEA" w:rsidRPr="00257C0C">
        <w:rPr>
          <w:rFonts w:ascii="Book Antiqua" w:hAnsi="Book Antiqua"/>
          <w:color w:val="000000" w:themeColor="text1"/>
          <w:lang w:eastAsia="zh-CN"/>
        </w:rPr>
        <w:t>hepatic cholangiocarcinoma</w:t>
      </w:r>
      <w:r w:rsidR="008F2EE4">
        <w:rPr>
          <w:rFonts w:ascii="Book Antiqua" w:hAnsi="Book Antiqua"/>
          <w:color w:val="000000" w:themeColor="text1"/>
          <w:lang w:eastAsia="zh-CN"/>
        </w:rPr>
        <w:t xml:space="preserve"> (ICC)</w:t>
      </w:r>
      <w:r w:rsidR="00922EEA" w:rsidRPr="00257C0C">
        <w:rPr>
          <w:rStyle w:val="fontstyle21"/>
          <w:rFonts w:ascii="Book Antiqua" w:hAnsi="Book Antiqua"/>
          <w:color w:val="000000" w:themeColor="text1"/>
          <w:sz w:val="24"/>
          <w:szCs w:val="24"/>
          <w:lang w:eastAsia="zh-CN"/>
        </w:rPr>
        <w:t xml:space="preserve">. </w:t>
      </w:r>
      <w:r w:rsidR="00922EEA" w:rsidRPr="00257C0C">
        <w:rPr>
          <w:rStyle w:val="fontstyle01"/>
          <w:rFonts w:ascii="Book Antiqua" w:hAnsi="Book Antiqua"/>
          <w:color w:val="000000" w:themeColor="text1"/>
          <w:sz w:val="24"/>
          <w:szCs w:val="24"/>
        </w:rPr>
        <w:t xml:space="preserve">P2 </w:t>
      </w:r>
      <w:r w:rsidR="00922EEA" w:rsidRPr="00257C0C">
        <w:rPr>
          <w:rStyle w:val="fontstyle21"/>
          <w:rFonts w:ascii="Book Antiqua" w:hAnsi="Book Antiqua"/>
          <w:color w:val="000000" w:themeColor="text1"/>
          <w:sz w:val="24"/>
          <w:szCs w:val="24"/>
        </w:rPr>
        <w:t xml:space="preserve">statistical difference between </w:t>
      </w:r>
      <w:r w:rsidR="008F2EE4">
        <w:rPr>
          <w:rFonts w:ascii="Book Antiqua" w:hAnsi="Book Antiqua"/>
          <w:color w:val="000000" w:themeColor="text1"/>
        </w:rPr>
        <w:t>CHC</w:t>
      </w:r>
      <w:r w:rsidR="00E36320">
        <w:rPr>
          <w:rFonts w:ascii="Book Antiqua" w:hAnsi="Book Antiqua"/>
          <w:color w:val="000000" w:themeColor="text1"/>
        </w:rPr>
        <w:t xml:space="preserve"> </w:t>
      </w:r>
      <w:r w:rsidR="00922EEA" w:rsidRPr="00257C0C">
        <w:rPr>
          <w:rStyle w:val="fontstyle21"/>
          <w:rFonts w:ascii="Book Antiqua" w:hAnsi="Book Antiqua"/>
          <w:color w:val="000000" w:themeColor="text1"/>
          <w:sz w:val="24"/>
          <w:szCs w:val="24"/>
          <w:lang w:eastAsia="zh-CN"/>
        </w:rPr>
        <w:t>and</w:t>
      </w:r>
      <w:r w:rsidR="00922EEA" w:rsidRPr="00257C0C">
        <w:rPr>
          <w:rStyle w:val="fontstyle21"/>
          <w:rFonts w:ascii="Book Antiqua" w:hAnsi="Book Antiqua"/>
          <w:color w:val="000000" w:themeColor="text1"/>
          <w:sz w:val="24"/>
          <w:szCs w:val="24"/>
        </w:rPr>
        <w:t xml:space="preserve"> </w:t>
      </w:r>
      <w:r w:rsidR="00922EEA" w:rsidRPr="00257C0C">
        <w:rPr>
          <w:rFonts w:ascii="Book Antiqua" w:hAnsi="Book Antiqua"/>
          <w:color w:val="000000" w:themeColor="text1"/>
          <w:lang w:eastAsia="zh-CN"/>
        </w:rPr>
        <w:t>hepatocellular carcinoma</w:t>
      </w:r>
      <w:r w:rsidR="008F2EE4">
        <w:rPr>
          <w:rFonts w:ascii="Book Antiqua" w:hAnsi="Book Antiqua"/>
          <w:color w:val="000000" w:themeColor="text1"/>
          <w:lang w:eastAsia="zh-CN"/>
        </w:rPr>
        <w:t xml:space="preserve"> (HCC)</w:t>
      </w:r>
      <w:r w:rsidR="00922EEA" w:rsidRPr="00257C0C">
        <w:rPr>
          <w:rStyle w:val="fontstyle21"/>
          <w:rFonts w:ascii="Book Antiqua" w:hAnsi="Book Antiqua"/>
          <w:color w:val="000000" w:themeColor="text1"/>
          <w:sz w:val="24"/>
          <w:szCs w:val="24"/>
        </w:rPr>
        <w:t xml:space="preserve">. </w:t>
      </w:r>
      <w:r w:rsidR="001D03BD" w:rsidRPr="00257C0C">
        <w:rPr>
          <w:rStyle w:val="fontstyle01"/>
          <w:rFonts w:ascii="Book Antiqua" w:hAnsi="Book Antiqua"/>
          <w:color w:val="000000" w:themeColor="text1"/>
          <w:sz w:val="24"/>
          <w:szCs w:val="24"/>
        </w:rPr>
        <w:t xml:space="preserve">AC means simultaneous elevated </w:t>
      </w:r>
      <w:r w:rsidR="001D03BD" w:rsidRPr="00257C0C">
        <w:rPr>
          <w:rFonts w:ascii="Book Antiqua" w:eastAsia="Book Antiqua" w:hAnsi="Book Antiqua" w:cs="Book Antiqua"/>
          <w:color w:val="000000" w:themeColor="text1"/>
        </w:rPr>
        <w:t>alpha-fetoprotein</w:t>
      </w:r>
      <w:r w:rsidR="008F2EE4">
        <w:rPr>
          <w:rFonts w:ascii="Book Antiqua" w:eastAsia="Book Antiqua" w:hAnsi="Book Antiqua" w:cs="Book Antiqua"/>
          <w:color w:val="000000" w:themeColor="text1"/>
        </w:rPr>
        <w:t xml:space="preserve"> (AFP)</w:t>
      </w:r>
      <w:r w:rsidR="001D03BD" w:rsidRPr="00257C0C">
        <w:rPr>
          <w:rFonts w:ascii="Book Antiqua" w:eastAsia="Book Antiqua" w:hAnsi="Book Antiqua" w:cs="Book Antiqua"/>
          <w:color w:val="000000" w:themeColor="text1"/>
        </w:rPr>
        <w:t xml:space="preserve"> and carbohydrate antigen 19-9 </w:t>
      </w:r>
      <w:r w:rsidR="001D03BD" w:rsidRPr="00257C0C">
        <w:rPr>
          <w:rStyle w:val="fontstyle01"/>
          <w:rFonts w:ascii="Book Antiqua" w:hAnsi="Book Antiqua"/>
          <w:color w:val="000000" w:themeColor="text1"/>
          <w:sz w:val="24"/>
          <w:szCs w:val="24"/>
        </w:rPr>
        <w:t>levels</w:t>
      </w:r>
      <w:r w:rsidR="008F2EE4">
        <w:rPr>
          <w:rStyle w:val="fontstyle01"/>
          <w:rFonts w:ascii="Book Antiqua" w:hAnsi="Book Antiqua"/>
          <w:color w:val="000000" w:themeColor="text1"/>
          <w:sz w:val="24"/>
          <w:szCs w:val="24"/>
        </w:rPr>
        <w:t xml:space="preserve"> (</w:t>
      </w:r>
      <w:r w:rsidR="00AC751A" w:rsidRPr="009A2D35">
        <w:rPr>
          <w:rFonts w:ascii="Book Antiqua" w:hAnsi="Book Antiqua"/>
          <w:color w:val="000000" w:themeColor="text1"/>
        </w:rPr>
        <w:t>CA19-9</w:t>
      </w:r>
      <w:r w:rsidR="008F2EE4">
        <w:rPr>
          <w:rFonts w:ascii="Book Antiqua" w:hAnsi="Book Antiqua"/>
          <w:color w:val="000000" w:themeColor="text1"/>
        </w:rPr>
        <w:t>)</w:t>
      </w:r>
      <w:r w:rsidR="00922EEA" w:rsidRPr="00257C0C">
        <w:rPr>
          <w:rFonts w:ascii="Book Antiqua" w:hAnsi="Book Antiqua"/>
          <w:color w:val="000000" w:themeColor="text1"/>
        </w:rPr>
        <w:t>.</w:t>
      </w:r>
    </w:p>
    <w:p w14:paraId="6ED4A7B5" w14:textId="68C248FE" w:rsidR="007F0117" w:rsidRPr="00257C0C" w:rsidRDefault="007D5730"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br w:type="page"/>
      </w:r>
      <w:r w:rsidR="00BD3FBF" w:rsidRPr="00257C0C">
        <w:rPr>
          <w:rFonts w:ascii="Book Antiqua" w:hAnsi="Book Antiqua"/>
          <w:b/>
          <w:bCs/>
          <w:color w:val="000000" w:themeColor="text1"/>
          <w:lang w:eastAsia="zh-CN"/>
        </w:rPr>
        <w:t>Table 2 Imaging characteristics of the study patients with combined hepatocellular-cholangiocarcinoma and those with intrahepatic cholangiocarcinoma and hepatocellular carcinoma</w:t>
      </w:r>
      <w:r w:rsidR="00D83181" w:rsidRPr="00257C0C">
        <w:rPr>
          <w:rFonts w:ascii="Book Antiqua" w:hAnsi="Book Antiqua"/>
          <w:b/>
          <w:bCs/>
          <w:color w:val="000000" w:themeColor="text1"/>
          <w:lang w:eastAsia="zh-CN"/>
        </w:rPr>
        <w:t xml:space="preserve">, </w:t>
      </w:r>
      <w:r w:rsidR="00D83181" w:rsidRPr="00257C0C">
        <w:rPr>
          <w:rFonts w:ascii="Book Antiqua" w:hAnsi="Book Antiqua"/>
          <w:b/>
          <w:bCs/>
          <w:i/>
          <w:color w:val="000000" w:themeColor="text1"/>
          <w:lang w:eastAsia="zh-CN"/>
        </w:rPr>
        <w:t>n</w:t>
      </w:r>
      <w:r w:rsidR="00D83181" w:rsidRPr="00257C0C">
        <w:rPr>
          <w:rFonts w:ascii="Book Antiqua" w:hAnsi="Book Antiqua"/>
          <w:b/>
          <w:bCs/>
          <w:color w:val="000000" w:themeColor="text1"/>
          <w:lang w:eastAsia="zh-CN"/>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0"/>
        <w:gridCol w:w="1381"/>
        <w:gridCol w:w="1518"/>
        <w:gridCol w:w="1538"/>
        <w:gridCol w:w="1509"/>
        <w:gridCol w:w="1354"/>
      </w:tblGrid>
      <w:tr w:rsidR="002C7E29" w:rsidRPr="002C7E29" w14:paraId="684B840A" w14:textId="77777777" w:rsidTr="001D03BD">
        <w:trPr>
          <w:trHeight w:val="878"/>
        </w:trPr>
        <w:tc>
          <w:tcPr>
            <w:tcW w:w="2060" w:type="dxa"/>
            <w:tcBorders>
              <w:top w:val="single" w:sz="4" w:space="0" w:color="auto"/>
            </w:tcBorders>
            <w:shd w:val="clear" w:color="auto" w:fill="auto"/>
          </w:tcPr>
          <w:p w14:paraId="3B97E034" w14:textId="77777777" w:rsidR="00BD3FBF" w:rsidRPr="00257C0C" w:rsidRDefault="00BD3FBF" w:rsidP="00257C0C">
            <w:pPr>
              <w:snapToGrid w:val="0"/>
              <w:spacing w:line="360" w:lineRule="auto"/>
              <w:jc w:val="both"/>
              <w:rPr>
                <w:rFonts w:ascii="Book Antiqua" w:hAnsi="Book Antiqua"/>
                <w:b/>
                <w:bCs/>
                <w:color w:val="000000" w:themeColor="text1"/>
                <w:lang w:eastAsia="zh-CN"/>
              </w:rPr>
            </w:pPr>
          </w:p>
        </w:tc>
        <w:tc>
          <w:tcPr>
            <w:tcW w:w="1381" w:type="dxa"/>
            <w:tcBorders>
              <w:top w:val="single" w:sz="4" w:space="0" w:color="auto"/>
            </w:tcBorders>
            <w:shd w:val="clear" w:color="auto" w:fill="auto"/>
          </w:tcPr>
          <w:p w14:paraId="4C80F60B" w14:textId="25A77EC8" w:rsidR="00BD3FBF" w:rsidRPr="00257C0C" w:rsidRDefault="00BD3FBF"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rPr>
              <w:t>CHC</w:t>
            </w:r>
            <w:r w:rsidR="001276A6">
              <w:rPr>
                <w:rFonts w:ascii="Book Antiqua" w:hAnsi="Book Antiqua"/>
                <w:b/>
                <w:bCs/>
                <w:color w:val="000000" w:themeColor="text1"/>
              </w:rPr>
              <w:t>,</w:t>
            </w:r>
            <w:r w:rsidRPr="00257C0C">
              <w:rPr>
                <w:rFonts w:ascii="Book Antiqua" w:hAnsi="Book Antiqua"/>
                <w:b/>
                <w:bCs/>
                <w:color w:val="000000" w:themeColor="text1"/>
              </w:rPr>
              <w:t xml:space="preserve"> </w:t>
            </w:r>
            <w:r w:rsidRPr="00257C0C">
              <w:rPr>
                <w:rFonts w:ascii="Book Antiqua" w:hAnsi="Book Antiqua"/>
                <w:b/>
                <w:bCs/>
                <w:i/>
                <w:color w:val="000000" w:themeColor="text1"/>
              </w:rPr>
              <w:t>n</w:t>
            </w:r>
            <w:r w:rsidR="002C6F5E" w:rsidRPr="00257C0C">
              <w:rPr>
                <w:rFonts w:ascii="Book Antiqua" w:hAnsi="Book Antiqua"/>
                <w:b/>
                <w:bCs/>
                <w:color w:val="000000" w:themeColor="text1"/>
                <w:lang w:eastAsia="zh-CN"/>
              </w:rPr>
              <w:t xml:space="preserve"> </w:t>
            </w:r>
            <w:r w:rsidRPr="00257C0C">
              <w:rPr>
                <w:rFonts w:ascii="Book Antiqua" w:hAnsi="Book Antiqua"/>
                <w:b/>
                <w:bCs/>
                <w:color w:val="000000" w:themeColor="text1"/>
              </w:rPr>
              <w:t>=</w:t>
            </w:r>
            <w:r w:rsidR="002C6F5E" w:rsidRPr="00257C0C">
              <w:rPr>
                <w:rFonts w:ascii="Book Antiqua" w:hAnsi="Book Antiqua"/>
                <w:b/>
                <w:bCs/>
                <w:color w:val="000000" w:themeColor="text1"/>
                <w:lang w:eastAsia="zh-CN"/>
              </w:rPr>
              <w:t xml:space="preserve"> </w:t>
            </w:r>
            <w:r w:rsidRPr="00257C0C">
              <w:rPr>
                <w:rFonts w:ascii="Book Antiqua" w:hAnsi="Book Antiqua"/>
                <w:b/>
                <w:bCs/>
                <w:color w:val="000000" w:themeColor="text1"/>
              </w:rPr>
              <w:t>35</w:t>
            </w:r>
          </w:p>
        </w:tc>
        <w:tc>
          <w:tcPr>
            <w:tcW w:w="3056" w:type="dxa"/>
            <w:gridSpan w:val="2"/>
            <w:tcBorders>
              <w:top w:val="single" w:sz="4" w:space="0" w:color="auto"/>
              <w:bottom w:val="single" w:sz="4" w:space="0" w:color="auto"/>
            </w:tcBorders>
            <w:shd w:val="clear" w:color="auto" w:fill="auto"/>
          </w:tcPr>
          <w:p w14:paraId="0A6BE4F5" w14:textId="77777777" w:rsidR="00BD3FBF" w:rsidRPr="00257C0C" w:rsidRDefault="00BD3FBF"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Non-CHC</w:t>
            </w:r>
          </w:p>
        </w:tc>
        <w:tc>
          <w:tcPr>
            <w:tcW w:w="1509" w:type="dxa"/>
            <w:tcBorders>
              <w:top w:val="single" w:sz="4" w:space="0" w:color="auto"/>
            </w:tcBorders>
            <w:shd w:val="clear" w:color="auto" w:fill="auto"/>
          </w:tcPr>
          <w:p w14:paraId="683B4020" w14:textId="77777777" w:rsidR="00BD3FBF" w:rsidRPr="00257C0C" w:rsidRDefault="00BD3FBF"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P1</w:t>
            </w:r>
          </w:p>
        </w:tc>
        <w:tc>
          <w:tcPr>
            <w:tcW w:w="1354" w:type="dxa"/>
            <w:tcBorders>
              <w:top w:val="single" w:sz="4" w:space="0" w:color="auto"/>
            </w:tcBorders>
            <w:shd w:val="clear" w:color="auto" w:fill="auto"/>
          </w:tcPr>
          <w:p w14:paraId="44180383" w14:textId="77777777" w:rsidR="00BD3FBF" w:rsidRPr="00257C0C" w:rsidRDefault="00BD3FBF"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P2</w:t>
            </w:r>
          </w:p>
        </w:tc>
      </w:tr>
      <w:tr w:rsidR="002C7E29" w:rsidRPr="002C7E29" w14:paraId="0D8B6EE9" w14:textId="77777777" w:rsidTr="001D03BD">
        <w:tc>
          <w:tcPr>
            <w:tcW w:w="2060" w:type="dxa"/>
            <w:tcBorders>
              <w:bottom w:val="single" w:sz="4" w:space="0" w:color="auto"/>
            </w:tcBorders>
            <w:shd w:val="clear" w:color="auto" w:fill="auto"/>
          </w:tcPr>
          <w:p w14:paraId="3DB0526C" w14:textId="446FC715"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81" w:type="dxa"/>
            <w:tcBorders>
              <w:bottom w:val="single" w:sz="4" w:space="0" w:color="auto"/>
            </w:tcBorders>
            <w:shd w:val="clear" w:color="auto" w:fill="auto"/>
          </w:tcPr>
          <w:p w14:paraId="3056C91C"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tcBorders>
              <w:top w:val="single" w:sz="4" w:space="0" w:color="auto"/>
              <w:bottom w:val="single" w:sz="4" w:space="0" w:color="auto"/>
            </w:tcBorders>
            <w:shd w:val="clear" w:color="auto" w:fill="auto"/>
          </w:tcPr>
          <w:p w14:paraId="0C6E02C7" w14:textId="0C03B89C"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rPr>
              <w:t>ICC</w:t>
            </w:r>
            <w:r w:rsidR="001276A6">
              <w:rPr>
                <w:rFonts w:ascii="Book Antiqua" w:hAnsi="Book Antiqua"/>
                <w:b/>
                <w:bCs/>
                <w:color w:val="000000" w:themeColor="text1"/>
              </w:rPr>
              <w:t>,</w:t>
            </w:r>
            <w:r w:rsidRPr="00257C0C">
              <w:rPr>
                <w:rFonts w:ascii="Book Antiqua" w:hAnsi="Book Antiqua"/>
                <w:b/>
                <w:bCs/>
                <w:color w:val="000000" w:themeColor="text1"/>
              </w:rPr>
              <w:t xml:space="preserve"> </w:t>
            </w:r>
            <w:r w:rsidRPr="00257C0C">
              <w:rPr>
                <w:rFonts w:ascii="Book Antiqua" w:hAnsi="Book Antiqua"/>
                <w:b/>
                <w:bCs/>
                <w:i/>
                <w:iCs/>
                <w:color w:val="000000" w:themeColor="text1"/>
              </w:rPr>
              <w:t>n</w:t>
            </w:r>
            <w:r w:rsidRPr="00257C0C">
              <w:rPr>
                <w:rFonts w:ascii="Book Antiqua" w:hAnsi="Book Antiqua"/>
                <w:b/>
                <w:bCs/>
                <w:color w:val="000000" w:themeColor="text1"/>
              </w:rPr>
              <w:t xml:space="preserve"> = 29</w:t>
            </w:r>
          </w:p>
        </w:tc>
        <w:tc>
          <w:tcPr>
            <w:tcW w:w="1538" w:type="dxa"/>
            <w:tcBorders>
              <w:top w:val="single" w:sz="4" w:space="0" w:color="auto"/>
              <w:bottom w:val="single" w:sz="4" w:space="0" w:color="auto"/>
            </w:tcBorders>
            <w:shd w:val="clear" w:color="auto" w:fill="auto"/>
          </w:tcPr>
          <w:p w14:paraId="736D4A55" w14:textId="49257140"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HCC</w:t>
            </w:r>
            <w:r w:rsidR="001276A6">
              <w:rPr>
                <w:rFonts w:ascii="Book Antiqua" w:hAnsi="Book Antiqua"/>
                <w:b/>
                <w:bCs/>
                <w:color w:val="000000" w:themeColor="text1"/>
                <w:lang w:eastAsia="zh-CN"/>
              </w:rPr>
              <w:t>,</w:t>
            </w:r>
            <w:r w:rsidRPr="00257C0C">
              <w:rPr>
                <w:rFonts w:ascii="Book Antiqua" w:hAnsi="Book Antiqua"/>
                <w:b/>
                <w:bCs/>
                <w:color w:val="000000" w:themeColor="text1"/>
                <w:lang w:eastAsia="zh-CN"/>
              </w:rPr>
              <w:t xml:space="preserve"> </w:t>
            </w:r>
            <w:r w:rsidRPr="00257C0C">
              <w:rPr>
                <w:rFonts w:ascii="Book Antiqua" w:hAnsi="Book Antiqua"/>
                <w:b/>
                <w:bCs/>
                <w:i/>
                <w:iCs/>
                <w:color w:val="000000" w:themeColor="text1"/>
                <w:lang w:eastAsia="zh-CN"/>
              </w:rPr>
              <w:t>n</w:t>
            </w:r>
            <w:r w:rsidRPr="00257C0C">
              <w:rPr>
                <w:rFonts w:ascii="Book Antiqua" w:hAnsi="Book Antiqua"/>
                <w:b/>
                <w:bCs/>
                <w:color w:val="000000" w:themeColor="text1"/>
                <w:lang w:eastAsia="zh-CN"/>
              </w:rPr>
              <w:t xml:space="preserve"> = 70</w:t>
            </w:r>
          </w:p>
        </w:tc>
        <w:tc>
          <w:tcPr>
            <w:tcW w:w="1509" w:type="dxa"/>
            <w:tcBorders>
              <w:bottom w:val="single" w:sz="4" w:space="0" w:color="auto"/>
            </w:tcBorders>
            <w:shd w:val="clear" w:color="auto" w:fill="auto"/>
          </w:tcPr>
          <w:p w14:paraId="42C98801" w14:textId="488F81B5"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tcBorders>
              <w:bottom w:val="single" w:sz="4" w:space="0" w:color="auto"/>
            </w:tcBorders>
            <w:shd w:val="clear" w:color="auto" w:fill="auto"/>
          </w:tcPr>
          <w:p w14:paraId="48736235" w14:textId="670511FA"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5F999BE9" w14:textId="77777777" w:rsidTr="001D03BD">
        <w:tc>
          <w:tcPr>
            <w:tcW w:w="2060" w:type="dxa"/>
            <w:tcBorders>
              <w:top w:val="single" w:sz="4" w:space="0" w:color="auto"/>
            </w:tcBorders>
            <w:shd w:val="clear" w:color="auto" w:fill="auto"/>
          </w:tcPr>
          <w:p w14:paraId="33616BE5" w14:textId="431D261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Echogenic degree</w:t>
            </w:r>
          </w:p>
        </w:tc>
        <w:tc>
          <w:tcPr>
            <w:tcW w:w="1381" w:type="dxa"/>
            <w:tcBorders>
              <w:top w:val="single" w:sz="4" w:space="0" w:color="auto"/>
            </w:tcBorders>
            <w:shd w:val="clear" w:color="auto" w:fill="auto"/>
          </w:tcPr>
          <w:p w14:paraId="3B74FE6B"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tcBorders>
              <w:top w:val="single" w:sz="4" w:space="0" w:color="auto"/>
            </w:tcBorders>
            <w:shd w:val="clear" w:color="auto" w:fill="auto"/>
          </w:tcPr>
          <w:p w14:paraId="12511AA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38" w:type="dxa"/>
            <w:tcBorders>
              <w:top w:val="single" w:sz="4" w:space="0" w:color="auto"/>
            </w:tcBorders>
            <w:shd w:val="clear" w:color="auto" w:fill="auto"/>
          </w:tcPr>
          <w:p w14:paraId="4C77381A"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09" w:type="dxa"/>
            <w:tcBorders>
              <w:top w:val="single" w:sz="4" w:space="0" w:color="auto"/>
            </w:tcBorders>
            <w:shd w:val="clear" w:color="auto" w:fill="auto"/>
          </w:tcPr>
          <w:p w14:paraId="14B01E55" w14:textId="504B1D1E"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0.692</w:t>
            </w:r>
          </w:p>
        </w:tc>
        <w:tc>
          <w:tcPr>
            <w:tcW w:w="1354" w:type="dxa"/>
            <w:tcBorders>
              <w:top w:val="single" w:sz="4" w:space="0" w:color="auto"/>
            </w:tcBorders>
            <w:shd w:val="clear" w:color="auto" w:fill="auto"/>
          </w:tcPr>
          <w:p w14:paraId="43885109" w14:textId="6CA8F3CB"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0.099</w:t>
            </w:r>
          </w:p>
        </w:tc>
      </w:tr>
      <w:tr w:rsidR="002C7E29" w:rsidRPr="002C7E29" w14:paraId="47975D4D" w14:textId="77777777" w:rsidTr="001D03BD">
        <w:tc>
          <w:tcPr>
            <w:tcW w:w="2060" w:type="dxa"/>
            <w:shd w:val="clear" w:color="auto" w:fill="auto"/>
          </w:tcPr>
          <w:p w14:paraId="392AAA73"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Hypo-</w:t>
            </w:r>
          </w:p>
        </w:tc>
        <w:tc>
          <w:tcPr>
            <w:tcW w:w="1381" w:type="dxa"/>
            <w:shd w:val="clear" w:color="auto" w:fill="auto"/>
          </w:tcPr>
          <w:p w14:paraId="34D9D465"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32 (91.4)</w:t>
            </w:r>
          </w:p>
        </w:tc>
        <w:tc>
          <w:tcPr>
            <w:tcW w:w="1518" w:type="dxa"/>
            <w:shd w:val="clear" w:color="auto" w:fill="auto"/>
          </w:tcPr>
          <w:p w14:paraId="23B5FFA2"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25 (86.2)</w:t>
            </w:r>
          </w:p>
        </w:tc>
        <w:tc>
          <w:tcPr>
            <w:tcW w:w="1538" w:type="dxa"/>
            <w:shd w:val="clear" w:color="auto" w:fill="auto"/>
          </w:tcPr>
          <w:p w14:paraId="181CB4A2"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55 (78.6)</w:t>
            </w:r>
          </w:p>
        </w:tc>
        <w:tc>
          <w:tcPr>
            <w:tcW w:w="1509" w:type="dxa"/>
            <w:shd w:val="clear" w:color="auto" w:fill="auto"/>
          </w:tcPr>
          <w:p w14:paraId="204A68F8"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61A9BBD2"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6D40F8F5" w14:textId="77777777" w:rsidTr="001D03BD">
        <w:tc>
          <w:tcPr>
            <w:tcW w:w="2060" w:type="dxa"/>
            <w:shd w:val="clear" w:color="auto" w:fill="auto"/>
          </w:tcPr>
          <w:p w14:paraId="14E33009"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Hyper-</w:t>
            </w:r>
          </w:p>
        </w:tc>
        <w:tc>
          <w:tcPr>
            <w:tcW w:w="1381" w:type="dxa"/>
            <w:shd w:val="clear" w:color="auto" w:fill="auto"/>
          </w:tcPr>
          <w:p w14:paraId="6AB693AC"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 (8.6)</w:t>
            </w:r>
          </w:p>
        </w:tc>
        <w:tc>
          <w:tcPr>
            <w:tcW w:w="1518" w:type="dxa"/>
            <w:shd w:val="clear" w:color="auto" w:fill="auto"/>
          </w:tcPr>
          <w:p w14:paraId="794C157B"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 (13.8)</w:t>
            </w:r>
          </w:p>
        </w:tc>
        <w:tc>
          <w:tcPr>
            <w:tcW w:w="1538" w:type="dxa"/>
            <w:shd w:val="clear" w:color="auto" w:fill="auto"/>
          </w:tcPr>
          <w:p w14:paraId="76E1146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15 (21.4)</w:t>
            </w:r>
          </w:p>
        </w:tc>
        <w:tc>
          <w:tcPr>
            <w:tcW w:w="1509" w:type="dxa"/>
            <w:shd w:val="clear" w:color="auto" w:fill="auto"/>
          </w:tcPr>
          <w:p w14:paraId="33D7C174"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77254E7D"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2641712C" w14:textId="77777777" w:rsidTr="001D03BD">
        <w:tc>
          <w:tcPr>
            <w:tcW w:w="2060" w:type="dxa"/>
            <w:shd w:val="clear" w:color="auto" w:fill="auto"/>
          </w:tcPr>
          <w:p w14:paraId="709BD067" w14:textId="68DD73BF"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Poor boundary</w:t>
            </w:r>
          </w:p>
        </w:tc>
        <w:tc>
          <w:tcPr>
            <w:tcW w:w="1381" w:type="dxa"/>
            <w:shd w:val="clear" w:color="auto" w:fill="auto"/>
          </w:tcPr>
          <w:p w14:paraId="2496F3EF"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23 (65.7)</w:t>
            </w:r>
          </w:p>
        </w:tc>
        <w:tc>
          <w:tcPr>
            <w:tcW w:w="1518" w:type="dxa"/>
            <w:shd w:val="clear" w:color="auto" w:fill="auto"/>
          </w:tcPr>
          <w:p w14:paraId="4E18DCAF"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22 (75.9)</w:t>
            </w:r>
          </w:p>
        </w:tc>
        <w:tc>
          <w:tcPr>
            <w:tcW w:w="1538" w:type="dxa"/>
            <w:shd w:val="clear" w:color="auto" w:fill="auto"/>
          </w:tcPr>
          <w:p w14:paraId="2AD6FCA4"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36 (51.4)</w:t>
            </w:r>
          </w:p>
        </w:tc>
        <w:tc>
          <w:tcPr>
            <w:tcW w:w="1509" w:type="dxa"/>
            <w:shd w:val="clear" w:color="auto" w:fill="auto"/>
          </w:tcPr>
          <w:p w14:paraId="14A6FBF8"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0.422</w:t>
            </w:r>
          </w:p>
        </w:tc>
        <w:tc>
          <w:tcPr>
            <w:tcW w:w="1354" w:type="dxa"/>
            <w:shd w:val="clear" w:color="auto" w:fill="auto"/>
          </w:tcPr>
          <w:p w14:paraId="651D0B25"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0.212</w:t>
            </w:r>
          </w:p>
        </w:tc>
      </w:tr>
      <w:tr w:rsidR="002C7E29" w:rsidRPr="002C7E29" w14:paraId="45C7CE16" w14:textId="77777777" w:rsidTr="001D03BD">
        <w:tc>
          <w:tcPr>
            <w:tcW w:w="2060" w:type="dxa"/>
            <w:shd w:val="clear" w:color="auto" w:fill="auto"/>
          </w:tcPr>
          <w:p w14:paraId="379F5996"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Irregular shape</w:t>
            </w:r>
          </w:p>
        </w:tc>
        <w:tc>
          <w:tcPr>
            <w:tcW w:w="1381" w:type="dxa"/>
            <w:shd w:val="clear" w:color="auto" w:fill="auto"/>
          </w:tcPr>
          <w:p w14:paraId="773C9699"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23 (65.7)</w:t>
            </w:r>
          </w:p>
        </w:tc>
        <w:tc>
          <w:tcPr>
            <w:tcW w:w="1518" w:type="dxa"/>
            <w:shd w:val="clear" w:color="auto" w:fill="auto"/>
          </w:tcPr>
          <w:p w14:paraId="6A6A53E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20 (69.0)</w:t>
            </w:r>
          </w:p>
        </w:tc>
        <w:tc>
          <w:tcPr>
            <w:tcW w:w="1538" w:type="dxa"/>
            <w:shd w:val="clear" w:color="auto" w:fill="auto"/>
          </w:tcPr>
          <w:p w14:paraId="0C20D8F3"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30 (42.9)</w:t>
            </w:r>
          </w:p>
        </w:tc>
        <w:tc>
          <w:tcPr>
            <w:tcW w:w="1509" w:type="dxa"/>
            <w:shd w:val="clear" w:color="auto" w:fill="auto"/>
          </w:tcPr>
          <w:p w14:paraId="632F9F9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1.000</w:t>
            </w:r>
          </w:p>
        </w:tc>
        <w:tc>
          <w:tcPr>
            <w:tcW w:w="1354" w:type="dxa"/>
            <w:shd w:val="clear" w:color="auto" w:fill="auto"/>
          </w:tcPr>
          <w:p w14:paraId="35096DD8"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0.038</w:t>
            </w:r>
          </w:p>
        </w:tc>
      </w:tr>
      <w:tr w:rsidR="002C7E29" w:rsidRPr="002C7E29" w14:paraId="6FC9AE31" w14:textId="77777777" w:rsidTr="001D03BD">
        <w:tc>
          <w:tcPr>
            <w:tcW w:w="2060" w:type="dxa"/>
            <w:shd w:val="clear" w:color="auto" w:fill="auto"/>
          </w:tcPr>
          <w:p w14:paraId="1D39FAEF"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APHE pattern</w:t>
            </w:r>
          </w:p>
        </w:tc>
        <w:tc>
          <w:tcPr>
            <w:tcW w:w="1381" w:type="dxa"/>
            <w:shd w:val="clear" w:color="auto" w:fill="auto"/>
          </w:tcPr>
          <w:p w14:paraId="545C6D9A"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shd w:val="clear" w:color="auto" w:fill="auto"/>
          </w:tcPr>
          <w:p w14:paraId="78E5916C"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38" w:type="dxa"/>
            <w:shd w:val="clear" w:color="auto" w:fill="auto"/>
          </w:tcPr>
          <w:p w14:paraId="1A08CC54"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09" w:type="dxa"/>
            <w:shd w:val="clear" w:color="auto" w:fill="auto"/>
          </w:tcPr>
          <w:p w14:paraId="5E93822A"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0.757</w:t>
            </w:r>
          </w:p>
        </w:tc>
        <w:tc>
          <w:tcPr>
            <w:tcW w:w="1354" w:type="dxa"/>
            <w:shd w:val="clear" w:color="auto" w:fill="auto"/>
          </w:tcPr>
          <w:p w14:paraId="5BF5625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0.001</w:t>
            </w:r>
          </w:p>
        </w:tc>
      </w:tr>
      <w:tr w:rsidR="002C7E29" w:rsidRPr="002C7E29" w14:paraId="007CE4DD" w14:textId="77777777" w:rsidTr="001D03BD">
        <w:tc>
          <w:tcPr>
            <w:tcW w:w="2060" w:type="dxa"/>
            <w:shd w:val="clear" w:color="auto" w:fill="auto"/>
          </w:tcPr>
          <w:p w14:paraId="272C75CE"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Rim-like</w:t>
            </w:r>
          </w:p>
        </w:tc>
        <w:tc>
          <w:tcPr>
            <w:tcW w:w="1381" w:type="dxa"/>
            <w:shd w:val="clear" w:color="auto" w:fill="auto"/>
          </w:tcPr>
          <w:p w14:paraId="6FB017CE"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 (17.1)</w:t>
            </w:r>
          </w:p>
        </w:tc>
        <w:tc>
          <w:tcPr>
            <w:tcW w:w="1518" w:type="dxa"/>
            <w:shd w:val="clear" w:color="auto" w:fill="auto"/>
          </w:tcPr>
          <w:p w14:paraId="518E2DF9"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 (20.7)</w:t>
            </w:r>
          </w:p>
        </w:tc>
        <w:tc>
          <w:tcPr>
            <w:tcW w:w="1538" w:type="dxa"/>
            <w:shd w:val="clear" w:color="auto" w:fill="auto"/>
          </w:tcPr>
          <w:p w14:paraId="56869846"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 (0.0)</w:t>
            </w:r>
          </w:p>
        </w:tc>
        <w:tc>
          <w:tcPr>
            <w:tcW w:w="1509" w:type="dxa"/>
            <w:shd w:val="clear" w:color="auto" w:fill="auto"/>
          </w:tcPr>
          <w:p w14:paraId="048CA813"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231890EF"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2E72FA97" w14:textId="77777777" w:rsidTr="001D03BD">
        <w:tc>
          <w:tcPr>
            <w:tcW w:w="2060" w:type="dxa"/>
            <w:shd w:val="clear" w:color="auto" w:fill="auto"/>
          </w:tcPr>
          <w:p w14:paraId="5264A310"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Non-rim-like</w:t>
            </w:r>
          </w:p>
        </w:tc>
        <w:tc>
          <w:tcPr>
            <w:tcW w:w="1381" w:type="dxa"/>
            <w:shd w:val="clear" w:color="auto" w:fill="auto"/>
          </w:tcPr>
          <w:p w14:paraId="79D0802A"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29 (82.9)</w:t>
            </w:r>
          </w:p>
        </w:tc>
        <w:tc>
          <w:tcPr>
            <w:tcW w:w="1518" w:type="dxa"/>
            <w:shd w:val="clear" w:color="auto" w:fill="auto"/>
          </w:tcPr>
          <w:p w14:paraId="4ED1D16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23 (79.3)</w:t>
            </w:r>
          </w:p>
        </w:tc>
        <w:tc>
          <w:tcPr>
            <w:tcW w:w="1538" w:type="dxa"/>
            <w:shd w:val="clear" w:color="auto" w:fill="auto"/>
          </w:tcPr>
          <w:p w14:paraId="625A5578"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70 (100)</w:t>
            </w:r>
          </w:p>
        </w:tc>
        <w:tc>
          <w:tcPr>
            <w:tcW w:w="1509" w:type="dxa"/>
            <w:shd w:val="clear" w:color="auto" w:fill="auto"/>
          </w:tcPr>
          <w:p w14:paraId="3E8DD7A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6295F8B4"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4C02277B" w14:textId="77777777" w:rsidTr="001D03BD">
        <w:tc>
          <w:tcPr>
            <w:tcW w:w="2060" w:type="dxa"/>
            <w:shd w:val="clear" w:color="auto" w:fill="auto"/>
          </w:tcPr>
          <w:p w14:paraId="0C044D99"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Timing of washout onset</w:t>
            </w:r>
          </w:p>
        </w:tc>
        <w:tc>
          <w:tcPr>
            <w:tcW w:w="1381" w:type="dxa"/>
            <w:shd w:val="clear" w:color="auto" w:fill="auto"/>
          </w:tcPr>
          <w:p w14:paraId="1C2198C9"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shd w:val="clear" w:color="auto" w:fill="auto"/>
          </w:tcPr>
          <w:p w14:paraId="4FEF2552"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38" w:type="dxa"/>
            <w:shd w:val="clear" w:color="auto" w:fill="auto"/>
          </w:tcPr>
          <w:p w14:paraId="24778D83"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09" w:type="dxa"/>
            <w:shd w:val="clear" w:color="auto" w:fill="auto"/>
          </w:tcPr>
          <w:p w14:paraId="197CA273"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0.017</w:t>
            </w:r>
          </w:p>
        </w:tc>
        <w:tc>
          <w:tcPr>
            <w:tcW w:w="1354" w:type="dxa"/>
            <w:shd w:val="clear" w:color="auto" w:fill="auto"/>
          </w:tcPr>
          <w:p w14:paraId="5D70D0AB" w14:textId="12AE653E"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&lt; 0.001</w:t>
            </w:r>
          </w:p>
        </w:tc>
      </w:tr>
      <w:tr w:rsidR="002C7E29" w:rsidRPr="002C7E29" w14:paraId="24EC6C70" w14:textId="77777777" w:rsidTr="001D03BD">
        <w:tc>
          <w:tcPr>
            <w:tcW w:w="2060" w:type="dxa"/>
            <w:shd w:val="clear" w:color="auto" w:fill="auto"/>
          </w:tcPr>
          <w:p w14:paraId="09B18117" w14:textId="29CCFEA6"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Early</w:t>
            </w:r>
            <w:r w:rsidR="001276A6">
              <w:rPr>
                <w:rFonts w:ascii="Book Antiqua" w:hAnsi="Book Antiqua"/>
                <w:color w:val="000000" w:themeColor="text1"/>
              </w:rPr>
              <w:t>,</w:t>
            </w:r>
            <w:r w:rsidRPr="00257C0C">
              <w:rPr>
                <w:rFonts w:ascii="Book Antiqua" w:hAnsi="Book Antiqua"/>
                <w:color w:val="000000" w:themeColor="text1"/>
              </w:rPr>
              <w:t xml:space="preserve"> &lt; 60 s</w:t>
            </w:r>
          </w:p>
        </w:tc>
        <w:tc>
          <w:tcPr>
            <w:tcW w:w="1381" w:type="dxa"/>
            <w:shd w:val="clear" w:color="auto" w:fill="auto"/>
          </w:tcPr>
          <w:p w14:paraId="79B1F5F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 (74.3)</w:t>
            </w:r>
          </w:p>
        </w:tc>
        <w:tc>
          <w:tcPr>
            <w:tcW w:w="1518" w:type="dxa"/>
            <w:shd w:val="clear" w:color="auto" w:fill="auto"/>
          </w:tcPr>
          <w:p w14:paraId="3B350D4C"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28 (96.6)</w:t>
            </w:r>
          </w:p>
        </w:tc>
        <w:tc>
          <w:tcPr>
            <w:tcW w:w="1538" w:type="dxa"/>
            <w:shd w:val="clear" w:color="auto" w:fill="auto"/>
          </w:tcPr>
          <w:p w14:paraId="7D4BE211"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13 (18.6)</w:t>
            </w:r>
          </w:p>
        </w:tc>
        <w:tc>
          <w:tcPr>
            <w:tcW w:w="1509" w:type="dxa"/>
            <w:shd w:val="clear" w:color="auto" w:fill="auto"/>
          </w:tcPr>
          <w:p w14:paraId="632C8EA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3F68720E"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727A1321" w14:textId="77777777" w:rsidTr="001D03BD">
        <w:tc>
          <w:tcPr>
            <w:tcW w:w="2060" w:type="dxa"/>
            <w:shd w:val="clear" w:color="auto" w:fill="auto"/>
          </w:tcPr>
          <w:p w14:paraId="1D08C700" w14:textId="3A303BE5" w:rsidR="00BD3FBF" w:rsidRPr="00257C0C" w:rsidRDefault="00BD3FBF" w:rsidP="00257C0C">
            <w:pPr>
              <w:snapToGrid w:val="0"/>
              <w:spacing w:line="360" w:lineRule="auto"/>
              <w:ind w:firstLineChars="100" w:firstLine="240"/>
              <w:jc w:val="both"/>
              <w:rPr>
                <w:rFonts w:ascii="Book Antiqua" w:hAnsi="Book Antiqua"/>
                <w:color w:val="000000" w:themeColor="text1"/>
              </w:rPr>
            </w:pPr>
            <w:r w:rsidRPr="00257C0C">
              <w:rPr>
                <w:rFonts w:ascii="Book Antiqua" w:hAnsi="Book Antiqua"/>
                <w:color w:val="000000" w:themeColor="text1"/>
              </w:rPr>
              <w:t>Late</w:t>
            </w:r>
            <w:r w:rsidR="001276A6">
              <w:rPr>
                <w:rFonts w:ascii="Book Antiqua" w:hAnsi="Book Antiqua"/>
                <w:color w:val="000000" w:themeColor="text1"/>
              </w:rPr>
              <w:t>,</w:t>
            </w:r>
            <w:r w:rsidRPr="00257C0C">
              <w:rPr>
                <w:rFonts w:ascii="Book Antiqua" w:hAnsi="Book Antiqua"/>
                <w:color w:val="000000" w:themeColor="text1"/>
              </w:rPr>
              <w:t xml:space="preserve"> &gt; 60 s</w:t>
            </w:r>
          </w:p>
        </w:tc>
        <w:tc>
          <w:tcPr>
            <w:tcW w:w="1381" w:type="dxa"/>
            <w:shd w:val="clear" w:color="auto" w:fill="auto"/>
          </w:tcPr>
          <w:p w14:paraId="74C71B52"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 (25.7)</w:t>
            </w:r>
          </w:p>
        </w:tc>
        <w:tc>
          <w:tcPr>
            <w:tcW w:w="1518" w:type="dxa"/>
            <w:shd w:val="clear" w:color="auto" w:fill="auto"/>
          </w:tcPr>
          <w:p w14:paraId="15700E34" w14:textId="4DBFA043"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 (3.4)</w:t>
            </w:r>
          </w:p>
        </w:tc>
        <w:tc>
          <w:tcPr>
            <w:tcW w:w="1538" w:type="dxa"/>
            <w:shd w:val="clear" w:color="auto" w:fill="auto"/>
          </w:tcPr>
          <w:p w14:paraId="06DDACA6"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57 (81.4)</w:t>
            </w:r>
          </w:p>
        </w:tc>
        <w:tc>
          <w:tcPr>
            <w:tcW w:w="1509" w:type="dxa"/>
            <w:shd w:val="clear" w:color="auto" w:fill="auto"/>
          </w:tcPr>
          <w:p w14:paraId="013501EC"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6997754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778DEB79" w14:textId="77777777" w:rsidTr="001D03BD">
        <w:tc>
          <w:tcPr>
            <w:tcW w:w="2060" w:type="dxa"/>
            <w:shd w:val="clear" w:color="auto" w:fill="auto"/>
          </w:tcPr>
          <w:p w14:paraId="503CE075" w14:textId="77777777" w:rsidR="00BD3FBF" w:rsidRPr="00257C0C" w:rsidRDefault="00BD3FBF"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t>Degree of washout</w:t>
            </w:r>
          </w:p>
        </w:tc>
        <w:tc>
          <w:tcPr>
            <w:tcW w:w="1381" w:type="dxa"/>
            <w:shd w:val="clear" w:color="auto" w:fill="auto"/>
          </w:tcPr>
          <w:p w14:paraId="4A7BD1ED"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shd w:val="clear" w:color="auto" w:fill="auto"/>
          </w:tcPr>
          <w:p w14:paraId="0B3160BF"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38" w:type="dxa"/>
            <w:shd w:val="clear" w:color="auto" w:fill="auto"/>
          </w:tcPr>
          <w:p w14:paraId="0059253B"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09" w:type="dxa"/>
            <w:shd w:val="clear" w:color="auto" w:fill="auto"/>
          </w:tcPr>
          <w:p w14:paraId="76F5F17E"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1.000</w:t>
            </w:r>
          </w:p>
        </w:tc>
        <w:tc>
          <w:tcPr>
            <w:tcW w:w="1354" w:type="dxa"/>
            <w:shd w:val="clear" w:color="auto" w:fill="auto"/>
          </w:tcPr>
          <w:p w14:paraId="543E5D4B"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0.109</w:t>
            </w:r>
          </w:p>
        </w:tc>
      </w:tr>
      <w:tr w:rsidR="002C7E29" w:rsidRPr="002C7E29" w14:paraId="23D58B56" w14:textId="77777777" w:rsidTr="001D03BD">
        <w:tc>
          <w:tcPr>
            <w:tcW w:w="2060" w:type="dxa"/>
            <w:shd w:val="clear" w:color="auto" w:fill="auto"/>
          </w:tcPr>
          <w:p w14:paraId="1A8F6A02" w14:textId="49709410"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Marked</w:t>
            </w:r>
            <w:r w:rsidR="001276A6">
              <w:rPr>
                <w:rFonts w:ascii="Book Antiqua" w:hAnsi="Book Antiqua"/>
                <w:color w:val="000000" w:themeColor="text1"/>
              </w:rPr>
              <w:t>,</w:t>
            </w:r>
            <w:r w:rsidRPr="00257C0C">
              <w:rPr>
                <w:rFonts w:ascii="Book Antiqua" w:hAnsi="Book Antiqua"/>
                <w:color w:val="000000" w:themeColor="text1"/>
              </w:rPr>
              <w:t xml:space="preserve"> as observed within first 120 s</w:t>
            </w:r>
          </w:p>
        </w:tc>
        <w:tc>
          <w:tcPr>
            <w:tcW w:w="1381" w:type="dxa"/>
            <w:shd w:val="clear" w:color="auto" w:fill="auto"/>
          </w:tcPr>
          <w:p w14:paraId="0AE29BAE"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 (5.7)</w:t>
            </w:r>
          </w:p>
        </w:tc>
        <w:tc>
          <w:tcPr>
            <w:tcW w:w="1518" w:type="dxa"/>
            <w:shd w:val="clear" w:color="auto" w:fill="auto"/>
          </w:tcPr>
          <w:p w14:paraId="327B2A98"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 (3.4)</w:t>
            </w:r>
          </w:p>
        </w:tc>
        <w:tc>
          <w:tcPr>
            <w:tcW w:w="1538" w:type="dxa"/>
            <w:shd w:val="clear" w:color="auto" w:fill="auto"/>
          </w:tcPr>
          <w:p w14:paraId="3A1DCE87"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 (0.0)</w:t>
            </w:r>
          </w:p>
        </w:tc>
        <w:tc>
          <w:tcPr>
            <w:tcW w:w="1509" w:type="dxa"/>
            <w:shd w:val="clear" w:color="auto" w:fill="auto"/>
          </w:tcPr>
          <w:p w14:paraId="2488EB8F"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33C1909C"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2662452E" w14:textId="77777777" w:rsidTr="001D03BD">
        <w:tc>
          <w:tcPr>
            <w:tcW w:w="2060" w:type="dxa"/>
            <w:shd w:val="clear" w:color="auto" w:fill="auto"/>
          </w:tcPr>
          <w:p w14:paraId="524F33D7"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rPr>
            </w:pPr>
            <w:r w:rsidRPr="00257C0C">
              <w:rPr>
                <w:rFonts w:ascii="Book Antiqua" w:hAnsi="Book Antiqua"/>
                <w:color w:val="000000" w:themeColor="text1"/>
              </w:rPr>
              <w:t>Mild</w:t>
            </w:r>
          </w:p>
        </w:tc>
        <w:tc>
          <w:tcPr>
            <w:tcW w:w="1381" w:type="dxa"/>
            <w:shd w:val="clear" w:color="auto" w:fill="auto"/>
          </w:tcPr>
          <w:p w14:paraId="43849187"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33 (94.3)</w:t>
            </w:r>
          </w:p>
        </w:tc>
        <w:tc>
          <w:tcPr>
            <w:tcW w:w="1518" w:type="dxa"/>
            <w:shd w:val="clear" w:color="auto" w:fill="auto"/>
          </w:tcPr>
          <w:p w14:paraId="4FCFBA63"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28 (96.6)</w:t>
            </w:r>
          </w:p>
        </w:tc>
        <w:tc>
          <w:tcPr>
            <w:tcW w:w="1538" w:type="dxa"/>
            <w:shd w:val="clear" w:color="auto" w:fill="auto"/>
          </w:tcPr>
          <w:p w14:paraId="6F2E59B4"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70 (100.0)</w:t>
            </w:r>
          </w:p>
        </w:tc>
        <w:tc>
          <w:tcPr>
            <w:tcW w:w="1509" w:type="dxa"/>
            <w:shd w:val="clear" w:color="auto" w:fill="auto"/>
          </w:tcPr>
          <w:p w14:paraId="6034444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502B40D0"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24BE80F5" w14:textId="77777777" w:rsidTr="001D03BD">
        <w:tc>
          <w:tcPr>
            <w:tcW w:w="2060" w:type="dxa"/>
            <w:shd w:val="clear" w:color="auto" w:fill="auto"/>
          </w:tcPr>
          <w:p w14:paraId="2304B27B"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CEUS LI-RADS</w:t>
            </w:r>
          </w:p>
        </w:tc>
        <w:tc>
          <w:tcPr>
            <w:tcW w:w="1381" w:type="dxa"/>
            <w:shd w:val="clear" w:color="auto" w:fill="auto"/>
          </w:tcPr>
          <w:p w14:paraId="063FD814"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18" w:type="dxa"/>
            <w:shd w:val="clear" w:color="auto" w:fill="auto"/>
          </w:tcPr>
          <w:p w14:paraId="5A511E01"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38" w:type="dxa"/>
            <w:shd w:val="clear" w:color="auto" w:fill="auto"/>
          </w:tcPr>
          <w:p w14:paraId="74F8E2AE"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509" w:type="dxa"/>
            <w:shd w:val="clear" w:color="auto" w:fill="auto"/>
          </w:tcPr>
          <w:p w14:paraId="0B1D10A5"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0.003</w:t>
            </w:r>
          </w:p>
        </w:tc>
        <w:tc>
          <w:tcPr>
            <w:tcW w:w="1354" w:type="dxa"/>
            <w:shd w:val="clear" w:color="auto" w:fill="auto"/>
          </w:tcPr>
          <w:p w14:paraId="75143EEA" w14:textId="3C94CD19"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&lt; 0.001</w:t>
            </w:r>
          </w:p>
        </w:tc>
      </w:tr>
      <w:tr w:rsidR="002C7E29" w:rsidRPr="002C7E29" w14:paraId="503620FB" w14:textId="77777777" w:rsidTr="001D03BD">
        <w:tc>
          <w:tcPr>
            <w:tcW w:w="2060" w:type="dxa"/>
            <w:shd w:val="clear" w:color="auto" w:fill="auto"/>
          </w:tcPr>
          <w:p w14:paraId="3B660AD9"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LR-5</w:t>
            </w:r>
          </w:p>
        </w:tc>
        <w:tc>
          <w:tcPr>
            <w:tcW w:w="1381" w:type="dxa"/>
            <w:shd w:val="clear" w:color="auto" w:fill="auto"/>
          </w:tcPr>
          <w:p w14:paraId="54BB0A7C"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 (25.7)</w:t>
            </w:r>
          </w:p>
        </w:tc>
        <w:tc>
          <w:tcPr>
            <w:tcW w:w="1518" w:type="dxa"/>
            <w:shd w:val="clear" w:color="auto" w:fill="auto"/>
          </w:tcPr>
          <w:p w14:paraId="268E2737"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 (0.0)</w:t>
            </w:r>
          </w:p>
        </w:tc>
        <w:tc>
          <w:tcPr>
            <w:tcW w:w="1538" w:type="dxa"/>
            <w:shd w:val="clear" w:color="auto" w:fill="auto"/>
          </w:tcPr>
          <w:p w14:paraId="36833F99"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57 (81.4)</w:t>
            </w:r>
          </w:p>
        </w:tc>
        <w:tc>
          <w:tcPr>
            <w:tcW w:w="1509" w:type="dxa"/>
            <w:shd w:val="clear" w:color="auto" w:fill="auto"/>
          </w:tcPr>
          <w:p w14:paraId="642BA985"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shd w:val="clear" w:color="auto" w:fill="auto"/>
          </w:tcPr>
          <w:p w14:paraId="7A134474"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r w:rsidR="002C7E29" w:rsidRPr="002C7E29" w14:paraId="5D98A9A4" w14:textId="77777777" w:rsidTr="001D03BD">
        <w:tc>
          <w:tcPr>
            <w:tcW w:w="2060" w:type="dxa"/>
            <w:tcBorders>
              <w:bottom w:val="single" w:sz="4" w:space="0" w:color="auto"/>
            </w:tcBorders>
            <w:shd w:val="clear" w:color="auto" w:fill="auto"/>
          </w:tcPr>
          <w:p w14:paraId="479C2D5A" w14:textId="77777777" w:rsidR="00BD3FBF" w:rsidRPr="00257C0C" w:rsidRDefault="00BD3FBF"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LR-M</w:t>
            </w:r>
          </w:p>
        </w:tc>
        <w:tc>
          <w:tcPr>
            <w:tcW w:w="1381" w:type="dxa"/>
            <w:tcBorders>
              <w:bottom w:val="single" w:sz="4" w:space="0" w:color="auto"/>
            </w:tcBorders>
            <w:shd w:val="clear" w:color="auto" w:fill="auto"/>
          </w:tcPr>
          <w:p w14:paraId="4D84AC50"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 (74.3)</w:t>
            </w:r>
          </w:p>
        </w:tc>
        <w:tc>
          <w:tcPr>
            <w:tcW w:w="1518" w:type="dxa"/>
            <w:tcBorders>
              <w:bottom w:val="single" w:sz="4" w:space="0" w:color="auto"/>
            </w:tcBorders>
            <w:shd w:val="clear" w:color="auto" w:fill="auto"/>
          </w:tcPr>
          <w:p w14:paraId="75D35200"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29 (100.0)</w:t>
            </w:r>
          </w:p>
        </w:tc>
        <w:tc>
          <w:tcPr>
            <w:tcW w:w="1538" w:type="dxa"/>
            <w:tcBorders>
              <w:bottom w:val="single" w:sz="4" w:space="0" w:color="auto"/>
            </w:tcBorders>
            <w:shd w:val="clear" w:color="auto" w:fill="auto"/>
          </w:tcPr>
          <w:p w14:paraId="46FDBB24" w14:textId="77777777" w:rsidR="00BD3FBF"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13 (18.6)</w:t>
            </w:r>
          </w:p>
        </w:tc>
        <w:tc>
          <w:tcPr>
            <w:tcW w:w="1509" w:type="dxa"/>
            <w:tcBorders>
              <w:bottom w:val="single" w:sz="4" w:space="0" w:color="auto"/>
            </w:tcBorders>
            <w:shd w:val="clear" w:color="auto" w:fill="auto"/>
          </w:tcPr>
          <w:p w14:paraId="0F0138B6"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c>
          <w:tcPr>
            <w:tcW w:w="1354" w:type="dxa"/>
            <w:tcBorders>
              <w:bottom w:val="single" w:sz="4" w:space="0" w:color="auto"/>
            </w:tcBorders>
            <w:shd w:val="clear" w:color="auto" w:fill="auto"/>
          </w:tcPr>
          <w:p w14:paraId="3CE94F6C" w14:textId="77777777" w:rsidR="00BD3FBF" w:rsidRPr="00257C0C" w:rsidRDefault="00BD3FBF" w:rsidP="00257C0C">
            <w:pPr>
              <w:snapToGrid w:val="0"/>
              <w:spacing w:line="360" w:lineRule="auto"/>
              <w:jc w:val="both"/>
              <w:rPr>
                <w:rFonts w:ascii="Book Antiqua" w:hAnsi="Book Antiqua"/>
                <w:color w:val="000000" w:themeColor="text1"/>
                <w:lang w:eastAsia="zh-CN"/>
              </w:rPr>
            </w:pPr>
          </w:p>
        </w:tc>
      </w:tr>
    </w:tbl>
    <w:p w14:paraId="0014EFA9" w14:textId="68750F86" w:rsidR="001D03BD" w:rsidRPr="00257C0C" w:rsidRDefault="00BD3FBF"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 xml:space="preserve">P1 significant difference between </w:t>
      </w:r>
      <w:r w:rsidRPr="00257C0C">
        <w:rPr>
          <w:rFonts w:ascii="Book Antiqua" w:hAnsi="Book Antiqua"/>
          <w:color w:val="000000" w:themeColor="text1"/>
        </w:rPr>
        <w:t>combined hepatocellular-cholangiocarcinoma</w:t>
      </w:r>
      <w:r w:rsidRPr="00257C0C">
        <w:rPr>
          <w:rStyle w:val="fontstyle21"/>
          <w:rFonts w:ascii="Book Antiqua" w:hAnsi="Book Antiqua"/>
          <w:color w:val="000000" w:themeColor="text1"/>
          <w:sz w:val="24"/>
          <w:szCs w:val="24"/>
        </w:rPr>
        <w:t xml:space="preserve"> and </w:t>
      </w:r>
      <w:r w:rsidRPr="00257C0C">
        <w:rPr>
          <w:rFonts w:ascii="Book Antiqua" w:hAnsi="Book Antiqua"/>
          <w:color w:val="000000" w:themeColor="text1"/>
        </w:rPr>
        <w:t>intra</w:t>
      </w:r>
      <w:r w:rsidRPr="00257C0C">
        <w:rPr>
          <w:rFonts w:ascii="Book Antiqua" w:hAnsi="Book Antiqua"/>
          <w:color w:val="000000" w:themeColor="text1"/>
          <w:lang w:eastAsia="zh-CN"/>
        </w:rPr>
        <w:t xml:space="preserve">hepatic cholangiocarcinoma. P2 significant difference between </w:t>
      </w:r>
      <w:r w:rsidRPr="00257C0C">
        <w:rPr>
          <w:rFonts w:ascii="Book Antiqua" w:hAnsi="Book Antiqua"/>
          <w:color w:val="000000" w:themeColor="text1"/>
        </w:rPr>
        <w:t>combined hepatocellular-cholangiocarcinoma</w:t>
      </w:r>
      <w:r w:rsidRPr="00257C0C">
        <w:rPr>
          <w:rStyle w:val="fontstyle21"/>
          <w:rFonts w:ascii="Book Antiqua" w:hAnsi="Book Antiqua"/>
          <w:color w:val="000000" w:themeColor="text1"/>
          <w:sz w:val="24"/>
          <w:szCs w:val="24"/>
        </w:rPr>
        <w:t xml:space="preserve"> </w:t>
      </w:r>
      <w:r w:rsidRPr="00257C0C">
        <w:rPr>
          <w:rStyle w:val="fontstyle21"/>
          <w:rFonts w:ascii="Book Antiqua" w:hAnsi="Book Antiqua"/>
          <w:color w:val="000000" w:themeColor="text1"/>
          <w:sz w:val="24"/>
          <w:szCs w:val="24"/>
          <w:lang w:eastAsia="zh-CN"/>
        </w:rPr>
        <w:t>and</w:t>
      </w:r>
      <w:r w:rsidRPr="00257C0C">
        <w:rPr>
          <w:rStyle w:val="fontstyle21"/>
          <w:rFonts w:ascii="Book Antiqua" w:hAnsi="Book Antiqua"/>
          <w:color w:val="000000" w:themeColor="text1"/>
          <w:sz w:val="24"/>
          <w:szCs w:val="24"/>
        </w:rPr>
        <w:t xml:space="preserve"> </w:t>
      </w:r>
      <w:r w:rsidRPr="00257C0C">
        <w:rPr>
          <w:rFonts w:ascii="Book Antiqua" w:hAnsi="Book Antiqua"/>
          <w:color w:val="000000" w:themeColor="text1"/>
          <w:lang w:eastAsia="zh-CN"/>
        </w:rPr>
        <w:t xml:space="preserve">hepatocellular carcinoma. </w:t>
      </w:r>
      <w:r w:rsidR="001276A6" w:rsidRPr="00DE6B18">
        <w:rPr>
          <w:rFonts w:ascii="Book Antiqua" w:hAnsi="Book Antiqua"/>
          <w:color w:val="000000" w:themeColor="text1"/>
          <w:lang w:eastAsia="zh-CN"/>
        </w:rPr>
        <w:t>APHE: Arterial phase hyperenhancement</w:t>
      </w:r>
      <w:r w:rsidR="001276A6">
        <w:rPr>
          <w:rFonts w:ascii="Book Antiqua" w:hAnsi="Book Antiqua"/>
          <w:color w:val="000000" w:themeColor="text1"/>
          <w:lang w:eastAsia="zh-CN"/>
        </w:rPr>
        <w:t>;</w:t>
      </w:r>
      <w:r w:rsidR="001276A6" w:rsidRPr="001276A6">
        <w:rPr>
          <w:rFonts w:ascii="Book Antiqua" w:hAnsi="Book Antiqua"/>
          <w:color w:val="000000" w:themeColor="text1"/>
        </w:rPr>
        <w:t xml:space="preserve"> </w:t>
      </w:r>
      <w:r w:rsidRPr="00257C0C">
        <w:rPr>
          <w:rFonts w:ascii="Book Antiqua" w:hAnsi="Book Antiqua"/>
          <w:color w:val="000000" w:themeColor="text1"/>
        </w:rPr>
        <w:t xml:space="preserve">CHC: Combined hepatocellular-cholangiocarcinoma; </w:t>
      </w:r>
      <w:r w:rsidR="001276A6" w:rsidRPr="00244982">
        <w:rPr>
          <w:rFonts w:ascii="Book Antiqua" w:hAnsi="Book Antiqua"/>
          <w:color w:val="000000" w:themeColor="text1"/>
          <w:lang w:eastAsia="zh-CN"/>
        </w:rPr>
        <w:t xml:space="preserve">HCC: Hepatocellular carcinoma; </w:t>
      </w:r>
      <w:r w:rsidRPr="00257C0C">
        <w:rPr>
          <w:rFonts w:ascii="Book Antiqua" w:hAnsi="Book Antiqua"/>
          <w:color w:val="000000" w:themeColor="text1"/>
        </w:rPr>
        <w:t>ICC: Intra</w:t>
      </w:r>
      <w:r w:rsidRPr="00257C0C">
        <w:rPr>
          <w:rFonts w:ascii="Book Antiqua" w:hAnsi="Book Antiqua"/>
          <w:color w:val="000000" w:themeColor="text1"/>
          <w:lang w:eastAsia="zh-CN"/>
        </w:rPr>
        <w:t>hepatic cholangiocarcinoma; LI-RADS: Liver Image Reporting and Data System.</w:t>
      </w:r>
    </w:p>
    <w:p w14:paraId="7AED2959" w14:textId="0787A207" w:rsidR="007D5730"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color w:val="000000" w:themeColor="text1"/>
          <w:lang w:eastAsia="zh-CN"/>
        </w:rPr>
        <w:br w:type="page"/>
      </w:r>
      <w:r w:rsidRPr="00257C0C">
        <w:rPr>
          <w:rFonts w:ascii="Book Antiqua" w:hAnsi="Book Antiqua"/>
          <w:b/>
          <w:bCs/>
          <w:color w:val="000000" w:themeColor="text1"/>
          <w:lang w:eastAsia="zh-CN"/>
        </w:rPr>
        <w:t xml:space="preserve">Table 3 The inter-observer agreement of contrasted-enhanced ultrasound features for the </w:t>
      </w:r>
      <w:r w:rsidR="0013318D" w:rsidRPr="00257C0C">
        <w:rPr>
          <w:rFonts w:ascii="Book Antiqua" w:hAnsi="Book Antiqua"/>
          <w:b/>
          <w:bCs/>
          <w:color w:val="000000" w:themeColor="text1"/>
          <w:lang w:eastAsia="zh-CN"/>
        </w:rPr>
        <w:t>c</w:t>
      </w:r>
      <w:r w:rsidRPr="00257C0C">
        <w:rPr>
          <w:rFonts w:ascii="Book Antiqua" w:hAnsi="Book Antiqua"/>
          <w:b/>
          <w:bCs/>
          <w:color w:val="000000" w:themeColor="text1"/>
          <w:lang w:eastAsia="zh-CN"/>
        </w:rPr>
        <w:t>ombined hepatocellular-cholangiocarcinomas and non-</w:t>
      </w:r>
      <w:r w:rsidR="0013318D" w:rsidRPr="00257C0C">
        <w:rPr>
          <w:rFonts w:ascii="Book Antiqua" w:hAnsi="Book Antiqua"/>
          <w:b/>
          <w:bCs/>
          <w:color w:val="000000" w:themeColor="text1"/>
          <w:lang w:eastAsia="zh-CN"/>
        </w:rPr>
        <w:t>combined hepatocellular-cholangiocarcinoma</w:t>
      </w:r>
      <w:r w:rsidRPr="00257C0C">
        <w:rPr>
          <w:rFonts w:ascii="Book Antiqua" w:hAnsi="Book Antiqua"/>
          <w:b/>
          <w:bCs/>
          <w:color w:val="000000" w:themeColor="text1"/>
          <w:lang w:eastAsia="zh-CN"/>
        </w:rPr>
        <w:t>s lesions</w:t>
      </w:r>
    </w:p>
    <w:tbl>
      <w:tblPr>
        <w:tblStyle w:val="a6"/>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1134"/>
        <w:gridCol w:w="1134"/>
        <w:gridCol w:w="1125"/>
        <w:gridCol w:w="1426"/>
        <w:gridCol w:w="1418"/>
        <w:gridCol w:w="1246"/>
      </w:tblGrid>
      <w:tr w:rsidR="002C7E29" w:rsidRPr="002C7E29" w14:paraId="154E98EB" w14:textId="77777777" w:rsidTr="00A14A03">
        <w:tc>
          <w:tcPr>
            <w:tcW w:w="2093" w:type="dxa"/>
            <w:vMerge w:val="restart"/>
            <w:tcBorders>
              <w:top w:val="single" w:sz="4" w:space="0" w:color="auto"/>
              <w:bottom w:val="single" w:sz="4" w:space="0" w:color="auto"/>
            </w:tcBorders>
            <w:shd w:val="clear" w:color="auto" w:fill="auto"/>
          </w:tcPr>
          <w:p w14:paraId="78BE4AA4"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2268" w:type="dxa"/>
            <w:gridSpan w:val="2"/>
            <w:tcBorders>
              <w:top w:val="single" w:sz="4" w:space="0" w:color="auto"/>
              <w:bottom w:val="single" w:sz="4" w:space="0" w:color="auto"/>
            </w:tcBorders>
            <w:shd w:val="clear" w:color="auto" w:fill="auto"/>
          </w:tcPr>
          <w:p w14:paraId="37427C3A" w14:textId="77777777"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CHC</w:t>
            </w:r>
          </w:p>
        </w:tc>
        <w:tc>
          <w:tcPr>
            <w:tcW w:w="1125" w:type="dxa"/>
            <w:vMerge w:val="restart"/>
            <w:tcBorders>
              <w:top w:val="single" w:sz="4" w:space="0" w:color="auto"/>
              <w:bottom w:val="single" w:sz="4" w:space="0" w:color="auto"/>
            </w:tcBorders>
            <w:shd w:val="clear" w:color="auto" w:fill="auto"/>
          </w:tcPr>
          <w:p w14:paraId="0CA48049" w14:textId="77777777"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K1</w:t>
            </w:r>
          </w:p>
        </w:tc>
        <w:tc>
          <w:tcPr>
            <w:tcW w:w="2844" w:type="dxa"/>
            <w:gridSpan w:val="2"/>
            <w:tcBorders>
              <w:top w:val="single" w:sz="4" w:space="0" w:color="auto"/>
              <w:bottom w:val="single" w:sz="4" w:space="0" w:color="auto"/>
            </w:tcBorders>
            <w:shd w:val="clear" w:color="auto" w:fill="auto"/>
          </w:tcPr>
          <w:p w14:paraId="1DDA2160" w14:textId="77777777"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Non-CHC</w:t>
            </w:r>
          </w:p>
        </w:tc>
        <w:tc>
          <w:tcPr>
            <w:tcW w:w="1246" w:type="dxa"/>
            <w:vMerge w:val="restart"/>
            <w:tcBorders>
              <w:top w:val="single" w:sz="4" w:space="0" w:color="auto"/>
              <w:bottom w:val="single" w:sz="4" w:space="0" w:color="auto"/>
            </w:tcBorders>
            <w:shd w:val="clear" w:color="auto" w:fill="auto"/>
          </w:tcPr>
          <w:p w14:paraId="543F23D6" w14:textId="77777777"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K2</w:t>
            </w:r>
          </w:p>
        </w:tc>
      </w:tr>
      <w:tr w:rsidR="002C7E29" w:rsidRPr="002C7E29" w14:paraId="28FD32EE" w14:textId="77777777" w:rsidTr="00A14A03">
        <w:tc>
          <w:tcPr>
            <w:tcW w:w="2093" w:type="dxa"/>
            <w:vMerge/>
            <w:tcBorders>
              <w:top w:val="single" w:sz="4" w:space="0" w:color="auto"/>
              <w:bottom w:val="single" w:sz="4" w:space="0" w:color="auto"/>
            </w:tcBorders>
            <w:shd w:val="clear" w:color="auto" w:fill="auto"/>
          </w:tcPr>
          <w:p w14:paraId="034D307D"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34" w:type="dxa"/>
            <w:tcBorders>
              <w:top w:val="single" w:sz="4" w:space="0" w:color="auto"/>
              <w:bottom w:val="single" w:sz="4" w:space="0" w:color="auto"/>
            </w:tcBorders>
            <w:shd w:val="clear" w:color="auto" w:fill="auto"/>
          </w:tcPr>
          <w:p w14:paraId="4349D8F7" w14:textId="776AFF62"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Reader</w:t>
            </w:r>
            <w:r w:rsidR="00A14A03" w:rsidRPr="00257C0C">
              <w:rPr>
                <w:rFonts w:ascii="Book Antiqua" w:hAnsi="Book Antiqua"/>
                <w:b/>
                <w:bCs/>
                <w:color w:val="000000" w:themeColor="text1"/>
                <w:lang w:eastAsia="zh-CN"/>
              </w:rPr>
              <w:t xml:space="preserve"> </w:t>
            </w:r>
            <w:r w:rsidRPr="00257C0C">
              <w:rPr>
                <w:rFonts w:ascii="Book Antiqua" w:hAnsi="Book Antiqua"/>
                <w:b/>
                <w:bCs/>
                <w:color w:val="000000" w:themeColor="text1"/>
                <w:lang w:eastAsia="zh-CN"/>
              </w:rPr>
              <w:t>1</w:t>
            </w:r>
          </w:p>
        </w:tc>
        <w:tc>
          <w:tcPr>
            <w:tcW w:w="1134" w:type="dxa"/>
            <w:tcBorders>
              <w:top w:val="single" w:sz="4" w:space="0" w:color="auto"/>
              <w:bottom w:val="single" w:sz="4" w:space="0" w:color="auto"/>
            </w:tcBorders>
            <w:shd w:val="clear" w:color="auto" w:fill="auto"/>
          </w:tcPr>
          <w:p w14:paraId="0315665C" w14:textId="5ED4411F"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Reader</w:t>
            </w:r>
            <w:r w:rsidR="00A14A03" w:rsidRPr="00257C0C">
              <w:rPr>
                <w:rFonts w:ascii="Book Antiqua" w:hAnsi="Book Antiqua"/>
                <w:b/>
                <w:bCs/>
                <w:color w:val="000000" w:themeColor="text1"/>
                <w:lang w:eastAsia="zh-CN"/>
              </w:rPr>
              <w:t xml:space="preserve"> </w:t>
            </w:r>
            <w:r w:rsidRPr="00257C0C">
              <w:rPr>
                <w:rFonts w:ascii="Book Antiqua" w:hAnsi="Book Antiqua"/>
                <w:b/>
                <w:bCs/>
                <w:color w:val="000000" w:themeColor="text1"/>
                <w:lang w:eastAsia="zh-CN"/>
              </w:rPr>
              <w:t>2</w:t>
            </w:r>
          </w:p>
        </w:tc>
        <w:tc>
          <w:tcPr>
            <w:tcW w:w="1125" w:type="dxa"/>
            <w:vMerge/>
            <w:tcBorders>
              <w:top w:val="single" w:sz="4" w:space="0" w:color="auto"/>
              <w:bottom w:val="single" w:sz="4" w:space="0" w:color="auto"/>
            </w:tcBorders>
            <w:shd w:val="clear" w:color="auto" w:fill="auto"/>
          </w:tcPr>
          <w:p w14:paraId="67048DBE" w14:textId="77777777" w:rsidR="001D03BD" w:rsidRPr="00257C0C" w:rsidRDefault="001D03BD" w:rsidP="00257C0C">
            <w:pPr>
              <w:snapToGrid w:val="0"/>
              <w:spacing w:line="360" w:lineRule="auto"/>
              <w:jc w:val="both"/>
              <w:rPr>
                <w:rFonts w:ascii="Book Antiqua" w:hAnsi="Book Antiqua"/>
                <w:b/>
                <w:bCs/>
                <w:color w:val="000000" w:themeColor="text1"/>
                <w:lang w:eastAsia="zh-CN"/>
              </w:rPr>
            </w:pPr>
          </w:p>
        </w:tc>
        <w:tc>
          <w:tcPr>
            <w:tcW w:w="1426" w:type="dxa"/>
            <w:tcBorders>
              <w:top w:val="single" w:sz="4" w:space="0" w:color="auto"/>
              <w:bottom w:val="single" w:sz="4" w:space="0" w:color="auto"/>
            </w:tcBorders>
            <w:shd w:val="clear" w:color="auto" w:fill="auto"/>
          </w:tcPr>
          <w:p w14:paraId="34BEA651" w14:textId="0FD3191B"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Reader</w:t>
            </w:r>
            <w:r w:rsidR="00A14A03" w:rsidRPr="00257C0C">
              <w:rPr>
                <w:rFonts w:ascii="Book Antiqua" w:hAnsi="Book Antiqua"/>
                <w:b/>
                <w:bCs/>
                <w:color w:val="000000" w:themeColor="text1"/>
                <w:lang w:eastAsia="zh-CN"/>
              </w:rPr>
              <w:t xml:space="preserve"> </w:t>
            </w:r>
            <w:r w:rsidRPr="00257C0C">
              <w:rPr>
                <w:rFonts w:ascii="Book Antiqua" w:hAnsi="Book Antiqua"/>
                <w:b/>
                <w:bCs/>
                <w:color w:val="000000" w:themeColor="text1"/>
                <w:lang w:eastAsia="zh-CN"/>
              </w:rPr>
              <w:t>1</w:t>
            </w:r>
          </w:p>
        </w:tc>
        <w:tc>
          <w:tcPr>
            <w:tcW w:w="1418" w:type="dxa"/>
            <w:tcBorders>
              <w:top w:val="single" w:sz="4" w:space="0" w:color="auto"/>
              <w:bottom w:val="single" w:sz="4" w:space="0" w:color="auto"/>
            </w:tcBorders>
            <w:shd w:val="clear" w:color="auto" w:fill="auto"/>
          </w:tcPr>
          <w:p w14:paraId="10FF3850" w14:textId="3076E84B" w:rsidR="001D03BD" w:rsidRPr="00257C0C" w:rsidRDefault="001D03BD"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Reader</w:t>
            </w:r>
            <w:r w:rsidR="00A14A03" w:rsidRPr="00257C0C">
              <w:rPr>
                <w:rFonts w:ascii="Book Antiqua" w:hAnsi="Book Antiqua"/>
                <w:b/>
                <w:bCs/>
                <w:color w:val="000000" w:themeColor="text1"/>
                <w:lang w:eastAsia="zh-CN"/>
              </w:rPr>
              <w:t xml:space="preserve"> </w:t>
            </w:r>
            <w:r w:rsidRPr="00257C0C">
              <w:rPr>
                <w:rFonts w:ascii="Book Antiqua" w:hAnsi="Book Antiqua"/>
                <w:b/>
                <w:bCs/>
                <w:color w:val="000000" w:themeColor="text1"/>
                <w:lang w:eastAsia="zh-CN"/>
              </w:rPr>
              <w:t>2</w:t>
            </w:r>
          </w:p>
        </w:tc>
        <w:tc>
          <w:tcPr>
            <w:tcW w:w="1246" w:type="dxa"/>
            <w:vMerge/>
            <w:tcBorders>
              <w:top w:val="single" w:sz="4" w:space="0" w:color="auto"/>
              <w:bottom w:val="single" w:sz="4" w:space="0" w:color="auto"/>
            </w:tcBorders>
            <w:shd w:val="clear" w:color="auto" w:fill="auto"/>
          </w:tcPr>
          <w:p w14:paraId="2A200219"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386BBF2D" w14:textId="77777777" w:rsidTr="00A14A03">
        <w:tc>
          <w:tcPr>
            <w:tcW w:w="2093" w:type="dxa"/>
            <w:tcBorders>
              <w:top w:val="single" w:sz="4" w:space="0" w:color="auto"/>
            </w:tcBorders>
            <w:shd w:val="clear" w:color="auto" w:fill="auto"/>
          </w:tcPr>
          <w:p w14:paraId="149790A2"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APHE pattern</w:t>
            </w:r>
          </w:p>
        </w:tc>
        <w:tc>
          <w:tcPr>
            <w:tcW w:w="1134" w:type="dxa"/>
            <w:tcBorders>
              <w:top w:val="single" w:sz="4" w:space="0" w:color="auto"/>
            </w:tcBorders>
            <w:shd w:val="clear" w:color="auto" w:fill="auto"/>
          </w:tcPr>
          <w:p w14:paraId="159444DC"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34" w:type="dxa"/>
            <w:tcBorders>
              <w:top w:val="single" w:sz="4" w:space="0" w:color="auto"/>
            </w:tcBorders>
            <w:shd w:val="clear" w:color="auto" w:fill="auto"/>
          </w:tcPr>
          <w:p w14:paraId="742273A0"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25" w:type="dxa"/>
            <w:tcBorders>
              <w:top w:val="single" w:sz="4" w:space="0" w:color="auto"/>
            </w:tcBorders>
            <w:shd w:val="clear" w:color="auto" w:fill="auto"/>
          </w:tcPr>
          <w:p w14:paraId="68BABACE"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0.624</w:t>
            </w:r>
          </w:p>
        </w:tc>
        <w:tc>
          <w:tcPr>
            <w:tcW w:w="1426" w:type="dxa"/>
            <w:tcBorders>
              <w:top w:val="single" w:sz="4" w:space="0" w:color="auto"/>
            </w:tcBorders>
            <w:shd w:val="clear" w:color="auto" w:fill="auto"/>
          </w:tcPr>
          <w:p w14:paraId="5E9D7070"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18" w:type="dxa"/>
            <w:tcBorders>
              <w:top w:val="single" w:sz="4" w:space="0" w:color="auto"/>
            </w:tcBorders>
            <w:shd w:val="clear" w:color="auto" w:fill="auto"/>
          </w:tcPr>
          <w:p w14:paraId="58EF5F57"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246" w:type="dxa"/>
            <w:tcBorders>
              <w:top w:val="single" w:sz="4" w:space="0" w:color="auto"/>
            </w:tcBorders>
            <w:shd w:val="clear" w:color="auto" w:fill="auto"/>
          </w:tcPr>
          <w:p w14:paraId="7229609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0.524</w:t>
            </w:r>
          </w:p>
        </w:tc>
      </w:tr>
      <w:tr w:rsidR="002C7E29" w:rsidRPr="002C7E29" w14:paraId="20DD2727" w14:textId="77777777" w:rsidTr="00A14A03">
        <w:tc>
          <w:tcPr>
            <w:tcW w:w="2093" w:type="dxa"/>
            <w:shd w:val="clear" w:color="auto" w:fill="auto"/>
          </w:tcPr>
          <w:p w14:paraId="1891E2EA" w14:textId="77777777"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Rim-like</w:t>
            </w:r>
          </w:p>
        </w:tc>
        <w:tc>
          <w:tcPr>
            <w:tcW w:w="1134" w:type="dxa"/>
            <w:shd w:val="clear" w:color="auto" w:fill="auto"/>
          </w:tcPr>
          <w:p w14:paraId="2FBADC0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w:t>
            </w:r>
          </w:p>
        </w:tc>
        <w:tc>
          <w:tcPr>
            <w:tcW w:w="1134" w:type="dxa"/>
            <w:shd w:val="clear" w:color="auto" w:fill="auto"/>
          </w:tcPr>
          <w:p w14:paraId="2E9730FD"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w:t>
            </w:r>
          </w:p>
        </w:tc>
        <w:tc>
          <w:tcPr>
            <w:tcW w:w="1125" w:type="dxa"/>
            <w:shd w:val="clear" w:color="auto" w:fill="auto"/>
          </w:tcPr>
          <w:p w14:paraId="793F21D7"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06021D5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8</w:t>
            </w:r>
          </w:p>
        </w:tc>
        <w:tc>
          <w:tcPr>
            <w:tcW w:w="1418" w:type="dxa"/>
            <w:shd w:val="clear" w:color="auto" w:fill="auto"/>
          </w:tcPr>
          <w:p w14:paraId="1A2C12D5"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w:t>
            </w:r>
          </w:p>
        </w:tc>
        <w:tc>
          <w:tcPr>
            <w:tcW w:w="1246" w:type="dxa"/>
            <w:shd w:val="clear" w:color="auto" w:fill="auto"/>
          </w:tcPr>
          <w:p w14:paraId="27DB3DC3"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01983F42" w14:textId="77777777" w:rsidTr="00A14A03">
        <w:tc>
          <w:tcPr>
            <w:tcW w:w="2093" w:type="dxa"/>
            <w:shd w:val="clear" w:color="auto" w:fill="auto"/>
          </w:tcPr>
          <w:p w14:paraId="5F33B751" w14:textId="77777777"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lang w:eastAsia="zh-CN"/>
              </w:rPr>
              <w:t>Non-rim-like</w:t>
            </w:r>
          </w:p>
        </w:tc>
        <w:tc>
          <w:tcPr>
            <w:tcW w:w="1134" w:type="dxa"/>
            <w:shd w:val="clear" w:color="auto" w:fill="auto"/>
          </w:tcPr>
          <w:p w14:paraId="5E0C887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29</w:t>
            </w:r>
          </w:p>
        </w:tc>
        <w:tc>
          <w:tcPr>
            <w:tcW w:w="1134" w:type="dxa"/>
            <w:shd w:val="clear" w:color="auto" w:fill="auto"/>
          </w:tcPr>
          <w:p w14:paraId="21DB7E71"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32</w:t>
            </w:r>
          </w:p>
        </w:tc>
        <w:tc>
          <w:tcPr>
            <w:tcW w:w="1125" w:type="dxa"/>
            <w:shd w:val="clear" w:color="auto" w:fill="auto"/>
          </w:tcPr>
          <w:p w14:paraId="7C8E86A5"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02D060BB"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91</w:t>
            </w:r>
          </w:p>
        </w:tc>
        <w:tc>
          <w:tcPr>
            <w:tcW w:w="1418" w:type="dxa"/>
            <w:shd w:val="clear" w:color="auto" w:fill="auto"/>
          </w:tcPr>
          <w:p w14:paraId="0F1B91EB"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96</w:t>
            </w:r>
          </w:p>
        </w:tc>
        <w:tc>
          <w:tcPr>
            <w:tcW w:w="1246" w:type="dxa"/>
            <w:shd w:val="clear" w:color="auto" w:fill="auto"/>
          </w:tcPr>
          <w:p w14:paraId="2FB9AFC1"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20A45CA6" w14:textId="77777777" w:rsidTr="00A14A03">
        <w:tc>
          <w:tcPr>
            <w:tcW w:w="2093" w:type="dxa"/>
            <w:shd w:val="clear" w:color="auto" w:fill="auto"/>
          </w:tcPr>
          <w:p w14:paraId="48BF66AC"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Timing of washout onset</w:t>
            </w:r>
          </w:p>
        </w:tc>
        <w:tc>
          <w:tcPr>
            <w:tcW w:w="1134" w:type="dxa"/>
            <w:shd w:val="clear" w:color="auto" w:fill="auto"/>
          </w:tcPr>
          <w:p w14:paraId="71D2A7F4"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34" w:type="dxa"/>
            <w:shd w:val="clear" w:color="auto" w:fill="auto"/>
          </w:tcPr>
          <w:p w14:paraId="39822E48"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25" w:type="dxa"/>
            <w:shd w:val="clear" w:color="auto" w:fill="auto"/>
          </w:tcPr>
          <w:p w14:paraId="523656B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0.608</w:t>
            </w:r>
          </w:p>
        </w:tc>
        <w:tc>
          <w:tcPr>
            <w:tcW w:w="1426" w:type="dxa"/>
            <w:shd w:val="clear" w:color="auto" w:fill="auto"/>
          </w:tcPr>
          <w:p w14:paraId="09A8E301"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18" w:type="dxa"/>
            <w:shd w:val="clear" w:color="auto" w:fill="auto"/>
          </w:tcPr>
          <w:p w14:paraId="2F1945E7"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246" w:type="dxa"/>
            <w:shd w:val="clear" w:color="auto" w:fill="auto"/>
          </w:tcPr>
          <w:p w14:paraId="779B6CA8"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0.875</w:t>
            </w:r>
          </w:p>
        </w:tc>
      </w:tr>
      <w:tr w:rsidR="002C7E29" w:rsidRPr="002C7E29" w14:paraId="4476DC16" w14:textId="77777777" w:rsidTr="00A14A03">
        <w:tc>
          <w:tcPr>
            <w:tcW w:w="2093" w:type="dxa"/>
            <w:shd w:val="clear" w:color="auto" w:fill="auto"/>
          </w:tcPr>
          <w:p w14:paraId="5C830A45" w14:textId="7DA2D7BD"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Early</w:t>
            </w:r>
            <w:r w:rsidR="00A413BB">
              <w:rPr>
                <w:rFonts w:ascii="Book Antiqua" w:hAnsi="Book Antiqua"/>
                <w:color w:val="000000" w:themeColor="text1"/>
              </w:rPr>
              <w:t>,</w:t>
            </w:r>
            <w:r w:rsidRPr="00257C0C">
              <w:rPr>
                <w:rFonts w:ascii="Book Antiqua" w:hAnsi="Book Antiqua"/>
                <w:color w:val="000000" w:themeColor="text1"/>
              </w:rPr>
              <w:t xml:space="preserve"> &lt;</w:t>
            </w:r>
            <w:r w:rsidR="0013318D" w:rsidRPr="00257C0C">
              <w:rPr>
                <w:rFonts w:ascii="Book Antiqua" w:hAnsi="Book Antiqua"/>
                <w:color w:val="000000" w:themeColor="text1"/>
              </w:rPr>
              <w:t xml:space="preserve"> </w:t>
            </w:r>
            <w:r w:rsidRPr="00257C0C">
              <w:rPr>
                <w:rFonts w:ascii="Book Antiqua" w:hAnsi="Book Antiqua"/>
                <w:color w:val="000000" w:themeColor="text1"/>
              </w:rPr>
              <w:t>60 s</w:t>
            </w:r>
          </w:p>
        </w:tc>
        <w:tc>
          <w:tcPr>
            <w:tcW w:w="1134" w:type="dxa"/>
            <w:shd w:val="clear" w:color="auto" w:fill="auto"/>
          </w:tcPr>
          <w:p w14:paraId="2A2DDB3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w:t>
            </w:r>
          </w:p>
        </w:tc>
        <w:tc>
          <w:tcPr>
            <w:tcW w:w="1134" w:type="dxa"/>
            <w:shd w:val="clear" w:color="auto" w:fill="auto"/>
          </w:tcPr>
          <w:p w14:paraId="3C3FF19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22</w:t>
            </w:r>
          </w:p>
        </w:tc>
        <w:tc>
          <w:tcPr>
            <w:tcW w:w="1125" w:type="dxa"/>
            <w:shd w:val="clear" w:color="auto" w:fill="auto"/>
          </w:tcPr>
          <w:p w14:paraId="7C2456E4"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192660A4"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42</w:t>
            </w:r>
          </w:p>
        </w:tc>
        <w:tc>
          <w:tcPr>
            <w:tcW w:w="1418" w:type="dxa"/>
            <w:shd w:val="clear" w:color="auto" w:fill="auto"/>
          </w:tcPr>
          <w:p w14:paraId="7056382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40</w:t>
            </w:r>
          </w:p>
        </w:tc>
        <w:tc>
          <w:tcPr>
            <w:tcW w:w="1246" w:type="dxa"/>
            <w:shd w:val="clear" w:color="auto" w:fill="auto"/>
          </w:tcPr>
          <w:p w14:paraId="36B47846"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03D0AA94" w14:textId="77777777" w:rsidTr="00A14A03">
        <w:tc>
          <w:tcPr>
            <w:tcW w:w="2093" w:type="dxa"/>
            <w:shd w:val="clear" w:color="auto" w:fill="auto"/>
          </w:tcPr>
          <w:p w14:paraId="1EE61CD9" w14:textId="62430569" w:rsidR="001D03BD" w:rsidRPr="00257C0C" w:rsidRDefault="001D03BD" w:rsidP="00257C0C">
            <w:pPr>
              <w:snapToGrid w:val="0"/>
              <w:spacing w:line="360" w:lineRule="auto"/>
              <w:ind w:firstLineChars="100" w:firstLine="240"/>
              <w:jc w:val="both"/>
              <w:rPr>
                <w:rFonts w:ascii="Book Antiqua" w:hAnsi="Book Antiqua"/>
                <w:color w:val="000000" w:themeColor="text1"/>
              </w:rPr>
            </w:pPr>
            <w:r w:rsidRPr="00257C0C">
              <w:rPr>
                <w:rFonts w:ascii="Book Antiqua" w:hAnsi="Book Antiqua"/>
                <w:color w:val="000000" w:themeColor="text1"/>
              </w:rPr>
              <w:t>Late</w:t>
            </w:r>
            <w:r w:rsidR="00A413BB">
              <w:rPr>
                <w:rFonts w:ascii="Book Antiqua" w:hAnsi="Book Antiqua"/>
                <w:color w:val="000000" w:themeColor="text1"/>
              </w:rPr>
              <w:t>,</w:t>
            </w:r>
            <w:r w:rsidRPr="00257C0C">
              <w:rPr>
                <w:rFonts w:ascii="Book Antiqua" w:hAnsi="Book Antiqua"/>
                <w:color w:val="000000" w:themeColor="text1"/>
              </w:rPr>
              <w:t xml:space="preserve"> &gt;</w:t>
            </w:r>
            <w:r w:rsidR="0013318D" w:rsidRPr="00257C0C">
              <w:rPr>
                <w:rFonts w:ascii="Book Antiqua" w:hAnsi="Book Antiqua"/>
                <w:color w:val="000000" w:themeColor="text1"/>
              </w:rPr>
              <w:t xml:space="preserve"> </w:t>
            </w:r>
            <w:r w:rsidRPr="00257C0C">
              <w:rPr>
                <w:rFonts w:ascii="Book Antiqua" w:hAnsi="Book Antiqua"/>
                <w:color w:val="000000" w:themeColor="text1"/>
              </w:rPr>
              <w:t>60 s</w:t>
            </w:r>
          </w:p>
        </w:tc>
        <w:tc>
          <w:tcPr>
            <w:tcW w:w="1134" w:type="dxa"/>
            <w:shd w:val="clear" w:color="auto" w:fill="auto"/>
          </w:tcPr>
          <w:p w14:paraId="7CED770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w:t>
            </w:r>
          </w:p>
        </w:tc>
        <w:tc>
          <w:tcPr>
            <w:tcW w:w="1134" w:type="dxa"/>
            <w:shd w:val="clear" w:color="auto" w:fill="auto"/>
          </w:tcPr>
          <w:p w14:paraId="3CFC9C0A"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13</w:t>
            </w:r>
          </w:p>
        </w:tc>
        <w:tc>
          <w:tcPr>
            <w:tcW w:w="1125" w:type="dxa"/>
            <w:shd w:val="clear" w:color="auto" w:fill="auto"/>
          </w:tcPr>
          <w:p w14:paraId="41FB0A91"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56D13BD5"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57</w:t>
            </w:r>
          </w:p>
        </w:tc>
        <w:tc>
          <w:tcPr>
            <w:tcW w:w="1418" w:type="dxa"/>
            <w:shd w:val="clear" w:color="auto" w:fill="auto"/>
          </w:tcPr>
          <w:p w14:paraId="33F14E72"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59</w:t>
            </w:r>
          </w:p>
        </w:tc>
        <w:tc>
          <w:tcPr>
            <w:tcW w:w="1246" w:type="dxa"/>
            <w:shd w:val="clear" w:color="auto" w:fill="auto"/>
          </w:tcPr>
          <w:p w14:paraId="4B5B2CC0"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08FCD0DD" w14:textId="77777777" w:rsidTr="00A14A03">
        <w:tc>
          <w:tcPr>
            <w:tcW w:w="2093" w:type="dxa"/>
            <w:shd w:val="clear" w:color="auto" w:fill="auto"/>
          </w:tcPr>
          <w:p w14:paraId="772CA7A9" w14:textId="77777777" w:rsidR="001D03BD" w:rsidRPr="00257C0C" w:rsidRDefault="001D03BD"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t>Degree of washout</w:t>
            </w:r>
          </w:p>
        </w:tc>
        <w:tc>
          <w:tcPr>
            <w:tcW w:w="1134" w:type="dxa"/>
            <w:shd w:val="clear" w:color="auto" w:fill="auto"/>
          </w:tcPr>
          <w:p w14:paraId="0728EB92"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34" w:type="dxa"/>
            <w:shd w:val="clear" w:color="auto" w:fill="auto"/>
          </w:tcPr>
          <w:p w14:paraId="47E1E62D"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25" w:type="dxa"/>
            <w:shd w:val="clear" w:color="auto" w:fill="auto"/>
          </w:tcPr>
          <w:p w14:paraId="404837A5"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0.635</w:t>
            </w:r>
          </w:p>
        </w:tc>
        <w:tc>
          <w:tcPr>
            <w:tcW w:w="1426" w:type="dxa"/>
            <w:shd w:val="clear" w:color="auto" w:fill="auto"/>
          </w:tcPr>
          <w:p w14:paraId="2D8B92FA"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18" w:type="dxa"/>
            <w:shd w:val="clear" w:color="auto" w:fill="auto"/>
          </w:tcPr>
          <w:p w14:paraId="5E925916"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246" w:type="dxa"/>
            <w:shd w:val="clear" w:color="auto" w:fill="auto"/>
          </w:tcPr>
          <w:p w14:paraId="2F7079C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0.662</w:t>
            </w:r>
          </w:p>
        </w:tc>
      </w:tr>
      <w:tr w:rsidR="002C7E29" w:rsidRPr="002C7E29" w14:paraId="6D2118EA" w14:textId="77777777" w:rsidTr="00A14A03">
        <w:trPr>
          <w:trHeight w:val="69"/>
        </w:trPr>
        <w:tc>
          <w:tcPr>
            <w:tcW w:w="2093" w:type="dxa"/>
            <w:shd w:val="clear" w:color="auto" w:fill="auto"/>
          </w:tcPr>
          <w:p w14:paraId="65E574A4" w14:textId="0FF4185C" w:rsidR="001D03BD" w:rsidRPr="00257C0C" w:rsidRDefault="001D03BD" w:rsidP="00257C0C">
            <w:pPr>
              <w:snapToGrid w:val="0"/>
              <w:spacing w:line="360" w:lineRule="auto"/>
              <w:ind w:firstLineChars="100" w:firstLine="240"/>
              <w:jc w:val="both"/>
              <w:rPr>
                <w:rFonts w:ascii="Book Antiqua" w:hAnsi="Book Antiqua"/>
                <w:color w:val="000000" w:themeColor="text1"/>
              </w:rPr>
            </w:pPr>
            <w:r w:rsidRPr="00257C0C">
              <w:rPr>
                <w:rFonts w:ascii="Book Antiqua" w:hAnsi="Book Antiqua"/>
                <w:color w:val="000000" w:themeColor="text1"/>
              </w:rPr>
              <w:t>Marked</w:t>
            </w:r>
            <w:r w:rsidR="00A413BB">
              <w:rPr>
                <w:rFonts w:ascii="Book Antiqua" w:hAnsi="Book Antiqua"/>
                <w:color w:val="000000" w:themeColor="text1"/>
              </w:rPr>
              <w:t>,</w:t>
            </w:r>
            <w:r w:rsidRPr="00257C0C">
              <w:rPr>
                <w:rFonts w:ascii="Book Antiqua" w:hAnsi="Book Antiqua"/>
                <w:color w:val="000000" w:themeColor="text1"/>
              </w:rPr>
              <w:t xml:space="preserve"> as observed within first 120 s</w:t>
            </w:r>
          </w:p>
        </w:tc>
        <w:tc>
          <w:tcPr>
            <w:tcW w:w="1134" w:type="dxa"/>
            <w:shd w:val="clear" w:color="auto" w:fill="auto"/>
          </w:tcPr>
          <w:p w14:paraId="2EB8A6EC"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w:t>
            </w:r>
          </w:p>
        </w:tc>
        <w:tc>
          <w:tcPr>
            <w:tcW w:w="1134" w:type="dxa"/>
            <w:shd w:val="clear" w:color="auto" w:fill="auto"/>
          </w:tcPr>
          <w:p w14:paraId="7CE8826C"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w:t>
            </w:r>
          </w:p>
        </w:tc>
        <w:tc>
          <w:tcPr>
            <w:tcW w:w="1125" w:type="dxa"/>
            <w:shd w:val="clear" w:color="auto" w:fill="auto"/>
          </w:tcPr>
          <w:p w14:paraId="7EE06F81"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032294E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w:t>
            </w:r>
          </w:p>
        </w:tc>
        <w:tc>
          <w:tcPr>
            <w:tcW w:w="1418" w:type="dxa"/>
            <w:shd w:val="clear" w:color="auto" w:fill="auto"/>
          </w:tcPr>
          <w:p w14:paraId="60B68707"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w:t>
            </w:r>
          </w:p>
        </w:tc>
        <w:tc>
          <w:tcPr>
            <w:tcW w:w="1246" w:type="dxa"/>
            <w:shd w:val="clear" w:color="auto" w:fill="auto"/>
          </w:tcPr>
          <w:p w14:paraId="55670B15"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7965ACAE" w14:textId="77777777" w:rsidTr="00A14A03">
        <w:tc>
          <w:tcPr>
            <w:tcW w:w="2093" w:type="dxa"/>
            <w:shd w:val="clear" w:color="auto" w:fill="auto"/>
          </w:tcPr>
          <w:p w14:paraId="29C5C59E" w14:textId="77777777"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Mild</w:t>
            </w:r>
          </w:p>
        </w:tc>
        <w:tc>
          <w:tcPr>
            <w:tcW w:w="1134" w:type="dxa"/>
            <w:shd w:val="clear" w:color="auto" w:fill="auto"/>
          </w:tcPr>
          <w:p w14:paraId="233AF49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32</w:t>
            </w:r>
          </w:p>
        </w:tc>
        <w:tc>
          <w:tcPr>
            <w:tcW w:w="1134" w:type="dxa"/>
            <w:shd w:val="clear" w:color="auto" w:fill="auto"/>
          </w:tcPr>
          <w:p w14:paraId="27C56B65"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32</w:t>
            </w:r>
          </w:p>
        </w:tc>
        <w:tc>
          <w:tcPr>
            <w:tcW w:w="1125" w:type="dxa"/>
            <w:shd w:val="clear" w:color="auto" w:fill="auto"/>
          </w:tcPr>
          <w:p w14:paraId="5BB5B9D0"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65A63C4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97</w:t>
            </w:r>
          </w:p>
        </w:tc>
        <w:tc>
          <w:tcPr>
            <w:tcW w:w="1418" w:type="dxa"/>
            <w:shd w:val="clear" w:color="auto" w:fill="auto"/>
          </w:tcPr>
          <w:p w14:paraId="35632FDC"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98</w:t>
            </w:r>
          </w:p>
        </w:tc>
        <w:tc>
          <w:tcPr>
            <w:tcW w:w="1246" w:type="dxa"/>
            <w:shd w:val="clear" w:color="auto" w:fill="auto"/>
          </w:tcPr>
          <w:p w14:paraId="392FCA03"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67B358E8" w14:textId="77777777" w:rsidTr="00A14A03">
        <w:tc>
          <w:tcPr>
            <w:tcW w:w="2093" w:type="dxa"/>
            <w:shd w:val="clear" w:color="auto" w:fill="auto"/>
          </w:tcPr>
          <w:p w14:paraId="4C9E7603"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rPr>
              <w:t>CEUS LI-RADS</w:t>
            </w:r>
          </w:p>
        </w:tc>
        <w:tc>
          <w:tcPr>
            <w:tcW w:w="1134" w:type="dxa"/>
            <w:shd w:val="clear" w:color="auto" w:fill="auto"/>
          </w:tcPr>
          <w:p w14:paraId="76223305"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34" w:type="dxa"/>
            <w:shd w:val="clear" w:color="auto" w:fill="auto"/>
          </w:tcPr>
          <w:p w14:paraId="190C302B"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125" w:type="dxa"/>
            <w:shd w:val="clear" w:color="auto" w:fill="auto"/>
          </w:tcPr>
          <w:p w14:paraId="03A0A41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0.663</w:t>
            </w:r>
          </w:p>
        </w:tc>
        <w:tc>
          <w:tcPr>
            <w:tcW w:w="1426" w:type="dxa"/>
            <w:shd w:val="clear" w:color="auto" w:fill="auto"/>
          </w:tcPr>
          <w:p w14:paraId="44C397E4"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18" w:type="dxa"/>
            <w:shd w:val="clear" w:color="auto" w:fill="auto"/>
          </w:tcPr>
          <w:p w14:paraId="1EA6CCA3"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246" w:type="dxa"/>
            <w:shd w:val="clear" w:color="auto" w:fill="auto"/>
          </w:tcPr>
          <w:p w14:paraId="000555A5"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0.876</w:t>
            </w:r>
          </w:p>
        </w:tc>
      </w:tr>
      <w:tr w:rsidR="002C7E29" w:rsidRPr="002C7E29" w14:paraId="6CFEA5BA" w14:textId="77777777" w:rsidTr="004047D2">
        <w:tc>
          <w:tcPr>
            <w:tcW w:w="2093" w:type="dxa"/>
            <w:shd w:val="clear" w:color="auto" w:fill="auto"/>
          </w:tcPr>
          <w:p w14:paraId="66669E70" w14:textId="77777777"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LR-5</w:t>
            </w:r>
          </w:p>
        </w:tc>
        <w:tc>
          <w:tcPr>
            <w:tcW w:w="1134" w:type="dxa"/>
            <w:shd w:val="clear" w:color="auto" w:fill="auto"/>
          </w:tcPr>
          <w:p w14:paraId="09D91472"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w:t>
            </w:r>
          </w:p>
        </w:tc>
        <w:tc>
          <w:tcPr>
            <w:tcW w:w="1134" w:type="dxa"/>
            <w:shd w:val="clear" w:color="auto" w:fill="auto"/>
          </w:tcPr>
          <w:p w14:paraId="67F2002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12</w:t>
            </w:r>
          </w:p>
        </w:tc>
        <w:tc>
          <w:tcPr>
            <w:tcW w:w="1125" w:type="dxa"/>
            <w:shd w:val="clear" w:color="auto" w:fill="auto"/>
          </w:tcPr>
          <w:p w14:paraId="49FCAE7C"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shd w:val="clear" w:color="auto" w:fill="auto"/>
          </w:tcPr>
          <w:p w14:paraId="7DBEAE79"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56</w:t>
            </w:r>
          </w:p>
        </w:tc>
        <w:tc>
          <w:tcPr>
            <w:tcW w:w="1418" w:type="dxa"/>
            <w:shd w:val="clear" w:color="auto" w:fill="auto"/>
          </w:tcPr>
          <w:p w14:paraId="1738599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58</w:t>
            </w:r>
          </w:p>
        </w:tc>
        <w:tc>
          <w:tcPr>
            <w:tcW w:w="1246" w:type="dxa"/>
            <w:shd w:val="clear" w:color="auto" w:fill="auto"/>
          </w:tcPr>
          <w:p w14:paraId="67D18C42"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r w:rsidR="002C7E29" w:rsidRPr="002C7E29" w14:paraId="2D5029ED" w14:textId="77777777" w:rsidTr="004047D2">
        <w:tc>
          <w:tcPr>
            <w:tcW w:w="2093" w:type="dxa"/>
            <w:tcBorders>
              <w:bottom w:val="single" w:sz="4" w:space="0" w:color="auto"/>
            </w:tcBorders>
            <w:shd w:val="clear" w:color="auto" w:fill="auto"/>
          </w:tcPr>
          <w:p w14:paraId="0028C40A" w14:textId="77777777" w:rsidR="001D03BD" w:rsidRPr="00257C0C" w:rsidRDefault="001D03BD" w:rsidP="00257C0C">
            <w:pPr>
              <w:snapToGrid w:val="0"/>
              <w:spacing w:line="360" w:lineRule="auto"/>
              <w:ind w:firstLineChars="100" w:firstLine="240"/>
              <w:jc w:val="both"/>
              <w:rPr>
                <w:rFonts w:ascii="Book Antiqua" w:hAnsi="Book Antiqua"/>
                <w:color w:val="000000" w:themeColor="text1"/>
                <w:lang w:eastAsia="zh-CN"/>
              </w:rPr>
            </w:pPr>
            <w:r w:rsidRPr="00257C0C">
              <w:rPr>
                <w:rFonts w:ascii="Book Antiqua" w:hAnsi="Book Antiqua"/>
                <w:color w:val="000000" w:themeColor="text1"/>
              </w:rPr>
              <w:t>LR-M</w:t>
            </w:r>
          </w:p>
        </w:tc>
        <w:tc>
          <w:tcPr>
            <w:tcW w:w="1134" w:type="dxa"/>
            <w:tcBorders>
              <w:bottom w:val="single" w:sz="4" w:space="0" w:color="auto"/>
            </w:tcBorders>
            <w:shd w:val="clear" w:color="auto" w:fill="auto"/>
          </w:tcPr>
          <w:p w14:paraId="36F563AA"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w:t>
            </w:r>
          </w:p>
        </w:tc>
        <w:tc>
          <w:tcPr>
            <w:tcW w:w="1134" w:type="dxa"/>
            <w:tcBorders>
              <w:bottom w:val="single" w:sz="4" w:space="0" w:color="auto"/>
            </w:tcBorders>
            <w:shd w:val="clear" w:color="auto" w:fill="auto"/>
          </w:tcPr>
          <w:p w14:paraId="7EFD34CA"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23</w:t>
            </w:r>
          </w:p>
        </w:tc>
        <w:tc>
          <w:tcPr>
            <w:tcW w:w="1125" w:type="dxa"/>
            <w:tcBorders>
              <w:bottom w:val="single" w:sz="4" w:space="0" w:color="auto"/>
            </w:tcBorders>
            <w:shd w:val="clear" w:color="auto" w:fill="auto"/>
          </w:tcPr>
          <w:p w14:paraId="52DF3546"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c>
          <w:tcPr>
            <w:tcW w:w="1426" w:type="dxa"/>
            <w:tcBorders>
              <w:bottom w:val="single" w:sz="4" w:space="0" w:color="auto"/>
            </w:tcBorders>
            <w:shd w:val="clear" w:color="auto" w:fill="auto"/>
          </w:tcPr>
          <w:p w14:paraId="580B9D10"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43</w:t>
            </w:r>
          </w:p>
        </w:tc>
        <w:tc>
          <w:tcPr>
            <w:tcW w:w="1418" w:type="dxa"/>
            <w:tcBorders>
              <w:bottom w:val="single" w:sz="4" w:space="0" w:color="auto"/>
            </w:tcBorders>
            <w:shd w:val="clear" w:color="auto" w:fill="auto"/>
          </w:tcPr>
          <w:p w14:paraId="50955876" w14:textId="77777777" w:rsidR="001D03BD" w:rsidRPr="00257C0C" w:rsidRDefault="001D03BD"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41</w:t>
            </w:r>
          </w:p>
        </w:tc>
        <w:tc>
          <w:tcPr>
            <w:tcW w:w="1246" w:type="dxa"/>
            <w:tcBorders>
              <w:bottom w:val="single" w:sz="4" w:space="0" w:color="auto"/>
            </w:tcBorders>
            <w:shd w:val="clear" w:color="auto" w:fill="auto"/>
          </w:tcPr>
          <w:p w14:paraId="0C6F850E" w14:textId="77777777" w:rsidR="001D03BD" w:rsidRPr="00257C0C" w:rsidRDefault="001D03BD" w:rsidP="00257C0C">
            <w:pPr>
              <w:snapToGrid w:val="0"/>
              <w:spacing w:line="360" w:lineRule="auto"/>
              <w:jc w:val="both"/>
              <w:rPr>
                <w:rFonts w:ascii="Book Antiqua" w:hAnsi="Book Antiqua"/>
                <w:color w:val="000000" w:themeColor="text1"/>
                <w:lang w:eastAsia="zh-CN"/>
              </w:rPr>
            </w:pPr>
          </w:p>
        </w:tc>
      </w:tr>
    </w:tbl>
    <w:p w14:paraId="6F8D6608" w14:textId="06616F8F" w:rsidR="009A73C2" w:rsidRPr="00257C0C" w:rsidRDefault="0013318D"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rPr>
        <w:t xml:space="preserve">Kappa values 0.81-1.0, 0.61-0.80, 0.41-0.60, 0.21-0.40, and 0.00-0.20 correspond to almost perfect, substantial, moderate, fair, and slight, respectively. </w:t>
      </w:r>
      <w:r w:rsidR="00A413BB" w:rsidRPr="00D80366">
        <w:rPr>
          <w:rFonts w:ascii="Book Antiqua" w:hAnsi="Book Antiqua"/>
          <w:color w:val="000000" w:themeColor="text1"/>
        </w:rPr>
        <w:t>APHE: Arterial Phase Hyperenhancement</w:t>
      </w:r>
      <w:r w:rsidR="00A413BB">
        <w:rPr>
          <w:rFonts w:ascii="Book Antiqua" w:hAnsi="Book Antiqua"/>
          <w:color w:val="000000" w:themeColor="text1"/>
        </w:rPr>
        <w:t>;</w:t>
      </w:r>
      <w:r w:rsidR="00A413BB" w:rsidRPr="00A413BB">
        <w:rPr>
          <w:rFonts w:ascii="Book Antiqua" w:hAnsi="Book Antiqua"/>
          <w:color w:val="000000" w:themeColor="text1"/>
        </w:rPr>
        <w:t xml:space="preserve"> </w:t>
      </w:r>
      <w:r w:rsidR="00A413BB" w:rsidRPr="00DF23A4">
        <w:rPr>
          <w:rFonts w:ascii="Book Antiqua" w:hAnsi="Book Antiqua"/>
          <w:color w:val="000000" w:themeColor="text1"/>
        </w:rPr>
        <w:t>CEUS: Contrasted-enhanced ultrasound;</w:t>
      </w:r>
      <w:r w:rsidR="00A413BB">
        <w:rPr>
          <w:rFonts w:ascii="Book Antiqua" w:hAnsi="Book Antiqua"/>
          <w:color w:val="000000" w:themeColor="text1"/>
        </w:rPr>
        <w:t xml:space="preserve"> </w:t>
      </w:r>
      <w:r w:rsidRPr="00257C0C">
        <w:rPr>
          <w:rFonts w:ascii="Book Antiqua" w:hAnsi="Book Antiqua"/>
          <w:color w:val="000000" w:themeColor="text1"/>
        </w:rPr>
        <w:t>CHC: Combined hepatocellular-cholangiocarcinoma; LI-RADS: Liver Imaging Reporting and Data system.</w:t>
      </w:r>
    </w:p>
    <w:p w14:paraId="048579E1" w14:textId="2A5B7505" w:rsidR="001D03BD" w:rsidRPr="00257C0C" w:rsidRDefault="009A73C2" w:rsidP="00257C0C">
      <w:pPr>
        <w:snapToGrid w:val="0"/>
        <w:spacing w:line="360" w:lineRule="auto"/>
        <w:jc w:val="both"/>
        <w:rPr>
          <w:rFonts w:ascii="Book Antiqua" w:hAnsi="Book Antiqua"/>
          <w:b/>
          <w:bCs/>
          <w:color w:val="000000" w:themeColor="text1"/>
        </w:rPr>
      </w:pPr>
      <w:r w:rsidRPr="00257C0C">
        <w:rPr>
          <w:rFonts w:ascii="Book Antiqua" w:hAnsi="Book Antiqua"/>
          <w:color w:val="000000" w:themeColor="text1"/>
        </w:rPr>
        <w:br w:type="page"/>
      </w:r>
      <w:r w:rsidRPr="00257C0C">
        <w:rPr>
          <w:rFonts w:ascii="Book Antiqua" w:hAnsi="Book Antiqua"/>
          <w:b/>
          <w:bCs/>
          <w:color w:val="000000" w:themeColor="text1"/>
        </w:rPr>
        <w:t xml:space="preserve">Table 4 </w:t>
      </w:r>
      <w:r w:rsidRPr="00257C0C">
        <w:rPr>
          <w:rFonts w:ascii="Book Antiqua" w:eastAsia="Book Antiqua" w:hAnsi="Book Antiqua" w:cs="Book Antiqua"/>
          <w:b/>
          <w:bCs/>
          <w:color w:val="000000" w:themeColor="text1"/>
        </w:rPr>
        <w:t>Contrast-enhanced ultrasound Liver Imaging Reporting and Data System</w:t>
      </w:r>
      <w:r w:rsidRPr="00257C0C">
        <w:rPr>
          <w:rFonts w:ascii="Book Antiqua" w:hAnsi="Book Antiqua"/>
          <w:b/>
          <w:bCs/>
          <w:color w:val="000000" w:themeColor="text1"/>
        </w:rPr>
        <w:t xml:space="preserve"> categorization and serum biomarkers of 134 patients</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2C7E29" w:rsidRPr="002C7E29" w14:paraId="6413A7F5" w14:textId="77777777" w:rsidTr="00984B84">
        <w:trPr>
          <w:trHeight w:val="878"/>
        </w:trPr>
        <w:tc>
          <w:tcPr>
            <w:tcW w:w="1368" w:type="dxa"/>
            <w:tcBorders>
              <w:top w:val="single" w:sz="4" w:space="0" w:color="auto"/>
            </w:tcBorders>
            <w:shd w:val="clear" w:color="auto" w:fill="auto"/>
          </w:tcPr>
          <w:p w14:paraId="610F41E5" w14:textId="77777777" w:rsidR="00984B84" w:rsidRPr="00257C0C" w:rsidRDefault="00984B84"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Serum biomarker</w:t>
            </w:r>
          </w:p>
        </w:tc>
        <w:tc>
          <w:tcPr>
            <w:tcW w:w="2736" w:type="dxa"/>
            <w:gridSpan w:val="2"/>
            <w:tcBorders>
              <w:top w:val="single" w:sz="4" w:space="0" w:color="auto"/>
              <w:bottom w:val="single" w:sz="4" w:space="0" w:color="auto"/>
            </w:tcBorders>
            <w:shd w:val="clear" w:color="auto" w:fill="auto"/>
          </w:tcPr>
          <w:p w14:paraId="215FE135" w14:textId="77777777" w:rsidR="00984B84" w:rsidRPr="00257C0C" w:rsidRDefault="00984B84"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CHC</w:t>
            </w:r>
          </w:p>
        </w:tc>
        <w:tc>
          <w:tcPr>
            <w:tcW w:w="2736" w:type="dxa"/>
            <w:gridSpan w:val="2"/>
            <w:tcBorders>
              <w:top w:val="single" w:sz="4" w:space="0" w:color="auto"/>
              <w:bottom w:val="single" w:sz="4" w:space="0" w:color="auto"/>
            </w:tcBorders>
            <w:shd w:val="clear" w:color="auto" w:fill="auto"/>
          </w:tcPr>
          <w:p w14:paraId="764F811F" w14:textId="77777777" w:rsidR="00984B84" w:rsidRPr="00257C0C" w:rsidRDefault="00984B84"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HCC</w:t>
            </w:r>
          </w:p>
        </w:tc>
        <w:tc>
          <w:tcPr>
            <w:tcW w:w="2736" w:type="dxa"/>
            <w:gridSpan w:val="2"/>
            <w:tcBorders>
              <w:top w:val="single" w:sz="4" w:space="0" w:color="auto"/>
              <w:bottom w:val="single" w:sz="4" w:space="0" w:color="auto"/>
            </w:tcBorders>
            <w:shd w:val="clear" w:color="auto" w:fill="auto"/>
          </w:tcPr>
          <w:p w14:paraId="63197E6B" w14:textId="77777777" w:rsidR="00984B84" w:rsidRPr="00257C0C" w:rsidRDefault="00984B84"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ICC</w:t>
            </w:r>
          </w:p>
        </w:tc>
      </w:tr>
      <w:tr w:rsidR="002C7E29" w:rsidRPr="002C7E29" w14:paraId="6D6B202C" w14:textId="77777777" w:rsidTr="00984B84">
        <w:tc>
          <w:tcPr>
            <w:tcW w:w="1368" w:type="dxa"/>
            <w:tcBorders>
              <w:bottom w:val="single" w:sz="4" w:space="0" w:color="auto"/>
            </w:tcBorders>
            <w:shd w:val="clear" w:color="auto" w:fill="auto"/>
          </w:tcPr>
          <w:p w14:paraId="21579501" w14:textId="4966EB7F" w:rsidR="00984B84" w:rsidRPr="00257C0C" w:rsidRDefault="00984B84" w:rsidP="00257C0C">
            <w:pPr>
              <w:snapToGrid w:val="0"/>
              <w:spacing w:line="360" w:lineRule="auto"/>
              <w:jc w:val="both"/>
              <w:rPr>
                <w:rFonts w:ascii="Book Antiqua" w:hAnsi="Book Antiqua"/>
                <w:color w:val="000000" w:themeColor="text1"/>
                <w:lang w:eastAsia="zh-CN"/>
              </w:rPr>
            </w:pPr>
          </w:p>
        </w:tc>
        <w:tc>
          <w:tcPr>
            <w:tcW w:w="1368" w:type="dxa"/>
            <w:tcBorders>
              <w:top w:val="single" w:sz="4" w:space="0" w:color="auto"/>
              <w:bottom w:val="single" w:sz="4" w:space="0" w:color="auto"/>
            </w:tcBorders>
            <w:shd w:val="clear" w:color="auto" w:fill="auto"/>
          </w:tcPr>
          <w:p w14:paraId="37FC0EB2" w14:textId="6A12B3E9"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LR-5</w:t>
            </w:r>
          </w:p>
        </w:tc>
        <w:tc>
          <w:tcPr>
            <w:tcW w:w="1368" w:type="dxa"/>
            <w:tcBorders>
              <w:top w:val="single" w:sz="4" w:space="0" w:color="auto"/>
              <w:bottom w:val="single" w:sz="4" w:space="0" w:color="auto"/>
            </w:tcBorders>
            <w:shd w:val="clear" w:color="auto" w:fill="auto"/>
          </w:tcPr>
          <w:p w14:paraId="5BCC9981" w14:textId="6A8CDAD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LR-M</w:t>
            </w:r>
          </w:p>
        </w:tc>
        <w:tc>
          <w:tcPr>
            <w:tcW w:w="1368" w:type="dxa"/>
            <w:tcBorders>
              <w:top w:val="single" w:sz="4" w:space="0" w:color="auto"/>
              <w:bottom w:val="single" w:sz="4" w:space="0" w:color="auto"/>
            </w:tcBorders>
            <w:shd w:val="clear" w:color="auto" w:fill="auto"/>
          </w:tcPr>
          <w:p w14:paraId="5329D7B5" w14:textId="1F845BA5"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LR-5</w:t>
            </w:r>
          </w:p>
        </w:tc>
        <w:tc>
          <w:tcPr>
            <w:tcW w:w="1368" w:type="dxa"/>
            <w:tcBorders>
              <w:top w:val="single" w:sz="4" w:space="0" w:color="auto"/>
              <w:bottom w:val="single" w:sz="4" w:space="0" w:color="auto"/>
            </w:tcBorders>
            <w:shd w:val="clear" w:color="auto" w:fill="auto"/>
          </w:tcPr>
          <w:p w14:paraId="07451F89" w14:textId="33BC821D"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LR-M</w:t>
            </w:r>
          </w:p>
        </w:tc>
        <w:tc>
          <w:tcPr>
            <w:tcW w:w="1368" w:type="dxa"/>
            <w:tcBorders>
              <w:top w:val="single" w:sz="4" w:space="0" w:color="auto"/>
              <w:bottom w:val="single" w:sz="4" w:space="0" w:color="auto"/>
            </w:tcBorders>
            <w:shd w:val="clear" w:color="auto" w:fill="auto"/>
          </w:tcPr>
          <w:p w14:paraId="01D78A03" w14:textId="7627B9BD"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LR-5</w:t>
            </w:r>
          </w:p>
        </w:tc>
        <w:tc>
          <w:tcPr>
            <w:tcW w:w="1368" w:type="dxa"/>
            <w:tcBorders>
              <w:top w:val="single" w:sz="4" w:space="0" w:color="auto"/>
              <w:bottom w:val="single" w:sz="4" w:space="0" w:color="auto"/>
            </w:tcBorders>
            <w:shd w:val="clear" w:color="auto" w:fill="auto"/>
          </w:tcPr>
          <w:p w14:paraId="44D65441" w14:textId="6D0D913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b/>
                <w:bCs/>
                <w:color w:val="000000" w:themeColor="text1"/>
                <w:lang w:eastAsia="zh-CN"/>
              </w:rPr>
              <w:t>LR-M</w:t>
            </w:r>
          </w:p>
        </w:tc>
      </w:tr>
      <w:tr w:rsidR="002C7E29" w:rsidRPr="002C7E29" w14:paraId="0AD91D10" w14:textId="77777777" w:rsidTr="00984B84">
        <w:tc>
          <w:tcPr>
            <w:tcW w:w="1368" w:type="dxa"/>
            <w:tcBorders>
              <w:top w:val="single" w:sz="4" w:space="0" w:color="auto"/>
            </w:tcBorders>
            <w:shd w:val="clear" w:color="auto" w:fill="auto"/>
          </w:tcPr>
          <w:p w14:paraId="64A8063A" w14:textId="47AF5F6F"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AFP (+) CA19-9 (+)</w:t>
            </w:r>
          </w:p>
        </w:tc>
        <w:tc>
          <w:tcPr>
            <w:tcW w:w="1368" w:type="dxa"/>
            <w:tcBorders>
              <w:top w:val="single" w:sz="4" w:space="0" w:color="auto"/>
            </w:tcBorders>
            <w:shd w:val="clear" w:color="auto" w:fill="auto"/>
          </w:tcPr>
          <w:p w14:paraId="1D03D323" w14:textId="2F7B5CE9"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tcBorders>
              <w:top w:val="single" w:sz="4" w:space="0" w:color="auto"/>
            </w:tcBorders>
            <w:shd w:val="clear" w:color="auto" w:fill="auto"/>
          </w:tcPr>
          <w:p w14:paraId="36C7A70E" w14:textId="2AA8106A"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w:t>
            </w:r>
            <w:r w:rsidRPr="00257C0C">
              <w:rPr>
                <w:rFonts w:ascii="Book Antiqua" w:hAnsi="Book Antiqua"/>
                <w:color w:val="000000" w:themeColor="text1"/>
                <w:vertAlign w:val="superscript"/>
                <w:lang w:eastAsia="zh-CN"/>
              </w:rPr>
              <w:t>1</w:t>
            </w:r>
          </w:p>
        </w:tc>
        <w:tc>
          <w:tcPr>
            <w:tcW w:w="1368" w:type="dxa"/>
            <w:tcBorders>
              <w:top w:val="single" w:sz="4" w:space="0" w:color="auto"/>
            </w:tcBorders>
            <w:shd w:val="clear" w:color="auto" w:fill="auto"/>
          </w:tcPr>
          <w:p w14:paraId="2460868D" w14:textId="0C8A8E13"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tcBorders>
              <w:top w:val="single" w:sz="4" w:space="0" w:color="auto"/>
            </w:tcBorders>
            <w:shd w:val="clear" w:color="auto" w:fill="auto"/>
          </w:tcPr>
          <w:p w14:paraId="2616871F" w14:textId="3A792108"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w:t>
            </w:r>
            <w:r w:rsidRPr="00257C0C">
              <w:rPr>
                <w:rFonts w:ascii="Book Antiqua" w:hAnsi="Book Antiqua"/>
                <w:color w:val="000000" w:themeColor="text1"/>
                <w:vertAlign w:val="superscript"/>
                <w:lang w:eastAsia="zh-CN"/>
              </w:rPr>
              <w:t>1</w:t>
            </w:r>
          </w:p>
        </w:tc>
        <w:tc>
          <w:tcPr>
            <w:tcW w:w="1368" w:type="dxa"/>
            <w:tcBorders>
              <w:top w:val="single" w:sz="4" w:space="0" w:color="auto"/>
            </w:tcBorders>
            <w:shd w:val="clear" w:color="auto" w:fill="auto"/>
          </w:tcPr>
          <w:p w14:paraId="494A7712" w14:textId="53F4F73D"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tcBorders>
              <w:top w:val="single" w:sz="4" w:space="0" w:color="auto"/>
            </w:tcBorders>
            <w:shd w:val="clear" w:color="auto" w:fill="auto"/>
          </w:tcPr>
          <w:p w14:paraId="48C6B9F7" w14:textId="77BDB600"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w:t>
            </w:r>
            <w:r w:rsidRPr="00257C0C">
              <w:rPr>
                <w:rFonts w:ascii="Book Antiqua" w:hAnsi="Book Antiqua"/>
                <w:color w:val="000000" w:themeColor="text1"/>
                <w:vertAlign w:val="superscript"/>
                <w:lang w:eastAsia="zh-CN"/>
              </w:rPr>
              <w:t>1</w:t>
            </w:r>
          </w:p>
        </w:tc>
      </w:tr>
      <w:tr w:rsidR="002C7E29" w:rsidRPr="002C7E29" w14:paraId="378DD509" w14:textId="77777777" w:rsidTr="00984B84">
        <w:tc>
          <w:tcPr>
            <w:tcW w:w="1368" w:type="dxa"/>
            <w:shd w:val="clear" w:color="auto" w:fill="auto"/>
          </w:tcPr>
          <w:p w14:paraId="41BE31AB" w14:textId="413614CA"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AFP (-) CA19-9 (-)</w:t>
            </w:r>
          </w:p>
        </w:tc>
        <w:tc>
          <w:tcPr>
            <w:tcW w:w="1368" w:type="dxa"/>
            <w:shd w:val="clear" w:color="auto" w:fill="auto"/>
          </w:tcPr>
          <w:p w14:paraId="3884465D"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w:t>
            </w:r>
          </w:p>
        </w:tc>
        <w:tc>
          <w:tcPr>
            <w:tcW w:w="1368" w:type="dxa"/>
            <w:shd w:val="clear" w:color="auto" w:fill="auto"/>
          </w:tcPr>
          <w:p w14:paraId="458C1E13"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11</w:t>
            </w:r>
          </w:p>
        </w:tc>
        <w:tc>
          <w:tcPr>
            <w:tcW w:w="1368" w:type="dxa"/>
            <w:shd w:val="clear" w:color="auto" w:fill="auto"/>
          </w:tcPr>
          <w:p w14:paraId="2B6A92E6"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w:t>
            </w:r>
          </w:p>
        </w:tc>
        <w:tc>
          <w:tcPr>
            <w:tcW w:w="1368" w:type="dxa"/>
            <w:shd w:val="clear" w:color="auto" w:fill="auto"/>
          </w:tcPr>
          <w:p w14:paraId="32924CC9"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w:t>
            </w:r>
          </w:p>
        </w:tc>
        <w:tc>
          <w:tcPr>
            <w:tcW w:w="1368" w:type="dxa"/>
            <w:shd w:val="clear" w:color="auto" w:fill="auto"/>
          </w:tcPr>
          <w:p w14:paraId="31987C95"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41F0377F"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18</w:t>
            </w:r>
          </w:p>
        </w:tc>
      </w:tr>
      <w:tr w:rsidR="002C7E29" w:rsidRPr="002C7E29" w14:paraId="1328873C" w14:textId="77777777" w:rsidTr="00984B84">
        <w:tc>
          <w:tcPr>
            <w:tcW w:w="1368" w:type="dxa"/>
            <w:shd w:val="clear" w:color="auto" w:fill="auto"/>
          </w:tcPr>
          <w:p w14:paraId="57328233" w14:textId="7AA61E90"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AFP (+) CA19-9 (-)</w:t>
            </w:r>
          </w:p>
        </w:tc>
        <w:tc>
          <w:tcPr>
            <w:tcW w:w="1368" w:type="dxa"/>
            <w:shd w:val="clear" w:color="auto" w:fill="auto"/>
          </w:tcPr>
          <w:p w14:paraId="47B9C6C1"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w:t>
            </w:r>
          </w:p>
        </w:tc>
        <w:tc>
          <w:tcPr>
            <w:tcW w:w="1368" w:type="dxa"/>
            <w:shd w:val="clear" w:color="auto" w:fill="auto"/>
          </w:tcPr>
          <w:p w14:paraId="3D0AA6FD" w14:textId="1A1ED268"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11</w:t>
            </w:r>
            <w:r w:rsidRPr="00257C0C">
              <w:rPr>
                <w:rFonts w:ascii="Book Antiqua" w:hAnsi="Book Antiqua"/>
                <w:color w:val="000000" w:themeColor="text1"/>
                <w:vertAlign w:val="superscript"/>
                <w:lang w:eastAsia="zh-CN"/>
              </w:rPr>
              <w:t>1</w:t>
            </w:r>
          </w:p>
        </w:tc>
        <w:tc>
          <w:tcPr>
            <w:tcW w:w="1368" w:type="dxa"/>
            <w:shd w:val="clear" w:color="auto" w:fill="auto"/>
          </w:tcPr>
          <w:p w14:paraId="5CB51FAF"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32</w:t>
            </w:r>
          </w:p>
        </w:tc>
        <w:tc>
          <w:tcPr>
            <w:tcW w:w="1368" w:type="dxa"/>
            <w:shd w:val="clear" w:color="auto" w:fill="auto"/>
          </w:tcPr>
          <w:p w14:paraId="2B8D6C5E" w14:textId="6917E0F8"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6</w:t>
            </w:r>
            <w:r w:rsidR="002A1022" w:rsidRPr="00257C0C">
              <w:rPr>
                <w:rFonts w:ascii="Book Antiqua" w:hAnsi="Book Antiqua"/>
                <w:color w:val="000000" w:themeColor="text1"/>
                <w:vertAlign w:val="superscript"/>
                <w:lang w:eastAsia="zh-CN"/>
              </w:rPr>
              <w:t>1</w:t>
            </w:r>
          </w:p>
        </w:tc>
        <w:tc>
          <w:tcPr>
            <w:tcW w:w="1368" w:type="dxa"/>
            <w:shd w:val="clear" w:color="auto" w:fill="auto"/>
          </w:tcPr>
          <w:p w14:paraId="6B832C49"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2246DA11" w14:textId="1A2AC8BC"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w:t>
            </w:r>
            <w:r w:rsidRPr="00257C0C">
              <w:rPr>
                <w:rFonts w:ascii="Book Antiqua" w:hAnsi="Book Antiqua"/>
                <w:color w:val="000000" w:themeColor="text1"/>
                <w:vertAlign w:val="superscript"/>
                <w:lang w:eastAsia="zh-CN"/>
              </w:rPr>
              <w:t>1</w:t>
            </w:r>
          </w:p>
        </w:tc>
      </w:tr>
      <w:tr w:rsidR="002C7E29" w:rsidRPr="002C7E29" w14:paraId="3EF0AC3A" w14:textId="77777777" w:rsidTr="00AE45F2">
        <w:tc>
          <w:tcPr>
            <w:tcW w:w="1368" w:type="dxa"/>
            <w:shd w:val="clear" w:color="auto" w:fill="auto"/>
          </w:tcPr>
          <w:p w14:paraId="14D8C019" w14:textId="6CF447EA"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AFP (-) CA19-9 (+)</w:t>
            </w:r>
          </w:p>
        </w:tc>
        <w:tc>
          <w:tcPr>
            <w:tcW w:w="1368" w:type="dxa"/>
            <w:shd w:val="clear" w:color="auto" w:fill="auto"/>
          </w:tcPr>
          <w:p w14:paraId="5A4E3481"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05412643"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w:t>
            </w:r>
          </w:p>
        </w:tc>
        <w:tc>
          <w:tcPr>
            <w:tcW w:w="1368" w:type="dxa"/>
            <w:shd w:val="clear" w:color="auto" w:fill="auto"/>
          </w:tcPr>
          <w:p w14:paraId="2F65934F"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66D115AA"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7E38FE09"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shd w:val="clear" w:color="auto" w:fill="auto"/>
          </w:tcPr>
          <w:p w14:paraId="6B7692F5"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8</w:t>
            </w:r>
          </w:p>
        </w:tc>
      </w:tr>
      <w:tr w:rsidR="002C7E29" w:rsidRPr="002C7E29" w14:paraId="625A5449" w14:textId="77777777" w:rsidTr="00AE45F2">
        <w:tc>
          <w:tcPr>
            <w:tcW w:w="1368" w:type="dxa"/>
            <w:tcBorders>
              <w:bottom w:val="single" w:sz="4" w:space="0" w:color="auto"/>
            </w:tcBorders>
            <w:shd w:val="clear" w:color="auto" w:fill="auto"/>
          </w:tcPr>
          <w:p w14:paraId="320C0437" w14:textId="7822F992"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Total</w:t>
            </w:r>
          </w:p>
        </w:tc>
        <w:tc>
          <w:tcPr>
            <w:tcW w:w="1368" w:type="dxa"/>
            <w:tcBorders>
              <w:bottom w:val="single" w:sz="4" w:space="0" w:color="auto"/>
            </w:tcBorders>
            <w:shd w:val="clear" w:color="auto" w:fill="auto"/>
          </w:tcPr>
          <w:p w14:paraId="120A6EFA"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w:t>
            </w:r>
          </w:p>
        </w:tc>
        <w:tc>
          <w:tcPr>
            <w:tcW w:w="1368" w:type="dxa"/>
            <w:tcBorders>
              <w:bottom w:val="single" w:sz="4" w:space="0" w:color="auto"/>
            </w:tcBorders>
            <w:shd w:val="clear" w:color="auto" w:fill="auto"/>
          </w:tcPr>
          <w:p w14:paraId="35501AC1"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w:t>
            </w:r>
          </w:p>
        </w:tc>
        <w:tc>
          <w:tcPr>
            <w:tcW w:w="1368" w:type="dxa"/>
            <w:tcBorders>
              <w:bottom w:val="single" w:sz="4" w:space="0" w:color="auto"/>
            </w:tcBorders>
            <w:shd w:val="clear" w:color="auto" w:fill="auto"/>
          </w:tcPr>
          <w:p w14:paraId="5D1F1EDA"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58</w:t>
            </w:r>
          </w:p>
        </w:tc>
        <w:tc>
          <w:tcPr>
            <w:tcW w:w="1368" w:type="dxa"/>
            <w:tcBorders>
              <w:bottom w:val="single" w:sz="4" w:space="0" w:color="auto"/>
            </w:tcBorders>
            <w:shd w:val="clear" w:color="auto" w:fill="auto"/>
          </w:tcPr>
          <w:p w14:paraId="0DEF68A4"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12</w:t>
            </w:r>
          </w:p>
        </w:tc>
        <w:tc>
          <w:tcPr>
            <w:tcW w:w="1368" w:type="dxa"/>
            <w:tcBorders>
              <w:bottom w:val="single" w:sz="4" w:space="0" w:color="auto"/>
            </w:tcBorders>
            <w:shd w:val="clear" w:color="auto" w:fill="auto"/>
          </w:tcPr>
          <w:p w14:paraId="348E0E15"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w:t>
            </w:r>
          </w:p>
        </w:tc>
        <w:tc>
          <w:tcPr>
            <w:tcW w:w="1368" w:type="dxa"/>
            <w:tcBorders>
              <w:bottom w:val="single" w:sz="4" w:space="0" w:color="auto"/>
            </w:tcBorders>
            <w:shd w:val="clear" w:color="auto" w:fill="auto"/>
          </w:tcPr>
          <w:p w14:paraId="48BEFF70" w14:textId="77777777" w:rsidR="00984B84" w:rsidRPr="00257C0C" w:rsidRDefault="00984B84"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29</w:t>
            </w:r>
          </w:p>
        </w:tc>
      </w:tr>
    </w:tbl>
    <w:p w14:paraId="23D1D4D9" w14:textId="3C24C728" w:rsidR="000E798B" w:rsidRPr="00257C0C" w:rsidRDefault="009A73C2" w:rsidP="00257C0C">
      <w:pPr>
        <w:snapToGrid w:val="0"/>
        <w:spacing w:line="360" w:lineRule="auto"/>
        <w:jc w:val="both"/>
        <w:rPr>
          <w:rFonts w:ascii="Book Antiqua" w:hAnsi="Book Antiqua"/>
          <w:color w:val="000000" w:themeColor="text1"/>
        </w:rPr>
      </w:pPr>
      <w:r w:rsidRPr="00257C0C">
        <w:rPr>
          <w:rFonts w:ascii="Book Antiqua" w:hAnsi="Book Antiqua"/>
          <w:color w:val="000000" w:themeColor="text1"/>
          <w:vertAlign w:val="superscript"/>
        </w:rPr>
        <w:t>1</w:t>
      </w:r>
      <w:r w:rsidRPr="00257C0C">
        <w:rPr>
          <w:rFonts w:ascii="Book Antiqua" w:hAnsi="Book Antiqua"/>
          <w:color w:val="000000" w:themeColor="text1"/>
        </w:rPr>
        <w:t xml:space="preserve">Numbers that diagnosis as </w:t>
      </w:r>
      <w:r w:rsidR="007F4117" w:rsidRPr="00257C0C">
        <w:rPr>
          <w:rFonts w:ascii="Book Antiqua" w:hAnsi="Book Antiqua"/>
          <w:color w:val="000000" w:themeColor="text1"/>
        </w:rPr>
        <w:t>combined hepatocellular-cholangiocarcinoma</w:t>
      </w:r>
      <w:r w:rsidRPr="00257C0C">
        <w:rPr>
          <w:rFonts w:ascii="Book Antiqua" w:hAnsi="Book Antiqua"/>
          <w:color w:val="000000" w:themeColor="text1"/>
        </w:rPr>
        <w:t xml:space="preserve"> </w:t>
      </w:r>
      <w:r w:rsidR="0003571B">
        <w:rPr>
          <w:rFonts w:ascii="Book Antiqua" w:hAnsi="Book Antiqua"/>
          <w:color w:val="000000" w:themeColor="text1"/>
        </w:rPr>
        <w:t xml:space="preserve">(CHC) </w:t>
      </w:r>
      <w:r w:rsidRPr="00257C0C">
        <w:rPr>
          <w:rFonts w:ascii="Book Antiqua" w:hAnsi="Book Antiqua"/>
          <w:color w:val="000000" w:themeColor="text1"/>
        </w:rPr>
        <w:t xml:space="preserve">according to the diagnostic criteria. </w:t>
      </w:r>
      <w:r w:rsidR="0003571B">
        <w:rPr>
          <w:rFonts w:ascii="Book Antiqua" w:hAnsi="Book Antiqua"/>
          <w:color w:val="000000" w:themeColor="text1"/>
        </w:rPr>
        <w:t>Alpha</w:t>
      </w:r>
      <w:r w:rsidR="0003571B" w:rsidRPr="00ED6A2A">
        <w:rPr>
          <w:rFonts w:ascii="Book Antiqua" w:hAnsi="Book Antiqua" w:hint="eastAsia"/>
          <w:color w:val="000000" w:themeColor="text1"/>
        </w:rPr>
        <w:t xml:space="preserve">-fetoprotein </w:t>
      </w:r>
      <w:r w:rsidR="0003571B">
        <w:rPr>
          <w:rFonts w:ascii="Book Antiqua" w:hAnsi="Book Antiqua"/>
          <w:color w:val="000000" w:themeColor="text1"/>
        </w:rPr>
        <w:t>(</w:t>
      </w:r>
      <w:r w:rsidRPr="00257C0C">
        <w:rPr>
          <w:rFonts w:ascii="Book Antiqua" w:hAnsi="Book Antiqua"/>
          <w:color w:val="000000" w:themeColor="text1"/>
        </w:rPr>
        <w:t>AFP</w:t>
      </w:r>
      <w:r w:rsidR="0003571B">
        <w:rPr>
          <w:rFonts w:ascii="Book Antiqua" w:hAnsi="Book Antiqua"/>
          <w:color w:val="000000" w:themeColor="text1"/>
        </w:rPr>
        <w:t>)</w:t>
      </w:r>
      <w:r w:rsidRPr="00257C0C">
        <w:rPr>
          <w:rFonts w:ascii="Book Antiqua" w:hAnsi="Book Antiqua"/>
          <w:color w:val="000000" w:themeColor="text1"/>
        </w:rPr>
        <w:t xml:space="preserve"> (+) = the elevated level of </w:t>
      </w:r>
      <w:r w:rsidR="0003571B">
        <w:rPr>
          <w:rFonts w:ascii="Book Antiqua" w:hAnsi="Book Antiqua"/>
          <w:color w:val="000000" w:themeColor="text1"/>
        </w:rPr>
        <w:t xml:space="preserve">AFP </w:t>
      </w:r>
      <w:r w:rsidRPr="00257C0C">
        <w:rPr>
          <w:rFonts w:ascii="Book Antiqua" w:hAnsi="Book Antiqua"/>
          <w:color w:val="000000" w:themeColor="text1"/>
        </w:rPr>
        <w:t xml:space="preserve">(&gt; 20 ng/mL), AFP (-) = the normal level of </w:t>
      </w:r>
      <w:r w:rsidR="008849C0">
        <w:rPr>
          <w:rFonts w:ascii="Book Antiqua" w:hAnsi="Book Antiqua"/>
          <w:color w:val="000000" w:themeColor="text1"/>
        </w:rPr>
        <w:t>AFP</w:t>
      </w:r>
      <w:r w:rsidRPr="00257C0C">
        <w:rPr>
          <w:rFonts w:ascii="Book Antiqua" w:hAnsi="Book Antiqua"/>
          <w:color w:val="000000" w:themeColor="text1"/>
        </w:rPr>
        <w:t xml:space="preserve"> (</w:t>
      </w:r>
      <w:r w:rsidRPr="00257C0C">
        <w:rPr>
          <w:rFonts w:ascii="Book Antiqua" w:hAnsi="Book Antiqua" w:hint="eastAsia"/>
          <w:color w:val="000000" w:themeColor="text1"/>
        </w:rPr>
        <w:t>≤</w:t>
      </w:r>
      <w:r w:rsidRPr="00257C0C">
        <w:rPr>
          <w:rFonts w:ascii="Book Antiqua" w:hAnsi="Book Antiqua" w:hint="eastAsia"/>
          <w:color w:val="000000" w:themeColor="text1"/>
        </w:rPr>
        <w:t xml:space="preserve"> </w:t>
      </w:r>
      <w:r w:rsidRPr="00257C0C">
        <w:rPr>
          <w:rFonts w:ascii="Book Antiqua" w:hAnsi="Book Antiqua"/>
          <w:color w:val="000000" w:themeColor="text1"/>
        </w:rPr>
        <w:t xml:space="preserve">20 ng/mL), </w:t>
      </w:r>
      <w:r w:rsidR="0003571B" w:rsidRPr="00732B3C">
        <w:rPr>
          <w:rFonts w:ascii="Book Antiqua" w:hAnsi="Book Antiqua" w:hint="eastAsia"/>
          <w:color w:val="000000" w:themeColor="text1"/>
        </w:rPr>
        <w:t xml:space="preserve">carbohydrate antigen 19-9 </w:t>
      </w:r>
      <w:r w:rsidR="0003571B">
        <w:rPr>
          <w:rFonts w:ascii="Book Antiqua" w:hAnsi="Book Antiqua"/>
          <w:color w:val="000000" w:themeColor="text1"/>
        </w:rPr>
        <w:t>(</w:t>
      </w:r>
      <w:r w:rsidRPr="00257C0C">
        <w:rPr>
          <w:rFonts w:ascii="Book Antiqua" w:hAnsi="Book Antiqua"/>
          <w:color w:val="000000" w:themeColor="text1"/>
        </w:rPr>
        <w:t>CA19-9</w:t>
      </w:r>
      <w:r w:rsidR="0003571B">
        <w:rPr>
          <w:rFonts w:ascii="Book Antiqua" w:hAnsi="Book Antiqua"/>
          <w:color w:val="000000" w:themeColor="text1"/>
        </w:rPr>
        <w:t>)</w:t>
      </w:r>
      <w:r w:rsidRPr="00257C0C">
        <w:rPr>
          <w:rFonts w:ascii="Book Antiqua" w:hAnsi="Book Antiqua"/>
          <w:color w:val="000000" w:themeColor="text1"/>
        </w:rPr>
        <w:t xml:space="preserve"> (+) = the elevated level of </w:t>
      </w:r>
      <w:r w:rsidR="0003571B">
        <w:rPr>
          <w:rFonts w:ascii="Book Antiqua" w:hAnsi="Book Antiqua"/>
          <w:color w:val="000000" w:themeColor="text1"/>
        </w:rPr>
        <w:t>CA19-9</w:t>
      </w:r>
      <w:r w:rsidRPr="00257C0C">
        <w:rPr>
          <w:rFonts w:ascii="Book Antiqua" w:hAnsi="Book Antiqua"/>
          <w:color w:val="000000" w:themeColor="text1"/>
        </w:rPr>
        <w:t xml:space="preserve"> (&gt; 100 U/mL), CA19-9 (-) = the normal level of </w:t>
      </w:r>
      <w:r w:rsidR="008849C0">
        <w:rPr>
          <w:rFonts w:ascii="Book Antiqua" w:hAnsi="Book Antiqua"/>
          <w:color w:val="000000" w:themeColor="text1"/>
        </w:rPr>
        <w:t>CA</w:t>
      </w:r>
      <w:r w:rsidRPr="00257C0C">
        <w:rPr>
          <w:rFonts w:ascii="Book Antiqua" w:hAnsi="Book Antiqua"/>
          <w:color w:val="000000" w:themeColor="text1"/>
        </w:rPr>
        <w:t>19-9 (</w:t>
      </w:r>
      <w:r w:rsidRPr="00257C0C">
        <w:rPr>
          <w:rFonts w:ascii="Book Antiqua" w:hAnsi="Book Antiqua" w:hint="eastAsia"/>
          <w:color w:val="000000" w:themeColor="text1"/>
        </w:rPr>
        <w:t>≤</w:t>
      </w:r>
      <w:r w:rsidRPr="00257C0C">
        <w:rPr>
          <w:rFonts w:ascii="Book Antiqua" w:hAnsi="Book Antiqua" w:hint="eastAsia"/>
          <w:color w:val="000000" w:themeColor="text1"/>
        </w:rPr>
        <w:t xml:space="preserve"> </w:t>
      </w:r>
      <w:r w:rsidRPr="00257C0C">
        <w:rPr>
          <w:rFonts w:ascii="Book Antiqua" w:hAnsi="Book Antiqua"/>
          <w:color w:val="000000" w:themeColor="text1"/>
        </w:rPr>
        <w:t xml:space="preserve">100 U/mL). HCC: Hepatocellular carcinoma; </w:t>
      </w:r>
      <w:r w:rsidR="0003571B" w:rsidRPr="00791A8D">
        <w:rPr>
          <w:rFonts w:ascii="Book Antiqua" w:hAnsi="Book Antiqua"/>
          <w:color w:val="000000" w:themeColor="text1"/>
        </w:rPr>
        <w:t>ICC: Intrahepatic cholangiocarcinoma;</w:t>
      </w:r>
      <w:r w:rsidR="0003571B">
        <w:rPr>
          <w:rFonts w:ascii="Book Antiqua" w:hAnsi="Book Antiqua"/>
          <w:color w:val="000000" w:themeColor="text1"/>
        </w:rPr>
        <w:t xml:space="preserve"> </w:t>
      </w:r>
      <w:r w:rsidRPr="00257C0C">
        <w:rPr>
          <w:rFonts w:ascii="Book Antiqua" w:hAnsi="Book Antiqua"/>
          <w:color w:val="000000" w:themeColor="text1"/>
        </w:rPr>
        <w:t xml:space="preserve">LI-RADS: Liver Imaging Reporting and Data </w:t>
      </w:r>
      <w:r w:rsidR="006F389C" w:rsidRPr="00257C0C">
        <w:rPr>
          <w:rFonts w:ascii="Book Antiqua" w:hAnsi="Book Antiqua"/>
          <w:color w:val="000000" w:themeColor="text1"/>
        </w:rPr>
        <w:t>S</w:t>
      </w:r>
      <w:r w:rsidRPr="00257C0C">
        <w:rPr>
          <w:rFonts w:ascii="Book Antiqua" w:hAnsi="Book Antiqua"/>
          <w:color w:val="000000" w:themeColor="text1"/>
        </w:rPr>
        <w:t>ystem.</w:t>
      </w:r>
    </w:p>
    <w:p w14:paraId="445B1752" w14:textId="0E6BFFBA" w:rsidR="009A73C2" w:rsidRPr="00257C0C" w:rsidRDefault="000E798B" w:rsidP="00257C0C">
      <w:pPr>
        <w:snapToGrid w:val="0"/>
        <w:spacing w:line="360" w:lineRule="auto"/>
        <w:jc w:val="both"/>
        <w:rPr>
          <w:rFonts w:ascii="Book Antiqua" w:hAnsi="Book Antiqua"/>
          <w:b/>
          <w:bCs/>
          <w:color w:val="000000" w:themeColor="text1"/>
        </w:rPr>
      </w:pPr>
      <w:r w:rsidRPr="00257C0C">
        <w:rPr>
          <w:rFonts w:ascii="Book Antiqua" w:hAnsi="Book Antiqua"/>
          <w:color w:val="000000" w:themeColor="text1"/>
        </w:rPr>
        <w:br w:type="page"/>
      </w:r>
      <w:r w:rsidRPr="00257C0C">
        <w:rPr>
          <w:rFonts w:ascii="Book Antiqua" w:hAnsi="Book Antiqua"/>
          <w:b/>
          <w:bCs/>
          <w:color w:val="000000" w:themeColor="text1"/>
        </w:rPr>
        <w:t xml:space="preserve">Table 5 Diagnostic test results and modified </w:t>
      </w:r>
      <w:r w:rsidRPr="00257C0C">
        <w:rPr>
          <w:rFonts w:ascii="Book Antiqua" w:eastAsia="Book Antiqua" w:hAnsi="Book Antiqua" w:cs="Book Antiqua"/>
          <w:b/>
          <w:bCs/>
          <w:color w:val="000000" w:themeColor="text1"/>
        </w:rPr>
        <w:t>positive predictive value and negative predictive value</w:t>
      </w:r>
      <w:r w:rsidRPr="00257C0C">
        <w:rPr>
          <w:rFonts w:ascii="Book Antiqua" w:hAnsi="Book Antiqua"/>
          <w:b/>
          <w:bCs/>
          <w:color w:val="000000" w:themeColor="text1"/>
        </w:rPr>
        <w:t xml:space="preserve"> according to reported combined hepatocellular-cholangiocarcinoma prevalence</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992"/>
        <w:gridCol w:w="1276"/>
        <w:gridCol w:w="1275"/>
        <w:gridCol w:w="851"/>
        <w:gridCol w:w="1134"/>
        <w:gridCol w:w="1511"/>
      </w:tblGrid>
      <w:tr w:rsidR="002C7E29" w:rsidRPr="002C7E29" w14:paraId="67680140" w14:textId="77777777" w:rsidTr="00476D7D">
        <w:trPr>
          <w:trHeight w:val="409"/>
        </w:trPr>
        <w:tc>
          <w:tcPr>
            <w:tcW w:w="2235" w:type="dxa"/>
            <w:tcBorders>
              <w:top w:val="single" w:sz="4" w:space="0" w:color="auto"/>
              <w:bottom w:val="single" w:sz="4" w:space="0" w:color="auto"/>
            </w:tcBorders>
            <w:shd w:val="clear" w:color="auto" w:fill="auto"/>
          </w:tcPr>
          <w:p w14:paraId="58973383" w14:textId="1478B494" w:rsidR="000E798B" w:rsidRPr="00257C0C" w:rsidRDefault="000E798B" w:rsidP="00257C0C">
            <w:pPr>
              <w:snapToGrid w:val="0"/>
              <w:spacing w:line="360" w:lineRule="auto"/>
              <w:jc w:val="both"/>
              <w:rPr>
                <w:rFonts w:ascii="Book Antiqua" w:hAnsi="Book Antiqua"/>
                <w:b/>
                <w:bCs/>
                <w:color w:val="000000" w:themeColor="text1"/>
                <w:lang w:eastAsia="zh-CN"/>
              </w:rPr>
            </w:pPr>
            <w:bookmarkStart w:id="3" w:name="_Hlk35787121"/>
            <w:r w:rsidRPr="00257C0C">
              <w:rPr>
                <w:rFonts w:ascii="Book Antiqua" w:hAnsi="Book Antiqua"/>
                <w:b/>
                <w:bCs/>
                <w:color w:val="000000" w:themeColor="text1"/>
                <w:lang w:eastAsia="zh-CN"/>
              </w:rPr>
              <w:t>CHC prevalence</w:t>
            </w:r>
            <w:r w:rsidR="008849C0">
              <w:rPr>
                <w:rFonts w:ascii="Book Antiqua" w:hAnsi="Book Antiqua"/>
                <w:b/>
                <w:bCs/>
                <w:color w:val="000000" w:themeColor="text1"/>
                <w:lang w:eastAsia="zh-CN"/>
              </w:rPr>
              <w:t>,</w:t>
            </w:r>
            <w:r w:rsidRPr="00257C0C">
              <w:rPr>
                <w:rFonts w:ascii="Book Antiqua" w:hAnsi="Book Antiqua"/>
                <w:b/>
                <w:bCs/>
                <w:color w:val="000000" w:themeColor="text1"/>
                <w:lang w:eastAsia="zh-CN"/>
              </w:rPr>
              <w:t xml:space="preserve"> %</w:t>
            </w:r>
          </w:p>
        </w:tc>
        <w:tc>
          <w:tcPr>
            <w:tcW w:w="992" w:type="dxa"/>
            <w:tcBorders>
              <w:top w:val="single" w:sz="4" w:space="0" w:color="auto"/>
              <w:bottom w:val="single" w:sz="4" w:space="0" w:color="auto"/>
            </w:tcBorders>
            <w:shd w:val="clear" w:color="auto" w:fill="auto"/>
          </w:tcPr>
          <w:p w14:paraId="3BA01024"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AUC</w:t>
            </w:r>
          </w:p>
        </w:tc>
        <w:tc>
          <w:tcPr>
            <w:tcW w:w="1276" w:type="dxa"/>
            <w:tcBorders>
              <w:top w:val="single" w:sz="4" w:space="0" w:color="auto"/>
              <w:bottom w:val="single" w:sz="4" w:space="0" w:color="auto"/>
            </w:tcBorders>
            <w:shd w:val="clear" w:color="auto" w:fill="auto"/>
          </w:tcPr>
          <w:p w14:paraId="06980FF8"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Sensitivity</w:t>
            </w:r>
          </w:p>
        </w:tc>
        <w:tc>
          <w:tcPr>
            <w:tcW w:w="1275" w:type="dxa"/>
            <w:tcBorders>
              <w:top w:val="single" w:sz="4" w:space="0" w:color="auto"/>
              <w:bottom w:val="single" w:sz="4" w:space="0" w:color="auto"/>
            </w:tcBorders>
            <w:shd w:val="clear" w:color="auto" w:fill="auto"/>
          </w:tcPr>
          <w:p w14:paraId="12A95D3C"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Specificity</w:t>
            </w:r>
          </w:p>
        </w:tc>
        <w:tc>
          <w:tcPr>
            <w:tcW w:w="851" w:type="dxa"/>
            <w:tcBorders>
              <w:top w:val="single" w:sz="4" w:space="0" w:color="auto"/>
              <w:bottom w:val="single" w:sz="4" w:space="0" w:color="auto"/>
            </w:tcBorders>
            <w:shd w:val="clear" w:color="auto" w:fill="auto"/>
          </w:tcPr>
          <w:p w14:paraId="066A8CDC"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PPV</w:t>
            </w:r>
          </w:p>
        </w:tc>
        <w:tc>
          <w:tcPr>
            <w:tcW w:w="1134" w:type="dxa"/>
            <w:tcBorders>
              <w:top w:val="single" w:sz="4" w:space="0" w:color="auto"/>
              <w:bottom w:val="single" w:sz="4" w:space="0" w:color="auto"/>
            </w:tcBorders>
            <w:shd w:val="clear" w:color="auto" w:fill="auto"/>
          </w:tcPr>
          <w:p w14:paraId="40AA8107"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NPV</w:t>
            </w:r>
          </w:p>
        </w:tc>
        <w:tc>
          <w:tcPr>
            <w:tcW w:w="1511" w:type="dxa"/>
            <w:tcBorders>
              <w:top w:val="single" w:sz="4" w:space="0" w:color="auto"/>
              <w:bottom w:val="single" w:sz="4" w:space="0" w:color="auto"/>
            </w:tcBorders>
            <w:shd w:val="clear" w:color="auto" w:fill="auto"/>
          </w:tcPr>
          <w:p w14:paraId="6824D0B8" w14:textId="77777777" w:rsidR="000E798B" w:rsidRPr="00257C0C" w:rsidRDefault="000E798B" w:rsidP="00257C0C">
            <w:pPr>
              <w:snapToGrid w:val="0"/>
              <w:spacing w:line="360" w:lineRule="auto"/>
              <w:jc w:val="both"/>
              <w:rPr>
                <w:rFonts w:ascii="Book Antiqua" w:hAnsi="Book Antiqua"/>
                <w:b/>
                <w:bCs/>
                <w:color w:val="000000" w:themeColor="text1"/>
                <w:lang w:eastAsia="zh-CN"/>
              </w:rPr>
            </w:pPr>
            <w:r w:rsidRPr="00257C0C">
              <w:rPr>
                <w:rFonts w:ascii="Book Antiqua" w:hAnsi="Book Antiqua"/>
                <w:b/>
                <w:bCs/>
                <w:color w:val="000000" w:themeColor="text1"/>
                <w:lang w:eastAsia="zh-CN"/>
              </w:rPr>
              <w:t>Accuracy</w:t>
            </w:r>
          </w:p>
        </w:tc>
      </w:tr>
      <w:tr w:rsidR="002C7E29" w:rsidRPr="002C7E29" w14:paraId="0B9E1827" w14:textId="77777777" w:rsidTr="00476D7D">
        <w:tc>
          <w:tcPr>
            <w:tcW w:w="2235" w:type="dxa"/>
            <w:tcBorders>
              <w:top w:val="single" w:sz="4" w:space="0" w:color="auto"/>
            </w:tcBorders>
            <w:shd w:val="clear" w:color="auto" w:fill="auto"/>
          </w:tcPr>
          <w:p w14:paraId="1C04EF5C"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26.1% (35/134)</w:t>
            </w:r>
          </w:p>
        </w:tc>
        <w:tc>
          <w:tcPr>
            <w:tcW w:w="992" w:type="dxa"/>
            <w:tcBorders>
              <w:top w:val="single" w:sz="4" w:space="0" w:color="auto"/>
            </w:tcBorders>
            <w:shd w:val="clear" w:color="auto" w:fill="auto"/>
          </w:tcPr>
          <w:p w14:paraId="045F609C"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0.649</w:t>
            </w:r>
          </w:p>
        </w:tc>
        <w:tc>
          <w:tcPr>
            <w:tcW w:w="1276" w:type="dxa"/>
            <w:tcBorders>
              <w:top w:val="single" w:sz="4" w:space="0" w:color="auto"/>
            </w:tcBorders>
            <w:shd w:val="clear" w:color="auto" w:fill="auto"/>
          </w:tcPr>
          <w:p w14:paraId="5A09FF63"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40.0</w:t>
            </w:r>
          </w:p>
        </w:tc>
        <w:tc>
          <w:tcPr>
            <w:tcW w:w="1275" w:type="dxa"/>
            <w:tcBorders>
              <w:top w:val="single" w:sz="4" w:space="0" w:color="auto"/>
            </w:tcBorders>
            <w:shd w:val="clear" w:color="auto" w:fill="auto"/>
          </w:tcPr>
          <w:p w14:paraId="4C975414"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89.9</w:t>
            </w:r>
          </w:p>
        </w:tc>
        <w:tc>
          <w:tcPr>
            <w:tcW w:w="851" w:type="dxa"/>
            <w:tcBorders>
              <w:top w:val="single" w:sz="4" w:space="0" w:color="auto"/>
            </w:tcBorders>
            <w:shd w:val="clear" w:color="auto" w:fill="auto"/>
          </w:tcPr>
          <w:p w14:paraId="6481584F"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58.3</w:t>
            </w:r>
          </w:p>
        </w:tc>
        <w:tc>
          <w:tcPr>
            <w:tcW w:w="1134" w:type="dxa"/>
            <w:tcBorders>
              <w:top w:val="single" w:sz="4" w:space="0" w:color="auto"/>
            </w:tcBorders>
            <w:shd w:val="clear" w:color="auto" w:fill="auto"/>
          </w:tcPr>
          <w:p w14:paraId="5125AEC2"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80.9</w:t>
            </w:r>
          </w:p>
        </w:tc>
        <w:tc>
          <w:tcPr>
            <w:tcW w:w="1511" w:type="dxa"/>
            <w:tcBorders>
              <w:top w:val="single" w:sz="4" w:space="0" w:color="auto"/>
            </w:tcBorders>
            <w:shd w:val="clear" w:color="auto" w:fill="auto"/>
          </w:tcPr>
          <w:p w14:paraId="2DAE1D12"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76.9</w:t>
            </w:r>
          </w:p>
        </w:tc>
      </w:tr>
      <w:tr w:rsidR="002C7E29" w:rsidRPr="002C7E29" w14:paraId="58471C51" w14:textId="77777777" w:rsidTr="00476D7D">
        <w:tc>
          <w:tcPr>
            <w:tcW w:w="2235" w:type="dxa"/>
            <w:shd w:val="clear" w:color="auto" w:fill="auto"/>
          </w:tcPr>
          <w:p w14:paraId="4B115720" w14:textId="452C9F2A"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0.4%</w:t>
            </w:r>
            <w:r w:rsidRPr="00257C0C">
              <w:rPr>
                <w:rFonts w:ascii="Book Antiqua" w:hAnsi="Book Antiqua"/>
                <w:color w:val="000000" w:themeColor="text1"/>
                <w:vertAlign w:val="superscript"/>
                <w:lang w:eastAsia="zh-CN"/>
              </w:rPr>
              <w:t>[1,13]</w:t>
            </w:r>
          </w:p>
        </w:tc>
        <w:tc>
          <w:tcPr>
            <w:tcW w:w="992" w:type="dxa"/>
            <w:shd w:val="clear" w:color="auto" w:fill="auto"/>
          </w:tcPr>
          <w:p w14:paraId="734840FC"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1276" w:type="dxa"/>
            <w:shd w:val="clear" w:color="auto" w:fill="auto"/>
          </w:tcPr>
          <w:p w14:paraId="35F205FF"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1275" w:type="dxa"/>
            <w:shd w:val="clear" w:color="auto" w:fill="auto"/>
          </w:tcPr>
          <w:p w14:paraId="20DCEA9F"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851" w:type="dxa"/>
            <w:shd w:val="clear" w:color="auto" w:fill="auto"/>
          </w:tcPr>
          <w:p w14:paraId="56218737"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1.6</w:t>
            </w:r>
          </w:p>
        </w:tc>
        <w:tc>
          <w:tcPr>
            <w:tcW w:w="1134" w:type="dxa"/>
            <w:shd w:val="clear" w:color="auto" w:fill="auto"/>
          </w:tcPr>
          <w:p w14:paraId="5F4D1E52"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99.7</w:t>
            </w:r>
          </w:p>
        </w:tc>
        <w:tc>
          <w:tcPr>
            <w:tcW w:w="1511" w:type="dxa"/>
            <w:shd w:val="clear" w:color="auto" w:fill="auto"/>
          </w:tcPr>
          <w:p w14:paraId="2C912BB9"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r>
      <w:tr w:rsidR="002C7E29" w:rsidRPr="002C7E29" w14:paraId="45FDEC79" w14:textId="77777777" w:rsidTr="00476D7D">
        <w:tc>
          <w:tcPr>
            <w:tcW w:w="2235" w:type="dxa"/>
            <w:tcBorders>
              <w:bottom w:val="single" w:sz="4" w:space="0" w:color="auto"/>
            </w:tcBorders>
            <w:shd w:val="clear" w:color="auto" w:fill="auto"/>
          </w:tcPr>
          <w:p w14:paraId="3B162D89" w14:textId="140B06CC"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14.2%</w:t>
            </w:r>
            <w:r w:rsidRPr="00257C0C">
              <w:rPr>
                <w:rFonts w:ascii="Book Antiqua" w:hAnsi="Book Antiqua"/>
                <w:color w:val="000000" w:themeColor="text1"/>
                <w:vertAlign w:val="superscript"/>
                <w:lang w:eastAsia="zh-CN"/>
              </w:rPr>
              <w:t>[2,3]</w:t>
            </w:r>
          </w:p>
        </w:tc>
        <w:tc>
          <w:tcPr>
            <w:tcW w:w="992" w:type="dxa"/>
            <w:tcBorders>
              <w:bottom w:val="single" w:sz="4" w:space="0" w:color="auto"/>
            </w:tcBorders>
            <w:shd w:val="clear" w:color="auto" w:fill="auto"/>
          </w:tcPr>
          <w:p w14:paraId="5CDDC001"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1276" w:type="dxa"/>
            <w:tcBorders>
              <w:bottom w:val="single" w:sz="4" w:space="0" w:color="auto"/>
            </w:tcBorders>
            <w:shd w:val="clear" w:color="auto" w:fill="auto"/>
          </w:tcPr>
          <w:p w14:paraId="421BBB08"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1275" w:type="dxa"/>
            <w:tcBorders>
              <w:bottom w:val="single" w:sz="4" w:space="0" w:color="auto"/>
            </w:tcBorders>
            <w:shd w:val="clear" w:color="auto" w:fill="auto"/>
          </w:tcPr>
          <w:p w14:paraId="3CE3057D"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c>
          <w:tcPr>
            <w:tcW w:w="851" w:type="dxa"/>
            <w:tcBorders>
              <w:bottom w:val="single" w:sz="4" w:space="0" w:color="auto"/>
            </w:tcBorders>
            <w:shd w:val="clear" w:color="auto" w:fill="auto"/>
          </w:tcPr>
          <w:p w14:paraId="6C564F3E"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9.6</w:t>
            </w:r>
          </w:p>
        </w:tc>
        <w:tc>
          <w:tcPr>
            <w:tcW w:w="1134" w:type="dxa"/>
            <w:tcBorders>
              <w:bottom w:val="single" w:sz="4" w:space="0" w:color="auto"/>
            </w:tcBorders>
            <w:shd w:val="clear" w:color="auto" w:fill="auto"/>
          </w:tcPr>
          <w:p w14:paraId="462AFEA0" w14:textId="77777777" w:rsidR="000E798B" w:rsidRPr="00257C0C" w:rsidRDefault="000E798B" w:rsidP="00257C0C">
            <w:pPr>
              <w:snapToGrid w:val="0"/>
              <w:spacing w:line="360" w:lineRule="auto"/>
              <w:jc w:val="both"/>
              <w:rPr>
                <w:rFonts w:ascii="Book Antiqua" w:hAnsi="Book Antiqua"/>
                <w:color w:val="000000" w:themeColor="text1"/>
                <w:lang w:eastAsia="zh-CN"/>
              </w:rPr>
            </w:pPr>
            <w:r w:rsidRPr="00257C0C">
              <w:rPr>
                <w:rFonts w:ascii="Book Antiqua" w:hAnsi="Book Antiqua"/>
                <w:color w:val="000000" w:themeColor="text1"/>
                <w:lang w:eastAsia="zh-CN"/>
              </w:rPr>
              <w:t>90.1</w:t>
            </w:r>
          </w:p>
        </w:tc>
        <w:tc>
          <w:tcPr>
            <w:tcW w:w="1511" w:type="dxa"/>
            <w:tcBorders>
              <w:bottom w:val="single" w:sz="4" w:space="0" w:color="auto"/>
            </w:tcBorders>
            <w:shd w:val="clear" w:color="auto" w:fill="auto"/>
          </w:tcPr>
          <w:p w14:paraId="7A7718C3" w14:textId="77777777" w:rsidR="000E798B" w:rsidRPr="00257C0C" w:rsidRDefault="000E798B" w:rsidP="00257C0C">
            <w:pPr>
              <w:snapToGrid w:val="0"/>
              <w:spacing w:line="360" w:lineRule="auto"/>
              <w:jc w:val="both"/>
              <w:rPr>
                <w:rFonts w:ascii="Book Antiqua" w:hAnsi="Book Antiqua"/>
                <w:color w:val="000000" w:themeColor="text1"/>
                <w:lang w:eastAsia="zh-CN"/>
              </w:rPr>
            </w:pPr>
          </w:p>
        </w:tc>
      </w:tr>
    </w:tbl>
    <w:bookmarkEnd w:id="3"/>
    <w:p w14:paraId="5D0211BE" w14:textId="3DE0C409" w:rsidR="000E798B" w:rsidRPr="00257C0C" w:rsidRDefault="008849C0" w:rsidP="00257C0C">
      <w:pPr>
        <w:snapToGrid w:val="0"/>
        <w:spacing w:line="360" w:lineRule="auto"/>
        <w:jc w:val="both"/>
        <w:rPr>
          <w:rFonts w:ascii="Book Antiqua" w:hAnsi="Book Antiqua"/>
          <w:color w:val="000000" w:themeColor="text1"/>
          <w:lang w:eastAsia="zh-CN"/>
        </w:rPr>
      </w:pPr>
      <w:r w:rsidRPr="00325D20">
        <w:rPr>
          <w:rFonts w:ascii="Book Antiqua" w:hAnsi="Book Antiqua"/>
          <w:color w:val="000000" w:themeColor="text1"/>
          <w:lang w:eastAsia="zh-CN"/>
        </w:rPr>
        <w:t xml:space="preserve">AUC: Area under the curve; </w:t>
      </w:r>
      <w:r w:rsidR="000E798B" w:rsidRPr="00257C0C">
        <w:rPr>
          <w:rFonts w:ascii="Book Antiqua" w:hAnsi="Book Antiqua"/>
          <w:color w:val="000000" w:themeColor="text1"/>
          <w:lang w:eastAsia="zh-CN"/>
        </w:rPr>
        <w:t xml:space="preserve">CHC: Combined hepatocellular-cholangiocarcinoma; </w:t>
      </w:r>
      <w:r w:rsidRPr="007E2E11">
        <w:rPr>
          <w:rFonts w:ascii="Book Antiqua" w:hAnsi="Book Antiqua"/>
          <w:color w:val="000000" w:themeColor="text1"/>
          <w:lang w:eastAsia="zh-CN"/>
        </w:rPr>
        <w:t>NPV: Negative predictive value</w:t>
      </w:r>
      <w:r>
        <w:rPr>
          <w:rFonts w:ascii="Book Antiqua" w:hAnsi="Book Antiqua"/>
          <w:color w:val="000000" w:themeColor="text1"/>
          <w:lang w:eastAsia="zh-CN"/>
        </w:rPr>
        <w:t>;</w:t>
      </w:r>
      <w:r w:rsidRPr="008849C0" w:rsidDel="008849C0">
        <w:rPr>
          <w:rFonts w:ascii="Book Antiqua" w:hAnsi="Book Antiqua"/>
          <w:color w:val="000000" w:themeColor="text1"/>
          <w:lang w:eastAsia="zh-CN"/>
        </w:rPr>
        <w:t xml:space="preserve"> </w:t>
      </w:r>
      <w:r w:rsidR="000E798B" w:rsidRPr="00257C0C">
        <w:rPr>
          <w:rFonts w:ascii="Book Antiqua" w:hAnsi="Book Antiqua"/>
          <w:color w:val="000000" w:themeColor="text1"/>
          <w:lang w:eastAsia="zh-CN"/>
        </w:rPr>
        <w:t>PPV: Positive predictive value.</w:t>
      </w:r>
    </w:p>
    <w:sectPr w:rsidR="000E798B" w:rsidRPr="00257C0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F3FEC5" w14:textId="77777777" w:rsidR="006C4765" w:rsidRDefault="006C4765" w:rsidP="00616237">
      <w:r>
        <w:separator/>
      </w:r>
    </w:p>
  </w:endnote>
  <w:endnote w:type="continuationSeparator" w:id="0">
    <w:p w14:paraId="1ED88B44" w14:textId="77777777" w:rsidR="006C4765" w:rsidRDefault="006C4765" w:rsidP="00616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PSA88B">
    <w:altName w:val="Cambria"/>
    <w:panose1 w:val="00000000000000000000"/>
    <w:charset w:val="00"/>
    <w:family w:val="roman"/>
    <w:notTrueType/>
    <w:pitch w:val="default"/>
  </w:font>
  <w:font w:name="AdvPSA88D">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399708593"/>
      <w:docPartObj>
        <w:docPartGallery w:val="Page Numbers (Bottom of Page)"/>
        <w:docPartUnique/>
      </w:docPartObj>
    </w:sdtPr>
    <w:sdtEndPr>
      <w:rPr>
        <w:noProof/>
      </w:rPr>
    </w:sdtEndPr>
    <w:sdtContent>
      <w:p w14:paraId="691A14FE" w14:textId="45E8A350" w:rsidR="0091663A" w:rsidRPr="00257C0C" w:rsidRDefault="0091663A">
        <w:pPr>
          <w:pStyle w:val="a4"/>
          <w:jc w:val="right"/>
          <w:rPr>
            <w:rFonts w:ascii="Book Antiqua" w:hAnsi="Book Antiqua"/>
            <w:sz w:val="24"/>
            <w:szCs w:val="24"/>
          </w:rPr>
        </w:pPr>
        <w:r w:rsidRPr="00257C0C">
          <w:rPr>
            <w:rFonts w:ascii="Book Antiqua" w:hAnsi="Book Antiqua"/>
            <w:sz w:val="24"/>
            <w:szCs w:val="24"/>
          </w:rPr>
          <w:fldChar w:fldCharType="begin"/>
        </w:r>
        <w:r w:rsidRPr="00257C0C">
          <w:rPr>
            <w:rFonts w:ascii="Book Antiqua" w:hAnsi="Book Antiqua"/>
            <w:sz w:val="24"/>
            <w:szCs w:val="24"/>
          </w:rPr>
          <w:instrText xml:space="preserve"> PAGE   \* MERGEFORMAT </w:instrText>
        </w:r>
        <w:r w:rsidRPr="00257C0C">
          <w:rPr>
            <w:rFonts w:ascii="Book Antiqua" w:hAnsi="Book Antiqua"/>
            <w:sz w:val="24"/>
            <w:szCs w:val="24"/>
          </w:rPr>
          <w:fldChar w:fldCharType="separate"/>
        </w:r>
        <w:r w:rsidR="006C4765">
          <w:rPr>
            <w:rFonts w:ascii="Book Antiqua" w:hAnsi="Book Antiqua"/>
            <w:noProof/>
            <w:sz w:val="24"/>
            <w:szCs w:val="24"/>
          </w:rPr>
          <w:t>1</w:t>
        </w:r>
        <w:r w:rsidRPr="00257C0C">
          <w:rPr>
            <w:rFonts w:ascii="Book Antiqua" w:hAnsi="Book Antiqua"/>
            <w:noProof/>
            <w:sz w:val="24"/>
            <w:szCs w:val="24"/>
          </w:rPr>
          <w:fldChar w:fldCharType="end"/>
        </w:r>
        <w:r w:rsidR="002C7E29">
          <w:rPr>
            <w:rFonts w:ascii="Book Antiqua" w:hAnsi="Book Antiqua"/>
            <w:noProof/>
            <w:sz w:val="24"/>
            <w:szCs w:val="24"/>
          </w:rPr>
          <w:t xml:space="preserve"> </w:t>
        </w:r>
        <w:r w:rsidRPr="00257C0C">
          <w:rPr>
            <w:rFonts w:ascii="Book Antiqua" w:hAnsi="Book Antiqua"/>
            <w:noProof/>
            <w:sz w:val="24"/>
            <w:szCs w:val="24"/>
          </w:rPr>
          <w:t>/</w:t>
        </w:r>
        <w:r w:rsidR="002C7E29">
          <w:rPr>
            <w:rFonts w:ascii="Book Antiqua" w:hAnsi="Book Antiqua"/>
            <w:noProof/>
            <w:sz w:val="24"/>
            <w:szCs w:val="24"/>
          </w:rPr>
          <w:t xml:space="preserve"> </w:t>
        </w:r>
        <w:r w:rsidRPr="00257C0C">
          <w:rPr>
            <w:rFonts w:ascii="Book Antiqua" w:hAnsi="Book Antiqua"/>
            <w:noProof/>
            <w:sz w:val="24"/>
            <w:szCs w:val="24"/>
          </w:rPr>
          <w:t>3</w:t>
        </w:r>
        <w:r w:rsidR="00257C0C">
          <w:rPr>
            <w:rFonts w:ascii="Book Antiqua" w:hAnsi="Book Antiqua"/>
            <w:noProof/>
            <w:sz w:val="24"/>
            <w:szCs w:val="24"/>
          </w:rPr>
          <w:t>4</w:t>
        </w:r>
      </w:p>
    </w:sdtContent>
  </w:sdt>
  <w:p w14:paraId="074A34A8" w14:textId="77777777" w:rsidR="0091663A" w:rsidRDefault="0091663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8DC175" w14:textId="77777777" w:rsidR="006C4765" w:rsidRDefault="006C4765" w:rsidP="00616237">
      <w:r>
        <w:separator/>
      </w:r>
    </w:p>
  </w:footnote>
  <w:footnote w:type="continuationSeparator" w:id="0">
    <w:p w14:paraId="050EF4F1" w14:textId="77777777" w:rsidR="006C4765" w:rsidRDefault="006C4765" w:rsidP="0061623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7F025247-3378-4912-9662-6A6A2936ABE5}"/>
    <w:docVar w:name="KY_MEDREF_VERSION" w:val="3"/>
  </w:docVars>
  <w:rsids>
    <w:rsidRoot w:val="00A77B3E"/>
    <w:rsid w:val="0003571B"/>
    <w:rsid w:val="00082D37"/>
    <w:rsid w:val="000C1EAE"/>
    <w:rsid w:val="000E2466"/>
    <w:rsid w:val="000E798B"/>
    <w:rsid w:val="001276A6"/>
    <w:rsid w:val="0013318D"/>
    <w:rsid w:val="001520D7"/>
    <w:rsid w:val="00192CB4"/>
    <w:rsid w:val="001B1F2F"/>
    <w:rsid w:val="001D03BD"/>
    <w:rsid w:val="001D5124"/>
    <w:rsid w:val="00257C0C"/>
    <w:rsid w:val="002A1022"/>
    <w:rsid w:val="002C6F5E"/>
    <w:rsid w:val="002C7E29"/>
    <w:rsid w:val="002E1AEE"/>
    <w:rsid w:val="002E50F7"/>
    <w:rsid w:val="00312F21"/>
    <w:rsid w:val="00321F82"/>
    <w:rsid w:val="00344D5E"/>
    <w:rsid w:val="003524A0"/>
    <w:rsid w:val="003A1E54"/>
    <w:rsid w:val="003D11DA"/>
    <w:rsid w:val="004047D2"/>
    <w:rsid w:val="00407D91"/>
    <w:rsid w:val="00446750"/>
    <w:rsid w:val="00476D7D"/>
    <w:rsid w:val="004C1CEB"/>
    <w:rsid w:val="004F21C3"/>
    <w:rsid w:val="0055635E"/>
    <w:rsid w:val="00573C29"/>
    <w:rsid w:val="005864E9"/>
    <w:rsid w:val="005B07F4"/>
    <w:rsid w:val="005D4A19"/>
    <w:rsid w:val="00616237"/>
    <w:rsid w:val="006377F1"/>
    <w:rsid w:val="0069661E"/>
    <w:rsid w:val="006A3AC1"/>
    <w:rsid w:val="006C4765"/>
    <w:rsid w:val="006F389C"/>
    <w:rsid w:val="006F6CC4"/>
    <w:rsid w:val="00747E8F"/>
    <w:rsid w:val="007712BA"/>
    <w:rsid w:val="00787A4F"/>
    <w:rsid w:val="007954D1"/>
    <w:rsid w:val="007A5BC8"/>
    <w:rsid w:val="007D5730"/>
    <w:rsid w:val="007F0117"/>
    <w:rsid w:val="007F4117"/>
    <w:rsid w:val="007F4B93"/>
    <w:rsid w:val="00846989"/>
    <w:rsid w:val="00861572"/>
    <w:rsid w:val="008653A3"/>
    <w:rsid w:val="00867BC8"/>
    <w:rsid w:val="008849C0"/>
    <w:rsid w:val="008F2358"/>
    <w:rsid w:val="008F2EE4"/>
    <w:rsid w:val="0091663A"/>
    <w:rsid w:val="00922EEA"/>
    <w:rsid w:val="00970CAC"/>
    <w:rsid w:val="00984B84"/>
    <w:rsid w:val="00990832"/>
    <w:rsid w:val="009A73C2"/>
    <w:rsid w:val="009E60B4"/>
    <w:rsid w:val="00A14A03"/>
    <w:rsid w:val="00A30FE5"/>
    <w:rsid w:val="00A413BB"/>
    <w:rsid w:val="00A744C0"/>
    <w:rsid w:val="00A77B3E"/>
    <w:rsid w:val="00AA26FF"/>
    <w:rsid w:val="00AB622F"/>
    <w:rsid w:val="00AC751A"/>
    <w:rsid w:val="00AE45F2"/>
    <w:rsid w:val="00AE4B84"/>
    <w:rsid w:val="00B47B18"/>
    <w:rsid w:val="00B90D42"/>
    <w:rsid w:val="00BA0F5D"/>
    <w:rsid w:val="00BD3FBF"/>
    <w:rsid w:val="00BF1926"/>
    <w:rsid w:val="00CA2A55"/>
    <w:rsid w:val="00CA4B3C"/>
    <w:rsid w:val="00D73E13"/>
    <w:rsid w:val="00D83181"/>
    <w:rsid w:val="00D879B4"/>
    <w:rsid w:val="00DA1436"/>
    <w:rsid w:val="00E01816"/>
    <w:rsid w:val="00E06B28"/>
    <w:rsid w:val="00E36320"/>
    <w:rsid w:val="00E36CD0"/>
    <w:rsid w:val="00EB2C77"/>
    <w:rsid w:val="00EB5E4A"/>
    <w:rsid w:val="00ED4F37"/>
    <w:rsid w:val="00F47AC4"/>
    <w:rsid w:val="00F808B6"/>
    <w:rsid w:val="00F82719"/>
    <w:rsid w:val="00FC1E8F"/>
    <w:rsid w:val="00FE7B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AE0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162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16237"/>
    <w:rPr>
      <w:sz w:val="18"/>
      <w:szCs w:val="18"/>
    </w:rPr>
  </w:style>
  <w:style w:type="paragraph" w:styleId="a4">
    <w:name w:val="footer"/>
    <w:basedOn w:val="a"/>
    <w:link w:val="Char0"/>
    <w:uiPriority w:val="99"/>
    <w:unhideWhenUsed/>
    <w:rsid w:val="00616237"/>
    <w:pPr>
      <w:tabs>
        <w:tab w:val="center" w:pos="4153"/>
        <w:tab w:val="right" w:pos="8306"/>
      </w:tabs>
      <w:snapToGrid w:val="0"/>
    </w:pPr>
    <w:rPr>
      <w:sz w:val="18"/>
      <w:szCs w:val="18"/>
    </w:rPr>
  </w:style>
  <w:style w:type="character" w:customStyle="1" w:styleId="Char0">
    <w:name w:val="页脚 Char"/>
    <w:basedOn w:val="a0"/>
    <w:link w:val="a4"/>
    <w:uiPriority w:val="99"/>
    <w:rsid w:val="00616237"/>
    <w:rPr>
      <w:sz w:val="18"/>
      <w:szCs w:val="18"/>
    </w:rPr>
  </w:style>
  <w:style w:type="paragraph" w:styleId="a5">
    <w:name w:val="Balloon Text"/>
    <w:basedOn w:val="a"/>
    <w:link w:val="Char1"/>
    <w:rsid w:val="00616237"/>
    <w:rPr>
      <w:sz w:val="18"/>
      <w:szCs w:val="18"/>
    </w:rPr>
  </w:style>
  <w:style w:type="character" w:customStyle="1" w:styleId="Char1">
    <w:name w:val="批注框文本 Char"/>
    <w:basedOn w:val="a0"/>
    <w:link w:val="a5"/>
    <w:rsid w:val="00616237"/>
    <w:rPr>
      <w:sz w:val="18"/>
      <w:szCs w:val="18"/>
    </w:rPr>
  </w:style>
  <w:style w:type="character" w:customStyle="1" w:styleId="fontstyle01">
    <w:name w:val="fontstyle01"/>
    <w:basedOn w:val="a0"/>
    <w:rsid w:val="007F0117"/>
    <w:rPr>
      <w:rFonts w:ascii="AdvPSA88B" w:hAnsi="AdvPSA88B" w:hint="default"/>
      <w:b w:val="0"/>
      <w:bCs w:val="0"/>
      <w:i w:val="0"/>
      <w:iCs w:val="0"/>
      <w:color w:val="000000"/>
      <w:sz w:val="18"/>
      <w:szCs w:val="18"/>
    </w:rPr>
  </w:style>
  <w:style w:type="character" w:customStyle="1" w:styleId="fontstyle21">
    <w:name w:val="fontstyle21"/>
    <w:basedOn w:val="a0"/>
    <w:rsid w:val="007F0117"/>
    <w:rPr>
      <w:rFonts w:ascii="AdvPSA88D" w:hAnsi="AdvPSA88D" w:hint="default"/>
      <w:b w:val="0"/>
      <w:bCs w:val="0"/>
      <w:i w:val="0"/>
      <w:iCs w:val="0"/>
      <w:color w:val="000000"/>
      <w:sz w:val="18"/>
      <w:szCs w:val="18"/>
    </w:rPr>
  </w:style>
  <w:style w:type="table" w:styleId="a6">
    <w:name w:val="Table Grid"/>
    <w:basedOn w:val="a1"/>
    <w:uiPriority w:val="39"/>
    <w:rsid w:val="007F0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2A1022"/>
    <w:rPr>
      <w:sz w:val="21"/>
      <w:szCs w:val="21"/>
    </w:rPr>
  </w:style>
  <w:style w:type="paragraph" w:styleId="a8">
    <w:name w:val="annotation text"/>
    <w:basedOn w:val="a"/>
    <w:link w:val="Char2"/>
    <w:semiHidden/>
    <w:unhideWhenUsed/>
    <w:rsid w:val="002A1022"/>
  </w:style>
  <w:style w:type="character" w:customStyle="1" w:styleId="Char2">
    <w:name w:val="批注文字 Char"/>
    <w:basedOn w:val="a0"/>
    <w:link w:val="a8"/>
    <w:semiHidden/>
    <w:rsid w:val="002A1022"/>
    <w:rPr>
      <w:sz w:val="24"/>
      <w:szCs w:val="24"/>
    </w:rPr>
  </w:style>
  <w:style w:type="paragraph" w:styleId="a9">
    <w:name w:val="annotation subject"/>
    <w:basedOn w:val="a8"/>
    <w:next w:val="a8"/>
    <w:link w:val="Char3"/>
    <w:semiHidden/>
    <w:unhideWhenUsed/>
    <w:rsid w:val="002A1022"/>
    <w:rPr>
      <w:b/>
      <w:bCs/>
    </w:rPr>
  </w:style>
  <w:style w:type="character" w:customStyle="1" w:styleId="Char3">
    <w:name w:val="批注主题 Char"/>
    <w:basedOn w:val="Char2"/>
    <w:link w:val="a9"/>
    <w:semiHidden/>
    <w:rsid w:val="002A1022"/>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1623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16237"/>
    <w:rPr>
      <w:sz w:val="18"/>
      <w:szCs w:val="18"/>
    </w:rPr>
  </w:style>
  <w:style w:type="paragraph" w:styleId="a4">
    <w:name w:val="footer"/>
    <w:basedOn w:val="a"/>
    <w:link w:val="Char0"/>
    <w:uiPriority w:val="99"/>
    <w:unhideWhenUsed/>
    <w:rsid w:val="00616237"/>
    <w:pPr>
      <w:tabs>
        <w:tab w:val="center" w:pos="4153"/>
        <w:tab w:val="right" w:pos="8306"/>
      </w:tabs>
      <w:snapToGrid w:val="0"/>
    </w:pPr>
    <w:rPr>
      <w:sz w:val="18"/>
      <w:szCs w:val="18"/>
    </w:rPr>
  </w:style>
  <w:style w:type="character" w:customStyle="1" w:styleId="Char0">
    <w:name w:val="页脚 Char"/>
    <w:basedOn w:val="a0"/>
    <w:link w:val="a4"/>
    <w:uiPriority w:val="99"/>
    <w:rsid w:val="00616237"/>
    <w:rPr>
      <w:sz w:val="18"/>
      <w:szCs w:val="18"/>
    </w:rPr>
  </w:style>
  <w:style w:type="paragraph" w:styleId="a5">
    <w:name w:val="Balloon Text"/>
    <w:basedOn w:val="a"/>
    <w:link w:val="Char1"/>
    <w:rsid w:val="00616237"/>
    <w:rPr>
      <w:sz w:val="18"/>
      <w:szCs w:val="18"/>
    </w:rPr>
  </w:style>
  <w:style w:type="character" w:customStyle="1" w:styleId="Char1">
    <w:name w:val="批注框文本 Char"/>
    <w:basedOn w:val="a0"/>
    <w:link w:val="a5"/>
    <w:rsid w:val="00616237"/>
    <w:rPr>
      <w:sz w:val="18"/>
      <w:szCs w:val="18"/>
    </w:rPr>
  </w:style>
  <w:style w:type="character" w:customStyle="1" w:styleId="fontstyle01">
    <w:name w:val="fontstyle01"/>
    <w:basedOn w:val="a0"/>
    <w:rsid w:val="007F0117"/>
    <w:rPr>
      <w:rFonts w:ascii="AdvPSA88B" w:hAnsi="AdvPSA88B" w:hint="default"/>
      <w:b w:val="0"/>
      <w:bCs w:val="0"/>
      <w:i w:val="0"/>
      <w:iCs w:val="0"/>
      <w:color w:val="000000"/>
      <w:sz w:val="18"/>
      <w:szCs w:val="18"/>
    </w:rPr>
  </w:style>
  <w:style w:type="character" w:customStyle="1" w:styleId="fontstyle21">
    <w:name w:val="fontstyle21"/>
    <w:basedOn w:val="a0"/>
    <w:rsid w:val="007F0117"/>
    <w:rPr>
      <w:rFonts w:ascii="AdvPSA88D" w:hAnsi="AdvPSA88D" w:hint="default"/>
      <w:b w:val="0"/>
      <w:bCs w:val="0"/>
      <w:i w:val="0"/>
      <w:iCs w:val="0"/>
      <w:color w:val="000000"/>
      <w:sz w:val="18"/>
      <w:szCs w:val="18"/>
    </w:rPr>
  </w:style>
  <w:style w:type="table" w:styleId="a6">
    <w:name w:val="Table Grid"/>
    <w:basedOn w:val="a1"/>
    <w:uiPriority w:val="39"/>
    <w:rsid w:val="007F0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2A1022"/>
    <w:rPr>
      <w:sz w:val="21"/>
      <w:szCs w:val="21"/>
    </w:rPr>
  </w:style>
  <w:style w:type="paragraph" w:styleId="a8">
    <w:name w:val="annotation text"/>
    <w:basedOn w:val="a"/>
    <w:link w:val="Char2"/>
    <w:semiHidden/>
    <w:unhideWhenUsed/>
    <w:rsid w:val="002A1022"/>
  </w:style>
  <w:style w:type="character" w:customStyle="1" w:styleId="Char2">
    <w:name w:val="批注文字 Char"/>
    <w:basedOn w:val="a0"/>
    <w:link w:val="a8"/>
    <w:semiHidden/>
    <w:rsid w:val="002A1022"/>
    <w:rPr>
      <w:sz w:val="24"/>
      <w:szCs w:val="24"/>
    </w:rPr>
  </w:style>
  <w:style w:type="paragraph" w:styleId="a9">
    <w:name w:val="annotation subject"/>
    <w:basedOn w:val="a8"/>
    <w:next w:val="a8"/>
    <w:link w:val="Char3"/>
    <w:semiHidden/>
    <w:unhideWhenUsed/>
    <w:rsid w:val="002A1022"/>
    <w:rPr>
      <w:b/>
      <w:bCs/>
    </w:rPr>
  </w:style>
  <w:style w:type="character" w:customStyle="1" w:styleId="Char3">
    <w:name w:val="批注主题 Char"/>
    <w:basedOn w:val="Char2"/>
    <w:link w:val="a9"/>
    <w:semiHidden/>
    <w:rsid w:val="002A102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34</Pages>
  <Words>6209</Words>
  <Characters>35396</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23</cp:revision>
  <dcterms:created xsi:type="dcterms:W3CDTF">2020-11-10T18:33:00Z</dcterms:created>
  <dcterms:modified xsi:type="dcterms:W3CDTF">2020-12-10T07:54:00Z</dcterms:modified>
</cp:coreProperties>
</file>