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E248" w14:textId="77777777" w:rsidR="00A77B3E" w:rsidRPr="00EE1084" w:rsidRDefault="00A60D61" w:rsidP="009F5B08">
      <w:pPr>
        <w:snapToGrid w:val="0"/>
        <w:spacing w:line="360" w:lineRule="auto"/>
        <w:jc w:val="both"/>
        <w:rPr>
          <w:rFonts w:ascii="Book Antiqua" w:hAnsi="Book Antiqua"/>
          <w:color w:val="000000" w:themeColor="text1"/>
        </w:rPr>
      </w:pPr>
      <w:bookmarkStart w:id="0" w:name="OLE_LINK15"/>
      <w:bookmarkStart w:id="1" w:name="OLE_LINK16"/>
      <w:r w:rsidRPr="00EE1084">
        <w:rPr>
          <w:rFonts w:ascii="Book Antiqua" w:eastAsia="Book Antiqua" w:hAnsi="Book Antiqua" w:cs="Book Antiqua"/>
          <w:b/>
          <w:color w:val="000000" w:themeColor="text1"/>
        </w:rPr>
        <w:t xml:space="preserve">Name of Journal: </w:t>
      </w:r>
      <w:r w:rsidRPr="00EE1084">
        <w:rPr>
          <w:rFonts w:ascii="Book Antiqua" w:eastAsia="Book Antiqua" w:hAnsi="Book Antiqua" w:cs="Book Antiqua"/>
          <w:i/>
          <w:color w:val="000000" w:themeColor="text1"/>
        </w:rPr>
        <w:t>World Journal of Clinical Cases</w:t>
      </w:r>
    </w:p>
    <w:p w14:paraId="62A49BAD" w14:textId="77777777" w:rsidR="00A77B3E" w:rsidRPr="00EE1084" w:rsidRDefault="00A60D61" w:rsidP="009F5B08">
      <w:pPr>
        <w:snapToGrid w:val="0"/>
        <w:spacing w:line="360" w:lineRule="auto"/>
        <w:jc w:val="both"/>
        <w:rPr>
          <w:rFonts w:ascii="Book Antiqua" w:hAnsi="Book Antiqua"/>
          <w:color w:val="000000" w:themeColor="text1"/>
        </w:rPr>
      </w:pPr>
      <w:r w:rsidRPr="00EE1084">
        <w:rPr>
          <w:rFonts w:ascii="Book Antiqua" w:eastAsia="Book Antiqua" w:hAnsi="Book Antiqua" w:cs="Book Antiqua"/>
          <w:b/>
          <w:color w:val="000000" w:themeColor="text1"/>
        </w:rPr>
        <w:t xml:space="preserve">Manuscript NO: </w:t>
      </w:r>
      <w:r w:rsidRPr="00EE1084">
        <w:rPr>
          <w:rFonts w:ascii="Book Antiqua" w:eastAsia="Book Antiqua" w:hAnsi="Book Antiqua" w:cs="Book Antiqua"/>
          <w:color w:val="000000" w:themeColor="text1"/>
        </w:rPr>
        <w:t>58786</w:t>
      </w:r>
    </w:p>
    <w:p w14:paraId="5FF52C8A"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color w:val="000000" w:themeColor="text1"/>
        </w:rPr>
        <w:t xml:space="preserve">Manuscript Type: </w:t>
      </w:r>
      <w:r w:rsidRPr="00EE1084">
        <w:rPr>
          <w:rFonts w:ascii="Book Antiqua" w:eastAsia="Book Antiqua" w:hAnsi="Book Antiqua" w:cs="Book Antiqua"/>
          <w:color w:val="000000" w:themeColor="text1"/>
        </w:rPr>
        <w:t>ORIGINAL ARTICLE</w:t>
      </w:r>
    </w:p>
    <w:p w14:paraId="5BBA8B2A" w14:textId="77777777" w:rsidR="00A77B3E" w:rsidRPr="00EE1084" w:rsidRDefault="00A77B3E">
      <w:pPr>
        <w:snapToGrid w:val="0"/>
        <w:spacing w:line="360" w:lineRule="auto"/>
        <w:jc w:val="both"/>
        <w:rPr>
          <w:rFonts w:ascii="Book Antiqua" w:hAnsi="Book Antiqua"/>
          <w:color w:val="000000" w:themeColor="text1"/>
        </w:rPr>
      </w:pPr>
    </w:p>
    <w:p w14:paraId="1E79ACB7"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i/>
          <w:color w:val="000000" w:themeColor="text1"/>
        </w:rPr>
        <w:t>Prospective Study</w:t>
      </w:r>
    </w:p>
    <w:p w14:paraId="3CE3B5E2" w14:textId="1896318B" w:rsidR="00A77B3E" w:rsidRPr="00EE1084" w:rsidRDefault="00A60D61">
      <w:pPr>
        <w:snapToGrid w:val="0"/>
        <w:spacing w:line="360" w:lineRule="auto"/>
        <w:jc w:val="both"/>
        <w:rPr>
          <w:rFonts w:ascii="Book Antiqua" w:hAnsi="Book Antiqua"/>
          <w:color w:val="000000" w:themeColor="text1"/>
        </w:rPr>
      </w:pPr>
      <w:bookmarkStart w:id="2" w:name="OLE_LINK17"/>
      <w:bookmarkStart w:id="3" w:name="OLE_LINK18"/>
      <w:r w:rsidRPr="00EE1084">
        <w:rPr>
          <w:rFonts w:ascii="Book Antiqua" w:eastAsia="Book Antiqua" w:hAnsi="Book Antiqua" w:cs="Book Antiqua"/>
          <w:b/>
          <w:color w:val="000000" w:themeColor="text1"/>
        </w:rPr>
        <w:t>Neoadjuvant chemoradiotherapy plus surgery in the treatment of potentially resectable thoracic esophageal squamous cell carcinoma</w:t>
      </w:r>
    </w:p>
    <w:bookmarkEnd w:id="2"/>
    <w:bookmarkEnd w:id="3"/>
    <w:p w14:paraId="06C56AEF" w14:textId="77777777" w:rsidR="00A77B3E" w:rsidRPr="00EE1084" w:rsidRDefault="00A77B3E">
      <w:pPr>
        <w:snapToGrid w:val="0"/>
        <w:spacing w:line="360" w:lineRule="auto"/>
        <w:jc w:val="both"/>
        <w:rPr>
          <w:rFonts w:ascii="Book Antiqua" w:hAnsi="Book Antiqua"/>
          <w:color w:val="000000" w:themeColor="text1"/>
        </w:rPr>
      </w:pPr>
    </w:p>
    <w:p w14:paraId="5EA3FF68" w14:textId="0EE1BA97" w:rsidR="00A77B3E" w:rsidRPr="00EE1084" w:rsidRDefault="004B1195">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 xml:space="preserve">Yan MH </w:t>
      </w:r>
      <w:r w:rsidRPr="00EE1084">
        <w:rPr>
          <w:rFonts w:ascii="Book Antiqua" w:eastAsia="Book Antiqua" w:hAnsi="Book Antiqua" w:cs="Book Antiqua"/>
          <w:i/>
          <w:iCs/>
          <w:color w:val="000000" w:themeColor="text1"/>
        </w:rPr>
        <w:t>et al</w:t>
      </w:r>
      <w:r w:rsidRPr="00EE1084">
        <w:rPr>
          <w:rFonts w:ascii="Book Antiqua" w:eastAsia="Book Antiqua" w:hAnsi="Book Antiqua" w:cs="Book Antiqua"/>
          <w:color w:val="000000" w:themeColor="text1"/>
        </w:rPr>
        <w:t xml:space="preserve">. </w:t>
      </w:r>
      <w:bookmarkStart w:id="4" w:name="OLE_LINK3"/>
      <w:bookmarkStart w:id="5" w:name="OLE_LINK4"/>
      <w:bookmarkStart w:id="6" w:name="OLE_LINK19"/>
      <w:bookmarkStart w:id="7" w:name="OLE_LINK20"/>
      <w:r w:rsidR="00A60D61" w:rsidRPr="00EE1084">
        <w:rPr>
          <w:rFonts w:ascii="Book Antiqua" w:eastAsia="Book Antiqua" w:hAnsi="Book Antiqua" w:cs="Book Antiqua"/>
          <w:color w:val="000000" w:themeColor="text1"/>
        </w:rPr>
        <w:t>Neoadjuvant chemoradiotherapy of ESCC</w:t>
      </w:r>
      <w:bookmarkEnd w:id="4"/>
      <w:bookmarkEnd w:id="5"/>
    </w:p>
    <w:bookmarkEnd w:id="6"/>
    <w:bookmarkEnd w:id="7"/>
    <w:p w14:paraId="548A158B" w14:textId="77777777" w:rsidR="00A77B3E" w:rsidRPr="00EE1084" w:rsidRDefault="00A77B3E">
      <w:pPr>
        <w:snapToGrid w:val="0"/>
        <w:spacing w:line="360" w:lineRule="auto"/>
        <w:jc w:val="both"/>
        <w:rPr>
          <w:rFonts w:ascii="Book Antiqua" w:hAnsi="Book Antiqua"/>
          <w:color w:val="000000" w:themeColor="text1"/>
        </w:rPr>
      </w:pPr>
    </w:p>
    <w:p w14:paraId="50694A64"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Mao-Hui Yan, Xiao-Bin Hou, Bo-Ning Cai, Bao-Lin Qu, Xiang-Kun Dai, Fang Liu</w:t>
      </w:r>
    </w:p>
    <w:p w14:paraId="7257B072" w14:textId="77777777" w:rsidR="00A77B3E" w:rsidRPr="00EE1084" w:rsidRDefault="00A77B3E">
      <w:pPr>
        <w:snapToGrid w:val="0"/>
        <w:spacing w:line="360" w:lineRule="auto"/>
        <w:jc w:val="both"/>
        <w:rPr>
          <w:rFonts w:ascii="Book Antiqua" w:hAnsi="Book Antiqua"/>
          <w:color w:val="000000" w:themeColor="text1"/>
        </w:rPr>
      </w:pPr>
    </w:p>
    <w:p w14:paraId="2919089D" w14:textId="5995D24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Mao-Hui Yan, Bo-Ning Cai, Bao-Lin Qu, Xiang-Kun Dai, Fang Liu, </w:t>
      </w:r>
      <w:r w:rsidRPr="00EE1084">
        <w:rPr>
          <w:rFonts w:ascii="Book Antiqua" w:eastAsia="Book Antiqua" w:hAnsi="Book Antiqua" w:cs="Book Antiqua"/>
          <w:color w:val="000000" w:themeColor="text1"/>
        </w:rPr>
        <w:t xml:space="preserve">Department of Radiotherapy, </w:t>
      </w:r>
      <w:r w:rsidR="00D97966" w:rsidRPr="00EE1084">
        <w:rPr>
          <w:rFonts w:ascii="Book Antiqua" w:eastAsia="Book Antiqua" w:hAnsi="Book Antiqua" w:cs="Book Antiqua"/>
          <w:color w:val="000000" w:themeColor="text1"/>
        </w:rPr>
        <w:t>T</w:t>
      </w:r>
      <w:r w:rsidRPr="00EE1084">
        <w:rPr>
          <w:rFonts w:ascii="Book Antiqua" w:eastAsia="Book Antiqua" w:hAnsi="Book Antiqua" w:cs="Book Antiqua"/>
          <w:color w:val="000000" w:themeColor="text1"/>
        </w:rPr>
        <w:t>he First Medical Center of the Chinese PLA General Hospital, Beijing 100853, China</w:t>
      </w:r>
    </w:p>
    <w:p w14:paraId="406C4AF9" w14:textId="77777777" w:rsidR="00A77B3E" w:rsidRPr="00EE1084" w:rsidRDefault="00A77B3E">
      <w:pPr>
        <w:snapToGrid w:val="0"/>
        <w:spacing w:line="360" w:lineRule="auto"/>
        <w:jc w:val="both"/>
        <w:rPr>
          <w:rFonts w:ascii="Book Antiqua" w:hAnsi="Book Antiqua"/>
          <w:color w:val="000000" w:themeColor="text1"/>
        </w:rPr>
      </w:pPr>
    </w:p>
    <w:p w14:paraId="1585076E" w14:textId="1DBEA68F"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Xiao-Bin Hou, </w:t>
      </w:r>
      <w:r w:rsidRPr="00EE1084">
        <w:rPr>
          <w:rFonts w:ascii="Book Antiqua" w:eastAsia="Book Antiqua" w:hAnsi="Book Antiqua" w:cs="Book Antiqua"/>
          <w:color w:val="000000" w:themeColor="text1"/>
        </w:rPr>
        <w:t xml:space="preserve">Department of Thoracic Surgery, </w:t>
      </w:r>
      <w:r w:rsidR="002245C4">
        <w:rPr>
          <w:rFonts w:ascii="Book Antiqua" w:eastAsia="Book Antiqua" w:hAnsi="Book Antiqua" w:cs="Book Antiqua"/>
          <w:color w:val="000000" w:themeColor="text1"/>
        </w:rPr>
        <w:t>T</w:t>
      </w:r>
      <w:r w:rsidRPr="00EE1084">
        <w:rPr>
          <w:rFonts w:ascii="Book Antiqua" w:eastAsia="Book Antiqua" w:hAnsi="Book Antiqua" w:cs="Book Antiqua"/>
          <w:color w:val="000000" w:themeColor="text1"/>
        </w:rPr>
        <w:t>he First Medical Center of the Chinese PLA General Hospital, Beijing 100853, China</w:t>
      </w:r>
    </w:p>
    <w:p w14:paraId="2B7AB9B0" w14:textId="77777777" w:rsidR="00A77B3E" w:rsidRPr="00EE1084" w:rsidRDefault="00A77B3E">
      <w:pPr>
        <w:snapToGrid w:val="0"/>
        <w:spacing w:line="360" w:lineRule="auto"/>
        <w:jc w:val="both"/>
        <w:rPr>
          <w:rFonts w:ascii="Book Antiqua" w:hAnsi="Book Antiqua"/>
          <w:color w:val="000000" w:themeColor="text1"/>
        </w:rPr>
      </w:pPr>
    </w:p>
    <w:p w14:paraId="1E326DA8" w14:textId="36088E26"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Author contributions: </w:t>
      </w:r>
      <w:bookmarkStart w:id="8" w:name="OLE_LINK21"/>
      <w:bookmarkStart w:id="9" w:name="OLE_LINK22"/>
      <w:bookmarkStart w:id="10" w:name="OLE_LINK5"/>
      <w:bookmarkStart w:id="11" w:name="OLE_LINK6"/>
      <w:r w:rsidRPr="00EE1084">
        <w:rPr>
          <w:rFonts w:ascii="Book Antiqua" w:eastAsia="Book Antiqua" w:hAnsi="Book Antiqua" w:cs="Book Antiqua"/>
          <w:color w:val="000000" w:themeColor="text1"/>
        </w:rPr>
        <w:t>Yan MH, Qu BL</w:t>
      </w:r>
      <w:r w:rsidR="00B60E29" w:rsidRPr="00EE1084">
        <w:rPr>
          <w:rFonts w:ascii="Book Antiqua" w:eastAsia="Book Antiqua" w:hAnsi="Book Antiqua" w:cs="Book Antiqua"/>
          <w:color w:val="000000" w:themeColor="text1"/>
        </w:rPr>
        <w:t>,</w:t>
      </w:r>
      <w:r w:rsidRPr="00EE1084">
        <w:rPr>
          <w:rFonts w:ascii="Book Antiqua" w:eastAsia="Book Antiqua" w:hAnsi="Book Antiqua" w:cs="Book Antiqua"/>
          <w:color w:val="000000" w:themeColor="text1"/>
        </w:rPr>
        <w:t> and Liu F designed the research study; Yan MH, Hou XB, Dai XK</w:t>
      </w:r>
      <w:r w:rsidR="0005366F" w:rsidRPr="00EE1084">
        <w:rPr>
          <w:rFonts w:ascii="Book Antiqua" w:eastAsia="Book Antiqua" w:hAnsi="Book Antiqua" w:cs="Book Antiqua"/>
          <w:color w:val="000000" w:themeColor="text1"/>
        </w:rPr>
        <w:t>,</w:t>
      </w:r>
      <w:r w:rsidRPr="00EE1084">
        <w:rPr>
          <w:rFonts w:ascii="Book Antiqua" w:eastAsia="Book Antiqua" w:hAnsi="Book Antiqua" w:cs="Book Antiqua"/>
          <w:color w:val="000000" w:themeColor="text1"/>
        </w:rPr>
        <w:t> and Cai BN performed the research; Yan MH and Liu F analyzed the data and wrote the manuscript</w:t>
      </w:r>
      <w:r w:rsidR="00D82E41" w:rsidRPr="00EE1084">
        <w:rPr>
          <w:rFonts w:ascii="Book Antiqua" w:eastAsia="Book Antiqua" w:hAnsi="Book Antiqua" w:cs="Book Antiqua"/>
          <w:color w:val="000000" w:themeColor="text1"/>
        </w:rPr>
        <w:t xml:space="preserve">; </w:t>
      </w:r>
      <w:r w:rsidR="002245C4">
        <w:rPr>
          <w:rFonts w:ascii="Book Antiqua" w:eastAsia="Book Antiqua" w:hAnsi="Book Antiqua" w:cs="Book Antiqua"/>
          <w:color w:val="000000" w:themeColor="text1"/>
        </w:rPr>
        <w:t>A</w:t>
      </w:r>
      <w:r w:rsidR="00E95AA7" w:rsidRPr="00EE1084">
        <w:rPr>
          <w:rFonts w:ascii="Book Antiqua" w:eastAsia="Book Antiqua" w:hAnsi="Book Antiqua" w:cs="Book Antiqua"/>
          <w:color w:val="000000" w:themeColor="text1"/>
        </w:rPr>
        <w:t>ll authors</w:t>
      </w:r>
      <w:r w:rsidRPr="00EE1084">
        <w:rPr>
          <w:rFonts w:ascii="Book Antiqua" w:eastAsia="Book Antiqua" w:hAnsi="Book Antiqua" w:cs="Book Antiqua"/>
          <w:color w:val="000000" w:themeColor="text1"/>
        </w:rPr>
        <w:t xml:space="preserve"> have read and approve the final manuscript.</w:t>
      </w:r>
      <w:bookmarkEnd w:id="8"/>
      <w:bookmarkEnd w:id="9"/>
    </w:p>
    <w:bookmarkEnd w:id="10"/>
    <w:bookmarkEnd w:id="11"/>
    <w:p w14:paraId="0FA57BE8" w14:textId="77777777" w:rsidR="00A77B3E" w:rsidRPr="00EE1084" w:rsidRDefault="00A77B3E">
      <w:pPr>
        <w:snapToGrid w:val="0"/>
        <w:spacing w:line="360" w:lineRule="auto"/>
        <w:jc w:val="both"/>
        <w:rPr>
          <w:rFonts w:ascii="Book Antiqua" w:hAnsi="Book Antiqua"/>
          <w:color w:val="000000" w:themeColor="text1"/>
        </w:rPr>
      </w:pPr>
    </w:p>
    <w:p w14:paraId="5A8F3DC2" w14:textId="16F068B7" w:rsidR="00A77B3E" w:rsidRPr="00EE1084" w:rsidRDefault="00A60D61">
      <w:pPr>
        <w:snapToGrid w:val="0"/>
        <w:spacing w:line="360" w:lineRule="auto"/>
        <w:jc w:val="both"/>
        <w:rPr>
          <w:rFonts w:ascii="Book Antiqua" w:hAnsi="Book Antiqua"/>
          <w:color w:val="000000" w:themeColor="text1"/>
          <w:u w:val="single"/>
        </w:rPr>
      </w:pPr>
      <w:r w:rsidRPr="00EE1084">
        <w:rPr>
          <w:rFonts w:ascii="Book Antiqua" w:eastAsia="Book Antiqua" w:hAnsi="Book Antiqua" w:cs="Book Antiqua"/>
          <w:b/>
          <w:bCs/>
          <w:color w:val="000000" w:themeColor="text1"/>
        </w:rPr>
        <w:t xml:space="preserve">Corresponding author: Fang Liu, MD, Chief Doctor, </w:t>
      </w:r>
      <w:r w:rsidRPr="00EE1084">
        <w:rPr>
          <w:rFonts w:ascii="Book Antiqua" w:eastAsia="Book Antiqua" w:hAnsi="Book Antiqua" w:cs="Book Antiqua"/>
          <w:color w:val="000000" w:themeColor="text1"/>
        </w:rPr>
        <w:t>Department of Radiotherapy,</w:t>
      </w:r>
      <w:r w:rsidR="008B2E47" w:rsidRPr="00EE1084">
        <w:rPr>
          <w:rFonts w:ascii="Book Antiqua" w:eastAsia="Book Antiqua" w:hAnsi="Book Antiqua" w:cs="Book Antiqua"/>
          <w:color w:val="000000" w:themeColor="text1"/>
        </w:rPr>
        <w:t xml:space="preserve"> T</w:t>
      </w:r>
      <w:r w:rsidRPr="00EE1084">
        <w:rPr>
          <w:rFonts w:ascii="Book Antiqua" w:eastAsia="Book Antiqua" w:hAnsi="Book Antiqua" w:cs="Book Antiqua"/>
          <w:color w:val="000000" w:themeColor="text1"/>
        </w:rPr>
        <w:t>he First Medical Center of the Chinese PLA Gene</w:t>
      </w:r>
      <w:r w:rsidR="00E95AA7" w:rsidRPr="00EE1084">
        <w:rPr>
          <w:rFonts w:ascii="Book Antiqua" w:eastAsia="Book Antiqua" w:hAnsi="Book Antiqua" w:cs="Book Antiqua"/>
          <w:color w:val="000000" w:themeColor="text1"/>
        </w:rPr>
        <w:t>ral Hospital, No. 28 Fuxing Road</w:t>
      </w:r>
      <w:r w:rsidRPr="00EE1084">
        <w:rPr>
          <w:rFonts w:ascii="Book Antiqua" w:eastAsia="Book Antiqua" w:hAnsi="Book Antiqua" w:cs="Book Antiqua"/>
          <w:color w:val="000000" w:themeColor="text1"/>
        </w:rPr>
        <w:t>, Beijing 100853, China. liufangfsg@163.com</w:t>
      </w:r>
    </w:p>
    <w:p w14:paraId="44412A72" w14:textId="77777777" w:rsidR="00A77B3E" w:rsidRPr="00EE1084" w:rsidRDefault="00A77B3E">
      <w:pPr>
        <w:snapToGrid w:val="0"/>
        <w:spacing w:line="360" w:lineRule="auto"/>
        <w:jc w:val="both"/>
        <w:rPr>
          <w:rFonts w:ascii="Book Antiqua" w:hAnsi="Book Antiqua"/>
          <w:color w:val="000000" w:themeColor="text1"/>
        </w:rPr>
      </w:pPr>
    </w:p>
    <w:p w14:paraId="130631A1"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Received: </w:t>
      </w:r>
      <w:r w:rsidRPr="00EE1084">
        <w:rPr>
          <w:rFonts w:ascii="Book Antiqua" w:eastAsia="Book Antiqua" w:hAnsi="Book Antiqua" w:cs="Book Antiqua"/>
          <w:color w:val="000000" w:themeColor="text1"/>
        </w:rPr>
        <w:t>September 8, 2020</w:t>
      </w:r>
    </w:p>
    <w:p w14:paraId="6FAABBA3" w14:textId="5C635840"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lastRenderedPageBreak/>
        <w:t xml:space="preserve">Revised: </w:t>
      </w:r>
      <w:r w:rsidR="00E95AA7" w:rsidRPr="00EE1084">
        <w:rPr>
          <w:rFonts w:ascii="Book Antiqua" w:eastAsia="Book Antiqua" w:hAnsi="Book Antiqua" w:cs="Book Antiqua"/>
          <w:bCs/>
          <w:color w:val="000000" w:themeColor="text1"/>
        </w:rPr>
        <w:t>October 8, 2020</w:t>
      </w:r>
    </w:p>
    <w:p w14:paraId="03ED475E" w14:textId="134A6E56"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Accepted: </w:t>
      </w:r>
      <w:r w:rsidR="00472C2B" w:rsidRPr="00EE1084">
        <w:rPr>
          <w:rFonts w:ascii="Book Antiqua" w:eastAsia="Book Antiqua" w:hAnsi="Book Antiqua" w:cs="Book Antiqua"/>
          <w:color w:val="000000" w:themeColor="text1"/>
        </w:rPr>
        <w:t>November 2, 2020</w:t>
      </w:r>
    </w:p>
    <w:p w14:paraId="40D78B09"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Published online: </w:t>
      </w:r>
    </w:p>
    <w:p w14:paraId="27FDA05A" w14:textId="77777777" w:rsidR="00000000" w:rsidRPr="00EE1084" w:rsidRDefault="00DC6E0E">
      <w:pPr>
        <w:snapToGrid w:val="0"/>
        <w:spacing w:line="360" w:lineRule="auto"/>
        <w:jc w:val="both"/>
        <w:rPr>
          <w:rFonts w:ascii="Book Antiqua" w:hAnsi="Book Antiqua"/>
          <w:color w:val="000000" w:themeColor="text1"/>
        </w:rPr>
        <w:sectPr w:rsidR="00000000" w:rsidRPr="00EE1084" w:rsidSect="00726C1E">
          <w:footerReference w:type="default" r:id="rId6"/>
          <w:pgSz w:w="12240" w:h="15840"/>
          <w:pgMar w:top="1440" w:right="1800" w:bottom="1440" w:left="1800" w:header="720" w:footer="720" w:gutter="0"/>
          <w:cols w:space="720"/>
          <w:docGrid w:linePitch="360"/>
        </w:sectPr>
      </w:pPr>
    </w:p>
    <w:p w14:paraId="47FD6C7E"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color w:val="000000" w:themeColor="text1"/>
        </w:rPr>
        <w:lastRenderedPageBreak/>
        <w:t>Abstract</w:t>
      </w:r>
    </w:p>
    <w:p w14:paraId="603808C5"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BACKGROUND</w:t>
      </w:r>
    </w:p>
    <w:p w14:paraId="60B55617" w14:textId="240CC33F" w:rsidR="00A77B3E" w:rsidRPr="00EE1084" w:rsidRDefault="00A60D61">
      <w:pPr>
        <w:snapToGrid w:val="0"/>
        <w:spacing w:line="360" w:lineRule="auto"/>
        <w:jc w:val="both"/>
        <w:rPr>
          <w:rFonts w:ascii="Book Antiqua" w:hAnsi="Book Antiqua"/>
          <w:color w:val="000000" w:themeColor="text1"/>
        </w:rPr>
      </w:pPr>
      <w:bookmarkStart w:id="12" w:name="OLE_LINK25"/>
      <w:bookmarkStart w:id="13" w:name="OLE_LINK26"/>
      <w:bookmarkStart w:id="14" w:name="OLE_LINK9"/>
      <w:r w:rsidRPr="00EE1084">
        <w:rPr>
          <w:rFonts w:ascii="Book Antiqua" w:eastAsia="Book Antiqua" w:hAnsi="Book Antiqua" w:cs="Book Antiqua"/>
          <w:color w:val="000000" w:themeColor="text1"/>
        </w:rPr>
        <w:t>In recent years, neoadjuvant chemoradiotherapy</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(NCRT)</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combined with surgery has been gradually applied in patients with locally advanced thoracic esophageal cancer, but its effectiveness and safety remains unclear. In this clinical trial, we prospectively investigated the efficacy and safety of NCRT plus surgery in the treatment of thoracic esophageal squamous cell carcinoma (TESCC).</w:t>
      </w:r>
    </w:p>
    <w:bookmarkEnd w:id="12"/>
    <w:bookmarkEnd w:id="13"/>
    <w:bookmarkEnd w:id="14"/>
    <w:p w14:paraId="27B4991B" w14:textId="77777777" w:rsidR="00A77B3E" w:rsidRPr="00EE1084" w:rsidRDefault="00A77B3E">
      <w:pPr>
        <w:snapToGrid w:val="0"/>
        <w:spacing w:line="360" w:lineRule="auto"/>
        <w:ind w:firstLine="420"/>
        <w:jc w:val="both"/>
        <w:rPr>
          <w:rFonts w:ascii="Book Antiqua" w:hAnsi="Book Antiqua"/>
          <w:color w:val="000000" w:themeColor="text1"/>
        </w:rPr>
      </w:pPr>
    </w:p>
    <w:p w14:paraId="56627819"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AIM</w:t>
      </w:r>
    </w:p>
    <w:p w14:paraId="1AA64860" w14:textId="44841D94" w:rsidR="00A77B3E" w:rsidRPr="00EE1084" w:rsidRDefault="00A60D61">
      <w:pPr>
        <w:snapToGrid w:val="0"/>
        <w:spacing w:line="360" w:lineRule="auto"/>
        <w:jc w:val="both"/>
        <w:rPr>
          <w:rFonts w:ascii="Book Antiqua" w:hAnsi="Book Antiqua"/>
          <w:color w:val="000000" w:themeColor="text1"/>
        </w:rPr>
      </w:pPr>
      <w:bookmarkStart w:id="15" w:name="OLE_LINK10"/>
      <w:bookmarkStart w:id="16" w:name="OLE_LINK11"/>
      <w:bookmarkStart w:id="17" w:name="OLE_LINK27"/>
      <w:bookmarkStart w:id="18" w:name="OLE_LINK28"/>
      <w:r w:rsidRPr="00EE1084">
        <w:rPr>
          <w:rFonts w:ascii="Book Antiqua" w:eastAsia="Book Antiqua" w:hAnsi="Book Antiqua" w:cs="Book Antiqua"/>
          <w:color w:val="000000" w:themeColor="text1"/>
        </w:rPr>
        <w:t>To investigate the efficacy and safety of NCRT</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combined with surgery in the treatment of potentially resectable</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TESCC.</w:t>
      </w:r>
      <w:bookmarkEnd w:id="15"/>
      <w:bookmarkEnd w:id="16"/>
      <w:r w:rsidRPr="00EE1084">
        <w:rPr>
          <w:rFonts w:ascii="Book Antiqua" w:eastAsia="Book Antiqua" w:hAnsi="Book Antiqua" w:cs="Book Antiqua"/>
          <w:color w:val="000000" w:themeColor="text1"/>
        </w:rPr>
        <w:t> </w:t>
      </w:r>
    </w:p>
    <w:bookmarkEnd w:id="17"/>
    <w:bookmarkEnd w:id="18"/>
    <w:p w14:paraId="783356ED" w14:textId="77777777" w:rsidR="00A77B3E" w:rsidRPr="00EE1084" w:rsidRDefault="00A77B3E">
      <w:pPr>
        <w:snapToGrid w:val="0"/>
        <w:spacing w:line="360" w:lineRule="auto"/>
        <w:jc w:val="both"/>
        <w:rPr>
          <w:rFonts w:ascii="Book Antiqua" w:hAnsi="Book Antiqua"/>
          <w:color w:val="000000" w:themeColor="text1"/>
        </w:rPr>
      </w:pPr>
    </w:p>
    <w:p w14:paraId="649AA9F2"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METHODS</w:t>
      </w:r>
    </w:p>
    <w:p w14:paraId="1C769FD4" w14:textId="40092A8F" w:rsidR="00A77B3E" w:rsidRPr="00EE1084" w:rsidRDefault="00A60D61">
      <w:pPr>
        <w:snapToGrid w:val="0"/>
        <w:spacing w:line="360" w:lineRule="auto"/>
        <w:jc w:val="both"/>
        <w:rPr>
          <w:rFonts w:ascii="Book Antiqua" w:hAnsi="Book Antiqua"/>
          <w:color w:val="000000" w:themeColor="text1"/>
        </w:rPr>
      </w:pPr>
      <w:bookmarkStart w:id="19" w:name="OLE_LINK29"/>
      <w:bookmarkStart w:id="20" w:name="OLE_LINK30"/>
      <w:r w:rsidRPr="00EE1084">
        <w:rPr>
          <w:rFonts w:ascii="Book Antiqua" w:eastAsia="Book Antiqua" w:hAnsi="Book Antiqua" w:cs="Book Antiqua"/>
          <w:color w:val="000000" w:themeColor="text1"/>
        </w:rPr>
        <w:t>Thirty patients with advanced TESCC hospitalized in our hospital from July 2016 to June 2019 were prospectively studied. All patients received NCRT, which included intensity modul</w:t>
      </w:r>
      <w:r w:rsidR="00E95AA7" w:rsidRPr="00EE1084">
        <w:rPr>
          <w:rFonts w:ascii="Book Antiqua" w:eastAsia="Book Antiqua" w:hAnsi="Book Antiqua" w:cs="Book Antiqua"/>
          <w:color w:val="000000" w:themeColor="text1"/>
        </w:rPr>
        <w:t xml:space="preserve">ated conformal radiotherapy (40-44 Gy/20-22f, 2 </w:t>
      </w:r>
      <w:r w:rsidRPr="00EE1084">
        <w:rPr>
          <w:rFonts w:ascii="Book Antiqua" w:eastAsia="Book Antiqua" w:hAnsi="Book Antiqua" w:cs="Book Antiqua"/>
          <w:color w:val="000000" w:themeColor="text1"/>
        </w:rPr>
        <w:t>Gy/f) a</w:t>
      </w:r>
      <w:r w:rsidR="00E95AA7" w:rsidRPr="00EE1084">
        <w:rPr>
          <w:rFonts w:ascii="Book Antiqua" w:eastAsia="Book Antiqua" w:hAnsi="Book Antiqua" w:cs="Book Antiqua"/>
          <w:color w:val="000000" w:themeColor="text1"/>
        </w:rPr>
        <w:t>nd chemotherapy (paclitaxel 150-</w:t>
      </w:r>
      <w:r w:rsidRPr="00EE1084">
        <w:rPr>
          <w:rFonts w:ascii="Book Antiqua" w:eastAsia="Book Antiqua" w:hAnsi="Book Antiqua" w:cs="Book Antiqua"/>
          <w:color w:val="000000" w:themeColor="text1"/>
        </w:rPr>
        <w:t>175 mg/m</w:t>
      </w:r>
      <w:r w:rsidRPr="00EE1084">
        <w:rPr>
          <w:rFonts w:ascii="Book Antiqua" w:eastAsia="Book Antiqua" w:hAnsi="Book Antiqua" w:cs="Book Antiqua"/>
          <w:color w:val="000000" w:themeColor="text1"/>
          <w:vertAlign w:val="superscript"/>
        </w:rPr>
        <w:t>2</w:t>
      </w:r>
      <w:r w:rsidR="00E95AA7" w:rsidRPr="00EE1084">
        <w:rPr>
          <w:rFonts w:ascii="Book Antiqua" w:eastAsia="Book Antiqua" w:hAnsi="Book Antiqua" w:cs="Book Antiqua"/>
          <w:color w:val="000000" w:themeColor="text1"/>
        </w:rPr>
        <w:t>d1, 22 + lobaplatin 25-</w:t>
      </w:r>
      <w:r w:rsidRPr="00EE1084">
        <w:rPr>
          <w:rFonts w:ascii="Book Antiqua" w:eastAsia="Book Antiqua" w:hAnsi="Book Antiqua" w:cs="Book Antiqua"/>
          <w:color w:val="000000" w:themeColor="text1"/>
        </w:rPr>
        <w:t>30 mg/m</w:t>
      </w:r>
      <w:r w:rsidRPr="00EE1084">
        <w:rPr>
          <w:rFonts w:ascii="Book Antiqua" w:eastAsia="Book Antiqua" w:hAnsi="Book Antiqua" w:cs="Book Antiqua"/>
          <w:color w:val="000000" w:themeColor="text1"/>
          <w:vertAlign w:val="superscript"/>
        </w:rPr>
        <w:t>2</w:t>
      </w:r>
      <w:r w:rsidRPr="00EE1084">
        <w:rPr>
          <w:rFonts w:ascii="Book Antiqua" w:eastAsia="Book Antiqua" w:hAnsi="Book Antiqua" w:cs="Book Antiqua"/>
          <w:color w:val="000000" w:themeColor="text1"/>
        </w:rPr>
        <w:t>d2, 23 for two cycles). Surgery was performed after radiotherapy and chemotherapy. The effectiveness and safety of these treatments were observed. </w:t>
      </w:r>
    </w:p>
    <w:bookmarkEnd w:id="19"/>
    <w:bookmarkEnd w:id="20"/>
    <w:p w14:paraId="0DDE459C" w14:textId="77777777" w:rsidR="00A77B3E" w:rsidRPr="00EE1084" w:rsidRDefault="00A77B3E">
      <w:pPr>
        <w:snapToGrid w:val="0"/>
        <w:spacing w:line="360" w:lineRule="auto"/>
        <w:jc w:val="both"/>
        <w:rPr>
          <w:rFonts w:ascii="Book Antiqua" w:hAnsi="Book Antiqua"/>
          <w:color w:val="000000" w:themeColor="text1"/>
        </w:rPr>
      </w:pPr>
    </w:p>
    <w:p w14:paraId="232130FD"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RESULTS</w:t>
      </w:r>
    </w:p>
    <w:p w14:paraId="4B61200B" w14:textId="06A3A34B" w:rsidR="00A77B3E" w:rsidRPr="00EE1084" w:rsidRDefault="00A60D61">
      <w:pPr>
        <w:snapToGrid w:val="0"/>
        <w:spacing w:line="360" w:lineRule="auto"/>
        <w:jc w:val="both"/>
        <w:rPr>
          <w:rFonts w:ascii="Book Antiqua" w:hAnsi="Book Antiqua"/>
          <w:color w:val="000000" w:themeColor="text1"/>
        </w:rPr>
      </w:pPr>
      <w:bookmarkStart w:id="21" w:name="OLE_LINK31"/>
      <w:bookmarkStart w:id="22" w:name="OLE_LINK32"/>
      <w:bookmarkStart w:id="23" w:name="OLE_LINK12"/>
      <w:r w:rsidRPr="00EE1084">
        <w:rPr>
          <w:rFonts w:ascii="Book Antiqua" w:eastAsia="Book Antiqua" w:hAnsi="Book Antiqua" w:cs="Book Antiqua"/>
          <w:color w:val="000000" w:themeColor="text1"/>
        </w:rPr>
        <w:t xml:space="preserve">Among these 30 patients, complete response was achieved in </w:t>
      </w:r>
      <w:r w:rsidR="00B60E29" w:rsidRPr="00EE1084">
        <w:rPr>
          <w:rFonts w:ascii="Book Antiqua" w:eastAsia="Book Antiqua" w:hAnsi="Book Antiqua" w:cs="Book Antiqua"/>
          <w:color w:val="000000" w:themeColor="text1"/>
        </w:rPr>
        <w:t>two</w:t>
      </w:r>
      <w:r w:rsidRPr="00EE1084">
        <w:rPr>
          <w:rFonts w:ascii="Book Antiqua" w:eastAsia="Book Antiqua" w:hAnsi="Book Antiqua" w:cs="Book Antiqua"/>
          <w:color w:val="000000" w:themeColor="text1"/>
        </w:rPr>
        <w:t xml:space="preserve"> cases (6.7%) and partial response in 26 cases (86.7%), yielding an</w:t>
      </w:r>
      <w:r w:rsidR="001A40CE"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objective response rate</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of 100%. All patients underwent radical surgery successfully. The R0 resection rate was 100%</w:t>
      </w:r>
      <w:r w:rsidR="00B60E29" w:rsidRPr="00EE1084">
        <w:rPr>
          <w:rFonts w:ascii="Book Antiqua" w:eastAsia="Book Antiqua" w:hAnsi="Book Antiqua" w:cs="Book Antiqua"/>
          <w:color w:val="000000" w:themeColor="text1"/>
        </w:rPr>
        <w:t>,</w:t>
      </w:r>
      <w:r w:rsidRPr="00EE1084">
        <w:rPr>
          <w:rFonts w:ascii="Book Antiqua" w:eastAsia="Book Antiqua" w:hAnsi="Book Antiqua" w:cs="Book Antiqua"/>
          <w:color w:val="000000" w:themeColor="text1"/>
        </w:rPr>
        <w:t xml:space="preserve"> and the pathologic complete response rate was 33.3%. The incidence of grade III- IV</w:t>
      </w:r>
      <w:r w:rsidR="001A40CE"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granulocytopenia was 10% during the NCRT, and anastomotic leakage occurred in one patient after surgery. </w:t>
      </w:r>
    </w:p>
    <w:bookmarkEnd w:id="21"/>
    <w:bookmarkEnd w:id="22"/>
    <w:bookmarkEnd w:id="23"/>
    <w:p w14:paraId="6817206F" w14:textId="77777777" w:rsidR="00A77B3E" w:rsidRPr="00EE1084" w:rsidRDefault="00A77B3E">
      <w:pPr>
        <w:snapToGrid w:val="0"/>
        <w:spacing w:line="360" w:lineRule="auto"/>
        <w:jc w:val="both"/>
        <w:rPr>
          <w:rFonts w:ascii="Book Antiqua" w:hAnsi="Book Antiqua"/>
          <w:color w:val="000000" w:themeColor="text1"/>
        </w:rPr>
      </w:pPr>
    </w:p>
    <w:p w14:paraId="5A442561"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CONCLUSION</w:t>
      </w:r>
    </w:p>
    <w:p w14:paraId="035AD907" w14:textId="2AD1E18A" w:rsidR="00A77B3E" w:rsidRPr="00EE1084" w:rsidRDefault="00A60D61">
      <w:pPr>
        <w:snapToGrid w:val="0"/>
        <w:spacing w:line="360" w:lineRule="auto"/>
        <w:jc w:val="both"/>
        <w:rPr>
          <w:rFonts w:ascii="Book Antiqua" w:hAnsi="Book Antiqua"/>
          <w:color w:val="000000" w:themeColor="text1"/>
        </w:rPr>
      </w:pPr>
      <w:bookmarkStart w:id="24" w:name="OLE_LINK33"/>
      <w:bookmarkStart w:id="25" w:name="OLE_LINK34"/>
      <w:bookmarkStart w:id="26" w:name="OLE_LINK13"/>
      <w:r w:rsidRPr="00EE1084">
        <w:rPr>
          <w:rFonts w:ascii="Book Antiqua" w:eastAsia="Book Antiqua" w:hAnsi="Book Antiqua" w:cs="Book Antiqua"/>
          <w:color w:val="000000" w:themeColor="text1"/>
        </w:rPr>
        <w:lastRenderedPageBreak/>
        <w:t>For patients with potentially resectable TESCC, NCRT</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can effectively reduce</w:t>
      </w:r>
      <w:r w:rsidR="00B60E29"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the tumor</w:t>
      </w:r>
      <w:r w:rsidR="00B60E29"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size, increase R0 resection rate, and achieve obvious pathological degradation,</w:t>
      </w:r>
      <w:r w:rsidR="00B60E29"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with mild adverse reactions. Thus, it is worthy of wider clinical application.</w:t>
      </w:r>
    </w:p>
    <w:bookmarkEnd w:id="24"/>
    <w:bookmarkEnd w:id="25"/>
    <w:bookmarkEnd w:id="26"/>
    <w:p w14:paraId="4F448C67" w14:textId="77777777" w:rsidR="00A77B3E" w:rsidRPr="00EE1084" w:rsidRDefault="00A77B3E">
      <w:pPr>
        <w:snapToGrid w:val="0"/>
        <w:spacing w:line="360" w:lineRule="auto"/>
        <w:jc w:val="both"/>
        <w:rPr>
          <w:rFonts w:ascii="Book Antiqua" w:hAnsi="Book Antiqua"/>
          <w:color w:val="000000" w:themeColor="text1"/>
        </w:rPr>
      </w:pPr>
    </w:p>
    <w:p w14:paraId="13CB215D" w14:textId="640653F9"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Key Words: </w:t>
      </w:r>
      <w:bookmarkStart w:id="27" w:name="OLE_LINK7"/>
      <w:bookmarkStart w:id="28" w:name="OLE_LINK8"/>
      <w:r w:rsidRPr="00EE1084">
        <w:rPr>
          <w:rFonts w:ascii="Book Antiqua" w:eastAsia="Book Antiqua" w:hAnsi="Book Antiqua" w:cs="Book Antiqua"/>
          <w:color w:val="000000" w:themeColor="text1"/>
        </w:rPr>
        <w:t xml:space="preserve">Esophageal cancer; Neoadjuvant chemoradiotherapy; Surgical treatment; Radiotherapy; Chemotherapy; </w:t>
      </w:r>
      <w:r w:rsidR="004B1195" w:rsidRPr="00EE1084">
        <w:rPr>
          <w:rFonts w:ascii="Book Antiqua" w:eastAsia="Book Antiqua" w:hAnsi="Book Antiqua" w:cs="Book Antiqua"/>
          <w:color w:val="000000" w:themeColor="text1"/>
        </w:rPr>
        <w:t>T</w:t>
      </w:r>
      <w:r w:rsidRPr="00EE1084">
        <w:rPr>
          <w:rFonts w:ascii="Book Antiqua" w:eastAsia="Book Antiqua" w:hAnsi="Book Antiqua" w:cs="Book Antiqua"/>
          <w:color w:val="000000" w:themeColor="text1"/>
        </w:rPr>
        <w:t>oxicity</w:t>
      </w:r>
      <w:bookmarkEnd w:id="27"/>
      <w:bookmarkEnd w:id="28"/>
    </w:p>
    <w:p w14:paraId="72CBAD5F" w14:textId="77777777" w:rsidR="00A77B3E" w:rsidRPr="00EE1084" w:rsidRDefault="00A77B3E">
      <w:pPr>
        <w:snapToGrid w:val="0"/>
        <w:spacing w:line="360" w:lineRule="auto"/>
        <w:jc w:val="both"/>
        <w:rPr>
          <w:rFonts w:ascii="Book Antiqua" w:hAnsi="Book Antiqua"/>
          <w:color w:val="000000" w:themeColor="text1"/>
        </w:rPr>
      </w:pPr>
    </w:p>
    <w:p w14:paraId="0AC70562" w14:textId="38796B46" w:rsidR="00A77B3E" w:rsidRPr="00EE1084" w:rsidRDefault="00A60D61">
      <w:pPr>
        <w:snapToGrid w:val="0"/>
        <w:spacing w:line="360" w:lineRule="auto"/>
        <w:jc w:val="both"/>
        <w:rPr>
          <w:rFonts w:ascii="Book Antiqua" w:hAnsi="Book Antiqua"/>
          <w:color w:val="000000" w:themeColor="text1"/>
        </w:rPr>
      </w:pPr>
      <w:bookmarkStart w:id="29" w:name="OLE_LINK1"/>
      <w:bookmarkStart w:id="30" w:name="OLE_LINK2"/>
      <w:r w:rsidRPr="00EE1084">
        <w:rPr>
          <w:rFonts w:ascii="Book Antiqua" w:eastAsia="Book Antiqua" w:hAnsi="Book Antiqua" w:cs="Book Antiqua"/>
          <w:color w:val="000000" w:themeColor="text1"/>
        </w:rPr>
        <w:t xml:space="preserve">Yan MH, Hou XB, Cai BN, Qu BL, Dai XK, Liu F. Neoadjuvant chemoradiotherapy plus surgery in the treatment of potentially resectable thoracic esophageal squamous cell carcinoma. </w:t>
      </w:r>
      <w:r w:rsidRPr="00EE1084">
        <w:rPr>
          <w:rFonts w:ascii="Book Antiqua" w:eastAsia="Book Antiqua" w:hAnsi="Book Antiqua" w:cs="Book Antiqua"/>
          <w:i/>
          <w:iCs/>
          <w:color w:val="000000" w:themeColor="text1"/>
        </w:rPr>
        <w:t>World J Clin Cases</w:t>
      </w:r>
      <w:r w:rsidRPr="00EE1084">
        <w:rPr>
          <w:rFonts w:ascii="Book Antiqua" w:eastAsia="Book Antiqua" w:hAnsi="Book Antiqua" w:cs="Book Antiqua"/>
          <w:color w:val="000000" w:themeColor="text1"/>
        </w:rPr>
        <w:t xml:space="preserve"> 2020; In press</w:t>
      </w:r>
    </w:p>
    <w:bookmarkEnd w:id="29"/>
    <w:bookmarkEnd w:id="30"/>
    <w:p w14:paraId="10263B6C" w14:textId="77777777" w:rsidR="00A77B3E" w:rsidRPr="00EE1084" w:rsidRDefault="00A77B3E">
      <w:pPr>
        <w:snapToGrid w:val="0"/>
        <w:spacing w:line="360" w:lineRule="auto"/>
        <w:jc w:val="both"/>
        <w:rPr>
          <w:rFonts w:ascii="Book Antiqua" w:hAnsi="Book Antiqua"/>
          <w:color w:val="000000" w:themeColor="text1"/>
        </w:rPr>
      </w:pPr>
    </w:p>
    <w:p w14:paraId="25C26844" w14:textId="508EDED8"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Core Tip: </w:t>
      </w:r>
      <w:bookmarkStart w:id="31" w:name="OLE_LINK23"/>
      <w:bookmarkStart w:id="32" w:name="OLE_LINK24"/>
      <w:r w:rsidRPr="00EE1084">
        <w:rPr>
          <w:rFonts w:ascii="Book Antiqua" w:eastAsia="Book Antiqua" w:hAnsi="Book Antiqua" w:cs="Book Antiqua"/>
          <w:color w:val="000000" w:themeColor="text1"/>
        </w:rPr>
        <w:t xml:space="preserve">Esophageal cancer is one of the most common malignant tumors of </w:t>
      </w:r>
      <w:r w:rsidR="00C53A58" w:rsidRPr="00EE1084">
        <w:rPr>
          <w:rFonts w:ascii="Book Antiqua" w:eastAsia="Book Antiqua" w:hAnsi="Book Antiqua" w:cs="Book Antiqua"/>
          <w:color w:val="000000" w:themeColor="text1"/>
        </w:rPr>
        <w:t xml:space="preserve">the </w:t>
      </w:r>
      <w:r w:rsidRPr="00EE1084">
        <w:rPr>
          <w:rFonts w:ascii="Book Antiqua" w:eastAsia="Book Antiqua" w:hAnsi="Book Antiqua" w:cs="Book Antiqua"/>
          <w:color w:val="000000" w:themeColor="text1"/>
        </w:rPr>
        <w:t>digestive system worldwide, with an estimated 572000 new c</w:t>
      </w:r>
      <w:r w:rsidR="00E95AA7" w:rsidRPr="00EE1084">
        <w:rPr>
          <w:rFonts w:ascii="Book Antiqua" w:eastAsia="Book Antiqua" w:hAnsi="Book Antiqua" w:cs="Book Antiqua"/>
          <w:color w:val="000000" w:themeColor="text1"/>
        </w:rPr>
        <w:t>ases and 509000 deaths annually</w:t>
      </w:r>
      <w:r w:rsidRPr="00EE1084">
        <w:rPr>
          <w:rFonts w:ascii="Book Antiqua" w:eastAsia="Book Antiqua" w:hAnsi="Book Antiqua" w:cs="Book Antiqua"/>
          <w:color w:val="000000" w:themeColor="text1"/>
        </w:rPr>
        <w:t xml:space="preserve">. Treatments for locally advanced esophageal cancer include surgery and radical chemoradiotherapy. Although surgery is one of the mainstream treatments for esophageal cancer, the efficacy of surgery alone is poor. In recent years, neoadjuvant chemoradiotherapy combined with surgery has been gradually applied in patients with locally advanced thoracic esophageal cancer, but its effectiveness and safety remain unclear. In this clinical trial, we prospectively investigated the efficacy and safety of </w:t>
      </w:r>
      <w:r w:rsidR="004B1195" w:rsidRPr="00EE1084">
        <w:rPr>
          <w:rFonts w:ascii="Book Antiqua" w:eastAsia="Book Antiqua" w:hAnsi="Book Antiqua" w:cs="Book Antiqua"/>
          <w:color w:val="000000" w:themeColor="text1"/>
        </w:rPr>
        <w:t>neoadjuvant chemoradiotherapy</w:t>
      </w:r>
      <w:r w:rsidRPr="00EE1084">
        <w:rPr>
          <w:rFonts w:ascii="Book Antiqua" w:eastAsia="Book Antiqua" w:hAnsi="Book Antiqua" w:cs="Book Antiqua"/>
          <w:color w:val="000000" w:themeColor="text1"/>
        </w:rPr>
        <w:t xml:space="preserve"> plus surgery in the treatment of thoracic esophageal squamous cell carcinoma.</w:t>
      </w:r>
    </w:p>
    <w:bookmarkEnd w:id="31"/>
    <w:bookmarkEnd w:id="32"/>
    <w:p w14:paraId="2E26BDDD" w14:textId="77777777" w:rsidR="00A77B3E" w:rsidRPr="00EE1084" w:rsidRDefault="00A77B3E">
      <w:pPr>
        <w:snapToGrid w:val="0"/>
        <w:spacing w:line="360" w:lineRule="auto"/>
        <w:jc w:val="both"/>
        <w:rPr>
          <w:rFonts w:ascii="Book Antiqua" w:hAnsi="Book Antiqua"/>
          <w:color w:val="000000" w:themeColor="text1"/>
        </w:rPr>
      </w:pPr>
    </w:p>
    <w:p w14:paraId="1F4E93DD" w14:textId="38C02E0D" w:rsidR="00A77B3E" w:rsidRPr="00EE1084" w:rsidRDefault="004B1195">
      <w:pPr>
        <w:snapToGrid w:val="0"/>
        <w:spacing w:line="360" w:lineRule="auto"/>
        <w:jc w:val="both"/>
        <w:rPr>
          <w:rFonts w:ascii="Book Antiqua" w:hAnsi="Book Antiqua"/>
          <w:color w:val="000000" w:themeColor="text1"/>
        </w:rPr>
      </w:pPr>
      <w:r w:rsidRPr="00EE1084">
        <w:rPr>
          <w:rFonts w:ascii="Book Antiqua" w:eastAsia="Book Antiqua" w:hAnsi="Book Antiqua" w:cs="Book Antiqua"/>
          <w:b/>
          <w:caps/>
          <w:color w:val="000000" w:themeColor="text1"/>
          <w:u w:val="single"/>
        </w:rPr>
        <w:br w:type="page"/>
      </w:r>
      <w:r w:rsidR="00A60D61" w:rsidRPr="00EE1084">
        <w:rPr>
          <w:rFonts w:ascii="Book Antiqua" w:eastAsia="Book Antiqua" w:hAnsi="Book Antiqua" w:cs="Book Antiqua"/>
          <w:b/>
          <w:caps/>
          <w:color w:val="000000" w:themeColor="text1"/>
          <w:u w:val="single"/>
        </w:rPr>
        <w:lastRenderedPageBreak/>
        <w:t>INTRODUCTION</w:t>
      </w:r>
    </w:p>
    <w:p w14:paraId="248B5131" w14:textId="12CAFE43" w:rsidR="00A77B3E" w:rsidRPr="00EE1084" w:rsidRDefault="00A60D61">
      <w:pPr>
        <w:snapToGrid w:val="0"/>
        <w:spacing w:line="360" w:lineRule="auto"/>
        <w:jc w:val="both"/>
        <w:rPr>
          <w:rFonts w:ascii="Book Antiqua" w:hAnsi="Book Antiqua"/>
          <w:color w:val="000000" w:themeColor="text1"/>
        </w:rPr>
      </w:pPr>
      <w:bookmarkStart w:id="33" w:name="OLE_LINK35"/>
      <w:bookmarkStart w:id="34" w:name="OLE_LINK36"/>
      <w:bookmarkStart w:id="35" w:name="OLE_LINK14"/>
      <w:r w:rsidRPr="00EE1084">
        <w:rPr>
          <w:rFonts w:ascii="Book Antiqua" w:eastAsia="Book Antiqua" w:hAnsi="Book Antiqua" w:cs="Book Antiqua"/>
          <w:color w:val="000000" w:themeColor="text1"/>
        </w:rPr>
        <w:t xml:space="preserve">Esophageal cancer is one of the most common malignant tumors of </w:t>
      </w:r>
      <w:r w:rsidR="00C53A58" w:rsidRPr="00EE1084">
        <w:rPr>
          <w:rFonts w:ascii="Book Antiqua" w:eastAsia="Book Antiqua" w:hAnsi="Book Antiqua" w:cs="Book Antiqua"/>
          <w:color w:val="000000" w:themeColor="text1"/>
        </w:rPr>
        <w:t xml:space="preserve">the </w:t>
      </w:r>
      <w:r w:rsidRPr="00EE1084">
        <w:rPr>
          <w:rFonts w:ascii="Book Antiqua" w:eastAsia="Book Antiqua" w:hAnsi="Book Antiqua" w:cs="Book Antiqua"/>
          <w:color w:val="000000" w:themeColor="text1"/>
        </w:rPr>
        <w:t>digestive system</w:t>
      </w:r>
      <w:r w:rsidR="0040478B"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worldwide, with an estimated 572000 new cases and 509000 deaths annually</w:t>
      </w:r>
      <w:r w:rsidRPr="00EE1084">
        <w:rPr>
          <w:rFonts w:ascii="Book Antiqua" w:eastAsia="Book Antiqua" w:hAnsi="Book Antiqua" w:cs="Book Antiqua"/>
          <w:color w:val="000000" w:themeColor="text1"/>
          <w:vertAlign w:val="superscript"/>
        </w:rPr>
        <w:t>[1,2]</w:t>
      </w:r>
      <w:r w:rsidRPr="00EE1084">
        <w:rPr>
          <w:rFonts w:ascii="Book Antiqua" w:eastAsia="Book Antiqua" w:hAnsi="Book Antiqua" w:cs="Book Antiqua"/>
          <w:color w:val="000000" w:themeColor="text1"/>
        </w:rPr>
        <w:t>. Treatments for locally advanced esophageal cancer include surgery and radical chemoradiotherapy. Although surgery is one of the mainstream treatments for esophageal cancer, the efficacy of surgery alone is poor</w:t>
      </w:r>
      <w:r w:rsidRPr="00EE1084">
        <w:rPr>
          <w:rFonts w:ascii="Book Antiqua" w:eastAsia="Book Antiqua" w:hAnsi="Book Antiqua" w:cs="Book Antiqua"/>
          <w:color w:val="000000" w:themeColor="text1"/>
          <w:vertAlign w:val="superscript"/>
        </w:rPr>
        <w:t>[3]</w:t>
      </w:r>
      <w:r w:rsidRPr="00EE1084">
        <w:rPr>
          <w:rFonts w:ascii="Book Antiqua" w:eastAsia="Book Antiqua" w:hAnsi="Book Antiqua" w:cs="Book Antiqua"/>
          <w:color w:val="000000" w:themeColor="text1"/>
        </w:rPr>
        <w:t>. In recent years, neoadjuvant chemoradiotherapy</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(NCRT)</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combined with surgery has been gradually applied in patients with locally advanced thoracic esophageal cancer, but its effectiveness and safety remains unclear. In this clinical trial, we prospectively investigated the efficacy and safety of NCRT plus surgery in the treatment of thoracic esophageal squamous cell carcinoma (TESCC).</w:t>
      </w:r>
    </w:p>
    <w:bookmarkEnd w:id="33"/>
    <w:bookmarkEnd w:id="34"/>
    <w:bookmarkEnd w:id="35"/>
    <w:p w14:paraId="0FB6785B" w14:textId="77777777" w:rsidR="00A77B3E" w:rsidRPr="00EE1084" w:rsidRDefault="00A77B3E">
      <w:pPr>
        <w:snapToGrid w:val="0"/>
        <w:spacing w:line="360" w:lineRule="auto"/>
        <w:ind w:firstLine="420"/>
        <w:jc w:val="both"/>
        <w:rPr>
          <w:rFonts w:ascii="Book Antiqua" w:hAnsi="Book Antiqua"/>
          <w:color w:val="000000" w:themeColor="text1"/>
        </w:rPr>
      </w:pPr>
    </w:p>
    <w:p w14:paraId="6633ED55"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caps/>
          <w:color w:val="000000" w:themeColor="text1"/>
          <w:u w:val="single"/>
        </w:rPr>
        <w:t>MATERIALS AND METHODS</w:t>
      </w:r>
    </w:p>
    <w:p w14:paraId="7124D182" w14:textId="4B0005A3" w:rsidR="00A77B3E" w:rsidRPr="00EE1084" w:rsidRDefault="00A60D61">
      <w:pPr>
        <w:snapToGrid w:val="0"/>
        <w:spacing w:line="360" w:lineRule="auto"/>
        <w:jc w:val="both"/>
        <w:rPr>
          <w:rFonts w:ascii="Book Antiqua" w:hAnsi="Book Antiqua"/>
          <w:i/>
          <w:iCs/>
          <w:color w:val="000000" w:themeColor="text1"/>
        </w:rPr>
      </w:pPr>
      <w:bookmarkStart w:id="36" w:name="OLE_LINK37"/>
      <w:bookmarkStart w:id="37" w:name="OLE_LINK38"/>
      <w:bookmarkStart w:id="38" w:name="OLE_LINK59"/>
      <w:r w:rsidRPr="00EE1084">
        <w:rPr>
          <w:rFonts w:ascii="Book Antiqua" w:eastAsia="Book Antiqua" w:hAnsi="Book Antiqua" w:cs="Book Antiqua"/>
          <w:b/>
          <w:bCs/>
          <w:i/>
          <w:iCs/>
          <w:color w:val="000000" w:themeColor="text1"/>
        </w:rPr>
        <w:t>General data</w:t>
      </w:r>
    </w:p>
    <w:p w14:paraId="2C865D31" w14:textId="3B8E7F78" w:rsidR="00A77B3E" w:rsidRPr="002245C4" w:rsidRDefault="00A60D61">
      <w:pPr>
        <w:snapToGrid w:val="0"/>
        <w:spacing w:line="360" w:lineRule="auto"/>
        <w:jc w:val="both"/>
        <w:rPr>
          <w:rFonts w:ascii="Book Antiqua" w:eastAsia="Book Antiqua" w:hAnsi="Book Antiqua" w:cs="Book Antiqua"/>
          <w:color w:val="000000"/>
        </w:rPr>
      </w:pPr>
      <w:r w:rsidRPr="00EE1084">
        <w:rPr>
          <w:rFonts w:ascii="Book Antiqua" w:eastAsia="Book Antiqua" w:hAnsi="Book Antiqua" w:cs="Book Antiqua"/>
          <w:color w:val="000000" w:themeColor="text1"/>
        </w:rPr>
        <w:t xml:space="preserve">Patients with pathologically confirmed TESCC who were admitted to our center from July 2016 to July 2019 were prospectively enrolled. The inclusion criteria were as follows: </w:t>
      </w:r>
      <w:r w:rsidR="004B1195" w:rsidRPr="00EE1084">
        <w:rPr>
          <w:rFonts w:ascii="Book Antiqua" w:eastAsia="Book Antiqua" w:hAnsi="Book Antiqua" w:cs="Book Antiqua"/>
          <w:color w:val="000000" w:themeColor="text1"/>
        </w:rPr>
        <w:t>(1</w:t>
      </w:r>
      <w:r w:rsidR="00E95AA7" w:rsidRPr="00EE1084">
        <w:rPr>
          <w:rFonts w:ascii="Book Antiqua" w:eastAsia="Book Antiqua" w:hAnsi="Book Antiqua" w:cs="Book Antiqua"/>
          <w:color w:val="000000" w:themeColor="text1"/>
        </w:rPr>
        <w:t xml:space="preserve">) </w:t>
      </w:r>
      <w:r w:rsidR="00C53A58" w:rsidRPr="00EE1084">
        <w:rPr>
          <w:rFonts w:ascii="Book Antiqua" w:eastAsia="Book Antiqua" w:hAnsi="Book Antiqua" w:cs="Book Antiqua"/>
          <w:color w:val="000000" w:themeColor="text1"/>
        </w:rPr>
        <w:t>A</w:t>
      </w:r>
      <w:r w:rsidR="00E95AA7" w:rsidRPr="00EE1084">
        <w:rPr>
          <w:rFonts w:ascii="Book Antiqua" w:eastAsia="Book Antiqua" w:hAnsi="Book Antiqua" w:cs="Book Antiqua"/>
          <w:color w:val="000000" w:themeColor="text1"/>
        </w:rPr>
        <w:t>ged 18-</w:t>
      </w:r>
      <w:r w:rsidRPr="00EE1084">
        <w:rPr>
          <w:rFonts w:ascii="Book Antiqua" w:eastAsia="Book Antiqua" w:hAnsi="Book Antiqua" w:cs="Book Antiqua"/>
          <w:color w:val="000000" w:themeColor="text1"/>
        </w:rPr>
        <w:t xml:space="preserve">70 years; </w:t>
      </w:r>
      <w:r w:rsidR="004B1195" w:rsidRPr="00EE1084">
        <w:rPr>
          <w:rFonts w:ascii="Book Antiqua" w:eastAsia="Book Antiqua" w:hAnsi="Book Antiqua" w:cs="Book Antiqua"/>
          <w:color w:val="000000" w:themeColor="text1"/>
        </w:rPr>
        <w:t>(2</w:t>
      </w:r>
      <w:r w:rsidRPr="00EE1084">
        <w:rPr>
          <w:rFonts w:ascii="Book Antiqua" w:eastAsia="Book Antiqua" w:hAnsi="Book Antiqua" w:cs="Book Antiqua"/>
          <w:color w:val="000000" w:themeColor="text1"/>
        </w:rPr>
        <w:t>) with a</w:t>
      </w:r>
      <w:r w:rsidR="00C53A58" w:rsidRPr="00EE1084">
        <w:rPr>
          <w:rFonts w:ascii="Book Antiqua" w:eastAsia="Book Antiqua" w:hAnsi="Book Antiqua" w:cs="Book Antiqua"/>
          <w:color w:val="000000" w:themeColor="text1"/>
        </w:rPr>
        <w:t>n</w:t>
      </w:r>
      <w:r w:rsidRPr="00EE1084">
        <w:rPr>
          <w:rFonts w:ascii="Book Antiqua" w:eastAsia="Book Antiqua" w:hAnsi="Book Antiqua" w:cs="Book Antiqua"/>
          <w:color w:val="000000" w:themeColor="text1"/>
        </w:rPr>
        <w:t xml:space="preserve"> </w:t>
      </w:r>
      <w:r w:rsidR="00C53A58" w:rsidRPr="00EE1084">
        <w:rPr>
          <w:rFonts w:ascii="Book Antiqua" w:eastAsia="Book Antiqua" w:hAnsi="Book Antiqua" w:cs="Book Antiqua"/>
          <w:color w:val="000000" w:themeColor="text1"/>
        </w:rPr>
        <w:t>E</w:t>
      </w:r>
      <w:r w:rsidRPr="00EE1084">
        <w:rPr>
          <w:rFonts w:ascii="Book Antiqua" w:eastAsia="Book Antiqua" w:hAnsi="Book Antiqua" w:cs="Book Antiqua"/>
          <w:color w:val="000000" w:themeColor="text1"/>
        </w:rPr>
        <w:t xml:space="preserve">astern </w:t>
      </w:r>
      <w:r w:rsidR="00C53A58" w:rsidRPr="00EE1084">
        <w:rPr>
          <w:rFonts w:ascii="Book Antiqua" w:eastAsia="Book Antiqua" w:hAnsi="Book Antiqua" w:cs="Book Antiqua"/>
          <w:color w:val="000000" w:themeColor="text1"/>
        </w:rPr>
        <w:t>C</w:t>
      </w:r>
      <w:r w:rsidRPr="00EE1084">
        <w:rPr>
          <w:rFonts w:ascii="Book Antiqua" w:eastAsia="Book Antiqua" w:hAnsi="Book Antiqua" w:cs="Book Antiqua"/>
          <w:color w:val="000000" w:themeColor="text1"/>
        </w:rPr>
        <w:t xml:space="preserve">ooperative </w:t>
      </w:r>
      <w:r w:rsidR="00C53A58" w:rsidRPr="00EE1084">
        <w:rPr>
          <w:rFonts w:ascii="Book Antiqua" w:eastAsia="Book Antiqua" w:hAnsi="Book Antiqua" w:cs="Book Antiqua"/>
          <w:color w:val="000000" w:themeColor="text1"/>
        </w:rPr>
        <w:t>O</w:t>
      </w:r>
      <w:r w:rsidRPr="00EE1084">
        <w:rPr>
          <w:rFonts w:ascii="Book Antiqua" w:eastAsia="Book Antiqua" w:hAnsi="Book Antiqua" w:cs="Book Antiqua"/>
          <w:color w:val="000000" w:themeColor="text1"/>
        </w:rPr>
        <w:t xml:space="preserve">ncology </w:t>
      </w:r>
      <w:r w:rsidR="00C53A58" w:rsidRPr="00EE1084">
        <w:rPr>
          <w:rFonts w:ascii="Book Antiqua" w:eastAsia="Book Antiqua" w:hAnsi="Book Antiqua" w:cs="Book Antiqua"/>
          <w:color w:val="000000" w:themeColor="text1"/>
        </w:rPr>
        <w:t>G</w:t>
      </w:r>
      <w:r w:rsidRPr="00EE1084">
        <w:rPr>
          <w:rFonts w:ascii="Book Antiqua" w:eastAsia="Book Antiqua" w:hAnsi="Book Antiqua" w:cs="Book Antiqua"/>
          <w:color w:val="000000" w:themeColor="text1"/>
        </w:rPr>
        <w:t xml:space="preserve">roup performance status score of 2 or lower; </w:t>
      </w:r>
      <w:r w:rsidR="004B1195" w:rsidRPr="00EE1084">
        <w:rPr>
          <w:rFonts w:ascii="Book Antiqua" w:eastAsia="Book Antiqua" w:hAnsi="Book Antiqua" w:cs="Book Antiqua"/>
          <w:color w:val="000000" w:themeColor="text1"/>
        </w:rPr>
        <w:t>(3</w:t>
      </w:r>
      <w:r w:rsidRPr="00EE1084">
        <w:rPr>
          <w:rFonts w:ascii="Book Antiqua" w:eastAsia="Book Antiqua" w:hAnsi="Book Antiqua" w:cs="Book Antiqua"/>
          <w:color w:val="000000" w:themeColor="text1"/>
        </w:rPr>
        <w:t xml:space="preserve">) with normal results in routine blood test, liver and kidney function tests, and cardiopulmonary examinations; </w:t>
      </w:r>
      <w:bookmarkStart w:id="39" w:name="_Hlk54375596"/>
      <w:r w:rsidR="004B1195" w:rsidRPr="00EE1084">
        <w:rPr>
          <w:rFonts w:ascii="Book Antiqua" w:eastAsia="Book Antiqua" w:hAnsi="Book Antiqua" w:cs="Book Antiqua"/>
          <w:color w:val="000000" w:themeColor="text1"/>
        </w:rPr>
        <w:t>(4</w:t>
      </w:r>
      <w:r w:rsidRPr="00EE1084">
        <w:rPr>
          <w:rFonts w:ascii="Book Antiqua" w:eastAsia="Book Antiqua" w:hAnsi="Book Antiqua" w:cs="Book Antiqua"/>
          <w:color w:val="000000" w:themeColor="text1"/>
        </w:rPr>
        <w:t>)</w:t>
      </w:r>
      <w:bookmarkEnd w:id="39"/>
      <w:r w:rsidRPr="00EE1084">
        <w:rPr>
          <w:rFonts w:ascii="Book Antiqua" w:eastAsia="Book Antiqua" w:hAnsi="Book Antiqua" w:cs="Book Antiqua"/>
          <w:color w:val="000000" w:themeColor="text1"/>
        </w:rPr>
        <w:t xml:space="preserve"> with at least one measurable lesion </w:t>
      </w:r>
      <w:bookmarkStart w:id="40" w:name="_Hlk54375381"/>
      <w:r w:rsidRPr="00EE1084">
        <w:rPr>
          <w:rFonts w:ascii="Book Antiqua" w:eastAsia="Book Antiqua" w:hAnsi="Book Antiqua" w:cs="Book Antiqua"/>
          <w:color w:val="000000" w:themeColor="text1"/>
        </w:rPr>
        <w:t>(</w:t>
      </w:r>
      <w:bookmarkEnd w:id="40"/>
      <w:r w:rsidRPr="00EE1084">
        <w:rPr>
          <w:rFonts w:ascii="Book Antiqua" w:eastAsia="Book Antiqua" w:hAnsi="Book Antiqua" w:cs="Book Antiqua"/>
          <w:color w:val="000000" w:themeColor="text1"/>
        </w:rPr>
        <w:t>≥</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1</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 xml:space="preserve">cm in diameter on </w:t>
      </w:r>
      <w:r w:rsidR="00C10817" w:rsidRPr="00EE1084">
        <w:rPr>
          <w:rFonts w:ascii="Book Antiqua" w:eastAsia="Book Antiqua" w:hAnsi="Book Antiqua" w:cs="Book Antiqua"/>
          <w:color w:val="000000" w:themeColor="text1"/>
        </w:rPr>
        <w:t>positron emission tomography-computed tomography</w:t>
      </w:r>
      <w:r w:rsidR="00E95AA7" w:rsidRPr="00EE1084">
        <w:rPr>
          <w:rFonts w:ascii="Book Antiqua" w:eastAsia="Book Antiqua" w:hAnsi="Book Antiqua" w:cs="Book Antiqua"/>
          <w:color w:val="000000" w:themeColor="text1"/>
        </w:rPr>
        <w:t xml:space="preserve"> </w:t>
      </w:r>
      <w:r w:rsidR="00C10817" w:rsidRPr="00EE1084">
        <w:rPr>
          <w:rFonts w:ascii="Book Antiqua" w:eastAsia="Book Antiqua" w:hAnsi="Book Antiqua" w:cs="Book Antiqua"/>
          <w:color w:val="000000" w:themeColor="text1"/>
        </w:rPr>
        <w:t xml:space="preserve">(CT) </w:t>
      </w:r>
      <w:r w:rsidRPr="00EE1084">
        <w:rPr>
          <w:rFonts w:ascii="Book Antiqua" w:eastAsia="Book Antiqua" w:hAnsi="Book Antiqua" w:cs="Book Antiqua"/>
          <w:color w:val="000000" w:themeColor="text1"/>
        </w:rPr>
        <w:t>or ≥</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2</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cm on other imaging modalities);</w:t>
      </w:r>
      <w:r w:rsidR="004B1195" w:rsidRPr="00EE1084">
        <w:rPr>
          <w:rFonts w:ascii="Book Antiqua" w:hAnsi="Book Antiqua"/>
          <w:color w:val="000000" w:themeColor="text1"/>
        </w:rPr>
        <w:t xml:space="preserve"> </w:t>
      </w:r>
      <w:bookmarkStart w:id="41" w:name="_Hlk54375427"/>
      <w:r w:rsidR="004B1195" w:rsidRPr="00EE1084">
        <w:rPr>
          <w:rFonts w:ascii="Book Antiqua" w:eastAsia="Book Antiqua" w:hAnsi="Book Antiqua" w:cs="Book Antiqua"/>
          <w:color w:val="000000" w:themeColor="text1"/>
        </w:rPr>
        <w:t>(</w:t>
      </w:r>
      <w:bookmarkEnd w:id="41"/>
      <w:r w:rsidR="004B1195" w:rsidRPr="00EE1084">
        <w:rPr>
          <w:rFonts w:ascii="Book Antiqua" w:eastAsia="Book Antiqua" w:hAnsi="Book Antiqua" w:cs="Book Antiqua"/>
          <w:color w:val="000000" w:themeColor="text1"/>
        </w:rPr>
        <w:t>5</w:t>
      </w:r>
      <w:bookmarkStart w:id="42" w:name="_Hlk54375365"/>
      <w:r w:rsidRPr="00EE1084">
        <w:rPr>
          <w:rFonts w:ascii="Book Antiqua" w:eastAsia="Book Antiqua" w:hAnsi="Book Antiqua" w:cs="Book Antiqua"/>
          <w:color w:val="000000" w:themeColor="text1"/>
        </w:rPr>
        <w:t>)</w:t>
      </w:r>
      <w:bookmarkEnd w:id="42"/>
      <w:r w:rsidRPr="00EE1084">
        <w:rPr>
          <w:rFonts w:ascii="Book Antiqua" w:eastAsia="Book Antiqua" w:hAnsi="Book Antiqua" w:cs="Book Antiqua"/>
          <w:color w:val="000000" w:themeColor="text1"/>
        </w:rPr>
        <w:t xml:space="preserve"> with stage</w:t>
      </w:r>
      <w:r w:rsidR="006A6533" w:rsidRPr="00EE1084">
        <w:rPr>
          <w:rFonts w:ascii="Book Antiqua" w:eastAsia="Book Antiqua" w:hAnsi="Book Antiqua" w:cs="Book Antiqua"/>
          <w:color w:val="000000" w:themeColor="text1"/>
        </w:rPr>
        <w:t xml:space="preserve"> II-III</w:t>
      </w:r>
      <w:r w:rsidRPr="002245C4">
        <w:rPr>
          <w:rFonts w:ascii="Book Antiqua" w:eastAsia="Book Antiqua" w:hAnsi="Book Antiqua" w:cs="Book Antiqua"/>
          <w:color w:val="000000"/>
        </w:rPr>
        <w:t xml:space="preserve"> esophageal cancer, which had not been treated with other anti-tumor drugs other than the study drug within the past 4 </w:t>
      </w:r>
      <w:proofErr w:type="spellStart"/>
      <w:r w:rsidRPr="002245C4">
        <w:rPr>
          <w:rFonts w:ascii="Book Antiqua" w:eastAsia="Book Antiqua" w:hAnsi="Book Antiqua" w:cs="Book Antiqua"/>
          <w:color w:val="000000"/>
        </w:rPr>
        <w:t>wk</w:t>
      </w:r>
      <w:proofErr w:type="spellEnd"/>
      <w:r w:rsidRPr="002245C4">
        <w:rPr>
          <w:rFonts w:ascii="Book Antiqua" w:eastAsia="Book Antiqua" w:hAnsi="Book Antiqua" w:cs="Book Antiqua"/>
          <w:color w:val="000000"/>
        </w:rPr>
        <w:t>; the patient could receive specialized anti-tumor treatment; and </w:t>
      </w:r>
      <w:r w:rsidR="004B1195" w:rsidRPr="002245C4">
        <w:rPr>
          <w:rFonts w:ascii="Book Antiqua" w:eastAsia="Book Antiqua" w:hAnsi="Book Antiqua" w:cs="Book Antiqua"/>
          <w:color w:val="000000"/>
        </w:rPr>
        <w:t>(</w:t>
      </w:r>
      <w:r w:rsidR="004B1195" w:rsidRPr="002245C4">
        <w:rPr>
          <w:rFonts w:ascii="Book Antiqua" w:hAnsi="Book Antiqua" w:cs="Book Antiqua"/>
          <w:color w:val="000000"/>
          <w:lang w:eastAsia="zh-CN"/>
        </w:rPr>
        <w:t>6</w:t>
      </w:r>
      <w:r w:rsidRPr="002245C4">
        <w:rPr>
          <w:rFonts w:ascii="Book Antiqua" w:eastAsia="Book Antiqua" w:hAnsi="Book Antiqua" w:cs="Book Antiqua"/>
          <w:color w:val="000000"/>
        </w:rPr>
        <w:t>) with good tolerance and compliance to radiotherapy and chemotherapy. The exclusion criteria</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included: </w:t>
      </w:r>
      <w:r w:rsidR="004B1195" w:rsidRPr="002245C4">
        <w:rPr>
          <w:rFonts w:ascii="Book Antiqua" w:hAnsi="Book Antiqua" w:cs="Book Antiqua"/>
          <w:color w:val="000000"/>
          <w:lang w:eastAsia="zh-CN"/>
        </w:rPr>
        <w:t>(1)</w:t>
      </w:r>
      <w:r w:rsidR="00E95AA7" w:rsidRPr="002245C4">
        <w:rPr>
          <w:rFonts w:ascii="Book Antiqua" w:hAnsi="Book Antiqua" w:cs="Book Antiqua"/>
          <w:color w:val="000000"/>
          <w:lang w:eastAsia="zh-CN"/>
        </w:rPr>
        <w:t xml:space="preserve"> </w:t>
      </w:r>
      <w:r w:rsidR="004B1195" w:rsidRPr="002245C4">
        <w:rPr>
          <w:rFonts w:ascii="Book Antiqua" w:eastAsia="Book Antiqua" w:hAnsi="Book Antiqua" w:cs="Book Antiqua"/>
          <w:color w:val="000000"/>
        </w:rPr>
        <w:t>P</w:t>
      </w:r>
      <w:r w:rsidRPr="002245C4">
        <w:rPr>
          <w:rFonts w:ascii="Book Antiqua" w:eastAsia="Book Antiqua" w:hAnsi="Book Antiqua" w:cs="Book Antiqua"/>
          <w:color w:val="000000"/>
        </w:rPr>
        <w:t>regnant, lactating</w:t>
      </w:r>
      <w:r w:rsidR="006A6533" w:rsidRPr="002245C4">
        <w:rPr>
          <w:rFonts w:ascii="Book Antiqua" w:eastAsia="Book Antiqua" w:hAnsi="Book Antiqua" w:cs="Book Antiqua"/>
          <w:color w:val="000000"/>
        </w:rPr>
        <w:t>,</w:t>
      </w:r>
      <w:r w:rsidRPr="002245C4">
        <w:rPr>
          <w:rFonts w:ascii="Book Antiqua" w:eastAsia="Book Antiqua" w:hAnsi="Book Antiqua" w:cs="Book Antiqua"/>
          <w:color w:val="000000"/>
        </w:rPr>
        <w:t> and fertile</w:t>
      </w:r>
      <w:r w:rsidR="0040478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women who had not taken contraceptive measures; </w:t>
      </w:r>
      <w:r w:rsidR="004B1195" w:rsidRPr="002245C4">
        <w:rPr>
          <w:rFonts w:ascii="Book Antiqua" w:eastAsia="Book Antiqua" w:hAnsi="Book Antiqua" w:cs="Book Antiqua"/>
          <w:color w:val="000000"/>
        </w:rPr>
        <w:t>(2)</w:t>
      </w:r>
      <w:r w:rsidRPr="002245C4">
        <w:rPr>
          <w:rFonts w:ascii="Book Antiqua" w:eastAsia="Book Antiqua" w:hAnsi="Book Antiqua" w:cs="Book Antiqua"/>
          <w:color w:val="000000"/>
        </w:rPr>
        <w:t xml:space="preserve"> patients with severe acute infection, purulent/chronic infection, or protracted wound healing; </w:t>
      </w:r>
      <w:r w:rsidR="004B1195" w:rsidRPr="002245C4">
        <w:rPr>
          <w:rFonts w:ascii="Book Antiqua" w:eastAsia="Book Antiqua" w:hAnsi="Book Antiqua" w:cs="Book Antiqua"/>
          <w:color w:val="000000"/>
        </w:rPr>
        <w:t>(3)</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patients with esophageal perforation (existing or possible tracheoesophageal fistula), who</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had shown obvious symptoms and multiple distant metastases; and/or </w:t>
      </w:r>
      <w:r w:rsidR="004B1195" w:rsidRPr="002245C4">
        <w:rPr>
          <w:rFonts w:ascii="Book Antiqua" w:eastAsia="Book Antiqua" w:hAnsi="Book Antiqua" w:cs="Book Antiqua"/>
          <w:color w:val="000000"/>
        </w:rPr>
        <w:t>(4)</w:t>
      </w:r>
      <w:r w:rsidRPr="002245C4">
        <w:rPr>
          <w:rFonts w:ascii="Book Antiqua" w:eastAsia="Book Antiqua" w:hAnsi="Book Antiqua" w:cs="Book Antiqua"/>
          <w:color w:val="000000"/>
        </w:rPr>
        <w:t xml:space="preserve"> patients with poor tolerance to radiotherapy and chemotherapy due to coagulation </w:t>
      </w:r>
      <w:r w:rsidRPr="002245C4">
        <w:rPr>
          <w:rFonts w:ascii="Book Antiqua" w:eastAsia="Book Antiqua" w:hAnsi="Book Antiqua" w:cs="Book Antiqua"/>
          <w:color w:val="000000"/>
        </w:rPr>
        <w:lastRenderedPageBreak/>
        <w:t>dysfunction, mental disorders, poor cardiopulmonary function, poor liver and kidney function, and other conditions. The general data of these patients are shown in Table 1.</w:t>
      </w:r>
    </w:p>
    <w:p w14:paraId="3FC3933A" w14:textId="77777777" w:rsidR="004B1195" w:rsidRPr="002245C4" w:rsidRDefault="004B1195">
      <w:pPr>
        <w:snapToGrid w:val="0"/>
        <w:spacing w:line="360" w:lineRule="auto"/>
        <w:jc w:val="both"/>
        <w:rPr>
          <w:rFonts w:ascii="Book Antiqua" w:hAnsi="Book Antiqua"/>
        </w:rPr>
      </w:pPr>
    </w:p>
    <w:p w14:paraId="39B1E91B" w14:textId="256AC2B1"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Therapeutic regimen</w:t>
      </w:r>
    </w:p>
    <w:p w14:paraId="79489582" w14:textId="2E774B98" w:rsidR="00A77B3E" w:rsidRPr="002245C4" w:rsidRDefault="00A60D61">
      <w:pPr>
        <w:snapToGrid w:val="0"/>
        <w:spacing w:line="360" w:lineRule="auto"/>
        <w:jc w:val="both"/>
        <w:rPr>
          <w:rFonts w:ascii="Book Antiqua" w:eastAsia="Book Antiqua" w:hAnsi="Book Antiqua" w:cs="Book Antiqua"/>
          <w:color w:val="000000"/>
        </w:rPr>
      </w:pPr>
      <w:r w:rsidRPr="002245C4">
        <w:rPr>
          <w:rFonts w:ascii="Book Antiqua" w:eastAsia="Book Antiqua" w:hAnsi="Book Antiqua" w:cs="Book Antiqua"/>
          <w:color w:val="000000"/>
        </w:rPr>
        <w:t>All the patients underwent the intensity-</w:t>
      </w:r>
      <w:r w:rsidR="00E95AA7" w:rsidRPr="002245C4">
        <w:rPr>
          <w:rFonts w:ascii="Book Antiqua" w:eastAsia="Book Antiqua" w:hAnsi="Book Antiqua" w:cs="Book Antiqua"/>
          <w:color w:val="000000"/>
        </w:rPr>
        <w:t>modulated radiation therapy (40-</w:t>
      </w:r>
      <w:r w:rsidRPr="002245C4">
        <w:rPr>
          <w:rFonts w:ascii="Book Antiqua" w:eastAsia="Book Antiqua" w:hAnsi="Book Antiqua" w:cs="Book Antiqua"/>
          <w:color w:val="000000"/>
        </w:rPr>
        <w:t>44</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Gy/20 - 22f, 2 Gy/f). Two cycles of chemotherapy was administered</w:t>
      </w:r>
      <w:r w:rsidR="0029534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on day 1 and day 21 of radiotherapy: </w:t>
      </w:r>
      <w:r w:rsidR="004B1195" w:rsidRPr="002245C4">
        <w:rPr>
          <w:rFonts w:ascii="Book Antiqua" w:eastAsia="Book Antiqua" w:hAnsi="Book Antiqua" w:cs="Book Antiqua"/>
          <w:color w:val="000000"/>
        </w:rPr>
        <w:t>P</w:t>
      </w:r>
      <w:r w:rsidRPr="002245C4">
        <w:rPr>
          <w:rFonts w:ascii="Book Antiqua" w:eastAsia="Book Antiqua" w:hAnsi="Book Antiqua" w:cs="Book Antiqua"/>
          <w:color w:val="000000"/>
        </w:rPr>
        <w:t>aclitaxel injection 150</w:t>
      </w:r>
      <w:r w:rsidR="00E95AA7" w:rsidRPr="002245C4">
        <w:rPr>
          <w:rFonts w:ascii="Book Antiqua" w:eastAsia="Book Antiqua" w:hAnsi="Book Antiqua" w:cs="Book Antiqua"/>
          <w:color w:val="000000"/>
        </w:rPr>
        <w:t>–</w:t>
      </w:r>
      <w:r w:rsidRPr="002245C4">
        <w:rPr>
          <w:rFonts w:ascii="Book Antiqua" w:eastAsia="Book Antiqua" w:hAnsi="Book Antiqua" w:cs="Book Antiqua"/>
          <w:color w:val="000000"/>
        </w:rPr>
        <w:t>175</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rPr>
        <w:t xml:space="preserve"> intrave</w:t>
      </w:r>
      <w:r w:rsidR="00E41BAB" w:rsidRPr="002245C4">
        <w:rPr>
          <w:rFonts w:ascii="Book Antiqua" w:eastAsia="Book Antiqua" w:hAnsi="Book Antiqua" w:cs="Book Antiqua"/>
          <w:color w:val="000000"/>
        </w:rPr>
        <w:t>nous continuous medication drips (</w:t>
      </w:r>
      <w:r w:rsidRPr="002245C4">
        <w:rPr>
          <w:rFonts w:ascii="Book Antiqua" w:eastAsia="Book Antiqua" w:hAnsi="Book Antiqua" w:cs="Book Antiqua"/>
          <w:color w:val="000000"/>
        </w:rPr>
        <w:t>ivgtt</w:t>
      </w:r>
      <w:r w:rsidR="00E41BAB"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on day 1 and day 22 + lobaplatin 25-30 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vertAlign w:val="superscript"/>
        </w:rPr>
        <w:t xml:space="preserve"> </w:t>
      </w:r>
      <w:r w:rsidRPr="002245C4">
        <w:rPr>
          <w:rFonts w:ascii="Book Antiqua" w:eastAsia="Book Antiqua" w:hAnsi="Book Antiqua" w:cs="Book Antiqua"/>
          <w:color w:val="000000"/>
        </w:rPr>
        <w:t>ivgtt on day 1 and day 22. Radical surgical resection was performed within 6-8 wk after the completion of the concurrent radiotherapy and chemotherapy. After surgery, adjuvant chemotherapy regimen</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(paclitaxel injection 150</w:t>
      </w:r>
      <w:r w:rsidR="00E95AA7" w:rsidRPr="002245C4">
        <w:rPr>
          <w:rFonts w:ascii="Book Antiqua" w:eastAsia="Book Antiqua" w:hAnsi="Book Antiqua" w:cs="Book Antiqua"/>
          <w:color w:val="000000"/>
        </w:rPr>
        <w:t>–</w:t>
      </w:r>
      <w:r w:rsidRPr="002245C4">
        <w:rPr>
          <w:rFonts w:ascii="Book Antiqua" w:eastAsia="Book Antiqua" w:hAnsi="Book Antiqua" w:cs="Book Antiqua"/>
          <w:color w:val="000000"/>
        </w:rPr>
        <w:t>175</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vertAlign w:val="superscript"/>
        </w:rPr>
        <w:t xml:space="preserve"> </w:t>
      </w:r>
      <w:r w:rsidRPr="002245C4">
        <w:rPr>
          <w:rFonts w:ascii="Book Antiqua" w:eastAsia="Book Antiqua" w:hAnsi="Book Antiqua" w:cs="Book Antiqua"/>
          <w:color w:val="000000"/>
        </w:rPr>
        <w:t>ivgtt on day 1 + lobaplatin 25-30 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vertAlign w:val="superscript"/>
        </w:rPr>
        <w:t xml:space="preserve"> </w:t>
      </w:r>
      <w:r w:rsidRPr="002245C4">
        <w:rPr>
          <w:rFonts w:ascii="Book Antiqua" w:eastAsia="Book Antiqua" w:hAnsi="Book Antiqua" w:cs="Book Antiqua"/>
          <w:color w:val="000000"/>
        </w:rPr>
        <w:t>ivgtt on day 1; two cycles) was adopted depending on the patient's pathological conditions.</w:t>
      </w:r>
    </w:p>
    <w:p w14:paraId="48A044C7" w14:textId="77777777" w:rsidR="004B1195" w:rsidRPr="002245C4" w:rsidRDefault="004B1195">
      <w:pPr>
        <w:snapToGrid w:val="0"/>
        <w:spacing w:line="360" w:lineRule="auto"/>
        <w:jc w:val="both"/>
        <w:rPr>
          <w:rFonts w:ascii="Book Antiqua" w:hAnsi="Book Antiqua"/>
        </w:rPr>
      </w:pPr>
    </w:p>
    <w:p w14:paraId="709CA139" w14:textId="7BED3819"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Evaluation of therapeutic efficacy</w:t>
      </w:r>
      <w:r w:rsidR="0029534B" w:rsidRPr="002245C4">
        <w:rPr>
          <w:rFonts w:ascii="Book Antiqua" w:eastAsia="Book Antiqua" w:hAnsi="Book Antiqua" w:cs="Book Antiqua"/>
          <w:b/>
          <w:bCs/>
          <w:i/>
          <w:iCs/>
          <w:color w:val="000000"/>
        </w:rPr>
        <w:t xml:space="preserve"> </w:t>
      </w:r>
      <w:r w:rsidRPr="002245C4">
        <w:rPr>
          <w:rFonts w:ascii="Book Antiqua" w:eastAsia="Book Antiqua" w:hAnsi="Book Antiqua" w:cs="Book Antiqua"/>
          <w:b/>
          <w:bCs/>
          <w:i/>
          <w:iCs/>
          <w:color w:val="000000"/>
        </w:rPr>
        <w:t>and adverse reactions </w:t>
      </w:r>
    </w:p>
    <w:p w14:paraId="43E1F16E" w14:textId="1FBF3E57"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The efficacy evaluation was based on the version 1.1 </w:t>
      </w:r>
      <w:r w:rsidR="00E41BAB" w:rsidRPr="002245C4">
        <w:rPr>
          <w:rFonts w:ascii="Book Antiqua" w:hAnsi="Book Antiqua" w:cs="Book Antiqua"/>
          <w:color w:val="000000"/>
          <w:lang w:eastAsia="zh-CN"/>
        </w:rPr>
        <w:t>R</w:t>
      </w:r>
      <w:r w:rsidRPr="002245C4">
        <w:rPr>
          <w:rFonts w:ascii="Book Antiqua" w:eastAsia="Book Antiqua" w:hAnsi="Book Antiqua" w:cs="Book Antiqua"/>
          <w:color w:val="000000"/>
        </w:rPr>
        <w:t xml:space="preserve">esponse </w:t>
      </w:r>
      <w:r w:rsidR="00E41BAB" w:rsidRPr="002245C4">
        <w:rPr>
          <w:rFonts w:ascii="Book Antiqua" w:hAnsi="Book Antiqua" w:cs="Book Antiqua"/>
          <w:color w:val="000000"/>
          <w:lang w:eastAsia="zh-CN"/>
        </w:rPr>
        <w:t>E</w:t>
      </w:r>
      <w:r w:rsidRPr="002245C4">
        <w:rPr>
          <w:rFonts w:ascii="Book Antiqua" w:eastAsia="Book Antiqua" w:hAnsi="Book Antiqua" w:cs="Book Antiqua"/>
          <w:color w:val="000000"/>
        </w:rPr>
        <w:t xml:space="preserve">valuation </w:t>
      </w:r>
      <w:r w:rsidR="00E41BAB" w:rsidRPr="002245C4">
        <w:rPr>
          <w:rFonts w:ascii="Book Antiqua" w:hAnsi="Book Antiqua" w:cs="Book Antiqua"/>
          <w:color w:val="000000"/>
          <w:lang w:eastAsia="zh-CN"/>
        </w:rPr>
        <w:t>C</w:t>
      </w:r>
      <w:r w:rsidRPr="002245C4">
        <w:rPr>
          <w:rFonts w:ascii="Book Antiqua" w:eastAsia="Book Antiqua" w:hAnsi="Book Antiqua" w:cs="Book Antiqua"/>
          <w:color w:val="000000"/>
        </w:rPr>
        <w:t xml:space="preserve">riteria in </w:t>
      </w:r>
      <w:r w:rsidR="00E41BAB" w:rsidRPr="002245C4">
        <w:rPr>
          <w:rFonts w:ascii="Book Antiqua" w:hAnsi="Book Antiqua" w:cs="Book Antiqua"/>
          <w:color w:val="000000"/>
          <w:lang w:eastAsia="zh-CN"/>
        </w:rPr>
        <w:t>S</w:t>
      </w:r>
      <w:r w:rsidRPr="002245C4">
        <w:rPr>
          <w:rFonts w:ascii="Book Antiqua" w:eastAsia="Book Antiqua" w:hAnsi="Book Antiqua" w:cs="Book Antiqua"/>
          <w:color w:val="000000"/>
        </w:rPr>
        <w:t xml:space="preserve">olid </w:t>
      </w:r>
      <w:r w:rsidR="00E41BAB" w:rsidRPr="002245C4">
        <w:rPr>
          <w:rFonts w:ascii="Book Antiqua" w:hAnsi="Book Antiqua" w:cs="Book Antiqua"/>
          <w:color w:val="000000"/>
          <w:lang w:eastAsia="zh-CN"/>
        </w:rPr>
        <w:t>T</w:t>
      </w:r>
      <w:r w:rsidRPr="002245C4">
        <w:rPr>
          <w:rFonts w:ascii="Book Antiqua" w:eastAsia="Book Antiqua" w:hAnsi="Book Antiqua" w:cs="Book Antiqua"/>
          <w:color w:val="000000"/>
        </w:rPr>
        <w:t>umors, which included complete response (CR), partial response (PR), s</w:t>
      </w:r>
      <w:bookmarkStart w:id="43" w:name="_Hlk54376393"/>
      <w:r w:rsidRPr="002245C4">
        <w:rPr>
          <w:rFonts w:ascii="Book Antiqua" w:eastAsia="Book Antiqua" w:hAnsi="Book Antiqua" w:cs="Book Antiqua"/>
          <w:color w:val="000000"/>
        </w:rPr>
        <w:t>table disease</w:t>
      </w:r>
      <w:bookmarkEnd w:id="43"/>
      <w:r w:rsidRPr="002245C4">
        <w:rPr>
          <w:rFonts w:ascii="Book Antiqua" w:eastAsia="Book Antiqua" w:hAnsi="Book Antiqua" w:cs="Book Antiqua"/>
          <w:color w:val="000000"/>
        </w:rPr>
        <w:t>, and progression disease; the objective remission rate (ORR) was calculated using the following formula: ORR = (CR</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PR)/ total cases × 100%.</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Chest CT, </w:t>
      </w:r>
      <w:r w:rsidR="00E41BAB" w:rsidRPr="002245C4">
        <w:rPr>
          <w:rFonts w:ascii="Book Antiqua" w:eastAsia="Book Antiqua" w:hAnsi="Book Antiqua" w:cs="Book Antiqua"/>
          <w:color w:val="000000"/>
        </w:rPr>
        <w:t>magnetic resonance imaging</w:t>
      </w:r>
      <w:r w:rsidRPr="002245C4">
        <w:rPr>
          <w:rFonts w:ascii="Book Antiqua" w:eastAsia="Book Antiqua" w:hAnsi="Book Antiqua" w:cs="Book Antiqua"/>
          <w:color w:val="000000"/>
        </w:rPr>
        <w:t xml:space="preserve">, and </w:t>
      </w:r>
      <w:r w:rsidR="00C10817" w:rsidRPr="002245C4">
        <w:rPr>
          <w:rFonts w:ascii="Book Antiqua" w:eastAsia="Book Antiqua" w:hAnsi="Book Antiqua" w:cs="Book Antiqua"/>
          <w:color w:val="000000"/>
        </w:rPr>
        <w:t>positron emission tomography</w:t>
      </w:r>
      <w:r w:rsidRPr="002245C4">
        <w:rPr>
          <w:rFonts w:ascii="Book Antiqua" w:eastAsia="Book Antiqua" w:hAnsi="Book Antiqua" w:cs="Book Antiqua"/>
          <w:color w:val="000000"/>
        </w:rPr>
        <w:t>-CT (if necessary) were performed 1 mo after NCRT, 1 mo after surgery, and 1 mo after adjuvant chemotherapy.</w:t>
      </w:r>
      <w:r w:rsidR="00C1081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Gastroscopy was performed 3 mo after treatment for efficacy evaluation. Adverse reactions were evaluated</w:t>
      </w:r>
      <w:r w:rsidR="0029534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according to the criteria of the National Cancer Institute Common Toxicity for Adverse Events version 3.0.</w:t>
      </w:r>
    </w:p>
    <w:p w14:paraId="0F28AC93" w14:textId="77777777" w:rsidR="00C10817" w:rsidRPr="002245C4" w:rsidRDefault="00C10817">
      <w:pPr>
        <w:snapToGrid w:val="0"/>
        <w:spacing w:line="360" w:lineRule="auto"/>
        <w:jc w:val="both"/>
        <w:rPr>
          <w:rFonts w:ascii="Book Antiqua" w:eastAsia="Book Antiqua" w:hAnsi="Book Antiqua" w:cs="Book Antiqua"/>
          <w:b/>
          <w:bCs/>
          <w:color w:val="000000"/>
        </w:rPr>
      </w:pPr>
    </w:p>
    <w:p w14:paraId="4DF7EE30" w14:textId="62AC82F4"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Outcome and follow-up</w:t>
      </w:r>
    </w:p>
    <w:p w14:paraId="3B79907D" w14:textId="3FABFADB"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The primary outcome measures included </w:t>
      </w:r>
      <w:bookmarkStart w:id="44" w:name="_Hlk54382703"/>
      <w:r w:rsidRPr="002245C4">
        <w:rPr>
          <w:rFonts w:ascii="Book Antiqua" w:eastAsia="Book Antiqua" w:hAnsi="Book Antiqua" w:cs="Book Antiqua"/>
          <w:color w:val="000000"/>
        </w:rPr>
        <w:t>progression-free survival</w:t>
      </w:r>
      <w:bookmarkEnd w:id="44"/>
      <w:r w:rsidRPr="002245C4">
        <w:rPr>
          <w:rFonts w:ascii="Book Antiqua" w:eastAsia="Book Antiqua" w:hAnsi="Book Antiqua" w:cs="Book Antiqua"/>
          <w:color w:val="000000"/>
        </w:rPr>
        <w:t xml:space="preserve"> (PFS), overall survival (OS),</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ORR after NCRT, pathologic complete response after surgery, and R0 resection rate after surgery; the secondary outcome measures included adverse reactions </w:t>
      </w:r>
      <w:r w:rsidRPr="002245C4">
        <w:rPr>
          <w:rFonts w:ascii="Book Antiqua" w:eastAsia="Book Antiqua" w:hAnsi="Book Antiqua" w:cs="Book Antiqua"/>
          <w:color w:val="000000"/>
        </w:rPr>
        <w:lastRenderedPageBreak/>
        <w:t>after NCRT and postoperative complications. All patients were followed up </w:t>
      </w:r>
      <w:r w:rsidRPr="002245C4">
        <w:rPr>
          <w:rFonts w:ascii="Book Antiqua" w:eastAsia="Book Antiqua" w:hAnsi="Book Antiqua" w:cs="Book Antiqua"/>
          <w:i/>
          <w:color w:val="000000"/>
        </w:rPr>
        <w:t>via</w:t>
      </w:r>
      <w:r w:rsidR="0040478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telephone or outpatient visits.</w:t>
      </w:r>
    </w:p>
    <w:p w14:paraId="3E2A53EF" w14:textId="77777777" w:rsidR="00C10817" w:rsidRPr="002245C4" w:rsidRDefault="00C10817">
      <w:pPr>
        <w:snapToGrid w:val="0"/>
        <w:spacing w:line="360" w:lineRule="auto"/>
        <w:jc w:val="both"/>
        <w:rPr>
          <w:rFonts w:ascii="Book Antiqua" w:eastAsia="Book Antiqua" w:hAnsi="Book Antiqua" w:cs="Book Antiqua"/>
          <w:b/>
          <w:bCs/>
          <w:color w:val="000000"/>
        </w:rPr>
      </w:pPr>
    </w:p>
    <w:p w14:paraId="41A8D836" w14:textId="11171917"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Statistical analysis</w:t>
      </w:r>
    </w:p>
    <w:p w14:paraId="057B706E" w14:textId="0113B3DD"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All data were processed and analyzed using the </w:t>
      </w:r>
      <w:r w:rsidR="00E41BAB" w:rsidRPr="002245C4">
        <w:rPr>
          <w:rFonts w:ascii="Book Antiqua" w:eastAsia="Book Antiqua" w:hAnsi="Book Antiqua" w:cs="Book Antiqua"/>
          <w:color w:val="000000"/>
        </w:rPr>
        <w:t>S</w:t>
      </w:r>
      <w:r w:rsidR="00C10817" w:rsidRPr="002245C4">
        <w:rPr>
          <w:rFonts w:ascii="Book Antiqua" w:eastAsia="Book Antiqua" w:hAnsi="Book Antiqua" w:cs="Book Antiqua"/>
          <w:color w:val="000000"/>
        </w:rPr>
        <w:t xml:space="preserve">tatistic </w:t>
      </w:r>
      <w:r w:rsidR="00E41BAB" w:rsidRPr="002245C4">
        <w:rPr>
          <w:rFonts w:ascii="Book Antiqua" w:eastAsia="Book Antiqua" w:hAnsi="Book Antiqua" w:cs="Book Antiqua"/>
          <w:color w:val="000000"/>
        </w:rPr>
        <w:t>P</w:t>
      </w:r>
      <w:r w:rsidR="00C10817" w:rsidRPr="002245C4">
        <w:rPr>
          <w:rFonts w:ascii="Book Antiqua" w:eastAsia="Book Antiqua" w:hAnsi="Book Antiqua" w:cs="Book Antiqua"/>
          <w:color w:val="000000"/>
        </w:rPr>
        <w:t xml:space="preserve">ackage for </w:t>
      </w:r>
      <w:r w:rsidR="00E41BAB" w:rsidRPr="002245C4">
        <w:rPr>
          <w:rFonts w:ascii="Book Antiqua" w:eastAsia="Book Antiqua" w:hAnsi="Book Antiqua" w:cs="Book Antiqua"/>
          <w:color w:val="000000"/>
        </w:rPr>
        <w:t>S</w:t>
      </w:r>
      <w:r w:rsidR="00C10817" w:rsidRPr="002245C4">
        <w:rPr>
          <w:rFonts w:ascii="Book Antiqua" w:eastAsia="Book Antiqua" w:hAnsi="Book Antiqua" w:cs="Book Antiqua"/>
          <w:color w:val="000000"/>
        </w:rPr>
        <w:t xml:space="preserve">ocial </w:t>
      </w:r>
      <w:r w:rsidR="00E41BAB" w:rsidRPr="002245C4">
        <w:rPr>
          <w:rFonts w:ascii="Book Antiqua" w:eastAsia="Book Antiqua" w:hAnsi="Book Antiqua" w:cs="Book Antiqua"/>
          <w:color w:val="000000"/>
        </w:rPr>
        <w:t>S</w:t>
      </w:r>
      <w:r w:rsidR="00C10817" w:rsidRPr="002245C4">
        <w:rPr>
          <w:rFonts w:ascii="Book Antiqua" w:eastAsia="Book Antiqua" w:hAnsi="Book Antiqua" w:cs="Book Antiqua"/>
          <w:color w:val="000000"/>
        </w:rPr>
        <w:t>cience</w:t>
      </w:r>
      <w:r w:rsidRPr="002245C4">
        <w:rPr>
          <w:rFonts w:ascii="Book Antiqua" w:eastAsia="Book Antiqua" w:hAnsi="Book Antiqua" w:cs="Book Antiqua"/>
          <w:color w:val="000000"/>
        </w:rPr>
        <w:t xml:space="preserve"> software package version 19.0</w:t>
      </w:r>
      <w:r w:rsidR="00E41BAB" w:rsidRPr="002245C4">
        <w:rPr>
          <w:rFonts w:ascii="Book Antiqua" w:eastAsia="Book Antiqua" w:hAnsi="Book Antiqua" w:cs="Book Antiqua"/>
          <w:color w:val="000000"/>
        </w:rPr>
        <w:t xml:space="preserve"> (Armonk, NY, United </w:t>
      </w:r>
      <w:r w:rsidR="00C22394" w:rsidRPr="002245C4">
        <w:rPr>
          <w:rFonts w:ascii="Book Antiqua" w:eastAsia="Book Antiqua" w:hAnsi="Book Antiqua" w:cs="Book Antiqua"/>
          <w:color w:val="000000"/>
        </w:rPr>
        <w:t>S</w:t>
      </w:r>
      <w:r w:rsidR="00E41BAB" w:rsidRPr="002245C4">
        <w:rPr>
          <w:rFonts w:ascii="Book Antiqua" w:eastAsia="Book Antiqua" w:hAnsi="Book Antiqua" w:cs="Book Antiqua"/>
          <w:color w:val="000000"/>
        </w:rPr>
        <w:t>tates</w:t>
      </w:r>
      <w:r w:rsidR="00C22394" w:rsidRPr="002245C4">
        <w:rPr>
          <w:rFonts w:ascii="Book Antiqua" w:eastAsia="Book Antiqua" w:hAnsi="Book Antiqua" w:cs="Book Antiqua"/>
          <w:color w:val="000000"/>
        </w:rPr>
        <w:t>)</w:t>
      </w:r>
      <w:r w:rsidRPr="002245C4">
        <w:rPr>
          <w:rFonts w:ascii="Book Antiqua" w:eastAsia="Book Antiqua" w:hAnsi="Book Antiqua" w:cs="Book Antiqua"/>
          <w:color w:val="000000"/>
        </w:rPr>
        <w:t>. The count data are expressed in percentages and rates.</w:t>
      </w:r>
    </w:p>
    <w:bookmarkEnd w:id="36"/>
    <w:bookmarkEnd w:id="37"/>
    <w:bookmarkEnd w:id="38"/>
    <w:p w14:paraId="6B94D325" w14:textId="77777777" w:rsidR="00A77B3E" w:rsidRPr="002245C4" w:rsidRDefault="00A77B3E">
      <w:pPr>
        <w:snapToGrid w:val="0"/>
        <w:spacing w:line="360" w:lineRule="auto"/>
        <w:jc w:val="both"/>
        <w:rPr>
          <w:rFonts w:ascii="Book Antiqua" w:hAnsi="Book Antiqua"/>
        </w:rPr>
      </w:pPr>
    </w:p>
    <w:p w14:paraId="47753292" w14:textId="77777777"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b/>
          <w:caps/>
          <w:color w:val="000000"/>
          <w:u w:val="single"/>
        </w:rPr>
        <w:t>RESULTS</w:t>
      </w:r>
    </w:p>
    <w:p w14:paraId="7621D5E4" w14:textId="757AC576" w:rsidR="00A77B3E" w:rsidRPr="002245C4" w:rsidRDefault="00A60D61">
      <w:pPr>
        <w:snapToGrid w:val="0"/>
        <w:spacing w:line="360" w:lineRule="auto"/>
        <w:jc w:val="both"/>
        <w:rPr>
          <w:rFonts w:ascii="Book Antiqua" w:hAnsi="Book Antiqua"/>
          <w:i/>
          <w:iCs/>
        </w:rPr>
      </w:pPr>
      <w:bookmarkStart w:id="45" w:name="OLE_LINK39"/>
      <w:bookmarkStart w:id="46" w:name="OLE_LINK40"/>
      <w:r w:rsidRPr="002245C4">
        <w:rPr>
          <w:rFonts w:ascii="Book Antiqua" w:eastAsia="Book Antiqua" w:hAnsi="Book Antiqua" w:cs="Book Antiqua"/>
          <w:b/>
          <w:bCs/>
          <w:i/>
          <w:iCs/>
          <w:color w:val="000000"/>
        </w:rPr>
        <w:t>Treatments completed</w:t>
      </w:r>
    </w:p>
    <w:p w14:paraId="0B177747" w14:textId="033BD64D"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A total of 30 patients with locally advanced TESCC were enrolled in this study. Among them 4 patients did not undergo surgery (2 were clinically evaluated as CR and 2 refused surgery)</w:t>
      </w:r>
      <w:r w:rsidR="00C22394"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and 26 received surgical treatment following NCRT (1 patient received one cycle of postoperative adjuvant chemotherapy and 11 patients received </w:t>
      </w:r>
      <w:r w:rsidR="00C22394" w:rsidRPr="002245C4">
        <w:rPr>
          <w:rFonts w:ascii="Book Antiqua" w:eastAsia="Book Antiqua" w:hAnsi="Book Antiqua" w:cs="Book Antiqua"/>
          <w:color w:val="000000"/>
        </w:rPr>
        <w:t>two</w:t>
      </w:r>
      <w:r w:rsidRPr="002245C4">
        <w:rPr>
          <w:rFonts w:ascii="Book Antiqua" w:eastAsia="Book Antiqua" w:hAnsi="Book Antiqua" w:cs="Book Antiqua"/>
          <w:color w:val="000000"/>
        </w:rPr>
        <w:t xml:space="preserve"> cycles of postoperative adjuvant chemotherapy).</w:t>
      </w:r>
    </w:p>
    <w:p w14:paraId="07C693C4" w14:textId="77777777" w:rsidR="00C10817" w:rsidRPr="002245C4" w:rsidRDefault="00C10817" w:rsidP="002245C4">
      <w:pPr>
        <w:snapToGrid w:val="0"/>
        <w:spacing w:line="360" w:lineRule="auto"/>
        <w:jc w:val="both"/>
        <w:rPr>
          <w:rFonts w:ascii="Book Antiqua" w:eastAsia="Book Antiqua" w:hAnsi="Book Antiqua" w:cs="Book Antiqua"/>
          <w:b/>
          <w:bCs/>
          <w:i/>
          <w:iCs/>
          <w:color w:val="000000"/>
        </w:rPr>
      </w:pPr>
    </w:p>
    <w:p w14:paraId="1E47A48E" w14:textId="417A316A"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Short-term efficacy</w:t>
      </w:r>
    </w:p>
    <w:p w14:paraId="3D80932F" w14:textId="75267B91"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Preoperative therapeutic responses included CR in 2 cases (6.7%), PR in 26 cases (86.7%), and </w:t>
      </w:r>
      <w:r w:rsidR="00C10817" w:rsidRPr="002245C4">
        <w:rPr>
          <w:rFonts w:ascii="Book Antiqua" w:eastAsia="Book Antiqua" w:hAnsi="Book Antiqua" w:cs="Book Antiqua"/>
          <w:color w:val="000000"/>
        </w:rPr>
        <w:t>stable disease</w:t>
      </w:r>
      <w:r w:rsidRPr="002245C4">
        <w:rPr>
          <w:rFonts w:ascii="Book Antiqua" w:eastAsia="Book Antiqua" w:hAnsi="Book Antiqua" w:cs="Book Antiqua"/>
          <w:color w:val="000000"/>
        </w:rPr>
        <w:t xml:space="preserve"> in 2 cases (6.7%); the ORR was 100%. All patients underwent laparoscopic radical surgery successfully. R0 resection was achieved in all patients (100%), and 10 patients (33.3%) achieved </w:t>
      </w:r>
      <w:r w:rsidR="00C22394" w:rsidRPr="002245C4">
        <w:rPr>
          <w:rFonts w:ascii="Book Antiqua" w:eastAsia="Book Antiqua" w:hAnsi="Book Antiqua" w:cs="Book Antiqua"/>
          <w:color w:val="000000"/>
        </w:rPr>
        <w:t>pathological CR (</w:t>
      </w:r>
      <w:r w:rsidR="0057439E" w:rsidRPr="002245C4">
        <w:rPr>
          <w:rFonts w:ascii="Book Antiqua" w:eastAsia="Book Antiqua" w:hAnsi="Book Antiqua" w:cs="Book Antiqua"/>
          <w:color w:val="000000"/>
        </w:rPr>
        <w:t>p</w:t>
      </w:r>
      <w:r w:rsidRPr="002245C4">
        <w:rPr>
          <w:rFonts w:ascii="Book Antiqua" w:eastAsia="Book Antiqua" w:hAnsi="Book Antiqua" w:cs="Book Antiqua"/>
          <w:caps/>
          <w:color w:val="000000"/>
        </w:rPr>
        <w:t>CR</w:t>
      </w:r>
      <w:r w:rsidR="00C22394" w:rsidRPr="002245C4">
        <w:rPr>
          <w:rFonts w:ascii="Book Antiqua" w:eastAsia="Book Antiqua" w:hAnsi="Book Antiqua" w:cs="Book Antiqua"/>
          <w:caps/>
          <w:color w:val="000000"/>
        </w:rPr>
        <w:t>)</w:t>
      </w:r>
      <w:r w:rsidRPr="002245C4">
        <w:rPr>
          <w:rFonts w:ascii="Book Antiqua" w:eastAsia="Book Antiqua" w:hAnsi="Book Antiqua" w:cs="Book Antiqua"/>
          <w:color w:val="000000"/>
        </w:rPr>
        <w:t xml:space="preserve"> after surgery. After surgery, there were 10, 6</w:t>
      </w:r>
      <w:r w:rsidR="0057439E"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1, 9, and 0 patients at stages 0, I, II, III, and IV, respectively (Table 2).</w:t>
      </w:r>
    </w:p>
    <w:p w14:paraId="1ABF978F" w14:textId="77777777" w:rsidR="00C10817" w:rsidRPr="002245C4" w:rsidRDefault="00C10817" w:rsidP="002245C4">
      <w:pPr>
        <w:snapToGrid w:val="0"/>
        <w:spacing w:line="360" w:lineRule="auto"/>
        <w:jc w:val="both"/>
        <w:rPr>
          <w:rFonts w:ascii="Book Antiqua" w:eastAsia="Book Antiqua" w:hAnsi="Book Antiqua" w:cs="Book Antiqua"/>
          <w:b/>
          <w:bCs/>
          <w:i/>
          <w:iCs/>
          <w:color w:val="000000"/>
        </w:rPr>
      </w:pPr>
    </w:p>
    <w:p w14:paraId="089B4360" w14:textId="681F7B07" w:rsidR="00A77B3E" w:rsidRPr="002245C4" w:rsidRDefault="00A60D61" w:rsidP="002245C4">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Follow-up and PFS</w:t>
      </w:r>
    </w:p>
    <w:p w14:paraId="076D6D35" w14:textId="6B30BE09" w:rsidR="0057439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All patients were followed up till</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November 2019. Thirty </w:t>
      </w:r>
      <w:r w:rsidR="0057439E" w:rsidRPr="002245C4">
        <w:rPr>
          <w:rFonts w:ascii="Book Antiqua" w:eastAsia="Book Antiqua" w:hAnsi="Book Antiqua" w:cs="Book Antiqua"/>
          <w:color w:val="000000"/>
        </w:rPr>
        <w:t>patients were followed up for 5-</w:t>
      </w:r>
      <w:r w:rsidRPr="002245C4">
        <w:rPr>
          <w:rFonts w:ascii="Book Antiqua" w:eastAsia="Book Antiqua" w:hAnsi="Book Antiqua" w:cs="Book Antiqua"/>
          <w:color w:val="000000"/>
        </w:rPr>
        <w:t>40 mo, with a median follow-up period of 24 mo.</w:t>
      </w:r>
      <w:bookmarkStart w:id="47" w:name="_Hlk54382449"/>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The median PFS was 30 mo</w:t>
      </w:r>
      <w:r w:rsidR="00031872"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and the median OS was 32 mo</w:t>
      </w:r>
      <w:bookmarkEnd w:id="47"/>
      <w:r w:rsidR="0057439E" w:rsidRPr="002245C4">
        <w:rPr>
          <w:rFonts w:ascii="Book Antiqua" w:eastAsia="Book Antiqua" w:hAnsi="Book Antiqua" w:cs="Book Antiqua"/>
          <w:color w:val="000000"/>
        </w:rPr>
        <w:t xml:space="preserve"> </w:t>
      </w:r>
      <w:r w:rsidR="0057439E" w:rsidRPr="002245C4">
        <w:rPr>
          <w:rFonts w:ascii="Book Antiqua" w:eastAsia="宋体" w:hAnsi="Book Antiqua" w:cs="宋体"/>
          <w:color w:val="000000"/>
          <w:lang w:eastAsia="zh-CN"/>
        </w:rPr>
        <w:t>(</w:t>
      </w:r>
      <w:r w:rsidR="00A24B23" w:rsidRPr="002245C4">
        <w:rPr>
          <w:rFonts w:ascii="Book Antiqua" w:eastAsia="Book Antiqua" w:hAnsi="Book Antiqua" w:cs="Book Antiqua"/>
          <w:color w:val="000000"/>
        </w:rPr>
        <w:t>Figure</w:t>
      </w:r>
      <w:r w:rsidR="0057439E" w:rsidRPr="002245C4">
        <w:rPr>
          <w:rFonts w:ascii="Book Antiqua" w:eastAsia="Book Antiqua" w:hAnsi="Book Antiqua" w:cs="Book Antiqua"/>
          <w:color w:val="000000"/>
        </w:rPr>
        <w:t xml:space="preserve"> 1</w:t>
      </w:r>
      <w:r w:rsidR="0057439E" w:rsidRPr="002245C4">
        <w:rPr>
          <w:rFonts w:ascii="Book Antiqua" w:eastAsia="宋体" w:hAnsi="Book Antiqua" w:cs="宋体"/>
          <w:color w:val="000000"/>
          <w:lang w:eastAsia="zh-CN"/>
        </w:rPr>
        <w:t>)</w:t>
      </w:r>
      <w:r w:rsidRPr="002245C4">
        <w:rPr>
          <w:rFonts w:ascii="Book Antiqua" w:eastAsia="Book Antiqua" w:hAnsi="Book Antiqua" w:cs="Book Antiqua"/>
          <w:color w:val="000000"/>
        </w:rPr>
        <w:t>. As of the deadline</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of the follow-up, there were 5 cases of disease progression, including 2 cases of supraclavicular lymph node metastasis, 1 case of mediastinal lymph node metastasis, and 2 cases of distant metastasis (lung and l</w:t>
      </w:r>
      <w:r w:rsidR="0057439E" w:rsidRPr="002245C4">
        <w:rPr>
          <w:rFonts w:ascii="Book Antiqua" w:eastAsia="Book Antiqua" w:hAnsi="Book Antiqua" w:cs="Book Antiqua"/>
          <w:color w:val="000000"/>
        </w:rPr>
        <w:t>iver)</w:t>
      </w:r>
      <w:r w:rsidRPr="002245C4">
        <w:rPr>
          <w:rFonts w:ascii="Book Antiqua" w:eastAsia="Book Antiqua" w:hAnsi="Book Antiqua" w:cs="Book Antiqua"/>
          <w:color w:val="000000"/>
        </w:rPr>
        <w:t>.</w:t>
      </w:r>
    </w:p>
    <w:p w14:paraId="73FC59C0" w14:textId="77777777" w:rsidR="0057439E" w:rsidRPr="002245C4" w:rsidRDefault="0057439E" w:rsidP="002245C4">
      <w:pPr>
        <w:snapToGrid w:val="0"/>
        <w:spacing w:line="360" w:lineRule="auto"/>
        <w:jc w:val="both"/>
        <w:rPr>
          <w:rFonts w:ascii="Book Antiqua" w:hAnsi="Book Antiqua"/>
        </w:rPr>
      </w:pPr>
    </w:p>
    <w:p w14:paraId="5909C210" w14:textId="0C0341B4"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b/>
          <w:bCs/>
          <w:i/>
          <w:iCs/>
          <w:color w:val="000000"/>
        </w:rPr>
        <w:t>Adverse events and safety</w:t>
      </w:r>
    </w:p>
    <w:p w14:paraId="6666D00E" w14:textId="299903FE"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The main adverse event</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of NCRT was granulocytopenia (grade IV in 2 cases, grade III in 1 case), which was improved after </w:t>
      </w:r>
      <w:r w:rsidR="00C10817" w:rsidRPr="002245C4">
        <w:rPr>
          <w:rFonts w:ascii="Book Antiqua" w:eastAsia="Book Antiqua" w:hAnsi="Book Antiqua" w:cs="Book Antiqua"/>
          <w:color w:val="000000"/>
        </w:rPr>
        <w:t>granulocyte colony-stimulating factor</w:t>
      </w:r>
      <w:r w:rsidRPr="002245C4">
        <w:rPr>
          <w:rFonts w:ascii="Book Antiqua" w:eastAsia="Book Antiqua" w:hAnsi="Book Antiqua" w:cs="Book Antiqua"/>
          <w:color w:val="000000"/>
        </w:rPr>
        <w:t xml:space="preserve"> treatment. No side effects such as obvious radiation pneumonitis were seen. One patient developed anastomotic leak after surgery, which was improved after nutritional support and anti-infection treatments.</w:t>
      </w:r>
    </w:p>
    <w:bookmarkEnd w:id="45"/>
    <w:bookmarkEnd w:id="46"/>
    <w:p w14:paraId="114886AD" w14:textId="77777777" w:rsidR="00A77B3E" w:rsidRPr="002245C4" w:rsidRDefault="00A77B3E">
      <w:pPr>
        <w:snapToGrid w:val="0"/>
        <w:spacing w:line="360" w:lineRule="auto"/>
        <w:jc w:val="both"/>
        <w:rPr>
          <w:rFonts w:ascii="Book Antiqua" w:hAnsi="Book Antiqua"/>
        </w:rPr>
      </w:pPr>
    </w:p>
    <w:p w14:paraId="2663494E" w14:textId="77777777"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b/>
          <w:caps/>
          <w:color w:val="000000"/>
          <w:u w:val="single"/>
        </w:rPr>
        <w:t>DISCUSSION</w:t>
      </w:r>
    </w:p>
    <w:p w14:paraId="4A00007D" w14:textId="66BD267B" w:rsidR="00A77B3E" w:rsidRPr="006E3461" w:rsidRDefault="00A60D61">
      <w:pPr>
        <w:snapToGrid w:val="0"/>
        <w:spacing w:line="360" w:lineRule="auto"/>
        <w:jc w:val="both"/>
        <w:rPr>
          <w:rFonts w:ascii="Book Antiqua" w:hAnsi="Book Antiqua"/>
        </w:rPr>
      </w:pPr>
      <w:bookmarkStart w:id="48" w:name="OLE_LINK41"/>
      <w:bookmarkStart w:id="49" w:name="OLE_LINK42"/>
      <w:bookmarkStart w:id="50" w:name="OLE_LINK60"/>
      <w:bookmarkStart w:id="51" w:name="OLE_LINK61"/>
      <w:r w:rsidRPr="002245C4">
        <w:rPr>
          <w:rFonts w:ascii="Book Antiqua" w:eastAsia="Book Antiqua" w:hAnsi="Book Antiqua" w:cs="Book Antiqua"/>
          <w:color w:val="000000"/>
        </w:rPr>
        <w:t xml:space="preserve">Surgery is the first </w:t>
      </w:r>
      <w:r w:rsidR="00031872" w:rsidRPr="002245C4">
        <w:rPr>
          <w:rFonts w:ascii="Book Antiqua" w:eastAsia="Book Antiqua" w:hAnsi="Book Antiqua" w:cs="Book Antiqua"/>
          <w:color w:val="000000"/>
        </w:rPr>
        <w:t xml:space="preserve">treatment of </w:t>
      </w:r>
      <w:r w:rsidRPr="002245C4">
        <w:rPr>
          <w:rFonts w:ascii="Book Antiqua" w:eastAsia="Book Antiqua" w:hAnsi="Book Antiqua" w:cs="Book Antiqua"/>
          <w:color w:val="000000"/>
        </w:rPr>
        <w:t>choice for esophageal cancer.</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In China,</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preoperative NCRT is an important strategy for increasing the chances of surgical treatment</w:t>
      </w:r>
      <w:r w:rsidRPr="002245C4">
        <w:rPr>
          <w:rFonts w:ascii="Book Antiqua" w:eastAsia="Book Antiqua" w:hAnsi="Book Antiqua" w:cs="Book Antiqua"/>
          <w:color w:val="000000"/>
          <w:vertAlign w:val="superscript"/>
        </w:rPr>
        <w:t>[4]</w:t>
      </w:r>
      <w:r w:rsidRPr="002245C4">
        <w:rPr>
          <w:rFonts w:ascii="Book Antiqua" w:eastAsia="Book Antiqua" w:hAnsi="Book Antiqua" w:cs="Book Antiqua"/>
          <w:color w:val="000000"/>
        </w:rPr>
        <w:t xml:space="preserve">. </w:t>
      </w:r>
      <w:r w:rsidR="0057439E" w:rsidRPr="002245C4">
        <w:rPr>
          <w:rFonts w:ascii="Book Antiqua" w:eastAsia="Book Antiqua" w:hAnsi="Book Antiqua" w:cs="Book Antiqua"/>
          <w:color w:val="000000"/>
        </w:rPr>
        <w:t xml:space="preserve">The </w:t>
      </w:r>
      <w:r w:rsidR="00C10817" w:rsidRPr="002245C4">
        <w:rPr>
          <w:rFonts w:ascii="Book Antiqua" w:eastAsia="Book Antiqua" w:hAnsi="Book Antiqua" w:cs="Book Antiqua"/>
          <w:color w:val="000000"/>
        </w:rPr>
        <w:t xml:space="preserve">findings of </w:t>
      </w:r>
      <w:r w:rsidR="00031872" w:rsidRPr="002245C4">
        <w:rPr>
          <w:rFonts w:ascii="Book Antiqua" w:eastAsia="Book Antiqua" w:hAnsi="Book Antiqua" w:cs="Book Antiqua"/>
          <w:color w:val="000000"/>
        </w:rPr>
        <w:t>CROSS</w:t>
      </w:r>
      <w:r w:rsidR="00C10817" w:rsidRPr="002245C4">
        <w:rPr>
          <w:rFonts w:ascii="Book Antiqua" w:eastAsia="Book Antiqua" w:hAnsi="Book Antiqua" w:cs="Book Antiqua"/>
          <w:color w:val="000000"/>
        </w:rPr>
        <w:t xml:space="preserve"> study</w:t>
      </w:r>
      <w:r w:rsidR="00C10817" w:rsidRPr="002245C4">
        <w:rPr>
          <w:rFonts w:ascii="Book Antiqua" w:eastAsia="Book Antiqua" w:hAnsi="Book Antiqua" w:cs="Book Antiqua"/>
          <w:color w:val="000000"/>
          <w:vertAlign w:val="superscript"/>
        </w:rPr>
        <w:t>[5] </w:t>
      </w:r>
      <w:r w:rsidR="00C10817" w:rsidRPr="002245C4">
        <w:rPr>
          <w:rFonts w:ascii="Book Antiqua" w:eastAsia="Book Antiqua" w:hAnsi="Book Antiqua" w:cs="Book Antiqua"/>
          <w:color w:val="000000"/>
        </w:rPr>
        <w:t xml:space="preserve">made </w:t>
      </w:r>
      <w:r w:rsidR="00C10817" w:rsidRPr="002245C4">
        <w:rPr>
          <w:rFonts w:ascii="Book Antiqua" w:eastAsia="Book Antiqua" w:hAnsi="Book Antiqua" w:cs="Book Antiqua"/>
          <w:caps/>
          <w:color w:val="000000"/>
        </w:rPr>
        <w:t>ncrt</w:t>
      </w:r>
      <w:r w:rsidR="00C10817" w:rsidRPr="002245C4">
        <w:rPr>
          <w:rFonts w:ascii="Book Antiqua" w:eastAsia="Book Antiqua" w:hAnsi="Book Antiqua" w:cs="Book Antiqua"/>
          <w:color w:val="000000"/>
        </w:rPr>
        <w:t xml:space="preserve"> a hot research topic in esophageal cancer, and </w:t>
      </w:r>
      <w:r w:rsidR="00C10817" w:rsidRPr="002245C4">
        <w:rPr>
          <w:rFonts w:ascii="Book Antiqua" w:eastAsia="Book Antiqua" w:hAnsi="Book Antiqua" w:cs="Book Antiqua"/>
          <w:caps/>
          <w:color w:val="000000"/>
        </w:rPr>
        <w:t>ncrt</w:t>
      </w:r>
      <w:r w:rsidR="00C10817" w:rsidRPr="002245C4">
        <w:rPr>
          <w:rFonts w:ascii="Book Antiqua" w:eastAsia="Book Antiqua" w:hAnsi="Book Antiqua" w:cs="Book Antiqua"/>
          <w:color w:val="000000"/>
        </w:rPr>
        <w:t xml:space="preserve"> has become the standard treatment for esophageal adenocarcinoma. </w:t>
      </w:r>
      <w:r w:rsidRPr="002245C4">
        <w:rPr>
          <w:rFonts w:ascii="Book Antiqua" w:eastAsia="Book Antiqua" w:hAnsi="Book Antiqua" w:cs="Book Antiqua"/>
          <w:color w:val="000000"/>
        </w:rPr>
        <w:t>The study showed that preoperative NCRT significantly prolonged the OS and disease free survival of ESCC patients. A meta-analysis</w:t>
      </w:r>
      <w:r w:rsidRPr="002245C4">
        <w:rPr>
          <w:rFonts w:ascii="Book Antiqua" w:eastAsia="Book Antiqua" w:hAnsi="Book Antiqua" w:cs="Book Antiqua"/>
          <w:color w:val="000000"/>
          <w:vertAlign w:val="superscript"/>
        </w:rPr>
        <w:t> </w:t>
      </w:r>
      <w:r w:rsidRPr="002245C4">
        <w:rPr>
          <w:rFonts w:ascii="Book Antiqua" w:eastAsia="Book Antiqua" w:hAnsi="Book Antiqua" w:cs="Book Antiqua"/>
          <w:color w:val="000000"/>
        </w:rPr>
        <w:t>by Deng </w:t>
      </w:r>
      <w:r w:rsidRPr="002245C4">
        <w:rPr>
          <w:rFonts w:ascii="Book Antiqua" w:eastAsia="Book Antiqua" w:hAnsi="Book Antiqua" w:cs="Book Antiqua"/>
          <w:i/>
          <w:iCs/>
          <w:color w:val="000000"/>
        </w:rPr>
        <w:t>et</w:t>
      </w:r>
      <w:r w:rsidR="00C10817" w:rsidRPr="002245C4">
        <w:rPr>
          <w:rFonts w:ascii="Book Antiqua" w:eastAsia="Book Antiqua" w:hAnsi="Book Antiqua" w:cs="Book Antiqua"/>
          <w:i/>
          <w:iCs/>
          <w:color w:val="000000"/>
        </w:rPr>
        <w:t xml:space="preserve"> </w:t>
      </w:r>
      <w:r w:rsidRPr="002245C4">
        <w:rPr>
          <w:rFonts w:ascii="Book Antiqua" w:eastAsia="Book Antiqua" w:hAnsi="Book Antiqua" w:cs="Book Antiqua"/>
          <w:i/>
          <w:iCs/>
          <w:color w:val="000000"/>
        </w:rPr>
        <w:t>al</w:t>
      </w:r>
      <w:r w:rsidR="00C10817" w:rsidRPr="002245C4">
        <w:rPr>
          <w:rFonts w:ascii="Book Antiqua" w:eastAsia="Book Antiqua" w:hAnsi="Book Antiqua" w:cs="Book Antiqua"/>
          <w:color w:val="000000"/>
          <w:vertAlign w:val="superscript"/>
        </w:rPr>
        <w:t>[6]</w:t>
      </w:r>
      <w:r w:rsidR="00C10817" w:rsidRPr="002245C4">
        <w:rPr>
          <w:rFonts w:ascii="Book Antiqua" w:eastAsia="Book Antiqua" w:hAnsi="Book Antiqua" w:cs="Book Antiqua"/>
          <w:i/>
          <w:iCs/>
          <w:color w:val="000000"/>
        </w:rPr>
        <w:t xml:space="preserve"> </w:t>
      </w:r>
      <w:r w:rsidRPr="002245C4">
        <w:rPr>
          <w:rFonts w:ascii="Book Antiqua" w:eastAsia="Book Antiqua" w:hAnsi="Book Antiqua" w:cs="Book Antiqua"/>
          <w:color w:val="000000"/>
        </w:rPr>
        <w:t xml:space="preserve">included </w:t>
      </w:r>
      <w:r w:rsidR="00031872" w:rsidRPr="002245C4">
        <w:rPr>
          <w:rFonts w:ascii="Book Antiqua" w:eastAsia="Book Antiqua" w:hAnsi="Book Antiqua" w:cs="Book Antiqua"/>
          <w:color w:val="000000"/>
        </w:rPr>
        <w:t>five</w:t>
      </w:r>
      <w:r w:rsidRPr="002245C4">
        <w:rPr>
          <w:rFonts w:ascii="Book Antiqua" w:eastAsia="Book Antiqua" w:hAnsi="Book Antiqua" w:cs="Book Antiqua"/>
          <w:color w:val="000000"/>
        </w:rPr>
        <w:t xml:space="preserve"> clinical studies (including 709</w:t>
      </w:r>
      <w:r w:rsidR="0040478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patients) comparing preoperative</w:t>
      </w:r>
      <w:r w:rsidR="00C1081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NCRT</w:t>
      </w:r>
      <w:r w:rsidR="00C10817" w:rsidRPr="002245C4">
        <w:rPr>
          <w:rFonts w:ascii="Book Antiqua" w:eastAsia="Book Antiqua" w:hAnsi="Book Antiqua" w:cs="Book Antiqua"/>
          <w:color w:val="000000"/>
        </w:rPr>
        <w:t xml:space="preserve"> </w:t>
      </w:r>
      <w:r w:rsidRPr="00EE1084">
        <w:rPr>
          <w:rFonts w:ascii="Book Antiqua" w:eastAsia="Book Antiqua" w:hAnsi="Book Antiqua" w:cs="Book Antiqua"/>
          <w:i/>
          <w:iCs/>
          <w:color w:val="000000" w:themeColor="text1"/>
        </w:rPr>
        <w:t>v</w:t>
      </w:r>
      <w:r w:rsidR="00031872" w:rsidRPr="00EE1084">
        <w:rPr>
          <w:rFonts w:ascii="Book Antiqua" w:eastAsia="Book Antiqua" w:hAnsi="Book Antiqua" w:cs="Book Antiqua"/>
          <w:i/>
          <w:iCs/>
          <w:color w:val="000000" w:themeColor="text1"/>
        </w:rPr>
        <w:t>s</w:t>
      </w:r>
      <w:r w:rsidRPr="006E3461">
        <w:rPr>
          <w:rFonts w:ascii="Book Antiqua" w:eastAsia="Book Antiqua" w:hAnsi="Book Antiqua" w:cs="Book Antiqua"/>
          <w:color w:val="000000"/>
        </w:rPr>
        <w:t xml:space="preserve"> neoadjuvant chemotherapy for advanced esophageal cancer. It was found that both</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NCRT</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and neoadjuvant chemotherapy improved the postoperative pathological complete remission rate, R0 resection rate, and 3-year survival rate in esophageal cancer patients. Further stratified analysis revealed that the 3-year survival rates of patients receiving NCRT and those receiving neoadjuvant chemotherapy were 56.8% and 42.8%, respectively. There was no significant survival benefit in patients with esophageal adenocarcinoma treated with NCRT, suggesting that NCRT could increase the survival rate of locally advanced ESCC.</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In our study, a total of 30 patients with locally advanced thoracic esophageal cancer were prospectively enrolled and treated with NCRT, and 26 patients successfully underwent surgical resection.</w:t>
      </w:r>
    </w:p>
    <w:p w14:paraId="7D1F9C5D" w14:textId="35B853DB" w:rsidR="00A77B3E" w:rsidRPr="006E3461" w:rsidRDefault="00A60D61">
      <w:pPr>
        <w:snapToGrid w:val="0"/>
        <w:spacing w:line="360" w:lineRule="auto"/>
        <w:ind w:firstLineChars="100" w:firstLine="240"/>
        <w:jc w:val="both"/>
        <w:rPr>
          <w:rFonts w:ascii="Book Antiqua" w:hAnsi="Book Antiqua"/>
        </w:rPr>
      </w:pPr>
      <w:r w:rsidRPr="006E3461">
        <w:rPr>
          <w:rFonts w:ascii="Book Antiqua" w:eastAsia="Book Antiqua" w:hAnsi="Book Antiqua" w:cs="Book Antiqua"/>
          <w:color w:val="000000"/>
        </w:rPr>
        <w:t>Lobaplatin is a new</w:t>
      </w:r>
      <w:r w:rsidR="0057439E" w:rsidRPr="006E3461">
        <w:rPr>
          <w:rFonts w:ascii="Book Antiqua" w:eastAsia="宋体" w:hAnsi="Book Antiqua" w:cs="宋体"/>
          <w:color w:val="000000"/>
          <w:lang w:eastAsia="zh-CN"/>
        </w:rPr>
        <w:t>-</w:t>
      </w:r>
      <w:r w:rsidRPr="006E3461">
        <w:rPr>
          <w:rFonts w:ascii="Book Antiqua" w:eastAsia="Book Antiqua" w:hAnsi="Book Antiqua" w:cs="Book Antiqua"/>
          <w:color w:val="000000"/>
        </w:rPr>
        <w:t>generation platinum anti-tumor drug.</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It</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has also been proved</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to have significant therapeutic efficacy in the treatment of advanced esophageal cancer, with controllable</w:t>
      </w:r>
      <w:r w:rsidR="00031872"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side effects</w:t>
      </w:r>
      <w:r w:rsidRPr="006E3461">
        <w:rPr>
          <w:rFonts w:ascii="Book Antiqua" w:eastAsia="Book Antiqua" w:hAnsi="Book Antiqua" w:cs="Book Antiqua"/>
          <w:color w:val="000000"/>
          <w:vertAlign w:val="superscript"/>
        </w:rPr>
        <w:t>[7-9]</w:t>
      </w:r>
      <w:r w:rsidRPr="006E3461">
        <w:rPr>
          <w:rFonts w:ascii="Book Antiqua" w:eastAsia="Book Antiqua" w:hAnsi="Book Antiqua" w:cs="Book Antiqua"/>
          <w:color w:val="000000"/>
        </w:rPr>
        <w:t xml:space="preserve">. However, the application of lobaplatin in the </w:t>
      </w:r>
      <w:r w:rsidRPr="006E3461">
        <w:rPr>
          <w:rFonts w:ascii="Book Antiqua" w:eastAsia="Book Antiqua" w:hAnsi="Book Antiqua" w:cs="Book Antiqua"/>
          <w:color w:val="000000"/>
        </w:rPr>
        <w:lastRenderedPageBreak/>
        <w:t>NCRT for esophageal cancer</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 xml:space="preserve">has not been reported. In the present study, all patients were treated with paclitaxel combined with lobaplatin as the preoperative neoadjuvant </w:t>
      </w:r>
      <w:r w:rsidR="00031872" w:rsidRPr="006E3461">
        <w:rPr>
          <w:rFonts w:ascii="Book Antiqua" w:eastAsia="Book Antiqua" w:hAnsi="Book Antiqua" w:cs="Book Antiqua"/>
          <w:color w:val="000000"/>
        </w:rPr>
        <w:t>chemotherapy</w:t>
      </w:r>
      <w:r w:rsidRPr="006E3461">
        <w:rPr>
          <w:rFonts w:ascii="Book Antiqua" w:eastAsia="Book Antiqua" w:hAnsi="Book Antiqua" w:cs="Book Antiqua"/>
          <w:color w:val="000000"/>
        </w:rPr>
        <w:t xml:space="preserve"> regimen</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for potentially </w:t>
      </w:r>
      <w:proofErr w:type="spellStart"/>
      <w:r w:rsidRPr="006E3461">
        <w:rPr>
          <w:rFonts w:ascii="Book Antiqua" w:eastAsia="Book Antiqua" w:hAnsi="Book Antiqua" w:cs="Book Antiqua"/>
          <w:color w:val="000000"/>
        </w:rPr>
        <w:t>resectable</w:t>
      </w:r>
      <w:proofErr w:type="spellEnd"/>
      <w:r w:rsidRPr="006E3461">
        <w:rPr>
          <w:rFonts w:ascii="Book Antiqua" w:eastAsia="Book Antiqua" w:hAnsi="Book Antiqua" w:cs="Book Antiqua"/>
          <w:color w:val="000000"/>
        </w:rPr>
        <w:t> TESCC. The same regimen</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was also applied in the postoperative adjuvant chemotherapy. No severe chemother</w:t>
      </w:r>
      <w:r w:rsidR="0057439E" w:rsidRPr="006E3461">
        <w:rPr>
          <w:rFonts w:ascii="Book Antiqua" w:eastAsia="Book Antiqua" w:hAnsi="Book Antiqua" w:cs="Book Antiqua"/>
          <w:color w:val="000000"/>
        </w:rPr>
        <w:t xml:space="preserve">apy-induced nausea </w:t>
      </w:r>
      <w:r w:rsidR="00031872" w:rsidRPr="006E3461">
        <w:rPr>
          <w:rFonts w:ascii="Book Antiqua" w:eastAsia="Book Antiqua" w:hAnsi="Book Antiqua" w:cs="Book Antiqua"/>
          <w:color w:val="000000"/>
        </w:rPr>
        <w:t xml:space="preserve">or </w:t>
      </w:r>
      <w:r w:rsidR="0057439E" w:rsidRPr="006E3461">
        <w:rPr>
          <w:rFonts w:ascii="Book Antiqua" w:eastAsia="Book Antiqua" w:hAnsi="Book Antiqua" w:cs="Book Antiqua"/>
          <w:color w:val="000000"/>
        </w:rPr>
        <w:t>vomiting</w:t>
      </w:r>
      <w:r w:rsidRPr="006E3461">
        <w:rPr>
          <w:rFonts w:ascii="Book Antiqua" w:eastAsia="Book Antiqua" w:hAnsi="Book Antiqua" w:cs="Book Antiqua"/>
          <w:color w:val="000000"/>
        </w:rPr>
        <w:t xml:space="preserve"> was noted. The incidence of grade III-IV</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granulocytopenia</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was 10% during the NCRT, and no severe thrombocytopenia occurred.</w:t>
      </w:r>
    </w:p>
    <w:p w14:paraId="40BE9DA3" w14:textId="7129AF54" w:rsidR="00A77B3E" w:rsidRPr="006E3461" w:rsidRDefault="00A60D61">
      <w:pPr>
        <w:snapToGrid w:val="0"/>
        <w:spacing w:line="360" w:lineRule="auto"/>
        <w:ind w:firstLineChars="100" w:firstLine="240"/>
        <w:jc w:val="both"/>
        <w:rPr>
          <w:rFonts w:ascii="Book Antiqua" w:hAnsi="Book Antiqua"/>
        </w:rPr>
      </w:pPr>
      <w:r w:rsidRPr="006E3461">
        <w:rPr>
          <w:rFonts w:ascii="Book Antiqua" w:eastAsia="Book Antiqua" w:hAnsi="Book Antiqua" w:cs="Book Antiqua"/>
          <w:color w:val="000000"/>
        </w:rPr>
        <w:t>There are only a few reports</w:t>
      </w:r>
      <w:r w:rsidR="00031872"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on the optimal radiation dose in concurrent NCRT for esophageal cancer. In 2018, Ji </w:t>
      </w:r>
      <w:r w:rsidR="0057439E" w:rsidRPr="006E3461">
        <w:rPr>
          <w:rFonts w:ascii="Book Antiqua" w:eastAsia="Book Antiqua" w:hAnsi="Book Antiqua" w:cs="Book Antiqua"/>
          <w:i/>
          <w:iCs/>
          <w:color w:val="000000"/>
        </w:rPr>
        <w:t xml:space="preserve">et </w:t>
      </w:r>
      <w:r w:rsidRPr="006E3461">
        <w:rPr>
          <w:rFonts w:ascii="Book Antiqua" w:eastAsia="Book Antiqua" w:hAnsi="Book Antiqua" w:cs="Book Antiqua"/>
          <w:i/>
          <w:iCs/>
          <w:color w:val="000000"/>
        </w:rPr>
        <w:t>al</w:t>
      </w:r>
      <w:r w:rsidRPr="006E3461">
        <w:rPr>
          <w:rFonts w:ascii="Book Antiqua" w:eastAsia="Book Antiqua" w:hAnsi="Book Antiqua" w:cs="Book Antiqua"/>
          <w:color w:val="000000"/>
          <w:vertAlign w:val="superscript"/>
        </w:rPr>
        <w:t>[10]</w:t>
      </w:r>
      <w:r w:rsidR="00C10817" w:rsidRPr="006E3461">
        <w:rPr>
          <w:rFonts w:ascii="Book Antiqua" w:eastAsia="Book Antiqua" w:hAnsi="Book Antiqua" w:cs="Book Antiqua"/>
          <w:color w:val="000000"/>
          <w:vertAlign w:val="superscript"/>
        </w:rPr>
        <w:t xml:space="preserve"> </w:t>
      </w:r>
      <w:r w:rsidRPr="006E3461">
        <w:rPr>
          <w:rStyle w:val="a00"/>
          <w:rFonts w:ascii="Book Antiqua" w:eastAsia="Book Antiqua" w:hAnsi="Book Antiqua" w:cs="Book Antiqua"/>
          <w:color w:val="000000"/>
        </w:rPr>
        <w:t xml:space="preserve">retrospectively analyzed the </w:t>
      </w:r>
      <w:r w:rsidR="0057439E" w:rsidRPr="006E3461">
        <w:rPr>
          <w:rStyle w:val="a00"/>
          <w:rFonts w:ascii="Book Antiqua" w:eastAsia="Book Antiqua" w:hAnsi="Book Antiqua" w:cs="Book Antiqua"/>
          <w:color w:val="000000"/>
        </w:rPr>
        <w:t xml:space="preserve">clinic </w:t>
      </w:r>
      <w:r w:rsidRPr="006E3461">
        <w:rPr>
          <w:rStyle w:val="a00"/>
          <w:rFonts w:ascii="Book Antiqua" w:eastAsia="Book Antiqua" w:hAnsi="Book Antiqua" w:cs="Book Antiqua"/>
          <w:color w:val="000000"/>
        </w:rPr>
        <w:t>pathological characteristics</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of 8881 patients treated with NCRT for esophageal cancer. According to the different doses of radiotherapy, these patients were divided into high-dose group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6248, 50.4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Gy), moderate-dose group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2194, 45</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Gy), and low-dose group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439, 41.4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Gy). The median OS was 40.7 mo, 37.2 mo, and 52.6 mo and the 5-year survival rates were 40.2%, 38.7%, and 48.3%, respectively. Therefore, a radiation dose of 41.4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w:t>
      </w:r>
      <w:r w:rsidR="00031872" w:rsidRPr="006E3461">
        <w:rPr>
          <w:rStyle w:val="a00"/>
          <w:rFonts w:ascii="Book Antiqua" w:eastAsia="Book Antiqua" w:hAnsi="Book Antiqua" w:cs="Book Antiqua"/>
          <w:color w:val="000000"/>
        </w:rPr>
        <w:t>y</w:t>
      </w:r>
      <w:r w:rsidRPr="006E3461">
        <w:rPr>
          <w:rStyle w:val="a00"/>
          <w:rFonts w:ascii="Book Antiqua" w:eastAsia="Book Antiqua" w:hAnsi="Book Antiqua" w:cs="Book Antiqua"/>
          <w:color w:val="000000"/>
        </w:rPr>
        <w:t xml:space="preserve"> could reduce perioperative mortality and improve survival in patients with locally advanced esophageal cancer.</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In the present</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study, the ra</w:t>
      </w:r>
      <w:r w:rsidR="0057439E" w:rsidRPr="006E3461">
        <w:rPr>
          <w:rStyle w:val="a00"/>
          <w:rFonts w:ascii="Book Antiqua" w:eastAsia="Book Antiqua" w:hAnsi="Book Antiqua" w:cs="Book Antiqua"/>
          <w:color w:val="000000"/>
        </w:rPr>
        <w:t>diation dose in the NCRT was 40-44</w:t>
      </w:r>
      <w:r w:rsidR="00031872" w:rsidRPr="006E3461">
        <w:rPr>
          <w:rStyle w:val="a00"/>
          <w:rFonts w:ascii="Book Antiqua" w:eastAsia="Book Antiqua" w:hAnsi="Book Antiqua" w:cs="Book Antiqua"/>
          <w:color w:val="000000"/>
        </w:rPr>
        <w:t xml:space="preserve"> </w:t>
      </w:r>
      <w:r w:rsidR="0057439E" w:rsidRPr="006E3461">
        <w:rPr>
          <w:rStyle w:val="a00"/>
          <w:rFonts w:ascii="Book Antiqua" w:eastAsia="Book Antiqua" w:hAnsi="Book Antiqua" w:cs="Book Antiqua"/>
          <w:color w:val="000000"/>
        </w:rPr>
        <w:t>Gy/20-</w:t>
      </w:r>
      <w:r w:rsidRPr="006E3461">
        <w:rPr>
          <w:rStyle w:val="a00"/>
          <w:rFonts w:ascii="Book Antiqua" w:eastAsia="Book Antiqua" w:hAnsi="Book Antiqua" w:cs="Book Antiqua"/>
          <w:color w:val="000000"/>
        </w:rPr>
        <w:t>22f. Initially, seven patients with esophageal cancer were treated wi</w:t>
      </w:r>
      <w:r w:rsidR="0057439E" w:rsidRPr="006E3461">
        <w:rPr>
          <w:rStyle w:val="a00"/>
          <w:rFonts w:ascii="Book Antiqua" w:eastAsia="Book Antiqua" w:hAnsi="Book Antiqua" w:cs="Book Antiqua"/>
          <w:color w:val="000000"/>
        </w:rPr>
        <w:t>th a radiation dose of 40</w:t>
      </w:r>
      <w:r w:rsidR="00031872" w:rsidRPr="006E3461">
        <w:rPr>
          <w:rStyle w:val="a00"/>
          <w:rFonts w:ascii="Book Antiqua" w:eastAsia="Book Antiqua" w:hAnsi="Book Antiqua" w:cs="Book Antiqua"/>
          <w:color w:val="000000"/>
        </w:rPr>
        <w:t xml:space="preserve"> </w:t>
      </w:r>
      <w:r w:rsidR="0057439E" w:rsidRPr="006E3461">
        <w:rPr>
          <w:rStyle w:val="a00"/>
          <w:rFonts w:ascii="Book Antiqua" w:eastAsia="Book Antiqua" w:hAnsi="Book Antiqua" w:cs="Book Antiqua"/>
          <w:color w:val="000000"/>
        </w:rPr>
        <w:t>Gy/20f</w:t>
      </w:r>
      <w:r w:rsidRPr="006E3461">
        <w:rPr>
          <w:rStyle w:val="a00"/>
          <w:rFonts w:ascii="Book Antiqua" w:eastAsia="Book Antiqua" w:hAnsi="Book Antiqua" w:cs="Book Antiqua"/>
          <w:color w:val="000000"/>
        </w:rPr>
        <w:t>.</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Subsequently, all the remaining patients received radiotherapy</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at a dose of 44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 xml:space="preserve">Gy/22f, resulting in a postoperative </w:t>
      </w:r>
      <w:r w:rsidR="0057439E" w:rsidRPr="006E3461">
        <w:rPr>
          <w:rStyle w:val="a00"/>
          <w:rFonts w:ascii="Book Antiqua" w:eastAsia="Book Antiqua" w:hAnsi="Book Antiqua" w:cs="Book Antiqua"/>
          <w:color w:val="000000"/>
        </w:rPr>
        <w:t>p</w:t>
      </w:r>
      <w:r w:rsidRPr="006E3461">
        <w:rPr>
          <w:rStyle w:val="a00"/>
          <w:rFonts w:ascii="Book Antiqua" w:eastAsia="Book Antiqua" w:hAnsi="Book Antiqua" w:cs="Book Antiqua"/>
          <w:color w:val="000000"/>
        </w:rPr>
        <w:t>CR rate of 33.3%. Only one patient experienced postoperative anastomotic leakage, and the remaining patients had no serious radiotherapy-related side effects.</w:t>
      </w:r>
    </w:p>
    <w:p w14:paraId="6BB247CF" w14:textId="6F7A570A" w:rsidR="00A77B3E" w:rsidRPr="006E3461" w:rsidRDefault="00A60D61">
      <w:pPr>
        <w:snapToGrid w:val="0"/>
        <w:spacing w:line="360" w:lineRule="auto"/>
        <w:ind w:firstLineChars="100" w:firstLine="240"/>
        <w:jc w:val="both"/>
        <w:rPr>
          <w:rFonts w:ascii="Book Antiqua" w:hAnsi="Book Antiqua"/>
        </w:rPr>
      </w:pPr>
      <w:r w:rsidRPr="006E3461">
        <w:rPr>
          <w:rStyle w:val="a00"/>
          <w:rFonts w:ascii="Book Antiqua" w:eastAsia="Book Antiqua" w:hAnsi="Book Antiqua" w:cs="Book Antiqua"/>
          <w:color w:val="000000"/>
        </w:rPr>
        <w:t>In 2018, Yang </w:t>
      </w:r>
      <w:r w:rsidRPr="006E3461">
        <w:rPr>
          <w:rStyle w:val="a00"/>
          <w:rFonts w:ascii="Book Antiqua" w:eastAsia="Book Antiqua" w:hAnsi="Book Antiqua" w:cs="Book Antiqua"/>
          <w:i/>
          <w:iCs/>
          <w:color w:val="000000"/>
        </w:rPr>
        <w:t>et al</w:t>
      </w:r>
      <w:r w:rsidRPr="006E3461">
        <w:rPr>
          <w:rStyle w:val="a00"/>
          <w:rFonts w:ascii="Book Antiqua" w:eastAsia="Book Antiqua" w:hAnsi="Book Antiqua" w:cs="Book Antiqua"/>
          <w:color w:val="000000"/>
          <w:vertAlign w:val="superscript"/>
        </w:rPr>
        <w:t>[11]</w:t>
      </w:r>
      <w:r w:rsidR="0057439E" w:rsidRPr="006E3461">
        <w:rPr>
          <w:rStyle w:val="a00"/>
          <w:rFonts w:ascii="Book Antiqua" w:eastAsia="Book Antiqua" w:hAnsi="Book Antiqua" w:cs="Book Antiqua"/>
          <w:color w:val="000000"/>
          <w:vertAlign w:val="superscript"/>
        </w:rPr>
        <w:t xml:space="preserve"> </w:t>
      </w:r>
      <w:r w:rsidRPr="006E3461">
        <w:rPr>
          <w:rStyle w:val="a00"/>
          <w:rFonts w:ascii="Book Antiqua" w:eastAsia="Book Antiqua" w:hAnsi="Book Antiqua" w:cs="Book Antiqua"/>
          <w:color w:val="000000"/>
        </w:rPr>
        <w:t>reported</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findings of a multicenter phase III clinical trial comparing the safety of</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 xml:space="preserve">NCRT plus surgery </w:t>
      </w:r>
      <w:r w:rsidRPr="006E3461">
        <w:rPr>
          <w:rStyle w:val="a00"/>
          <w:rFonts w:ascii="Book Antiqua" w:eastAsia="Book Antiqua" w:hAnsi="Book Antiqua" w:cs="Book Antiqua"/>
          <w:i/>
          <w:iCs/>
          <w:color w:val="000000"/>
        </w:rPr>
        <w:t>vs</w:t>
      </w:r>
      <w:r w:rsidRPr="006E3461">
        <w:rPr>
          <w:rStyle w:val="a00"/>
          <w:rFonts w:ascii="Book Antiqua" w:eastAsia="Book Antiqua" w:hAnsi="Book Antiqua" w:cs="Book Antiqua"/>
          <w:color w:val="000000"/>
        </w:rPr>
        <w:t xml:space="preserve"> surgery alone in patients with resectable</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ESCC</w:t>
      </w:r>
      <w:r w:rsidR="00C10817" w:rsidRPr="006E3461">
        <w:rPr>
          <w:rStyle w:val="a00"/>
          <w:rFonts w:ascii="Book Antiqua" w:eastAsia="Book Antiqua" w:hAnsi="Book Antiqua" w:cs="Book Antiqua"/>
          <w:color w:val="000000"/>
        </w:rPr>
        <w:t xml:space="preserve"> f</w:t>
      </w:r>
      <w:r w:rsidRPr="006E3461">
        <w:rPr>
          <w:rStyle w:val="a00"/>
          <w:rFonts w:ascii="Book Antiqua" w:eastAsia="Book Antiqua" w:hAnsi="Book Antiqua" w:cs="Book Antiqua"/>
          <w:color w:val="000000"/>
        </w:rPr>
        <w:t>rom 2007 to 2014</w:t>
      </w:r>
      <w:r w:rsidR="00031872" w:rsidRPr="006E3461">
        <w:rPr>
          <w:rStyle w:val="a00"/>
          <w:rFonts w:ascii="Book Antiqua" w:eastAsia="Book Antiqua" w:hAnsi="Book Antiqua" w:cs="Book Antiqua"/>
          <w:color w:val="000000"/>
        </w:rPr>
        <w:t>;</w:t>
      </w:r>
      <w:r w:rsidRPr="006E3461">
        <w:rPr>
          <w:rStyle w:val="a00"/>
          <w:rFonts w:ascii="Book Antiqua" w:eastAsia="Book Antiqua" w:hAnsi="Book Antiqua" w:cs="Book Antiqua"/>
          <w:color w:val="000000"/>
        </w:rPr>
        <w:t xml:space="preserve"> 451 patients were randomly allocated to NCRT plus surgery (group CRT;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224) and surgery alone (group S;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227).</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In group CRT, patients were treated with</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vinorelbine and cisplatin for two cycles, with a total concurrent radiation dose of 40.0 Gy administered in 20 fractions, and the pCR rate was 43.2%.</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w:t>
      </w:r>
      <w:r w:rsidRPr="006E3461">
        <w:rPr>
          <w:rStyle w:val="Hyperlink0"/>
          <w:rFonts w:ascii="Book Antiqua" w:eastAsia="Book Antiqua" w:hAnsi="Book Antiqua" w:cs="Book Antiqua"/>
          <w:color w:val="000000"/>
        </w:rPr>
        <w:t>R0</w:t>
      </w:r>
      <w:r w:rsidR="00C10817" w:rsidRPr="006E3461">
        <w:rPr>
          <w:rStyle w:val="Hyperlink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resection rates were</w:t>
      </w:r>
      <w:r w:rsidR="00C10817" w:rsidRPr="006E3461">
        <w:rPr>
          <w:rStyle w:val="a00"/>
          <w:rFonts w:ascii="Book Antiqua" w:eastAsia="Book Antiqua" w:hAnsi="Book Antiqua" w:cs="Book Antiqua"/>
          <w:color w:val="000000"/>
        </w:rPr>
        <w:t xml:space="preserve"> </w:t>
      </w:r>
      <w:r w:rsidRPr="006E3461">
        <w:rPr>
          <w:rStyle w:val="Hyperlink0"/>
          <w:rFonts w:ascii="Book Antiqua" w:eastAsia="Book Antiqua" w:hAnsi="Book Antiqua" w:cs="Book Antiqua"/>
          <w:color w:val="000000"/>
        </w:rPr>
        <w:t>98.4%</w:t>
      </w:r>
      <w:r w:rsidRPr="006E3461">
        <w:rPr>
          <w:rStyle w:val="a00"/>
          <w:rFonts w:ascii="Book Antiqua" w:eastAsia="Book Antiqua" w:hAnsi="Book Antiqua" w:cs="Book Antiqua"/>
          <w:color w:val="000000"/>
        </w:rPr>
        <w:t>and </w:t>
      </w:r>
      <w:r w:rsidRPr="006E3461">
        <w:rPr>
          <w:rStyle w:val="Hyperlink0"/>
          <w:rFonts w:ascii="Book Antiqua" w:eastAsia="Book Antiqua" w:hAnsi="Book Antiqua" w:cs="Book Antiqua"/>
          <w:color w:val="000000"/>
        </w:rPr>
        <w:t>91.2%</w:t>
      </w:r>
      <w:r w:rsidRPr="006E3461">
        <w:rPr>
          <w:rStyle w:val="a00"/>
          <w:rFonts w:ascii="Book Antiqua" w:eastAsia="Book Antiqua" w:hAnsi="Book Antiqua" w:cs="Book Antiqua"/>
          <w:color w:val="000000"/>
        </w:rPr>
        <w:t>, respectively, in group CRT and group S, with a median OS of 100.1 mo and 66.5 mo.</w:t>
      </w:r>
      <w:r w:rsidR="00C10817" w:rsidRPr="006E3461">
        <w:rPr>
          <w:rStyle w:val="a00"/>
          <w:rFonts w:ascii="Book Antiqua" w:eastAsia="Book Antiqua" w:hAnsi="Book Antiqua" w:cs="Book Antiqua"/>
          <w:color w:val="000000"/>
        </w:rPr>
        <w:t xml:space="preserve"> </w:t>
      </w:r>
      <w:r w:rsidRPr="006E3461">
        <w:rPr>
          <w:rFonts w:ascii="Book Antiqua" w:eastAsia="Book Antiqua" w:hAnsi="Book Antiqua" w:cs="Book Antiqua"/>
          <w:color w:val="000000"/>
        </w:rPr>
        <w:t>Grade III</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or IV leukocytopenia</w:t>
      </w:r>
      <w:r w:rsidRPr="006E3461">
        <w:rPr>
          <w:rStyle w:val="a00"/>
          <w:rFonts w:ascii="Book Antiqua" w:eastAsia="Book Antiqua" w:hAnsi="Book Antiqua" w:cs="Book Antiqua"/>
          <w:color w:val="000000"/>
        </w:rPr>
        <w:t xml:space="preserve"> (48.9%) and neutropenia (45.7%) were the most common adverse events in group CRT, and the </w:t>
      </w:r>
      <w:r w:rsidRPr="006E3461">
        <w:rPr>
          <w:rStyle w:val="a00"/>
          <w:rFonts w:ascii="Book Antiqua" w:eastAsia="Book Antiqua" w:hAnsi="Book Antiqua" w:cs="Book Antiqua"/>
          <w:color w:val="000000"/>
        </w:rPr>
        <w:lastRenderedPageBreak/>
        <w:t>postoperative complications showed no significant difference between these two groups.</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 xml:space="preserve">It </w:t>
      </w:r>
      <w:r w:rsidR="00031872" w:rsidRPr="006E3461">
        <w:rPr>
          <w:rStyle w:val="a00"/>
          <w:rFonts w:ascii="Book Antiqua" w:eastAsia="Book Antiqua" w:hAnsi="Book Antiqua" w:cs="Book Antiqua"/>
          <w:color w:val="000000"/>
        </w:rPr>
        <w:t xml:space="preserve">was </w:t>
      </w:r>
      <w:r w:rsidRPr="006E3461">
        <w:rPr>
          <w:rStyle w:val="a00"/>
          <w:rFonts w:ascii="Book Antiqua" w:eastAsia="Book Antiqua" w:hAnsi="Book Antiqua" w:cs="Book Antiqua"/>
          <w:color w:val="000000"/>
        </w:rPr>
        <w:t>suggested that</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preoperative</w:t>
      </w:r>
      <w:r w:rsidR="00C10817" w:rsidRPr="006E3461">
        <w:rPr>
          <w:rStyle w:val="a00"/>
          <w:rFonts w:ascii="Book Antiqua" w:eastAsia="Book Antiqua" w:hAnsi="Book Antiqua" w:cs="Book Antiqua"/>
          <w:color w:val="000000"/>
        </w:rPr>
        <w:t xml:space="preserve"> </w:t>
      </w:r>
      <w:r w:rsidRPr="006E3461">
        <w:rPr>
          <w:rFonts w:ascii="Book Antiqua" w:eastAsia="Book Antiqua" w:hAnsi="Book Antiqua" w:cs="Book Antiqua"/>
          <w:color w:val="000000"/>
        </w:rPr>
        <w:t>NCRT</w:t>
      </w:r>
      <w:r w:rsidR="00C10817" w:rsidRPr="006E3461">
        <w:rPr>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plus surgery can achieve pathological downgrading, increase the resection rate, and prolong the survival in patients with locally advanced ESCC, with controllable adverse effects.</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Similarly, the postoperative R0 resection rate reached 100% and the pCR rate was 33.3% in our study, and the pathological downgrading effect was obvious after NCRT.</w:t>
      </w:r>
    </w:p>
    <w:bookmarkEnd w:id="48"/>
    <w:bookmarkEnd w:id="49"/>
    <w:bookmarkEnd w:id="50"/>
    <w:bookmarkEnd w:id="51"/>
    <w:p w14:paraId="3179C8FC" w14:textId="77777777" w:rsidR="00A77B3E" w:rsidRPr="006E3461" w:rsidRDefault="00A77B3E">
      <w:pPr>
        <w:snapToGrid w:val="0"/>
        <w:spacing w:line="360" w:lineRule="auto"/>
        <w:ind w:firstLine="420"/>
        <w:jc w:val="both"/>
        <w:rPr>
          <w:rFonts w:ascii="Book Antiqua" w:hAnsi="Book Antiqua"/>
        </w:rPr>
      </w:pPr>
    </w:p>
    <w:p w14:paraId="28203DE5"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aps/>
          <w:color w:val="000000"/>
          <w:u w:val="single"/>
        </w:rPr>
        <w:t>CONCLUSION</w:t>
      </w:r>
    </w:p>
    <w:p w14:paraId="77F34591" w14:textId="034D8654" w:rsidR="00A77B3E" w:rsidRPr="006E3461" w:rsidRDefault="00A60D61">
      <w:pPr>
        <w:snapToGrid w:val="0"/>
        <w:spacing w:line="360" w:lineRule="auto"/>
        <w:jc w:val="both"/>
        <w:rPr>
          <w:rFonts w:ascii="Book Antiqua" w:hAnsi="Book Antiqua"/>
        </w:rPr>
      </w:pPr>
      <w:bookmarkStart w:id="52" w:name="OLE_LINK43"/>
      <w:bookmarkStart w:id="53" w:name="OLE_LINK44"/>
      <w:r w:rsidRPr="006E3461">
        <w:rPr>
          <w:rStyle w:val="a00"/>
          <w:rFonts w:ascii="Book Antiqua" w:eastAsia="Book Antiqua" w:hAnsi="Book Antiqua" w:cs="Book Antiqua"/>
          <w:color w:val="000000"/>
        </w:rPr>
        <w:t>In summary, for patients with potentially resectable TESCC, NCRT with paclitaxel combined with lobaplatin plus surgery can effectively reduce</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tumor</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size, increase R0 resection rate, and obviously lower the</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pathological grading</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without increasing surgical complications. Paclitaxel combined with lobaplatin has mild toxicities and is worthy of wider clinical application.</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Our study was limited by its short follow-up period, and patient survival and tumor recurrence/metastasis need to be further investigated. In addition, the optimal dose and fractionation schedule of the neoadjuvant radiotherapy for ESCC deserve further clinical research.</w:t>
      </w:r>
    </w:p>
    <w:bookmarkEnd w:id="52"/>
    <w:bookmarkEnd w:id="53"/>
    <w:p w14:paraId="4AC0C18A" w14:textId="77777777" w:rsidR="00A77B3E" w:rsidRPr="006E3461" w:rsidRDefault="00A77B3E">
      <w:pPr>
        <w:snapToGrid w:val="0"/>
        <w:spacing w:line="360" w:lineRule="auto"/>
        <w:ind w:firstLine="420"/>
        <w:jc w:val="both"/>
        <w:rPr>
          <w:rFonts w:ascii="Book Antiqua" w:hAnsi="Book Antiqua"/>
        </w:rPr>
      </w:pPr>
    </w:p>
    <w:p w14:paraId="5FCD9A55"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aps/>
          <w:color w:val="000000"/>
          <w:u w:val="single"/>
        </w:rPr>
        <w:t>ARTICLE HIGHLIGHTS</w:t>
      </w:r>
    </w:p>
    <w:p w14:paraId="6DA6887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background</w:t>
      </w:r>
    </w:p>
    <w:p w14:paraId="28CF2CE8" w14:textId="23B0FC86" w:rsidR="00A77B3E" w:rsidRPr="006E3461" w:rsidRDefault="00A60D61">
      <w:pPr>
        <w:snapToGrid w:val="0"/>
        <w:spacing w:line="360" w:lineRule="auto"/>
        <w:jc w:val="both"/>
        <w:rPr>
          <w:rFonts w:ascii="Book Antiqua" w:hAnsi="Book Antiqua"/>
        </w:rPr>
      </w:pPr>
      <w:bookmarkStart w:id="54" w:name="OLE_LINK45"/>
      <w:bookmarkStart w:id="55" w:name="OLE_LINK46"/>
      <w:bookmarkStart w:id="56" w:name="OLE_LINK62"/>
      <w:r w:rsidRPr="006E3461">
        <w:rPr>
          <w:rFonts w:ascii="Book Antiqua" w:eastAsia="Book Antiqua" w:hAnsi="Book Antiqua" w:cs="Book Antiqua"/>
          <w:color w:val="000000"/>
        </w:rPr>
        <w:t>In recent years, neoadjuvant chemoradiotherapy</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(NCRT)</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combined with surgery has been gradually applied in patients with locally advanced thoracic esophageal cancer, but its effectiveness and safety remains unclear. </w:t>
      </w:r>
    </w:p>
    <w:bookmarkEnd w:id="54"/>
    <w:bookmarkEnd w:id="55"/>
    <w:bookmarkEnd w:id="56"/>
    <w:p w14:paraId="2EFA7FBF" w14:textId="77777777" w:rsidR="00A77B3E" w:rsidRPr="006E3461" w:rsidRDefault="00A77B3E">
      <w:pPr>
        <w:snapToGrid w:val="0"/>
        <w:spacing w:line="360" w:lineRule="auto"/>
        <w:ind w:firstLine="420"/>
        <w:jc w:val="both"/>
        <w:rPr>
          <w:rFonts w:ascii="Book Antiqua" w:hAnsi="Book Antiqua"/>
        </w:rPr>
      </w:pPr>
    </w:p>
    <w:p w14:paraId="5B039674"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motivation</w:t>
      </w:r>
    </w:p>
    <w:p w14:paraId="33AFD8B4" w14:textId="77777777" w:rsidR="00A77B3E" w:rsidRPr="006E3461" w:rsidRDefault="00A60D61">
      <w:pPr>
        <w:snapToGrid w:val="0"/>
        <w:spacing w:line="360" w:lineRule="auto"/>
        <w:jc w:val="both"/>
        <w:rPr>
          <w:rFonts w:ascii="Book Antiqua" w:hAnsi="Book Antiqua"/>
        </w:rPr>
      </w:pPr>
      <w:bookmarkStart w:id="57" w:name="OLE_LINK47"/>
      <w:bookmarkStart w:id="58" w:name="OLE_LINK48"/>
      <w:r w:rsidRPr="006E3461">
        <w:rPr>
          <w:rFonts w:ascii="Book Antiqua" w:eastAsia="Book Antiqua" w:hAnsi="Book Antiqua" w:cs="Book Antiqua"/>
          <w:color w:val="000000"/>
        </w:rPr>
        <w:t>In this clinical trial, we prospectively investigated the efficacy and safety of NCRT plus surgery in the treatment of thoracic esophageal squamous cell carcinoma (TESCC).</w:t>
      </w:r>
    </w:p>
    <w:bookmarkEnd w:id="57"/>
    <w:bookmarkEnd w:id="58"/>
    <w:p w14:paraId="7C192ED4" w14:textId="77777777" w:rsidR="00A77B3E" w:rsidRPr="006E3461" w:rsidRDefault="00A77B3E">
      <w:pPr>
        <w:snapToGrid w:val="0"/>
        <w:spacing w:line="360" w:lineRule="auto"/>
        <w:jc w:val="both"/>
        <w:rPr>
          <w:rFonts w:ascii="Book Antiqua" w:hAnsi="Book Antiqua"/>
        </w:rPr>
      </w:pPr>
    </w:p>
    <w:p w14:paraId="6D26791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objectives</w:t>
      </w:r>
    </w:p>
    <w:p w14:paraId="780168B5" w14:textId="3155A96D" w:rsidR="00A77B3E" w:rsidRPr="006E3461" w:rsidRDefault="00A60D61">
      <w:pPr>
        <w:snapToGrid w:val="0"/>
        <w:spacing w:line="360" w:lineRule="auto"/>
        <w:jc w:val="both"/>
        <w:rPr>
          <w:rFonts w:ascii="Book Antiqua" w:hAnsi="Book Antiqua"/>
        </w:rPr>
      </w:pPr>
      <w:bookmarkStart w:id="59" w:name="OLE_LINK49"/>
      <w:bookmarkStart w:id="60" w:name="OLE_LINK50"/>
      <w:bookmarkStart w:id="61" w:name="OLE_LINK63"/>
      <w:r w:rsidRPr="006E3461">
        <w:rPr>
          <w:rFonts w:ascii="Book Antiqua" w:eastAsia="Book Antiqua" w:hAnsi="Book Antiqua" w:cs="Book Antiqua"/>
          <w:color w:val="000000"/>
        </w:rPr>
        <w:lastRenderedPageBreak/>
        <w:t>To investigate the efficacy and safety of NCRT</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combined with surgery in the treatment of potentially resectable</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TESCC. </w:t>
      </w:r>
    </w:p>
    <w:bookmarkEnd w:id="59"/>
    <w:bookmarkEnd w:id="60"/>
    <w:bookmarkEnd w:id="61"/>
    <w:p w14:paraId="691AEED9" w14:textId="77777777" w:rsidR="00A77B3E" w:rsidRPr="006E3461" w:rsidRDefault="00A77B3E">
      <w:pPr>
        <w:snapToGrid w:val="0"/>
        <w:spacing w:line="360" w:lineRule="auto"/>
        <w:jc w:val="both"/>
        <w:rPr>
          <w:rFonts w:ascii="Book Antiqua" w:hAnsi="Book Antiqua"/>
        </w:rPr>
      </w:pPr>
    </w:p>
    <w:p w14:paraId="4949E7DA"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methods</w:t>
      </w:r>
    </w:p>
    <w:p w14:paraId="33507B0D" w14:textId="77777777" w:rsidR="00A77B3E" w:rsidRPr="006E3461" w:rsidRDefault="00A60D61">
      <w:pPr>
        <w:snapToGrid w:val="0"/>
        <w:spacing w:line="360" w:lineRule="auto"/>
        <w:jc w:val="both"/>
        <w:rPr>
          <w:rFonts w:ascii="Book Antiqua" w:hAnsi="Book Antiqua"/>
        </w:rPr>
      </w:pPr>
      <w:bookmarkStart w:id="62" w:name="OLE_LINK51"/>
      <w:bookmarkStart w:id="63" w:name="OLE_LINK52"/>
      <w:r w:rsidRPr="006E3461">
        <w:rPr>
          <w:rFonts w:ascii="Book Antiqua" w:eastAsia="Book Antiqua" w:hAnsi="Book Antiqua" w:cs="Book Antiqua"/>
          <w:color w:val="000000"/>
        </w:rPr>
        <w:t>Thirty patients with advanced TESCC hospitalized in our hospital from July 2016 to June 2019 were prospectively studied. All patients received NCRT, which included intensity modulated conformal radiotherapy and chemotherapy. Surgery was performed after radiotherapy and chemotherapy. The effectiveness and safety of these treatments were observed.</w:t>
      </w:r>
    </w:p>
    <w:bookmarkEnd w:id="62"/>
    <w:bookmarkEnd w:id="63"/>
    <w:p w14:paraId="318D67EF" w14:textId="77777777" w:rsidR="00A77B3E" w:rsidRPr="006E3461" w:rsidRDefault="00A77B3E">
      <w:pPr>
        <w:snapToGrid w:val="0"/>
        <w:spacing w:line="360" w:lineRule="auto"/>
        <w:jc w:val="both"/>
        <w:rPr>
          <w:rFonts w:ascii="Book Antiqua" w:hAnsi="Book Antiqua"/>
        </w:rPr>
      </w:pPr>
    </w:p>
    <w:p w14:paraId="18D8F6DF"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results</w:t>
      </w:r>
    </w:p>
    <w:p w14:paraId="56838195" w14:textId="37B0313B" w:rsidR="00A77B3E" w:rsidRPr="006E3461" w:rsidRDefault="00A60D61" w:rsidP="006E3461">
      <w:pPr>
        <w:snapToGrid w:val="0"/>
        <w:spacing w:line="360" w:lineRule="auto"/>
        <w:jc w:val="both"/>
        <w:rPr>
          <w:rFonts w:ascii="Book Antiqua" w:hAnsi="Book Antiqua"/>
        </w:rPr>
      </w:pPr>
      <w:bookmarkStart w:id="64" w:name="OLE_LINK53"/>
      <w:bookmarkStart w:id="65" w:name="OLE_LINK54"/>
      <w:bookmarkStart w:id="66" w:name="OLE_LINK64"/>
      <w:bookmarkStart w:id="67" w:name="OLE_LINK65"/>
      <w:r w:rsidRPr="006E3461">
        <w:rPr>
          <w:rFonts w:ascii="Book Antiqua" w:eastAsia="Book Antiqua" w:hAnsi="Book Antiqua" w:cs="Book Antiqua"/>
          <w:color w:val="000000"/>
        </w:rPr>
        <w:t>Among these 30 patients, complete response was achieved in 2 cases (6.7%) and partial response in 26 cases (86.7%), yielding an</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objective response rate</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of 100%. All patients underwent radical surgery successfully. The R0 resection rate was 100%</w:t>
      </w:r>
      <w:r w:rsidR="00D52F07" w:rsidRPr="006E3461">
        <w:rPr>
          <w:rFonts w:ascii="Book Antiqua" w:eastAsia="Book Antiqua" w:hAnsi="Book Antiqua" w:cs="Book Antiqua"/>
          <w:color w:val="000000"/>
        </w:rPr>
        <w:t>,</w:t>
      </w:r>
      <w:r w:rsidRPr="006E3461">
        <w:rPr>
          <w:rFonts w:ascii="Book Antiqua" w:eastAsia="Book Antiqua" w:hAnsi="Book Antiqua" w:cs="Book Antiqua"/>
          <w:color w:val="000000"/>
        </w:rPr>
        <w:t xml:space="preserve"> and the pathologic</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complete response rate was 33.3%. The incidence of grade III-IV</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granulocytopenia was 10% during the NCRT, and anastomotic leakage occurred in one patient after surgery. </w:t>
      </w:r>
    </w:p>
    <w:bookmarkEnd w:id="64"/>
    <w:bookmarkEnd w:id="65"/>
    <w:p w14:paraId="0E0F104B" w14:textId="77777777" w:rsidR="00A77B3E" w:rsidRPr="006E3461" w:rsidRDefault="00A77B3E" w:rsidP="006E3461">
      <w:pPr>
        <w:snapToGrid w:val="0"/>
        <w:spacing w:line="360" w:lineRule="auto"/>
        <w:jc w:val="both"/>
        <w:rPr>
          <w:rFonts w:ascii="Book Antiqua" w:hAnsi="Book Antiqua"/>
        </w:rPr>
      </w:pPr>
    </w:p>
    <w:bookmarkEnd w:id="66"/>
    <w:bookmarkEnd w:id="67"/>
    <w:p w14:paraId="72F0B495"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conclusions</w:t>
      </w:r>
    </w:p>
    <w:p w14:paraId="174C9FD5" w14:textId="58E5DFF0" w:rsidR="00A77B3E" w:rsidRPr="006E3461" w:rsidRDefault="00A60D61">
      <w:pPr>
        <w:snapToGrid w:val="0"/>
        <w:spacing w:line="360" w:lineRule="auto"/>
        <w:jc w:val="both"/>
        <w:rPr>
          <w:rFonts w:ascii="Book Antiqua" w:hAnsi="Book Antiqua"/>
        </w:rPr>
      </w:pPr>
      <w:bookmarkStart w:id="68" w:name="OLE_LINK55"/>
      <w:bookmarkStart w:id="69" w:name="OLE_LINK56"/>
      <w:r w:rsidRPr="006E3461">
        <w:rPr>
          <w:rStyle w:val="a00"/>
          <w:rFonts w:ascii="Book Antiqua" w:eastAsia="Book Antiqua" w:hAnsi="Book Antiqua" w:cs="Book Antiqua"/>
          <w:color w:val="000000"/>
        </w:rPr>
        <w:t>In summary, for patients with potentially resectable TESCC, NCRT with paclitaxel combined with lobaplatin plus surgery can effectively reduce</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tumor</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size, increase R0 resection rate, and obviously lower the</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pathological grading</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without increasing surgical complications. Paclitaxel combined with lobaplatin has mild toxicities and is worthy of wider clinical application.</w:t>
      </w:r>
    </w:p>
    <w:bookmarkEnd w:id="68"/>
    <w:bookmarkEnd w:id="69"/>
    <w:p w14:paraId="719C70D6" w14:textId="77777777" w:rsidR="00A77B3E" w:rsidRPr="006E3461" w:rsidRDefault="00A77B3E">
      <w:pPr>
        <w:snapToGrid w:val="0"/>
        <w:spacing w:line="360" w:lineRule="auto"/>
        <w:jc w:val="both"/>
        <w:rPr>
          <w:rFonts w:ascii="Book Antiqua" w:hAnsi="Book Antiqua"/>
        </w:rPr>
      </w:pPr>
    </w:p>
    <w:p w14:paraId="19A1C65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perspectives</w:t>
      </w:r>
    </w:p>
    <w:p w14:paraId="6E43CB1A" w14:textId="77777777" w:rsidR="00A77B3E" w:rsidRPr="006E3461" w:rsidRDefault="00A60D61">
      <w:pPr>
        <w:snapToGrid w:val="0"/>
        <w:spacing w:line="360" w:lineRule="auto"/>
        <w:jc w:val="both"/>
        <w:rPr>
          <w:rFonts w:ascii="Book Antiqua" w:hAnsi="Book Antiqua"/>
        </w:rPr>
      </w:pPr>
      <w:bookmarkStart w:id="70" w:name="OLE_LINK57"/>
      <w:bookmarkStart w:id="71" w:name="OLE_LINK58"/>
      <w:r w:rsidRPr="006E3461">
        <w:rPr>
          <w:rStyle w:val="a00"/>
          <w:rFonts w:ascii="Book Antiqua" w:eastAsia="Book Antiqua" w:hAnsi="Book Antiqua" w:cs="Book Antiqua"/>
          <w:color w:val="000000"/>
        </w:rPr>
        <w:t xml:space="preserve">Our study was limited by its short follow-up period, and patient survival and tumor recurrence/metastasis need to be further investigated. In addition, the optimal dose and </w:t>
      </w:r>
      <w:r w:rsidRPr="006E3461">
        <w:rPr>
          <w:rStyle w:val="a00"/>
          <w:rFonts w:ascii="Book Antiqua" w:eastAsia="Book Antiqua" w:hAnsi="Book Antiqua" w:cs="Book Antiqua"/>
          <w:color w:val="000000"/>
        </w:rPr>
        <w:lastRenderedPageBreak/>
        <w:t>fractionation schedule of the neoadjuvant radiotherapy for ESCC deserve further clinical research.</w:t>
      </w:r>
    </w:p>
    <w:bookmarkEnd w:id="70"/>
    <w:bookmarkEnd w:id="71"/>
    <w:p w14:paraId="39D3A52C" w14:textId="77777777" w:rsidR="00A77B3E" w:rsidRPr="006E3461" w:rsidRDefault="00A77B3E">
      <w:pPr>
        <w:snapToGrid w:val="0"/>
        <w:spacing w:line="360" w:lineRule="auto"/>
        <w:jc w:val="both"/>
        <w:rPr>
          <w:rFonts w:ascii="Book Antiqua" w:hAnsi="Book Antiqua"/>
        </w:rPr>
      </w:pPr>
    </w:p>
    <w:p w14:paraId="0774653A"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REFERENCES</w:t>
      </w:r>
    </w:p>
    <w:p w14:paraId="76E7287D"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1 </w:t>
      </w:r>
      <w:r w:rsidRPr="006E3461">
        <w:rPr>
          <w:rFonts w:ascii="Book Antiqua" w:eastAsia="Book Antiqua" w:hAnsi="Book Antiqua" w:cs="Book Antiqua"/>
          <w:b/>
          <w:bCs/>
          <w:color w:val="000000"/>
        </w:rPr>
        <w:t>Bray F</w:t>
      </w:r>
      <w:r w:rsidRPr="006E3461">
        <w:rPr>
          <w:rFonts w:ascii="Book Antiqua" w:eastAsia="Book Antiqua" w:hAnsi="Book Antiqua" w:cs="Book Antiqua"/>
          <w:color w:val="000000"/>
        </w:rPr>
        <w:t xml:space="preserve">, </w:t>
      </w:r>
      <w:proofErr w:type="spellStart"/>
      <w:r w:rsidRPr="006E3461">
        <w:rPr>
          <w:rFonts w:ascii="Book Antiqua" w:eastAsia="Book Antiqua" w:hAnsi="Book Antiqua" w:cs="Book Antiqua"/>
          <w:color w:val="000000"/>
        </w:rPr>
        <w:t>Ferlay</w:t>
      </w:r>
      <w:proofErr w:type="spellEnd"/>
      <w:r w:rsidRPr="006E3461">
        <w:rPr>
          <w:rFonts w:ascii="Book Antiqua" w:eastAsia="Book Antiqua" w:hAnsi="Book Antiqua" w:cs="Book Antiqua"/>
          <w:color w:val="000000"/>
        </w:rPr>
        <w:t xml:space="preserve"> J, </w:t>
      </w:r>
      <w:proofErr w:type="spellStart"/>
      <w:r w:rsidRPr="006E3461">
        <w:rPr>
          <w:rFonts w:ascii="Book Antiqua" w:eastAsia="Book Antiqua" w:hAnsi="Book Antiqua" w:cs="Book Antiqua"/>
          <w:color w:val="000000"/>
        </w:rPr>
        <w:t>Soerjomataram</w:t>
      </w:r>
      <w:proofErr w:type="spellEnd"/>
      <w:r w:rsidRPr="006E3461">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6E3461">
        <w:rPr>
          <w:rFonts w:ascii="Book Antiqua" w:eastAsia="Book Antiqua" w:hAnsi="Book Antiqua" w:cs="Book Antiqua"/>
          <w:i/>
          <w:iCs/>
          <w:color w:val="000000"/>
        </w:rPr>
        <w:t>CA Cancer J Clin</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68</w:t>
      </w:r>
      <w:r w:rsidRPr="006E3461">
        <w:rPr>
          <w:rFonts w:ascii="Book Antiqua" w:eastAsia="Book Antiqua" w:hAnsi="Book Antiqua" w:cs="Book Antiqua"/>
          <w:color w:val="000000"/>
        </w:rPr>
        <w:t>: 394-424 [PMID: 30207593 DOI: 10.3322/caac.21492]</w:t>
      </w:r>
    </w:p>
    <w:p w14:paraId="1D093E72"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2 </w:t>
      </w:r>
      <w:r w:rsidRPr="006E3461">
        <w:rPr>
          <w:rFonts w:ascii="Book Antiqua" w:eastAsia="Book Antiqua" w:hAnsi="Book Antiqua" w:cs="Book Antiqua"/>
          <w:b/>
          <w:bCs/>
          <w:color w:val="000000"/>
        </w:rPr>
        <w:t>Siegel RL</w:t>
      </w:r>
      <w:r w:rsidRPr="006E3461">
        <w:rPr>
          <w:rFonts w:ascii="Book Antiqua" w:eastAsia="Book Antiqua" w:hAnsi="Book Antiqua" w:cs="Book Antiqua"/>
          <w:color w:val="000000"/>
        </w:rPr>
        <w:t xml:space="preserve">, Miller KD, Jemal A. Cancer statistics, 2018. </w:t>
      </w:r>
      <w:r w:rsidRPr="006E3461">
        <w:rPr>
          <w:rFonts w:ascii="Book Antiqua" w:eastAsia="Book Antiqua" w:hAnsi="Book Antiqua" w:cs="Book Antiqua"/>
          <w:i/>
          <w:iCs/>
          <w:color w:val="000000"/>
        </w:rPr>
        <w:t>CA Cancer J Clin</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68</w:t>
      </w:r>
      <w:r w:rsidRPr="006E3461">
        <w:rPr>
          <w:rFonts w:ascii="Book Antiqua" w:eastAsia="Book Antiqua" w:hAnsi="Book Antiqua" w:cs="Book Antiqua"/>
          <w:color w:val="000000"/>
        </w:rPr>
        <w:t>: 7-30 [PMID: 29313949 DOI: 10.3322/caac.21442]</w:t>
      </w:r>
    </w:p>
    <w:p w14:paraId="06AD58C9"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3 </w:t>
      </w:r>
      <w:proofErr w:type="spellStart"/>
      <w:r w:rsidRPr="006E3461">
        <w:rPr>
          <w:rFonts w:ascii="Book Antiqua" w:eastAsia="Book Antiqua" w:hAnsi="Book Antiqua" w:cs="Book Antiqua"/>
          <w:b/>
          <w:bCs/>
          <w:color w:val="000000"/>
        </w:rPr>
        <w:t>Gockel</w:t>
      </w:r>
      <w:proofErr w:type="spellEnd"/>
      <w:r w:rsidRPr="006E3461">
        <w:rPr>
          <w:rFonts w:ascii="Book Antiqua" w:eastAsia="Book Antiqua" w:hAnsi="Book Antiqua" w:cs="Book Antiqua"/>
          <w:b/>
          <w:bCs/>
          <w:color w:val="000000"/>
        </w:rPr>
        <w:t xml:space="preserve"> I</w:t>
      </w:r>
      <w:r w:rsidRPr="006E3461">
        <w:rPr>
          <w:rFonts w:ascii="Book Antiqua" w:eastAsia="Book Antiqua" w:hAnsi="Book Antiqua" w:cs="Book Antiqua"/>
          <w:color w:val="000000"/>
        </w:rPr>
        <w:t xml:space="preserve">, </w:t>
      </w:r>
      <w:proofErr w:type="spellStart"/>
      <w:r w:rsidRPr="006E3461">
        <w:rPr>
          <w:rFonts w:ascii="Book Antiqua" w:eastAsia="Book Antiqua" w:hAnsi="Book Antiqua" w:cs="Book Antiqua"/>
          <w:color w:val="000000"/>
        </w:rPr>
        <w:t>Niebisch</w:t>
      </w:r>
      <w:proofErr w:type="spellEnd"/>
      <w:r w:rsidRPr="006E3461">
        <w:rPr>
          <w:rFonts w:ascii="Book Antiqua" w:eastAsia="Book Antiqua" w:hAnsi="Book Antiqua" w:cs="Book Antiqua"/>
          <w:color w:val="000000"/>
        </w:rPr>
        <w:t xml:space="preserve"> S, </w:t>
      </w:r>
      <w:proofErr w:type="spellStart"/>
      <w:r w:rsidRPr="006E3461">
        <w:rPr>
          <w:rFonts w:ascii="Book Antiqua" w:eastAsia="Book Antiqua" w:hAnsi="Book Antiqua" w:cs="Book Antiqua"/>
          <w:color w:val="000000"/>
        </w:rPr>
        <w:t>Ahlbrand</w:t>
      </w:r>
      <w:proofErr w:type="spellEnd"/>
      <w:r w:rsidRPr="006E3461">
        <w:rPr>
          <w:rFonts w:ascii="Book Antiqua" w:eastAsia="Book Antiqua" w:hAnsi="Book Antiqua" w:cs="Book Antiqua"/>
          <w:color w:val="000000"/>
        </w:rPr>
        <w:t xml:space="preserve"> CJ, Hoffmann C, </w:t>
      </w:r>
      <w:proofErr w:type="spellStart"/>
      <w:r w:rsidRPr="006E3461">
        <w:rPr>
          <w:rFonts w:ascii="Book Antiqua" w:eastAsia="Book Antiqua" w:hAnsi="Book Antiqua" w:cs="Book Antiqua"/>
          <w:color w:val="000000"/>
        </w:rPr>
        <w:t>Möhler</w:t>
      </w:r>
      <w:proofErr w:type="spellEnd"/>
      <w:r w:rsidRPr="006E3461">
        <w:rPr>
          <w:rFonts w:ascii="Book Antiqua" w:eastAsia="Book Antiqua" w:hAnsi="Book Antiqua" w:cs="Book Antiqua"/>
          <w:color w:val="000000"/>
        </w:rPr>
        <w:t xml:space="preserve"> M, </w:t>
      </w:r>
      <w:proofErr w:type="spellStart"/>
      <w:r w:rsidRPr="006E3461">
        <w:rPr>
          <w:rFonts w:ascii="Book Antiqua" w:eastAsia="Book Antiqua" w:hAnsi="Book Antiqua" w:cs="Book Antiqua"/>
          <w:color w:val="000000"/>
        </w:rPr>
        <w:t>Düber</w:t>
      </w:r>
      <w:proofErr w:type="spellEnd"/>
      <w:r w:rsidRPr="006E3461">
        <w:rPr>
          <w:rFonts w:ascii="Book Antiqua" w:eastAsia="Book Antiqua" w:hAnsi="Book Antiqua" w:cs="Book Antiqua"/>
          <w:color w:val="000000"/>
        </w:rPr>
        <w:t xml:space="preserve"> C, Lang H, Heid F. Risk and Complication Management in Esophageal Cancer Surgery: A Review of the Literature. </w:t>
      </w:r>
      <w:proofErr w:type="spellStart"/>
      <w:r w:rsidRPr="006E3461">
        <w:rPr>
          <w:rFonts w:ascii="Book Antiqua" w:eastAsia="Book Antiqua" w:hAnsi="Book Antiqua" w:cs="Book Antiqua"/>
          <w:i/>
          <w:iCs/>
          <w:color w:val="000000"/>
        </w:rPr>
        <w:t>Thorac</w:t>
      </w:r>
      <w:proofErr w:type="spellEnd"/>
      <w:r w:rsidRPr="006E3461">
        <w:rPr>
          <w:rFonts w:ascii="Book Antiqua" w:eastAsia="Book Antiqua" w:hAnsi="Book Antiqua" w:cs="Book Antiqua"/>
          <w:i/>
          <w:iCs/>
          <w:color w:val="000000"/>
        </w:rPr>
        <w:t xml:space="preserve"> Cardiovasc Surg</w:t>
      </w:r>
      <w:r w:rsidRPr="006E3461">
        <w:rPr>
          <w:rFonts w:ascii="Book Antiqua" w:eastAsia="Book Antiqua" w:hAnsi="Book Antiqua" w:cs="Book Antiqua"/>
          <w:color w:val="000000"/>
        </w:rPr>
        <w:t xml:space="preserve"> 2016; </w:t>
      </w:r>
      <w:r w:rsidRPr="006E3461">
        <w:rPr>
          <w:rFonts w:ascii="Book Antiqua" w:eastAsia="Book Antiqua" w:hAnsi="Book Antiqua" w:cs="Book Antiqua"/>
          <w:b/>
          <w:bCs/>
          <w:color w:val="000000"/>
        </w:rPr>
        <w:t>64</w:t>
      </w:r>
      <w:r w:rsidRPr="006E3461">
        <w:rPr>
          <w:rFonts w:ascii="Book Antiqua" w:eastAsia="Book Antiqua" w:hAnsi="Book Antiqua" w:cs="Book Antiqua"/>
          <w:color w:val="000000"/>
        </w:rPr>
        <w:t>: 596-605 [PMID: 25629461 DOI: 10.1055/s-0034-1399763]</w:t>
      </w:r>
    </w:p>
    <w:p w14:paraId="4333C16E"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4 </w:t>
      </w:r>
      <w:proofErr w:type="spellStart"/>
      <w:r w:rsidRPr="006E3461">
        <w:rPr>
          <w:rFonts w:ascii="Book Antiqua" w:eastAsia="Book Antiqua" w:hAnsi="Book Antiqua" w:cs="Book Antiqua"/>
          <w:b/>
          <w:bCs/>
          <w:color w:val="000000"/>
        </w:rPr>
        <w:t>Weijs</w:t>
      </w:r>
      <w:proofErr w:type="spellEnd"/>
      <w:r w:rsidRPr="006E3461">
        <w:rPr>
          <w:rFonts w:ascii="Book Antiqua" w:eastAsia="Book Antiqua" w:hAnsi="Book Antiqua" w:cs="Book Antiqua"/>
          <w:b/>
          <w:bCs/>
          <w:color w:val="000000"/>
        </w:rPr>
        <w:t xml:space="preserve"> TJ</w:t>
      </w:r>
      <w:r w:rsidRPr="006E3461">
        <w:rPr>
          <w:rFonts w:ascii="Book Antiqua" w:eastAsia="Book Antiqua" w:hAnsi="Book Antiqua" w:cs="Book Antiqua"/>
          <w:color w:val="000000"/>
        </w:rPr>
        <w:t xml:space="preserve">, </w:t>
      </w:r>
      <w:proofErr w:type="spellStart"/>
      <w:r w:rsidRPr="006E3461">
        <w:rPr>
          <w:rFonts w:ascii="Book Antiqua" w:eastAsia="Book Antiqua" w:hAnsi="Book Antiqua" w:cs="Book Antiqua"/>
          <w:color w:val="000000"/>
        </w:rPr>
        <w:t>Goense</w:t>
      </w:r>
      <w:proofErr w:type="spellEnd"/>
      <w:r w:rsidRPr="006E3461">
        <w:rPr>
          <w:rFonts w:ascii="Book Antiqua" w:eastAsia="Book Antiqua" w:hAnsi="Book Antiqua" w:cs="Book Antiqua"/>
          <w:color w:val="000000"/>
        </w:rPr>
        <w:t xml:space="preserve"> L, van Rossum PSN, Meijer GJ, van Lier AL, Wessels FJ, </w:t>
      </w:r>
      <w:proofErr w:type="spellStart"/>
      <w:r w:rsidRPr="006E3461">
        <w:rPr>
          <w:rFonts w:ascii="Book Antiqua" w:eastAsia="Book Antiqua" w:hAnsi="Book Antiqua" w:cs="Book Antiqua"/>
          <w:color w:val="000000"/>
        </w:rPr>
        <w:t>Braat</w:t>
      </w:r>
      <w:proofErr w:type="spellEnd"/>
      <w:r w:rsidRPr="006E3461">
        <w:rPr>
          <w:rFonts w:ascii="Book Antiqua" w:eastAsia="Book Antiqua" w:hAnsi="Book Antiqua" w:cs="Book Antiqua"/>
          <w:color w:val="000000"/>
        </w:rPr>
        <w:t xml:space="preserve"> MN, Lips IM, </w:t>
      </w:r>
      <w:proofErr w:type="spellStart"/>
      <w:r w:rsidRPr="006E3461">
        <w:rPr>
          <w:rFonts w:ascii="Book Antiqua" w:eastAsia="Book Antiqua" w:hAnsi="Book Antiqua" w:cs="Book Antiqua"/>
          <w:color w:val="000000"/>
        </w:rPr>
        <w:t>Ruurda</w:t>
      </w:r>
      <w:proofErr w:type="spellEnd"/>
      <w:r w:rsidRPr="006E3461">
        <w:rPr>
          <w:rFonts w:ascii="Book Antiqua" w:eastAsia="Book Antiqua" w:hAnsi="Book Antiqua" w:cs="Book Antiqua"/>
          <w:color w:val="000000"/>
        </w:rPr>
        <w:t xml:space="preserve"> JP, Cuesta MA, van </w:t>
      </w:r>
      <w:proofErr w:type="spellStart"/>
      <w:r w:rsidRPr="006E3461">
        <w:rPr>
          <w:rFonts w:ascii="Book Antiqua" w:eastAsia="Book Antiqua" w:hAnsi="Book Antiqua" w:cs="Book Antiqua"/>
          <w:color w:val="000000"/>
        </w:rPr>
        <w:t>Hillegersberg</w:t>
      </w:r>
      <w:proofErr w:type="spellEnd"/>
      <w:r w:rsidRPr="006E3461">
        <w:rPr>
          <w:rFonts w:ascii="Book Antiqua" w:eastAsia="Book Antiqua" w:hAnsi="Book Antiqua" w:cs="Book Antiqua"/>
          <w:color w:val="000000"/>
        </w:rPr>
        <w:t xml:space="preserve"> R, </w:t>
      </w:r>
      <w:proofErr w:type="spellStart"/>
      <w:r w:rsidRPr="006E3461">
        <w:rPr>
          <w:rFonts w:ascii="Book Antiqua" w:eastAsia="Book Antiqua" w:hAnsi="Book Antiqua" w:cs="Book Antiqua"/>
          <w:color w:val="000000"/>
        </w:rPr>
        <w:t>Bleys</w:t>
      </w:r>
      <w:proofErr w:type="spellEnd"/>
      <w:r w:rsidRPr="006E3461">
        <w:rPr>
          <w:rFonts w:ascii="Book Antiqua" w:eastAsia="Book Antiqua" w:hAnsi="Book Antiqua" w:cs="Book Antiqua"/>
          <w:color w:val="000000"/>
        </w:rPr>
        <w:t xml:space="preserve"> RL. The peri-esophageal connective tissue layers and related compartments: visualization by histology and magnetic resonance imaging. </w:t>
      </w:r>
      <w:r w:rsidRPr="006E3461">
        <w:rPr>
          <w:rFonts w:ascii="Book Antiqua" w:eastAsia="Book Antiqua" w:hAnsi="Book Antiqua" w:cs="Book Antiqua"/>
          <w:i/>
          <w:iCs/>
          <w:color w:val="000000"/>
        </w:rPr>
        <w:t xml:space="preserve">J </w:t>
      </w:r>
      <w:proofErr w:type="spellStart"/>
      <w:r w:rsidRPr="006E3461">
        <w:rPr>
          <w:rFonts w:ascii="Book Antiqua" w:eastAsia="Book Antiqua" w:hAnsi="Book Antiqua" w:cs="Book Antiqua"/>
          <w:i/>
          <w:iCs/>
          <w:color w:val="000000"/>
        </w:rPr>
        <w:t>Anat</w:t>
      </w:r>
      <w:proofErr w:type="spellEnd"/>
      <w:r w:rsidRPr="006E3461">
        <w:rPr>
          <w:rFonts w:ascii="Book Antiqua" w:eastAsia="Book Antiqua" w:hAnsi="Book Antiqua" w:cs="Book Antiqua"/>
          <w:color w:val="000000"/>
        </w:rPr>
        <w:t xml:space="preserve"> 2017; </w:t>
      </w:r>
      <w:r w:rsidRPr="006E3461">
        <w:rPr>
          <w:rFonts w:ascii="Book Antiqua" w:eastAsia="Book Antiqua" w:hAnsi="Book Antiqua" w:cs="Book Antiqua"/>
          <w:b/>
          <w:bCs/>
          <w:color w:val="000000"/>
        </w:rPr>
        <w:t>230</w:t>
      </w:r>
      <w:r w:rsidRPr="006E3461">
        <w:rPr>
          <w:rFonts w:ascii="Book Antiqua" w:eastAsia="Book Antiqua" w:hAnsi="Book Antiqua" w:cs="Book Antiqua"/>
          <w:color w:val="000000"/>
        </w:rPr>
        <w:t>: 262-271 [PMID: 27659172 DOI: 10.1111/joa.12552]</w:t>
      </w:r>
    </w:p>
    <w:p w14:paraId="33906B75"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5 </w:t>
      </w:r>
      <w:r w:rsidRPr="006E3461">
        <w:rPr>
          <w:rFonts w:ascii="Book Antiqua" w:eastAsia="Book Antiqua" w:hAnsi="Book Antiqua" w:cs="Book Antiqua"/>
          <w:b/>
          <w:bCs/>
          <w:color w:val="000000"/>
        </w:rPr>
        <w:t>Shapiro J</w:t>
      </w:r>
      <w:r w:rsidRPr="006E3461">
        <w:rPr>
          <w:rFonts w:ascii="Book Antiqua" w:eastAsia="Book Antiqua" w:hAnsi="Book Antiqua" w:cs="Book Antiqua"/>
          <w:color w:val="000000"/>
        </w:rPr>
        <w:t xml:space="preserve">, van </w:t>
      </w:r>
      <w:proofErr w:type="spellStart"/>
      <w:r w:rsidRPr="006E3461">
        <w:rPr>
          <w:rFonts w:ascii="Book Antiqua" w:eastAsia="Book Antiqua" w:hAnsi="Book Antiqua" w:cs="Book Antiqua"/>
          <w:color w:val="000000"/>
        </w:rPr>
        <w:t>Lanschot</w:t>
      </w:r>
      <w:proofErr w:type="spellEnd"/>
      <w:r w:rsidRPr="006E3461">
        <w:rPr>
          <w:rFonts w:ascii="Book Antiqua" w:eastAsia="Book Antiqua" w:hAnsi="Book Antiqua" w:cs="Book Antiqua"/>
          <w:color w:val="000000"/>
        </w:rPr>
        <w:t xml:space="preserve"> JJB, Hulshof MCCM, van Hagen P, van Berge </w:t>
      </w:r>
      <w:proofErr w:type="spellStart"/>
      <w:r w:rsidRPr="006E3461">
        <w:rPr>
          <w:rFonts w:ascii="Book Antiqua" w:eastAsia="Book Antiqua" w:hAnsi="Book Antiqua" w:cs="Book Antiqua"/>
          <w:color w:val="000000"/>
        </w:rPr>
        <w:t>Henegouwen</w:t>
      </w:r>
      <w:proofErr w:type="spellEnd"/>
      <w:r w:rsidRPr="006E3461">
        <w:rPr>
          <w:rFonts w:ascii="Book Antiqua" w:eastAsia="Book Antiqua" w:hAnsi="Book Antiqua" w:cs="Book Antiqua"/>
          <w:color w:val="000000"/>
        </w:rPr>
        <w:t xml:space="preserve"> MI, </w:t>
      </w:r>
      <w:proofErr w:type="spellStart"/>
      <w:r w:rsidRPr="006E3461">
        <w:rPr>
          <w:rFonts w:ascii="Book Antiqua" w:eastAsia="Book Antiqua" w:hAnsi="Book Antiqua" w:cs="Book Antiqua"/>
          <w:color w:val="000000"/>
        </w:rPr>
        <w:t>Wijnhoven</w:t>
      </w:r>
      <w:proofErr w:type="spellEnd"/>
      <w:r w:rsidRPr="006E3461">
        <w:rPr>
          <w:rFonts w:ascii="Book Antiqua" w:eastAsia="Book Antiqua" w:hAnsi="Book Antiqua" w:cs="Book Antiqua"/>
          <w:color w:val="000000"/>
        </w:rPr>
        <w:t xml:space="preserve"> BPL, van </w:t>
      </w:r>
      <w:proofErr w:type="spellStart"/>
      <w:r w:rsidRPr="006E3461">
        <w:rPr>
          <w:rFonts w:ascii="Book Antiqua" w:eastAsia="Book Antiqua" w:hAnsi="Book Antiqua" w:cs="Book Antiqua"/>
          <w:color w:val="000000"/>
        </w:rPr>
        <w:t>Laarhoven</w:t>
      </w:r>
      <w:proofErr w:type="spellEnd"/>
      <w:r w:rsidRPr="006E3461">
        <w:rPr>
          <w:rFonts w:ascii="Book Antiqua" w:eastAsia="Book Antiqua" w:hAnsi="Book Antiqua" w:cs="Book Antiqua"/>
          <w:color w:val="000000"/>
        </w:rPr>
        <w:t xml:space="preserve"> HWM, </w:t>
      </w:r>
      <w:proofErr w:type="spellStart"/>
      <w:r w:rsidRPr="006E3461">
        <w:rPr>
          <w:rFonts w:ascii="Book Antiqua" w:eastAsia="Book Antiqua" w:hAnsi="Book Antiqua" w:cs="Book Antiqua"/>
          <w:color w:val="000000"/>
        </w:rPr>
        <w:t>Nieuwenhuijzen</w:t>
      </w:r>
      <w:proofErr w:type="spellEnd"/>
      <w:r w:rsidRPr="006E3461">
        <w:rPr>
          <w:rFonts w:ascii="Book Antiqua" w:eastAsia="Book Antiqua" w:hAnsi="Book Antiqua" w:cs="Book Antiqua"/>
          <w:color w:val="000000"/>
        </w:rPr>
        <w:t xml:space="preserve"> GAP, Hospers GAP, </w:t>
      </w:r>
      <w:proofErr w:type="spellStart"/>
      <w:r w:rsidRPr="006E3461">
        <w:rPr>
          <w:rFonts w:ascii="Book Antiqua" w:eastAsia="Book Antiqua" w:hAnsi="Book Antiqua" w:cs="Book Antiqua"/>
          <w:color w:val="000000"/>
        </w:rPr>
        <w:t>Bonenkamp</w:t>
      </w:r>
      <w:proofErr w:type="spellEnd"/>
      <w:r w:rsidRPr="006E3461">
        <w:rPr>
          <w:rFonts w:ascii="Book Antiqua" w:eastAsia="Book Antiqua" w:hAnsi="Book Antiqua" w:cs="Book Antiqua"/>
          <w:color w:val="000000"/>
        </w:rPr>
        <w:t xml:space="preserve"> JJ, Cuesta MA, </w:t>
      </w:r>
      <w:proofErr w:type="spellStart"/>
      <w:r w:rsidRPr="006E3461">
        <w:rPr>
          <w:rFonts w:ascii="Book Antiqua" w:eastAsia="Book Antiqua" w:hAnsi="Book Antiqua" w:cs="Book Antiqua"/>
          <w:color w:val="000000"/>
        </w:rPr>
        <w:t>Blaisse</w:t>
      </w:r>
      <w:proofErr w:type="spellEnd"/>
      <w:r w:rsidRPr="006E3461">
        <w:rPr>
          <w:rFonts w:ascii="Book Antiqua" w:eastAsia="Book Antiqua" w:hAnsi="Book Antiqua" w:cs="Book Antiqua"/>
          <w:color w:val="000000"/>
        </w:rPr>
        <w:t xml:space="preserve"> RJB, Busch ORC, Ten Kate FJW, </w:t>
      </w:r>
      <w:proofErr w:type="spellStart"/>
      <w:r w:rsidRPr="006E3461">
        <w:rPr>
          <w:rFonts w:ascii="Book Antiqua" w:eastAsia="Book Antiqua" w:hAnsi="Book Antiqua" w:cs="Book Antiqua"/>
          <w:color w:val="000000"/>
        </w:rPr>
        <w:t>Creemers</w:t>
      </w:r>
      <w:proofErr w:type="spellEnd"/>
      <w:r w:rsidRPr="006E3461">
        <w:rPr>
          <w:rFonts w:ascii="Book Antiqua" w:eastAsia="Book Antiqua" w:hAnsi="Book Antiqua" w:cs="Book Antiqua"/>
          <w:color w:val="000000"/>
        </w:rPr>
        <w:t xml:space="preserve"> GM, Punt CJA, </w:t>
      </w:r>
      <w:proofErr w:type="spellStart"/>
      <w:r w:rsidRPr="006E3461">
        <w:rPr>
          <w:rFonts w:ascii="Book Antiqua" w:eastAsia="Book Antiqua" w:hAnsi="Book Antiqua" w:cs="Book Antiqua"/>
          <w:color w:val="000000"/>
        </w:rPr>
        <w:t>Plukker</w:t>
      </w:r>
      <w:proofErr w:type="spellEnd"/>
      <w:r w:rsidRPr="006E3461">
        <w:rPr>
          <w:rFonts w:ascii="Book Antiqua" w:eastAsia="Book Antiqua" w:hAnsi="Book Antiqua" w:cs="Book Antiqua"/>
          <w:color w:val="000000"/>
        </w:rPr>
        <w:t xml:space="preserve"> JTM, </w:t>
      </w:r>
      <w:proofErr w:type="spellStart"/>
      <w:r w:rsidRPr="006E3461">
        <w:rPr>
          <w:rFonts w:ascii="Book Antiqua" w:eastAsia="Book Antiqua" w:hAnsi="Book Antiqua" w:cs="Book Antiqua"/>
          <w:color w:val="000000"/>
        </w:rPr>
        <w:t>Verheul</w:t>
      </w:r>
      <w:proofErr w:type="spellEnd"/>
      <w:r w:rsidRPr="006E3461">
        <w:rPr>
          <w:rFonts w:ascii="Book Antiqua" w:eastAsia="Book Antiqua" w:hAnsi="Book Antiqua" w:cs="Book Antiqua"/>
          <w:color w:val="000000"/>
        </w:rPr>
        <w:t xml:space="preserve"> HMW, </w:t>
      </w:r>
      <w:proofErr w:type="spellStart"/>
      <w:r w:rsidRPr="006E3461">
        <w:rPr>
          <w:rFonts w:ascii="Book Antiqua" w:eastAsia="Book Antiqua" w:hAnsi="Book Antiqua" w:cs="Book Antiqua"/>
          <w:color w:val="000000"/>
        </w:rPr>
        <w:t>Bilgen</w:t>
      </w:r>
      <w:proofErr w:type="spellEnd"/>
      <w:r w:rsidRPr="006E3461">
        <w:rPr>
          <w:rFonts w:ascii="Book Antiqua" w:eastAsia="Book Antiqua" w:hAnsi="Book Antiqua" w:cs="Book Antiqua"/>
          <w:color w:val="000000"/>
        </w:rPr>
        <w:t xml:space="preserve"> EJS, van </w:t>
      </w:r>
      <w:proofErr w:type="spellStart"/>
      <w:r w:rsidRPr="006E3461">
        <w:rPr>
          <w:rFonts w:ascii="Book Antiqua" w:eastAsia="Book Antiqua" w:hAnsi="Book Antiqua" w:cs="Book Antiqua"/>
          <w:color w:val="000000"/>
        </w:rPr>
        <w:t>Dekken</w:t>
      </w:r>
      <w:proofErr w:type="spellEnd"/>
      <w:r w:rsidRPr="006E3461">
        <w:rPr>
          <w:rFonts w:ascii="Book Antiqua" w:eastAsia="Book Antiqua" w:hAnsi="Book Antiqua" w:cs="Book Antiqua"/>
          <w:color w:val="000000"/>
        </w:rPr>
        <w:t xml:space="preserve"> H, van der </w:t>
      </w:r>
      <w:proofErr w:type="spellStart"/>
      <w:r w:rsidRPr="006E3461">
        <w:rPr>
          <w:rFonts w:ascii="Book Antiqua" w:eastAsia="Book Antiqua" w:hAnsi="Book Antiqua" w:cs="Book Antiqua"/>
          <w:color w:val="000000"/>
        </w:rPr>
        <w:t>Sangen</w:t>
      </w:r>
      <w:proofErr w:type="spellEnd"/>
      <w:r w:rsidRPr="006E3461">
        <w:rPr>
          <w:rFonts w:ascii="Book Antiqua" w:eastAsia="Book Antiqua" w:hAnsi="Book Antiqua" w:cs="Book Antiqua"/>
          <w:color w:val="000000"/>
        </w:rPr>
        <w:t xml:space="preserve"> MJC, </w:t>
      </w:r>
      <w:proofErr w:type="spellStart"/>
      <w:r w:rsidRPr="006E3461">
        <w:rPr>
          <w:rFonts w:ascii="Book Antiqua" w:eastAsia="Book Antiqua" w:hAnsi="Book Antiqua" w:cs="Book Antiqua"/>
          <w:color w:val="000000"/>
        </w:rPr>
        <w:t>Rozema</w:t>
      </w:r>
      <w:proofErr w:type="spellEnd"/>
      <w:r w:rsidRPr="006E3461">
        <w:rPr>
          <w:rFonts w:ascii="Book Antiqua" w:eastAsia="Book Antiqua" w:hAnsi="Book Antiqua" w:cs="Book Antiqua"/>
          <w:color w:val="000000"/>
        </w:rPr>
        <w:t xml:space="preserve"> T, Biermann K, </w:t>
      </w:r>
      <w:proofErr w:type="spellStart"/>
      <w:r w:rsidRPr="006E3461">
        <w:rPr>
          <w:rFonts w:ascii="Book Antiqua" w:eastAsia="Book Antiqua" w:hAnsi="Book Antiqua" w:cs="Book Antiqua"/>
          <w:color w:val="000000"/>
        </w:rPr>
        <w:t>Beukema</w:t>
      </w:r>
      <w:proofErr w:type="spellEnd"/>
      <w:r w:rsidRPr="006E3461">
        <w:rPr>
          <w:rFonts w:ascii="Book Antiqua" w:eastAsia="Book Antiqua" w:hAnsi="Book Antiqua" w:cs="Book Antiqua"/>
          <w:color w:val="000000"/>
        </w:rPr>
        <w:t xml:space="preserve"> JC, Piet AHM, van </w:t>
      </w:r>
      <w:proofErr w:type="spellStart"/>
      <w:r w:rsidRPr="006E3461">
        <w:rPr>
          <w:rFonts w:ascii="Book Antiqua" w:eastAsia="Book Antiqua" w:hAnsi="Book Antiqua" w:cs="Book Antiqua"/>
          <w:color w:val="000000"/>
        </w:rPr>
        <w:t>Rij</w:t>
      </w:r>
      <w:proofErr w:type="spellEnd"/>
      <w:r w:rsidRPr="006E3461">
        <w:rPr>
          <w:rFonts w:ascii="Book Antiqua" w:eastAsia="Book Antiqua" w:hAnsi="Book Antiqua" w:cs="Book Antiqua"/>
          <w:color w:val="000000"/>
        </w:rPr>
        <w:t xml:space="preserve"> CM, Reinders JG, </w:t>
      </w:r>
      <w:proofErr w:type="spellStart"/>
      <w:r w:rsidRPr="006E3461">
        <w:rPr>
          <w:rFonts w:ascii="Book Antiqua" w:eastAsia="Book Antiqua" w:hAnsi="Book Antiqua" w:cs="Book Antiqua"/>
          <w:color w:val="000000"/>
        </w:rPr>
        <w:t>Tilanus</w:t>
      </w:r>
      <w:proofErr w:type="spellEnd"/>
      <w:r w:rsidRPr="006E3461">
        <w:rPr>
          <w:rFonts w:ascii="Book Antiqua" w:eastAsia="Book Antiqua" w:hAnsi="Book Antiqua" w:cs="Book Antiqua"/>
          <w:color w:val="000000"/>
        </w:rPr>
        <w:t xml:space="preserve"> HW, </w:t>
      </w:r>
      <w:proofErr w:type="spellStart"/>
      <w:r w:rsidRPr="006E3461">
        <w:rPr>
          <w:rFonts w:ascii="Book Antiqua" w:eastAsia="Book Antiqua" w:hAnsi="Book Antiqua" w:cs="Book Antiqua"/>
          <w:color w:val="000000"/>
        </w:rPr>
        <w:t>Steyerberg</w:t>
      </w:r>
      <w:proofErr w:type="spellEnd"/>
      <w:r w:rsidRPr="006E3461">
        <w:rPr>
          <w:rFonts w:ascii="Book Antiqua" w:eastAsia="Book Antiqua" w:hAnsi="Book Antiqua" w:cs="Book Antiqua"/>
          <w:color w:val="000000"/>
        </w:rPr>
        <w:t xml:space="preserve"> EW, van der </w:t>
      </w:r>
      <w:proofErr w:type="spellStart"/>
      <w:r w:rsidRPr="006E3461">
        <w:rPr>
          <w:rFonts w:ascii="Book Antiqua" w:eastAsia="Book Antiqua" w:hAnsi="Book Antiqua" w:cs="Book Antiqua"/>
          <w:color w:val="000000"/>
        </w:rPr>
        <w:t>Gaast</w:t>
      </w:r>
      <w:proofErr w:type="spellEnd"/>
      <w:r w:rsidRPr="006E3461">
        <w:rPr>
          <w:rFonts w:ascii="Book Antiqua" w:eastAsia="Book Antiqua" w:hAnsi="Book Antiqua" w:cs="Book Antiqua"/>
          <w:color w:val="000000"/>
        </w:rPr>
        <w:t xml:space="preserve"> A; CROSS study group. Neoadjuvant chemoradiotherapy plus surgery versus surgery alone for </w:t>
      </w:r>
      <w:proofErr w:type="spellStart"/>
      <w:r w:rsidRPr="006E3461">
        <w:rPr>
          <w:rFonts w:ascii="Book Antiqua" w:eastAsia="Book Antiqua" w:hAnsi="Book Antiqua" w:cs="Book Antiqua"/>
          <w:color w:val="000000"/>
        </w:rPr>
        <w:t>oesophageal</w:t>
      </w:r>
      <w:proofErr w:type="spellEnd"/>
      <w:r w:rsidRPr="006E3461">
        <w:rPr>
          <w:rFonts w:ascii="Book Antiqua" w:eastAsia="Book Antiqua" w:hAnsi="Book Antiqua" w:cs="Book Antiqua"/>
          <w:color w:val="000000"/>
        </w:rPr>
        <w:t xml:space="preserve"> or junctional cancer (CROSS): long-term results of a </w:t>
      </w:r>
      <w:proofErr w:type="spellStart"/>
      <w:r w:rsidRPr="006E3461">
        <w:rPr>
          <w:rFonts w:ascii="Book Antiqua" w:eastAsia="Book Antiqua" w:hAnsi="Book Antiqua" w:cs="Book Antiqua"/>
          <w:color w:val="000000"/>
        </w:rPr>
        <w:t>randomised</w:t>
      </w:r>
      <w:proofErr w:type="spellEnd"/>
      <w:r w:rsidRPr="006E3461">
        <w:rPr>
          <w:rFonts w:ascii="Book Antiqua" w:eastAsia="Book Antiqua" w:hAnsi="Book Antiqua" w:cs="Book Antiqua"/>
          <w:color w:val="000000"/>
        </w:rPr>
        <w:t xml:space="preserve"> controlled trial. </w:t>
      </w:r>
      <w:r w:rsidRPr="006E3461">
        <w:rPr>
          <w:rFonts w:ascii="Book Antiqua" w:eastAsia="Book Antiqua" w:hAnsi="Book Antiqua" w:cs="Book Antiqua"/>
          <w:i/>
          <w:iCs/>
          <w:color w:val="000000"/>
        </w:rPr>
        <w:t>Lancet Oncol</w:t>
      </w:r>
      <w:r w:rsidRPr="006E3461">
        <w:rPr>
          <w:rFonts w:ascii="Book Antiqua" w:eastAsia="Book Antiqua" w:hAnsi="Book Antiqua" w:cs="Book Antiqua"/>
          <w:color w:val="000000"/>
        </w:rPr>
        <w:t xml:space="preserve"> 2015; </w:t>
      </w:r>
      <w:r w:rsidRPr="006E3461">
        <w:rPr>
          <w:rFonts w:ascii="Book Antiqua" w:eastAsia="Book Antiqua" w:hAnsi="Book Antiqua" w:cs="Book Antiqua"/>
          <w:b/>
          <w:bCs/>
          <w:color w:val="000000"/>
        </w:rPr>
        <w:t>16</w:t>
      </w:r>
      <w:r w:rsidRPr="006E3461">
        <w:rPr>
          <w:rFonts w:ascii="Book Antiqua" w:eastAsia="Book Antiqua" w:hAnsi="Book Antiqua" w:cs="Book Antiqua"/>
          <w:color w:val="000000"/>
        </w:rPr>
        <w:t>: 1090-1098 [PMID: 26254683 DOI: 10.1016/S1470-2045(15)00040-6]</w:t>
      </w:r>
    </w:p>
    <w:p w14:paraId="467740D2"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6 </w:t>
      </w:r>
      <w:r w:rsidRPr="006E3461">
        <w:rPr>
          <w:rFonts w:ascii="Book Antiqua" w:eastAsia="Book Antiqua" w:hAnsi="Book Antiqua" w:cs="Book Antiqua"/>
          <w:b/>
          <w:bCs/>
          <w:color w:val="000000"/>
        </w:rPr>
        <w:t>Deng HY</w:t>
      </w:r>
      <w:r w:rsidRPr="006E3461">
        <w:rPr>
          <w:rFonts w:ascii="Book Antiqua" w:eastAsia="Book Antiqua" w:hAnsi="Book Antiqua" w:cs="Book Antiqua"/>
          <w:color w:val="000000"/>
        </w:rPr>
        <w:t>, Wang WP, Wang YC, Hu WP, Ni PZ, Lin YD, Chen LQ. Neoadjuvant chemoradiotherapy or chemotherapy? A comprehensive systematic review and meta-</w:t>
      </w:r>
      <w:r w:rsidRPr="006E3461">
        <w:rPr>
          <w:rFonts w:ascii="Book Antiqua" w:eastAsia="Book Antiqua" w:hAnsi="Book Antiqua" w:cs="Book Antiqua"/>
          <w:color w:val="000000"/>
        </w:rPr>
        <w:lastRenderedPageBreak/>
        <w:t xml:space="preserve">analysis of the options for neoadjuvant therapy for treating </w:t>
      </w:r>
      <w:proofErr w:type="spellStart"/>
      <w:r w:rsidRPr="006E3461">
        <w:rPr>
          <w:rFonts w:ascii="Book Antiqua" w:eastAsia="Book Antiqua" w:hAnsi="Book Antiqua" w:cs="Book Antiqua"/>
          <w:color w:val="000000"/>
        </w:rPr>
        <w:t>oesophageal</w:t>
      </w:r>
      <w:proofErr w:type="spellEnd"/>
      <w:r w:rsidRPr="006E3461">
        <w:rPr>
          <w:rFonts w:ascii="Book Antiqua" w:eastAsia="Book Antiqua" w:hAnsi="Book Antiqua" w:cs="Book Antiqua"/>
          <w:color w:val="000000"/>
        </w:rPr>
        <w:t xml:space="preserve"> cancer. </w:t>
      </w:r>
      <w:r w:rsidRPr="006E3461">
        <w:rPr>
          <w:rFonts w:ascii="Book Antiqua" w:eastAsia="Book Antiqua" w:hAnsi="Book Antiqua" w:cs="Book Antiqua"/>
          <w:i/>
          <w:iCs/>
          <w:color w:val="000000"/>
        </w:rPr>
        <w:t xml:space="preserve">Eur J </w:t>
      </w:r>
      <w:proofErr w:type="spellStart"/>
      <w:r w:rsidRPr="006E3461">
        <w:rPr>
          <w:rFonts w:ascii="Book Antiqua" w:eastAsia="Book Antiqua" w:hAnsi="Book Antiqua" w:cs="Book Antiqua"/>
          <w:i/>
          <w:iCs/>
          <w:color w:val="000000"/>
        </w:rPr>
        <w:t>Cardiothorac</w:t>
      </w:r>
      <w:proofErr w:type="spellEnd"/>
      <w:r w:rsidRPr="006E3461">
        <w:rPr>
          <w:rFonts w:ascii="Book Antiqua" w:eastAsia="Book Antiqua" w:hAnsi="Book Antiqua" w:cs="Book Antiqua"/>
          <w:i/>
          <w:iCs/>
          <w:color w:val="000000"/>
        </w:rPr>
        <w:t xml:space="preserve"> Surg</w:t>
      </w:r>
      <w:r w:rsidRPr="006E3461">
        <w:rPr>
          <w:rFonts w:ascii="Book Antiqua" w:eastAsia="Book Antiqua" w:hAnsi="Book Antiqua" w:cs="Book Antiqua"/>
          <w:color w:val="000000"/>
        </w:rPr>
        <w:t xml:space="preserve"> 2017; </w:t>
      </w:r>
      <w:r w:rsidRPr="006E3461">
        <w:rPr>
          <w:rFonts w:ascii="Book Antiqua" w:eastAsia="Book Antiqua" w:hAnsi="Book Antiqua" w:cs="Book Antiqua"/>
          <w:b/>
          <w:bCs/>
          <w:color w:val="000000"/>
        </w:rPr>
        <w:t>51</w:t>
      </w:r>
      <w:r w:rsidRPr="006E3461">
        <w:rPr>
          <w:rFonts w:ascii="Book Antiqua" w:eastAsia="Book Antiqua" w:hAnsi="Book Antiqua" w:cs="Book Antiqua"/>
          <w:color w:val="000000"/>
        </w:rPr>
        <w:t>: 421-431 [PMID: 27694253 DOI: 10.1093/</w:t>
      </w:r>
      <w:proofErr w:type="spellStart"/>
      <w:r w:rsidRPr="006E3461">
        <w:rPr>
          <w:rFonts w:ascii="Book Antiqua" w:eastAsia="Book Antiqua" w:hAnsi="Book Antiqua" w:cs="Book Antiqua"/>
          <w:color w:val="000000"/>
        </w:rPr>
        <w:t>ejcts</w:t>
      </w:r>
      <w:proofErr w:type="spellEnd"/>
      <w:r w:rsidRPr="006E3461">
        <w:rPr>
          <w:rFonts w:ascii="Book Antiqua" w:eastAsia="Book Antiqua" w:hAnsi="Book Antiqua" w:cs="Book Antiqua"/>
          <w:color w:val="000000"/>
        </w:rPr>
        <w:t>/ezw315]</w:t>
      </w:r>
    </w:p>
    <w:p w14:paraId="67FE7F8B"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7 </w:t>
      </w:r>
      <w:r w:rsidRPr="006E3461">
        <w:rPr>
          <w:rFonts w:ascii="Book Antiqua" w:eastAsia="Book Antiqua" w:hAnsi="Book Antiqua" w:cs="Book Antiqua"/>
          <w:b/>
          <w:bCs/>
          <w:color w:val="000000"/>
        </w:rPr>
        <w:t>Jia XJ</w:t>
      </w:r>
      <w:r w:rsidRPr="006E3461">
        <w:rPr>
          <w:rFonts w:ascii="Book Antiqua" w:eastAsia="Book Antiqua" w:hAnsi="Book Antiqua" w:cs="Book Antiqua"/>
          <w:color w:val="000000"/>
        </w:rPr>
        <w:t xml:space="preserve">, Huang JZ. Clinical Study on Lobaplatin Combined with 5-Fu and Concurrent Radiotherapy in Treating Patients with Inoperable Esophageal Cancer. </w:t>
      </w:r>
      <w:r w:rsidRPr="006E3461">
        <w:rPr>
          <w:rFonts w:ascii="Book Antiqua" w:eastAsia="Book Antiqua" w:hAnsi="Book Antiqua" w:cs="Book Antiqua"/>
          <w:i/>
          <w:iCs/>
          <w:color w:val="000000"/>
        </w:rPr>
        <w:t xml:space="preserve">Asian Pac J Cancer </w:t>
      </w:r>
      <w:proofErr w:type="spellStart"/>
      <w:r w:rsidRPr="006E3461">
        <w:rPr>
          <w:rFonts w:ascii="Book Antiqua" w:eastAsia="Book Antiqua" w:hAnsi="Book Antiqua" w:cs="Book Antiqua"/>
          <w:i/>
          <w:iCs/>
          <w:color w:val="000000"/>
        </w:rPr>
        <w:t>Prev</w:t>
      </w:r>
      <w:proofErr w:type="spellEnd"/>
      <w:r w:rsidRPr="006E3461">
        <w:rPr>
          <w:rFonts w:ascii="Book Antiqua" w:eastAsia="Book Antiqua" w:hAnsi="Book Antiqua" w:cs="Book Antiqua"/>
          <w:color w:val="000000"/>
        </w:rPr>
        <w:t xml:space="preserve"> 2015; </w:t>
      </w:r>
      <w:r w:rsidRPr="006E3461">
        <w:rPr>
          <w:rFonts w:ascii="Book Antiqua" w:eastAsia="Book Antiqua" w:hAnsi="Book Antiqua" w:cs="Book Antiqua"/>
          <w:b/>
          <w:bCs/>
          <w:color w:val="000000"/>
        </w:rPr>
        <w:t>16</w:t>
      </w:r>
      <w:r w:rsidRPr="006E3461">
        <w:rPr>
          <w:rFonts w:ascii="Book Antiqua" w:eastAsia="Book Antiqua" w:hAnsi="Book Antiqua" w:cs="Book Antiqua"/>
          <w:color w:val="000000"/>
        </w:rPr>
        <w:t>: 6595-6597 [PMID: 26434880 DOI: 10.7314/APJCP.2015.16.15.6595]</w:t>
      </w:r>
    </w:p>
    <w:p w14:paraId="296FEDBC"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8 </w:t>
      </w:r>
      <w:r w:rsidRPr="006E3461">
        <w:rPr>
          <w:rFonts w:ascii="Book Antiqua" w:eastAsia="Book Antiqua" w:hAnsi="Book Antiqua" w:cs="Book Antiqua"/>
          <w:b/>
          <w:bCs/>
          <w:color w:val="000000"/>
        </w:rPr>
        <w:t>Chen MQ</w:t>
      </w:r>
      <w:r w:rsidRPr="006E3461">
        <w:rPr>
          <w:rFonts w:ascii="Book Antiqua" w:eastAsia="Book Antiqua" w:hAnsi="Book Antiqua" w:cs="Book Antiqua"/>
          <w:color w:val="000000"/>
        </w:rPr>
        <w:t xml:space="preserve">, Chen C, Lu HJ, Xu BH. The efficacy and toxicities of combined lobaplatin with paclitaxel as a first-line chemotherapy for advanced esophageal squamous cell carcinoma. </w:t>
      </w:r>
      <w:r w:rsidRPr="006E3461">
        <w:rPr>
          <w:rFonts w:ascii="Book Antiqua" w:eastAsia="Book Antiqua" w:hAnsi="Book Antiqua" w:cs="Book Antiqua"/>
          <w:i/>
          <w:iCs/>
          <w:color w:val="000000"/>
        </w:rPr>
        <w:t xml:space="preserve">J </w:t>
      </w:r>
      <w:proofErr w:type="spellStart"/>
      <w:r w:rsidRPr="006E3461">
        <w:rPr>
          <w:rFonts w:ascii="Book Antiqua" w:eastAsia="Book Antiqua" w:hAnsi="Book Antiqua" w:cs="Book Antiqua"/>
          <w:i/>
          <w:iCs/>
          <w:color w:val="000000"/>
        </w:rPr>
        <w:t>Thorac</w:t>
      </w:r>
      <w:proofErr w:type="spellEnd"/>
      <w:r w:rsidRPr="006E3461">
        <w:rPr>
          <w:rFonts w:ascii="Book Antiqua" w:eastAsia="Book Antiqua" w:hAnsi="Book Antiqua" w:cs="Book Antiqua"/>
          <w:i/>
          <w:iCs/>
          <w:color w:val="000000"/>
        </w:rPr>
        <w:t xml:space="preserve"> Dis</w:t>
      </w:r>
      <w:r w:rsidRPr="006E3461">
        <w:rPr>
          <w:rFonts w:ascii="Book Antiqua" w:eastAsia="Book Antiqua" w:hAnsi="Book Antiqua" w:cs="Book Antiqua"/>
          <w:color w:val="000000"/>
        </w:rPr>
        <w:t xml:space="preserve"> 2015; </w:t>
      </w:r>
      <w:r w:rsidRPr="006E3461">
        <w:rPr>
          <w:rFonts w:ascii="Book Antiqua" w:eastAsia="Book Antiqua" w:hAnsi="Book Antiqua" w:cs="Book Antiqua"/>
          <w:b/>
          <w:bCs/>
          <w:color w:val="000000"/>
        </w:rPr>
        <w:t>7</w:t>
      </w:r>
      <w:r w:rsidRPr="006E3461">
        <w:rPr>
          <w:rFonts w:ascii="Book Antiqua" w:eastAsia="Book Antiqua" w:hAnsi="Book Antiqua" w:cs="Book Antiqua"/>
          <w:color w:val="000000"/>
        </w:rPr>
        <w:t>: 1749-1755 [PMID: 26623097 DOI: 10.3978/j.issn.2072-1439.2015.10.23]</w:t>
      </w:r>
    </w:p>
    <w:p w14:paraId="460010E6"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9 </w:t>
      </w:r>
      <w:r w:rsidRPr="006E3461">
        <w:rPr>
          <w:rFonts w:ascii="Book Antiqua" w:eastAsia="Book Antiqua" w:hAnsi="Book Antiqua" w:cs="Book Antiqua"/>
          <w:b/>
          <w:bCs/>
          <w:color w:val="000000"/>
        </w:rPr>
        <w:t>Chen J</w:t>
      </w:r>
      <w:r w:rsidRPr="006E3461">
        <w:rPr>
          <w:rFonts w:ascii="Book Antiqua" w:eastAsia="Book Antiqua" w:hAnsi="Book Antiqua" w:cs="Book Antiqua"/>
          <w:color w:val="000000"/>
        </w:rPr>
        <w:t xml:space="preserve">, </w:t>
      </w:r>
      <w:proofErr w:type="spellStart"/>
      <w:r w:rsidRPr="006E3461">
        <w:rPr>
          <w:rFonts w:ascii="Book Antiqua" w:eastAsia="Book Antiqua" w:hAnsi="Book Antiqua" w:cs="Book Antiqua"/>
          <w:color w:val="000000"/>
        </w:rPr>
        <w:t>Su</w:t>
      </w:r>
      <w:proofErr w:type="spellEnd"/>
      <w:r w:rsidRPr="006E3461">
        <w:rPr>
          <w:rFonts w:ascii="Book Antiqua" w:eastAsia="Book Antiqua" w:hAnsi="Book Antiqua" w:cs="Book Antiqua"/>
          <w:color w:val="000000"/>
        </w:rPr>
        <w:t xml:space="preserve"> T, Lin Y, Wang B, Li J, Pan J, Chen C. Intensity-modulated radiotherapy combined with paclitaxel and platinum treatment regimens in locally advanced esophageal squamous cell carcinoma. </w:t>
      </w:r>
      <w:r w:rsidRPr="006E3461">
        <w:rPr>
          <w:rFonts w:ascii="Book Antiqua" w:eastAsia="Book Antiqua" w:hAnsi="Book Antiqua" w:cs="Book Antiqua"/>
          <w:i/>
          <w:iCs/>
          <w:color w:val="000000"/>
        </w:rPr>
        <w:t xml:space="preserve">Clin </w:t>
      </w:r>
      <w:proofErr w:type="spellStart"/>
      <w:r w:rsidRPr="006E3461">
        <w:rPr>
          <w:rFonts w:ascii="Book Antiqua" w:eastAsia="Book Antiqua" w:hAnsi="Book Antiqua" w:cs="Book Antiqua"/>
          <w:i/>
          <w:iCs/>
          <w:color w:val="000000"/>
        </w:rPr>
        <w:t>Transl</w:t>
      </w:r>
      <w:proofErr w:type="spellEnd"/>
      <w:r w:rsidRPr="006E3461">
        <w:rPr>
          <w:rFonts w:ascii="Book Antiqua" w:eastAsia="Book Antiqua" w:hAnsi="Book Antiqua" w:cs="Book Antiqua"/>
          <w:i/>
          <w:iCs/>
          <w:color w:val="000000"/>
        </w:rPr>
        <w:t xml:space="preserve"> Oncol</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20</w:t>
      </w:r>
      <w:r w:rsidRPr="006E3461">
        <w:rPr>
          <w:rFonts w:ascii="Book Antiqua" w:eastAsia="Book Antiqua" w:hAnsi="Book Antiqua" w:cs="Book Antiqua"/>
          <w:color w:val="000000"/>
        </w:rPr>
        <w:t>: 411-419 [PMID: 28779422 DOI: 10.1007/s12094-017-1734-y]</w:t>
      </w:r>
    </w:p>
    <w:p w14:paraId="0B952BF6"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10 </w:t>
      </w:r>
      <w:r w:rsidRPr="006E3461">
        <w:rPr>
          <w:rFonts w:ascii="Book Antiqua" w:eastAsia="Book Antiqua" w:hAnsi="Book Antiqua" w:cs="Book Antiqua"/>
          <w:b/>
          <w:bCs/>
          <w:color w:val="000000"/>
        </w:rPr>
        <w:t>Ji KSY</w:t>
      </w:r>
      <w:r w:rsidRPr="006E3461">
        <w:rPr>
          <w:rFonts w:ascii="Book Antiqua" w:eastAsia="Book Antiqua" w:hAnsi="Book Antiqua" w:cs="Book Antiqua"/>
          <w:color w:val="000000"/>
        </w:rPr>
        <w:t xml:space="preserve">, Thomas SM, Roman SA, </w:t>
      </w:r>
      <w:proofErr w:type="spellStart"/>
      <w:r w:rsidRPr="006E3461">
        <w:rPr>
          <w:rFonts w:ascii="Book Antiqua" w:eastAsia="Book Antiqua" w:hAnsi="Book Antiqua" w:cs="Book Antiqua"/>
          <w:color w:val="000000"/>
        </w:rPr>
        <w:t>Czito</w:t>
      </w:r>
      <w:proofErr w:type="spellEnd"/>
      <w:r w:rsidRPr="006E3461">
        <w:rPr>
          <w:rFonts w:ascii="Book Antiqua" w:eastAsia="Book Antiqua" w:hAnsi="Book Antiqua" w:cs="Book Antiqua"/>
          <w:color w:val="000000"/>
        </w:rPr>
        <w:t xml:space="preserve"> B, Anderson KL Jr, </w:t>
      </w:r>
      <w:proofErr w:type="spellStart"/>
      <w:r w:rsidRPr="006E3461">
        <w:rPr>
          <w:rFonts w:ascii="Book Antiqua" w:eastAsia="Book Antiqua" w:hAnsi="Book Antiqua" w:cs="Book Antiqua"/>
          <w:color w:val="000000"/>
        </w:rPr>
        <w:t>Frakes</w:t>
      </w:r>
      <w:proofErr w:type="spellEnd"/>
      <w:r w:rsidRPr="006E3461">
        <w:rPr>
          <w:rFonts w:ascii="Book Antiqua" w:eastAsia="Book Antiqua" w:hAnsi="Book Antiqua" w:cs="Book Antiqua"/>
          <w:color w:val="000000"/>
        </w:rPr>
        <w:t xml:space="preserve"> J, Adam MA, Sosa JA, Robinson TJ. Low- vs. High-Dose Neoadjuvant Radiation in </w:t>
      </w:r>
      <w:proofErr w:type="spellStart"/>
      <w:r w:rsidRPr="006E3461">
        <w:rPr>
          <w:rFonts w:ascii="Book Antiqua" w:eastAsia="Book Antiqua" w:hAnsi="Book Antiqua" w:cs="Book Antiqua"/>
          <w:color w:val="000000"/>
        </w:rPr>
        <w:t>Trimodality</w:t>
      </w:r>
      <w:proofErr w:type="spellEnd"/>
      <w:r w:rsidRPr="006E3461">
        <w:rPr>
          <w:rFonts w:ascii="Book Antiqua" w:eastAsia="Book Antiqua" w:hAnsi="Book Antiqua" w:cs="Book Antiqua"/>
          <w:color w:val="000000"/>
        </w:rPr>
        <w:t xml:space="preserve"> Treatment of Locally Advanced Esophageal Cancer. </w:t>
      </w:r>
      <w:r w:rsidRPr="006E3461">
        <w:rPr>
          <w:rFonts w:ascii="Book Antiqua" w:eastAsia="Book Antiqua" w:hAnsi="Book Antiqua" w:cs="Book Antiqua"/>
          <w:i/>
          <w:iCs/>
          <w:color w:val="000000"/>
        </w:rPr>
        <w:t>J Gastrointest Surg</w:t>
      </w:r>
      <w:r w:rsidRPr="006E3461">
        <w:rPr>
          <w:rFonts w:ascii="Book Antiqua" w:eastAsia="Book Antiqua" w:hAnsi="Book Antiqua" w:cs="Book Antiqua"/>
          <w:color w:val="000000"/>
        </w:rPr>
        <w:t xml:space="preserve"> 2019; </w:t>
      </w:r>
      <w:r w:rsidRPr="006E3461">
        <w:rPr>
          <w:rFonts w:ascii="Book Antiqua" w:eastAsia="Book Antiqua" w:hAnsi="Book Antiqua" w:cs="Book Antiqua"/>
          <w:b/>
          <w:bCs/>
          <w:color w:val="000000"/>
        </w:rPr>
        <w:t>23</w:t>
      </w:r>
      <w:r w:rsidRPr="006E3461">
        <w:rPr>
          <w:rFonts w:ascii="Book Antiqua" w:eastAsia="Book Antiqua" w:hAnsi="Book Antiqua" w:cs="Book Antiqua"/>
          <w:color w:val="000000"/>
        </w:rPr>
        <w:t>: 885-894 [PMID: 30374818 DOI: 10.1007/s11605-018-4007-3]</w:t>
      </w:r>
    </w:p>
    <w:p w14:paraId="74C43F20"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11 </w:t>
      </w:r>
      <w:r w:rsidRPr="006E3461">
        <w:rPr>
          <w:rFonts w:ascii="Book Antiqua" w:eastAsia="Book Antiqua" w:hAnsi="Book Antiqua" w:cs="Book Antiqua"/>
          <w:b/>
          <w:bCs/>
          <w:color w:val="000000"/>
        </w:rPr>
        <w:t>Yang H</w:t>
      </w:r>
      <w:r w:rsidRPr="006E3461">
        <w:rPr>
          <w:rFonts w:ascii="Book Antiqua" w:eastAsia="Book Antiqua" w:hAnsi="Book Antiqua" w:cs="Book Antiqua"/>
          <w:color w:val="000000"/>
        </w:rPr>
        <w:t xml:space="preserve">, Liu H, Chen Y, Zhu C, Fang W, Yu Z, Mao W, Xiang J, Han Y, Chen Z, Yang H, Wang J, Pang Q, Zheng X, Yang H, Li T, </w:t>
      </w:r>
      <w:proofErr w:type="spellStart"/>
      <w:r w:rsidRPr="006E3461">
        <w:rPr>
          <w:rFonts w:ascii="Book Antiqua" w:eastAsia="Book Antiqua" w:hAnsi="Book Antiqua" w:cs="Book Antiqua"/>
          <w:color w:val="000000"/>
        </w:rPr>
        <w:t>Lordick</w:t>
      </w:r>
      <w:proofErr w:type="spellEnd"/>
      <w:r w:rsidRPr="006E3461">
        <w:rPr>
          <w:rFonts w:ascii="Book Antiqua" w:eastAsia="Book Antiqua" w:hAnsi="Book Antiqua" w:cs="Book Antiqua"/>
          <w:color w:val="000000"/>
        </w:rPr>
        <w:t xml:space="preserve"> F, </w:t>
      </w:r>
      <w:proofErr w:type="spellStart"/>
      <w:r w:rsidRPr="006E3461">
        <w:rPr>
          <w:rFonts w:ascii="Book Antiqua" w:eastAsia="Book Antiqua" w:hAnsi="Book Antiqua" w:cs="Book Antiqua"/>
          <w:color w:val="000000"/>
        </w:rPr>
        <w:t>D'Journo</w:t>
      </w:r>
      <w:proofErr w:type="spellEnd"/>
      <w:r w:rsidRPr="006E3461">
        <w:rPr>
          <w:rFonts w:ascii="Book Antiqua" w:eastAsia="Book Antiqua" w:hAnsi="Book Antiqua" w:cs="Book Antiqua"/>
          <w:color w:val="000000"/>
        </w:rPr>
        <w:t xml:space="preserve"> XB, </w:t>
      </w:r>
      <w:proofErr w:type="spellStart"/>
      <w:r w:rsidRPr="006E3461">
        <w:rPr>
          <w:rFonts w:ascii="Book Antiqua" w:eastAsia="Book Antiqua" w:hAnsi="Book Antiqua" w:cs="Book Antiqua"/>
          <w:color w:val="000000"/>
        </w:rPr>
        <w:t>Cerfolio</w:t>
      </w:r>
      <w:proofErr w:type="spellEnd"/>
      <w:r w:rsidRPr="006E3461">
        <w:rPr>
          <w:rFonts w:ascii="Book Antiqua" w:eastAsia="Book Antiqua" w:hAnsi="Book Antiqua" w:cs="Book Antiqua"/>
          <w:color w:val="000000"/>
        </w:rPr>
        <w:t xml:space="preserve"> RJ, </w:t>
      </w:r>
      <w:proofErr w:type="spellStart"/>
      <w:r w:rsidRPr="006E3461">
        <w:rPr>
          <w:rFonts w:ascii="Book Antiqua" w:eastAsia="Book Antiqua" w:hAnsi="Book Antiqua" w:cs="Book Antiqua"/>
          <w:color w:val="000000"/>
        </w:rPr>
        <w:t>Korst</w:t>
      </w:r>
      <w:proofErr w:type="spellEnd"/>
      <w:r w:rsidRPr="006E3461">
        <w:rPr>
          <w:rFonts w:ascii="Book Antiqua" w:eastAsia="Book Antiqua" w:hAnsi="Book Antiqua" w:cs="Book Antiqua"/>
          <w:color w:val="000000"/>
        </w:rPr>
        <w:t xml:space="preserve"> RJ, </w:t>
      </w:r>
      <w:proofErr w:type="spellStart"/>
      <w:r w:rsidRPr="006E3461">
        <w:rPr>
          <w:rFonts w:ascii="Book Antiqua" w:eastAsia="Book Antiqua" w:hAnsi="Book Antiqua" w:cs="Book Antiqua"/>
          <w:color w:val="000000"/>
        </w:rPr>
        <w:t>Novoa</w:t>
      </w:r>
      <w:proofErr w:type="spellEnd"/>
      <w:r w:rsidRPr="006E3461">
        <w:rPr>
          <w:rFonts w:ascii="Book Antiqua" w:eastAsia="Book Antiqua" w:hAnsi="Book Antiqua" w:cs="Book Antiqua"/>
          <w:color w:val="000000"/>
        </w:rPr>
        <w:t xml:space="preserve"> NM, Swanson SJ, </w:t>
      </w:r>
      <w:proofErr w:type="spellStart"/>
      <w:r w:rsidRPr="006E3461">
        <w:rPr>
          <w:rFonts w:ascii="Book Antiqua" w:eastAsia="Book Antiqua" w:hAnsi="Book Antiqua" w:cs="Book Antiqua"/>
          <w:color w:val="000000"/>
        </w:rPr>
        <w:t>Brunelli</w:t>
      </w:r>
      <w:proofErr w:type="spellEnd"/>
      <w:r w:rsidRPr="006E3461">
        <w:rPr>
          <w:rFonts w:ascii="Book Antiqua" w:eastAsia="Book Antiqua" w:hAnsi="Book Antiqua" w:cs="Book Antiqua"/>
          <w:color w:val="000000"/>
        </w:rPr>
        <w:t xml:space="preserve">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sidRPr="006E3461">
        <w:rPr>
          <w:rFonts w:ascii="Book Antiqua" w:eastAsia="Book Antiqua" w:hAnsi="Book Antiqua" w:cs="Book Antiqua"/>
          <w:i/>
          <w:iCs/>
          <w:color w:val="000000"/>
        </w:rPr>
        <w:t>J Clin Oncol</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36</w:t>
      </w:r>
      <w:r w:rsidRPr="006E3461">
        <w:rPr>
          <w:rFonts w:ascii="Book Antiqua" w:eastAsia="Book Antiqua" w:hAnsi="Book Antiqua" w:cs="Book Antiqua"/>
          <w:color w:val="000000"/>
        </w:rPr>
        <w:t>: 2796-2803 [PMID: 30089078 DOI: 10.1200/JCO.2018.79.1483]</w:t>
      </w:r>
    </w:p>
    <w:p w14:paraId="5D4186BF" w14:textId="77777777" w:rsidR="00A77B3E" w:rsidRPr="006E3461" w:rsidRDefault="00A77B3E">
      <w:pPr>
        <w:snapToGrid w:val="0"/>
        <w:spacing w:line="360" w:lineRule="auto"/>
        <w:jc w:val="both"/>
        <w:rPr>
          <w:rFonts w:ascii="Book Antiqua" w:hAnsi="Book Antiqua"/>
        </w:rPr>
        <w:sectPr w:rsidR="00A77B3E" w:rsidRPr="006E3461">
          <w:pgSz w:w="12240" w:h="15840"/>
          <w:pgMar w:top="1440" w:right="1440" w:bottom="1440" w:left="1440" w:header="720" w:footer="720" w:gutter="0"/>
          <w:cols w:space="720"/>
          <w:docGrid w:linePitch="360"/>
        </w:sectPr>
      </w:pPr>
    </w:p>
    <w:p w14:paraId="35DB3803"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lastRenderedPageBreak/>
        <w:t>Footnotes</w:t>
      </w:r>
    </w:p>
    <w:p w14:paraId="360090C6" w14:textId="0AEB7708"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bCs/>
          <w:color w:val="000000"/>
        </w:rPr>
        <w:t xml:space="preserve">Institutional review board statement: </w:t>
      </w:r>
      <w:bookmarkStart w:id="72" w:name="OLE_LINK66"/>
      <w:bookmarkStart w:id="73" w:name="OLE_LINK67"/>
      <w:r w:rsidRPr="006E3461">
        <w:rPr>
          <w:rFonts w:ascii="Book Antiqua" w:eastAsia="Book Antiqua" w:hAnsi="Book Antiqua" w:cs="Book Antiqua"/>
          <w:color w:val="000000"/>
        </w:rPr>
        <w:t>The study was reviewed and approved by the Medical Ethics Committee of General Hospital of the Chinese People's Liberation Army Institutional Review Board (Approval No.</w:t>
      </w:r>
      <w:r w:rsid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S2017-001-02).</w:t>
      </w:r>
    </w:p>
    <w:bookmarkEnd w:id="72"/>
    <w:bookmarkEnd w:id="73"/>
    <w:p w14:paraId="4EBED2EC" w14:textId="77777777" w:rsidR="00A77B3E" w:rsidRPr="006E3461" w:rsidRDefault="00A77B3E">
      <w:pPr>
        <w:snapToGrid w:val="0"/>
        <w:spacing w:line="360" w:lineRule="auto"/>
        <w:jc w:val="both"/>
        <w:rPr>
          <w:rFonts w:ascii="Book Antiqua" w:hAnsi="Book Antiqua"/>
        </w:rPr>
      </w:pPr>
    </w:p>
    <w:p w14:paraId="06041DB5" w14:textId="1202D458" w:rsidR="00A77B3E" w:rsidRPr="006E3461" w:rsidRDefault="00A60D61">
      <w:pPr>
        <w:snapToGrid w:val="0"/>
        <w:spacing w:line="360" w:lineRule="auto"/>
        <w:jc w:val="both"/>
        <w:rPr>
          <w:rFonts w:ascii="Book Antiqua" w:hAnsi="Book Antiqua"/>
          <w:lang w:eastAsia="zh-CN"/>
        </w:rPr>
      </w:pPr>
      <w:r w:rsidRPr="006E3461">
        <w:rPr>
          <w:rFonts w:ascii="Book Antiqua" w:eastAsia="Book Antiqua" w:hAnsi="Book Antiqua" w:cs="Book Antiqua"/>
          <w:b/>
          <w:bCs/>
          <w:color w:val="000000"/>
        </w:rPr>
        <w:t xml:space="preserve">Conflict-of-interest statement: </w:t>
      </w:r>
      <w:bookmarkStart w:id="74" w:name="OLE_LINK68"/>
      <w:bookmarkStart w:id="75" w:name="OLE_LINK69"/>
      <w:r w:rsidRPr="006E3461">
        <w:rPr>
          <w:rFonts w:ascii="Book Antiqua" w:eastAsia="Book Antiqua" w:hAnsi="Book Antiqua" w:cs="Book Antiqua"/>
          <w:color w:val="000000"/>
          <w:shd w:val="clear" w:color="auto" w:fill="FFFFFF"/>
        </w:rPr>
        <w:t>Mao-Hui Yan </w:t>
      </w:r>
      <w:r w:rsidRPr="006E3461">
        <w:rPr>
          <w:rFonts w:ascii="Book Antiqua" w:eastAsia="Book Antiqua" w:hAnsi="Book Antiqua" w:cs="Book Antiqua"/>
          <w:color w:val="000000"/>
        </w:rPr>
        <w:t>has received research funding from the Open Project of National Clinical Research Center for Geriatric Diseases</w:t>
      </w:r>
      <w:r w:rsidR="00B723BB"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w:t>
      </w:r>
      <w:r w:rsidR="006E3461">
        <w:rPr>
          <w:rFonts w:ascii="Book Antiqua" w:eastAsia="Book Antiqua" w:hAnsi="Book Antiqua" w:cs="Book Antiqua"/>
          <w:color w:val="000000"/>
        </w:rPr>
        <w:t>o</w:t>
      </w:r>
      <w:r w:rsidRPr="006E3461">
        <w:rPr>
          <w:rFonts w:ascii="Book Antiqua" w:eastAsia="Book Antiqua" w:hAnsi="Book Antiqua" w:cs="Book Antiqua"/>
          <w:color w:val="000000"/>
        </w:rPr>
        <w:t>:</w:t>
      </w:r>
      <w:r w:rsidR="00B723BB"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NCRCG-PLAGH-2017004)</w:t>
      </w:r>
      <w:r w:rsidR="006E3461">
        <w:rPr>
          <w:rFonts w:ascii="Book Antiqua" w:eastAsia="Book Antiqua" w:hAnsi="Book Antiqua" w:cs="Book Antiqua"/>
          <w:color w:val="000000"/>
        </w:rPr>
        <w:t>;</w:t>
      </w:r>
      <w:r w:rsidR="009315B9" w:rsidRPr="006E3461">
        <w:rPr>
          <w:rFonts w:ascii="Book Antiqua" w:hAnsi="Book Antiqua"/>
          <w:lang w:eastAsia="zh-CN"/>
        </w:rPr>
        <w:t xml:space="preserve"> </w:t>
      </w:r>
      <w:r w:rsidRPr="006E3461">
        <w:rPr>
          <w:rFonts w:ascii="Book Antiqua" w:eastAsia="Book Antiqua" w:hAnsi="Book Antiqua" w:cs="Book Antiqua"/>
          <w:color w:val="000000"/>
          <w:shd w:val="clear" w:color="auto" w:fill="FFFFFF"/>
        </w:rPr>
        <w:t>Fang Liu</w:t>
      </w:r>
      <w:r w:rsidR="00EF50C9" w:rsidRPr="006E3461">
        <w:rPr>
          <w:rFonts w:ascii="Book Antiqua" w:eastAsia="Book Antiqua" w:hAnsi="Book Antiqua" w:cs="Book Antiqua"/>
          <w:color w:val="000000"/>
          <w:shd w:val="clear" w:color="auto" w:fill="FFFFFF"/>
        </w:rPr>
        <w:t xml:space="preserve"> </w:t>
      </w:r>
      <w:r w:rsidRPr="006E3461">
        <w:rPr>
          <w:rFonts w:ascii="Book Antiqua" w:eastAsia="Book Antiqua" w:hAnsi="Book Antiqua" w:cs="Book Antiqua"/>
          <w:color w:val="000000"/>
          <w:shd w:val="clear" w:color="auto" w:fill="FFFFFF"/>
        </w:rPr>
        <w:t>has received research funding from Clinical Research Support Fund of PLA General Hospital</w:t>
      </w:r>
      <w:r w:rsidR="00B723BB" w:rsidRPr="006E3461">
        <w:rPr>
          <w:rFonts w:ascii="Book Antiqua" w:eastAsia="Book Antiqua" w:hAnsi="Book Antiqua" w:cs="Book Antiqua"/>
          <w:color w:val="000000"/>
          <w:shd w:val="clear" w:color="auto" w:fill="FFFFFF"/>
        </w:rPr>
        <w:t xml:space="preserve"> </w:t>
      </w:r>
      <w:r w:rsidR="00B723BB" w:rsidRPr="006E3461">
        <w:rPr>
          <w:rFonts w:ascii="Book Antiqua" w:eastAsia="宋体" w:hAnsi="Book Antiqua" w:cs="宋体"/>
          <w:color w:val="000000"/>
          <w:shd w:val="clear" w:color="auto" w:fill="FFFFFF"/>
          <w:lang w:eastAsia="zh-CN"/>
        </w:rPr>
        <w:t>(</w:t>
      </w:r>
      <w:r w:rsidRPr="006E3461">
        <w:rPr>
          <w:rFonts w:ascii="Book Antiqua" w:eastAsia="Book Antiqua" w:hAnsi="Book Antiqua" w:cs="Book Antiqua"/>
          <w:color w:val="000000"/>
          <w:shd w:val="clear" w:color="auto" w:fill="FFFFFF"/>
        </w:rPr>
        <w:t>N</w:t>
      </w:r>
      <w:r w:rsidR="006E3461">
        <w:rPr>
          <w:rFonts w:ascii="Book Antiqua" w:eastAsia="Book Antiqua" w:hAnsi="Book Antiqua" w:cs="Book Antiqua"/>
          <w:color w:val="000000"/>
          <w:shd w:val="clear" w:color="auto" w:fill="FFFFFF"/>
        </w:rPr>
        <w:t>o</w:t>
      </w:r>
      <w:r w:rsidRPr="006E3461">
        <w:rPr>
          <w:rFonts w:ascii="Book Antiqua" w:eastAsia="Book Antiqua" w:hAnsi="Book Antiqua" w:cs="Book Antiqua"/>
          <w:color w:val="000000"/>
          <w:shd w:val="clear" w:color="auto" w:fill="FFFFFF"/>
        </w:rPr>
        <w:t>:</w:t>
      </w:r>
      <w:r w:rsidR="00B723BB" w:rsidRPr="006E3461">
        <w:rPr>
          <w:rFonts w:ascii="Book Antiqua" w:eastAsia="Book Antiqua" w:hAnsi="Book Antiqua" w:cs="Book Antiqua"/>
          <w:color w:val="000000"/>
          <w:shd w:val="clear" w:color="auto" w:fill="FFFFFF"/>
        </w:rPr>
        <w:t xml:space="preserve"> </w:t>
      </w:r>
      <w:r w:rsidRPr="006E3461">
        <w:rPr>
          <w:rFonts w:ascii="Book Antiqua" w:eastAsia="Book Antiqua" w:hAnsi="Book Antiqua" w:cs="Book Antiqua"/>
          <w:color w:val="000000"/>
          <w:shd w:val="clear" w:color="auto" w:fill="FFFFFF"/>
        </w:rPr>
        <w:t>2016FC-CXYY-2004</w:t>
      </w:r>
      <w:r w:rsidR="00B723BB" w:rsidRPr="006E3461">
        <w:rPr>
          <w:rFonts w:ascii="Book Antiqua" w:hAnsi="Book Antiqua" w:cs="Book Antiqua"/>
          <w:color w:val="000000"/>
          <w:shd w:val="clear" w:color="auto" w:fill="FFFFFF"/>
          <w:lang w:eastAsia="zh-CN"/>
        </w:rPr>
        <w:t>)</w:t>
      </w:r>
      <w:r w:rsidR="009315B9" w:rsidRPr="006E3461">
        <w:rPr>
          <w:rFonts w:ascii="Book Antiqua" w:hAnsi="Book Antiqua" w:cs="Book Antiqua"/>
          <w:color w:val="000000"/>
          <w:shd w:val="clear" w:color="auto" w:fill="FFFFFF"/>
          <w:lang w:eastAsia="zh-CN"/>
        </w:rPr>
        <w:t>.</w:t>
      </w:r>
    </w:p>
    <w:bookmarkEnd w:id="74"/>
    <w:bookmarkEnd w:id="75"/>
    <w:p w14:paraId="66F468BE" w14:textId="77777777" w:rsidR="00A77B3E" w:rsidRPr="006E3461" w:rsidRDefault="00A77B3E">
      <w:pPr>
        <w:snapToGrid w:val="0"/>
        <w:spacing w:line="360" w:lineRule="auto"/>
        <w:jc w:val="both"/>
        <w:rPr>
          <w:rFonts w:ascii="Book Antiqua" w:hAnsi="Book Antiqua"/>
        </w:rPr>
      </w:pPr>
    </w:p>
    <w:p w14:paraId="49631F82"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bCs/>
          <w:color w:val="000000"/>
        </w:rPr>
        <w:t xml:space="preserve">Data sharing statement: </w:t>
      </w:r>
      <w:bookmarkStart w:id="76" w:name="OLE_LINK70"/>
      <w:bookmarkStart w:id="77" w:name="OLE_LINK71"/>
      <w:r w:rsidRPr="006E3461">
        <w:rPr>
          <w:rFonts w:ascii="Book Antiqua" w:eastAsia="Book Antiqua" w:hAnsi="Book Antiqua" w:cs="Book Antiqua"/>
          <w:color w:val="000000"/>
        </w:rPr>
        <w:t>No additional data are available.</w:t>
      </w:r>
    </w:p>
    <w:bookmarkEnd w:id="76"/>
    <w:bookmarkEnd w:id="77"/>
    <w:p w14:paraId="7ABC99EF" w14:textId="77777777" w:rsidR="00A77B3E" w:rsidRPr="006E3461" w:rsidRDefault="00A77B3E">
      <w:pPr>
        <w:snapToGrid w:val="0"/>
        <w:spacing w:line="360" w:lineRule="auto"/>
        <w:jc w:val="both"/>
        <w:rPr>
          <w:rFonts w:ascii="Book Antiqua" w:hAnsi="Book Antiqua"/>
        </w:rPr>
      </w:pPr>
    </w:p>
    <w:p w14:paraId="306A729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bCs/>
          <w:color w:val="000000"/>
        </w:rPr>
        <w:t xml:space="preserve">Open-Access: </w:t>
      </w:r>
      <w:r w:rsidRPr="006E346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BBD68F" w14:textId="77777777" w:rsidR="00A77B3E" w:rsidRPr="006E3461" w:rsidRDefault="00A77B3E">
      <w:pPr>
        <w:snapToGrid w:val="0"/>
        <w:spacing w:line="360" w:lineRule="auto"/>
        <w:jc w:val="both"/>
        <w:rPr>
          <w:rFonts w:ascii="Book Antiqua" w:hAnsi="Book Antiqua"/>
        </w:rPr>
      </w:pPr>
    </w:p>
    <w:p w14:paraId="072330E0" w14:textId="45C40883"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Manuscript source: </w:t>
      </w:r>
      <w:r w:rsidRPr="006E3461">
        <w:rPr>
          <w:rFonts w:ascii="Book Antiqua" w:eastAsia="Book Antiqua" w:hAnsi="Book Antiqua" w:cs="Book Antiqua"/>
          <w:color w:val="000000"/>
        </w:rPr>
        <w:t xml:space="preserve">Unsolicited </w:t>
      </w:r>
      <w:r w:rsidR="00B723BB" w:rsidRPr="006E3461">
        <w:rPr>
          <w:rFonts w:ascii="Book Antiqua" w:eastAsia="Book Antiqua" w:hAnsi="Book Antiqua" w:cs="Book Antiqua"/>
          <w:color w:val="000000"/>
        </w:rPr>
        <w:t>manuscript</w:t>
      </w:r>
    </w:p>
    <w:p w14:paraId="6C16BDD7" w14:textId="77777777" w:rsidR="00A77B3E" w:rsidRPr="006E3461" w:rsidRDefault="00A77B3E">
      <w:pPr>
        <w:snapToGrid w:val="0"/>
        <w:spacing w:line="360" w:lineRule="auto"/>
        <w:jc w:val="both"/>
        <w:rPr>
          <w:rFonts w:ascii="Book Antiqua" w:hAnsi="Book Antiqua"/>
        </w:rPr>
      </w:pPr>
    </w:p>
    <w:p w14:paraId="3F7DD159"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Peer-review started: </w:t>
      </w:r>
      <w:r w:rsidRPr="006E3461">
        <w:rPr>
          <w:rFonts w:ascii="Book Antiqua" w:eastAsia="Book Antiqua" w:hAnsi="Book Antiqua" w:cs="Book Antiqua"/>
          <w:color w:val="000000"/>
        </w:rPr>
        <w:t>September 8, 2020</w:t>
      </w:r>
    </w:p>
    <w:p w14:paraId="58D52111"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First decision: </w:t>
      </w:r>
      <w:r w:rsidRPr="006E3461">
        <w:rPr>
          <w:rFonts w:ascii="Book Antiqua" w:eastAsia="Book Antiqua" w:hAnsi="Book Antiqua" w:cs="Book Antiqua"/>
          <w:color w:val="000000"/>
        </w:rPr>
        <w:t>September 24, 2020</w:t>
      </w:r>
    </w:p>
    <w:p w14:paraId="03626BEF"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Article in press: </w:t>
      </w:r>
    </w:p>
    <w:p w14:paraId="71D372BC" w14:textId="77777777" w:rsidR="00A77B3E" w:rsidRPr="006E3461" w:rsidRDefault="00A77B3E">
      <w:pPr>
        <w:snapToGrid w:val="0"/>
        <w:spacing w:line="360" w:lineRule="auto"/>
        <w:jc w:val="both"/>
        <w:rPr>
          <w:rFonts w:ascii="Book Antiqua" w:hAnsi="Book Antiqua"/>
        </w:rPr>
      </w:pPr>
    </w:p>
    <w:p w14:paraId="57E57801"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Specialty type: </w:t>
      </w:r>
      <w:r w:rsidRPr="006E3461">
        <w:rPr>
          <w:rFonts w:ascii="Book Antiqua" w:eastAsia="Book Antiqua" w:hAnsi="Book Antiqua" w:cs="Book Antiqua"/>
          <w:color w:val="000000"/>
        </w:rPr>
        <w:t xml:space="preserve">Oncology </w:t>
      </w:r>
    </w:p>
    <w:p w14:paraId="193992CF"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Country/Territory of origin: </w:t>
      </w:r>
      <w:r w:rsidRPr="006E3461">
        <w:rPr>
          <w:rFonts w:ascii="Book Antiqua" w:eastAsia="Book Antiqua" w:hAnsi="Book Antiqua" w:cs="Book Antiqua"/>
          <w:color w:val="000000"/>
        </w:rPr>
        <w:t>China</w:t>
      </w:r>
    </w:p>
    <w:p w14:paraId="50C1DDE0"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Peer-review report’s scientific quality classification</w:t>
      </w:r>
    </w:p>
    <w:p w14:paraId="3869A993"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A (Excellent): 0</w:t>
      </w:r>
    </w:p>
    <w:p w14:paraId="489B4604"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lastRenderedPageBreak/>
        <w:t>Grade B (Very good): B</w:t>
      </w:r>
    </w:p>
    <w:p w14:paraId="07D9EA96"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C (Good): C</w:t>
      </w:r>
    </w:p>
    <w:p w14:paraId="4E093BE2"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D (Fair): 0</w:t>
      </w:r>
    </w:p>
    <w:p w14:paraId="534B1A34"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E (Poor): 0</w:t>
      </w:r>
    </w:p>
    <w:p w14:paraId="03391336" w14:textId="77777777" w:rsidR="00A77B3E" w:rsidRPr="006E3461" w:rsidRDefault="00A77B3E">
      <w:pPr>
        <w:snapToGrid w:val="0"/>
        <w:spacing w:line="360" w:lineRule="auto"/>
        <w:jc w:val="both"/>
        <w:rPr>
          <w:rFonts w:ascii="Book Antiqua" w:hAnsi="Book Antiqua"/>
        </w:rPr>
      </w:pPr>
    </w:p>
    <w:p w14:paraId="3FA2BBAF" w14:textId="5141312C" w:rsidR="00A77B3E" w:rsidRPr="006E3461" w:rsidRDefault="00A60D61">
      <w:pPr>
        <w:snapToGrid w:val="0"/>
        <w:spacing w:line="360" w:lineRule="auto"/>
        <w:jc w:val="both"/>
        <w:rPr>
          <w:rFonts w:ascii="Book Antiqua" w:eastAsia="Book Antiqua" w:hAnsi="Book Antiqua" w:cs="Book Antiqua"/>
          <w:b/>
          <w:color w:val="000000"/>
        </w:rPr>
      </w:pPr>
      <w:r w:rsidRPr="006E3461">
        <w:rPr>
          <w:rFonts w:ascii="Book Antiqua" w:eastAsia="Book Antiqua" w:hAnsi="Book Antiqua" w:cs="Book Antiqua"/>
          <w:b/>
          <w:color w:val="000000"/>
        </w:rPr>
        <w:t xml:space="preserve">P-Reviewer: </w:t>
      </w:r>
      <w:r w:rsidRPr="006E3461">
        <w:rPr>
          <w:rFonts w:ascii="Book Antiqua" w:eastAsia="Book Antiqua" w:hAnsi="Book Antiqua" w:cs="Book Antiqua"/>
          <w:color w:val="000000"/>
        </w:rPr>
        <w:t>Hashash JG, Kim ES</w:t>
      </w:r>
      <w:r w:rsidRPr="006E3461">
        <w:rPr>
          <w:rFonts w:ascii="Book Antiqua" w:eastAsia="Book Antiqua" w:hAnsi="Book Antiqua" w:cs="Book Antiqua"/>
          <w:b/>
          <w:color w:val="000000"/>
        </w:rPr>
        <w:t xml:space="preserve"> S-Editor: </w:t>
      </w:r>
      <w:r w:rsidRPr="006E3461">
        <w:rPr>
          <w:rFonts w:ascii="Book Antiqua" w:eastAsia="Book Antiqua" w:hAnsi="Book Antiqua" w:cs="Book Antiqua"/>
          <w:color w:val="000000"/>
        </w:rPr>
        <w:t>Zhang L</w:t>
      </w:r>
      <w:r w:rsidRPr="006E3461">
        <w:rPr>
          <w:rFonts w:ascii="Book Antiqua" w:eastAsia="Book Antiqua" w:hAnsi="Book Antiqua" w:cs="Book Antiqua"/>
          <w:b/>
          <w:color w:val="000000"/>
        </w:rPr>
        <w:t xml:space="preserve"> L-Editor: </w:t>
      </w:r>
      <w:r w:rsidR="00651692" w:rsidRPr="006E3461">
        <w:rPr>
          <w:rFonts w:ascii="Book Antiqua" w:eastAsia="Book Antiqua" w:hAnsi="Book Antiqua" w:cs="Book Antiqua"/>
          <w:bCs/>
          <w:color w:val="000000"/>
        </w:rPr>
        <w:t xml:space="preserve">Filipodia </w:t>
      </w:r>
      <w:r w:rsidRPr="006E3461">
        <w:rPr>
          <w:rFonts w:ascii="Book Antiqua" w:eastAsia="Book Antiqua" w:hAnsi="Book Antiqua" w:cs="Book Antiqua"/>
          <w:b/>
          <w:color w:val="000000"/>
        </w:rPr>
        <w:t xml:space="preserve">P-Editor: </w:t>
      </w:r>
      <w:bookmarkEnd w:id="0"/>
      <w:bookmarkEnd w:id="1"/>
    </w:p>
    <w:p w14:paraId="5B9C1867" w14:textId="1B620548" w:rsidR="00EF50C9" w:rsidRPr="006E3461" w:rsidRDefault="00EF50C9">
      <w:pPr>
        <w:snapToGrid w:val="0"/>
        <w:spacing w:line="360" w:lineRule="auto"/>
        <w:jc w:val="both"/>
        <w:rPr>
          <w:rFonts w:ascii="Book Antiqua" w:eastAsia="Book Antiqua" w:hAnsi="Book Antiqua" w:cs="Book Antiqua"/>
          <w:b/>
          <w:color w:val="000000"/>
        </w:rPr>
      </w:pPr>
      <w:r w:rsidRPr="006E3461">
        <w:rPr>
          <w:rFonts w:ascii="Book Antiqua" w:eastAsia="Book Antiqua" w:hAnsi="Book Antiqua" w:cs="Book Antiqua"/>
          <w:b/>
          <w:color w:val="000000"/>
        </w:rPr>
        <w:br w:type="page"/>
      </w:r>
      <w:r w:rsidRPr="006E3461">
        <w:rPr>
          <w:rFonts w:ascii="Book Antiqua" w:eastAsia="Book Antiqua" w:hAnsi="Book Antiqua" w:cs="Book Antiqua"/>
          <w:b/>
          <w:color w:val="000000"/>
        </w:rPr>
        <w:lastRenderedPageBreak/>
        <w:t>Figure Legends</w:t>
      </w:r>
    </w:p>
    <w:p w14:paraId="1A716C15" w14:textId="6FDB8371" w:rsidR="00EF50C9" w:rsidRPr="00EE1084" w:rsidRDefault="00885BDA">
      <w:pPr>
        <w:snapToGrid w:val="0"/>
        <w:spacing w:line="360" w:lineRule="auto"/>
        <w:jc w:val="both"/>
        <w:rPr>
          <w:rFonts w:ascii="Book Antiqua" w:hAnsi="Book Antiqua"/>
          <w:color w:val="000000" w:themeColor="text1"/>
        </w:rPr>
      </w:pPr>
      <w:r w:rsidRPr="00EE1084">
        <w:rPr>
          <w:rFonts w:ascii="Book Antiqua" w:hAnsi="Book Antiqua"/>
          <w:noProof/>
          <w:color w:val="000000" w:themeColor="text1"/>
          <w:lang w:eastAsia="zh-CN"/>
        </w:rPr>
        <w:drawing>
          <wp:inline distT="0" distB="0" distL="0" distR="0" wp14:anchorId="534E8115" wp14:editId="7C26D8A8">
            <wp:extent cx="5943600" cy="1922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5835565F" w14:textId="186C1F2A" w:rsidR="00EF50C9" w:rsidRPr="00EE1084" w:rsidRDefault="00EF50C9">
      <w:pPr>
        <w:snapToGrid w:val="0"/>
        <w:spacing w:line="360" w:lineRule="auto"/>
        <w:jc w:val="both"/>
        <w:rPr>
          <w:rFonts w:ascii="Book Antiqua" w:hAnsi="Book Antiqua"/>
          <w:b/>
          <w:bCs/>
          <w:color w:val="000000" w:themeColor="text1"/>
        </w:rPr>
      </w:pPr>
      <w:r w:rsidRPr="00EE1084">
        <w:rPr>
          <w:rFonts w:ascii="Book Antiqua" w:hAnsi="Book Antiqua"/>
          <w:b/>
          <w:bCs/>
          <w:color w:val="000000" w:themeColor="text1"/>
          <w:lang w:eastAsia="zh-CN"/>
        </w:rPr>
        <w:t>Figure 1</w:t>
      </w:r>
      <w:r w:rsidRPr="00EE1084">
        <w:rPr>
          <w:rFonts w:ascii="Book Antiqua" w:hAnsi="Book Antiqua"/>
          <w:b/>
          <w:bCs/>
          <w:color w:val="000000" w:themeColor="text1"/>
        </w:rPr>
        <w:t xml:space="preserve"> </w:t>
      </w:r>
      <w:r w:rsidR="00A24B23" w:rsidRPr="00EE1084">
        <w:rPr>
          <w:rFonts w:ascii="Book Antiqua" w:eastAsia="Book Antiqua" w:hAnsi="Book Antiqua" w:cs="Book Antiqua"/>
          <w:b/>
          <w:color w:val="000000" w:themeColor="text1"/>
        </w:rPr>
        <w:t xml:space="preserve">The median </w:t>
      </w:r>
      <w:r w:rsidR="00A24B23" w:rsidRPr="00EE1084">
        <w:rPr>
          <w:rFonts w:ascii="Book Antiqua" w:hAnsi="Book Antiqua"/>
          <w:b/>
          <w:color w:val="000000" w:themeColor="text1"/>
          <w:lang w:eastAsia="zh-CN"/>
        </w:rPr>
        <w:t>progression-free survival</w:t>
      </w:r>
      <w:r w:rsidR="00A24B23" w:rsidRPr="00EE1084">
        <w:rPr>
          <w:rFonts w:ascii="Book Antiqua" w:eastAsia="Book Antiqua" w:hAnsi="Book Antiqua" w:cs="Book Antiqua"/>
          <w:b/>
          <w:color w:val="000000" w:themeColor="text1"/>
        </w:rPr>
        <w:t xml:space="preserve"> was 30 mo and the median </w:t>
      </w:r>
      <w:r w:rsidR="00A24B23" w:rsidRPr="00EE1084">
        <w:rPr>
          <w:rFonts w:ascii="Book Antiqua" w:hAnsi="Book Antiqua"/>
          <w:b/>
          <w:color w:val="000000" w:themeColor="text1"/>
          <w:lang w:eastAsia="zh-CN"/>
        </w:rPr>
        <w:t>overall survival</w:t>
      </w:r>
      <w:r w:rsidR="00A24B23" w:rsidRPr="00EE1084">
        <w:rPr>
          <w:rFonts w:ascii="Book Antiqua" w:eastAsia="Book Antiqua" w:hAnsi="Book Antiqua" w:cs="Book Antiqua"/>
          <w:b/>
          <w:color w:val="000000" w:themeColor="text1"/>
        </w:rPr>
        <w:t xml:space="preserve"> was 32 mo.</w:t>
      </w:r>
      <w:r w:rsidR="00A24B23" w:rsidRPr="00EE1084">
        <w:rPr>
          <w:rFonts w:ascii="Book Antiqua" w:hAnsi="Book Antiqua"/>
          <w:bCs/>
          <w:color w:val="000000" w:themeColor="text1"/>
          <w:lang w:eastAsia="zh-CN"/>
        </w:rPr>
        <w:t xml:space="preserve"> </w:t>
      </w:r>
      <w:r w:rsidR="006E3461" w:rsidRPr="004837DE">
        <w:rPr>
          <w:rFonts w:ascii="Book Antiqua" w:hAnsi="Book Antiqua"/>
          <w:color w:val="000000" w:themeColor="text1"/>
          <w:lang w:eastAsia="zh-CN"/>
        </w:rPr>
        <w:t>OS:</w:t>
      </w:r>
      <w:r w:rsidR="006E3461" w:rsidRPr="004837DE">
        <w:rPr>
          <w:rFonts w:ascii="Book Antiqua" w:hAnsi="Book Antiqua"/>
          <w:color w:val="000000" w:themeColor="text1"/>
        </w:rPr>
        <w:t xml:space="preserve"> </w:t>
      </w:r>
      <w:r w:rsidR="006E3461" w:rsidRPr="004837DE">
        <w:rPr>
          <w:rFonts w:ascii="Book Antiqua" w:hAnsi="Book Antiqua"/>
          <w:color w:val="000000" w:themeColor="text1"/>
          <w:lang w:eastAsia="zh-CN"/>
        </w:rPr>
        <w:t>Overall survival</w:t>
      </w:r>
      <w:r w:rsidR="006E3461">
        <w:rPr>
          <w:rFonts w:ascii="Book Antiqua" w:hAnsi="Book Antiqua"/>
          <w:color w:val="000000" w:themeColor="text1"/>
          <w:lang w:eastAsia="zh-CN"/>
        </w:rPr>
        <w:t>;</w:t>
      </w:r>
      <w:r w:rsidR="006E3461" w:rsidRPr="006E3461">
        <w:rPr>
          <w:rFonts w:ascii="Book Antiqua" w:hAnsi="Book Antiqua"/>
          <w:color w:val="000000" w:themeColor="text1"/>
          <w:lang w:eastAsia="zh-CN"/>
        </w:rPr>
        <w:t xml:space="preserve"> </w:t>
      </w:r>
      <w:r w:rsidR="00A24B23" w:rsidRPr="00EE1084">
        <w:rPr>
          <w:rFonts w:ascii="Book Antiqua" w:hAnsi="Book Antiqua"/>
          <w:color w:val="000000" w:themeColor="text1"/>
          <w:lang w:eastAsia="zh-CN"/>
        </w:rPr>
        <w:t>PFS: Progression-free survival</w:t>
      </w:r>
      <w:r w:rsidR="009315B9" w:rsidRPr="00EE1084">
        <w:rPr>
          <w:rFonts w:ascii="Book Antiqua" w:hAnsi="Book Antiqua"/>
          <w:color w:val="000000" w:themeColor="text1"/>
          <w:lang w:eastAsia="zh-CN"/>
        </w:rPr>
        <w:t>.</w:t>
      </w:r>
    </w:p>
    <w:p w14:paraId="6C3BA53D" w14:textId="7F2E990B"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br w:type="page"/>
      </w:r>
      <w:r w:rsidRPr="00EE1084">
        <w:rPr>
          <w:rFonts w:ascii="Book Antiqua" w:hAnsi="Book Antiqua"/>
          <w:b/>
          <w:bCs/>
          <w:color w:val="000000" w:themeColor="text1"/>
          <w:lang w:eastAsia="zh-CN"/>
        </w:rPr>
        <w:lastRenderedPageBreak/>
        <w:t>Table 1 General data of 30 patients</w:t>
      </w:r>
    </w:p>
    <w:tbl>
      <w:tblPr>
        <w:tblW w:w="6627" w:type="dxa"/>
        <w:tblLayout w:type="fixed"/>
        <w:tblCellMar>
          <w:top w:w="15" w:type="dxa"/>
          <w:left w:w="15" w:type="dxa"/>
          <w:bottom w:w="15" w:type="dxa"/>
          <w:right w:w="15" w:type="dxa"/>
        </w:tblCellMar>
        <w:tblLook w:val="04A0" w:firstRow="1" w:lastRow="0" w:firstColumn="1" w:lastColumn="0" w:noHBand="0" w:noVBand="1"/>
      </w:tblPr>
      <w:tblGrid>
        <w:gridCol w:w="4367"/>
        <w:gridCol w:w="2260"/>
      </w:tblGrid>
      <w:tr w:rsidR="009F5B08" w:rsidRPr="009F5B08" w14:paraId="7B710928" w14:textId="77777777" w:rsidTr="003F62F7">
        <w:trPr>
          <w:trHeight w:val="276"/>
        </w:trPr>
        <w:tc>
          <w:tcPr>
            <w:tcW w:w="4367" w:type="dxa"/>
            <w:tcBorders>
              <w:top w:val="single" w:sz="4" w:space="0" w:color="000000"/>
              <w:bottom w:val="single" w:sz="4" w:space="0" w:color="000000"/>
            </w:tcBorders>
            <w:shd w:val="clear" w:color="auto" w:fill="auto"/>
            <w:vAlign w:val="center"/>
          </w:tcPr>
          <w:p w14:paraId="2A3B70B4" w14:textId="7777777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Patient characteristics</w:t>
            </w:r>
          </w:p>
        </w:tc>
        <w:tc>
          <w:tcPr>
            <w:tcW w:w="2260" w:type="dxa"/>
            <w:tcBorders>
              <w:top w:val="single" w:sz="4" w:space="0" w:color="000000"/>
              <w:bottom w:val="single" w:sz="4" w:space="0" w:color="000000"/>
            </w:tcBorders>
            <w:shd w:val="clear" w:color="auto" w:fill="auto"/>
            <w:vAlign w:val="center"/>
          </w:tcPr>
          <w:p w14:paraId="455F7DFC" w14:textId="70717033" w:rsidR="00EF50C9" w:rsidRPr="00EE1084" w:rsidRDefault="00615B03">
            <w:pPr>
              <w:snapToGrid w:val="0"/>
              <w:spacing w:line="360" w:lineRule="auto"/>
              <w:jc w:val="both"/>
              <w:rPr>
                <w:rFonts w:ascii="Book Antiqua" w:hAnsi="Book Antiqua"/>
                <w:b/>
                <w:bCs/>
                <w:color w:val="000000" w:themeColor="text1"/>
                <w:lang w:eastAsia="zh-CN"/>
              </w:rPr>
            </w:pPr>
            <w:r w:rsidRPr="00EE1084">
              <w:rPr>
                <w:rFonts w:ascii="Book Antiqua" w:hAnsi="Book Antiqua"/>
                <w:b/>
                <w:bCs/>
                <w:i/>
                <w:color w:val="000000" w:themeColor="text1"/>
                <w:lang w:eastAsia="zh-CN"/>
              </w:rPr>
              <w:t>n</w:t>
            </w:r>
            <w:r w:rsidR="00EF50C9" w:rsidRPr="00EE1084">
              <w:rPr>
                <w:rFonts w:ascii="Book Antiqua" w:hAnsi="Book Antiqua"/>
                <w:b/>
                <w:bCs/>
                <w:color w:val="000000" w:themeColor="text1"/>
                <w:lang w:eastAsia="zh-CN"/>
              </w:rPr>
              <w:t xml:space="preserve"> (%)</w:t>
            </w:r>
          </w:p>
        </w:tc>
      </w:tr>
      <w:tr w:rsidR="009F5B08" w:rsidRPr="009F5B08" w14:paraId="6E032AE7" w14:textId="77777777" w:rsidTr="003F62F7">
        <w:trPr>
          <w:trHeight w:val="276"/>
        </w:trPr>
        <w:tc>
          <w:tcPr>
            <w:tcW w:w="4367" w:type="dxa"/>
            <w:shd w:val="clear" w:color="auto" w:fill="auto"/>
            <w:vAlign w:val="center"/>
          </w:tcPr>
          <w:p w14:paraId="3A7930DA"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Gender</w:t>
            </w:r>
          </w:p>
        </w:tc>
        <w:tc>
          <w:tcPr>
            <w:tcW w:w="2260" w:type="dxa"/>
            <w:shd w:val="clear" w:color="auto" w:fill="auto"/>
            <w:vAlign w:val="center"/>
          </w:tcPr>
          <w:p w14:paraId="5653F5A2" w14:textId="77777777" w:rsidR="00EF50C9" w:rsidRPr="00EE1084" w:rsidRDefault="00EF50C9">
            <w:pPr>
              <w:snapToGrid w:val="0"/>
              <w:spacing w:line="360" w:lineRule="auto"/>
              <w:jc w:val="both"/>
              <w:rPr>
                <w:rFonts w:ascii="Book Antiqua" w:hAnsi="Book Antiqua"/>
                <w:color w:val="000000" w:themeColor="text1"/>
                <w:lang w:eastAsia="zh-CN"/>
              </w:rPr>
            </w:pPr>
          </w:p>
        </w:tc>
      </w:tr>
      <w:tr w:rsidR="009F5B08" w:rsidRPr="009F5B08" w14:paraId="151F94DF" w14:textId="77777777" w:rsidTr="003F62F7">
        <w:trPr>
          <w:trHeight w:val="276"/>
        </w:trPr>
        <w:tc>
          <w:tcPr>
            <w:tcW w:w="4367" w:type="dxa"/>
            <w:shd w:val="clear" w:color="auto" w:fill="auto"/>
            <w:vAlign w:val="center"/>
          </w:tcPr>
          <w:p w14:paraId="0A91E512"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Males</w:t>
            </w:r>
          </w:p>
        </w:tc>
        <w:tc>
          <w:tcPr>
            <w:tcW w:w="2260" w:type="dxa"/>
            <w:shd w:val="clear" w:color="auto" w:fill="auto"/>
            <w:vAlign w:val="center"/>
          </w:tcPr>
          <w:p w14:paraId="1A0D8E7A" w14:textId="1445E050"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29 (96.7%)</w:t>
            </w:r>
          </w:p>
        </w:tc>
      </w:tr>
      <w:tr w:rsidR="009F5B08" w:rsidRPr="009F5B08" w14:paraId="2C0F4D0D" w14:textId="77777777" w:rsidTr="003F62F7">
        <w:trPr>
          <w:trHeight w:val="276"/>
        </w:trPr>
        <w:tc>
          <w:tcPr>
            <w:tcW w:w="4367" w:type="dxa"/>
            <w:shd w:val="clear" w:color="auto" w:fill="auto"/>
            <w:vAlign w:val="center"/>
          </w:tcPr>
          <w:p w14:paraId="779EEB7A"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Female</w:t>
            </w:r>
          </w:p>
        </w:tc>
        <w:tc>
          <w:tcPr>
            <w:tcW w:w="2260" w:type="dxa"/>
            <w:shd w:val="clear" w:color="auto" w:fill="auto"/>
            <w:vAlign w:val="center"/>
          </w:tcPr>
          <w:p w14:paraId="26BC9791"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 xml:space="preserve"> 1 (3.3%)</w:t>
            </w:r>
          </w:p>
        </w:tc>
      </w:tr>
      <w:tr w:rsidR="009F5B08" w:rsidRPr="009F5B08" w14:paraId="6E456BE7" w14:textId="77777777" w:rsidTr="003F62F7">
        <w:trPr>
          <w:trHeight w:val="276"/>
        </w:trPr>
        <w:tc>
          <w:tcPr>
            <w:tcW w:w="4367" w:type="dxa"/>
            <w:shd w:val="clear" w:color="auto" w:fill="auto"/>
            <w:vAlign w:val="center"/>
          </w:tcPr>
          <w:p w14:paraId="620BA81D" w14:textId="20D6EB07" w:rsidR="00EF50C9" w:rsidRPr="00EE1084" w:rsidRDefault="003F62F7"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Median age (range)</w:t>
            </w:r>
            <w:r w:rsidR="00EF50C9" w:rsidRPr="00EE1084">
              <w:rPr>
                <w:rFonts w:ascii="Book Antiqua" w:hAnsi="Book Antiqua"/>
                <w:color w:val="000000" w:themeColor="text1"/>
                <w:lang w:eastAsia="zh-CN"/>
              </w:rPr>
              <w:t xml:space="preserve">, </w:t>
            </w:r>
            <w:r w:rsidR="00B723BB" w:rsidRPr="00EE1084">
              <w:rPr>
                <w:rFonts w:ascii="Book Antiqua" w:hAnsi="Book Antiqua"/>
                <w:color w:val="000000" w:themeColor="text1"/>
                <w:lang w:eastAsia="zh-CN"/>
              </w:rPr>
              <w:t>y</w:t>
            </w:r>
            <w:r w:rsidR="00EF50C9" w:rsidRPr="00EE1084">
              <w:rPr>
                <w:rFonts w:ascii="Book Antiqua" w:hAnsi="Book Antiqua"/>
                <w:color w:val="000000" w:themeColor="text1"/>
                <w:lang w:eastAsia="zh-CN"/>
              </w:rPr>
              <w:t>r</w:t>
            </w:r>
          </w:p>
        </w:tc>
        <w:tc>
          <w:tcPr>
            <w:tcW w:w="2260" w:type="dxa"/>
            <w:shd w:val="clear" w:color="auto" w:fill="auto"/>
            <w:vAlign w:val="center"/>
          </w:tcPr>
          <w:p w14:paraId="743D49CE" w14:textId="0EA557BB"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55 (48-70)</w:t>
            </w:r>
          </w:p>
        </w:tc>
      </w:tr>
      <w:tr w:rsidR="009F5B08" w:rsidRPr="009F5B08" w14:paraId="7A3DC507" w14:textId="77777777" w:rsidTr="003F62F7">
        <w:trPr>
          <w:trHeight w:val="276"/>
        </w:trPr>
        <w:tc>
          <w:tcPr>
            <w:tcW w:w="4367" w:type="dxa"/>
            <w:shd w:val="clear" w:color="auto" w:fill="auto"/>
            <w:vAlign w:val="center"/>
          </w:tcPr>
          <w:p w14:paraId="784977B9"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Clinical stage</w:t>
            </w:r>
          </w:p>
        </w:tc>
        <w:tc>
          <w:tcPr>
            <w:tcW w:w="2260" w:type="dxa"/>
            <w:shd w:val="clear" w:color="auto" w:fill="auto"/>
            <w:vAlign w:val="center"/>
          </w:tcPr>
          <w:p w14:paraId="3582E952" w14:textId="77777777" w:rsidR="00EF50C9" w:rsidRPr="00EE1084" w:rsidRDefault="00EF50C9">
            <w:pPr>
              <w:snapToGrid w:val="0"/>
              <w:spacing w:line="360" w:lineRule="auto"/>
              <w:jc w:val="both"/>
              <w:rPr>
                <w:rFonts w:ascii="Book Antiqua" w:hAnsi="Book Antiqua"/>
                <w:color w:val="000000" w:themeColor="text1"/>
                <w:lang w:eastAsia="zh-CN"/>
              </w:rPr>
            </w:pPr>
          </w:p>
        </w:tc>
      </w:tr>
      <w:tr w:rsidR="009F5B08" w:rsidRPr="009F5B08" w14:paraId="4889A4C1" w14:textId="77777777" w:rsidTr="003F62F7">
        <w:trPr>
          <w:trHeight w:val="276"/>
        </w:trPr>
        <w:tc>
          <w:tcPr>
            <w:tcW w:w="4367" w:type="dxa"/>
            <w:shd w:val="clear" w:color="auto" w:fill="auto"/>
            <w:vAlign w:val="center"/>
          </w:tcPr>
          <w:p w14:paraId="2EBCA05F"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w:t>
            </w:r>
          </w:p>
        </w:tc>
        <w:tc>
          <w:tcPr>
            <w:tcW w:w="2260" w:type="dxa"/>
            <w:shd w:val="clear" w:color="auto" w:fill="auto"/>
            <w:vAlign w:val="center"/>
          </w:tcPr>
          <w:p w14:paraId="156115AF"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r w:rsidR="009F5B08" w:rsidRPr="009F5B08" w14:paraId="4FE1174B" w14:textId="77777777" w:rsidTr="003F62F7">
        <w:trPr>
          <w:trHeight w:val="276"/>
        </w:trPr>
        <w:tc>
          <w:tcPr>
            <w:tcW w:w="4367" w:type="dxa"/>
            <w:shd w:val="clear" w:color="auto" w:fill="auto"/>
            <w:vAlign w:val="center"/>
          </w:tcPr>
          <w:p w14:paraId="63825335"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II</w:t>
            </w:r>
          </w:p>
        </w:tc>
        <w:tc>
          <w:tcPr>
            <w:tcW w:w="2260" w:type="dxa"/>
            <w:shd w:val="clear" w:color="auto" w:fill="auto"/>
            <w:vAlign w:val="center"/>
          </w:tcPr>
          <w:p w14:paraId="19BF02F4"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3 (10%)</w:t>
            </w:r>
          </w:p>
        </w:tc>
      </w:tr>
      <w:tr w:rsidR="009F5B08" w:rsidRPr="009F5B08" w14:paraId="5AFCE650" w14:textId="77777777" w:rsidTr="003F62F7">
        <w:trPr>
          <w:trHeight w:val="276"/>
        </w:trPr>
        <w:tc>
          <w:tcPr>
            <w:tcW w:w="4367" w:type="dxa"/>
            <w:shd w:val="clear" w:color="auto" w:fill="auto"/>
            <w:vAlign w:val="center"/>
          </w:tcPr>
          <w:p w14:paraId="09476B1F"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III</w:t>
            </w:r>
          </w:p>
        </w:tc>
        <w:tc>
          <w:tcPr>
            <w:tcW w:w="2260" w:type="dxa"/>
            <w:shd w:val="clear" w:color="auto" w:fill="auto"/>
            <w:vAlign w:val="center"/>
          </w:tcPr>
          <w:p w14:paraId="13E533B2"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27 (90%)</w:t>
            </w:r>
          </w:p>
        </w:tc>
      </w:tr>
      <w:tr w:rsidR="009F5B08" w:rsidRPr="009F5B08" w14:paraId="40166D13" w14:textId="77777777" w:rsidTr="003F62F7">
        <w:trPr>
          <w:trHeight w:val="276"/>
        </w:trPr>
        <w:tc>
          <w:tcPr>
            <w:tcW w:w="4367" w:type="dxa"/>
            <w:shd w:val="clear" w:color="auto" w:fill="auto"/>
            <w:vAlign w:val="center"/>
          </w:tcPr>
          <w:p w14:paraId="331C832C"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IV</w:t>
            </w:r>
          </w:p>
        </w:tc>
        <w:tc>
          <w:tcPr>
            <w:tcW w:w="2260" w:type="dxa"/>
            <w:shd w:val="clear" w:color="auto" w:fill="auto"/>
            <w:vAlign w:val="center"/>
          </w:tcPr>
          <w:p w14:paraId="67E10F57"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r w:rsidR="009F5B08" w:rsidRPr="009F5B08" w14:paraId="06229911" w14:textId="77777777" w:rsidTr="003F62F7">
        <w:trPr>
          <w:trHeight w:val="276"/>
        </w:trPr>
        <w:tc>
          <w:tcPr>
            <w:tcW w:w="4367" w:type="dxa"/>
            <w:shd w:val="clear" w:color="auto" w:fill="auto"/>
            <w:vAlign w:val="center"/>
          </w:tcPr>
          <w:p w14:paraId="37633E08"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Tumor location</w:t>
            </w:r>
          </w:p>
        </w:tc>
        <w:tc>
          <w:tcPr>
            <w:tcW w:w="2260" w:type="dxa"/>
            <w:shd w:val="clear" w:color="auto" w:fill="auto"/>
            <w:vAlign w:val="center"/>
          </w:tcPr>
          <w:p w14:paraId="754F815C" w14:textId="77777777" w:rsidR="00EF50C9" w:rsidRPr="00EE1084" w:rsidRDefault="00EF50C9">
            <w:pPr>
              <w:snapToGrid w:val="0"/>
              <w:spacing w:line="360" w:lineRule="auto"/>
              <w:jc w:val="both"/>
              <w:rPr>
                <w:rFonts w:ascii="Book Antiqua" w:hAnsi="Book Antiqua"/>
                <w:color w:val="000000" w:themeColor="text1"/>
                <w:lang w:eastAsia="zh-CN"/>
              </w:rPr>
            </w:pPr>
          </w:p>
        </w:tc>
      </w:tr>
      <w:tr w:rsidR="009F5B08" w:rsidRPr="009F5B08" w14:paraId="647F9BF4" w14:textId="77777777" w:rsidTr="003F62F7">
        <w:trPr>
          <w:trHeight w:val="276"/>
        </w:trPr>
        <w:tc>
          <w:tcPr>
            <w:tcW w:w="4367" w:type="dxa"/>
            <w:shd w:val="clear" w:color="auto" w:fill="auto"/>
            <w:vAlign w:val="center"/>
          </w:tcPr>
          <w:p w14:paraId="7856D15A"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Upper chest</w:t>
            </w:r>
          </w:p>
        </w:tc>
        <w:tc>
          <w:tcPr>
            <w:tcW w:w="2260" w:type="dxa"/>
            <w:shd w:val="clear" w:color="auto" w:fill="auto"/>
            <w:vAlign w:val="center"/>
          </w:tcPr>
          <w:p w14:paraId="35AA6208"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r w:rsidR="009F5B08" w:rsidRPr="009F5B08" w14:paraId="0F709823" w14:textId="77777777" w:rsidTr="003F62F7">
        <w:trPr>
          <w:trHeight w:val="276"/>
        </w:trPr>
        <w:tc>
          <w:tcPr>
            <w:tcW w:w="4367" w:type="dxa"/>
            <w:shd w:val="clear" w:color="auto" w:fill="auto"/>
            <w:vAlign w:val="center"/>
          </w:tcPr>
          <w:p w14:paraId="0E8ED1AF"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Middle chest</w:t>
            </w:r>
          </w:p>
        </w:tc>
        <w:tc>
          <w:tcPr>
            <w:tcW w:w="2260" w:type="dxa"/>
            <w:shd w:val="clear" w:color="auto" w:fill="auto"/>
            <w:vAlign w:val="center"/>
          </w:tcPr>
          <w:p w14:paraId="180EEB96"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4 (21.0%)</w:t>
            </w:r>
          </w:p>
        </w:tc>
      </w:tr>
      <w:tr w:rsidR="00EF50C9" w:rsidRPr="009F5B08" w14:paraId="4D546ACE" w14:textId="77777777" w:rsidTr="003F62F7">
        <w:trPr>
          <w:trHeight w:val="276"/>
        </w:trPr>
        <w:tc>
          <w:tcPr>
            <w:tcW w:w="4367" w:type="dxa"/>
            <w:tcBorders>
              <w:bottom w:val="single" w:sz="4" w:space="0" w:color="000000"/>
            </w:tcBorders>
            <w:shd w:val="clear" w:color="auto" w:fill="auto"/>
            <w:vAlign w:val="center"/>
          </w:tcPr>
          <w:p w14:paraId="6D89247E"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Lower chest</w:t>
            </w:r>
          </w:p>
        </w:tc>
        <w:tc>
          <w:tcPr>
            <w:tcW w:w="2260" w:type="dxa"/>
            <w:tcBorders>
              <w:bottom w:val="single" w:sz="4" w:space="0" w:color="000000"/>
            </w:tcBorders>
            <w:shd w:val="clear" w:color="auto" w:fill="auto"/>
            <w:vAlign w:val="center"/>
          </w:tcPr>
          <w:p w14:paraId="4149F54D"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26 (86.7%)</w:t>
            </w:r>
          </w:p>
        </w:tc>
      </w:tr>
    </w:tbl>
    <w:p w14:paraId="3BFD8730" w14:textId="08B8F626" w:rsidR="00EF50C9" w:rsidRPr="00EE1084" w:rsidRDefault="00EF50C9" w:rsidP="002245C4">
      <w:pPr>
        <w:snapToGrid w:val="0"/>
        <w:spacing w:line="360" w:lineRule="auto"/>
        <w:jc w:val="both"/>
        <w:rPr>
          <w:rFonts w:ascii="Book Antiqua" w:hAnsi="Book Antiqua"/>
          <w:color w:val="000000" w:themeColor="text1"/>
          <w:lang w:eastAsia="zh-CN"/>
        </w:rPr>
      </w:pPr>
    </w:p>
    <w:p w14:paraId="10541943" w14:textId="742664A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br w:type="page"/>
      </w:r>
      <w:r w:rsidRPr="00EE1084">
        <w:rPr>
          <w:rFonts w:ascii="Book Antiqua" w:hAnsi="Book Antiqua"/>
          <w:b/>
          <w:bCs/>
          <w:color w:val="000000" w:themeColor="text1"/>
          <w:lang w:eastAsia="zh-CN"/>
        </w:rPr>
        <w:lastRenderedPageBreak/>
        <w:t>Table 2 Pathological grading before and after surgery</w:t>
      </w:r>
    </w:p>
    <w:tbl>
      <w:tblPr>
        <w:tblW w:w="8540" w:type="dxa"/>
        <w:tblLayout w:type="fixed"/>
        <w:tblCellMar>
          <w:top w:w="15" w:type="dxa"/>
          <w:left w:w="15" w:type="dxa"/>
          <w:bottom w:w="15" w:type="dxa"/>
          <w:right w:w="15" w:type="dxa"/>
        </w:tblCellMar>
        <w:tblLook w:val="04A0" w:firstRow="1" w:lastRow="0" w:firstColumn="1" w:lastColumn="0" w:noHBand="0" w:noVBand="1"/>
      </w:tblPr>
      <w:tblGrid>
        <w:gridCol w:w="1907"/>
        <w:gridCol w:w="3423"/>
        <w:gridCol w:w="3210"/>
      </w:tblGrid>
      <w:tr w:rsidR="009F5B08" w:rsidRPr="009F5B08" w14:paraId="10455415" w14:textId="77777777" w:rsidTr="0065735B">
        <w:trPr>
          <w:trHeight w:val="378"/>
        </w:trPr>
        <w:tc>
          <w:tcPr>
            <w:tcW w:w="1907" w:type="dxa"/>
            <w:tcBorders>
              <w:top w:val="single" w:sz="4" w:space="0" w:color="000000"/>
              <w:bottom w:val="single" w:sz="4" w:space="0" w:color="000000"/>
            </w:tcBorders>
            <w:shd w:val="clear" w:color="auto" w:fill="auto"/>
            <w:vAlign w:val="center"/>
          </w:tcPr>
          <w:p w14:paraId="4588D86F" w14:textId="7777777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Stage</w:t>
            </w:r>
          </w:p>
        </w:tc>
        <w:tc>
          <w:tcPr>
            <w:tcW w:w="3423" w:type="dxa"/>
            <w:tcBorders>
              <w:top w:val="single" w:sz="4" w:space="0" w:color="000000"/>
              <w:bottom w:val="single" w:sz="4" w:space="0" w:color="000000"/>
            </w:tcBorders>
            <w:shd w:val="clear" w:color="auto" w:fill="auto"/>
            <w:vAlign w:val="center"/>
          </w:tcPr>
          <w:p w14:paraId="2DE40732" w14:textId="7777777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 xml:space="preserve">Preoperative grade, </w:t>
            </w:r>
            <w:r w:rsidRPr="00EE1084">
              <w:rPr>
                <w:rFonts w:ascii="Book Antiqua" w:hAnsi="Book Antiqua"/>
                <w:b/>
                <w:bCs/>
                <w:i/>
                <w:iCs/>
                <w:color w:val="000000" w:themeColor="text1"/>
                <w:lang w:eastAsia="zh-CN"/>
              </w:rPr>
              <w:t>n</w:t>
            </w:r>
            <w:r w:rsidRPr="00EE1084">
              <w:rPr>
                <w:rFonts w:ascii="Book Antiqua" w:hAnsi="Book Antiqua"/>
                <w:b/>
                <w:bCs/>
                <w:color w:val="000000" w:themeColor="text1"/>
                <w:lang w:eastAsia="zh-CN"/>
              </w:rPr>
              <w:t xml:space="preserve"> (%)</w:t>
            </w:r>
          </w:p>
        </w:tc>
        <w:tc>
          <w:tcPr>
            <w:tcW w:w="3210" w:type="dxa"/>
            <w:tcBorders>
              <w:top w:val="single" w:sz="4" w:space="0" w:color="000000"/>
              <w:bottom w:val="single" w:sz="4" w:space="0" w:color="000000"/>
            </w:tcBorders>
            <w:shd w:val="clear" w:color="auto" w:fill="auto"/>
            <w:vAlign w:val="center"/>
          </w:tcPr>
          <w:p w14:paraId="1FF4E015" w14:textId="0E429628"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Postoperative grade</w:t>
            </w:r>
            <w:r w:rsidR="009315B9" w:rsidRPr="00EE1084">
              <w:rPr>
                <w:rFonts w:ascii="Book Antiqua" w:hAnsi="Book Antiqua"/>
                <w:b/>
                <w:bCs/>
                <w:color w:val="000000" w:themeColor="text1"/>
                <w:lang w:eastAsia="zh-CN"/>
              </w:rPr>
              <w:t>,</w:t>
            </w:r>
            <w:r w:rsidRPr="00EE1084">
              <w:rPr>
                <w:rFonts w:ascii="Book Antiqua" w:hAnsi="Book Antiqua"/>
                <w:b/>
                <w:bCs/>
                <w:color w:val="000000" w:themeColor="text1"/>
                <w:lang w:eastAsia="zh-CN"/>
              </w:rPr>
              <w:t xml:space="preserve"> </w:t>
            </w:r>
            <w:r w:rsidRPr="00EE1084">
              <w:rPr>
                <w:rFonts w:ascii="Book Antiqua" w:hAnsi="Book Antiqua"/>
                <w:b/>
                <w:bCs/>
                <w:i/>
                <w:iCs/>
                <w:color w:val="000000" w:themeColor="text1"/>
                <w:lang w:eastAsia="zh-CN"/>
              </w:rPr>
              <w:t>n</w:t>
            </w:r>
            <w:r w:rsidRPr="00EE1084">
              <w:rPr>
                <w:rFonts w:ascii="Book Antiqua" w:hAnsi="Book Antiqua"/>
                <w:b/>
                <w:bCs/>
                <w:color w:val="000000" w:themeColor="text1"/>
                <w:lang w:eastAsia="zh-CN"/>
              </w:rPr>
              <w:t xml:space="preserve"> (%)</w:t>
            </w:r>
          </w:p>
        </w:tc>
      </w:tr>
      <w:tr w:rsidR="009F5B08" w:rsidRPr="009F5B08" w14:paraId="4DE0A794" w14:textId="77777777" w:rsidTr="0065735B">
        <w:trPr>
          <w:trHeight w:val="378"/>
        </w:trPr>
        <w:tc>
          <w:tcPr>
            <w:tcW w:w="1907" w:type="dxa"/>
            <w:shd w:val="clear" w:color="auto" w:fill="auto"/>
            <w:vAlign w:val="center"/>
          </w:tcPr>
          <w:p w14:paraId="4EB763EC"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423" w:type="dxa"/>
            <w:shd w:val="clear" w:color="auto" w:fill="auto"/>
            <w:vAlign w:val="center"/>
          </w:tcPr>
          <w:p w14:paraId="6C813AB6"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210" w:type="dxa"/>
            <w:shd w:val="clear" w:color="auto" w:fill="auto"/>
            <w:vAlign w:val="center"/>
          </w:tcPr>
          <w:p w14:paraId="34B63A20"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10 (52.6)</w:t>
            </w:r>
          </w:p>
        </w:tc>
      </w:tr>
      <w:tr w:rsidR="009F5B08" w:rsidRPr="009F5B08" w14:paraId="73C89D9F" w14:textId="77777777" w:rsidTr="0065735B">
        <w:trPr>
          <w:trHeight w:val="367"/>
        </w:trPr>
        <w:tc>
          <w:tcPr>
            <w:tcW w:w="1907" w:type="dxa"/>
            <w:shd w:val="clear" w:color="auto" w:fill="auto"/>
            <w:vAlign w:val="center"/>
          </w:tcPr>
          <w:p w14:paraId="3E89BD52" w14:textId="06F43F31"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w:t>
            </w:r>
          </w:p>
        </w:tc>
        <w:tc>
          <w:tcPr>
            <w:tcW w:w="3423" w:type="dxa"/>
            <w:shd w:val="clear" w:color="auto" w:fill="auto"/>
            <w:vAlign w:val="center"/>
          </w:tcPr>
          <w:p w14:paraId="4530C37D"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210" w:type="dxa"/>
            <w:shd w:val="clear" w:color="auto" w:fill="auto"/>
            <w:vAlign w:val="center"/>
          </w:tcPr>
          <w:p w14:paraId="7AC85DEF" w14:textId="773B530F"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6</w:t>
            </w:r>
            <w:r w:rsidR="00B723BB" w:rsidRPr="00EE1084">
              <w:rPr>
                <w:rFonts w:ascii="Book Antiqua" w:hAnsi="Book Antiqua"/>
                <w:color w:val="000000" w:themeColor="text1"/>
                <w:lang w:eastAsia="zh-CN"/>
              </w:rPr>
              <w:t xml:space="preserve"> </w:t>
            </w:r>
            <w:r w:rsidRPr="00EE1084">
              <w:rPr>
                <w:rFonts w:ascii="Book Antiqua" w:hAnsi="Book Antiqua"/>
                <w:color w:val="000000" w:themeColor="text1"/>
                <w:lang w:eastAsia="zh-CN"/>
              </w:rPr>
              <w:t>(36.8)</w:t>
            </w:r>
          </w:p>
        </w:tc>
      </w:tr>
      <w:tr w:rsidR="009F5B08" w:rsidRPr="009F5B08" w14:paraId="7930DB16" w14:textId="77777777" w:rsidTr="0065735B">
        <w:trPr>
          <w:trHeight w:val="367"/>
        </w:trPr>
        <w:tc>
          <w:tcPr>
            <w:tcW w:w="1907" w:type="dxa"/>
            <w:shd w:val="clear" w:color="auto" w:fill="auto"/>
            <w:vAlign w:val="center"/>
          </w:tcPr>
          <w:p w14:paraId="7253CA14" w14:textId="6328DF5D"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II</w:t>
            </w:r>
          </w:p>
        </w:tc>
        <w:tc>
          <w:tcPr>
            <w:tcW w:w="3423" w:type="dxa"/>
            <w:shd w:val="clear" w:color="auto" w:fill="auto"/>
            <w:vAlign w:val="center"/>
          </w:tcPr>
          <w:p w14:paraId="137C6212"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3 (10)</w:t>
            </w:r>
          </w:p>
        </w:tc>
        <w:tc>
          <w:tcPr>
            <w:tcW w:w="3210" w:type="dxa"/>
            <w:shd w:val="clear" w:color="auto" w:fill="auto"/>
            <w:vAlign w:val="center"/>
          </w:tcPr>
          <w:p w14:paraId="25CB094F"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 (53.3)</w:t>
            </w:r>
          </w:p>
        </w:tc>
      </w:tr>
      <w:tr w:rsidR="009F5B08" w:rsidRPr="009F5B08" w14:paraId="74D4BAFF" w14:textId="77777777" w:rsidTr="0065735B">
        <w:trPr>
          <w:trHeight w:val="367"/>
        </w:trPr>
        <w:tc>
          <w:tcPr>
            <w:tcW w:w="1907" w:type="dxa"/>
            <w:shd w:val="clear" w:color="auto" w:fill="auto"/>
            <w:vAlign w:val="center"/>
          </w:tcPr>
          <w:p w14:paraId="6251CE74" w14:textId="320DE534"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III</w:t>
            </w:r>
          </w:p>
        </w:tc>
        <w:tc>
          <w:tcPr>
            <w:tcW w:w="3423" w:type="dxa"/>
            <w:shd w:val="clear" w:color="auto" w:fill="auto"/>
            <w:vAlign w:val="center"/>
          </w:tcPr>
          <w:p w14:paraId="776A34E5"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16 (90)</w:t>
            </w:r>
          </w:p>
        </w:tc>
        <w:tc>
          <w:tcPr>
            <w:tcW w:w="3210" w:type="dxa"/>
            <w:shd w:val="clear" w:color="auto" w:fill="auto"/>
            <w:vAlign w:val="center"/>
          </w:tcPr>
          <w:p w14:paraId="407C1F97"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9 (30)</w:t>
            </w:r>
          </w:p>
        </w:tc>
      </w:tr>
      <w:tr w:rsidR="00EF50C9" w:rsidRPr="009F5B08" w14:paraId="47845584" w14:textId="77777777" w:rsidTr="0065735B">
        <w:trPr>
          <w:trHeight w:val="378"/>
        </w:trPr>
        <w:tc>
          <w:tcPr>
            <w:tcW w:w="1907" w:type="dxa"/>
            <w:tcBorders>
              <w:bottom w:val="single" w:sz="4" w:space="0" w:color="000000"/>
            </w:tcBorders>
            <w:shd w:val="clear" w:color="auto" w:fill="auto"/>
            <w:vAlign w:val="center"/>
          </w:tcPr>
          <w:p w14:paraId="2016ABFE" w14:textId="5A1EBD60"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IV</w:t>
            </w:r>
          </w:p>
        </w:tc>
        <w:tc>
          <w:tcPr>
            <w:tcW w:w="3423" w:type="dxa"/>
            <w:tcBorders>
              <w:bottom w:val="single" w:sz="4" w:space="0" w:color="000000"/>
            </w:tcBorders>
            <w:shd w:val="clear" w:color="auto" w:fill="auto"/>
            <w:vAlign w:val="center"/>
          </w:tcPr>
          <w:p w14:paraId="20D103B8"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210" w:type="dxa"/>
            <w:tcBorders>
              <w:bottom w:val="single" w:sz="4" w:space="0" w:color="000000"/>
            </w:tcBorders>
            <w:shd w:val="clear" w:color="auto" w:fill="auto"/>
            <w:vAlign w:val="center"/>
          </w:tcPr>
          <w:p w14:paraId="0D887886"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bl>
    <w:p w14:paraId="3AC7D5DD" w14:textId="3533691C" w:rsidR="00EF50C9" w:rsidRPr="00EE1084" w:rsidRDefault="00EF50C9" w:rsidP="002245C4">
      <w:pPr>
        <w:snapToGrid w:val="0"/>
        <w:spacing w:line="360" w:lineRule="auto"/>
        <w:jc w:val="both"/>
        <w:rPr>
          <w:rFonts w:ascii="Book Antiqua" w:hAnsi="Book Antiqua"/>
          <w:b/>
          <w:bCs/>
          <w:color w:val="000000" w:themeColor="text1"/>
          <w:lang w:eastAsia="zh-CN"/>
        </w:rPr>
      </w:pPr>
    </w:p>
    <w:sectPr w:rsidR="00EF50C9" w:rsidRPr="00EE1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3282" w14:textId="77777777" w:rsidR="00DC6E0E" w:rsidRDefault="00DC6E0E" w:rsidP="004B1195">
      <w:r>
        <w:separator/>
      </w:r>
    </w:p>
  </w:endnote>
  <w:endnote w:type="continuationSeparator" w:id="0">
    <w:p w14:paraId="54F68E7C" w14:textId="77777777" w:rsidR="00DC6E0E" w:rsidRDefault="00DC6E0E" w:rsidP="004B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54054586"/>
      <w:docPartObj>
        <w:docPartGallery w:val="Page Numbers (Bottom of Page)"/>
        <w:docPartUnique/>
      </w:docPartObj>
    </w:sdtPr>
    <w:sdtEndPr>
      <w:rPr>
        <w:noProof/>
      </w:rPr>
    </w:sdtEndPr>
    <w:sdtContent>
      <w:p w14:paraId="05A0DB89" w14:textId="19CF97D2" w:rsidR="00B60E29" w:rsidRPr="00EE1084" w:rsidRDefault="00B60E29">
        <w:pPr>
          <w:pStyle w:val="a5"/>
          <w:jc w:val="right"/>
          <w:rPr>
            <w:rFonts w:ascii="Book Antiqua" w:hAnsi="Book Antiqua"/>
            <w:sz w:val="24"/>
            <w:szCs w:val="24"/>
          </w:rPr>
        </w:pPr>
        <w:r w:rsidRPr="00EE1084">
          <w:rPr>
            <w:rFonts w:ascii="Book Antiqua" w:hAnsi="Book Antiqua"/>
            <w:sz w:val="24"/>
            <w:szCs w:val="24"/>
          </w:rPr>
          <w:fldChar w:fldCharType="begin"/>
        </w:r>
        <w:r w:rsidRPr="00EE1084">
          <w:rPr>
            <w:rFonts w:ascii="Book Antiqua" w:hAnsi="Book Antiqua"/>
            <w:sz w:val="24"/>
            <w:szCs w:val="24"/>
          </w:rPr>
          <w:instrText xml:space="preserve"> PAGE   \* MERGEFORMAT </w:instrText>
        </w:r>
        <w:r w:rsidRPr="00EE1084">
          <w:rPr>
            <w:rFonts w:ascii="Book Antiqua" w:hAnsi="Book Antiqua"/>
            <w:sz w:val="24"/>
            <w:szCs w:val="24"/>
          </w:rPr>
          <w:fldChar w:fldCharType="separate"/>
        </w:r>
        <w:r w:rsidRPr="00EE1084">
          <w:rPr>
            <w:rFonts w:ascii="Book Antiqua" w:hAnsi="Book Antiqua"/>
            <w:noProof/>
            <w:sz w:val="24"/>
            <w:szCs w:val="24"/>
          </w:rPr>
          <w:t>2</w:t>
        </w:r>
        <w:r w:rsidRPr="00EE1084">
          <w:rPr>
            <w:rFonts w:ascii="Book Antiqua" w:hAnsi="Book Antiqua"/>
            <w:noProof/>
            <w:sz w:val="24"/>
            <w:szCs w:val="24"/>
          </w:rPr>
          <w:fldChar w:fldCharType="end"/>
        </w:r>
        <w:r w:rsidR="002245C4">
          <w:rPr>
            <w:rFonts w:ascii="Book Antiqua" w:hAnsi="Book Antiqua"/>
            <w:noProof/>
            <w:sz w:val="24"/>
            <w:szCs w:val="24"/>
          </w:rPr>
          <w:t xml:space="preserve"> </w:t>
        </w:r>
        <w:r w:rsidRPr="00EE1084">
          <w:rPr>
            <w:rFonts w:ascii="Book Antiqua" w:hAnsi="Book Antiqua"/>
            <w:noProof/>
            <w:sz w:val="24"/>
            <w:szCs w:val="24"/>
          </w:rPr>
          <w:t>/</w:t>
        </w:r>
        <w:r w:rsidR="002245C4">
          <w:rPr>
            <w:rFonts w:ascii="Book Antiqua" w:hAnsi="Book Antiqua"/>
            <w:noProof/>
            <w:sz w:val="24"/>
            <w:szCs w:val="24"/>
          </w:rPr>
          <w:t xml:space="preserve"> </w:t>
        </w:r>
        <w:r w:rsidRPr="00EE1084">
          <w:rPr>
            <w:rFonts w:ascii="Book Antiqua" w:hAnsi="Book Antiqua"/>
            <w:noProof/>
            <w:sz w:val="24"/>
            <w:szCs w:val="24"/>
          </w:rPr>
          <w:t>18</w:t>
        </w:r>
      </w:p>
    </w:sdtContent>
  </w:sdt>
  <w:p w14:paraId="59AD410B" w14:textId="77777777" w:rsidR="00D40313" w:rsidRDefault="00D40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534D" w14:textId="77777777" w:rsidR="00DC6E0E" w:rsidRDefault="00DC6E0E" w:rsidP="004B1195">
      <w:r>
        <w:separator/>
      </w:r>
    </w:p>
  </w:footnote>
  <w:footnote w:type="continuationSeparator" w:id="0">
    <w:p w14:paraId="1F4ECA49" w14:textId="77777777" w:rsidR="00DC6E0E" w:rsidRDefault="00DC6E0E" w:rsidP="004B1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E61"/>
    <w:rsid w:val="00031872"/>
    <w:rsid w:val="00037EE0"/>
    <w:rsid w:val="0005366F"/>
    <w:rsid w:val="00086F8E"/>
    <w:rsid w:val="00174503"/>
    <w:rsid w:val="001A40CE"/>
    <w:rsid w:val="002245C4"/>
    <w:rsid w:val="0023027D"/>
    <w:rsid w:val="0025596A"/>
    <w:rsid w:val="00284891"/>
    <w:rsid w:val="0029534B"/>
    <w:rsid w:val="002C68BA"/>
    <w:rsid w:val="002F56FB"/>
    <w:rsid w:val="00317DB6"/>
    <w:rsid w:val="0032091D"/>
    <w:rsid w:val="003A70E3"/>
    <w:rsid w:val="003F62F7"/>
    <w:rsid w:val="0040478B"/>
    <w:rsid w:val="00472C2B"/>
    <w:rsid w:val="004B1195"/>
    <w:rsid w:val="00570554"/>
    <w:rsid w:val="0057439E"/>
    <w:rsid w:val="00615B03"/>
    <w:rsid w:val="00651692"/>
    <w:rsid w:val="006A6533"/>
    <w:rsid w:val="006D62F9"/>
    <w:rsid w:val="006E3461"/>
    <w:rsid w:val="00726C1E"/>
    <w:rsid w:val="007862DC"/>
    <w:rsid w:val="007E12A4"/>
    <w:rsid w:val="008638A5"/>
    <w:rsid w:val="00885BDA"/>
    <w:rsid w:val="008B2E47"/>
    <w:rsid w:val="009315B9"/>
    <w:rsid w:val="00964108"/>
    <w:rsid w:val="009E26BF"/>
    <w:rsid w:val="009F5B08"/>
    <w:rsid w:val="00A24B23"/>
    <w:rsid w:val="00A60D61"/>
    <w:rsid w:val="00A74240"/>
    <w:rsid w:val="00A76E01"/>
    <w:rsid w:val="00A77B3E"/>
    <w:rsid w:val="00AC3A3C"/>
    <w:rsid w:val="00AF35BC"/>
    <w:rsid w:val="00B60E29"/>
    <w:rsid w:val="00B723BB"/>
    <w:rsid w:val="00C10817"/>
    <w:rsid w:val="00C22394"/>
    <w:rsid w:val="00C53A58"/>
    <w:rsid w:val="00C824D0"/>
    <w:rsid w:val="00CA2A55"/>
    <w:rsid w:val="00CF316E"/>
    <w:rsid w:val="00D40313"/>
    <w:rsid w:val="00D51736"/>
    <w:rsid w:val="00D52F07"/>
    <w:rsid w:val="00D76988"/>
    <w:rsid w:val="00D82E41"/>
    <w:rsid w:val="00D97966"/>
    <w:rsid w:val="00DC6E0E"/>
    <w:rsid w:val="00E41BAB"/>
    <w:rsid w:val="00E95AA7"/>
    <w:rsid w:val="00EE1084"/>
    <w:rsid w:val="00EF50C9"/>
    <w:rsid w:val="00F1236A"/>
    <w:rsid w:val="00F3119E"/>
    <w:rsid w:val="00FE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B761"/>
  <w15:docId w15:val="{25F4480F-22F2-4958-BCDA-7E115FE3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character" w:customStyle="1" w:styleId="Hyperlink0">
    <w:name w:val="Hyperlink0"/>
    <w:basedOn w:val="a0"/>
  </w:style>
  <w:style w:type="paragraph" w:styleId="a3">
    <w:name w:val="header"/>
    <w:basedOn w:val="a"/>
    <w:link w:val="a4"/>
    <w:unhideWhenUsed/>
    <w:rsid w:val="004B11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1195"/>
    <w:rPr>
      <w:sz w:val="18"/>
      <w:szCs w:val="18"/>
    </w:rPr>
  </w:style>
  <w:style w:type="paragraph" w:styleId="a5">
    <w:name w:val="footer"/>
    <w:basedOn w:val="a"/>
    <w:link w:val="a6"/>
    <w:uiPriority w:val="99"/>
    <w:unhideWhenUsed/>
    <w:rsid w:val="004B1195"/>
    <w:pPr>
      <w:tabs>
        <w:tab w:val="center" w:pos="4153"/>
        <w:tab w:val="right" w:pos="8306"/>
      </w:tabs>
      <w:snapToGrid w:val="0"/>
    </w:pPr>
    <w:rPr>
      <w:sz w:val="18"/>
      <w:szCs w:val="18"/>
    </w:rPr>
  </w:style>
  <w:style w:type="character" w:customStyle="1" w:styleId="a6">
    <w:name w:val="页脚 字符"/>
    <w:basedOn w:val="a0"/>
    <w:link w:val="a5"/>
    <w:uiPriority w:val="99"/>
    <w:rsid w:val="004B1195"/>
    <w:rPr>
      <w:sz w:val="18"/>
      <w:szCs w:val="18"/>
    </w:rPr>
  </w:style>
  <w:style w:type="paragraph" w:styleId="a7">
    <w:name w:val="Balloon Text"/>
    <w:basedOn w:val="a"/>
    <w:link w:val="a8"/>
    <w:rsid w:val="004B1195"/>
    <w:rPr>
      <w:sz w:val="18"/>
      <w:szCs w:val="18"/>
    </w:rPr>
  </w:style>
  <w:style w:type="character" w:customStyle="1" w:styleId="a8">
    <w:name w:val="批注框文本 字符"/>
    <w:basedOn w:val="a0"/>
    <w:link w:val="a7"/>
    <w:rsid w:val="004B11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917835">
      <w:bodyDiv w:val="1"/>
      <w:marLeft w:val="0"/>
      <w:marRight w:val="0"/>
      <w:marTop w:val="0"/>
      <w:marBottom w:val="0"/>
      <w:divBdr>
        <w:top w:val="none" w:sz="0" w:space="0" w:color="auto"/>
        <w:left w:val="none" w:sz="0" w:space="0" w:color="auto"/>
        <w:bottom w:val="none" w:sz="0" w:space="0" w:color="auto"/>
        <w:right w:val="none" w:sz="0" w:space="0" w:color="auto"/>
      </w:divBdr>
      <w:divsChild>
        <w:div w:id="2026781793">
          <w:marLeft w:val="0"/>
          <w:marRight w:val="0"/>
          <w:marTop w:val="0"/>
          <w:marBottom w:val="0"/>
          <w:divBdr>
            <w:top w:val="none" w:sz="0" w:space="0" w:color="auto"/>
            <w:left w:val="none" w:sz="0" w:space="0" w:color="auto"/>
            <w:bottom w:val="none" w:sz="0" w:space="0" w:color="auto"/>
            <w:right w:val="none" w:sz="0" w:space="0" w:color="auto"/>
          </w:divBdr>
          <w:divsChild>
            <w:div w:id="19653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7</cp:revision>
  <dcterms:created xsi:type="dcterms:W3CDTF">2020-11-03T17:53:00Z</dcterms:created>
  <dcterms:modified xsi:type="dcterms:W3CDTF">2020-11-13T08:16:00Z</dcterms:modified>
</cp:coreProperties>
</file>