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EDCFA" w14:textId="77777777" w:rsidR="009D1D10" w:rsidRPr="00123B18" w:rsidRDefault="00AF4927" w:rsidP="00D57009">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Name of Journal: </w:t>
      </w:r>
      <w:r w:rsidRPr="00D57009">
        <w:rPr>
          <w:rFonts w:ascii="Book Antiqua" w:eastAsia="Book Antiqua" w:hAnsi="Book Antiqua" w:cs="Book Antiqua"/>
          <w:i/>
          <w:color w:val="000000"/>
        </w:rPr>
        <w:t>World Journal of Gastroenterology</w:t>
      </w:r>
    </w:p>
    <w:p w14:paraId="5B102CB3"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color w:val="000000"/>
        </w:rPr>
        <w:t xml:space="preserve">Manuscript NO: </w:t>
      </w:r>
      <w:r w:rsidRPr="00123B18">
        <w:rPr>
          <w:rFonts w:ascii="Book Antiqua" w:eastAsia="Book Antiqua" w:hAnsi="Book Antiqua" w:cs="Book Antiqua"/>
          <w:color w:val="000000"/>
        </w:rPr>
        <w:t>58807</w:t>
      </w:r>
    </w:p>
    <w:p w14:paraId="168FAC9E"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color w:val="000000"/>
        </w:rPr>
        <w:t xml:space="preserve">Manuscript Type: </w:t>
      </w:r>
      <w:r w:rsidRPr="00123B18">
        <w:rPr>
          <w:rFonts w:ascii="Book Antiqua" w:eastAsia="Book Antiqua" w:hAnsi="Book Antiqua" w:cs="Book Antiqua"/>
          <w:color w:val="000000"/>
        </w:rPr>
        <w:t>ORIGINAL ARTICLE</w:t>
      </w:r>
    </w:p>
    <w:p w14:paraId="20DDD7DB" w14:textId="77777777" w:rsidR="009D1D10" w:rsidRPr="00123B18" w:rsidRDefault="009D1D10" w:rsidP="00123B18">
      <w:pPr>
        <w:snapToGrid w:val="0"/>
        <w:spacing w:line="360" w:lineRule="auto"/>
        <w:jc w:val="both"/>
        <w:rPr>
          <w:rFonts w:ascii="Book Antiqua" w:hAnsi="Book Antiqua"/>
        </w:rPr>
      </w:pPr>
    </w:p>
    <w:p w14:paraId="79AEB7B5"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i/>
          <w:color w:val="000000"/>
        </w:rPr>
        <w:t>Basic Study</w:t>
      </w:r>
    </w:p>
    <w:p w14:paraId="3ECAA213" w14:textId="77777777" w:rsidR="009D1D10" w:rsidRPr="00123B18" w:rsidRDefault="00AF4927" w:rsidP="00123B18">
      <w:pPr>
        <w:snapToGrid w:val="0"/>
        <w:spacing w:line="360" w:lineRule="auto"/>
        <w:jc w:val="both"/>
        <w:rPr>
          <w:rFonts w:ascii="Book Antiqua" w:hAnsi="Book Antiqua"/>
        </w:rPr>
      </w:pPr>
      <w:bookmarkStart w:id="0" w:name="OLE_LINK25"/>
      <w:bookmarkStart w:id="1" w:name="OLE_LINK7"/>
      <w:bookmarkStart w:id="2" w:name="OLE_LINK8"/>
      <w:r w:rsidRPr="00123B18">
        <w:rPr>
          <w:rFonts w:ascii="Book Antiqua" w:eastAsia="Book Antiqua" w:hAnsi="Book Antiqua" w:cs="Book Antiqua"/>
          <w:b/>
          <w:bCs/>
          <w:color w:val="000000"/>
        </w:rPr>
        <w:t>Untargeted metabolomics characteristics of nonobese nonalcoholic fatty liver disease induced by high-temperature-processed feed in Sprague-Dawley rats</w:t>
      </w:r>
    </w:p>
    <w:bookmarkEnd w:id="0"/>
    <w:bookmarkEnd w:id="1"/>
    <w:bookmarkEnd w:id="2"/>
    <w:p w14:paraId="7EB88E89" w14:textId="77777777" w:rsidR="009D1D10" w:rsidRPr="00123B18" w:rsidRDefault="009D1D10" w:rsidP="00123B18">
      <w:pPr>
        <w:snapToGrid w:val="0"/>
        <w:spacing w:line="360" w:lineRule="auto"/>
        <w:jc w:val="both"/>
        <w:rPr>
          <w:rFonts w:ascii="Book Antiqua" w:hAnsi="Book Antiqua"/>
        </w:rPr>
      </w:pPr>
    </w:p>
    <w:p w14:paraId="09412398"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color w:val="000000"/>
        </w:rPr>
        <w:t xml:space="preserve">Xue LJ </w:t>
      </w:r>
      <w:r w:rsidRPr="00123B18">
        <w:rPr>
          <w:rFonts w:ascii="Book Antiqua" w:eastAsia="Book Antiqua" w:hAnsi="Book Antiqua" w:cs="Book Antiqua"/>
          <w:i/>
          <w:iCs/>
          <w:color w:val="000000"/>
        </w:rPr>
        <w:t>et al.</w:t>
      </w:r>
      <w:r w:rsidRPr="00123B18">
        <w:rPr>
          <w:rFonts w:ascii="Book Antiqua" w:eastAsia="Book Antiqua" w:hAnsi="Book Antiqua" w:cs="Book Antiqua"/>
          <w:color w:val="000000"/>
        </w:rPr>
        <w:t xml:space="preserve"> </w:t>
      </w:r>
      <w:bookmarkStart w:id="3" w:name="OLE_LINK9"/>
      <w:bookmarkStart w:id="4" w:name="OLE_LINK26"/>
      <w:bookmarkStart w:id="5" w:name="OLE_LINK10"/>
      <w:r w:rsidRPr="00123B18">
        <w:rPr>
          <w:rFonts w:ascii="Book Antiqua" w:eastAsia="Book Antiqua" w:hAnsi="Book Antiqua" w:cs="Book Antiqua"/>
          <w:color w:val="000000"/>
        </w:rPr>
        <w:t>Untargeted metabolomics characteristics of nonobese NAFLD</w:t>
      </w:r>
      <w:bookmarkEnd w:id="3"/>
      <w:bookmarkEnd w:id="4"/>
      <w:bookmarkEnd w:id="5"/>
    </w:p>
    <w:p w14:paraId="22FF4195" w14:textId="77777777" w:rsidR="009D1D10" w:rsidRPr="00123B18" w:rsidRDefault="009D1D10" w:rsidP="00123B18">
      <w:pPr>
        <w:snapToGrid w:val="0"/>
        <w:spacing w:line="360" w:lineRule="auto"/>
        <w:jc w:val="both"/>
        <w:rPr>
          <w:rFonts w:ascii="Book Antiqua" w:hAnsi="Book Antiqua"/>
        </w:rPr>
      </w:pPr>
    </w:p>
    <w:p w14:paraId="3583AFEB"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color w:val="000000"/>
        </w:rPr>
        <w:t>Li-Jun Xue, Ju-Qiang Han, Yuan-Chen Zhou, Hong-Ye Peng, Teng-Fei Yin, Kai-Min Li, Shu-Kun Yao</w:t>
      </w:r>
    </w:p>
    <w:p w14:paraId="1800AC74" w14:textId="77777777" w:rsidR="009D1D10" w:rsidRPr="00123B18" w:rsidRDefault="009D1D10" w:rsidP="00123B18">
      <w:pPr>
        <w:snapToGrid w:val="0"/>
        <w:spacing w:line="360" w:lineRule="auto"/>
        <w:jc w:val="both"/>
        <w:rPr>
          <w:rFonts w:ascii="Book Antiqua" w:hAnsi="Book Antiqua"/>
        </w:rPr>
      </w:pPr>
    </w:p>
    <w:p w14:paraId="6CE4AF10"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Li-Jun Xue, Shu-Kun Yao, </w:t>
      </w:r>
      <w:r w:rsidRPr="00123B18">
        <w:rPr>
          <w:rFonts w:ascii="Book Antiqua" w:eastAsia="Book Antiqua" w:hAnsi="Book Antiqua" w:cs="Book Antiqua"/>
          <w:color w:val="000000"/>
        </w:rPr>
        <w:t>School of Biological Science and Medical Engineering, Beihang University, Beijing 100191, China</w:t>
      </w:r>
    </w:p>
    <w:p w14:paraId="1C1CD93F" w14:textId="77777777" w:rsidR="009D1D10" w:rsidRPr="00123B18" w:rsidRDefault="009D1D10" w:rsidP="00123B18">
      <w:pPr>
        <w:snapToGrid w:val="0"/>
        <w:spacing w:line="360" w:lineRule="auto"/>
        <w:jc w:val="both"/>
        <w:rPr>
          <w:rFonts w:ascii="Book Antiqua" w:hAnsi="Book Antiqua"/>
        </w:rPr>
      </w:pPr>
    </w:p>
    <w:p w14:paraId="19C71709"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Ju-Qiang Han, </w:t>
      </w:r>
      <w:r w:rsidRPr="00123B18">
        <w:rPr>
          <w:rFonts w:ascii="Book Antiqua" w:eastAsia="Book Antiqua" w:hAnsi="Book Antiqua" w:cs="Book Antiqua"/>
          <w:color w:val="000000"/>
        </w:rPr>
        <w:t>Department of Hepatology, The Seventh Medical Center of PLA General Hospital, Beijing 100700, China</w:t>
      </w:r>
    </w:p>
    <w:p w14:paraId="05CB833F" w14:textId="77777777" w:rsidR="009D1D10" w:rsidRPr="00123B18" w:rsidRDefault="009D1D10" w:rsidP="00123B18">
      <w:pPr>
        <w:snapToGrid w:val="0"/>
        <w:spacing w:line="360" w:lineRule="auto"/>
        <w:jc w:val="both"/>
        <w:rPr>
          <w:rFonts w:ascii="Book Antiqua" w:hAnsi="Book Antiqua"/>
        </w:rPr>
      </w:pPr>
    </w:p>
    <w:p w14:paraId="6B76CC98" w14:textId="77777777" w:rsidR="009D1D10" w:rsidRPr="00123B18"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Yuan-Chen Zhou, Hong-Ye Peng, Teng-Fei Yin, Kai-Min Li, Shu-Kun Yao, </w:t>
      </w:r>
      <w:bookmarkStart w:id="6" w:name="OLE_LINK15"/>
      <w:bookmarkStart w:id="7" w:name="OLE_LINK16"/>
      <w:r w:rsidRPr="00123B18">
        <w:rPr>
          <w:rFonts w:ascii="Book Antiqua" w:eastAsia="Book Antiqua" w:hAnsi="Book Antiqua" w:cs="Book Antiqua"/>
          <w:color w:val="000000"/>
        </w:rPr>
        <w:t>Department of Gastroenterology</w:t>
      </w:r>
      <w:bookmarkEnd w:id="6"/>
      <w:bookmarkEnd w:id="7"/>
      <w:r w:rsidRPr="00123B18">
        <w:rPr>
          <w:rFonts w:ascii="Book Antiqua" w:eastAsia="Book Antiqua" w:hAnsi="Book Antiqua" w:cs="Book Antiqua"/>
          <w:color w:val="000000"/>
        </w:rPr>
        <w:t xml:space="preserve">, </w:t>
      </w:r>
      <w:bookmarkStart w:id="8" w:name="OLE_LINK17"/>
      <w:bookmarkStart w:id="9" w:name="OLE_LINK18"/>
      <w:r w:rsidRPr="00123B18">
        <w:rPr>
          <w:rFonts w:ascii="Book Antiqua" w:eastAsia="Book Antiqua" w:hAnsi="Book Antiqua" w:cs="Book Antiqua"/>
          <w:color w:val="000000"/>
        </w:rPr>
        <w:t>China-Japan Friendship Hospital</w:t>
      </w:r>
      <w:bookmarkEnd w:id="8"/>
      <w:bookmarkEnd w:id="9"/>
      <w:r w:rsidRPr="00123B18">
        <w:rPr>
          <w:rFonts w:ascii="Book Antiqua" w:eastAsia="Book Antiqua" w:hAnsi="Book Antiqua" w:cs="Book Antiqua"/>
          <w:color w:val="000000"/>
        </w:rPr>
        <w:t>, Beijing 100029, China</w:t>
      </w:r>
    </w:p>
    <w:p w14:paraId="4793D2B6" w14:textId="77777777" w:rsidR="009D1D10" w:rsidRPr="00123B18" w:rsidRDefault="009D1D10" w:rsidP="00123B18">
      <w:pPr>
        <w:snapToGrid w:val="0"/>
        <w:spacing w:line="360" w:lineRule="auto"/>
        <w:jc w:val="both"/>
        <w:rPr>
          <w:rFonts w:ascii="Book Antiqua" w:hAnsi="Book Antiqua"/>
        </w:rPr>
      </w:pPr>
    </w:p>
    <w:p w14:paraId="0D0774C0" w14:textId="28DF8752" w:rsidR="009D1D10" w:rsidRPr="00D57009" w:rsidRDefault="00AF4927" w:rsidP="00123B18">
      <w:pPr>
        <w:snapToGrid w:val="0"/>
        <w:spacing w:line="360" w:lineRule="auto"/>
        <w:jc w:val="both"/>
        <w:rPr>
          <w:rFonts w:ascii="Book Antiqua" w:hAnsi="Book Antiqua"/>
        </w:rPr>
      </w:pPr>
      <w:r w:rsidRPr="00123B18">
        <w:rPr>
          <w:rFonts w:ascii="Book Antiqua" w:eastAsia="Book Antiqua" w:hAnsi="Book Antiqua" w:cs="Book Antiqua"/>
          <w:b/>
          <w:bCs/>
          <w:color w:val="000000"/>
        </w:rPr>
        <w:t xml:space="preserve">Author contributions: </w:t>
      </w:r>
      <w:bookmarkStart w:id="10" w:name="OLE_LINK21"/>
      <w:bookmarkStart w:id="11" w:name="OLE_LINK22"/>
      <w:r w:rsidRPr="00123B18">
        <w:rPr>
          <w:rFonts w:ascii="Book Antiqua" w:eastAsia="Book Antiqua" w:hAnsi="Book Antiqua" w:cs="Book Antiqua"/>
          <w:color w:val="000000"/>
        </w:rPr>
        <w:t>Xue LJ, Zhou YC, Peng HY and Yin TF performed the experiments; Xue LJ analyzed the data, prepared figures and contributed to the drafting of the manuscript; Yao SK and Han JQ supervised this work and edited and revised manuscript; Yao SK initiated the project, design the experiments</w:t>
      </w:r>
      <w:r w:rsidR="00F16441"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and approved the final version of manuscript; Li KM provided technical assistance</w:t>
      </w:r>
      <w:r w:rsidR="00123B18">
        <w:rPr>
          <w:rFonts w:ascii="Book Antiqua" w:eastAsia="Book Antiqua" w:hAnsi="Book Antiqua" w:cs="Book Antiqua"/>
          <w:color w:val="000000"/>
        </w:rPr>
        <w:t>;</w:t>
      </w:r>
      <w:r w:rsidRPr="00D57009">
        <w:rPr>
          <w:rFonts w:ascii="Book Antiqua" w:eastAsia="Book Antiqua" w:hAnsi="Book Antiqua" w:cs="Book Antiqua"/>
          <w:color w:val="000000"/>
        </w:rPr>
        <w:t xml:space="preserve"> All authors read and approved the final manuscript.</w:t>
      </w:r>
    </w:p>
    <w:bookmarkEnd w:id="10"/>
    <w:bookmarkEnd w:id="11"/>
    <w:p w14:paraId="72169B0D" w14:textId="77777777" w:rsidR="009D1D10" w:rsidRPr="00D57009" w:rsidRDefault="009D1D10">
      <w:pPr>
        <w:snapToGrid w:val="0"/>
        <w:spacing w:line="360" w:lineRule="auto"/>
        <w:jc w:val="both"/>
        <w:rPr>
          <w:rFonts w:ascii="Book Antiqua" w:hAnsi="Book Antiqua"/>
        </w:rPr>
      </w:pPr>
    </w:p>
    <w:p w14:paraId="68472F7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Supported by </w:t>
      </w:r>
      <w:bookmarkStart w:id="12" w:name="OLE_LINK24"/>
      <w:bookmarkStart w:id="13" w:name="OLE_LINK23"/>
      <w:r w:rsidRPr="00D57009">
        <w:rPr>
          <w:rFonts w:ascii="Book Antiqua" w:eastAsia="Book Antiqua" w:hAnsi="Book Antiqua" w:cs="Book Antiqua"/>
          <w:color w:val="000000"/>
        </w:rPr>
        <w:t>Science and Technology Project Task Book of Beijing, No. Z171100001717008</w:t>
      </w:r>
      <w:r w:rsidRPr="00D57009">
        <w:rPr>
          <w:rFonts w:ascii="Book Antiqua" w:hAnsi="Book Antiqua" w:cs="Book Antiqua"/>
          <w:color w:val="000000"/>
          <w:lang w:eastAsia="zh-CN"/>
        </w:rPr>
        <w:t>.</w:t>
      </w:r>
    </w:p>
    <w:bookmarkEnd w:id="12"/>
    <w:bookmarkEnd w:id="13"/>
    <w:p w14:paraId="0DF5D2A9" w14:textId="77777777" w:rsidR="009D1D10" w:rsidRPr="00D57009" w:rsidRDefault="009D1D10">
      <w:pPr>
        <w:snapToGrid w:val="0"/>
        <w:spacing w:line="360" w:lineRule="auto"/>
        <w:jc w:val="both"/>
        <w:rPr>
          <w:rFonts w:ascii="Book Antiqua" w:hAnsi="Book Antiqua"/>
        </w:rPr>
      </w:pPr>
    </w:p>
    <w:p w14:paraId="2A9F67B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Corresponding author: Shu-Kun Yao, MD, PhD, Professor, </w:t>
      </w:r>
      <w:r w:rsidRPr="00D57009">
        <w:rPr>
          <w:rFonts w:ascii="Book Antiqua" w:eastAsia="Book Antiqua" w:hAnsi="Book Antiqua" w:cs="Book Antiqua"/>
          <w:color w:val="000000"/>
        </w:rPr>
        <w:t>Department of Gastroenterology, China-Jap</w:t>
      </w:r>
      <w:r w:rsidR="00575B78" w:rsidRPr="00D57009">
        <w:rPr>
          <w:rFonts w:ascii="Book Antiqua" w:eastAsia="Book Antiqua" w:hAnsi="Book Antiqua" w:cs="Book Antiqua"/>
          <w:color w:val="000000"/>
        </w:rPr>
        <w:t>a</w:t>
      </w:r>
      <w:r w:rsidRPr="00D57009">
        <w:rPr>
          <w:rFonts w:ascii="Book Antiqua" w:eastAsia="Book Antiqua" w:hAnsi="Book Antiqua" w:cs="Book Antiqua"/>
          <w:color w:val="000000"/>
        </w:rPr>
        <w:t xml:space="preserve">n Friendship Hospital, </w:t>
      </w:r>
      <w:bookmarkStart w:id="14" w:name="OLE_LINK19"/>
      <w:bookmarkStart w:id="15" w:name="OLE_LINK20"/>
      <w:r w:rsidRPr="00D57009">
        <w:rPr>
          <w:rFonts w:ascii="Book Antiqua" w:eastAsia="Book Antiqua" w:hAnsi="Book Antiqua" w:cs="Book Antiqua"/>
          <w:color w:val="000000"/>
        </w:rPr>
        <w:t>No. 2 Yinghua East Road, Chaoyang District</w:t>
      </w:r>
      <w:bookmarkEnd w:id="14"/>
      <w:bookmarkEnd w:id="15"/>
      <w:r w:rsidRPr="00D57009">
        <w:rPr>
          <w:rFonts w:ascii="Book Antiqua" w:eastAsia="Book Antiqua" w:hAnsi="Book Antiqua" w:cs="Book Antiqua"/>
          <w:color w:val="000000"/>
        </w:rPr>
        <w:t>, Beijing 100029, China. shukunyao@126.com</w:t>
      </w:r>
    </w:p>
    <w:p w14:paraId="405B053D" w14:textId="77777777" w:rsidR="009D1D10" w:rsidRPr="00D57009" w:rsidRDefault="009D1D10">
      <w:pPr>
        <w:snapToGrid w:val="0"/>
        <w:spacing w:line="360" w:lineRule="auto"/>
        <w:jc w:val="both"/>
        <w:rPr>
          <w:rFonts w:ascii="Book Antiqua" w:hAnsi="Book Antiqua"/>
        </w:rPr>
      </w:pPr>
    </w:p>
    <w:p w14:paraId="7EE4D79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Received: </w:t>
      </w:r>
      <w:r w:rsidRPr="00D57009">
        <w:rPr>
          <w:rFonts w:ascii="Book Antiqua" w:eastAsia="Book Antiqua" w:hAnsi="Book Antiqua" w:cs="Book Antiqua"/>
          <w:color w:val="000000"/>
        </w:rPr>
        <w:t>August 17, 2020</w:t>
      </w:r>
    </w:p>
    <w:p w14:paraId="2C3095C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Revised: </w:t>
      </w:r>
      <w:r w:rsidRPr="00D57009">
        <w:rPr>
          <w:rFonts w:ascii="Book Antiqua" w:eastAsia="Book Antiqua" w:hAnsi="Book Antiqua" w:cs="Book Antiqua"/>
          <w:color w:val="000000"/>
        </w:rPr>
        <w:t>October 27, 2020</w:t>
      </w:r>
    </w:p>
    <w:p w14:paraId="5EEFA560" w14:textId="1D797704"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Accepted:</w:t>
      </w:r>
      <w:r w:rsidRPr="00D57009">
        <w:rPr>
          <w:rFonts w:ascii="Book Antiqua" w:eastAsia="Book Antiqua" w:hAnsi="Book Antiqua" w:cs="Book Antiqua"/>
          <w:color w:val="000000"/>
        </w:rPr>
        <w:t xml:space="preserve"> </w:t>
      </w:r>
      <w:r w:rsidR="009124A7" w:rsidRPr="00D57009">
        <w:rPr>
          <w:rFonts w:ascii="Book Antiqua" w:eastAsia="Book Antiqua" w:hAnsi="Book Antiqua" w:cs="Book Antiqua"/>
          <w:color w:val="000000"/>
        </w:rPr>
        <w:t>November 9, 2020</w:t>
      </w:r>
    </w:p>
    <w:p w14:paraId="2AA82DCA" w14:textId="66620486"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Published online: </w:t>
      </w:r>
      <w:r w:rsidR="0063303F" w:rsidRPr="00C142F0">
        <w:rPr>
          <w:rFonts w:ascii="Book Antiqua" w:eastAsia="Book Antiqua" w:hAnsi="Book Antiqua" w:cs="Book Antiqua"/>
          <w:bCs/>
          <w:color w:val="000000"/>
        </w:rPr>
        <w:t xml:space="preserve">December </w:t>
      </w:r>
      <w:r w:rsidR="0063303F">
        <w:rPr>
          <w:rFonts w:ascii="Book Antiqua" w:hAnsi="Book Antiqua" w:cs="Book Antiqua" w:hint="eastAsia"/>
          <w:bCs/>
          <w:color w:val="000000"/>
          <w:lang w:eastAsia="zh-CN"/>
        </w:rPr>
        <w:t>14</w:t>
      </w:r>
      <w:r w:rsidR="0063303F" w:rsidRPr="00C142F0">
        <w:rPr>
          <w:rFonts w:ascii="Book Antiqua" w:hAnsi="Book Antiqua" w:cs="Book Antiqua" w:hint="eastAsia"/>
          <w:bCs/>
          <w:color w:val="000000"/>
          <w:lang w:eastAsia="zh-CN"/>
        </w:rPr>
        <w:t>, 2020</w:t>
      </w:r>
    </w:p>
    <w:p w14:paraId="10F17707" w14:textId="77777777" w:rsidR="00E11B98" w:rsidRDefault="00E11B98">
      <w:pPr>
        <w:snapToGrid w:val="0"/>
        <w:spacing w:line="360" w:lineRule="auto"/>
        <w:jc w:val="both"/>
        <w:rPr>
          <w:rFonts w:ascii="Book Antiqua" w:hAnsi="Book Antiqua"/>
        </w:rPr>
        <w:sectPr w:rsidR="00E11B98">
          <w:footerReference w:type="default" r:id="rId9"/>
          <w:pgSz w:w="12240" w:h="15840"/>
          <w:pgMar w:top="1440" w:right="1800" w:bottom="1440" w:left="1800" w:header="720" w:footer="720" w:gutter="0"/>
          <w:cols w:space="720"/>
          <w:docGrid w:linePitch="360"/>
        </w:sectPr>
      </w:pPr>
    </w:p>
    <w:p w14:paraId="1A6FF67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Abstract</w:t>
      </w:r>
    </w:p>
    <w:p w14:paraId="544E686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BACKGROUND</w:t>
      </w:r>
    </w:p>
    <w:p w14:paraId="5F071978" w14:textId="1469B59C" w:rsidR="009D1D10" w:rsidRPr="00D57009" w:rsidRDefault="00AF4927">
      <w:pPr>
        <w:snapToGrid w:val="0"/>
        <w:spacing w:line="360" w:lineRule="auto"/>
        <w:jc w:val="both"/>
        <w:rPr>
          <w:rFonts w:ascii="Book Antiqua" w:hAnsi="Book Antiqua"/>
        </w:rPr>
      </w:pPr>
      <w:bookmarkStart w:id="16" w:name="OLE_LINK6"/>
      <w:bookmarkStart w:id="17" w:name="OLE_LINK5"/>
      <w:bookmarkStart w:id="18" w:name="OLE_LINK32"/>
      <w:bookmarkStart w:id="19" w:name="OLE_LINK31"/>
      <w:r w:rsidRPr="00D57009">
        <w:rPr>
          <w:rFonts w:ascii="Book Antiqua" w:eastAsia="Book Antiqua" w:hAnsi="Book Antiqua" w:cs="Book Antiqua"/>
          <w:color w:val="000000"/>
        </w:rPr>
        <w:t>Nonalcoholic fatty liver disease</w:t>
      </w:r>
      <w:bookmarkEnd w:id="16"/>
      <w:bookmarkEnd w:id="17"/>
      <w:r w:rsidRPr="00D57009">
        <w:rPr>
          <w:rFonts w:ascii="Book Antiqua" w:eastAsia="Book Antiqua" w:hAnsi="Book Antiqua" w:cs="Book Antiqua"/>
          <w:color w:val="000000"/>
        </w:rPr>
        <w:t xml:space="preserve"> (NAFLD) has become one of the most common chronic liver diseases in the world. In our early clinical data and questionnaire analysis of NAFLD, it was found that the body mass index of some patients did not meet the diagnostic criteria for overweight or obesity. The consumption of high-temperature-processed foods such as fried food, hot pot and barbecue is closely related to the occurrence of nonobese NAFLD. Reducing the intake of this kind of food can reduce disease severity and improve prognosis.</w:t>
      </w:r>
    </w:p>
    <w:bookmarkEnd w:id="18"/>
    <w:bookmarkEnd w:id="19"/>
    <w:p w14:paraId="2E68EE55" w14:textId="77777777" w:rsidR="009D1D10" w:rsidRPr="00D57009" w:rsidRDefault="009D1D10">
      <w:pPr>
        <w:snapToGrid w:val="0"/>
        <w:spacing w:line="360" w:lineRule="auto"/>
        <w:jc w:val="both"/>
        <w:rPr>
          <w:rFonts w:ascii="Book Antiqua" w:hAnsi="Book Antiqua"/>
        </w:rPr>
      </w:pPr>
    </w:p>
    <w:p w14:paraId="0A8BEF4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AIM</w:t>
      </w:r>
    </w:p>
    <w:p w14:paraId="35671357" w14:textId="77777777" w:rsidR="009D1D10" w:rsidRPr="00D57009" w:rsidRDefault="00AF4927">
      <w:pPr>
        <w:snapToGrid w:val="0"/>
        <w:spacing w:line="360" w:lineRule="auto"/>
        <w:jc w:val="both"/>
        <w:rPr>
          <w:rFonts w:ascii="Book Antiqua" w:hAnsi="Book Antiqua"/>
        </w:rPr>
      </w:pPr>
      <w:bookmarkStart w:id="20" w:name="OLE_LINK33"/>
      <w:bookmarkStart w:id="21" w:name="OLE_LINK34"/>
      <w:r w:rsidRPr="00D57009">
        <w:rPr>
          <w:rFonts w:ascii="Book Antiqua" w:eastAsia="Book Antiqua" w:hAnsi="Book Antiqua" w:cs="Book Antiqua"/>
          <w:color w:val="000000"/>
        </w:rPr>
        <w:t xml:space="preserve">To explore the untargeted metabolomics characteristics of nonobese nonalcoholic fatty liver disease in </w:t>
      </w:r>
      <w:r w:rsidR="00B76B27" w:rsidRPr="00D57009">
        <w:rPr>
          <w:rFonts w:ascii="Book Antiqua" w:eastAsia="Book Antiqua" w:hAnsi="Book Antiqua" w:cs="Book Antiqua"/>
          <w:color w:val="000000"/>
        </w:rPr>
        <w:t>Sprague-Dawley</w:t>
      </w:r>
      <w:r w:rsidRPr="00D57009">
        <w:rPr>
          <w:rFonts w:ascii="Book Antiqua" w:eastAsia="Book Antiqua" w:hAnsi="Book Antiqua" w:cs="Book Antiqua"/>
          <w:color w:val="000000"/>
        </w:rPr>
        <w:t xml:space="preserve"> rats induced by high-temperature-processed feed.</w:t>
      </w:r>
    </w:p>
    <w:bookmarkEnd w:id="20"/>
    <w:bookmarkEnd w:id="21"/>
    <w:p w14:paraId="4E5DD250" w14:textId="77777777" w:rsidR="009D1D10" w:rsidRPr="00D57009" w:rsidRDefault="009D1D10">
      <w:pPr>
        <w:snapToGrid w:val="0"/>
        <w:spacing w:line="360" w:lineRule="auto"/>
        <w:jc w:val="both"/>
        <w:rPr>
          <w:rFonts w:ascii="Book Antiqua" w:hAnsi="Book Antiqua"/>
        </w:rPr>
      </w:pPr>
    </w:p>
    <w:p w14:paraId="005A1B8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METHODS</w:t>
      </w:r>
    </w:p>
    <w:p w14:paraId="1BDE18E7" w14:textId="5FF2DCC7" w:rsidR="009D1D10" w:rsidRPr="00D57009" w:rsidRDefault="00AF4927">
      <w:pPr>
        <w:pStyle w:val="a3"/>
        <w:snapToGrid w:val="0"/>
        <w:spacing w:line="360" w:lineRule="auto"/>
        <w:jc w:val="both"/>
        <w:rPr>
          <w:rFonts w:ascii="Book Antiqua" w:eastAsia="宋体" w:hAnsi="Book Antiqua"/>
          <w:lang w:eastAsia="zh-CN"/>
        </w:rPr>
      </w:pPr>
      <w:bookmarkStart w:id="22" w:name="OLE_LINK35"/>
      <w:bookmarkStart w:id="23" w:name="OLE_LINK36"/>
      <w:r w:rsidRPr="00D57009">
        <w:rPr>
          <w:rFonts w:ascii="Book Antiqua" w:eastAsia="Book Antiqua" w:hAnsi="Book Antiqua" w:cs="Book Antiqua"/>
          <w:color w:val="000000"/>
        </w:rPr>
        <w:t xml:space="preserve">Fifty-four male Sprague-Dawley rats were divided into three groups: </w:t>
      </w:r>
      <w:r w:rsidR="00F16441" w:rsidRPr="00D57009">
        <w:rPr>
          <w:rFonts w:ascii="Book Antiqua" w:eastAsia="Book Antiqua" w:hAnsi="Book Antiqua" w:cs="Book Antiqua"/>
          <w:color w:val="000000"/>
        </w:rPr>
        <w:t>T</w:t>
      </w:r>
      <w:r w:rsidRPr="00D57009">
        <w:rPr>
          <w:rFonts w:ascii="Book Antiqua" w:eastAsia="Book Antiqua" w:hAnsi="Book Antiqua" w:cs="Book Antiqua"/>
          <w:color w:val="000000"/>
        </w:rPr>
        <w:t xml:space="preserve">he control group received a standard diet; the </w:t>
      </w:r>
      <w:bookmarkStart w:id="24" w:name="OLE_LINK2"/>
      <w:bookmarkStart w:id="25" w:name="OLE_LINK1"/>
      <w:bookmarkStart w:id="26" w:name="OLE_LINK3"/>
      <w:bookmarkStart w:id="27" w:name="OLE_LINK4"/>
      <w:r w:rsidR="004668A8" w:rsidRPr="00D57009">
        <w:rPr>
          <w:rFonts w:ascii="Book Antiqua" w:eastAsia="Book Antiqua" w:hAnsi="Book Antiqua" w:cs="Book Antiqua"/>
          <w:color w:val="000000"/>
        </w:rPr>
        <w:t>nonfried soybeans (</w:t>
      </w:r>
      <w:r w:rsidRPr="00D57009">
        <w:rPr>
          <w:rFonts w:ascii="Book Antiqua" w:eastAsia="Book Antiqua" w:hAnsi="Book Antiqua" w:cs="Book Antiqua"/>
          <w:color w:val="000000"/>
        </w:rPr>
        <w:t>NDFS</w:t>
      </w:r>
      <w:bookmarkEnd w:id="24"/>
      <w:bookmarkEnd w:id="25"/>
      <w:r w:rsidR="004668A8"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w:t>
      </w:r>
      <w:bookmarkEnd w:id="26"/>
      <w:bookmarkEnd w:id="27"/>
      <w:r w:rsidRPr="00D57009">
        <w:rPr>
          <w:rFonts w:ascii="Book Antiqua" w:eastAsia="Book Antiqua" w:hAnsi="Book Antiqua" w:cs="Book Antiqua"/>
          <w:color w:val="000000"/>
        </w:rPr>
        <w:t xml:space="preserve"> received 60% </w:t>
      </w:r>
      <w:r w:rsidR="004668A8" w:rsidRPr="00D57009">
        <w:rPr>
          <w:rFonts w:ascii="Book Antiqua" w:eastAsia="Book Antiqua" w:hAnsi="Book Antiqua" w:cs="Book Antiqua"/>
          <w:color w:val="000000"/>
        </w:rPr>
        <w:t>NDFS</w:t>
      </w:r>
      <w:r w:rsidRPr="00D57009">
        <w:rPr>
          <w:rFonts w:ascii="Book Antiqua" w:eastAsia="Book Antiqua" w:hAnsi="Book Antiqua" w:cs="Book Antiqua"/>
          <w:color w:val="000000"/>
        </w:rPr>
        <w:t xml:space="preserve"> and 40% basic feed and the </w:t>
      </w:r>
      <w:r w:rsidR="004668A8" w:rsidRPr="00D57009">
        <w:rPr>
          <w:rFonts w:ascii="Book Antiqua" w:eastAsia="Book Antiqua" w:hAnsi="Book Antiqua" w:cs="Book Antiqua"/>
          <w:color w:val="000000"/>
        </w:rPr>
        <w:t>dry-fried soybeans</w:t>
      </w:r>
      <w:r w:rsidR="004668A8" w:rsidRPr="00D57009">
        <w:rPr>
          <w:rFonts w:ascii="Book Antiqua" w:eastAsia="宋体" w:hAnsi="Book Antiqua" w:cs="Book Antiqua"/>
          <w:color w:val="000000"/>
          <w:lang w:eastAsia="zh-CN"/>
        </w:rPr>
        <w:t xml:space="preserve"> (DFS) </w:t>
      </w:r>
      <w:r w:rsidRPr="00D57009">
        <w:rPr>
          <w:rFonts w:ascii="Book Antiqua" w:eastAsia="Book Antiqua" w:hAnsi="Book Antiqua" w:cs="Book Antiqua"/>
          <w:color w:val="000000"/>
        </w:rPr>
        <w:t xml:space="preserve">group received 60% </w:t>
      </w:r>
      <w:r w:rsidR="004668A8" w:rsidRPr="00D57009">
        <w:rPr>
          <w:rFonts w:ascii="Book Antiqua" w:eastAsia="宋体" w:hAnsi="Book Antiqua" w:cs="Book Antiqua"/>
          <w:color w:val="000000"/>
          <w:lang w:eastAsia="zh-CN"/>
        </w:rPr>
        <w:t>DFS</w:t>
      </w:r>
      <w:r w:rsidRPr="00D57009">
        <w:rPr>
          <w:rFonts w:ascii="Book Antiqua" w:eastAsia="Book Antiqua" w:hAnsi="Book Antiqua" w:cs="Book Antiqua"/>
          <w:color w:val="000000"/>
        </w:rPr>
        <w:t xml:space="preserve"> and 40% basic feed. Six rats were sacrificed at</w:t>
      </w:r>
      <w:r w:rsidR="00F16441" w:rsidRPr="00D57009">
        <w:rPr>
          <w:rFonts w:ascii="Book Antiqua" w:eastAsia="Book Antiqua" w:hAnsi="Book Antiqua" w:cs="Book Antiqua"/>
          <w:color w:val="000000"/>
        </w:rPr>
        <w:t xml:space="preserve"> week 4, 8, and 12</w:t>
      </w:r>
      <w:r w:rsidRPr="00D57009">
        <w:rPr>
          <w:rFonts w:ascii="Book Antiqua" w:eastAsia="Book Antiqua" w:hAnsi="Book Antiqua" w:cs="Book Antiqua"/>
          <w:color w:val="000000"/>
        </w:rPr>
        <w:t xml:space="preserve"> in each group. The food intake, body weight, Lee’s index, liver index, serological index and hepatic histopathology were assessed. Untargeted metabolomics characteristics were used to analyze the changes in liver metabolites of rats at </w:t>
      </w:r>
      <w:r w:rsidR="00F16441" w:rsidRPr="00D57009">
        <w:rPr>
          <w:rFonts w:ascii="Book Antiqua" w:eastAsia="Book Antiqua" w:hAnsi="Book Antiqua" w:cs="Book Antiqua"/>
          <w:color w:val="000000"/>
        </w:rPr>
        <w:t>week 12</w:t>
      </w:r>
      <w:r w:rsidRPr="00D57009">
        <w:rPr>
          <w:rFonts w:ascii="Book Antiqua" w:eastAsia="Book Antiqua" w:hAnsi="Book Antiqua" w:cs="Book Antiqua"/>
          <w:color w:val="000000"/>
        </w:rPr>
        <w:t>. Correlations between metabolites and pathology scores between the DFS and control groups and between the DFS and NDFS groups were analyzed. We selected some of the metabolites, both within the pathway and outside of the pathway, to</w:t>
      </w:r>
      <w:r w:rsidR="00F16441" w:rsidRPr="00D57009">
        <w:rPr>
          <w:rFonts w:ascii="Book Antiqua" w:eastAsia="Book Antiqua" w:hAnsi="Book Antiqua" w:cs="Book Antiqua"/>
          <w:color w:val="000000"/>
        </w:rPr>
        <w:t xml:space="preserve"> explain</w:t>
      </w:r>
      <w:r w:rsidRPr="00D57009">
        <w:rPr>
          <w:rFonts w:ascii="Book Antiqua" w:eastAsia="Book Antiqua" w:hAnsi="Book Antiqua" w:cs="Book Antiqua"/>
          <w:color w:val="000000"/>
        </w:rPr>
        <w:t xml:space="preserve"> preliminarily the difference in liver pathology in the three groups of rats.</w:t>
      </w:r>
    </w:p>
    <w:bookmarkEnd w:id="22"/>
    <w:bookmarkEnd w:id="23"/>
    <w:p w14:paraId="326E251F" w14:textId="77777777" w:rsidR="009D1D10" w:rsidRPr="00D57009" w:rsidRDefault="009D1D10">
      <w:pPr>
        <w:snapToGrid w:val="0"/>
        <w:spacing w:line="360" w:lineRule="auto"/>
        <w:jc w:val="both"/>
        <w:rPr>
          <w:rFonts w:ascii="Book Antiqua" w:hAnsi="Book Antiqua"/>
        </w:rPr>
      </w:pPr>
    </w:p>
    <w:p w14:paraId="4692D7E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RESULTS</w:t>
      </w:r>
    </w:p>
    <w:p w14:paraId="0A7170E5" w14:textId="134B4D60" w:rsidR="009D1D10" w:rsidRPr="00D57009" w:rsidRDefault="00AF4927">
      <w:pPr>
        <w:snapToGrid w:val="0"/>
        <w:spacing w:line="360" w:lineRule="auto"/>
        <w:jc w:val="both"/>
        <w:rPr>
          <w:rFonts w:ascii="Book Antiqua" w:hAnsi="Book Antiqua"/>
        </w:rPr>
      </w:pPr>
      <w:bookmarkStart w:id="28" w:name="OLE_LINK38"/>
      <w:bookmarkStart w:id="29" w:name="OLE_LINK37"/>
      <w:r w:rsidRPr="00D57009">
        <w:rPr>
          <w:rFonts w:ascii="Book Antiqua" w:eastAsia="Book Antiqua" w:hAnsi="Book Antiqua" w:cs="Book Antiqua"/>
          <w:color w:val="000000"/>
        </w:rPr>
        <w:t xml:space="preserve">There </w:t>
      </w:r>
      <w:r w:rsidR="00B76B27" w:rsidRPr="00D57009">
        <w:rPr>
          <w:rFonts w:ascii="Book Antiqua" w:hAnsi="Book Antiqua" w:cs="Book Antiqua"/>
          <w:color w:val="000000"/>
          <w:lang w:eastAsia="zh-CN"/>
        </w:rPr>
        <w:t>were</w:t>
      </w:r>
      <w:r w:rsidRPr="00D57009">
        <w:rPr>
          <w:rFonts w:ascii="Book Antiqua" w:eastAsia="Book Antiqua" w:hAnsi="Book Antiqua" w:cs="Book Antiqua"/>
          <w:color w:val="000000"/>
        </w:rPr>
        <w:t xml:space="preserve"> no statistically significant difference</w:t>
      </w:r>
      <w:r w:rsidR="00F16441"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in the food intake, body weight, Lee's index or serological index between the DFS group and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 8 and week 12, the steatosis score</w:t>
      </w:r>
      <w:r w:rsidR="00F16441"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in the DFS group were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At week 12, the liver index of the DFS group was the lowest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DFS group,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0.05). The fibrosis score in the DFS group </w:t>
      </w:r>
      <w:r w:rsidR="00B76B27" w:rsidRPr="00D57009">
        <w:rPr>
          <w:rFonts w:ascii="Book Antiqua" w:eastAsia="Book Antiqua" w:hAnsi="Book Antiqua" w:cs="Book Antiqua"/>
          <w:color w:val="000000"/>
        </w:rPr>
        <w:t>was</w:t>
      </w:r>
      <w:r w:rsidRPr="00D57009">
        <w:rPr>
          <w:rFonts w:ascii="Book Antiqua" w:eastAsia="Book Antiqua" w:hAnsi="Book Antiqua" w:cs="Book Antiqua"/>
          <w:color w:val="000000"/>
        </w:rPr>
        <w:t>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The correlation analysis of the liver pathology score and differential metabolites in the DFS and NDFS groups showed that there were 10 strongly correlated substances: </w:t>
      </w:r>
      <w:r w:rsidR="00F16441" w:rsidRPr="00D57009">
        <w:rPr>
          <w:rFonts w:ascii="Book Antiqua" w:eastAsia="Book Antiqua" w:hAnsi="Book Antiqua" w:cs="Book Antiqua"/>
          <w:color w:val="000000"/>
        </w:rPr>
        <w:t xml:space="preserve">Five </w:t>
      </w:r>
      <w:r w:rsidRPr="00D57009">
        <w:rPr>
          <w:rFonts w:ascii="Book Antiqua" w:eastAsia="Book Antiqua" w:hAnsi="Book Antiqua" w:cs="Book Antiqua"/>
          <w:color w:val="000000"/>
        </w:rPr>
        <w:t xml:space="preserve">positively correlated substances and </w:t>
      </w:r>
      <w:r w:rsidR="00F16441"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positively correlated substances included taurochenodeoxycholate-3-sulfate, acetylcarnitine, 20a,22b-dihydroxycholesterol, 13E-tetranor-16-carboxy-LTE4 and taurocholic acid. The negatively correlated substances included choline, cholesterane-3,7,12,25-tetrol-3-glucuronide, nicotinamide adenine dinucleotide phosphate, lysoPC [16:1 (9Z)] and glycerol 3-phosphate. The correlation analysis of the liver pathology score and differential metabolites in the DFS and control groups showed that there were 13 strongly correlated substances:</w:t>
      </w:r>
      <w:r w:rsidR="00F16441" w:rsidRPr="00D57009">
        <w:rPr>
          <w:rFonts w:ascii="Book Antiqua" w:eastAsia="Book Antiqua" w:hAnsi="Book Antiqua" w:cs="Book Antiqua"/>
          <w:color w:val="000000"/>
        </w:rPr>
        <w:t xml:space="preserve"> Four</w:t>
      </w:r>
      <w:r w:rsidRPr="00D57009">
        <w:rPr>
          <w:rFonts w:ascii="Book Antiqua" w:eastAsia="Book Antiqua" w:hAnsi="Book Antiqua" w:cs="Book Antiqua"/>
          <w:color w:val="000000"/>
        </w:rPr>
        <w:t xml:space="preserve"> positively correlated substances and 9 negatively correlated substances. The positively correlated substances included 4-hydroxy-6-eicosanone, 3-phosphoglyceric acid, 13-hydroxy-9-methoxy-10-oxo-11-octadecenoic acid and taurochenodeoxycholate-3-sulfate. The negatively correlated substances included lysoPC </w:t>
      </w:r>
      <w:r w:rsidRPr="00D57009">
        <w:rPr>
          <w:rFonts w:ascii="Book Antiqua" w:eastAsia="宋体" w:hAnsi="Book Antiqua" w:cs="宋体"/>
          <w:color w:val="000000"/>
          <w:lang w:eastAsia="zh-CN"/>
        </w:rPr>
        <w:t>[</w:t>
      </w:r>
      <w:r w:rsidRPr="00D57009">
        <w:rPr>
          <w:rFonts w:ascii="Book Antiqua" w:eastAsia="Book Antiqua" w:hAnsi="Book Antiqua" w:cs="Book Antiqua"/>
          <w:color w:val="000000"/>
        </w:rPr>
        <w:t>16:1(9Z)], S-(9-hydroxy-PGA1)-glutathione, lysoPC [20:5 (5Z, 8Z, 11Z, 14Z, 17Z)], SM (d18:1/14:0), nicotinamide adenine dinucleotide phosphate, 5,10-methylene-THF, folinic acid, N-lactoyl-glycine and 6-hydroxy-5-methoxyindole glucuronide.</w:t>
      </w:r>
    </w:p>
    <w:bookmarkEnd w:id="28"/>
    <w:bookmarkEnd w:id="29"/>
    <w:p w14:paraId="3D04A89B" w14:textId="77777777" w:rsidR="009D1D10" w:rsidRPr="00D57009" w:rsidRDefault="009D1D10">
      <w:pPr>
        <w:snapToGrid w:val="0"/>
        <w:spacing w:line="360" w:lineRule="auto"/>
        <w:jc w:val="both"/>
        <w:rPr>
          <w:rFonts w:ascii="Book Antiqua" w:hAnsi="Book Antiqua"/>
        </w:rPr>
      </w:pPr>
    </w:p>
    <w:p w14:paraId="76C50A9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CONCLUSION</w:t>
      </w:r>
    </w:p>
    <w:p w14:paraId="00350DB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We successfully induced liver damage in rats by using a specially prepared high-temperature-processed feed and explored the untargeted metabolomics characteristics.</w:t>
      </w:r>
    </w:p>
    <w:p w14:paraId="0E5CEA4C" w14:textId="77777777" w:rsidR="009D1D10" w:rsidRPr="00D57009" w:rsidRDefault="009D1D10">
      <w:pPr>
        <w:snapToGrid w:val="0"/>
        <w:spacing w:line="360" w:lineRule="auto"/>
        <w:jc w:val="both"/>
        <w:rPr>
          <w:rFonts w:ascii="Book Antiqua" w:hAnsi="Book Antiqua"/>
        </w:rPr>
      </w:pPr>
    </w:p>
    <w:p w14:paraId="1D9528E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Key Words: </w:t>
      </w:r>
      <w:bookmarkStart w:id="30" w:name="OLE_LINK27"/>
      <w:r w:rsidRPr="00D57009">
        <w:rPr>
          <w:rFonts w:ascii="Book Antiqua" w:eastAsia="Book Antiqua" w:hAnsi="Book Antiqua" w:cs="Book Antiqua"/>
          <w:color w:val="000000"/>
        </w:rPr>
        <w:t xml:space="preserve">Nonobese nonalcoholic fatty liver disease; High-temperature-processed feed; Mild steatosis and early fibrosis; Untargeted metabolomics characteristics; Animal models; Novel </w:t>
      </w:r>
      <w:bookmarkStart w:id="31" w:name="OLE_LINK56"/>
      <w:r w:rsidRPr="00D57009">
        <w:rPr>
          <w:rFonts w:ascii="Book Antiqua" w:eastAsia="Book Antiqua" w:hAnsi="Book Antiqua" w:cs="Book Antiqua"/>
          <w:color w:val="000000"/>
        </w:rPr>
        <w:t>pathogenesis</w:t>
      </w:r>
      <w:bookmarkEnd w:id="31"/>
      <w:r w:rsidRPr="00D57009">
        <w:rPr>
          <w:rFonts w:ascii="Book Antiqua" w:eastAsia="Book Antiqua" w:hAnsi="Book Antiqua" w:cs="Book Antiqua"/>
          <w:color w:val="000000"/>
        </w:rPr>
        <w:t xml:space="preserve"> for nonalcoholic fatty liver disease</w:t>
      </w:r>
    </w:p>
    <w:bookmarkEnd w:id="30"/>
    <w:p w14:paraId="7E4EC5BE" w14:textId="77777777" w:rsidR="009D1D10" w:rsidRPr="00D57009" w:rsidRDefault="009D1D10">
      <w:pPr>
        <w:snapToGrid w:val="0"/>
        <w:spacing w:line="360" w:lineRule="auto"/>
        <w:jc w:val="both"/>
        <w:rPr>
          <w:rFonts w:ascii="Book Antiqua" w:hAnsi="Book Antiqua"/>
        </w:rPr>
      </w:pPr>
    </w:p>
    <w:p w14:paraId="704D943F" w14:textId="1828EEFD" w:rsidR="00101276" w:rsidRDefault="00101276">
      <w:pPr>
        <w:snapToGrid w:val="0"/>
        <w:spacing w:line="360" w:lineRule="auto"/>
        <w:jc w:val="both"/>
        <w:rPr>
          <w:rFonts w:ascii="Book Antiqua" w:hAnsi="Book Antiqua" w:cs="Book Antiqua" w:hint="eastAsia"/>
          <w:color w:val="000000"/>
          <w:lang w:eastAsia="zh-CN"/>
        </w:rPr>
      </w:pPr>
      <w:bookmarkStart w:id="32" w:name="OLE_LINK14"/>
      <w:bookmarkStart w:id="33" w:name="OLE_LINK13"/>
      <w:r w:rsidRPr="00101276">
        <w:rPr>
          <w:rFonts w:ascii="Book Antiqua" w:hAnsi="Book Antiqua" w:cs="Book Antiqua" w:hint="eastAsia"/>
          <w:b/>
          <w:color w:val="000000"/>
          <w:lang w:eastAsia="zh-CN"/>
        </w:rPr>
        <w:t xml:space="preserve">Citation: </w:t>
      </w:r>
      <w:r w:rsidR="00AF4927" w:rsidRPr="00D57009">
        <w:rPr>
          <w:rFonts w:ascii="Book Antiqua" w:eastAsia="Book Antiqua" w:hAnsi="Book Antiqua" w:cs="Book Antiqua"/>
          <w:color w:val="000000"/>
        </w:rPr>
        <w:t xml:space="preserve">Xue LJ, Han JQ, Zhou YC, Peng HY, Yin TF, Li KM, Yao SK. Untargeted metabolomics characteristics of nonobese nonalcoholic fatty liver disease induced by high-temperature-processed feed in Sprague-Dawley rats. </w:t>
      </w:r>
      <w:r w:rsidR="00AF4927" w:rsidRPr="00D57009">
        <w:rPr>
          <w:rFonts w:ascii="Book Antiqua" w:eastAsia="Book Antiqua" w:hAnsi="Book Antiqua" w:cs="Book Antiqua"/>
          <w:i/>
          <w:iCs/>
          <w:color w:val="000000"/>
        </w:rPr>
        <w:t>World J Gastroenterol</w:t>
      </w:r>
      <w:r w:rsidR="00AF4927" w:rsidRPr="00D57009">
        <w:rPr>
          <w:rFonts w:ascii="Book Antiqua" w:eastAsia="Book Antiqua" w:hAnsi="Book Antiqua" w:cs="Book Antiqua"/>
          <w:color w:val="000000"/>
        </w:rPr>
        <w:t xml:space="preserve"> </w:t>
      </w:r>
      <w:r w:rsidR="001A783B" w:rsidRPr="0032360E">
        <w:rPr>
          <w:rFonts w:ascii="Book Antiqua" w:eastAsia="Book Antiqua" w:hAnsi="Book Antiqua" w:cs="Book Antiqua"/>
          <w:color w:val="000000"/>
        </w:rPr>
        <w:t>2020; 26(4</w:t>
      </w:r>
      <w:r w:rsidR="001A783B">
        <w:rPr>
          <w:rFonts w:ascii="Book Antiqua" w:hAnsi="Book Antiqua" w:cs="Book Antiqua" w:hint="eastAsia"/>
          <w:color w:val="000000"/>
          <w:lang w:eastAsia="zh-CN"/>
        </w:rPr>
        <w:t>6</w:t>
      </w:r>
      <w:r w:rsidR="001A783B" w:rsidRPr="0032360E">
        <w:rPr>
          <w:rFonts w:ascii="Book Antiqua" w:eastAsia="Book Antiqua" w:hAnsi="Book Antiqua" w:cs="Book Antiqua"/>
          <w:color w:val="000000"/>
        </w:rPr>
        <w:t xml:space="preserve">): </w:t>
      </w:r>
      <w:r w:rsidR="000C3960" w:rsidRPr="000C3960">
        <w:rPr>
          <w:rFonts w:ascii="Book Antiqua" w:hAnsi="Book Antiqua" w:cs="Book Antiqua"/>
          <w:color w:val="000000"/>
          <w:lang w:eastAsia="zh-CN"/>
        </w:rPr>
        <w:t>7299-7311</w:t>
      </w:r>
      <w:r w:rsidR="001A783B" w:rsidRPr="0032360E">
        <w:rPr>
          <w:rFonts w:ascii="Book Antiqua" w:eastAsia="Book Antiqua" w:hAnsi="Book Antiqua" w:cs="Book Antiqua"/>
          <w:color w:val="000000"/>
        </w:rPr>
        <w:t xml:space="preserve">  </w:t>
      </w:r>
    </w:p>
    <w:p w14:paraId="6E334F64" w14:textId="6B3D1BB0" w:rsidR="00101276" w:rsidRDefault="001A783B">
      <w:pPr>
        <w:snapToGrid w:val="0"/>
        <w:spacing w:line="360" w:lineRule="auto"/>
        <w:jc w:val="both"/>
        <w:rPr>
          <w:rFonts w:ascii="Book Antiqua" w:hAnsi="Book Antiqua" w:cs="Book Antiqua" w:hint="eastAsia"/>
          <w:color w:val="000000"/>
          <w:lang w:eastAsia="zh-CN"/>
        </w:rPr>
      </w:pPr>
      <w:r w:rsidRPr="00101276">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EC1BCD">
        <w:rPr>
          <w:rFonts w:ascii="Book Antiqua" w:hAnsi="Book Antiqua" w:cs="Book Antiqua" w:hint="eastAsia"/>
          <w:color w:val="000000"/>
          <w:lang w:eastAsia="zh-CN"/>
        </w:rPr>
        <w:t>7299</w:t>
      </w:r>
      <w:r w:rsidRPr="0032360E">
        <w:rPr>
          <w:rFonts w:ascii="Book Antiqua" w:eastAsia="Book Antiqua" w:hAnsi="Book Antiqua" w:cs="Book Antiqua"/>
          <w:color w:val="000000"/>
        </w:rPr>
        <w:t xml:space="preserve">.htm  </w:t>
      </w:r>
    </w:p>
    <w:p w14:paraId="2F04F34D" w14:textId="417994C8" w:rsidR="009D1D10" w:rsidRPr="00D57009" w:rsidRDefault="001A783B">
      <w:pPr>
        <w:snapToGrid w:val="0"/>
        <w:spacing w:line="360" w:lineRule="auto"/>
        <w:jc w:val="both"/>
        <w:rPr>
          <w:rFonts w:ascii="Book Antiqua" w:hAnsi="Book Antiqua"/>
        </w:rPr>
      </w:pPr>
      <w:bookmarkStart w:id="34" w:name="_GoBack"/>
      <w:r w:rsidRPr="00101276">
        <w:rPr>
          <w:rFonts w:ascii="Book Antiqua" w:eastAsia="Book Antiqua" w:hAnsi="Book Antiqua" w:cs="Book Antiqua"/>
          <w:b/>
          <w:color w:val="000000"/>
        </w:rPr>
        <w:t xml:space="preserve">DOI: </w:t>
      </w:r>
      <w:bookmarkEnd w:id="34"/>
      <w:r w:rsidRPr="0032360E">
        <w:rPr>
          <w:rFonts w:ascii="Book Antiqua" w:eastAsia="Book Antiqua" w:hAnsi="Book Antiqua" w:cs="Book Antiqua"/>
          <w:color w:val="000000"/>
        </w:rPr>
        <w:t>https://dx.doi.org/10.3748/wjg.v26.i4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EC1BCD">
        <w:rPr>
          <w:rFonts w:ascii="Book Antiqua" w:hAnsi="Book Antiqua" w:cs="Book Antiqua" w:hint="eastAsia"/>
          <w:color w:val="000000"/>
          <w:lang w:eastAsia="zh-CN"/>
        </w:rPr>
        <w:t>7299</w:t>
      </w:r>
    </w:p>
    <w:bookmarkEnd w:id="32"/>
    <w:bookmarkEnd w:id="33"/>
    <w:p w14:paraId="6BF68C63" w14:textId="77777777" w:rsidR="009D1D10" w:rsidRPr="00D57009" w:rsidRDefault="009D1D10">
      <w:pPr>
        <w:snapToGrid w:val="0"/>
        <w:spacing w:line="360" w:lineRule="auto"/>
        <w:jc w:val="both"/>
        <w:rPr>
          <w:rFonts w:ascii="Book Antiqua" w:hAnsi="Book Antiqua"/>
        </w:rPr>
      </w:pPr>
    </w:p>
    <w:p w14:paraId="6C74B3BD" w14:textId="5E7C259A"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Core Tip: </w:t>
      </w:r>
      <w:bookmarkStart w:id="35" w:name="OLE_LINK12"/>
      <w:bookmarkStart w:id="36" w:name="OLE_LINK28"/>
      <w:bookmarkStart w:id="37" w:name="OLE_LINK11"/>
      <w:r w:rsidRPr="00D57009">
        <w:rPr>
          <w:rFonts w:ascii="Book Antiqua" w:eastAsia="Book Antiqua" w:hAnsi="Book Antiqua" w:cs="Book Antiqua"/>
          <w:color w:val="000000"/>
        </w:rPr>
        <w:t>For some patients with normal body mass index and normal serum indexes, liver damage may already exist. In our previous analysis of clinical data and a high-risk factor questionnaire for patients with nonalcoholic fatty liver disease (NAFLD), we found that the body mass index of some patients did not meet the diagnostic criteria for overweight or obesity. The consumption of high-temperature-processed foods such as fried food</w:t>
      </w:r>
      <w:r w:rsidR="005A0D4C" w:rsidRPr="00D57009">
        <w:rPr>
          <w:rFonts w:ascii="Book Antiqua" w:eastAsia="Book Antiqua" w:hAnsi="Book Antiqua" w:cs="Book Antiqua"/>
          <w:color w:val="000000"/>
        </w:rPr>
        <w:t xml:space="preserve"> and</w:t>
      </w:r>
      <w:r w:rsidRPr="00D57009">
        <w:rPr>
          <w:rFonts w:ascii="Book Antiqua" w:eastAsia="Book Antiqua" w:hAnsi="Book Antiqua" w:cs="Book Antiqua"/>
          <w:color w:val="000000"/>
        </w:rPr>
        <w:t xml:space="preserve"> hot</w:t>
      </w:r>
      <w:r w:rsidR="005A0D4C"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pot is closely associated with the occurrence of NAFLD. Dietary intervention to reduce the consumption of such foods can alleviate NAFLD and improve prognosis. For patients with mild liver fat changes and early fibrosis, some clinical equipment and means of diagnosis are prone to misdiagnosis. Untargeted metabolomics can preliminarily explain the difference in liver pathology in the three groups of rats.</w:t>
      </w:r>
    </w:p>
    <w:bookmarkEnd w:id="35"/>
    <w:bookmarkEnd w:id="36"/>
    <w:bookmarkEnd w:id="37"/>
    <w:p w14:paraId="54204A94" w14:textId="77777777" w:rsidR="009D1D10" w:rsidRPr="00D57009" w:rsidRDefault="009D1D10">
      <w:pPr>
        <w:snapToGrid w:val="0"/>
        <w:spacing w:line="360" w:lineRule="auto"/>
        <w:jc w:val="both"/>
        <w:rPr>
          <w:rFonts w:ascii="Book Antiqua" w:hAnsi="Book Antiqua"/>
        </w:rPr>
      </w:pPr>
    </w:p>
    <w:p w14:paraId="75D9DF6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br w:type="page"/>
        <w:t>INTRODUCTION</w:t>
      </w:r>
    </w:p>
    <w:p w14:paraId="425CC292" w14:textId="13E3B0B3" w:rsidR="009D1D10" w:rsidRPr="00D57009" w:rsidRDefault="00AF4927">
      <w:pPr>
        <w:snapToGrid w:val="0"/>
        <w:spacing w:line="360" w:lineRule="auto"/>
        <w:jc w:val="both"/>
        <w:rPr>
          <w:rFonts w:ascii="Book Antiqua" w:hAnsi="Book Antiqua"/>
        </w:rPr>
      </w:pPr>
      <w:bookmarkStart w:id="38" w:name="OLE_LINK30"/>
      <w:bookmarkStart w:id="39" w:name="OLE_LINK29"/>
      <w:r w:rsidRPr="00D57009">
        <w:rPr>
          <w:rFonts w:ascii="Book Antiqua" w:eastAsia="Book Antiqua" w:hAnsi="Book Antiqua" w:cs="Book Antiqua"/>
          <w:color w:val="000000"/>
        </w:rPr>
        <w:t>Nonalcoholic fatty liver disease (NAFLD) is a clinicopathological syndrome characterized by fat accumulation in the liver that is not caused by certain liver-damaging factors such as alcohol abuse. The spectrum includes simple steatosis, nonalcoholic steatohepatitis (NASH), cirrhosis and hepatocellular carcinoma. NAFLD has become one of the most common chronic liver diseases in the world, with a global prevalence rate of 25.24% among adults</w:t>
      </w:r>
      <w:r w:rsidRPr="00D57009">
        <w:rPr>
          <w:rFonts w:ascii="Book Antiqua" w:eastAsia="Book Antiqua" w:hAnsi="Book Antiqua" w:cs="Book Antiqua"/>
          <w:color w:val="000000"/>
          <w:vertAlign w:val="superscript"/>
        </w:rPr>
        <w:t>[1]</w:t>
      </w:r>
      <w:r w:rsidRPr="00D57009">
        <w:rPr>
          <w:rFonts w:ascii="Book Antiqua" w:eastAsia="Book Antiqua" w:hAnsi="Book Antiqua" w:cs="Book Antiqua"/>
          <w:color w:val="000000"/>
        </w:rPr>
        <w:t>. The prevalence rate of NAFLD in China in 2018 was 29.6%</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NAFLD has surpassed viral hepatitis in becoming the largest liver disease in China, representing a growing challenge in terms of prevention and treatment. To date, the pathogenesis of NAFLD has not been fully elucidated, and the classic theory is the "two-hit hypothesis"</w:t>
      </w:r>
      <w:r w:rsidRPr="00D57009">
        <w:rPr>
          <w:rFonts w:ascii="Book Antiqua" w:eastAsia="Book Antiqua" w:hAnsi="Book Antiqua" w:cs="Book Antiqua"/>
          <w:color w:val="000000"/>
          <w:vertAlign w:val="superscript"/>
        </w:rPr>
        <w:t>[3]</w:t>
      </w:r>
      <w:r w:rsidRPr="00D57009">
        <w:rPr>
          <w:rFonts w:ascii="Book Antiqua" w:eastAsia="Book Antiqua" w:hAnsi="Book Antiqua" w:cs="Book Antiqua"/>
          <w:color w:val="000000"/>
        </w:rPr>
        <w:t>. A high-fat diet, obesity and insulin resistance act as the “first hit”. A "second hit", such as oxidative stress, leads to inflammation, necrosis and fibrosis progression</w:t>
      </w:r>
      <w:r w:rsidRPr="00D57009">
        <w:rPr>
          <w:rFonts w:ascii="Book Antiqua" w:eastAsia="Book Antiqua" w:hAnsi="Book Antiqua" w:cs="Book Antiqua"/>
          <w:color w:val="000000"/>
          <w:vertAlign w:val="superscript"/>
        </w:rPr>
        <w:t>[4,5]</w:t>
      </w:r>
      <w:r w:rsidRPr="00D57009">
        <w:rPr>
          <w:rFonts w:ascii="Book Antiqua" w:eastAsia="Book Antiqua" w:hAnsi="Book Antiqua" w:cs="Book Antiqua"/>
          <w:color w:val="000000"/>
        </w:rPr>
        <w:t>. Recently, some scholars have proposed the theory of the "multiple-hit hypothesis", suggesting that insulin resistance, lipid metabolism disorder, nutritional factors, intestinal flora and genetic factors jointly contribute to the occurrence of NAFLD. However, the specific mechanism has not been fully explained.</w:t>
      </w:r>
    </w:p>
    <w:p w14:paraId="7BA12597" w14:textId="0605BC9F" w:rsidR="009D1D10" w:rsidRPr="00D57009" w:rsidRDefault="00AF4927">
      <w:pPr>
        <w:snapToGrid w:val="0"/>
        <w:spacing w:line="360" w:lineRule="auto"/>
        <w:ind w:firstLineChars="100" w:firstLine="240"/>
        <w:jc w:val="both"/>
        <w:rPr>
          <w:rFonts w:ascii="Book Antiqua" w:hAnsi="Book Antiqua"/>
        </w:rPr>
      </w:pPr>
      <w:r w:rsidRPr="00D57009">
        <w:rPr>
          <w:rFonts w:ascii="Book Antiqua" w:eastAsia="Book Antiqua" w:hAnsi="Book Antiqua" w:cs="Book Antiqua"/>
          <w:color w:val="000000"/>
        </w:rPr>
        <w:t>The existing animal models of NAFLD are represented by a high-fat diet, which can simulate the pathological features and metabolic syndrome manifestations of human NASH. However, liver inflammation and fibrosis are relatively mild, and a high-fat diet does not conform to the dietary pattern of patients with NAFLD. In recent years, high-temperature-processed foods such as fried food, grilled food and hot pot have been </w:t>
      </w:r>
      <w:r w:rsidR="009C13EB" w:rsidRPr="00D57009">
        <w:rPr>
          <w:rFonts w:ascii="Book Antiqua" w:eastAsia="Book Antiqua" w:hAnsi="Book Antiqua" w:cs="Book Antiqua"/>
          <w:color w:val="000000"/>
        </w:rPr>
        <w:t xml:space="preserve">increasingly </w:t>
      </w:r>
      <w:r w:rsidRPr="00D57009">
        <w:rPr>
          <w:rFonts w:ascii="Book Antiqua" w:eastAsia="Book Antiqua" w:hAnsi="Book Antiqua" w:cs="Book Antiqua"/>
          <w:color w:val="000000"/>
        </w:rPr>
        <w:t xml:space="preserve">deeply </w:t>
      </w:r>
      <w:r w:rsidR="009C13EB" w:rsidRPr="00D57009">
        <w:rPr>
          <w:rFonts w:ascii="Book Antiqua" w:eastAsia="Book Antiqua" w:hAnsi="Book Antiqua" w:cs="Book Antiqua"/>
          <w:color w:val="000000"/>
        </w:rPr>
        <w:t xml:space="preserve">enjoyed </w:t>
      </w:r>
      <w:r w:rsidRPr="00D57009">
        <w:rPr>
          <w:rFonts w:ascii="Book Antiqua" w:eastAsia="Book Antiqua" w:hAnsi="Book Antiqua" w:cs="Book Antiqua"/>
          <w:color w:val="000000"/>
        </w:rPr>
        <w:t>by people. In our early clinical data and questionnaire analysis of NAFLD, it was found that the body mass index (BMI) of some patients did not meet the diagnostic criteria for overweight or obesity. The intake of high-temperature-processed food is closely related to the occurrence of NAFLD. Reducing the intake of this kind of food can reduce disease severity and improve prognosis. The prevalence of nonobese NAFLD (3%-30%) varies widely globally</w:t>
      </w:r>
      <w:r w:rsidRPr="00D57009">
        <w:rPr>
          <w:rFonts w:ascii="Book Antiqua" w:eastAsia="Book Antiqua" w:hAnsi="Book Antiqua" w:cs="Book Antiqua"/>
          <w:color w:val="000000"/>
          <w:vertAlign w:val="superscript"/>
        </w:rPr>
        <w:t>[6]</w:t>
      </w:r>
      <w:r w:rsidRPr="00D57009">
        <w:rPr>
          <w:rFonts w:ascii="Book Antiqua" w:eastAsia="Book Antiqua" w:hAnsi="Book Antiqua" w:cs="Book Antiqua"/>
          <w:color w:val="000000"/>
        </w:rPr>
        <w:t>. This may be related to differences in study populations, lifestyles, dietary habits and diagnostic patterns. Nonobese patients with NAFLD can be defined as BMI &lt; 28 kg/m</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and BMI &lt; 30 kg/m</w:t>
      </w:r>
      <w:r w:rsidRPr="00D57009">
        <w:rPr>
          <w:rFonts w:ascii="Book Antiqua" w:eastAsia="Book Antiqua" w:hAnsi="Book Antiqua" w:cs="Book Antiqua"/>
          <w:color w:val="000000"/>
          <w:vertAlign w:val="superscript"/>
        </w:rPr>
        <w:t>2</w:t>
      </w:r>
      <w:r w:rsidRPr="00D57009">
        <w:rPr>
          <w:rFonts w:ascii="Book Antiqua" w:eastAsia="Book Antiqua" w:hAnsi="Book Antiqua" w:cs="Book Antiqua"/>
          <w:color w:val="000000"/>
        </w:rPr>
        <w:t> in Asian and Western countries, respectively</w:t>
      </w:r>
      <w:r w:rsidRPr="00D57009">
        <w:rPr>
          <w:rFonts w:ascii="Book Antiqua" w:eastAsia="Book Antiqua" w:hAnsi="Book Antiqua" w:cs="Book Antiqua"/>
          <w:color w:val="000000"/>
          <w:vertAlign w:val="superscript"/>
        </w:rPr>
        <w:t>[7]</w:t>
      </w:r>
      <w:r w:rsidRPr="00D57009">
        <w:rPr>
          <w:rFonts w:ascii="Book Antiqua" w:eastAsia="Book Antiqua" w:hAnsi="Book Antiqua" w:cs="Book Antiqua"/>
          <w:color w:val="000000"/>
        </w:rPr>
        <w:t>. Among them, the change in dietary patterns is one of the most basic and important factors. The etiology of nonobese NAFLD has not been fully elucidated, and clinically, nonobese patients with NAFLD are often overlooked. For patients with normal BMI and no abnormal serological examination, liver damage may have occurred, which should be given sufficient attention by clinicians. The purpose of our study was to study the effects of high-temperature-processed feed on rats and to explore the metabolomics pathogenesis of nonobese </w:t>
      </w:r>
      <w:r w:rsidR="009C13EB" w:rsidRPr="00D57009">
        <w:rPr>
          <w:rFonts w:ascii="Book Antiqua" w:eastAsia="Book Antiqua" w:hAnsi="Book Antiqua" w:cs="Book Antiqua"/>
          <w:color w:val="000000"/>
        </w:rPr>
        <w:t>NAFLD</w:t>
      </w:r>
      <w:r w:rsidRPr="00D57009">
        <w:rPr>
          <w:rFonts w:ascii="Book Antiqua" w:eastAsia="Book Antiqua" w:hAnsi="Book Antiqua" w:cs="Book Antiqua"/>
          <w:color w:val="000000"/>
        </w:rPr>
        <w:t>. Considering the complexity of fried food, we added dry-fried soybeans to the normal diet of rats in a certain proportion to simulate high-temperature-processed feed.</w:t>
      </w:r>
    </w:p>
    <w:bookmarkEnd w:id="38"/>
    <w:bookmarkEnd w:id="39"/>
    <w:p w14:paraId="702C07CA" w14:textId="77777777" w:rsidR="009D1D10" w:rsidRPr="00D57009" w:rsidRDefault="009D1D10">
      <w:pPr>
        <w:snapToGrid w:val="0"/>
        <w:spacing w:line="360" w:lineRule="auto"/>
        <w:jc w:val="both"/>
        <w:rPr>
          <w:rFonts w:ascii="Book Antiqua" w:hAnsi="Book Antiqua"/>
        </w:rPr>
      </w:pPr>
    </w:p>
    <w:p w14:paraId="6433CCF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MATERIALS AND METHODS</w:t>
      </w:r>
    </w:p>
    <w:p w14:paraId="324BE273" w14:textId="77777777" w:rsidR="009D1D10" w:rsidRPr="00D57009" w:rsidRDefault="00AF4927">
      <w:pPr>
        <w:snapToGrid w:val="0"/>
        <w:spacing w:line="360" w:lineRule="auto"/>
        <w:jc w:val="both"/>
        <w:rPr>
          <w:rFonts w:ascii="Book Antiqua" w:hAnsi="Book Antiqua"/>
        </w:rPr>
      </w:pPr>
      <w:bookmarkStart w:id="40" w:name="OLE_LINK39"/>
      <w:r w:rsidRPr="00D57009">
        <w:rPr>
          <w:rFonts w:ascii="Book Antiqua" w:eastAsia="Book Antiqua" w:hAnsi="Book Antiqua" w:cs="Book Antiqua"/>
          <w:b/>
          <w:bCs/>
          <w:i/>
          <w:iCs/>
          <w:color w:val="000000"/>
        </w:rPr>
        <w:t>Animal grouping and experimental treatment method</w:t>
      </w:r>
    </w:p>
    <w:p w14:paraId="243B15C5" w14:textId="154EAC98"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Fifty-four healthy male </w:t>
      </w:r>
      <w:bookmarkStart w:id="41" w:name="OLE_LINK53"/>
      <w:r w:rsidRPr="00D57009">
        <w:rPr>
          <w:rFonts w:ascii="Book Antiqua" w:eastAsia="Book Antiqua" w:hAnsi="Book Antiqua" w:cs="Book Antiqua"/>
          <w:color w:val="000000"/>
        </w:rPr>
        <w:t>Sprague-Dawley</w:t>
      </w:r>
      <w:bookmarkEnd w:id="41"/>
      <w:r w:rsidRPr="00D57009">
        <w:rPr>
          <w:rFonts w:ascii="Book Antiqua" w:eastAsia="Book Antiqua" w:hAnsi="Book Antiqua" w:cs="Book Antiqua"/>
          <w:color w:val="000000"/>
        </w:rPr>
        <w:t xml:space="preserve"> rats, 6-8 wk, </w:t>
      </w:r>
      <w:r w:rsidR="00B76B27" w:rsidRPr="00D57009">
        <w:rPr>
          <w:rFonts w:ascii="Book Antiqua" w:eastAsia="Book Antiqua" w:hAnsi="Book Antiqua" w:cs="Book Antiqua"/>
          <w:color w:val="000000"/>
        </w:rPr>
        <w:t>specific pathogen free</w:t>
      </w:r>
      <w:r w:rsidRPr="00D57009">
        <w:rPr>
          <w:rFonts w:ascii="Book Antiqua" w:eastAsia="Book Antiqua" w:hAnsi="Book Antiqua" w:cs="Book Antiqua"/>
          <w:color w:val="000000"/>
        </w:rPr>
        <w:t xml:space="preserve">, were provided by Beijing Huafukang Biotechnology Co., Ltd., and adaptive feeding was performed for </w:t>
      </w:r>
      <w:r w:rsidR="009C13EB" w:rsidRPr="00D57009">
        <w:rPr>
          <w:rFonts w:ascii="Book Antiqua" w:eastAsia="Book Antiqua" w:hAnsi="Book Antiqua" w:cs="Book Antiqua"/>
          <w:color w:val="000000"/>
        </w:rPr>
        <w:t>2 wk</w:t>
      </w:r>
      <w:r w:rsidRPr="00D57009">
        <w:rPr>
          <w:rFonts w:ascii="Book Antiqua" w:eastAsia="Book Antiqua" w:hAnsi="Book Antiqua" w:cs="Book Antiqua"/>
          <w:color w:val="000000"/>
        </w:rPr>
        <w:t xml:space="preserve">. The animal protocol was designed to minimize pain or discomfort to the animals. Animals were maintained at 23 ± 3 °C with a 12:12-h light/dark cycle and fed with a commercial standard diet and tap water </w:t>
      </w:r>
      <w:r w:rsidRPr="00A80307">
        <w:rPr>
          <w:rFonts w:ascii="Book Antiqua" w:eastAsia="Book Antiqua" w:hAnsi="Book Antiqua" w:cs="Book Antiqua"/>
          <w:i/>
          <w:iCs/>
          <w:color w:val="000000"/>
        </w:rPr>
        <w:t>ad libitum</w:t>
      </w:r>
      <w:r w:rsidRPr="00D57009">
        <w:rPr>
          <w:rFonts w:ascii="Book Antiqua" w:eastAsia="Book Antiqua" w:hAnsi="Book Antiqua" w:cs="Book Antiqua"/>
          <w:color w:val="000000"/>
        </w:rPr>
        <w:t xml:space="preserve">. Then, they were randomly divided into three groups with 18 rats in each group. The control group was fed normal feed. The </w:t>
      </w:r>
      <w:r w:rsidR="0033393A" w:rsidRPr="00D57009">
        <w:rPr>
          <w:rFonts w:ascii="Book Antiqua" w:eastAsia="Book Antiqua" w:hAnsi="Book Antiqua" w:cs="Book Antiqua"/>
          <w:color w:val="000000"/>
        </w:rPr>
        <w:t>nonfried soybeans (NDFS)</w:t>
      </w:r>
      <w:r w:rsidRPr="00123B18">
        <w:rPr>
          <w:rFonts w:ascii="Book Antiqua" w:eastAsia="Book Antiqua" w:hAnsi="Book Antiqua" w:cs="Book Antiqua"/>
          <w:color w:val="000000"/>
        </w:rPr>
        <w:t xml:space="preserve"> group was fed 40% basal feed +</w:t>
      </w:r>
      <w:r w:rsidR="002E3EFE"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 xml:space="preserve">60% nonfried soybeans. The </w:t>
      </w:r>
      <w:r w:rsidR="0033393A" w:rsidRPr="00D57009">
        <w:rPr>
          <w:rFonts w:ascii="Book Antiqua" w:eastAsia="Book Antiqua" w:hAnsi="Book Antiqua" w:cs="Book Antiqua"/>
          <w:color w:val="000000"/>
        </w:rPr>
        <w:t>dry-fried soybeans</w:t>
      </w:r>
      <w:r w:rsidR="0033393A" w:rsidRPr="00D57009">
        <w:rPr>
          <w:rFonts w:ascii="Book Antiqua" w:eastAsia="宋体" w:hAnsi="Book Antiqua" w:cs="Book Antiqua"/>
          <w:color w:val="000000"/>
          <w:lang w:eastAsia="zh-CN"/>
        </w:rPr>
        <w:t xml:space="preserve"> (DFS)</w:t>
      </w:r>
      <w:r w:rsidRPr="00D57009">
        <w:rPr>
          <w:rFonts w:ascii="Book Antiqua" w:eastAsia="Book Antiqua" w:hAnsi="Book Antiqua" w:cs="Book Antiqua"/>
          <w:color w:val="000000"/>
        </w:rPr>
        <w:t xml:space="preserve"> group was fed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w:t>
      </w:r>
      <w:r w:rsidR="002E3EFE"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 xml:space="preserve">60% high-temperature </w:t>
      </w:r>
      <w:bookmarkStart w:id="42" w:name="OLE_LINK54"/>
      <w:r w:rsidRPr="00D57009">
        <w:rPr>
          <w:rFonts w:ascii="Book Antiqua" w:eastAsia="Book Antiqua" w:hAnsi="Book Antiqua" w:cs="Book Antiqua"/>
          <w:color w:val="000000"/>
        </w:rPr>
        <w:t>dry-fried soybeans</w:t>
      </w:r>
      <w:bookmarkEnd w:id="42"/>
      <w:r w:rsidRPr="00D57009">
        <w:rPr>
          <w:rFonts w:ascii="Book Antiqua" w:eastAsia="Book Antiqua" w:hAnsi="Book Antiqua" w:cs="Book Antiqua"/>
          <w:color w:val="000000"/>
        </w:rPr>
        <w:t>. Every 4, 8 and 12 week</w:t>
      </w:r>
      <w:r w:rsidR="009C13EB"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 </w:t>
      </w:r>
      <w:r w:rsidR="009C13EB" w:rsidRPr="00D57009">
        <w:rPr>
          <w:rFonts w:ascii="Book Antiqua" w:eastAsia="Book Antiqua" w:hAnsi="Book Antiqua" w:cs="Book Antiqua"/>
          <w:color w:val="000000"/>
        </w:rPr>
        <w:t>six</w:t>
      </w:r>
      <w:r w:rsidRPr="00D57009">
        <w:rPr>
          <w:rFonts w:ascii="Book Antiqua" w:eastAsia="Book Antiqua" w:hAnsi="Book Antiqua" w:cs="Book Antiqua"/>
          <w:color w:val="000000"/>
        </w:rPr>
        <w:t xml:space="preserve"> rats were sacrificed in each group. The rat serum and liver were retained. Our experiment was repeated twice. The animal experimental protocol was approved by the experimental animal welfare ethics committee of China-Japan Friendship Hospital (Approval No: 190201).</w:t>
      </w:r>
    </w:p>
    <w:p w14:paraId="09BEDEB1" w14:textId="77777777" w:rsidR="009D1D10" w:rsidRPr="00D57009" w:rsidRDefault="009D1D10">
      <w:pPr>
        <w:snapToGrid w:val="0"/>
        <w:spacing w:line="360" w:lineRule="auto"/>
        <w:jc w:val="both"/>
        <w:rPr>
          <w:rFonts w:ascii="Book Antiqua" w:hAnsi="Book Antiqua"/>
        </w:rPr>
      </w:pPr>
    </w:p>
    <w:p w14:paraId="7A71E1A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Sampling and observation indicators</w:t>
      </w:r>
    </w:p>
    <w:p w14:paraId="7DEA83BA" w14:textId="06400CF4"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Body length, body weight and Lee's index were measured. Blood was collected from the abdominal aorta of the rats. Serum was collected after centrifugation for 10 min at 3000 rpm, and serum alanine transaminase, aspartate aminotransferase, cholesterol and triglyceride (TG) levels were detected. Six lobes of the rat liver were removed separately, weighed and fixed in 10% formalin and embedded in paraffin for </w:t>
      </w:r>
      <w:r w:rsidR="004668A8" w:rsidRPr="00D57009">
        <w:rPr>
          <w:rFonts w:ascii="Book Antiqua" w:eastAsia="Book Antiqua" w:hAnsi="Book Antiqua" w:cs="Book Antiqua"/>
          <w:color w:val="000000"/>
        </w:rPr>
        <w:t>hematoxylin-eosin staining (</w:t>
      </w:r>
      <w:r w:rsidRPr="00D57009">
        <w:rPr>
          <w:rFonts w:ascii="Book Antiqua" w:eastAsia="Book Antiqua" w:hAnsi="Book Antiqua" w:cs="Book Antiqua"/>
          <w:color w:val="000000"/>
        </w:rPr>
        <w:t>H</w:t>
      </w:r>
      <w:r w:rsidR="004668A8" w:rsidRPr="00D57009">
        <w:rPr>
          <w:rFonts w:ascii="Book Antiqua" w:eastAsia="Book Antiqua" w:hAnsi="Book Antiqua" w:cs="Book Antiqua"/>
          <w:color w:val="000000"/>
        </w:rPr>
        <w:t xml:space="preserve"> and </w:t>
      </w:r>
      <w:r w:rsidRPr="00D57009">
        <w:rPr>
          <w:rFonts w:ascii="Book Antiqua" w:eastAsia="Book Antiqua" w:hAnsi="Book Antiqua" w:cs="Book Antiqua"/>
          <w:color w:val="000000"/>
        </w:rPr>
        <w:t>E staining</w:t>
      </w:r>
      <w:r w:rsidR="004668A8" w:rsidRPr="00D57009">
        <w:rPr>
          <w:rFonts w:ascii="Book Antiqua" w:eastAsia="Book Antiqua" w:hAnsi="Book Antiqua" w:cs="Book Antiqua"/>
          <w:color w:val="000000"/>
        </w:rPr>
        <w:t>)</w:t>
      </w:r>
      <w:r w:rsidRPr="00D57009">
        <w:rPr>
          <w:rFonts w:ascii="Book Antiqua" w:eastAsia="Book Antiqua" w:hAnsi="Book Antiqua" w:cs="Book Antiqua"/>
          <w:color w:val="000000"/>
        </w:rPr>
        <w:t>, Masson staining and immunohistochemical staining. Liver index = liver weight (g) ÷ body weight (g) × 100%. Lee's index = [body weight (g)</w:t>
      </w:r>
      <w:r w:rsidRPr="00D57009">
        <w:rPr>
          <w:rFonts w:ascii="Book Antiqua" w:eastAsia="Book Antiqua" w:hAnsi="Book Antiqua" w:cs="Book Antiqua"/>
          <w:color w:val="000000"/>
          <w:vertAlign w:val="superscript"/>
        </w:rPr>
        <w:t>1/3</w:t>
      </w:r>
      <w:r w:rsidRPr="00D57009">
        <w:rPr>
          <w:rFonts w:ascii="Book Antiqua" w:hAnsi="Book Antiqua" w:cs="Book Antiqua"/>
          <w:color w:val="000000"/>
          <w:vertAlign w:val="superscript"/>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1000]/body length (cm).</w:t>
      </w:r>
    </w:p>
    <w:p w14:paraId="28CC8277" w14:textId="77777777" w:rsidR="009D1D10" w:rsidRPr="00D57009" w:rsidRDefault="009D1D10">
      <w:pPr>
        <w:snapToGrid w:val="0"/>
        <w:spacing w:line="360" w:lineRule="auto"/>
        <w:jc w:val="both"/>
        <w:rPr>
          <w:rFonts w:ascii="Book Antiqua" w:hAnsi="Book Antiqua"/>
        </w:rPr>
      </w:pPr>
    </w:p>
    <w:p w14:paraId="48B5C78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Preparation of dry-fried soybeans</w:t>
      </w:r>
    </w:p>
    <w:p w14:paraId="00B3632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Zhonghuang 13 </w:t>
      </w:r>
      <w:r w:rsidR="004668A8" w:rsidRPr="00D57009">
        <w:rPr>
          <w:rFonts w:ascii="Book Antiqua" w:eastAsia="Book Antiqua" w:hAnsi="Book Antiqua" w:cs="Book Antiqua"/>
          <w:color w:val="000000"/>
        </w:rPr>
        <w:t>non-genetically modified organism</w:t>
      </w:r>
      <w:r w:rsidRPr="00D57009">
        <w:rPr>
          <w:rFonts w:ascii="Book Antiqua" w:eastAsia="Book Antiqua" w:hAnsi="Book Antiqua" w:cs="Book Antiqua"/>
          <w:color w:val="000000"/>
        </w:rPr>
        <w:t xml:space="preserve"> soybeans were purchased from the Chinese Academy of Agricultural Science. Dry-fried soybean feed was prepared by Beijing Spaifu Biotechnology Co., Ltd. Soybeans were dried in a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temperature-controlled machine for 15 min, cooled to 70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and crushed. Then, 60% of the above soybeans was mixed with 40% of the commercial standard rat feed evenly. The detection of feed ingredients was accomplished by the Pony Testing International Group (www.ponytest.com). </w:t>
      </w:r>
    </w:p>
    <w:p w14:paraId="7CEF86FC" w14:textId="77777777" w:rsidR="009D1D10" w:rsidRPr="00D57009" w:rsidRDefault="009D1D10">
      <w:pPr>
        <w:snapToGrid w:val="0"/>
        <w:spacing w:line="360" w:lineRule="auto"/>
        <w:jc w:val="both"/>
        <w:rPr>
          <w:rFonts w:ascii="Book Antiqua" w:hAnsi="Book Antiqua"/>
        </w:rPr>
      </w:pPr>
    </w:p>
    <w:p w14:paraId="0C1A7E1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Histology</w:t>
      </w:r>
    </w:p>
    <w:p w14:paraId="6F64FA9F" w14:textId="7C58F743"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paraffin-embedded liver tissue was cut into 4</w:t>
      </w:r>
      <w:r w:rsidR="0074446B"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µm-thick sections for standard H and E staining. Ten light microscopic fields (× 200) were viewed in each section and scored for the severity of hepatic steatosis, inflammation and fibrosis. Pathological diagnostic criteria refer to NAFLD activity points (NAS points) and fibrosis score stage 0-4</w:t>
      </w:r>
      <w:r w:rsidRPr="00D57009">
        <w:rPr>
          <w:rFonts w:ascii="Book Antiqua" w:eastAsia="Book Antiqua" w:hAnsi="Book Antiqua" w:cs="Book Antiqua"/>
          <w:color w:val="000000"/>
          <w:vertAlign w:val="superscript"/>
        </w:rPr>
        <w:t>[8,9]</w:t>
      </w:r>
      <w:r w:rsidRPr="00D57009">
        <w:rPr>
          <w:rFonts w:ascii="Book Antiqua" w:eastAsia="Book Antiqua" w:hAnsi="Book Antiqua" w:cs="Book Antiqua"/>
          <w:color w:val="000000"/>
        </w:rPr>
        <w:t xml:space="preserve">. Masson's trichrome staining was performed using standard histological techniques. At 400 × magnification, Image-Pro Plus 6.0 software was used to randomly select five frames for semiquantitative analysis, and the ratio of collagen to liver tissue was recorded. The prepared paraffin-embedded sections were dewaxed, dehydrated and incubated in 3% hydrogen peroxide. After incubating with 3% </w:t>
      </w:r>
      <w:r w:rsidR="0074446B" w:rsidRPr="00D57009">
        <w:rPr>
          <w:rFonts w:ascii="Book Antiqua" w:eastAsia="Book Antiqua" w:hAnsi="Book Antiqua" w:cs="Book Antiqua"/>
          <w:color w:val="000000"/>
        </w:rPr>
        <w:t>bovine serum albumin</w:t>
      </w:r>
      <w:r w:rsidRPr="00D57009">
        <w:rPr>
          <w:rFonts w:ascii="Book Antiqua" w:eastAsia="Book Antiqua" w:hAnsi="Book Antiqua" w:cs="Book Antiqua"/>
          <w:color w:val="000000"/>
        </w:rPr>
        <w:t xml:space="preserve"> in phosphate buffer for 30 min, liver sections were incubated with primary antibodies against </w:t>
      </w:r>
      <w:r w:rsidR="0074446B" w:rsidRPr="00D57009">
        <w:rPr>
          <w:rFonts w:ascii="Book Antiqua" w:eastAsia="Book Antiqua" w:hAnsi="Book Antiqua" w:cs="Book Antiqua"/>
          <w:color w:val="000000"/>
        </w:rPr>
        <w:t>alpha</w:t>
      </w:r>
      <w:r w:rsidRPr="00D57009">
        <w:rPr>
          <w:rFonts w:ascii="Book Antiqua" w:eastAsia="Book Antiqua" w:hAnsi="Book Antiqua" w:cs="Book Antiqua"/>
          <w:color w:val="000000"/>
        </w:rPr>
        <w:t>-</w:t>
      </w:r>
      <w:r w:rsidR="0074446B" w:rsidRPr="00D57009">
        <w:rPr>
          <w:rFonts w:ascii="Book Antiqua" w:eastAsia="Book Antiqua" w:hAnsi="Book Antiqua" w:cs="Book Antiqua"/>
          <w:color w:val="000000"/>
        </w:rPr>
        <w:t xml:space="preserve">smooth muscle actin </w:t>
      </w:r>
      <w:r w:rsidRPr="00D57009">
        <w:rPr>
          <w:rFonts w:ascii="Book Antiqua" w:eastAsia="Book Antiqua" w:hAnsi="Book Antiqua" w:cs="Book Antiqua"/>
          <w:color w:val="000000"/>
        </w:rPr>
        <w:t>(</w:t>
      </w:r>
      <w:r w:rsidR="0074446B" w:rsidRPr="00D57009">
        <w:rPr>
          <w:rFonts w:ascii="Book Antiqua" w:eastAsia="Book Antiqua" w:hAnsi="Book Antiqua" w:cs="Book Antiqua"/>
          <w:color w:val="000000"/>
        </w:rPr>
        <w:t xml:space="preserve">α-SMA, </w:t>
      </w:r>
      <w:r w:rsidRPr="00D57009">
        <w:rPr>
          <w:rFonts w:ascii="Book Antiqua" w:eastAsia="Book Antiqua" w:hAnsi="Book Antiqua" w:cs="Book Antiqua"/>
          <w:color w:val="000000"/>
        </w:rPr>
        <w:t>1:200) and </w:t>
      </w:r>
      <w:r w:rsidR="0074446B" w:rsidRPr="00D57009">
        <w:rPr>
          <w:rFonts w:ascii="Book Antiqua" w:eastAsia="Book Antiqua" w:hAnsi="Book Antiqua" w:cs="Book Antiqua"/>
          <w:color w:val="000000"/>
        </w:rPr>
        <w:t>transforming growth factor beta (</w:t>
      </w:r>
      <w:r w:rsidRPr="00D57009">
        <w:rPr>
          <w:rFonts w:ascii="Book Antiqua" w:eastAsia="Book Antiqua" w:hAnsi="Book Antiqua" w:cs="Book Antiqua"/>
          <w:color w:val="000000"/>
        </w:rPr>
        <w:t>TGF-β</w:t>
      </w:r>
      <w:r w:rsidR="0074446B"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1:200) overnight at 4 °C. Then, the tissues were incubated with a 1:2000 dilution of hypothalamic regulatory peptides-conjugated secondary antibody for 50 min at room temperature. The nuclei were counterstained with hematoxylin for 3 min. The sections were viewed by a fluorescence microscope (Nikon</w:t>
      </w:r>
      <w:r w:rsidR="00F808DC" w:rsidRPr="00D57009">
        <w:rPr>
          <w:rFonts w:ascii="Book Antiqua" w:eastAsia="Book Antiqua" w:hAnsi="Book Antiqua" w:cs="Book Antiqua"/>
          <w:color w:val="000000"/>
        </w:rPr>
        <w:t>, Tokyo, Japan</w:t>
      </w:r>
      <w:r w:rsidRPr="00D57009">
        <w:rPr>
          <w:rFonts w:ascii="Book Antiqua" w:eastAsia="Book Antiqua" w:hAnsi="Book Antiqua" w:cs="Book Antiqua"/>
          <w:color w:val="000000"/>
        </w:rPr>
        <w:t>). At 400 × magnification, the area of the α-SMA and TGF-β staining in five random fields was measured using Image-Pro Plus software 6.0. The mean optical density of the staining area was used to measure the expression of TGF-β and α-SMA. All sections were inspected independently by two blinded observers, and the mean values of the readings were used for final analysis.</w:t>
      </w:r>
    </w:p>
    <w:p w14:paraId="0FEF88AC" w14:textId="77777777" w:rsidR="009D1D10" w:rsidRPr="00D57009" w:rsidRDefault="009D1D10">
      <w:pPr>
        <w:snapToGrid w:val="0"/>
        <w:spacing w:line="360" w:lineRule="auto"/>
        <w:jc w:val="both"/>
        <w:rPr>
          <w:rFonts w:ascii="Book Antiqua" w:hAnsi="Book Antiqua"/>
        </w:rPr>
      </w:pPr>
    </w:p>
    <w:p w14:paraId="735AD8F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Metabolomics analysis</w:t>
      </w:r>
    </w:p>
    <w:p w14:paraId="7F427B8E" w14:textId="3A0A42B9"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relative abundances of metabolites, differential metabolites, and related metabolic pathways were tested and analyzed. In this project, 18 rat liver samples at 12</w:t>
      </w:r>
      <w:r w:rsidRPr="00D57009">
        <w:rPr>
          <w:rFonts w:ascii="Book Antiqua" w:eastAsia="Book Antiqua" w:hAnsi="Book Antiqua" w:cs="Book Antiqua"/>
          <w:color w:val="000000"/>
          <w:vertAlign w:val="superscript"/>
        </w:rPr>
        <w:t>th</w:t>
      </w:r>
      <w:r w:rsidRPr="00D57009">
        <w:rPr>
          <w:rFonts w:ascii="Book Antiqua" w:eastAsia="Book Antiqua" w:hAnsi="Book Antiqua" w:cs="Book Antiqua"/>
          <w:color w:val="000000"/>
        </w:rPr>
        <w:t xml:space="preserve"> wk were studied metabolically using an </w:t>
      </w:r>
      <w:r w:rsidR="00F808DC" w:rsidRPr="00D57009">
        <w:rPr>
          <w:rFonts w:ascii="Book Antiqua" w:eastAsia="Book Antiqua" w:hAnsi="Book Antiqua" w:cs="Book Antiqua"/>
          <w:color w:val="000000"/>
        </w:rPr>
        <w:t xml:space="preserve">liquid chromatography-mass spectrometry </w:t>
      </w:r>
      <w:r w:rsidRPr="00D57009">
        <w:rPr>
          <w:rFonts w:ascii="Book Antiqua" w:eastAsia="Book Antiqua" w:hAnsi="Book Antiqua" w:cs="Book Antiqua"/>
          <w:color w:val="000000"/>
        </w:rPr>
        <w:t xml:space="preserve">analysis platform. The samples were first pretreated to remove impurities and extract metabolites, and then the metabolite information was obtained by computer detection and collection under </w:t>
      </w:r>
      <w:r w:rsidR="00F808DC" w:rsidRPr="00D57009">
        <w:rPr>
          <w:rFonts w:ascii="Book Antiqua" w:eastAsia="Book Antiqua" w:hAnsi="Book Antiqua" w:cs="Book Antiqua"/>
          <w:color w:val="000000"/>
        </w:rPr>
        <w:t>liquid chromatography-mass spectrometry</w:t>
      </w:r>
      <w:r w:rsidRPr="00D57009">
        <w:rPr>
          <w:rFonts w:ascii="Book Antiqua" w:eastAsia="Book Antiqua" w:hAnsi="Book Antiqua" w:cs="Book Antiqua"/>
          <w:color w:val="000000"/>
        </w:rPr>
        <w:t xml:space="preserve"> positive and negative modes. Metabolite annotation and data preprocessing were performed using progenesis quality index (Waters Corporation, Milford, </w:t>
      </w:r>
      <w:r w:rsidR="00F808DC" w:rsidRPr="00D57009">
        <w:rPr>
          <w:rFonts w:ascii="Book Antiqua" w:eastAsia="Book Antiqua" w:hAnsi="Book Antiqua" w:cs="Book Antiqua"/>
          <w:color w:val="000000"/>
        </w:rPr>
        <w:t xml:space="preserve">CT, </w:t>
      </w:r>
      <w:r w:rsidRPr="00D57009">
        <w:rPr>
          <w:rFonts w:ascii="Book Antiqua" w:eastAsia="Book Antiqua" w:hAnsi="Book Antiqua" w:cs="Book Antiqua"/>
          <w:color w:val="000000"/>
        </w:rPr>
        <w:t xml:space="preserve">United States) to obtain the metabolite list and data matrix. Combined with the T test and variable importance in projection, differential metabolites were screened out, and advanced analyses, such as pathway analysis, correlation analysis and cluster analysis, were further used to mine the biological information of differential metabolism. The correlation analyses of the liver pathology score and differential metabolites in the DFS and NDFS groups and DFS and control groups were assessed. The results of correlation analysis in this study were determined by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&lt; 0.05 and absolute value of correlation coefficient greater than or equal to 0.5. Different colors in the correlation analysis graph represent the size of the correlation coefficient. Red represents positive correlation</w:t>
      </w:r>
      <w:r w:rsidR="00F808DC"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and blue represents negative correlation. The darker the color, the greater the absolute value of the correlation coefficient. The asterisk represents the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value, one asterisk, two asterisks and three asterisks respectively represent the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0.05, </w:t>
      </w:r>
      <w:r w:rsidRPr="00D57009">
        <w:rPr>
          <w:rFonts w:ascii="Book Antiqua" w:eastAsia="Book Antiqua" w:hAnsi="Book Antiqua" w:cs="Book Antiqua"/>
          <w:i/>
          <w:iCs/>
          <w:color w:val="000000"/>
        </w:rPr>
        <w:t xml:space="preserve">P </w:t>
      </w:r>
      <w:r w:rsidRPr="00D57009">
        <w:rPr>
          <w:rFonts w:ascii="Book Antiqua" w:eastAsia="Book Antiqua" w:hAnsi="Book Antiqua" w:cs="Book Antiqua"/>
          <w:color w:val="000000"/>
        </w:rPr>
        <w:t xml:space="preserve">&lt; 0.01 and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0.001.</w:t>
      </w:r>
    </w:p>
    <w:p w14:paraId="348AF24B" w14:textId="77777777" w:rsidR="009D1D10" w:rsidRPr="00D57009" w:rsidRDefault="009D1D10">
      <w:pPr>
        <w:snapToGrid w:val="0"/>
        <w:spacing w:line="360" w:lineRule="auto"/>
        <w:jc w:val="both"/>
        <w:rPr>
          <w:rFonts w:ascii="Book Antiqua" w:hAnsi="Book Antiqua"/>
        </w:rPr>
      </w:pPr>
    </w:p>
    <w:p w14:paraId="517DFCE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Statistical analyses</w:t>
      </w:r>
    </w:p>
    <w:p w14:paraId="695B81E7" w14:textId="20B6E29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GraphPad Prism 8.0 software</w:t>
      </w:r>
      <w:r w:rsidR="00F808DC" w:rsidRPr="00D57009">
        <w:rPr>
          <w:rFonts w:ascii="Book Antiqua" w:eastAsia="Book Antiqua" w:hAnsi="Book Antiqua" w:cs="Book Antiqua"/>
          <w:color w:val="000000"/>
        </w:rPr>
        <w:t xml:space="preserve"> (La Jolla, CA, United States)</w:t>
      </w:r>
      <w:r w:rsidRPr="00D57009">
        <w:rPr>
          <w:rFonts w:ascii="Book Antiqua" w:eastAsia="Book Antiqua" w:hAnsi="Book Antiqua" w:cs="Book Antiqua"/>
          <w:color w:val="000000"/>
        </w:rPr>
        <w:t xml:space="preserve"> was used for statistical analysis. The measurement data are expressed as the mean ± standard deviation (x</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s). The comparison of multiple sample means was performed by one-way analysis of variance if the values conformed to the normal distribution and homogeneity of variance. If the values did not conform to a normal distribution and homogeneity of variance, multiple sample nonparametric tests were used.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indicated that the difference was statistically significant.</w:t>
      </w:r>
    </w:p>
    <w:p w14:paraId="76937B44" w14:textId="36AE816F" w:rsidR="009D1D10" w:rsidRPr="00D57009" w:rsidRDefault="00AF4927">
      <w:pPr>
        <w:snapToGrid w:val="0"/>
        <w:spacing w:line="360" w:lineRule="auto"/>
        <w:ind w:firstLineChars="100" w:firstLine="240"/>
        <w:jc w:val="both"/>
        <w:rPr>
          <w:rFonts w:ascii="Book Antiqua" w:hAnsi="Book Antiqua"/>
        </w:rPr>
      </w:pPr>
      <w:r w:rsidRPr="00D57009">
        <w:rPr>
          <w:rFonts w:ascii="Book Antiqua" w:eastAsia="Book Antiqua" w:hAnsi="Book Antiqua" w:cs="Book Antiqua"/>
          <w:color w:val="000000"/>
        </w:rPr>
        <w:t>Unsupervised principal component analysis (PCA) was used to observe the overall distribution among samples and the degree of dispersion among groups. Orthogonal partial least squares discrimination analysis</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was used to distinguish the differences in the total metabolic profile between groups and to find the differentially produced metabolites. In orthogonal partial least squares discrimination analysis, variables with variable importance in projection values greater than one were considered difference variables. To prevent the model from overfitting, 200 permutation tests were used to investigate the fitting effect of the model.</w:t>
      </w:r>
    </w:p>
    <w:bookmarkEnd w:id="40"/>
    <w:p w14:paraId="12ECE5AE" w14:textId="77777777" w:rsidR="009D1D10" w:rsidRPr="00D57009" w:rsidRDefault="009D1D10">
      <w:pPr>
        <w:snapToGrid w:val="0"/>
        <w:spacing w:line="360" w:lineRule="auto"/>
        <w:jc w:val="both"/>
        <w:rPr>
          <w:rFonts w:ascii="Book Antiqua" w:hAnsi="Book Antiqua"/>
        </w:rPr>
      </w:pPr>
    </w:p>
    <w:p w14:paraId="2533EEF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RESULTS</w:t>
      </w:r>
    </w:p>
    <w:p w14:paraId="54647B9C" w14:textId="77777777" w:rsidR="009D1D10" w:rsidRPr="00D57009" w:rsidRDefault="00AF4927">
      <w:pPr>
        <w:snapToGrid w:val="0"/>
        <w:spacing w:line="360" w:lineRule="auto"/>
        <w:jc w:val="both"/>
        <w:rPr>
          <w:rFonts w:ascii="Book Antiqua" w:hAnsi="Book Antiqua"/>
        </w:rPr>
      </w:pPr>
      <w:bookmarkStart w:id="43" w:name="OLE_LINK41"/>
      <w:bookmarkStart w:id="44" w:name="OLE_LINK40"/>
      <w:r w:rsidRPr="00D57009">
        <w:rPr>
          <w:rFonts w:ascii="Book Antiqua" w:eastAsia="Book Antiqua" w:hAnsi="Book Antiqua" w:cs="Book Antiqua"/>
          <w:b/>
          <w:bCs/>
          <w:i/>
          <w:iCs/>
          <w:color w:val="000000"/>
        </w:rPr>
        <w:t>Feed components, food intake, body weight, Lee’s index, liver index and serum biochemical indicators among the three groups</w:t>
      </w:r>
    </w:p>
    <w:p w14:paraId="2DE6FAB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feed components of the three groups are shown in Table 1. The preparation of dry-fried soybeans feed and food intake of rats are shown in Figure 1. In the process of feed preparation, the nutrient composition ratio of feeds in the three groups all met the feeding standards for rats. There was no significant difference in the total feeding energy among the three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weeks 4, 8 and 12, there were no statistically significant differences in body weight or Lee's index in the DFS group compared with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&gt; 0.05). Among the three groups, the liver index of rats in the NDFS group was the largest. The liver index of rats in the NDFS group and DFS group decreased gradually, and the decrease was more obvious in the DFS group. At week 12, the liver index of the DFS group was the lowest, and the difference was statistically significant compared with that of the NDFS group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DFS group, </w:t>
      </w:r>
      <w:r w:rsidRPr="00D57009">
        <w:rPr>
          <w:rFonts w:ascii="Book Antiqua" w:eastAsia="Book Antiqua" w:hAnsi="Book Antiqua" w:cs="Book Antiqua"/>
          <w:i/>
          <w:iCs/>
          <w:color w:val="000000"/>
        </w:rPr>
        <w:t>P </w:t>
      </w:r>
      <w:r w:rsidRPr="00D57009">
        <w:rPr>
          <w:rFonts w:ascii="Book Antiqua" w:eastAsia="Book Antiqua" w:hAnsi="Book Antiqua" w:cs="Book Antiqua"/>
          <w:color w:val="000000"/>
        </w:rPr>
        <w:t>&lt; 0.05). Compared with the control group, serum cholesterol, triglyceride, aspartate aminotransferase and alanine aminotransferase levels of the DFS group were not significantly increased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as shown in Figure 2.</w:t>
      </w:r>
    </w:p>
    <w:p w14:paraId="112E3A85" w14:textId="77777777" w:rsidR="009D1D10" w:rsidRPr="00D57009" w:rsidRDefault="009D1D10">
      <w:pPr>
        <w:snapToGrid w:val="0"/>
        <w:spacing w:line="360" w:lineRule="auto"/>
        <w:jc w:val="both"/>
        <w:rPr>
          <w:rFonts w:ascii="Book Antiqua" w:hAnsi="Book Antiqua"/>
        </w:rPr>
      </w:pPr>
    </w:p>
    <w:p w14:paraId="3587BE9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Morphology and pathology of rat liver</w:t>
      </w:r>
    </w:p>
    <w:p w14:paraId="33A731CC" w14:textId="6D00D63F"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In each rat, H</w:t>
      </w:r>
      <w:r w:rsidR="00B83960" w:rsidRPr="00D57009">
        <w:rPr>
          <w:rFonts w:ascii="Book Antiqua" w:eastAsia="Book Antiqua" w:hAnsi="Book Antiqua" w:cs="Book Antiqua"/>
          <w:color w:val="000000"/>
        </w:rPr>
        <w:t xml:space="preserve"> and </w:t>
      </w:r>
      <w:r w:rsidRPr="00D57009">
        <w:rPr>
          <w:rFonts w:ascii="Book Antiqua" w:eastAsia="Book Antiqua" w:hAnsi="Book Antiqua" w:cs="Book Antiqua"/>
          <w:color w:val="000000"/>
        </w:rPr>
        <w:t>E staining showed no significant difference among the six lobes of the liver, so we selected the right lobe of the liver as representative to observe its pathological change. The steatosis was further confirmed by Oil red O staining. In terms of steatosis score, at week 8 and week 12, there were statistically significant differences</w:t>
      </w:r>
      <w:r w:rsidR="004668A8"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rPr>
        <w:t>between the DFS group and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In the DFS group, vesicular lipidosis was predominant in the liver, mainly occurring around the portal area. At week 8 and week 12, one-third and two-thirds of liver fat changes were observed in four and six rats, respectively. In terms of fibrosis, compared with the other two groups, the degree of liver fibrosis in the DFS group was increased at week 12, and the difference was statistically significant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Immunohistochemistry showed increased expression of α-SMA and TGF-β in the DFS group</w:t>
      </w:r>
      <w:r w:rsidR="00B76B27" w:rsidRPr="00D57009">
        <w:rPr>
          <w:rFonts w:ascii="Book Antiqua" w:hAnsi="Book Antiqua"/>
        </w:rPr>
        <w:t xml:space="preserve"> </w:t>
      </w:r>
      <w:r w:rsidR="00B76B27" w:rsidRPr="00D57009">
        <w:rPr>
          <w:rFonts w:ascii="Book Antiqua" w:eastAsia="Book Antiqua" w:hAnsi="Book Antiqua" w:cs="Book Antiqua"/>
          <w:color w:val="000000"/>
        </w:rPr>
        <w:t>compared with the other two groups (</w:t>
      </w:r>
      <w:r w:rsidR="00B76B27" w:rsidRPr="00D57009">
        <w:rPr>
          <w:rFonts w:ascii="Book Antiqua" w:eastAsia="Book Antiqua" w:hAnsi="Book Antiqua" w:cs="Book Antiqua"/>
          <w:i/>
          <w:iCs/>
          <w:color w:val="000000"/>
        </w:rPr>
        <w:t>P</w:t>
      </w:r>
      <w:r w:rsidR="00B76B27" w:rsidRPr="00D57009">
        <w:rPr>
          <w:rFonts w:ascii="Book Antiqua" w:eastAsia="Book Antiqua" w:hAnsi="Book Antiqua" w:cs="Book Antiqua"/>
          <w:color w:val="000000"/>
        </w:rPr>
        <w:t> &lt; 0.05)</w:t>
      </w:r>
      <w:r w:rsidRPr="00D57009">
        <w:rPr>
          <w:rFonts w:ascii="Book Antiqua" w:eastAsia="Book Antiqua" w:hAnsi="Book Antiqua" w:cs="Book Antiqua"/>
          <w:color w:val="000000"/>
        </w:rPr>
        <w:t xml:space="preserve"> at week 12. Pathological features and scores are shown in Figures 3 and 4.</w:t>
      </w:r>
    </w:p>
    <w:p w14:paraId="302E2684" w14:textId="77777777" w:rsidR="009D1D10" w:rsidRPr="00D57009" w:rsidRDefault="009D1D10">
      <w:pPr>
        <w:snapToGrid w:val="0"/>
        <w:spacing w:line="360" w:lineRule="auto"/>
        <w:jc w:val="both"/>
        <w:rPr>
          <w:rFonts w:ascii="Book Antiqua" w:hAnsi="Book Antiqua"/>
        </w:rPr>
      </w:pPr>
    </w:p>
    <w:p w14:paraId="758873C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i/>
          <w:iCs/>
          <w:color w:val="000000"/>
        </w:rPr>
        <w:t>Metabonomics analysis results</w:t>
      </w:r>
    </w:p>
    <w:p w14:paraId="0ECDE991" w14:textId="128D5DE9"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PCA analysis showed that the separation trend was obvious among the three groups. According to PCA analysis, we excluded abnormal deviation value control 2. The correlation analysis of liver pathology score and differential metabolites in the DFS and NDFS groups showed that there were 10 strongly correlated substances, specifically </w:t>
      </w:r>
      <w:r w:rsidR="002E3EFE"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positively correlated substances and </w:t>
      </w:r>
      <w:r w:rsidR="002E3EFE"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positively correlated substances included taurochenodeoxycholate-3-sulfate, acetylcarnitine, 20a,22b-dihydroxycholesterol, 13E-tetranor-16-carboxy-LTE4 and taurocholic acid. The negatively correlated substances included choline, cholesterane-3,7,12,25-tetrol-3-glucuronide, nicotinamide adenine dinucleotide phosphate (NADP+), lysoPC [16:1 (9Z)] and glycerol 3-phosphate. The correlation analysis of the liver pathology score and differential metabolites in the DFS and control groups showed that there were 13 strongly correlated substances, specifically </w:t>
      </w:r>
      <w:r w:rsidR="002E3EFE" w:rsidRPr="00D57009">
        <w:rPr>
          <w:rFonts w:ascii="Book Antiqua" w:eastAsia="Book Antiqua" w:hAnsi="Book Antiqua" w:cs="Book Antiqua"/>
          <w:color w:val="000000"/>
        </w:rPr>
        <w:t>four</w:t>
      </w:r>
      <w:r w:rsidRPr="00D57009">
        <w:rPr>
          <w:rFonts w:ascii="Book Antiqua" w:eastAsia="Book Antiqua" w:hAnsi="Book Antiqua" w:cs="Book Antiqua"/>
          <w:color w:val="000000"/>
        </w:rPr>
        <w:t xml:space="preserve"> positively correlated substances and </w:t>
      </w:r>
      <w:r w:rsidR="002E3EFE" w:rsidRPr="00D57009">
        <w:rPr>
          <w:rFonts w:ascii="Book Antiqua" w:eastAsia="Book Antiqua" w:hAnsi="Book Antiqua" w:cs="Book Antiqua"/>
          <w:color w:val="000000"/>
        </w:rPr>
        <w:t>nine</w:t>
      </w:r>
      <w:r w:rsidRPr="00D57009">
        <w:rPr>
          <w:rFonts w:ascii="Book Antiqua" w:eastAsia="Book Antiqua" w:hAnsi="Book Antiqua" w:cs="Book Antiqua"/>
          <w:color w:val="000000"/>
        </w:rPr>
        <w:t xml:space="preserve"> negatively correlated substances. The positively correlated substances included 4-hydroxy-6-eicosanone, 3-phosphoglyceric acid, 13-hydroxy-9-methoxy-10-oxo-11-octadecenoic acid and taurochenodeoxycholate-3-sulfate. The negatively correlated substances included lysoPC [16:1 (9Z)], S-(9-hyd</w:t>
      </w:r>
      <w:r w:rsidR="0033393A" w:rsidRPr="00D57009">
        <w:rPr>
          <w:rFonts w:ascii="Book Antiqua" w:eastAsia="Book Antiqua" w:hAnsi="Book Antiqua" w:cs="Book Antiqua"/>
          <w:color w:val="000000"/>
        </w:rPr>
        <w:t>roxy-PGA1)-glutathione, lysoPC [</w:t>
      </w:r>
      <w:r w:rsidRPr="00D57009">
        <w:rPr>
          <w:rFonts w:ascii="Book Antiqua" w:eastAsia="Book Antiqua" w:hAnsi="Book Antiqua" w:cs="Book Antiqua"/>
          <w:color w:val="000000"/>
        </w:rPr>
        <w:t xml:space="preserve">20: 5 </w:t>
      </w:r>
      <w:r w:rsidR="0033393A" w:rsidRPr="00D57009">
        <w:rPr>
          <w:rFonts w:ascii="Book Antiqua" w:eastAsia="Book Antiqua" w:hAnsi="Book Antiqua" w:cs="Book Antiqua"/>
          <w:color w:val="000000"/>
        </w:rPr>
        <w:t>(</w:t>
      </w:r>
      <w:r w:rsidRPr="00D57009">
        <w:rPr>
          <w:rFonts w:ascii="Book Antiqua" w:eastAsia="Book Antiqua" w:hAnsi="Book Antiqua" w:cs="Book Antiqua"/>
          <w:color w:val="000000"/>
        </w:rPr>
        <w:t>5Z,8Z,11Z,14Z,17Z)], SM (d18: 1/14: 0), nicotinamide adenine dinucleotide phosphate</w:t>
      </w:r>
      <w:r w:rsidR="00B76B27" w:rsidRPr="00D57009">
        <w:rPr>
          <w:rFonts w:ascii="Book Antiqua" w:eastAsia="Book Antiqua" w:hAnsi="Book Antiqua" w:cs="Book Antiqua"/>
          <w:color w:val="000000"/>
        </w:rPr>
        <w:t xml:space="preserve"> (NADP+)</w:t>
      </w:r>
      <w:r w:rsidRPr="00D57009">
        <w:rPr>
          <w:rFonts w:ascii="Book Antiqua" w:eastAsia="Book Antiqua" w:hAnsi="Book Antiqua" w:cs="Book Antiqua"/>
          <w:color w:val="000000"/>
        </w:rPr>
        <w:t>, 5,10-methylene-THF, folinic acid, N-lactoyl-glycine and 6-hydroxy-5-methoxyindole glucuronide. Compared with the NDFS group and control group, the DFS group mainly had effects on the metabolism of glycerophospholipid, folic acid, fatty acids and bile acids in normal rats, indicating that the dry-fried soybean diet may cause liver damage by changing the structure and permeability of the liver cell membrane in normal rats or by the accumulation of lipid peroxides and triggering of inflammatory reactions, as shown in Figures 5-7.</w:t>
      </w:r>
    </w:p>
    <w:p w14:paraId="0C861E8B" w14:textId="77777777" w:rsidR="009D1D10" w:rsidRPr="00D57009" w:rsidRDefault="009D1D10">
      <w:pPr>
        <w:snapToGrid w:val="0"/>
        <w:spacing w:line="360" w:lineRule="auto"/>
        <w:jc w:val="both"/>
        <w:rPr>
          <w:rFonts w:ascii="Book Antiqua" w:hAnsi="Book Antiqua"/>
        </w:rPr>
      </w:pPr>
    </w:p>
    <w:bookmarkEnd w:id="43"/>
    <w:bookmarkEnd w:id="44"/>
    <w:p w14:paraId="104E7D2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DISCUSSION</w:t>
      </w:r>
    </w:p>
    <w:p w14:paraId="2E2540E1" w14:textId="716DE837" w:rsidR="009D1D10" w:rsidRPr="00D57009" w:rsidRDefault="00AF4927" w:rsidP="0055610E">
      <w:pPr>
        <w:snapToGrid w:val="0"/>
        <w:spacing w:line="360" w:lineRule="auto"/>
        <w:jc w:val="both"/>
        <w:rPr>
          <w:rFonts w:ascii="Book Antiqua" w:hAnsi="Book Antiqua"/>
        </w:rPr>
      </w:pPr>
      <w:bookmarkStart w:id="45" w:name="OLE_LINK42"/>
      <w:bookmarkStart w:id="46" w:name="OLE_LINK43"/>
      <w:r w:rsidRPr="00D57009">
        <w:rPr>
          <w:rFonts w:ascii="Book Antiqua" w:eastAsia="Book Antiqua" w:hAnsi="Book Antiqua" w:cs="Book Antiqua"/>
          <w:color w:val="000000"/>
        </w:rPr>
        <w:t>To verify the liver damage caused by high-temperature-processed feed, our research involved feeding rats a mixed diet (60% dry-fried soybeans + 40%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diet) for 8-12 wk to induce the occurrence of NAFLD without obesity, and the pathological manifestations are different from those of other animal models. It was previously found that feeding 1.5 mL of repeatedly heated oil at 160-190</w:t>
      </w:r>
      <w:r w:rsidR="002E3EFE" w:rsidRPr="00D57009">
        <w:rPr>
          <w:rFonts w:ascii="Book Antiqua" w:eastAsia="Book Antiqua" w:hAnsi="Book Antiqua" w:cs="Book Antiqua"/>
          <w:color w:val="000000"/>
        </w:rPr>
        <w:t xml:space="preserve"> °C</w:t>
      </w:r>
      <w:r w:rsidRPr="00D57009">
        <w:rPr>
          <w:rFonts w:ascii="Book Antiqua" w:eastAsia="Book Antiqua" w:hAnsi="Book Antiqua" w:cs="Book Antiqua"/>
          <w:color w:val="000000"/>
        </w:rPr>
        <w:t> to rats every day for</w:t>
      </w:r>
      <w:r w:rsidRPr="0055610E">
        <w:rPr>
          <w:rFonts w:ascii="Book Antiqua" w:eastAsia="Book Antiqua" w:hAnsi="Book Antiqua" w:cs="Book Antiqua"/>
          <w:color w:val="000000"/>
        </w:rPr>
        <w:t xml:space="preserve"> 6 consecutive weeks can damage the metabolism of glycerin and change the structure of the intestinal histology and microbiota compared with rats that have not been fed heated oil</w:t>
      </w:r>
      <w:r w:rsidRPr="0055610E">
        <w:rPr>
          <w:rFonts w:ascii="Book Antiqua" w:eastAsia="Book Antiqua" w:hAnsi="Book Antiqua" w:cs="Book Antiqua"/>
          <w:color w:val="000000"/>
          <w:vertAlign w:val="superscript"/>
        </w:rPr>
        <w:t>[10]</w:t>
      </w:r>
      <w:r w:rsidRPr="0055610E">
        <w:rPr>
          <w:rFonts w:ascii="Book Antiqua" w:eastAsia="Book Antiqua" w:hAnsi="Book Antiqua" w:cs="Book Antiqua"/>
          <w:color w:val="000000"/>
        </w:rPr>
        <w:t xml:space="preserve">. However, liver damage </w:t>
      </w:r>
      <w:r w:rsidR="002E3EFE" w:rsidRPr="00D57009">
        <w:rPr>
          <w:rFonts w:ascii="Book Antiqua" w:eastAsia="Book Antiqua" w:hAnsi="Book Antiqua" w:cs="Book Antiqua"/>
          <w:color w:val="000000"/>
        </w:rPr>
        <w:t>was not</w:t>
      </w:r>
      <w:r w:rsidRPr="00D57009">
        <w:rPr>
          <w:rFonts w:ascii="Book Antiqua" w:eastAsia="Book Antiqua" w:hAnsi="Book Antiqua" w:cs="Book Antiqua"/>
          <w:color w:val="000000"/>
        </w:rPr>
        <w:t xml:space="preserve"> elucidated in th</w:t>
      </w:r>
      <w:r w:rsidR="002E3EFE" w:rsidRPr="00D57009">
        <w:rPr>
          <w:rFonts w:ascii="Book Antiqua" w:eastAsia="Book Antiqua" w:hAnsi="Book Antiqua" w:cs="Book Antiqua"/>
          <w:color w:val="000000"/>
        </w:rPr>
        <w:t>at</w:t>
      </w:r>
      <w:r w:rsidRPr="00D57009">
        <w:rPr>
          <w:rFonts w:ascii="Book Antiqua" w:eastAsia="Book Antiqua" w:hAnsi="Book Antiqua" w:cs="Book Antiqua"/>
          <w:color w:val="000000"/>
        </w:rPr>
        <w:t xml:space="preserve"> article. Soybean is one of the most abundant plant sources of dietary protein. It contains isoflavones that have a cholesterol-lowering effect. However, the potential effects of soy foods on human health remain controversial, and the effects of heat-treated soy on humans remain unclear. Raw soy contains anti-trypsin and other substances, which can harm the growth of livestock and poultry. At </w:t>
      </w:r>
      <w:r w:rsidR="002E3EFE" w:rsidRPr="00D57009">
        <w:rPr>
          <w:rFonts w:ascii="Book Antiqua" w:eastAsia="Book Antiqua" w:hAnsi="Book Antiqua" w:cs="Book Antiqua"/>
          <w:color w:val="000000"/>
        </w:rPr>
        <w:t>week 4</w:t>
      </w:r>
      <w:r w:rsidRPr="00D57009">
        <w:rPr>
          <w:rFonts w:ascii="Book Antiqua" w:eastAsia="Book Antiqua" w:hAnsi="Book Antiqua" w:cs="Book Antiqua"/>
          <w:color w:val="000000"/>
        </w:rPr>
        <w:t xml:space="preserve">, we found that the livers of the rats in the DFS group showed steatosis, but the steatosis did not increase with the extension of time. In the early stage, we explored the temperature required for dry-fried soybeans. When the temperature was below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we found that the inside of the soybean was not ripe, and when the temperature was above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the surface of the soybean became charred. Therefore, we used a temperature of 150 </w:t>
      </w:r>
      <w:r w:rsidR="0033393A"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 The surface of </w:t>
      </w:r>
      <w:r w:rsidR="002E3EFE" w:rsidRPr="00D57009">
        <w:rPr>
          <w:rFonts w:ascii="Book Antiqua" w:eastAsia="Book Antiqua" w:hAnsi="Book Antiqua" w:cs="Book Antiqua"/>
          <w:color w:val="000000"/>
        </w:rPr>
        <w:t xml:space="preserve">the </w:t>
      </w:r>
      <w:r w:rsidRPr="00D57009">
        <w:rPr>
          <w:rFonts w:ascii="Book Antiqua" w:eastAsia="Book Antiqua" w:hAnsi="Book Antiqua" w:cs="Book Antiqua"/>
          <w:color w:val="000000"/>
        </w:rPr>
        <w:t xml:space="preserve">soybean was scorched when processed at 150 </w:t>
      </w:r>
      <w:r w:rsidR="0033393A" w:rsidRPr="00D57009">
        <w:rPr>
          <w:rFonts w:ascii="Book Antiqua" w:eastAsia="Book Antiqua" w:hAnsi="Book Antiqua" w:cs="Book Antiqua"/>
          <w:color w:val="000000"/>
        </w:rPr>
        <w:t>°C</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for 20 min. Therefore, we used 150 </w:t>
      </w:r>
      <w:r w:rsidR="0033393A" w:rsidRPr="00D57009">
        <w:rPr>
          <w:rFonts w:ascii="Book Antiqua" w:eastAsia="Book Antiqua" w:hAnsi="Book Antiqua" w:cs="Book Antiqua"/>
          <w:color w:val="000000"/>
        </w:rPr>
        <w:t>°C</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for 15 min as the condition for dry-fried soybeans. In preliminary experiments, when dry-fried soybeans were added as 40% of the feed, we did not find liver damage in rats. Then, when we increased the proportion of dry-fried soybeans to 60%, the liver of the rats was damaged. Therefore, we believe that only when high-temperature-processed feed reaches a certain temperature</w:t>
      </w:r>
      <w:r w:rsidR="00B76B27" w:rsidRPr="00D57009">
        <w:rPr>
          <w:rFonts w:ascii="Book Antiqua" w:hAnsi="Book Antiqua"/>
        </w:rPr>
        <w:t xml:space="preserve"> </w:t>
      </w:r>
      <w:r w:rsidR="00B76B27" w:rsidRPr="00D57009">
        <w:rPr>
          <w:rFonts w:ascii="Book Antiqua" w:eastAsia="Book Antiqua" w:hAnsi="Book Antiqua" w:cs="Book Antiqua"/>
          <w:color w:val="000000"/>
        </w:rPr>
        <w:t>and a certain amount</w:t>
      </w:r>
      <w:r w:rsidRPr="00D57009">
        <w:rPr>
          <w:rFonts w:ascii="Book Antiqua" w:eastAsia="Book Antiqua" w:hAnsi="Book Antiqua" w:cs="Book Antiqua"/>
          <w:color w:val="000000"/>
        </w:rPr>
        <w:t xml:space="preserve"> can it cause damage to rats.</w:t>
      </w:r>
    </w:p>
    <w:p w14:paraId="6636B22E" w14:textId="669D3D8B"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 xml:space="preserve">In this experiment, DFS group rats showed no signs of obesity. We know that some patients with NAFLD have no symptoms of obesity, and we believe that inflammation and oxidative stress play an important role in the early development of fatty liver in our study. In this work, metabolomics has identified a number of </w:t>
      </w:r>
      <w:r w:rsidR="00B76B27" w:rsidRPr="00D57009">
        <w:rPr>
          <w:rFonts w:ascii="Book Antiqua" w:eastAsia="Book Antiqua" w:hAnsi="Book Antiqua" w:cs="Book Antiqua"/>
          <w:color w:val="000000"/>
        </w:rPr>
        <w:t>metabolites</w:t>
      </w:r>
      <w:r w:rsidRPr="00D57009">
        <w:rPr>
          <w:rFonts w:ascii="Book Antiqua" w:eastAsia="Book Antiqua" w:hAnsi="Book Antiqua" w:cs="Book Antiqua"/>
          <w:color w:val="000000"/>
        </w:rPr>
        <w:t xml:space="preserve"> that are closely related to inflammation and oxidative stress, such as dihydroxycholesterol, 13E-tetranor-16-carboxy-LTE4, eicosanoic acid and 13-hydroxy-9-methoxy-10-oxo-11-octadecenoic acid. In the DFS group, the latter three substances were positively correlated with the steatosis score, inflammation score, fibrosis score and NAFLD pathological score, while dihydroxycholesterol was positively correlated with the steatosis score, inflammation score and NAFLD pathological score. Dihydroxycholesterol is the cholesterol that is oxidized in food. Fat is oxidized when food is heated. To avoid excessive intake of hydroxycholesterol, foods such as fried chicken, grilled burgers or steaks should be avoided. </w:t>
      </w:r>
      <w:r w:rsidR="00C72CB8" w:rsidRPr="00D57009">
        <w:rPr>
          <w:rFonts w:ascii="Book Antiqua" w:eastAsia="Book Antiqua" w:hAnsi="Book Antiqua" w:cs="Book Antiqua"/>
          <w:color w:val="000000"/>
        </w:rPr>
        <w:t>Thirteen-</w:t>
      </w:r>
      <w:r w:rsidRPr="00D57009">
        <w:rPr>
          <w:rFonts w:ascii="Book Antiqua" w:eastAsia="Book Antiqua" w:hAnsi="Book Antiqua" w:cs="Book Antiqua"/>
          <w:color w:val="000000"/>
        </w:rPr>
        <w:t>E-Tetranor-16-carboxy-LTE4 is a lipid oxidation product of leukotriene E4. It is synthesized by the conversion of polyunsaturated fatty acids by lipoxygenase. Leukotriene E4 is a potent inflammatory mediator</w:t>
      </w:r>
      <w:r w:rsidRPr="00D57009">
        <w:rPr>
          <w:rFonts w:ascii="Book Antiqua" w:eastAsia="Book Antiqua" w:hAnsi="Book Antiqua" w:cs="Book Antiqua"/>
          <w:color w:val="000000"/>
          <w:vertAlign w:val="superscript"/>
        </w:rPr>
        <w:t>[11,12]</w:t>
      </w:r>
      <w:r w:rsidRPr="00D57009">
        <w:rPr>
          <w:rFonts w:ascii="Book Antiqua" w:eastAsia="Book Antiqua" w:hAnsi="Book Antiqua" w:cs="Book Antiqua"/>
          <w:color w:val="000000"/>
        </w:rPr>
        <w:t>. Correlation analysis showed that 13E-tetranor-16-carboxy-LTE4 was the substance most positively correlated with fibrosis in the DFS group compared with the NDFS group. Eicosanoids are a family of lipids derived from 20-carbon polyunsaturated fatty acids. These compounds contain 20 carbon atoms and are therefore known as "eicosanoids". Their precursor is mainly arachidonic acid, which is involved in the contraction or relaxation of smooth muscle, platelet aggregation and the inflammatory response. In biochemistry, arachidonic acids are "signaling molecules" formed by the oxidation of fatty acids linked by 20 carbons. They are subcategories of lipins (oxylipins) formed by enzymatic or nonenzymatic oxidation of polyunsaturated fatty acids. Soybean fatty acids mainly contain oleic acid, linoleic acid, linolenic acid, palmitic acid and stearic acid, among which the linoleic acid content is the highest. Linoleic acid is unstable and easily oxidized. </w:t>
      </w:r>
      <w:r w:rsidR="00C72CB8" w:rsidRPr="00D57009">
        <w:rPr>
          <w:rFonts w:ascii="Book Antiqua" w:eastAsia="Book Antiqua" w:hAnsi="Book Antiqua" w:cs="Book Antiqua"/>
          <w:color w:val="000000"/>
        </w:rPr>
        <w:t>Thirteen</w:t>
      </w:r>
      <w:r w:rsidRPr="00D57009">
        <w:rPr>
          <w:rFonts w:ascii="Book Antiqua" w:eastAsia="Book Antiqua" w:hAnsi="Book Antiqua" w:cs="Book Antiqua"/>
          <w:color w:val="000000"/>
        </w:rPr>
        <w:t>-</w:t>
      </w:r>
      <w:r w:rsidR="00C72CB8" w:rsidRPr="00D57009">
        <w:rPr>
          <w:rFonts w:ascii="Book Antiqua" w:eastAsia="Book Antiqua" w:hAnsi="Book Antiqua" w:cs="Book Antiqua"/>
          <w:color w:val="000000"/>
        </w:rPr>
        <w:t>h</w:t>
      </w:r>
      <w:r w:rsidRPr="00D57009">
        <w:rPr>
          <w:rFonts w:ascii="Book Antiqua" w:eastAsia="Book Antiqua" w:hAnsi="Book Antiqua" w:cs="Book Antiqua"/>
          <w:color w:val="000000"/>
        </w:rPr>
        <w:t>ydroxy-9-methoxy-10-oxo-11-octadecenoic acid is an oxidation product derivative of linoleic acid, and its production increases when oxidative stress increases. Therefore, the addition of dry-fried soybean feed may cause liver damage by enhancing oxidative stress and triggering inflammation by the accumulation of lipid peroxidation products.</w:t>
      </w:r>
    </w:p>
    <w:p w14:paraId="5B5E82A0" w14:textId="394EEAF8"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Lysophospholipids (LPCs) and NADP+ decreased in the DFS group compared with the control group and the NDFS group. LPCs are phospholipids with various physiological functions that are mainly metabolized in the liver. LPCs are closely related to metabolic diseases such as diabetes, atherosclerosis and fatty liver. Impaired metabolism of LPCs may be a signal of liver inflammation. It has been reported that taurocholic acid increased and LPCs decreased in patients with NASH</w:t>
      </w:r>
      <w:r w:rsidRPr="00D57009">
        <w:rPr>
          <w:rFonts w:ascii="Book Antiqua" w:eastAsia="Book Antiqua" w:hAnsi="Book Antiqua" w:cs="Book Antiqua"/>
          <w:color w:val="000000"/>
          <w:vertAlign w:val="superscript"/>
        </w:rPr>
        <w:t>[13]</w:t>
      </w:r>
      <w:r w:rsidRPr="00D57009">
        <w:rPr>
          <w:rFonts w:ascii="Book Antiqua" w:eastAsia="Book Antiqua" w:hAnsi="Book Antiqua" w:cs="Book Antiqua"/>
          <w:color w:val="000000"/>
        </w:rPr>
        <w:t xml:space="preserve">. This is consistent with the results in our study. The depletion of NADP+ is an important marker of aging and many age-related diseases, such as neuromuscular, cardiometabolic, liver and kidney diseases. In the liver, reduced NADP+ content is associated with the development of alcoholic and </w:t>
      </w:r>
      <w:r w:rsidR="009C13EB" w:rsidRPr="00D57009">
        <w:rPr>
          <w:rFonts w:ascii="Book Antiqua" w:eastAsia="Book Antiqua" w:hAnsi="Book Antiqua" w:cs="Book Antiqua"/>
          <w:color w:val="000000"/>
        </w:rPr>
        <w:t>NAFLD</w:t>
      </w:r>
      <w:r w:rsidRPr="00D57009">
        <w:rPr>
          <w:rFonts w:ascii="Book Antiqua" w:eastAsia="Book Antiqua" w:hAnsi="Book Antiqua" w:cs="Book Antiqua"/>
          <w:color w:val="000000"/>
        </w:rPr>
        <w:t>, while retention of NADP+</w:t>
      </w:r>
      <w:r w:rsidRPr="00D57009">
        <w:rPr>
          <w:rFonts w:ascii="Book Antiqua" w:eastAsia="Book Antiqua" w:hAnsi="Book Antiqua" w:cs="Book Antiqua"/>
          <w:color w:val="000000"/>
          <w:vertAlign w:val="superscript"/>
        </w:rPr>
        <w:t> </w:t>
      </w:r>
      <w:r w:rsidRPr="00D57009">
        <w:rPr>
          <w:rFonts w:ascii="Book Antiqua" w:eastAsia="Book Antiqua" w:hAnsi="Book Antiqua" w:cs="Book Antiqua"/>
          <w:color w:val="000000"/>
        </w:rPr>
        <w:t>content in the liver reduces the associated damage. Bile acid is the transformation product of cholesterol in hepatocytes, which is secreted by hepatocytes and discharged into the intestine through the biliary system. In hepatobiliary diseases, the excretion of total bile acid is inhibited, resulting in an increase in peripheral blood total bile acid concentration. Abnormally elevated bile acids can lead to the accumulation of toxic bile acids in the liver, resulting in mitochondrial dysfunction and excessive production of reactive oxygen species and reactive nitrogen species. In this study, taurochenodeoxycholate-3-sulfate and taurocholic acid were increased in the DFS group, indicating abnormal liver function of rats.</w:t>
      </w:r>
    </w:p>
    <w:p w14:paraId="53C60DE3" w14:textId="77777777"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Meanwhile, the antioxidant S-(9-hydroxy-PGA1)-glutathione was decreased in the DFS group compared with the control group. Glutathione is an important antioxidant in the body, and glutamine is involved in its synthesis. Glutamine is an essential nutrient for the metabolism of intestinal mucosal cells and plays an important role in maintaining the integrity of the intestinal mucosal epithelial structure. Especially under severe stress, such as trauma, infection and fatigue, glutamine is rapidly depleted in intestinal mucosal epithelial cells. By maintaining and increasing the storage of glutathione in tissue cells, the antioxidant capacity of the body is improved. Glycine is a constituent amino acid of the endogenous antioxidant reduced glutathione. Reductions in L-glutamine, glutathione and glycine were found in the DFS group. Folic acid is a B vitamin widely distributed in the body that plays an important role in the metabolism of one-carbon units. Tetrahydrofolic acid is a coenzyme of one-carbon group transferase, which has the function of transferring one carbon group and is a necessary coenzyme in many biosynthesis reactions. A carbon group is one of the raw materials for the synthesis of purine nucleotides and thymine nucleotides in organisms, so folic acid plays an important role in the formation of nucleic acids and affects the synthesis of proteins and the growth of cells. Tetrahydrofolic acid carries these carbon units and forms 5-CH3-THF, which binds with plasma proteins and is mainly transported to the liver for storage. In this study, the levels of folic acid and 5,10-methylene-THF were decreased in the DFS group compared with the control group. Therefore, metabolic disorders of folic acid and tetrahydrofolic acid may be involved in the occurrence and development of fatty liver.</w:t>
      </w:r>
    </w:p>
    <w:p w14:paraId="700FAE87" w14:textId="77777777" w:rsidR="009D1D10" w:rsidRPr="00D57009" w:rsidRDefault="00AF4927">
      <w:pPr>
        <w:snapToGrid w:val="0"/>
        <w:spacing w:line="360" w:lineRule="auto"/>
        <w:ind w:firstLine="240"/>
        <w:jc w:val="both"/>
        <w:rPr>
          <w:rFonts w:ascii="Book Antiqua" w:hAnsi="Book Antiqua"/>
        </w:rPr>
      </w:pPr>
      <w:r w:rsidRPr="00D57009">
        <w:rPr>
          <w:rFonts w:ascii="Book Antiqua" w:eastAsia="Book Antiqua" w:hAnsi="Book Antiqua" w:cs="Book Antiqua"/>
          <w:color w:val="000000"/>
        </w:rPr>
        <w:t>Choline is a component of the cell membrane, lipoproteins and phospholipid proteins and plays an important role in cell membrane integrity and lipid metabolism. In choline-deficient rats, a high-fat diet resulted in fat accumulation in the liver due to reduced phosphatidylcholine synthesis. Choline decreased in the DFS group compared with the NDFS group. The DFS group mainly showed effects on the metabolism of glycerophospholipids in normal rats, which may lead to liver damage by changing the structure and permeability of the liver cell membrane.</w:t>
      </w:r>
      <w:r w:rsidRPr="00D57009">
        <w:rPr>
          <w:rFonts w:ascii="Book Antiqua" w:eastAsia="Book Antiqua" w:hAnsi="Book Antiqua" w:cs="Book Antiqua"/>
          <w:color w:val="000000"/>
          <w:shd w:val="clear" w:color="auto" w:fill="F7F8FA"/>
        </w:rPr>
        <w:t> </w:t>
      </w:r>
      <w:r w:rsidRPr="00D57009">
        <w:rPr>
          <w:rFonts w:ascii="Book Antiqua" w:eastAsia="Book Antiqua" w:hAnsi="Book Antiqua" w:cs="Book Antiqua"/>
          <w:color w:val="000000"/>
        </w:rPr>
        <w:t>Acetylcarnitine increased in the DFS group compared with the NDFS group. Acetylcarnitine carries fatty acids from the cytoplasm to the mitochondria, where they are involved in the production and release of energy during the oxidation of fatty acids. Elevated acetylcarnitine levels are associated with oxidative disorders in the lipid metabolism of macrophages, and the transformation of macrophage lipid overload into macrophage foam cells may play a key role in the formation of fatty liver</w:t>
      </w:r>
      <w:r w:rsidRPr="00D57009">
        <w:rPr>
          <w:rFonts w:ascii="Book Antiqua" w:eastAsia="Book Antiqua" w:hAnsi="Book Antiqua" w:cs="Book Antiqua"/>
          <w:color w:val="000000"/>
          <w:vertAlign w:val="superscript"/>
        </w:rPr>
        <w:t>[14]</w:t>
      </w:r>
      <w:r w:rsidRPr="00D57009">
        <w:rPr>
          <w:rFonts w:ascii="Book Antiqua" w:eastAsia="Book Antiqua" w:hAnsi="Book Antiqua" w:cs="Book Antiqua"/>
          <w:color w:val="000000"/>
        </w:rPr>
        <w:t>.</w:t>
      </w:r>
    </w:p>
    <w:bookmarkEnd w:id="45"/>
    <w:bookmarkEnd w:id="46"/>
    <w:p w14:paraId="24A774EB" w14:textId="77777777" w:rsidR="009D1D10" w:rsidRPr="00D57009" w:rsidRDefault="009D1D10">
      <w:pPr>
        <w:snapToGrid w:val="0"/>
        <w:spacing w:line="360" w:lineRule="auto"/>
        <w:ind w:firstLine="240"/>
        <w:jc w:val="both"/>
        <w:rPr>
          <w:rFonts w:ascii="Book Antiqua" w:hAnsi="Book Antiqua"/>
        </w:rPr>
      </w:pPr>
    </w:p>
    <w:p w14:paraId="473D293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CONCLUSION</w:t>
      </w:r>
    </w:p>
    <w:p w14:paraId="10633EFC" w14:textId="77777777" w:rsidR="009D1D10" w:rsidRPr="00D57009" w:rsidRDefault="00AF4927">
      <w:pPr>
        <w:snapToGrid w:val="0"/>
        <w:spacing w:line="360" w:lineRule="auto"/>
        <w:jc w:val="both"/>
        <w:rPr>
          <w:rFonts w:ascii="Book Antiqua" w:hAnsi="Book Antiqua"/>
        </w:rPr>
      </w:pPr>
      <w:bookmarkStart w:id="47" w:name="OLE_LINK45"/>
      <w:bookmarkStart w:id="48" w:name="OLE_LINK44"/>
      <w:r w:rsidRPr="00D57009">
        <w:rPr>
          <w:rFonts w:ascii="Book Antiqua" w:eastAsia="Book Antiqua" w:hAnsi="Book Antiqua" w:cs="Book Antiqua"/>
          <w:color w:val="000000"/>
        </w:rPr>
        <w:t>In conclusion, our research also has some limitations. We did not include other high-temperature-processed foods, such as fried and grilled foods. We did not investigate the effects of high-temperature-processed foods on other organs in rats. However, our study may be of great significance for the in-depth understanding of the mechanism in nonobese nonalcoholic fatty liver disease. The main pathological changes in the rat liver in the DFS group were vesicular lipidosis and early fibrosis. Clinically, many people have normal serological indicators but early liver damage. Especially for patients with mild liver fat changes and early fibrosis, some clinical equipment and means of testing are prone to misdiagnosis.</w:t>
      </w:r>
    </w:p>
    <w:bookmarkEnd w:id="47"/>
    <w:bookmarkEnd w:id="48"/>
    <w:p w14:paraId="4A7403C4" w14:textId="77777777" w:rsidR="009D1D10" w:rsidRPr="00D57009" w:rsidRDefault="009D1D10">
      <w:pPr>
        <w:snapToGrid w:val="0"/>
        <w:spacing w:line="360" w:lineRule="auto"/>
        <w:jc w:val="both"/>
        <w:rPr>
          <w:rFonts w:ascii="Book Antiqua" w:hAnsi="Book Antiqua"/>
        </w:rPr>
      </w:pPr>
    </w:p>
    <w:p w14:paraId="5FC15536"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ARTICLE HIGHLIGHTS</w:t>
      </w:r>
    </w:p>
    <w:p w14:paraId="16EEDEB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background</w:t>
      </w:r>
    </w:p>
    <w:p w14:paraId="64E40EF7" w14:textId="10B22097" w:rsidR="009D1D10" w:rsidRPr="00D57009" w:rsidRDefault="00AF4927">
      <w:pPr>
        <w:snapToGrid w:val="0"/>
        <w:spacing w:line="360" w:lineRule="auto"/>
        <w:jc w:val="both"/>
        <w:rPr>
          <w:rFonts w:ascii="Book Antiqua" w:hAnsi="Book Antiqua"/>
        </w:rPr>
      </w:pPr>
      <w:bookmarkStart w:id="49" w:name="OLE_LINK46"/>
      <w:bookmarkStart w:id="50" w:name="OLE_LINK47"/>
      <w:r w:rsidRPr="00D57009">
        <w:rPr>
          <w:rFonts w:ascii="Book Antiqua" w:eastAsia="Book Antiqua" w:hAnsi="Book Antiqua" w:cs="Book Antiqua"/>
          <w:color w:val="000000"/>
        </w:rPr>
        <w:t xml:space="preserve">Nonalcoholic fatty liver disease </w:t>
      </w:r>
      <w:r w:rsidRPr="00D57009">
        <w:rPr>
          <w:rFonts w:ascii="Book Antiqua" w:hAnsi="Book Antiqua" w:cs="Book Antiqua"/>
          <w:color w:val="000000"/>
          <w:lang w:eastAsia="zh-CN"/>
        </w:rPr>
        <w:t>(</w:t>
      </w:r>
      <w:r w:rsidRPr="00D57009">
        <w:rPr>
          <w:rFonts w:ascii="Book Antiqua" w:eastAsia="Book Antiqua" w:hAnsi="Book Antiqua" w:cs="Book Antiqua"/>
          <w:color w:val="000000"/>
        </w:rPr>
        <w:t>NAFLD</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has surpassed viral hepatitis to become the </w:t>
      </w:r>
      <w:r w:rsidR="00B83960" w:rsidRPr="00D57009">
        <w:rPr>
          <w:rFonts w:ascii="Book Antiqua" w:eastAsia="Book Antiqua" w:hAnsi="Book Antiqua" w:cs="Book Antiqua"/>
          <w:color w:val="000000"/>
        </w:rPr>
        <w:t>most common</w:t>
      </w:r>
      <w:r w:rsidRPr="00D57009">
        <w:rPr>
          <w:rFonts w:ascii="Book Antiqua" w:eastAsia="Book Antiqua" w:hAnsi="Book Antiqua" w:cs="Book Antiqua"/>
          <w:color w:val="000000"/>
        </w:rPr>
        <w:t xml:space="preserve"> liver disease in China and is facing increasing challenges in prevention and treatment. The etiology of nonobese NAFLD has not been fully elucidated and is often neglected clinically. For patients with normal body mass index and no abnormal serological indicators, liver damage may have occurred, which should be given full attention by clinicians. It is of great significance to develop new animal models to study the pathogenesis of this disease.</w:t>
      </w:r>
    </w:p>
    <w:bookmarkEnd w:id="49"/>
    <w:bookmarkEnd w:id="50"/>
    <w:p w14:paraId="1C1F01CF" w14:textId="77777777" w:rsidR="009D1D10" w:rsidRPr="00D57009" w:rsidRDefault="009D1D10">
      <w:pPr>
        <w:snapToGrid w:val="0"/>
        <w:spacing w:line="360" w:lineRule="auto"/>
        <w:jc w:val="both"/>
        <w:rPr>
          <w:rFonts w:ascii="Book Antiqua" w:hAnsi="Book Antiqua"/>
        </w:rPr>
      </w:pPr>
    </w:p>
    <w:p w14:paraId="6C95212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motivation</w:t>
      </w:r>
    </w:p>
    <w:p w14:paraId="30252BB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In modern society, more and more young people suffer from fatty liver disease with normal body mass index. They prefer high temperature processed food such as barbecue, hot pot and fried food, which may be associated with the development of nonobese NAFLD.</w:t>
      </w:r>
    </w:p>
    <w:p w14:paraId="1D0B940E" w14:textId="77777777" w:rsidR="009D1D10" w:rsidRPr="00D57009" w:rsidRDefault="009D1D10">
      <w:pPr>
        <w:snapToGrid w:val="0"/>
        <w:spacing w:line="360" w:lineRule="auto"/>
        <w:jc w:val="both"/>
        <w:rPr>
          <w:rFonts w:ascii="Book Antiqua" w:hAnsi="Book Antiqua"/>
        </w:rPr>
      </w:pPr>
    </w:p>
    <w:p w14:paraId="603B9ED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objectives</w:t>
      </w:r>
    </w:p>
    <w:p w14:paraId="6A4ABD48" w14:textId="379640BF"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The purpose of our study was to </w:t>
      </w:r>
      <w:r w:rsidR="00B83960" w:rsidRPr="00D57009">
        <w:rPr>
          <w:rFonts w:ascii="Book Antiqua" w:eastAsia="Book Antiqua" w:hAnsi="Book Antiqua" w:cs="Book Antiqua"/>
          <w:color w:val="000000"/>
        </w:rPr>
        <w:t>investigate</w:t>
      </w:r>
      <w:r w:rsidRPr="00D57009">
        <w:rPr>
          <w:rFonts w:ascii="Book Antiqua" w:eastAsia="Book Antiqua" w:hAnsi="Book Antiqua" w:cs="Book Antiqua"/>
          <w:color w:val="000000"/>
        </w:rPr>
        <w:t xml:space="preserve"> the effects of high-temperature-processed feed on rats and to explore the metabolomics pathogenesis of nonobese NAFLD.</w:t>
      </w:r>
    </w:p>
    <w:p w14:paraId="504C5F0D" w14:textId="77777777" w:rsidR="009D1D10" w:rsidRPr="00D57009" w:rsidRDefault="009D1D10">
      <w:pPr>
        <w:snapToGrid w:val="0"/>
        <w:spacing w:line="360" w:lineRule="auto"/>
        <w:jc w:val="both"/>
        <w:rPr>
          <w:rFonts w:ascii="Book Antiqua" w:hAnsi="Book Antiqua"/>
        </w:rPr>
      </w:pPr>
    </w:p>
    <w:p w14:paraId="1CE7652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methods</w:t>
      </w:r>
    </w:p>
    <w:p w14:paraId="741FF3BC" w14:textId="57324730" w:rsidR="009D1D10" w:rsidRPr="00D57009" w:rsidRDefault="00AF4927">
      <w:pPr>
        <w:snapToGrid w:val="0"/>
        <w:spacing w:line="360" w:lineRule="auto"/>
        <w:jc w:val="both"/>
        <w:rPr>
          <w:rFonts w:ascii="Book Antiqua" w:hAnsi="Book Antiqua"/>
        </w:rPr>
      </w:pPr>
      <w:bookmarkStart w:id="51" w:name="OLE_LINK49"/>
      <w:bookmarkStart w:id="52" w:name="OLE_LINK48"/>
      <w:r w:rsidRPr="00D57009">
        <w:rPr>
          <w:rFonts w:ascii="Book Antiqua" w:eastAsia="Book Antiqua" w:hAnsi="Book Antiqua" w:cs="Book Antiqua"/>
          <w:color w:val="000000"/>
        </w:rPr>
        <w:t xml:space="preserve">Fifty-four male Sprague-Dawley rats were divided into three groups: </w:t>
      </w:r>
      <w:r w:rsidR="00B83960" w:rsidRPr="00D57009">
        <w:rPr>
          <w:rFonts w:ascii="Book Antiqua" w:eastAsia="Book Antiqua" w:hAnsi="Book Antiqua" w:cs="Book Antiqua"/>
          <w:color w:val="000000"/>
        </w:rPr>
        <w:t>T</w:t>
      </w:r>
      <w:r w:rsidRPr="00D57009">
        <w:rPr>
          <w:rFonts w:ascii="Book Antiqua" w:eastAsia="Book Antiqua" w:hAnsi="Book Antiqua" w:cs="Book Antiqua"/>
          <w:color w:val="000000"/>
        </w:rPr>
        <w:t xml:space="preserve">he control group received a standard diet; the </w:t>
      </w:r>
      <w:r w:rsidR="0033393A" w:rsidRPr="00D57009">
        <w:rPr>
          <w:rFonts w:ascii="Book Antiqua" w:eastAsia="Book Antiqua" w:hAnsi="Book Antiqua" w:cs="Book Antiqua"/>
          <w:color w:val="000000"/>
        </w:rPr>
        <w:t>nonfried soybeans (NDFS)</w:t>
      </w:r>
      <w:r w:rsidRPr="00D57009">
        <w:rPr>
          <w:rFonts w:ascii="Book Antiqua" w:eastAsia="Book Antiqua" w:hAnsi="Book Antiqua" w:cs="Book Antiqua"/>
          <w:color w:val="000000"/>
        </w:rPr>
        <w:t xml:space="preserve"> group received 60% nonfried soybeans and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and the </w:t>
      </w:r>
      <w:r w:rsidR="0033393A" w:rsidRPr="00D57009">
        <w:rPr>
          <w:rFonts w:ascii="Book Antiqua" w:eastAsia="Book Antiqua" w:hAnsi="Book Antiqua" w:cs="Book Antiqua"/>
          <w:color w:val="000000"/>
        </w:rPr>
        <w:t>dry-fried soybeans</w:t>
      </w:r>
      <w:r w:rsidR="0033393A" w:rsidRPr="00D57009">
        <w:rPr>
          <w:rFonts w:ascii="Book Antiqua" w:eastAsia="宋体" w:hAnsi="Book Antiqua" w:cs="Book Antiqua"/>
          <w:color w:val="000000"/>
          <w:lang w:eastAsia="zh-CN"/>
        </w:rPr>
        <w:t xml:space="preserve"> (DFS)</w:t>
      </w:r>
      <w:r w:rsidRPr="00D57009">
        <w:rPr>
          <w:rFonts w:ascii="Book Antiqua" w:eastAsia="Book Antiqua" w:hAnsi="Book Antiqua" w:cs="Book Antiqua"/>
          <w:color w:val="000000"/>
        </w:rPr>
        <w:t xml:space="preserve"> group received 60% dry-fried soybeans and 40% bas</w:t>
      </w:r>
      <w:r w:rsidR="00B76B27" w:rsidRPr="00D57009">
        <w:rPr>
          <w:rFonts w:ascii="Book Antiqua" w:eastAsia="Book Antiqua" w:hAnsi="Book Antiqua" w:cs="Book Antiqua"/>
          <w:color w:val="000000"/>
        </w:rPr>
        <w:t>al</w:t>
      </w:r>
      <w:r w:rsidRPr="00D57009">
        <w:rPr>
          <w:rFonts w:ascii="Book Antiqua" w:eastAsia="Book Antiqua" w:hAnsi="Book Antiqua" w:cs="Book Antiqua"/>
          <w:color w:val="000000"/>
        </w:rPr>
        <w:t xml:space="preserve"> feed. Six rats were sacrificed at </w:t>
      </w:r>
      <w:r w:rsidR="00B83960" w:rsidRPr="00D57009">
        <w:rPr>
          <w:rFonts w:ascii="Book Antiqua" w:eastAsia="Book Antiqua" w:hAnsi="Book Antiqua" w:cs="Book Antiqua"/>
          <w:color w:val="000000"/>
        </w:rPr>
        <w:t>weeks 4, 8 and</w:t>
      </w:r>
      <w:r w:rsidRPr="00D57009">
        <w:rPr>
          <w:rFonts w:ascii="Book Antiqua" w:eastAsia="Book Antiqua" w:hAnsi="Book Antiqua" w:cs="Book Antiqua"/>
          <w:color w:val="000000"/>
        </w:rPr>
        <w:t xml:space="preserve"> 12 in each group. The food intake, body weight, Lee’s index, liver index, serological index and hepatic histopathology were assessed. Untargeted metabolomics characteristics were used to analyze the changes in liver metabolites of rats at</w:t>
      </w:r>
      <w:r w:rsidR="00B83960" w:rsidRPr="00D57009">
        <w:rPr>
          <w:rFonts w:ascii="Book Antiqua" w:eastAsia="Book Antiqua" w:hAnsi="Book Antiqua" w:cs="Book Antiqua"/>
          <w:color w:val="000000"/>
        </w:rPr>
        <w:t xml:space="preserve"> week 12</w:t>
      </w:r>
      <w:r w:rsidRPr="00D57009">
        <w:rPr>
          <w:rFonts w:ascii="Book Antiqua" w:eastAsia="Book Antiqua" w:hAnsi="Book Antiqua" w:cs="Book Antiqua"/>
          <w:color w:val="000000"/>
        </w:rPr>
        <w:t xml:space="preserve">. Correlations between selected metabolites and pathology scores between the DFS and control groups and between the DFS and NDFS groups were analyzed. The results of correlation analysis in this study were determined by </w:t>
      </w:r>
      <w:r w:rsidRPr="00D57009">
        <w:rPr>
          <w:rFonts w:ascii="Book Antiqua" w:eastAsia="Book Antiqua" w:hAnsi="Book Antiqua" w:cs="Book Antiqua"/>
          <w:i/>
          <w:color w:val="000000"/>
        </w:rPr>
        <w:t>P</w:t>
      </w:r>
      <w:r w:rsidRPr="00D57009">
        <w:rPr>
          <w:rFonts w:ascii="Book Antiqua" w:eastAsia="Book Antiqua" w:hAnsi="Book Antiqua" w:cs="Book Antiqua"/>
          <w:color w:val="000000"/>
        </w:rPr>
        <w:t xml:space="preserve"> &lt; 0.05 and absolute value of correlation coefficient greater than or equal to 0.5.</w:t>
      </w:r>
    </w:p>
    <w:bookmarkEnd w:id="51"/>
    <w:bookmarkEnd w:id="52"/>
    <w:p w14:paraId="08D67573" w14:textId="77777777" w:rsidR="009D1D10" w:rsidRPr="00D57009" w:rsidRDefault="009D1D10">
      <w:pPr>
        <w:snapToGrid w:val="0"/>
        <w:spacing w:line="360" w:lineRule="auto"/>
        <w:jc w:val="both"/>
        <w:rPr>
          <w:rFonts w:ascii="Book Antiqua" w:hAnsi="Book Antiqua"/>
        </w:rPr>
      </w:pPr>
    </w:p>
    <w:p w14:paraId="266483E3"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results</w:t>
      </w:r>
    </w:p>
    <w:p w14:paraId="79245D66" w14:textId="3904F996"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There was no statistically significant difference in the food intake, body weight, Lee's index or serological index between the DFS group and the control group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&gt; 0.05). At week 8 and week 12, the steatosis score in the DFS group were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&lt; 0.05). At week 12, the fibrosis score in the DFS group w</w:t>
      </w:r>
      <w:r w:rsidR="00B83960" w:rsidRPr="00D57009">
        <w:rPr>
          <w:rFonts w:ascii="Book Antiqua" w:eastAsia="Book Antiqua" w:hAnsi="Book Antiqua" w:cs="Book Antiqua"/>
          <w:color w:val="000000"/>
        </w:rPr>
        <w:t>as</w:t>
      </w:r>
      <w:r w:rsidRPr="00D57009">
        <w:rPr>
          <w:rFonts w:ascii="Book Antiqua" w:eastAsia="Book Antiqua" w:hAnsi="Book Antiqua" w:cs="Book Antiqua"/>
          <w:color w:val="000000"/>
        </w:rPr>
        <w:t xml:space="preserve"> significantly higher than those in the other two groups (</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The correlation analysis of the liver pathology score and differential metabolites in the DFS and NDFS groups showed that there were 10 strongly correlated substances: </w:t>
      </w:r>
      <w:r w:rsidR="00B83960"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positively correlated substances and </w:t>
      </w:r>
      <w:r w:rsidR="00B83960" w:rsidRPr="00D57009">
        <w:rPr>
          <w:rFonts w:ascii="Book Antiqua" w:eastAsia="Book Antiqua" w:hAnsi="Book Antiqua" w:cs="Book Antiqua"/>
          <w:color w:val="000000"/>
        </w:rPr>
        <w:t>five</w:t>
      </w:r>
      <w:r w:rsidRPr="00D57009">
        <w:rPr>
          <w:rFonts w:ascii="Book Antiqua" w:eastAsia="Book Antiqua" w:hAnsi="Book Antiqua" w:cs="Book Antiqua"/>
          <w:color w:val="000000"/>
        </w:rPr>
        <w:t xml:space="preserve"> negatively correlated substances. The correlation analysis of the liver pathology score and differential metabolites in the DFS and control groups showed that there were 13 strongly correlated substances: </w:t>
      </w:r>
      <w:r w:rsidR="00B83960" w:rsidRPr="00D57009">
        <w:rPr>
          <w:rFonts w:ascii="Book Antiqua" w:eastAsia="Book Antiqua" w:hAnsi="Book Antiqua" w:cs="Book Antiqua"/>
          <w:color w:val="000000"/>
        </w:rPr>
        <w:t>Four</w:t>
      </w:r>
      <w:r w:rsidRPr="00D57009">
        <w:rPr>
          <w:rFonts w:ascii="Book Antiqua" w:eastAsia="Book Antiqua" w:hAnsi="Book Antiqua" w:cs="Book Antiqua"/>
          <w:color w:val="000000"/>
        </w:rPr>
        <w:t xml:space="preserve"> positively correlated substances and </w:t>
      </w:r>
      <w:r w:rsidR="00B83960" w:rsidRPr="00D57009">
        <w:rPr>
          <w:rFonts w:ascii="Book Antiqua" w:eastAsia="Book Antiqua" w:hAnsi="Book Antiqua" w:cs="Book Antiqua"/>
          <w:color w:val="000000"/>
        </w:rPr>
        <w:t>nine</w:t>
      </w:r>
      <w:r w:rsidRPr="00D57009">
        <w:rPr>
          <w:rFonts w:ascii="Book Antiqua" w:eastAsia="Book Antiqua" w:hAnsi="Book Antiqua" w:cs="Book Antiqua"/>
          <w:color w:val="000000"/>
        </w:rPr>
        <w:t xml:space="preserve"> negatively correlated substances.</w:t>
      </w:r>
    </w:p>
    <w:p w14:paraId="03200C44" w14:textId="77777777" w:rsidR="009D1D10" w:rsidRPr="00D57009" w:rsidRDefault="009D1D10">
      <w:pPr>
        <w:snapToGrid w:val="0"/>
        <w:spacing w:line="360" w:lineRule="auto"/>
        <w:jc w:val="both"/>
        <w:rPr>
          <w:rFonts w:ascii="Book Antiqua" w:hAnsi="Book Antiqua"/>
        </w:rPr>
      </w:pPr>
    </w:p>
    <w:p w14:paraId="7F834A11"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conclusions</w:t>
      </w:r>
    </w:p>
    <w:p w14:paraId="6ABD6550" w14:textId="0EE7CCDB"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We successfully induced liver damage in rats by using a specially prepared high-temperature-processed feed and preliminarily explored the untargeted metabolomics characteristics. Our study provides new insights into the diagnosis, treatment and health education of patients with NAFLD.</w:t>
      </w:r>
    </w:p>
    <w:p w14:paraId="7EE497A2" w14:textId="77777777" w:rsidR="009D1D10" w:rsidRPr="00D57009" w:rsidRDefault="009D1D10">
      <w:pPr>
        <w:snapToGrid w:val="0"/>
        <w:spacing w:line="360" w:lineRule="auto"/>
        <w:jc w:val="both"/>
        <w:rPr>
          <w:rFonts w:ascii="Book Antiqua" w:hAnsi="Book Antiqua"/>
        </w:rPr>
      </w:pPr>
    </w:p>
    <w:p w14:paraId="229A1F6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i/>
          <w:color w:val="000000"/>
        </w:rPr>
        <w:t>Research perspectives</w:t>
      </w:r>
    </w:p>
    <w:p w14:paraId="0DB4A94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In the future, we will further study the molecular mechanism of fatty liver induced by high-temperature-processed feed in rats and explore the effects of other high-temperature-processed feed on rat liver.</w:t>
      </w:r>
    </w:p>
    <w:p w14:paraId="66CF25B1" w14:textId="77777777" w:rsidR="009D1D10" w:rsidRPr="00D57009" w:rsidRDefault="009D1D10">
      <w:pPr>
        <w:snapToGrid w:val="0"/>
        <w:spacing w:line="360" w:lineRule="auto"/>
        <w:jc w:val="both"/>
        <w:rPr>
          <w:rFonts w:ascii="Book Antiqua" w:hAnsi="Book Antiqua"/>
        </w:rPr>
      </w:pPr>
    </w:p>
    <w:p w14:paraId="33E5DEC7"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aps/>
          <w:color w:val="000000"/>
          <w:u w:val="single"/>
        </w:rPr>
        <w:t>ACKNOWLEDGEMENTS</w:t>
      </w:r>
    </w:p>
    <w:p w14:paraId="14A04C37" w14:textId="6DAAAD78"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The authors would like to acknowledge Ji-Kuan Sun</w:t>
      </w:r>
      <w:r w:rsidR="00B83960" w:rsidRPr="00D57009">
        <w:rPr>
          <w:rFonts w:ascii="Book Antiqua" w:eastAsia="Book Antiqua" w:hAnsi="Book Antiqua" w:cs="Book Antiqua"/>
          <w:color w:val="000000"/>
        </w:rPr>
        <w:t xml:space="preserve"> and</w:t>
      </w:r>
      <w:r w:rsidRPr="00D57009">
        <w:rPr>
          <w:rFonts w:ascii="Book Antiqua" w:eastAsia="Book Antiqua" w:hAnsi="Book Antiqua" w:cs="Book Antiqua"/>
          <w:color w:val="000000"/>
        </w:rPr>
        <w:t xml:space="preserve"> Feng Zhang for skillful technical assistance.</w:t>
      </w:r>
    </w:p>
    <w:p w14:paraId="64989E3D" w14:textId="77777777" w:rsidR="009D1D10" w:rsidRPr="00D57009" w:rsidRDefault="009D1D10">
      <w:pPr>
        <w:snapToGrid w:val="0"/>
        <w:spacing w:line="360" w:lineRule="auto"/>
        <w:jc w:val="both"/>
        <w:rPr>
          <w:rFonts w:ascii="Book Antiqua" w:hAnsi="Book Antiqua"/>
        </w:rPr>
      </w:pPr>
    </w:p>
    <w:p w14:paraId="4DFB7635"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REFERENCES</w:t>
      </w:r>
    </w:p>
    <w:p w14:paraId="42F2A63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 </w:t>
      </w:r>
      <w:r w:rsidRPr="00D57009">
        <w:rPr>
          <w:rFonts w:ascii="Book Antiqua" w:eastAsia="Book Antiqua" w:hAnsi="Book Antiqua" w:cs="Book Antiqua"/>
          <w:b/>
          <w:bCs/>
          <w:color w:val="000000"/>
        </w:rPr>
        <w:t>Younossi ZM</w:t>
      </w:r>
      <w:r w:rsidRPr="00D57009">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64</w:t>
      </w:r>
      <w:r w:rsidRPr="00D57009">
        <w:rPr>
          <w:rFonts w:ascii="Book Antiqua" w:eastAsia="Book Antiqua" w:hAnsi="Book Antiqua" w:cs="Book Antiqua"/>
          <w:color w:val="000000"/>
        </w:rPr>
        <w:t>: 73-84 [PMID: 26707365 DOI: 10.1002/hep.28431]</w:t>
      </w:r>
    </w:p>
    <w:p w14:paraId="71E0944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2 </w:t>
      </w:r>
      <w:r w:rsidRPr="00D57009">
        <w:rPr>
          <w:rFonts w:ascii="Book Antiqua" w:eastAsia="Book Antiqua" w:hAnsi="Book Antiqua" w:cs="Book Antiqua"/>
          <w:b/>
          <w:bCs/>
          <w:color w:val="000000"/>
        </w:rPr>
        <w:t>Zhou J</w:t>
      </w:r>
      <w:r w:rsidRPr="00D57009">
        <w:rPr>
          <w:rFonts w:ascii="Book Antiqua" w:eastAsia="Book Antiqua" w:hAnsi="Book Antiqua" w:cs="Book Antiqua"/>
          <w:color w:val="000000"/>
        </w:rPr>
        <w:t xml:space="preserve">, Zhou F, Wang W, Zhang XJ, Ji YX, Zhang P, She ZG, Zhu L, Cai J, Li H. Epidemiological Features of NAFLD From 1999 to 2018 in China.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2020; </w:t>
      </w:r>
      <w:r w:rsidRPr="00D57009">
        <w:rPr>
          <w:rFonts w:ascii="Book Antiqua" w:eastAsia="Book Antiqua" w:hAnsi="Book Antiqua" w:cs="Book Antiqua"/>
          <w:b/>
          <w:bCs/>
          <w:color w:val="000000"/>
        </w:rPr>
        <w:t>71</w:t>
      </w:r>
      <w:r w:rsidRPr="00D57009">
        <w:rPr>
          <w:rFonts w:ascii="Book Antiqua" w:eastAsia="Book Antiqua" w:hAnsi="Book Antiqua" w:cs="Book Antiqua"/>
          <w:color w:val="000000"/>
        </w:rPr>
        <w:t>: 1851-1864 [PMID: 32012320 DOI: 10.1002/hep.31150]</w:t>
      </w:r>
    </w:p>
    <w:p w14:paraId="4FA650D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3 </w:t>
      </w:r>
      <w:r w:rsidRPr="00D57009">
        <w:rPr>
          <w:rFonts w:ascii="Book Antiqua" w:eastAsia="Book Antiqua" w:hAnsi="Book Antiqua" w:cs="Book Antiqua"/>
          <w:b/>
          <w:bCs/>
          <w:color w:val="000000"/>
        </w:rPr>
        <w:t>Day CP</w:t>
      </w:r>
      <w:r w:rsidRPr="00D57009">
        <w:rPr>
          <w:rFonts w:ascii="Book Antiqua" w:eastAsia="Book Antiqua" w:hAnsi="Book Antiqua" w:cs="Book Antiqua"/>
          <w:color w:val="000000"/>
        </w:rPr>
        <w:t xml:space="preserve">, James OF. Steatohepatitis: a tale of two "hits"? </w:t>
      </w:r>
      <w:r w:rsidRPr="00D57009">
        <w:rPr>
          <w:rFonts w:ascii="Book Antiqua" w:eastAsia="Book Antiqua" w:hAnsi="Book Antiqua" w:cs="Book Antiqua"/>
          <w:i/>
          <w:iCs/>
          <w:color w:val="000000"/>
        </w:rPr>
        <w:t>Gastroenterology</w:t>
      </w:r>
      <w:r w:rsidRPr="00D57009">
        <w:rPr>
          <w:rFonts w:ascii="Book Antiqua" w:eastAsia="Book Antiqua" w:hAnsi="Book Antiqua" w:cs="Book Antiqua"/>
          <w:color w:val="000000"/>
        </w:rPr>
        <w:t xml:space="preserve"> 1998; </w:t>
      </w:r>
      <w:r w:rsidRPr="00D57009">
        <w:rPr>
          <w:rFonts w:ascii="Book Antiqua" w:eastAsia="Book Antiqua" w:hAnsi="Book Antiqua" w:cs="Book Antiqua"/>
          <w:b/>
          <w:bCs/>
          <w:color w:val="000000"/>
        </w:rPr>
        <w:t>114</w:t>
      </w:r>
      <w:r w:rsidRPr="00D57009">
        <w:rPr>
          <w:rFonts w:ascii="Book Antiqua" w:eastAsia="Book Antiqua" w:hAnsi="Book Antiqua" w:cs="Book Antiqua"/>
          <w:color w:val="000000"/>
        </w:rPr>
        <w:t>: 842-845 [PMID: 9547102 DOI: 10.1016/s0016-5085(98)70599-2]</w:t>
      </w:r>
    </w:p>
    <w:p w14:paraId="3A79617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4 </w:t>
      </w:r>
      <w:r w:rsidRPr="00D57009">
        <w:rPr>
          <w:rFonts w:ascii="Book Antiqua" w:eastAsia="Book Antiqua" w:hAnsi="Book Antiqua" w:cs="Book Antiqua"/>
          <w:b/>
          <w:bCs/>
          <w:color w:val="000000"/>
        </w:rPr>
        <w:t>Buzzetti E</w:t>
      </w:r>
      <w:r w:rsidRPr="00D57009">
        <w:rPr>
          <w:rFonts w:ascii="Book Antiqua" w:eastAsia="Book Antiqua" w:hAnsi="Book Antiqua" w:cs="Book Antiqua"/>
          <w:color w:val="000000"/>
        </w:rPr>
        <w:t xml:space="preserve">, Pinzani M, Tsochatzis EA. The multiple-hit pathogenesis of non-alcoholic fatty liver disease (NAFLD). </w:t>
      </w:r>
      <w:r w:rsidRPr="00D57009">
        <w:rPr>
          <w:rFonts w:ascii="Book Antiqua" w:eastAsia="Book Antiqua" w:hAnsi="Book Antiqua" w:cs="Book Antiqua"/>
          <w:i/>
          <w:iCs/>
          <w:color w:val="000000"/>
        </w:rPr>
        <w:t>Metabolism</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65</w:t>
      </w:r>
      <w:r w:rsidRPr="00D57009">
        <w:rPr>
          <w:rFonts w:ascii="Book Antiqua" w:eastAsia="Book Antiqua" w:hAnsi="Book Antiqua" w:cs="Book Antiqua"/>
          <w:color w:val="000000"/>
        </w:rPr>
        <w:t>: 1038-1048 [PMID: 26823198 DOI: 10.1016/j.metabol.2015.12.012]</w:t>
      </w:r>
    </w:p>
    <w:p w14:paraId="5D9BEB24"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5 </w:t>
      </w:r>
      <w:r w:rsidRPr="00D57009">
        <w:rPr>
          <w:rFonts w:ascii="Book Antiqua" w:eastAsia="Book Antiqua" w:hAnsi="Book Antiqua" w:cs="Book Antiqua"/>
          <w:b/>
          <w:bCs/>
          <w:color w:val="000000"/>
        </w:rPr>
        <w:t>Peverill W</w:t>
      </w:r>
      <w:r w:rsidRPr="00D57009">
        <w:rPr>
          <w:rFonts w:ascii="Book Antiqua" w:eastAsia="Book Antiqua" w:hAnsi="Book Antiqua" w:cs="Book Antiqua"/>
          <w:color w:val="000000"/>
        </w:rPr>
        <w:t xml:space="preserve">, Powell LW, Skoien R. Evolving concepts in the pathogenesis of NASH: beyond steatosis and inflammation. </w:t>
      </w:r>
      <w:r w:rsidRPr="00D57009">
        <w:rPr>
          <w:rFonts w:ascii="Book Antiqua" w:eastAsia="Book Antiqua" w:hAnsi="Book Antiqua" w:cs="Book Antiqua"/>
          <w:i/>
          <w:iCs/>
          <w:color w:val="000000"/>
        </w:rPr>
        <w:t>Int J Mol Sci</w:t>
      </w:r>
      <w:r w:rsidRPr="00D57009">
        <w:rPr>
          <w:rFonts w:ascii="Book Antiqua" w:eastAsia="Book Antiqua" w:hAnsi="Book Antiqua" w:cs="Book Antiqua"/>
          <w:color w:val="000000"/>
        </w:rPr>
        <w:t xml:space="preserve"> 2014;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8591-8638 [PMID: 24830559 DOI: 10.3390/ijms15058591]</w:t>
      </w:r>
    </w:p>
    <w:p w14:paraId="41989BA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6 </w:t>
      </w:r>
      <w:r w:rsidRPr="00D57009">
        <w:rPr>
          <w:rFonts w:ascii="Book Antiqua" w:eastAsia="Book Antiqua" w:hAnsi="Book Antiqua" w:cs="Book Antiqua"/>
          <w:b/>
          <w:bCs/>
          <w:color w:val="000000"/>
        </w:rPr>
        <w:t>Kim D</w:t>
      </w:r>
      <w:r w:rsidRPr="00D57009">
        <w:rPr>
          <w:rFonts w:ascii="Book Antiqua" w:eastAsia="Book Antiqua" w:hAnsi="Book Antiqua" w:cs="Book Antiqua"/>
          <w:color w:val="000000"/>
        </w:rPr>
        <w:t xml:space="preserve">, Kim WR. Nonobese Fatty Liver Disease. </w:t>
      </w:r>
      <w:r w:rsidRPr="00D57009">
        <w:rPr>
          <w:rFonts w:ascii="Book Antiqua" w:eastAsia="Book Antiqua" w:hAnsi="Book Antiqua" w:cs="Book Antiqua"/>
          <w:i/>
          <w:iCs/>
          <w:color w:val="000000"/>
        </w:rPr>
        <w:t>Clin Gastroenterol Hepatol</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474-485 [PMID: 27581063 DOI: 10.1016/j.cgh.2016.08.028]</w:t>
      </w:r>
    </w:p>
    <w:p w14:paraId="1698D5E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7 </w:t>
      </w:r>
      <w:r w:rsidRPr="00D57009">
        <w:rPr>
          <w:rFonts w:ascii="Book Antiqua" w:eastAsia="Book Antiqua" w:hAnsi="Book Antiqua" w:cs="Book Antiqua"/>
          <w:b/>
          <w:bCs/>
          <w:color w:val="000000"/>
        </w:rPr>
        <w:t>Aby E</w:t>
      </w:r>
      <w:r w:rsidRPr="00D57009">
        <w:rPr>
          <w:rFonts w:ascii="Book Antiqua" w:eastAsia="Book Antiqua" w:hAnsi="Book Antiqua" w:cs="Book Antiqua"/>
          <w:color w:val="000000"/>
        </w:rPr>
        <w:t xml:space="preserve">, Saab S. Nonobese nonalcoholic fatty liver disease. </w:t>
      </w:r>
      <w:r w:rsidRPr="00D57009">
        <w:rPr>
          <w:rFonts w:ascii="Book Antiqua" w:eastAsia="Book Antiqua" w:hAnsi="Book Antiqua" w:cs="Book Antiqua"/>
          <w:i/>
          <w:iCs/>
          <w:color w:val="000000"/>
        </w:rPr>
        <w:t>Clin Liver Dis (Hoboken)</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10</w:t>
      </w:r>
      <w:r w:rsidRPr="00D57009">
        <w:rPr>
          <w:rFonts w:ascii="Book Antiqua" w:eastAsia="Book Antiqua" w:hAnsi="Book Antiqua" w:cs="Book Antiqua"/>
          <w:color w:val="000000"/>
        </w:rPr>
        <w:t>: 130-133 [PMID: 30992772 DOI: 10.1002/cld.674]</w:t>
      </w:r>
    </w:p>
    <w:p w14:paraId="0053A0A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8 </w:t>
      </w:r>
      <w:r w:rsidRPr="00D57009">
        <w:rPr>
          <w:rFonts w:ascii="Book Antiqua" w:eastAsia="Book Antiqua" w:hAnsi="Book Antiqua" w:cs="Book Antiqua"/>
          <w:b/>
          <w:bCs/>
          <w:color w:val="000000"/>
        </w:rPr>
        <w:t>Kleiner DE</w:t>
      </w:r>
      <w:r w:rsidRPr="00D57009">
        <w:rPr>
          <w:rFonts w:ascii="Book Antiqua" w:eastAsia="Book Antiqua" w:hAnsi="Book Antiqua" w:cs="Book Antiqua"/>
          <w:color w:val="000000"/>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2005; </w:t>
      </w:r>
      <w:r w:rsidRPr="00D57009">
        <w:rPr>
          <w:rFonts w:ascii="Book Antiqua" w:eastAsia="Book Antiqua" w:hAnsi="Book Antiqua" w:cs="Book Antiqua"/>
          <w:b/>
          <w:bCs/>
          <w:color w:val="000000"/>
        </w:rPr>
        <w:t>41</w:t>
      </w:r>
      <w:r w:rsidRPr="00D57009">
        <w:rPr>
          <w:rFonts w:ascii="Book Antiqua" w:eastAsia="Book Antiqua" w:hAnsi="Book Antiqua" w:cs="Book Antiqua"/>
          <w:color w:val="000000"/>
        </w:rPr>
        <w:t>: 1313-1321 [PMID: 15915461 DOI: 10.1002/hep.20701]</w:t>
      </w:r>
    </w:p>
    <w:p w14:paraId="2347831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9 </w:t>
      </w:r>
      <w:r w:rsidRPr="00D57009">
        <w:rPr>
          <w:rFonts w:ascii="Book Antiqua" w:eastAsia="Book Antiqua" w:hAnsi="Book Antiqua" w:cs="Book Antiqua"/>
          <w:b/>
          <w:bCs/>
          <w:color w:val="000000"/>
        </w:rPr>
        <w:t>Bedossa P</w:t>
      </w:r>
      <w:r w:rsidRPr="00D57009">
        <w:rPr>
          <w:rFonts w:ascii="Book Antiqua" w:eastAsia="Book Antiqua" w:hAnsi="Book Antiqua" w:cs="Book Antiqua"/>
          <w:color w:val="000000"/>
        </w:rPr>
        <w:t xml:space="preserve">, Poitou C, Veyrie N, Bouillot JL, Basdevant A, Paradis V, Tordjman J, Clement K. Histopathological algorithm and scoring system for evaluation of liver lesions in morbidly obese patients.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2012; </w:t>
      </w:r>
      <w:r w:rsidRPr="00D57009">
        <w:rPr>
          <w:rFonts w:ascii="Book Antiqua" w:eastAsia="Book Antiqua" w:hAnsi="Book Antiqua" w:cs="Book Antiqua"/>
          <w:b/>
          <w:bCs/>
          <w:color w:val="000000"/>
        </w:rPr>
        <w:t>56</w:t>
      </w:r>
      <w:r w:rsidRPr="00D57009">
        <w:rPr>
          <w:rFonts w:ascii="Book Antiqua" w:eastAsia="Book Antiqua" w:hAnsi="Book Antiqua" w:cs="Book Antiqua"/>
          <w:color w:val="000000"/>
        </w:rPr>
        <w:t>: 1751-1759 [PMID: 22707395 DOI: 10.1002/hep.25889]</w:t>
      </w:r>
    </w:p>
    <w:p w14:paraId="097D8B7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10 </w:t>
      </w:r>
      <w:r w:rsidRPr="00D57009">
        <w:rPr>
          <w:rFonts w:ascii="Book Antiqua" w:eastAsia="Book Antiqua" w:hAnsi="Book Antiqua" w:cs="Book Antiqua"/>
          <w:b/>
          <w:bCs/>
          <w:color w:val="000000"/>
        </w:rPr>
        <w:t>Zhou Z</w:t>
      </w:r>
      <w:r w:rsidRPr="00D57009">
        <w:rPr>
          <w:rFonts w:ascii="Book Antiqua" w:eastAsia="Book Antiqua" w:hAnsi="Book Antiqua" w:cs="Book Antiqua"/>
          <w:color w:val="000000"/>
        </w:rPr>
        <w:t xml:space="preserve">, Wang Y, Jiang Y, Diao Y, Strappe P, Prenzler P, Ayton J, Blanchard C. Deep-fried oil consumption in rats impairs glycerolipid metabolism, gut histology and microbiota structure. </w:t>
      </w:r>
      <w:r w:rsidRPr="00D57009">
        <w:rPr>
          <w:rFonts w:ascii="Book Antiqua" w:eastAsia="Book Antiqua" w:hAnsi="Book Antiqua" w:cs="Book Antiqua"/>
          <w:i/>
          <w:iCs/>
          <w:color w:val="000000"/>
        </w:rPr>
        <w:t>Lipids Health Dis</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15</w:t>
      </w:r>
      <w:r w:rsidRPr="00D57009">
        <w:rPr>
          <w:rFonts w:ascii="Book Antiqua" w:eastAsia="Book Antiqua" w:hAnsi="Book Antiqua" w:cs="Book Antiqua"/>
          <w:color w:val="000000"/>
        </w:rPr>
        <w:t>: 86 [PMID: 27121709 DOI: 10.1186/s12944-016-0252-1]</w:t>
      </w:r>
    </w:p>
    <w:p w14:paraId="305CF2C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11 </w:t>
      </w:r>
      <w:r w:rsidRPr="00D57009">
        <w:rPr>
          <w:rFonts w:ascii="Book Antiqua" w:eastAsia="Book Antiqua" w:hAnsi="Book Antiqua" w:cs="Book Antiqua"/>
          <w:b/>
          <w:bCs/>
          <w:color w:val="000000"/>
        </w:rPr>
        <w:t>Assies J</w:t>
      </w:r>
      <w:r w:rsidRPr="00D57009">
        <w:rPr>
          <w:rFonts w:ascii="Book Antiqua" w:eastAsia="Book Antiqua" w:hAnsi="Book Antiqua" w:cs="Book Antiqua"/>
          <w:color w:val="000000"/>
        </w:rPr>
        <w:t xml:space="preserve">, Mocking RJ, Lok A, Ruhé HG, Pouwer F, Schene AH. Effects of oxidative stress on fatty acid- and one-carbon-metabolism in psychiatric and cardiovascular disease comorbidity. </w:t>
      </w:r>
      <w:r w:rsidRPr="00D57009">
        <w:rPr>
          <w:rFonts w:ascii="Book Antiqua" w:eastAsia="Book Antiqua" w:hAnsi="Book Antiqua" w:cs="Book Antiqua"/>
          <w:i/>
          <w:iCs/>
          <w:color w:val="000000"/>
        </w:rPr>
        <w:t>Acta Psychiatr Scand</w:t>
      </w:r>
      <w:r w:rsidRPr="00D57009">
        <w:rPr>
          <w:rFonts w:ascii="Book Antiqua" w:eastAsia="Book Antiqua" w:hAnsi="Book Antiqua" w:cs="Book Antiqua"/>
          <w:color w:val="000000"/>
        </w:rPr>
        <w:t xml:space="preserve"> 2014; </w:t>
      </w:r>
      <w:r w:rsidRPr="00D57009">
        <w:rPr>
          <w:rFonts w:ascii="Book Antiqua" w:eastAsia="Book Antiqua" w:hAnsi="Book Antiqua" w:cs="Book Antiqua"/>
          <w:b/>
          <w:bCs/>
          <w:color w:val="000000"/>
        </w:rPr>
        <w:t>130</w:t>
      </w:r>
      <w:r w:rsidRPr="00D57009">
        <w:rPr>
          <w:rFonts w:ascii="Book Antiqua" w:eastAsia="Book Antiqua" w:hAnsi="Book Antiqua" w:cs="Book Antiqua"/>
          <w:color w:val="000000"/>
        </w:rPr>
        <w:t>: 163-180 [PMID: 24649967 DOI: 10.1111/acps.12265]</w:t>
      </w:r>
    </w:p>
    <w:p w14:paraId="78D9C6B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12 </w:t>
      </w:r>
      <w:r w:rsidRPr="00D57009">
        <w:rPr>
          <w:rFonts w:ascii="Book Antiqua" w:eastAsia="Book Antiqua" w:hAnsi="Book Antiqua" w:cs="Book Antiqua"/>
          <w:b/>
          <w:bCs/>
          <w:color w:val="000000"/>
        </w:rPr>
        <w:t>Hennebelle M</w:t>
      </w:r>
      <w:r w:rsidRPr="00D57009">
        <w:rPr>
          <w:rFonts w:ascii="Book Antiqua" w:eastAsia="Book Antiqua" w:hAnsi="Book Antiqua" w:cs="Book Antiqua"/>
          <w:color w:val="000000"/>
        </w:rPr>
        <w:t xml:space="preserve">, Otoki Y, Yang J, Hammock BD, Levitt AJ, Taha AY, Swardfager W. Altered soluble epoxide hydrolase-derived oxylipins in patients with seasonal major depression: An exploratory study. </w:t>
      </w:r>
      <w:r w:rsidRPr="00D57009">
        <w:rPr>
          <w:rFonts w:ascii="Book Antiqua" w:eastAsia="Book Antiqua" w:hAnsi="Book Antiqua" w:cs="Book Antiqua"/>
          <w:i/>
          <w:iCs/>
          <w:color w:val="000000"/>
        </w:rPr>
        <w:t>Psychiatry Res</w:t>
      </w:r>
      <w:r w:rsidRPr="00D57009">
        <w:rPr>
          <w:rFonts w:ascii="Book Antiqua" w:eastAsia="Book Antiqua" w:hAnsi="Book Antiqua" w:cs="Book Antiqua"/>
          <w:color w:val="000000"/>
        </w:rPr>
        <w:t xml:space="preserve"> 2017; </w:t>
      </w:r>
      <w:r w:rsidRPr="00D57009">
        <w:rPr>
          <w:rFonts w:ascii="Book Antiqua" w:eastAsia="Book Antiqua" w:hAnsi="Book Antiqua" w:cs="Book Antiqua"/>
          <w:b/>
          <w:bCs/>
          <w:color w:val="000000"/>
        </w:rPr>
        <w:t>252</w:t>
      </w:r>
      <w:r w:rsidRPr="00D57009">
        <w:rPr>
          <w:rFonts w:ascii="Book Antiqua" w:eastAsia="Book Antiqua" w:hAnsi="Book Antiqua" w:cs="Book Antiqua"/>
          <w:color w:val="000000"/>
        </w:rPr>
        <w:t>: 94-101 [PMID: 28259037 DOI: 10.1016/j.psychres.2017.02.056]</w:t>
      </w:r>
    </w:p>
    <w:p w14:paraId="55A9CDF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13 </w:t>
      </w:r>
      <w:r w:rsidRPr="00D57009">
        <w:rPr>
          <w:rFonts w:ascii="Book Antiqua" w:eastAsia="Book Antiqua" w:hAnsi="Book Antiqua" w:cs="Book Antiqua"/>
          <w:b/>
          <w:bCs/>
          <w:color w:val="000000"/>
        </w:rPr>
        <w:t>Puri P</w:t>
      </w:r>
      <w:r w:rsidRPr="00D57009">
        <w:rPr>
          <w:rFonts w:ascii="Book Antiqua" w:eastAsia="Book Antiqua" w:hAnsi="Book Antiqua" w:cs="Book Antiqua"/>
          <w:color w:val="000000"/>
        </w:rPr>
        <w:t xml:space="preserve">, Wiest MM, Cheung O, Mirshahi F, Sargeant C, Min HK, Contos MJ, Sterling RK, Fuchs M, Zhou H, Watkins SM, Sanyal AJ. The plasma lipidomic signature of nonalcoholic steatohepatitis. </w:t>
      </w:r>
      <w:r w:rsidRPr="00D57009">
        <w:rPr>
          <w:rFonts w:ascii="Book Antiqua" w:eastAsia="Book Antiqua" w:hAnsi="Book Antiqua" w:cs="Book Antiqua"/>
          <w:i/>
          <w:iCs/>
          <w:color w:val="000000"/>
        </w:rPr>
        <w:t>Hepatology</w:t>
      </w:r>
      <w:r w:rsidRPr="00D57009">
        <w:rPr>
          <w:rFonts w:ascii="Book Antiqua" w:eastAsia="Book Antiqua" w:hAnsi="Book Antiqua" w:cs="Book Antiqua"/>
          <w:color w:val="000000"/>
        </w:rPr>
        <w:t xml:space="preserve"> 2009; </w:t>
      </w:r>
      <w:r w:rsidRPr="00D57009">
        <w:rPr>
          <w:rFonts w:ascii="Book Antiqua" w:eastAsia="Book Antiqua" w:hAnsi="Book Antiqua" w:cs="Book Antiqua"/>
          <w:b/>
          <w:bCs/>
          <w:color w:val="000000"/>
        </w:rPr>
        <w:t>50</w:t>
      </w:r>
      <w:r w:rsidRPr="00D57009">
        <w:rPr>
          <w:rFonts w:ascii="Book Antiqua" w:eastAsia="Book Antiqua" w:hAnsi="Book Antiqua" w:cs="Book Antiqua"/>
          <w:color w:val="000000"/>
        </w:rPr>
        <w:t>: 1827-1838 [PMID: 19937697 DOI: 10.1002/hep.23229]</w:t>
      </w:r>
    </w:p>
    <w:p w14:paraId="6E50965C"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 xml:space="preserve">14 </w:t>
      </w:r>
      <w:r w:rsidRPr="00D57009">
        <w:rPr>
          <w:rFonts w:ascii="Book Antiqua" w:eastAsia="Book Antiqua" w:hAnsi="Book Antiqua" w:cs="Book Antiqua"/>
          <w:b/>
          <w:bCs/>
          <w:color w:val="000000"/>
        </w:rPr>
        <w:t>Blair HC</w:t>
      </w:r>
      <w:r w:rsidRPr="00D57009">
        <w:rPr>
          <w:rFonts w:ascii="Book Antiqua" w:eastAsia="Book Antiqua" w:hAnsi="Book Antiqua" w:cs="Book Antiqua"/>
          <w:color w:val="000000"/>
        </w:rPr>
        <w:t xml:space="preserve">, Sepulveda J, Papachristou DJ. Nature and nurture in atherosclerosis: The roles of acylcarnitine and cell membrane-fatty acid intermediates. </w:t>
      </w:r>
      <w:r w:rsidRPr="00D57009">
        <w:rPr>
          <w:rFonts w:ascii="Book Antiqua" w:eastAsia="Book Antiqua" w:hAnsi="Book Antiqua" w:cs="Book Antiqua"/>
          <w:i/>
          <w:iCs/>
          <w:color w:val="000000"/>
        </w:rPr>
        <w:t>Vascul Pharmacol</w:t>
      </w:r>
      <w:r w:rsidRPr="00D57009">
        <w:rPr>
          <w:rFonts w:ascii="Book Antiqua" w:eastAsia="Book Antiqua" w:hAnsi="Book Antiqua" w:cs="Book Antiqua"/>
          <w:color w:val="000000"/>
        </w:rPr>
        <w:t xml:space="preserve"> 2016; </w:t>
      </w:r>
      <w:r w:rsidRPr="00D57009">
        <w:rPr>
          <w:rFonts w:ascii="Book Antiqua" w:eastAsia="Book Antiqua" w:hAnsi="Book Antiqua" w:cs="Book Antiqua"/>
          <w:b/>
          <w:bCs/>
          <w:color w:val="000000"/>
        </w:rPr>
        <w:t>78</w:t>
      </w:r>
      <w:r w:rsidRPr="00D57009">
        <w:rPr>
          <w:rFonts w:ascii="Book Antiqua" w:eastAsia="Book Antiqua" w:hAnsi="Book Antiqua" w:cs="Book Antiqua"/>
          <w:color w:val="000000"/>
        </w:rPr>
        <w:t>: 17-23 [PMID: 26133667 DOI: 10.1016/j.vph.2015.06.012]</w:t>
      </w:r>
    </w:p>
    <w:p w14:paraId="24A548C0" w14:textId="77777777" w:rsidR="00E11B98" w:rsidRDefault="00E11B98">
      <w:pPr>
        <w:snapToGrid w:val="0"/>
        <w:spacing w:line="360" w:lineRule="auto"/>
        <w:jc w:val="both"/>
        <w:rPr>
          <w:rFonts w:ascii="Book Antiqua" w:hAnsi="Book Antiqua"/>
        </w:rPr>
        <w:sectPr w:rsidR="00E11B98">
          <w:pgSz w:w="12240" w:h="15840"/>
          <w:pgMar w:top="1440" w:right="1800" w:bottom="1440" w:left="1800" w:header="720" w:footer="720" w:gutter="0"/>
          <w:cols w:space="720"/>
          <w:docGrid w:linePitch="360"/>
        </w:sectPr>
      </w:pPr>
    </w:p>
    <w:p w14:paraId="73E4B501" w14:textId="77777777" w:rsidR="009D1D10" w:rsidRPr="00D57009" w:rsidRDefault="00AF4927">
      <w:pPr>
        <w:snapToGrid w:val="0"/>
        <w:spacing w:line="360" w:lineRule="auto"/>
        <w:jc w:val="both"/>
        <w:rPr>
          <w:rFonts w:ascii="Book Antiqua" w:hAnsi="Book Antiqua"/>
        </w:rPr>
      </w:pPr>
      <w:r w:rsidRPr="00123B18">
        <w:rPr>
          <w:rFonts w:ascii="Book Antiqua" w:eastAsia="Book Antiqua" w:hAnsi="Book Antiqua" w:cs="Book Antiqua"/>
          <w:b/>
          <w:color w:val="000000"/>
        </w:rPr>
        <w:t>Footnotes</w:t>
      </w:r>
    </w:p>
    <w:p w14:paraId="2800DD9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Institutional animal care and use committee statement: </w:t>
      </w:r>
      <w:r w:rsidRPr="00D57009">
        <w:rPr>
          <w:rFonts w:ascii="Book Antiqua" w:eastAsia="Book Antiqua" w:hAnsi="Book Antiqua" w:cs="Book Antiqua"/>
          <w:color w:val="000000"/>
        </w:rPr>
        <w:t>The study was approved by the Animal Care Committees at China-</w:t>
      </w:r>
      <w:r w:rsidRPr="00D57009">
        <w:rPr>
          <w:rFonts w:ascii="Book Antiqua" w:eastAsia="Book Antiqua" w:hAnsi="Book Antiqua" w:cs="Book Antiqua"/>
          <w:caps/>
          <w:color w:val="000000"/>
        </w:rPr>
        <w:t>j</w:t>
      </w:r>
      <w:r w:rsidRPr="00D57009">
        <w:rPr>
          <w:rFonts w:ascii="Book Antiqua" w:eastAsia="Book Antiqua" w:hAnsi="Book Antiqua" w:cs="Book Antiqua"/>
          <w:color w:val="000000"/>
        </w:rPr>
        <w:t xml:space="preserve">apan </w:t>
      </w:r>
      <w:r w:rsidRPr="00D57009">
        <w:rPr>
          <w:rFonts w:ascii="Book Antiqua" w:eastAsia="Book Antiqua" w:hAnsi="Book Antiqua" w:cs="Book Antiqua"/>
          <w:caps/>
          <w:color w:val="000000"/>
        </w:rPr>
        <w:t>f</w:t>
      </w:r>
      <w:r w:rsidRPr="00D57009">
        <w:rPr>
          <w:rFonts w:ascii="Book Antiqua" w:eastAsia="Book Antiqua" w:hAnsi="Book Antiqua" w:cs="Book Antiqua"/>
          <w:color w:val="000000"/>
        </w:rPr>
        <w:t xml:space="preserve">riendship </w:t>
      </w:r>
      <w:r w:rsidRPr="00D57009">
        <w:rPr>
          <w:rFonts w:ascii="Book Antiqua" w:eastAsia="Book Antiqua" w:hAnsi="Book Antiqua" w:cs="Book Antiqua"/>
          <w:caps/>
          <w:color w:val="000000"/>
        </w:rPr>
        <w:t>h</w:t>
      </w:r>
      <w:r w:rsidRPr="00D57009">
        <w:rPr>
          <w:rFonts w:ascii="Book Antiqua" w:eastAsia="Book Antiqua" w:hAnsi="Book Antiqua" w:cs="Book Antiqua"/>
          <w:color w:val="000000"/>
        </w:rPr>
        <w:t>ospital (Approval No: 190201).</w:t>
      </w:r>
    </w:p>
    <w:p w14:paraId="444228B3" w14:textId="77777777" w:rsidR="009D1D10" w:rsidRPr="00D57009" w:rsidRDefault="009D1D10">
      <w:pPr>
        <w:snapToGrid w:val="0"/>
        <w:spacing w:line="360" w:lineRule="auto"/>
        <w:jc w:val="both"/>
        <w:rPr>
          <w:rFonts w:ascii="Book Antiqua" w:hAnsi="Book Antiqua"/>
        </w:rPr>
      </w:pPr>
    </w:p>
    <w:p w14:paraId="39202701"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Conflict-of-interest statement: </w:t>
      </w:r>
      <w:r w:rsidRPr="00D57009">
        <w:rPr>
          <w:rFonts w:ascii="Book Antiqua" w:eastAsia="Book Antiqua" w:hAnsi="Book Antiqua" w:cs="Book Antiqua"/>
          <w:color w:val="000000"/>
        </w:rPr>
        <w:t>All authors report no conflicts of interest.</w:t>
      </w:r>
    </w:p>
    <w:p w14:paraId="2185323F" w14:textId="77777777" w:rsidR="009D1D10" w:rsidRPr="00D57009" w:rsidRDefault="009D1D10">
      <w:pPr>
        <w:snapToGrid w:val="0"/>
        <w:spacing w:line="360" w:lineRule="auto"/>
        <w:jc w:val="both"/>
        <w:rPr>
          <w:rFonts w:ascii="Book Antiqua" w:hAnsi="Book Antiqua"/>
        </w:rPr>
      </w:pPr>
    </w:p>
    <w:p w14:paraId="0DE56F6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Data sharing statement: </w:t>
      </w:r>
      <w:bookmarkStart w:id="53" w:name="OLE_LINK50"/>
      <w:bookmarkStart w:id="54" w:name="OLE_LINK51"/>
      <w:r w:rsidRPr="00D57009">
        <w:rPr>
          <w:rFonts w:ascii="Book Antiqua" w:eastAsia="Book Antiqua" w:hAnsi="Book Antiqua" w:cs="Book Antiqua"/>
          <w:color w:val="000000"/>
        </w:rPr>
        <w:t>Technical appendix, statistical code, and dataset available from the first</w:t>
      </w:r>
      <w:r w:rsidRPr="00D57009">
        <w:rPr>
          <w:rFonts w:ascii="Book Antiqua" w:hAnsi="Book Antiqua"/>
          <w:lang w:eastAsia="zh-CN"/>
        </w:rPr>
        <w:t xml:space="preserve"> </w:t>
      </w:r>
      <w:r w:rsidRPr="00D57009">
        <w:rPr>
          <w:rFonts w:ascii="Book Antiqua" w:eastAsia="Book Antiqua" w:hAnsi="Book Antiqua" w:cs="Book Antiqua"/>
          <w:color w:val="000000"/>
        </w:rPr>
        <w:t>author at lijuner_080629@163.com.</w:t>
      </w:r>
    </w:p>
    <w:bookmarkEnd w:id="53"/>
    <w:bookmarkEnd w:id="54"/>
    <w:p w14:paraId="35EFBE6D" w14:textId="77777777" w:rsidR="009D1D10" w:rsidRPr="00D57009" w:rsidRDefault="009D1D10">
      <w:pPr>
        <w:snapToGrid w:val="0"/>
        <w:spacing w:line="360" w:lineRule="auto"/>
        <w:jc w:val="both"/>
        <w:rPr>
          <w:rFonts w:ascii="Book Antiqua" w:hAnsi="Book Antiqua"/>
        </w:rPr>
      </w:pPr>
    </w:p>
    <w:p w14:paraId="496926AD"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ARRIVE guidelines statement: </w:t>
      </w:r>
      <w:r w:rsidRPr="00D57009">
        <w:rPr>
          <w:rFonts w:ascii="Book Antiqua" w:eastAsia="Book Antiqua" w:hAnsi="Book Antiqua" w:cs="Book Antiqua"/>
          <w:color w:val="000000"/>
        </w:rPr>
        <w:t>The authors have read the ARRIVE guidelines, and the manuscript was prepared and revised according to the ARRIVE guidelines.</w:t>
      </w:r>
    </w:p>
    <w:p w14:paraId="61FD94D6" w14:textId="77777777" w:rsidR="009D1D10" w:rsidRPr="00D57009" w:rsidRDefault="009D1D10">
      <w:pPr>
        <w:snapToGrid w:val="0"/>
        <w:spacing w:line="360" w:lineRule="auto"/>
        <w:jc w:val="both"/>
        <w:rPr>
          <w:rFonts w:ascii="Book Antiqua" w:hAnsi="Book Antiqua"/>
        </w:rPr>
      </w:pPr>
    </w:p>
    <w:p w14:paraId="5843B559"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Open-Access: </w:t>
      </w:r>
      <w:r w:rsidRPr="00D570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910ED8" w14:textId="77777777" w:rsidR="009D1D10" w:rsidRPr="00D57009" w:rsidRDefault="009D1D10">
      <w:pPr>
        <w:snapToGrid w:val="0"/>
        <w:spacing w:line="360" w:lineRule="auto"/>
        <w:jc w:val="both"/>
        <w:rPr>
          <w:rFonts w:ascii="Book Antiqua" w:hAnsi="Book Antiqua"/>
        </w:rPr>
      </w:pPr>
    </w:p>
    <w:p w14:paraId="2FF3437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Manuscript source: </w:t>
      </w:r>
      <w:r w:rsidRPr="00D57009">
        <w:rPr>
          <w:rFonts w:ascii="Book Antiqua" w:eastAsia="Book Antiqua" w:hAnsi="Book Antiqua" w:cs="Book Antiqua"/>
          <w:color w:val="000000"/>
        </w:rPr>
        <w:t>Unsolicited manuscript</w:t>
      </w:r>
    </w:p>
    <w:p w14:paraId="226F3120" w14:textId="77777777" w:rsidR="009D1D10" w:rsidRPr="00D57009" w:rsidRDefault="009D1D10">
      <w:pPr>
        <w:snapToGrid w:val="0"/>
        <w:spacing w:line="360" w:lineRule="auto"/>
        <w:jc w:val="both"/>
        <w:rPr>
          <w:rFonts w:ascii="Book Antiqua" w:hAnsi="Book Antiqua"/>
        </w:rPr>
      </w:pPr>
    </w:p>
    <w:p w14:paraId="1EBC61C2"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Peer-review started: </w:t>
      </w:r>
      <w:r w:rsidRPr="00D57009">
        <w:rPr>
          <w:rFonts w:ascii="Book Antiqua" w:eastAsia="Book Antiqua" w:hAnsi="Book Antiqua" w:cs="Book Antiqua"/>
          <w:color w:val="000000"/>
        </w:rPr>
        <w:t>August 17, 2020</w:t>
      </w:r>
    </w:p>
    <w:p w14:paraId="3BFF0DB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First decision: </w:t>
      </w:r>
      <w:r w:rsidRPr="00D57009">
        <w:rPr>
          <w:rFonts w:ascii="Book Antiqua" w:eastAsia="Book Antiqua" w:hAnsi="Book Antiqua" w:cs="Book Antiqua"/>
          <w:color w:val="000000"/>
        </w:rPr>
        <w:t>October 18, 2020</w:t>
      </w:r>
    </w:p>
    <w:p w14:paraId="42BF09B1" w14:textId="4B2FD999"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Article in press: </w:t>
      </w:r>
      <w:r w:rsidR="008674D1" w:rsidRPr="00D57009">
        <w:rPr>
          <w:rFonts w:ascii="Book Antiqua" w:eastAsia="Book Antiqua" w:hAnsi="Book Antiqua" w:cs="Book Antiqua"/>
          <w:color w:val="000000"/>
        </w:rPr>
        <w:t>November 9, 2020</w:t>
      </w:r>
    </w:p>
    <w:p w14:paraId="35E392B5" w14:textId="77777777" w:rsidR="009D1D10" w:rsidRPr="00D57009" w:rsidRDefault="009D1D10">
      <w:pPr>
        <w:snapToGrid w:val="0"/>
        <w:spacing w:line="360" w:lineRule="auto"/>
        <w:jc w:val="both"/>
        <w:rPr>
          <w:rFonts w:ascii="Book Antiqua" w:hAnsi="Book Antiqua"/>
        </w:rPr>
      </w:pPr>
    </w:p>
    <w:p w14:paraId="76800790"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Specialty type: </w:t>
      </w:r>
      <w:r w:rsidRPr="00D57009">
        <w:rPr>
          <w:rFonts w:ascii="Book Antiqua" w:eastAsia="Book Antiqua" w:hAnsi="Book Antiqua" w:cs="Book Antiqua"/>
          <w:color w:val="000000"/>
        </w:rPr>
        <w:t>Gastroenterology and hepatology</w:t>
      </w:r>
    </w:p>
    <w:p w14:paraId="28AF090A"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 xml:space="preserve">Country/Territory of origin: </w:t>
      </w:r>
      <w:r w:rsidRPr="00D57009">
        <w:rPr>
          <w:rFonts w:ascii="Book Antiqua" w:eastAsia="Book Antiqua" w:hAnsi="Book Antiqua" w:cs="Book Antiqua"/>
          <w:color w:val="000000"/>
        </w:rPr>
        <w:t>China</w:t>
      </w:r>
    </w:p>
    <w:p w14:paraId="5DFA837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b/>
          <w:color w:val="000000"/>
        </w:rPr>
        <w:t>Peer-review report’s scientific quality classification</w:t>
      </w:r>
    </w:p>
    <w:p w14:paraId="6E93882F"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A (Excellent): 0</w:t>
      </w:r>
    </w:p>
    <w:p w14:paraId="2CDC663E"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B (Very good): B, B</w:t>
      </w:r>
    </w:p>
    <w:p w14:paraId="1E4B130B"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C (Good): 0</w:t>
      </w:r>
    </w:p>
    <w:p w14:paraId="41266184"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D (Fair): 0</w:t>
      </w:r>
    </w:p>
    <w:p w14:paraId="7877DA98" w14:textId="77777777" w:rsidR="009D1D10" w:rsidRPr="00D57009" w:rsidRDefault="00AF4927">
      <w:pPr>
        <w:snapToGrid w:val="0"/>
        <w:spacing w:line="360" w:lineRule="auto"/>
        <w:jc w:val="both"/>
        <w:rPr>
          <w:rFonts w:ascii="Book Antiqua" w:hAnsi="Book Antiqua"/>
        </w:rPr>
      </w:pPr>
      <w:r w:rsidRPr="00D57009">
        <w:rPr>
          <w:rFonts w:ascii="Book Antiqua" w:eastAsia="Book Antiqua" w:hAnsi="Book Antiqua" w:cs="Book Antiqua"/>
          <w:color w:val="000000"/>
        </w:rPr>
        <w:t>Grade E (Poor): 0</w:t>
      </w:r>
    </w:p>
    <w:p w14:paraId="2909EAA9" w14:textId="77777777" w:rsidR="009D1D10" w:rsidRPr="00D57009" w:rsidRDefault="009D1D10">
      <w:pPr>
        <w:snapToGrid w:val="0"/>
        <w:spacing w:line="360" w:lineRule="auto"/>
        <w:jc w:val="both"/>
        <w:rPr>
          <w:rFonts w:ascii="Book Antiqua" w:hAnsi="Book Antiqua"/>
        </w:rPr>
      </w:pPr>
    </w:p>
    <w:p w14:paraId="7C7C2F88" w14:textId="4AF64B18" w:rsidR="009D1D10" w:rsidRPr="00036772" w:rsidRDefault="00AF4927">
      <w:pPr>
        <w:snapToGrid w:val="0"/>
        <w:spacing w:line="360" w:lineRule="auto"/>
        <w:jc w:val="both"/>
        <w:rPr>
          <w:rFonts w:ascii="Book Antiqua" w:hAnsi="Book Antiqua" w:cs="Book Antiqua"/>
          <w:b/>
          <w:color w:val="000000"/>
          <w:lang w:eastAsia="zh-CN"/>
        </w:rPr>
      </w:pPr>
      <w:r w:rsidRPr="00D57009">
        <w:rPr>
          <w:rFonts w:ascii="Book Antiqua" w:eastAsia="Book Antiqua" w:hAnsi="Book Antiqua" w:cs="Book Antiqua"/>
          <w:b/>
          <w:color w:val="000000"/>
        </w:rPr>
        <w:t xml:space="preserve">P-Reviewer: </w:t>
      </w:r>
      <w:r w:rsidRPr="00D57009">
        <w:rPr>
          <w:rFonts w:ascii="Book Antiqua" w:eastAsia="Book Antiqua" w:hAnsi="Book Antiqua" w:cs="Book Antiqua"/>
          <w:color w:val="000000"/>
        </w:rPr>
        <w:t>Bramhall SR, Can G</w:t>
      </w:r>
      <w:r w:rsidRPr="00D57009">
        <w:rPr>
          <w:rFonts w:ascii="Book Antiqua" w:eastAsia="Book Antiqua" w:hAnsi="Book Antiqua" w:cs="Book Antiqua"/>
          <w:b/>
          <w:color w:val="000000"/>
        </w:rPr>
        <w:t xml:space="preserve"> S-Editor: </w:t>
      </w:r>
      <w:r w:rsidRPr="00D57009">
        <w:rPr>
          <w:rFonts w:ascii="Book Antiqua" w:eastAsia="Book Antiqua" w:hAnsi="Book Antiqua" w:cs="Book Antiqua"/>
          <w:color w:val="000000"/>
        </w:rPr>
        <w:t>Zhang L</w:t>
      </w:r>
      <w:r w:rsidRPr="00D57009">
        <w:rPr>
          <w:rFonts w:ascii="Book Antiqua" w:eastAsia="Book Antiqua" w:hAnsi="Book Antiqua" w:cs="Book Antiqua"/>
          <w:b/>
          <w:color w:val="000000"/>
        </w:rPr>
        <w:t xml:space="preserve"> L-Editor: </w:t>
      </w:r>
      <w:r w:rsidR="00865587" w:rsidRPr="00D57009">
        <w:rPr>
          <w:rFonts w:ascii="Book Antiqua" w:eastAsia="Book Antiqua" w:hAnsi="Book Antiqua" w:cs="Book Antiqua"/>
          <w:bCs/>
          <w:color w:val="000000"/>
        </w:rPr>
        <w:t xml:space="preserve">Filipodia </w:t>
      </w:r>
      <w:r w:rsidRPr="00D57009">
        <w:rPr>
          <w:rFonts w:ascii="Book Antiqua" w:eastAsia="Book Antiqua" w:hAnsi="Book Antiqua" w:cs="Book Antiqua"/>
          <w:b/>
          <w:color w:val="000000"/>
        </w:rPr>
        <w:t xml:space="preserve">P-Editor: </w:t>
      </w:r>
      <w:r w:rsidR="00036772" w:rsidRPr="00036772">
        <w:rPr>
          <w:rFonts w:ascii="Book Antiqua" w:hAnsi="Book Antiqua" w:cs="Book Antiqua" w:hint="eastAsia"/>
          <w:color w:val="000000"/>
          <w:lang w:eastAsia="zh-CN"/>
        </w:rPr>
        <w:t>Liu JH</w:t>
      </w:r>
    </w:p>
    <w:p w14:paraId="3A805424" w14:textId="77777777" w:rsidR="00036772" w:rsidRPr="00036772" w:rsidRDefault="00036772">
      <w:pPr>
        <w:snapToGrid w:val="0"/>
        <w:spacing w:line="360" w:lineRule="auto"/>
        <w:jc w:val="both"/>
        <w:rPr>
          <w:rFonts w:ascii="Book Antiqua" w:hAnsi="Book Antiqua" w:cs="Book Antiqua"/>
          <w:b/>
          <w:color w:val="000000"/>
          <w:lang w:eastAsia="zh-CN"/>
        </w:rPr>
      </w:pPr>
    </w:p>
    <w:p w14:paraId="433861F4" w14:textId="77777777" w:rsidR="00E11B98" w:rsidRDefault="00E11B98">
      <w:pPr>
        <w:snapToGrid w:val="0"/>
        <w:spacing w:line="360" w:lineRule="auto"/>
        <w:jc w:val="both"/>
        <w:rPr>
          <w:rFonts w:ascii="Book Antiqua" w:hAnsi="Book Antiqua"/>
        </w:rPr>
        <w:sectPr w:rsidR="00E11B98">
          <w:pgSz w:w="12240" w:h="15840"/>
          <w:pgMar w:top="1440" w:right="1800" w:bottom="1440" w:left="1800" w:header="720" w:footer="720" w:gutter="0"/>
          <w:cols w:space="720"/>
          <w:docGrid w:linePitch="360"/>
        </w:sectPr>
      </w:pPr>
    </w:p>
    <w:p w14:paraId="651296B2" w14:textId="77777777" w:rsidR="009D1D10" w:rsidRPr="00F736F1" w:rsidRDefault="00AF4927">
      <w:pPr>
        <w:snapToGrid w:val="0"/>
        <w:spacing w:line="360" w:lineRule="auto"/>
        <w:jc w:val="both"/>
        <w:rPr>
          <w:rFonts w:ascii="Book Antiqua" w:hAnsi="Book Antiqua"/>
        </w:rPr>
      </w:pPr>
      <w:r w:rsidRPr="00123B18">
        <w:rPr>
          <w:rFonts w:ascii="Book Antiqua" w:eastAsia="Book Antiqua" w:hAnsi="Book Antiqua" w:cs="Book Antiqua"/>
          <w:b/>
          <w:color w:val="000000"/>
        </w:rPr>
        <w:t>Figure Legends</w:t>
      </w:r>
    </w:p>
    <w:p w14:paraId="152C0854" w14:textId="77777777" w:rsidR="009D1D10" w:rsidRPr="00123B18" w:rsidRDefault="00AF4927">
      <w:pPr>
        <w:snapToGrid w:val="0"/>
        <w:spacing w:line="360" w:lineRule="auto"/>
        <w:jc w:val="both"/>
        <w:rPr>
          <w:rFonts w:ascii="Book Antiqua" w:eastAsia="Book Antiqua" w:hAnsi="Book Antiqua" w:cs="Book Antiqua"/>
          <w:b/>
          <w:bCs/>
          <w:color w:val="000000"/>
        </w:rPr>
      </w:pPr>
      <w:r w:rsidRPr="00A80307">
        <w:rPr>
          <w:rFonts w:ascii="Book Antiqua" w:eastAsia="Book Antiqua" w:hAnsi="Book Antiqua" w:cs="Book Antiqua"/>
          <w:b/>
          <w:bCs/>
          <w:noProof/>
          <w:color w:val="000000"/>
          <w:lang w:eastAsia="zh-CN"/>
        </w:rPr>
        <w:drawing>
          <wp:inline distT="0" distB="0" distL="0" distR="0" wp14:anchorId="14395272" wp14:editId="761C8F37">
            <wp:extent cx="5486400" cy="5043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5043805"/>
                    </a:xfrm>
                    <a:prstGeom prst="rect">
                      <a:avLst/>
                    </a:prstGeom>
                  </pic:spPr>
                </pic:pic>
              </a:graphicData>
            </a:graphic>
          </wp:inline>
        </w:drawing>
      </w:r>
    </w:p>
    <w:p w14:paraId="554833F0" w14:textId="48BF3FDF" w:rsidR="009D1D10" w:rsidRPr="00D57009" w:rsidRDefault="00AF4927">
      <w:pPr>
        <w:snapToGrid w:val="0"/>
        <w:spacing w:line="360" w:lineRule="auto"/>
        <w:jc w:val="both"/>
        <w:rPr>
          <w:rFonts w:ascii="Book Antiqua" w:eastAsia="Book Antiqua" w:hAnsi="Book Antiqua" w:cs="Book Antiqua"/>
          <w:b/>
          <w:bCs/>
          <w:color w:val="000000"/>
        </w:rPr>
      </w:pPr>
      <w:bookmarkStart w:id="55" w:name="OLE_LINK52"/>
      <w:r w:rsidRPr="00B0239D">
        <w:rPr>
          <w:rFonts w:ascii="Book Antiqua" w:eastAsia="Book Antiqua" w:hAnsi="Book Antiqua" w:cs="Book Antiqua"/>
          <w:b/>
          <w:bCs/>
          <w:color w:val="000000"/>
        </w:rPr>
        <w:t>Figure 1 Preparation of dry-fried soybeans feed and food intake of rats in the three groups. </w:t>
      </w:r>
      <w:r w:rsidRPr="00B0239D">
        <w:rPr>
          <w:rFonts w:ascii="Book Antiqua" w:eastAsia="Book Antiqua" w:hAnsi="Book Antiqua" w:cs="Book Antiqua"/>
          <w:color w:val="000000"/>
        </w:rPr>
        <w:t xml:space="preserve">A: Preparation of dry-fried soybeans </w:t>
      </w:r>
      <w:r w:rsidR="00B0239D">
        <w:rPr>
          <w:rFonts w:ascii="Book Antiqua" w:eastAsia="Book Antiqua" w:hAnsi="Book Antiqua" w:cs="Book Antiqua"/>
          <w:color w:val="000000"/>
        </w:rPr>
        <w:t xml:space="preserve">(DFS) </w:t>
      </w:r>
      <w:r w:rsidRPr="00B0239D">
        <w:rPr>
          <w:rFonts w:ascii="Book Antiqua" w:eastAsia="Book Antiqua" w:hAnsi="Book Antiqua" w:cs="Book Antiqua"/>
          <w:color w:val="000000"/>
        </w:rPr>
        <w:t>feed. In our experiment, we used 150</w:t>
      </w:r>
      <w:r w:rsidR="00B83960" w:rsidRPr="00B0239D">
        <w:rPr>
          <w:rFonts w:ascii="Book Antiqua" w:eastAsia="Book Antiqua" w:hAnsi="Book Antiqua" w:cs="Book Antiqua"/>
          <w:color w:val="000000"/>
        </w:rPr>
        <w:t xml:space="preserve"> °C</w:t>
      </w:r>
      <w:r w:rsidRPr="00D57009">
        <w:rPr>
          <w:rFonts w:ascii="Book Antiqua" w:eastAsia="Book Antiqua" w:hAnsi="Book Antiqua" w:cs="Book Antiqua"/>
          <w:color w:val="000000"/>
        </w:rPr>
        <w:t xml:space="preserve">, 15 min for </w:t>
      </w:r>
      <w:r w:rsidR="00B0239D">
        <w:rPr>
          <w:rFonts w:ascii="Book Antiqua" w:eastAsia="Book Antiqua" w:hAnsi="Book Antiqua" w:cs="Book Antiqua"/>
          <w:color w:val="000000"/>
        </w:rPr>
        <w:t>DFS</w:t>
      </w:r>
      <w:r w:rsidRPr="00B0239D">
        <w:rPr>
          <w:rFonts w:ascii="Book Antiqua" w:eastAsia="Book Antiqua" w:hAnsi="Book Antiqua" w:cs="Book Antiqua"/>
          <w:color w:val="000000"/>
        </w:rPr>
        <w:t xml:space="preserve">; </w:t>
      </w:r>
      <w:r w:rsidRPr="00D57009">
        <w:rPr>
          <w:rFonts w:ascii="Book Antiqua" w:eastAsia="Book Antiqua" w:hAnsi="Book Antiqua" w:cs="Book Antiqua"/>
          <w:color w:val="000000"/>
        </w:rPr>
        <w:t>B: Food intake of rats in the three groups.</w:t>
      </w:r>
      <w:bookmarkEnd w:id="55"/>
      <w:r w:rsidRPr="00D57009">
        <w:rPr>
          <w:rFonts w:ascii="Book Antiqua" w:hAnsi="Book Antiqua"/>
          <w:lang w:eastAsia="zh-CN"/>
        </w:rPr>
        <w:t xml:space="preserve"> </w:t>
      </w:r>
      <w:r w:rsidRPr="00123B18">
        <w:rPr>
          <w:rFonts w:ascii="Book Antiqua" w:eastAsia="Book Antiqua" w:hAnsi="Book Antiqua" w:cs="Book Antiqua"/>
          <w:color w:val="000000"/>
        </w:rPr>
        <w:t xml:space="preserve">NDFS: </w:t>
      </w:r>
      <w:r w:rsidRPr="00123B18">
        <w:rPr>
          <w:rFonts w:ascii="Book Antiqua" w:eastAsia="宋体" w:hAnsi="Book Antiqua" w:cs="Book Antiqua"/>
          <w:color w:val="000000"/>
          <w:lang w:eastAsia="zh-CN"/>
        </w:rPr>
        <w:t>N</w:t>
      </w:r>
      <w:r w:rsidRPr="00B0239D">
        <w:rPr>
          <w:rFonts w:ascii="Book Antiqua" w:eastAsia="Book Antiqua" w:hAnsi="Book Antiqua" w:cs="Book Antiqua"/>
          <w:color w:val="000000"/>
        </w:rPr>
        <w:t>onfried soybeans</w:t>
      </w:r>
      <w:r w:rsidRPr="00D57009">
        <w:rPr>
          <w:rFonts w:ascii="Book Antiqua" w:eastAsia="Book Antiqua" w:hAnsi="Book Antiqua" w:cs="Book Antiqua"/>
          <w:color w:val="000000"/>
        </w:rPr>
        <w:t>.</w:t>
      </w:r>
    </w:p>
    <w:p w14:paraId="4DFD6B95" w14:textId="77777777" w:rsidR="009D1D10" w:rsidRPr="00D57009" w:rsidRDefault="009D1D10">
      <w:pPr>
        <w:snapToGrid w:val="0"/>
        <w:spacing w:line="360" w:lineRule="auto"/>
        <w:jc w:val="both"/>
        <w:rPr>
          <w:rFonts w:ascii="Book Antiqua" w:hAnsi="Book Antiqua"/>
          <w:lang w:eastAsia="zh-CN"/>
        </w:rPr>
      </w:pPr>
    </w:p>
    <w:p w14:paraId="0E151477" w14:textId="77777777" w:rsidR="009D1D10" w:rsidRPr="00123B18"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br w:type="page"/>
      </w:r>
      <w:r w:rsidRPr="00A80307">
        <w:rPr>
          <w:rFonts w:ascii="Book Antiqua" w:eastAsia="Book Antiqua" w:hAnsi="Book Antiqua" w:cs="Book Antiqua"/>
          <w:b/>
          <w:bCs/>
          <w:noProof/>
          <w:color w:val="000000"/>
          <w:lang w:eastAsia="zh-CN"/>
        </w:rPr>
        <w:drawing>
          <wp:inline distT="0" distB="0" distL="0" distR="0" wp14:anchorId="40AF2CD6" wp14:editId="1B57F153">
            <wp:extent cx="5486400" cy="4022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022090"/>
                    </a:xfrm>
                    <a:prstGeom prst="rect">
                      <a:avLst/>
                    </a:prstGeom>
                  </pic:spPr>
                </pic:pic>
              </a:graphicData>
            </a:graphic>
          </wp:inline>
        </w:drawing>
      </w:r>
    </w:p>
    <w:p w14:paraId="59BECAD5" w14:textId="73592599" w:rsidR="009D1D10" w:rsidRPr="00D57009" w:rsidRDefault="00AF4927">
      <w:pPr>
        <w:snapToGrid w:val="0"/>
        <w:spacing w:line="360" w:lineRule="auto"/>
        <w:jc w:val="both"/>
        <w:rPr>
          <w:rFonts w:ascii="Book Antiqua" w:eastAsia="Book Antiqua" w:hAnsi="Book Antiqua" w:cs="Book Antiqua"/>
          <w:b/>
          <w:bCs/>
          <w:color w:val="000000"/>
        </w:rPr>
      </w:pPr>
      <w:r w:rsidRPr="00B0239D">
        <w:rPr>
          <w:rFonts w:ascii="Book Antiqua" w:eastAsia="Book Antiqua" w:hAnsi="Book Antiqua" w:cs="Book Antiqua"/>
          <w:b/>
          <w:bCs/>
          <w:color w:val="000000"/>
        </w:rPr>
        <w:t xml:space="preserve">Figure 2 Metabolic parameters of rats in the three groups. </w:t>
      </w:r>
      <w:r w:rsidRPr="00B0239D">
        <w:rPr>
          <w:rFonts w:ascii="Book Antiqua" w:eastAsia="Book Antiqua" w:hAnsi="Book Antiqua" w:cs="Book Antiqua"/>
          <w:color w:val="000000"/>
        </w:rPr>
        <w:t xml:space="preserve">A: Body weight and Lee’s index; B: Serum lipid, </w:t>
      </w:r>
      <w:r w:rsidR="00B83960" w:rsidRPr="00F736F1">
        <w:rPr>
          <w:rFonts w:ascii="Book Antiqua" w:eastAsia="Book Antiqua" w:hAnsi="Book Antiqua" w:cs="Book Antiqua"/>
          <w:color w:val="000000"/>
        </w:rPr>
        <w:t>s</w:t>
      </w:r>
      <w:r w:rsidRPr="00D57009">
        <w:rPr>
          <w:rFonts w:ascii="Book Antiqua" w:eastAsia="Book Antiqua" w:hAnsi="Book Antiqua" w:cs="Book Antiqua"/>
          <w:color w:val="000000"/>
        </w:rPr>
        <w:t xml:space="preserve">erum enzyme levels </w:t>
      </w:r>
      <w:r w:rsidR="00B76B27" w:rsidRPr="00D57009">
        <w:rPr>
          <w:rFonts w:ascii="Book Antiqua" w:eastAsia="Book Antiqua" w:hAnsi="Book Antiqua" w:cs="Book Antiqua"/>
          <w:color w:val="000000"/>
        </w:rPr>
        <w:t>[</w:t>
      </w:r>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w:t>
      </w:r>
      <w:r w:rsidR="00B83960" w:rsidRPr="00D57009">
        <w:rPr>
          <w:rFonts w:ascii="Book Antiqua" w:eastAsia="宋体" w:hAnsi="Book Antiqua" w:cs="Book Antiqua"/>
          <w:color w:val="000000"/>
          <w:lang w:eastAsia="zh-CN"/>
        </w:rPr>
        <w:t>d</w:t>
      </w:r>
      <w:r w:rsidR="00B76B27" w:rsidRPr="00D57009">
        <w:rPr>
          <w:rFonts w:ascii="Book Antiqua" w:eastAsia="Book Antiqua" w:hAnsi="Book Antiqua" w:cs="Book Antiqua"/>
          <w:color w:val="000000"/>
        </w:rPr>
        <w:t>ry-fried soybeans (</w:t>
      </w:r>
      <w:r w:rsidRPr="00D57009">
        <w:rPr>
          <w:rFonts w:ascii="Book Antiqua" w:eastAsia="Book Antiqua" w:hAnsi="Book Antiqua" w:cs="Book Antiqua"/>
          <w:color w:val="000000"/>
        </w:rPr>
        <w:t>DFS</w:t>
      </w:r>
      <w:r w:rsidR="00B76B27"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 compared to </w:t>
      </w:r>
      <w:r w:rsidR="00B83960"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 (</w:t>
      </w:r>
      <w:r w:rsidRPr="00D57009">
        <w:rPr>
          <w:rFonts w:ascii="Book Antiqua" w:eastAsia="Book Antiqua" w:hAnsi="Book Antiqua" w:cs="Book Antiqua"/>
          <w:color w:val="000000"/>
        </w:rPr>
        <w:t>NDFS</w:t>
      </w:r>
      <w:r w:rsidR="00F5281D" w:rsidRPr="00D57009">
        <w:rPr>
          <w:rFonts w:ascii="Book Antiqua" w:eastAsia="Book Antiqua" w:hAnsi="Book Antiqua" w:cs="Book Antiqua"/>
          <w:color w:val="000000"/>
        </w:rPr>
        <w:t>)</w:t>
      </w:r>
      <w:r w:rsidRPr="00D57009">
        <w:rPr>
          <w:rFonts w:ascii="Book Antiqua" w:eastAsia="Book Antiqua" w:hAnsi="Book Antiqua" w:cs="Book Antiqua"/>
          <w:color w:val="000000"/>
        </w:rPr>
        <w:t xml:space="preserve"> group;</w:t>
      </w:r>
      <w:r w:rsidRPr="00D57009">
        <w:rPr>
          <w:rFonts w:ascii="Book Antiqua" w:eastAsia="Book Antiqua" w:hAnsi="Book Antiqua" w:cs="Book Antiqua"/>
          <w:color w:val="000000"/>
          <w:vertAlign w:val="superscript"/>
        </w:rPr>
        <w:t> a</w:t>
      </w:r>
      <w:r w:rsidRPr="00D57009">
        <w:rPr>
          <w:rFonts w:ascii="Book Antiqua" w:eastAsia="Book Antiqua" w:hAnsi="Book Antiqua" w:cs="Book Antiqua"/>
          <w:i/>
          <w:iCs/>
          <w:color w:val="000000"/>
        </w:rPr>
        <w:t>P </w:t>
      </w:r>
      <w:r w:rsidRPr="00D57009">
        <w:rPr>
          <w:rFonts w:ascii="Book Antiqua" w:eastAsia="Book Antiqua" w:hAnsi="Book Antiqua" w:cs="Book Antiqua"/>
          <w:color w:val="000000"/>
        </w:rPr>
        <w:t xml:space="preserve">&lt; 0.05, </w:t>
      </w:r>
      <w:r w:rsidR="00955FF9" w:rsidRPr="00D57009">
        <w:rPr>
          <w:rFonts w:ascii="Book Antiqua" w:eastAsia="Book Antiqua" w:hAnsi="Book Antiqua" w:cs="Book Antiqua"/>
          <w:color w:val="000000"/>
        </w:rPr>
        <w:t>c</w:t>
      </w:r>
      <w:r w:rsidRPr="00D57009">
        <w:rPr>
          <w:rFonts w:ascii="Book Antiqua" w:eastAsia="Book Antiqua" w:hAnsi="Book Antiqua" w:cs="Book Antiqua"/>
          <w:color w:val="000000"/>
        </w:rPr>
        <w:t>ontrol group compared to NDFS group</w:t>
      </w:r>
      <w:r w:rsidR="00F5281D" w:rsidRPr="00D57009">
        <w:rPr>
          <w:rFonts w:ascii="Book Antiqua" w:eastAsia="Book Antiqua" w:hAnsi="Book Antiqua" w:cs="Book Antiqua"/>
          <w:color w:val="000000"/>
        </w:rPr>
        <w:t>]</w:t>
      </w:r>
      <w:r w:rsidRPr="00D57009">
        <w:rPr>
          <w:rFonts w:ascii="Book Antiqua" w:eastAsia="Book Antiqua" w:hAnsi="Book Antiqua" w:cs="Book Antiqua"/>
          <w:color w:val="000000"/>
        </w:rPr>
        <w:t>; C: Liver index and liver morphology of rats in the three groups (</w:t>
      </w:r>
      <w:r w:rsidR="00955FF9" w:rsidRPr="00D57009">
        <w:rPr>
          <w:rFonts w:ascii="Book Antiqua" w:eastAsia="Book Antiqua" w:hAnsi="Book Antiqua" w:cs="Book Antiqua"/>
          <w:color w:val="000000"/>
        </w:rPr>
        <w:t>d</w:t>
      </w:r>
      <w:r w:rsidRPr="00D57009">
        <w:rPr>
          <w:rFonts w:ascii="Book Antiqua" w:eastAsia="Book Antiqua" w:hAnsi="Book Antiqua" w:cs="Book Antiqua"/>
          <w:color w:val="000000"/>
        </w:rPr>
        <w:t>ata are expressed as the mean</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w:t>
      </w:r>
      <w:r w:rsidRPr="00D57009">
        <w:rPr>
          <w:rFonts w:ascii="Book Antiqua" w:hAnsi="Book Antiqua" w:cs="Book Antiqua"/>
          <w:color w:val="000000"/>
          <w:lang w:eastAsia="zh-CN"/>
        </w:rPr>
        <w:t xml:space="preserve"> </w:t>
      </w:r>
      <w:r w:rsidRPr="00D57009">
        <w:rPr>
          <w:rFonts w:ascii="Book Antiqua" w:eastAsia="Book Antiqua" w:hAnsi="Book Antiqua" w:cs="Book Antiqua"/>
          <w:color w:val="000000"/>
        </w:rPr>
        <w:t xml:space="preserve">standard deviation; </w:t>
      </w:r>
      <w:r w:rsidR="00B83960" w:rsidRPr="00D57009">
        <w:rPr>
          <w:rFonts w:ascii="Book Antiqua" w:eastAsia="Book Antiqua" w:hAnsi="Book Antiqua" w:cs="Book Antiqua"/>
          <w:color w:val="000000"/>
        </w:rPr>
        <w:t>l</w:t>
      </w:r>
      <w:r w:rsidRPr="00D57009">
        <w:rPr>
          <w:rFonts w:ascii="Book Antiqua" w:eastAsia="Book Antiqua" w:hAnsi="Book Antiqua" w:cs="Book Antiqua"/>
          <w:color w:val="000000"/>
        </w:rPr>
        <w:t>iver index, at week 4 and week 8,</w:t>
      </w:r>
      <w:r w:rsidRPr="00D57009">
        <w:rPr>
          <w:rFonts w:ascii="Book Antiqua" w:eastAsia="Book Antiqua" w:hAnsi="Book Antiqua" w:cs="Book Antiqua"/>
          <w:color w:val="000000"/>
          <w:vertAlign w:val="superscript"/>
        </w:rPr>
        <w:t> b</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DFS group compared to control group, </w:t>
      </w:r>
      <w:r w:rsidRPr="00D57009">
        <w:rPr>
          <w:rFonts w:ascii="Book Antiqua" w:eastAsia="Book Antiqua" w:hAnsi="Book Antiqua" w:cs="Book Antiqua"/>
          <w:color w:val="000000"/>
          <w:vertAlign w:val="superscript"/>
        </w:rPr>
        <w:t>a</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NDFS group </w:t>
      </w:r>
      <w:r w:rsidRPr="00D57009">
        <w:rPr>
          <w:rFonts w:ascii="Book Antiqua" w:eastAsia="Book Antiqua" w:hAnsi="Book Antiqua" w:cs="Book Antiqua"/>
          <w:i/>
          <w:iCs/>
          <w:color w:val="000000"/>
        </w:rPr>
        <w:t>vs</w:t>
      </w:r>
      <w:r w:rsidRPr="00D57009">
        <w:rPr>
          <w:rFonts w:ascii="Book Antiqua" w:eastAsia="Book Antiqua" w:hAnsi="Book Antiqua" w:cs="Book Antiqua"/>
          <w:color w:val="000000"/>
        </w:rPr>
        <w:t xml:space="preserve"> control group, at week 12, </w:t>
      </w:r>
      <w:r w:rsidRPr="00D57009">
        <w:rPr>
          <w:rFonts w:ascii="Book Antiqua" w:eastAsia="Book Antiqua" w:hAnsi="Book Antiqua" w:cs="Book Antiqua"/>
          <w:color w:val="000000"/>
          <w:vertAlign w:val="superscript"/>
        </w:rPr>
        <w:t>a</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NDFS group compared to DFS group). </w:t>
      </w:r>
    </w:p>
    <w:p w14:paraId="077830AA" w14:textId="77777777" w:rsidR="009D1D10" w:rsidRPr="00123B18"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br w:type="page"/>
      </w:r>
      <w:r w:rsidRPr="00A80307">
        <w:rPr>
          <w:rFonts w:ascii="Book Antiqua" w:eastAsia="Book Antiqua" w:hAnsi="Book Antiqua" w:cs="Book Antiqua"/>
          <w:b/>
          <w:bCs/>
          <w:noProof/>
          <w:color w:val="000000"/>
          <w:lang w:eastAsia="zh-CN"/>
        </w:rPr>
        <w:drawing>
          <wp:inline distT="0" distB="0" distL="0" distR="0" wp14:anchorId="17D1BFFE" wp14:editId="64BF27A5">
            <wp:extent cx="5486400" cy="2994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994660"/>
                    </a:xfrm>
                    <a:prstGeom prst="rect">
                      <a:avLst/>
                    </a:prstGeom>
                  </pic:spPr>
                </pic:pic>
              </a:graphicData>
            </a:graphic>
          </wp:inline>
        </w:drawing>
      </w:r>
    </w:p>
    <w:p w14:paraId="28EF90B9" w14:textId="2FD3DF55" w:rsidR="009D1D10" w:rsidRPr="00D57009" w:rsidRDefault="00AF4927">
      <w:pPr>
        <w:snapToGrid w:val="0"/>
        <w:spacing w:line="360" w:lineRule="auto"/>
        <w:jc w:val="both"/>
        <w:rPr>
          <w:rFonts w:ascii="Book Antiqua" w:eastAsia="Book Antiqua" w:hAnsi="Book Antiqua" w:cs="Book Antiqua"/>
          <w:b/>
          <w:bCs/>
          <w:color w:val="000000"/>
        </w:rPr>
      </w:pPr>
      <w:r w:rsidRPr="00B0239D">
        <w:rPr>
          <w:rFonts w:ascii="Book Antiqua" w:eastAsia="Book Antiqua" w:hAnsi="Book Antiqua" w:cs="Book Antiqua"/>
          <w:b/>
          <w:bCs/>
          <w:color w:val="000000"/>
        </w:rPr>
        <w:t xml:space="preserve">Figure 3 Hematoxylin-eosin staining and histology score of rat liver in the three groups. </w:t>
      </w:r>
      <w:r w:rsidRPr="00D57009">
        <w:rPr>
          <w:rFonts w:ascii="Book Antiqua" w:eastAsia="Book Antiqua" w:hAnsi="Book Antiqua" w:cs="Book Antiqua"/>
          <w:color w:val="000000"/>
        </w:rPr>
        <w:t>A: Steatosis of rat liver in the three groups at week 12. Scale bars = 100 μm</w:t>
      </w:r>
      <w:r w:rsidR="00955FF9" w:rsidRPr="00D57009">
        <w:rPr>
          <w:rFonts w:ascii="Book Antiqua" w:eastAsia="Book Antiqua" w:hAnsi="Book Antiqua" w:cs="Book Antiqua"/>
          <w:color w:val="000000"/>
        </w:rPr>
        <w:t xml:space="preserve"> (top row)</w:t>
      </w:r>
      <w:r w:rsidRPr="00D57009">
        <w:rPr>
          <w:rFonts w:ascii="Book Antiqua" w:eastAsia="Book Antiqua" w:hAnsi="Book Antiqua" w:cs="Book Antiqua"/>
          <w:color w:val="000000"/>
        </w:rPr>
        <w:t>. Scale bars = 50 μm</w:t>
      </w:r>
      <w:r w:rsidR="00955FF9" w:rsidRPr="00D57009">
        <w:rPr>
          <w:rFonts w:ascii="Book Antiqua" w:eastAsia="Book Antiqua" w:hAnsi="Book Antiqua" w:cs="Book Antiqua"/>
          <w:color w:val="000000"/>
        </w:rPr>
        <w:t xml:space="preserve"> (bottom row)</w:t>
      </w:r>
      <w:r w:rsidRPr="00D57009">
        <w:rPr>
          <w:rFonts w:ascii="Book Antiqua" w:eastAsia="Book Antiqua" w:hAnsi="Book Antiqua" w:cs="Book Antiqua"/>
          <w:color w:val="000000"/>
        </w:rPr>
        <w:t xml:space="preserve">; B: Special pathological features of rat liver from </w:t>
      </w:r>
      <w:r w:rsidR="00B0239D">
        <w:rPr>
          <w:rFonts w:ascii="Book Antiqua" w:eastAsia="宋体" w:hAnsi="Book Antiqua" w:cs="Book Antiqua"/>
          <w:color w:val="000000"/>
          <w:lang w:eastAsia="zh-CN"/>
        </w:rPr>
        <w:t>d</w:t>
      </w:r>
      <w:r w:rsidR="00B0239D" w:rsidRPr="00732B3C">
        <w:rPr>
          <w:rFonts w:ascii="Book Antiqua" w:eastAsia="Book Antiqua" w:hAnsi="Book Antiqua" w:cs="Book Antiqua"/>
          <w:color w:val="000000"/>
        </w:rPr>
        <w:t>ry-fried soybeans</w:t>
      </w:r>
      <w:r w:rsidR="00B0239D" w:rsidRPr="00B0239D">
        <w:rPr>
          <w:rFonts w:ascii="Book Antiqua" w:eastAsia="Book Antiqua" w:hAnsi="Book Antiqua" w:cs="Book Antiqua"/>
          <w:color w:val="000000"/>
        </w:rPr>
        <w:t xml:space="preserve"> </w:t>
      </w:r>
      <w:r w:rsidR="00B0239D">
        <w:rPr>
          <w:rFonts w:ascii="Book Antiqua" w:eastAsia="Book Antiqua" w:hAnsi="Book Antiqua" w:cs="Book Antiqua"/>
          <w:color w:val="000000"/>
        </w:rPr>
        <w:t>(</w:t>
      </w:r>
      <w:r w:rsidRPr="00B0239D">
        <w:rPr>
          <w:rFonts w:ascii="Book Antiqua" w:eastAsia="Book Antiqua" w:hAnsi="Book Antiqua" w:cs="Book Antiqua"/>
          <w:color w:val="000000"/>
        </w:rPr>
        <w:t>DFS</w:t>
      </w:r>
      <w:r w:rsidR="00B0239D">
        <w:rPr>
          <w:rFonts w:ascii="Book Antiqua" w:eastAsia="Book Antiqua" w:hAnsi="Book Antiqua" w:cs="Book Antiqua"/>
          <w:color w:val="000000"/>
        </w:rPr>
        <w:t>)</w:t>
      </w:r>
      <w:r w:rsidRPr="00B0239D">
        <w:rPr>
          <w:rFonts w:ascii="Book Antiqua" w:eastAsia="Book Antiqua" w:hAnsi="Book Antiqua" w:cs="Book Antiqua"/>
          <w:color w:val="000000"/>
        </w:rPr>
        <w:t xml:space="preserve"> group at week 12 (</w:t>
      </w:r>
      <w:r w:rsidR="00B83960" w:rsidRPr="00B0239D">
        <w:rPr>
          <w:rFonts w:ascii="Book Antiqua" w:eastAsia="Book Antiqua" w:hAnsi="Book Antiqua" w:cs="Book Antiqua"/>
          <w:color w:val="000000"/>
        </w:rPr>
        <w:t>d</w:t>
      </w:r>
      <w:r w:rsidRPr="00D57009">
        <w:rPr>
          <w:rFonts w:ascii="Book Antiqua" w:eastAsia="Book Antiqua" w:hAnsi="Book Antiqua" w:cs="Book Antiqua"/>
          <w:color w:val="000000"/>
        </w:rPr>
        <w:t xml:space="preserve">iffuse steatosis around the portal area,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cale bars = 2.5 μm. Inflammation, hepatocyte ballooning and clusters of myofibroblasts,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 xml:space="preserve">cale bars = 50 μm); C: Histology score of steatosis, hepatocyte ballooning, lobular inflammation and nonalcoholic fatty liver disease </w:t>
      </w:r>
      <w:r w:rsidR="00B83960" w:rsidRPr="00D57009">
        <w:rPr>
          <w:rFonts w:ascii="Book Antiqua" w:eastAsia="Book Antiqua" w:hAnsi="Book Antiqua" w:cs="Book Antiqua"/>
          <w:color w:val="000000"/>
        </w:rPr>
        <w:t>a</w:t>
      </w:r>
      <w:r w:rsidRPr="00D57009">
        <w:rPr>
          <w:rFonts w:ascii="Book Antiqua" w:eastAsia="Book Antiqua" w:hAnsi="Book Antiqua" w:cs="Book Antiqua"/>
          <w:color w:val="000000"/>
        </w:rPr>
        <w:t xml:space="preserve">ctivity </w:t>
      </w:r>
      <w:r w:rsidR="00B83960" w:rsidRPr="00D57009">
        <w:rPr>
          <w:rFonts w:ascii="Book Antiqua" w:eastAsia="Book Antiqua" w:hAnsi="Book Antiqua" w:cs="Book Antiqua"/>
          <w:color w:val="000000"/>
        </w:rPr>
        <w:t>s</w:t>
      </w:r>
      <w:r w:rsidRPr="00D57009">
        <w:rPr>
          <w:rFonts w:ascii="Book Antiqua" w:eastAsia="Book Antiqua" w:hAnsi="Book Antiqua" w:cs="Book Antiqua"/>
          <w:color w:val="000000"/>
        </w:rPr>
        <w:t>core were quantified. Data are shown as mean ± standard deviation (</w:t>
      </w:r>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w:t>
      </w:r>
      <w:r w:rsidR="00B0239D">
        <w:rPr>
          <w:rFonts w:ascii="Book Antiqua" w:eastAsia="宋体" w:hAnsi="Book Antiqua" w:cs="Book Antiqua"/>
          <w:color w:val="000000"/>
          <w:lang w:eastAsia="zh-CN"/>
        </w:rPr>
        <w:t>DFS</w:t>
      </w:r>
      <w:r w:rsidRPr="00B0239D">
        <w:rPr>
          <w:rFonts w:ascii="Book Antiqua" w:eastAsia="Book Antiqua" w:hAnsi="Book Antiqua" w:cs="Book Antiqua"/>
          <w:color w:val="000000"/>
        </w:rPr>
        <w:t xml:space="preserve"> group </w:t>
      </w:r>
      <w:r w:rsidRPr="00B0239D">
        <w:rPr>
          <w:rFonts w:ascii="Book Antiqua" w:eastAsia="Book Antiqua" w:hAnsi="Book Antiqua" w:cs="Book Antiqua"/>
          <w:i/>
          <w:iCs/>
          <w:color w:val="000000"/>
        </w:rPr>
        <w:t>vs</w:t>
      </w:r>
      <w:r w:rsidRPr="00B0239D">
        <w:rPr>
          <w:rFonts w:ascii="Book Antiqua" w:eastAsia="Book Antiqua" w:hAnsi="Book Antiqua" w:cs="Book Antiqua"/>
          <w:color w:val="000000"/>
        </w:rPr>
        <w:t xml:space="preserve"> </w:t>
      </w:r>
      <w:r w:rsidR="00955FF9" w:rsidRPr="00D57009">
        <w:rPr>
          <w:rFonts w:ascii="Book Antiqua" w:eastAsia="Book Antiqua" w:hAnsi="Book Antiqua" w:cs="Book Antiqua"/>
          <w:color w:val="000000"/>
        </w:rPr>
        <w:t>c</w:t>
      </w:r>
      <w:r w:rsidRPr="00D57009">
        <w:rPr>
          <w:rFonts w:ascii="Book Antiqua" w:eastAsia="Book Antiqua" w:hAnsi="Book Antiqua" w:cs="Book Antiqua"/>
          <w:color w:val="000000"/>
        </w:rPr>
        <w:t xml:space="preserve">ontrol group, </w:t>
      </w:r>
      <w:r w:rsidR="00955FF9"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w:t>
      </w:r>
      <w:r w:rsidRPr="00D57009">
        <w:rPr>
          <w:rFonts w:ascii="Book Antiqua" w:eastAsia="Book Antiqua" w:hAnsi="Book Antiqua" w:cs="Book Antiqua"/>
          <w:color w:val="000000"/>
        </w:rPr>
        <w:t xml:space="preserve"> group</w:t>
      </w:r>
      <w:r w:rsidR="00B0239D">
        <w:rPr>
          <w:rFonts w:ascii="Book Antiqua" w:eastAsia="Book Antiqua" w:hAnsi="Book Antiqua" w:cs="Book Antiqua"/>
          <w:color w:val="000000"/>
        </w:rPr>
        <w:t xml:space="preserve"> [NDFS]</w:t>
      </w:r>
      <w:r w:rsidRPr="00B0239D">
        <w:rPr>
          <w:rFonts w:ascii="Book Antiqua" w:eastAsia="Book Antiqua" w:hAnsi="Book Antiqua" w:cs="Book Antiqua"/>
          <w:color w:val="000000"/>
        </w:rPr>
        <w:t>). H and E</w:t>
      </w:r>
      <w:r w:rsidRPr="00B0239D">
        <w:rPr>
          <w:rFonts w:ascii="Book Antiqua" w:hAnsi="Book Antiqua" w:cs="Book Antiqua"/>
          <w:color w:val="000000"/>
          <w:lang w:eastAsia="zh-CN"/>
        </w:rPr>
        <w:t>:</w:t>
      </w:r>
      <w:r w:rsidRPr="00B0239D">
        <w:rPr>
          <w:rFonts w:ascii="Book Antiqua" w:eastAsia="Book Antiqua" w:hAnsi="Book Antiqua" w:cs="Book Antiqua"/>
          <w:bCs/>
          <w:color w:val="000000"/>
        </w:rPr>
        <w:t xml:space="preserve"> Hematoxylin-eosin</w:t>
      </w:r>
      <w:r w:rsidRPr="00B0239D">
        <w:rPr>
          <w:rFonts w:ascii="Book Antiqua" w:hAnsi="Book Antiqua" w:cs="Book Antiqua"/>
          <w:bCs/>
          <w:color w:val="000000"/>
          <w:lang w:eastAsia="zh-CN"/>
        </w:rPr>
        <w:t xml:space="preserve">. </w:t>
      </w:r>
      <w:bookmarkStart w:id="56" w:name="OLE_LINK55"/>
    </w:p>
    <w:bookmarkEnd w:id="56"/>
    <w:p w14:paraId="098FCE12" w14:textId="77777777" w:rsidR="009D1D10" w:rsidRPr="00D57009" w:rsidRDefault="009D1D10">
      <w:pPr>
        <w:snapToGrid w:val="0"/>
        <w:spacing w:line="360" w:lineRule="auto"/>
        <w:jc w:val="both"/>
        <w:rPr>
          <w:rFonts w:ascii="Book Antiqua" w:hAnsi="Book Antiqua"/>
        </w:rPr>
      </w:pPr>
    </w:p>
    <w:p w14:paraId="6CE1393D"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00F5281D" w:rsidRPr="00A80307">
        <w:rPr>
          <w:rFonts w:ascii="Book Antiqua" w:hAnsi="Book Antiqua"/>
          <w:noProof/>
          <w:lang w:eastAsia="zh-CN"/>
        </w:rPr>
        <w:drawing>
          <wp:inline distT="0" distB="0" distL="0" distR="0" wp14:anchorId="1460E3DF" wp14:editId="6412B04F">
            <wp:extent cx="5486400" cy="3510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510280"/>
                    </a:xfrm>
                    <a:prstGeom prst="rect">
                      <a:avLst/>
                    </a:prstGeom>
                  </pic:spPr>
                </pic:pic>
              </a:graphicData>
            </a:graphic>
          </wp:inline>
        </w:drawing>
      </w:r>
    </w:p>
    <w:p w14:paraId="175DDBEA" w14:textId="764ABF75" w:rsidR="009D1D10" w:rsidRPr="00B0239D" w:rsidRDefault="00AF4927">
      <w:pPr>
        <w:snapToGrid w:val="0"/>
        <w:spacing w:line="360" w:lineRule="auto"/>
        <w:jc w:val="both"/>
        <w:rPr>
          <w:rFonts w:ascii="Book Antiqua" w:eastAsia="Book Antiqua" w:hAnsi="Book Antiqua" w:cs="Book Antiqua"/>
          <w:b/>
          <w:bCs/>
          <w:color w:val="000000"/>
        </w:rPr>
      </w:pPr>
      <w:r w:rsidRPr="00AB3278">
        <w:rPr>
          <w:rFonts w:ascii="Book Antiqua" w:eastAsia="Book Antiqua" w:hAnsi="Book Antiqua" w:cs="Book Antiqua"/>
          <w:b/>
          <w:bCs/>
          <w:color w:val="000000"/>
        </w:rPr>
        <w:t xml:space="preserve">Figure 4 Oil red O, Masson staining and </w:t>
      </w:r>
      <w:r w:rsidR="00AB3278" w:rsidRPr="00D57009">
        <w:rPr>
          <w:rFonts w:ascii="Book Antiqua" w:eastAsia="Book Antiqua" w:hAnsi="Book Antiqua" w:cs="Book Antiqua"/>
          <w:b/>
          <w:bCs/>
          <w:color w:val="000000"/>
        </w:rPr>
        <w:t>immunohistochemical</w:t>
      </w:r>
      <w:r w:rsidRPr="00D57009">
        <w:rPr>
          <w:rFonts w:ascii="Book Antiqua" w:eastAsia="Book Antiqua" w:hAnsi="Book Antiqua" w:cs="Book Antiqua"/>
          <w:b/>
          <w:bCs/>
          <w:color w:val="000000"/>
        </w:rPr>
        <w:t xml:space="preserve"> staining of rat liver in the three groups. </w:t>
      </w:r>
      <w:r w:rsidRPr="00D57009">
        <w:rPr>
          <w:rFonts w:ascii="Book Antiqua" w:eastAsia="Book Antiqua" w:hAnsi="Book Antiqua" w:cs="Book Antiqua"/>
          <w:color w:val="000000"/>
        </w:rPr>
        <w:t>A</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Oil red O staining of rats in the three groups at weeks 4, 8 and 12. Scale bars = 50 μm; B</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Masson staining and </w:t>
      </w:r>
      <w:r w:rsidR="00AB3278" w:rsidRPr="00D57009">
        <w:rPr>
          <w:rFonts w:ascii="Book Antiqua" w:eastAsia="Book Antiqua" w:hAnsi="Book Antiqua" w:cs="Book Antiqua"/>
          <w:color w:val="000000"/>
        </w:rPr>
        <w:t>immunohistochemical</w:t>
      </w:r>
      <w:r w:rsidRPr="00D57009">
        <w:rPr>
          <w:rFonts w:ascii="Book Antiqua" w:eastAsia="Book Antiqua" w:hAnsi="Book Antiqua" w:cs="Book Antiqua"/>
          <w:color w:val="000000"/>
        </w:rPr>
        <w:t> staining of rats in the three groups at week 12. Scale bars = 50 μm; C</w:t>
      </w:r>
      <w:r w:rsidRPr="00D57009">
        <w:rPr>
          <w:rFonts w:ascii="Book Antiqua" w:hAnsi="Book Antiqua" w:cs="Book Antiqua"/>
          <w:color w:val="000000"/>
          <w:lang w:eastAsia="zh-CN"/>
        </w:rPr>
        <w:t>:</w:t>
      </w:r>
      <w:r w:rsidRPr="00D57009">
        <w:rPr>
          <w:rFonts w:ascii="Book Antiqua" w:eastAsia="Book Antiqua" w:hAnsi="Book Antiqua" w:cs="Book Antiqua"/>
          <w:color w:val="000000"/>
        </w:rPr>
        <w:t xml:space="preserve"> Quantification for the percentage of relative triglyceride content determined by oil red O staining, semi-quantitative analysis of fibrosis detected by Masson staining and </w:t>
      </w:r>
      <w:r w:rsidR="00AB3278" w:rsidRPr="00D57009">
        <w:rPr>
          <w:rFonts w:ascii="Book Antiqua" w:eastAsia="Book Antiqua" w:hAnsi="Book Antiqua" w:cs="Book Antiqua"/>
          <w:color w:val="000000"/>
        </w:rPr>
        <w:t>immunohistochemical</w:t>
      </w:r>
      <w:r w:rsidRPr="00D57009">
        <w:rPr>
          <w:rFonts w:ascii="Book Antiqua" w:eastAsia="Book Antiqua" w:hAnsi="Book Antiqua" w:cs="Book Antiqua"/>
          <w:color w:val="000000"/>
        </w:rPr>
        <w:t xml:space="preserve"> staining. Data are shown as mean ± </w:t>
      </w:r>
      <w:r w:rsidR="006836C1" w:rsidRPr="00D57009">
        <w:rPr>
          <w:rFonts w:ascii="Book Antiqua" w:eastAsia="Book Antiqua" w:hAnsi="Book Antiqua" w:cs="Book Antiqua"/>
          <w:color w:val="000000"/>
        </w:rPr>
        <w:t>standard deviation</w:t>
      </w:r>
      <w:r w:rsidRPr="00D57009">
        <w:rPr>
          <w:rFonts w:ascii="Book Antiqua" w:eastAsia="Book Antiqua" w:hAnsi="Book Antiqua" w:cs="Book Antiqua"/>
          <w:color w:val="000000"/>
        </w:rPr>
        <w:t xml:space="preserve"> (</w:t>
      </w:r>
      <w:r w:rsidRPr="00D57009">
        <w:rPr>
          <w:rFonts w:ascii="Book Antiqua" w:eastAsia="Book Antiqua" w:hAnsi="Book Antiqua" w:cs="Book Antiqua"/>
          <w:color w:val="000000"/>
          <w:vertAlign w:val="superscript"/>
        </w:rPr>
        <w:t>b</w:t>
      </w:r>
      <w:r w:rsidRPr="00D57009">
        <w:rPr>
          <w:rFonts w:ascii="Book Antiqua" w:eastAsia="Book Antiqua" w:hAnsi="Book Antiqua" w:cs="Book Antiqua"/>
          <w:i/>
          <w:iCs/>
          <w:color w:val="000000"/>
        </w:rPr>
        <w:t>P</w:t>
      </w:r>
      <w:r w:rsidRPr="00D57009">
        <w:rPr>
          <w:rFonts w:ascii="Book Antiqua" w:eastAsia="Book Antiqua" w:hAnsi="Book Antiqua" w:cs="Book Antiqua"/>
          <w:color w:val="000000"/>
        </w:rPr>
        <w:t xml:space="preserve"> &lt; 0.05, </w:t>
      </w:r>
      <w:r w:rsidR="00955FF9" w:rsidRPr="00D57009">
        <w:rPr>
          <w:rFonts w:ascii="Book Antiqua" w:eastAsia="宋体" w:hAnsi="Book Antiqua" w:cs="Book Antiqua"/>
          <w:color w:val="000000"/>
          <w:lang w:eastAsia="zh-CN"/>
        </w:rPr>
        <w:t>d</w:t>
      </w:r>
      <w:r w:rsidR="00F5281D" w:rsidRPr="00D57009">
        <w:rPr>
          <w:rFonts w:ascii="Book Antiqua" w:eastAsia="Book Antiqua" w:hAnsi="Book Antiqua" w:cs="Book Antiqua"/>
          <w:color w:val="000000"/>
        </w:rPr>
        <w:t>ry-fried soybeans</w:t>
      </w:r>
      <w:r w:rsidRPr="00D57009">
        <w:rPr>
          <w:rFonts w:ascii="Book Antiqua" w:eastAsia="Book Antiqua" w:hAnsi="Book Antiqua" w:cs="Book Antiqua"/>
          <w:color w:val="000000"/>
        </w:rPr>
        <w:t xml:space="preserve"> </w:t>
      </w:r>
      <w:r w:rsidR="00B0239D">
        <w:rPr>
          <w:rFonts w:ascii="Book Antiqua" w:eastAsia="Book Antiqua" w:hAnsi="Book Antiqua" w:cs="Book Antiqua"/>
          <w:color w:val="000000"/>
        </w:rPr>
        <w:t xml:space="preserve">[DFS] </w:t>
      </w:r>
      <w:r w:rsidRPr="00B0239D">
        <w:rPr>
          <w:rFonts w:ascii="Book Antiqua" w:eastAsia="Book Antiqua" w:hAnsi="Book Antiqua" w:cs="Book Antiqua"/>
          <w:color w:val="000000"/>
        </w:rPr>
        <w:t xml:space="preserve">group </w:t>
      </w:r>
      <w:r w:rsidRPr="00B0239D">
        <w:rPr>
          <w:rFonts w:ascii="Book Antiqua" w:eastAsia="Book Antiqua" w:hAnsi="Book Antiqua" w:cs="Book Antiqua"/>
          <w:i/>
          <w:iCs/>
          <w:color w:val="000000"/>
        </w:rPr>
        <w:t>vs</w:t>
      </w:r>
      <w:r w:rsidRPr="00B0239D">
        <w:rPr>
          <w:rFonts w:ascii="Book Antiqua" w:eastAsia="Book Antiqua" w:hAnsi="Book Antiqua" w:cs="Book Antiqua"/>
          <w:color w:val="000000"/>
        </w:rPr>
        <w:t xml:space="preserve"> </w:t>
      </w:r>
      <w:r w:rsidR="00955FF9" w:rsidRPr="00B0239D">
        <w:rPr>
          <w:rFonts w:ascii="Book Antiqua" w:eastAsia="Book Antiqua" w:hAnsi="Book Antiqua" w:cs="Book Antiqua"/>
          <w:color w:val="000000"/>
        </w:rPr>
        <w:t>c</w:t>
      </w:r>
      <w:r w:rsidRPr="00D57009">
        <w:rPr>
          <w:rFonts w:ascii="Book Antiqua" w:eastAsia="Book Antiqua" w:hAnsi="Book Antiqua" w:cs="Book Antiqua"/>
          <w:color w:val="000000"/>
        </w:rPr>
        <w:t xml:space="preserve">ontrol group, </w:t>
      </w:r>
      <w:r w:rsidR="00955FF9" w:rsidRPr="00D57009">
        <w:rPr>
          <w:rFonts w:ascii="Book Antiqua" w:eastAsia="宋体" w:hAnsi="Book Antiqua" w:cs="Book Antiqua"/>
          <w:color w:val="000000"/>
          <w:lang w:eastAsia="zh-CN"/>
        </w:rPr>
        <w:t>n</w:t>
      </w:r>
      <w:r w:rsidR="00F5281D" w:rsidRPr="00D57009">
        <w:rPr>
          <w:rFonts w:ascii="Book Antiqua" w:eastAsia="Book Antiqua" w:hAnsi="Book Antiqua" w:cs="Book Antiqua"/>
          <w:color w:val="000000"/>
        </w:rPr>
        <w:t>onfried soybeans</w:t>
      </w:r>
      <w:r w:rsidRPr="00D57009">
        <w:rPr>
          <w:rFonts w:ascii="Book Antiqua" w:eastAsia="Book Antiqua" w:hAnsi="Book Antiqua" w:cs="Book Antiqua"/>
          <w:color w:val="000000"/>
        </w:rPr>
        <w:t xml:space="preserve"> group</w:t>
      </w:r>
      <w:r w:rsidR="00B0239D">
        <w:rPr>
          <w:rFonts w:ascii="Book Antiqua" w:eastAsia="Book Antiqua" w:hAnsi="Book Antiqua" w:cs="Book Antiqua"/>
          <w:color w:val="000000"/>
        </w:rPr>
        <w:t xml:space="preserve"> [NDFS]</w:t>
      </w:r>
      <w:r w:rsidRPr="00B0239D">
        <w:rPr>
          <w:rFonts w:ascii="Book Antiqua" w:eastAsia="Book Antiqua" w:hAnsi="Book Antiqua" w:cs="Book Antiqua"/>
          <w:color w:val="000000"/>
        </w:rPr>
        <w:t xml:space="preserve">). </w:t>
      </w:r>
    </w:p>
    <w:p w14:paraId="06CA5223"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drawing>
          <wp:inline distT="0" distB="0" distL="0" distR="0" wp14:anchorId="3C02BFC9" wp14:editId="508449E0">
            <wp:extent cx="5486400" cy="3300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300730"/>
                    </a:xfrm>
                    <a:prstGeom prst="rect">
                      <a:avLst/>
                    </a:prstGeom>
                  </pic:spPr>
                </pic:pic>
              </a:graphicData>
            </a:graphic>
          </wp:inline>
        </w:drawing>
      </w:r>
    </w:p>
    <w:p w14:paraId="1ABDD00D" w14:textId="375E1E67" w:rsidR="009D1D10" w:rsidRPr="00B0239D" w:rsidRDefault="00AF4927">
      <w:pPr>
        <w:snapToGrid w:val="0"/>
        <w:spacing w:line="360" w:lineRule="auto"/>
        <w:jc w:val="both"/>
        <w:rPr>
          <w:rFonts w:ascii="Book Antiqua" w:eastAsia="Book Antiqua" w:hAnsi="Book Antiqua" w:cs="Book Antiqua"/>
          <w:b/>
          <w:bCs/>
          <w:color w:val="000000"/>
        </w:rPr>
      </w:pPr>
      <w:r w:rsidRPr="00123B18">
        <w:rPr>
          <w:rFonts w:ascii="Book Antiqua" w:eastAsia="Book Antiqua" w:hAnsi="Book Antiqua" w:cs="Book Antiqua"/>
          <w:b/>
          <w:bCs/>
          <w:color w:val="000000"/>
        </w:rPr>
        <w:t>Figure 5 Principal component analysis</w:t>
      </w:r>
      <w:r w:rsidRPr="00D57009">
        <w:rPr>
          <w:rFonts w:ascii="Book Antiqua" w:eastAsia="Book Antiqua" w:hAnsi="Book Antiqua" w:cs="Book Antiqua"/>
          <w:b/>
          <w:bCs/>
          <w:color w:val="000000"/>
        </w:rPr>
        <w:t xml:space="preserve"> of three groups.</w:t>
      </w:r>
      <w:r w:rsidRPr="00D57009">
        <w:rPr>
          <w:rFonts w:ascii="Book Antiqua" w:eastAsia="Book Antiqua" w:hAnsi="Book Antiqua" w:cs="Book Antiqua"/>
          <w:color w:val="000000"/>
        </w:rPr>
        <w:t xml:space="preserve"> </w:t>
      </w:r>
      <w:r w:rsidR="00B0239D" w:rsidRPr="00C73ECE">
        <w:rPr>
          <w:rFonts w:ascii="Book Antiqua" w:eastAsia="Book Antiqua" w:hAnsi="Book Antiqua" w:cs="Book Antiqua"/>
          <w:color w:val="000000"/>
        </w:rPr>
        <w:t>DFS:</w:t>
      </w:r>
      <w:r w:rsidR="00B0239D" w:rsidRPr="00C73ECE">
        <w:rPr>
          <w:rFonts w:ascii="Book Antiqua" w:eastAsia="宋体" w:hAnsi="Book Antiqua" w:cs="Book Antiqua"/>
          <w:color w:val="000000"/>
          <w:lang w:eastAsia="zh-CN"/>
        </w:rPr>
        <w:t xml:space="preserve"> D</w:t>
      </w:r>
      <w:r w:rsidR="00B0239D" w:rsidRPr="00C73ECE">
        <w:rPr>
          <w:rFonts w:ascii="Book Antiqua" w:eastAsia="Book Antiqua" w:hAnsi="Book Antiqua" w:cs="Book Antiqua"/>
          <w:color w:val="000000"/>
        </w:rPr>
        <w:t>ry-fried soybeans</w:t>
      </w:r>
      <w:r w:rsidR="00B0239D">
        <w:rPr>
          <w:rFonts w:ascii="Book Antiqua" w:eastAsia="Book Antiqua" w:hAnsi="Book Antiqua" w:cs="Book Antiqua"/>
          <w:color w:val="000000"/>
        </w:rPr>
        <w:t>;</w:t>
      </w:r>
      <w:r w:rsidR="00B0239D" w:rsidRPr="00B0239D">
        <w:rPr>
          <w:rFonts w:ascii="Book Antiqua" w:eastAsia="Book Antiqua" w:hAnsi="Book Antiqua" w:cs="Book Antiqua"/>
          <w:color w:val="000000"/>
        </w:rPr>
        <w:t xml:space="preserve"> </w:t>
      </w:r>
      <w:r w:rsidRPr="00B0239D">
        <w:rPr>
          <w:rFonts w:ascii="Book Antiqua" w:eastAsia="Book Antiqua" w:hAnsi="Book Antiqua" w:cs="Book Antiqua"/>
          <w:color w:val="000000"/>
        </w:rPr>
        <w:t xml:space="preserve">NDFS: </w:t>
      </w:r>
      <w:r w:rsidRPr="00B0239D">
        <w:rPr>
          <w:rFonts w:ascii="Book Antiqua" w:eastAsia="宋体" w:hAnsi="Book Antiqua" w:cs="Book Antiqua"/>
          <w:color w:val="000000"/>
          <w:lang w:eastAsia="zh-CN"/>
        </w:rPr>
        <w:t>N</w:t>
      </w:r>
      <w:r w:rsidRPr="00B0239D">
        <w:rPr>
          <w:rFonts w:ascii="Book Antiqua" w:eastAsia="Book Antiqua" w:hAnsi="Book Antiqua" w:cs="Book Antiqua"/>
          <w:color w:val="000000"/>
        </w:rPr>
        <w:t>onfried soybeans;</w:t>
      </w:r>
      <w:r w:rsidR="00B0239D" w:rsidRPr="00B0239D">
        <w:rPr>
          <w:rFonts w:ascii="Book Antiqua" w:eastAsia="Book Antiqua" w:hAnsi="Book Antiqua" w:cs="Book Antiqua"/>
          <w:bCs/>
          <w:color w:val="000000"/>
        </w:rPr>
        <w:t xml:space="preserve"> </w:t>
      </w:r>
      <w:r w:rsidR="00B0239D" w:rsidRPr="002F681D">
        <w:rPr>
          <w:rFonts w:ascii="Book Antiqua" w:eastAsia="Book Antiqua" w:hAnsi="Book Antiqua" w:cs="Book Antiqua"/>
          <w:bCs/>
          <w:color w:val="000000"/>
        </w:rPr>
        <w:t>PCA</w:t>
      </w:r>
      <w:r w:rsidR="00B0239D" w:rsidRPr="002F681D">
        <w:rPr>
          <w:rFonts w:ascii="Book Antiqua" w:hAnsi="Book Antiqua" w:cs="Book Antiqua"/>
          <w:color w:val="000000"/>
          <w:lang w:eastAsia="zh-CN"/>
        </w:rPr>
        <w:t xml:space="preserve">: </w:t>
      </w:r>
      <w:r w:rsidR="00B0239D" w:rsidRPr="002F681D">
        <w:rPr>
          <w:rFonts w:ascii="Book Antiqua" w:eastAsia="Book Antiqua" w:hAnsi="Book Antiqua" w:cs="Book Antiqua"/>
          <w:color w:val="000000"/>
        </w:rPr>
        <w:t>Principal component analysis</w:t>
      </w:r>
      <w:r w:rsidR="00B0239D">
        <w:rPr>
          <w:rFonts w:ascii="Book Antiqua" w:hAnsi="Book Antiqua" w:cs="Book Antiqua"/>
          <w:color w:val="000000"/>
          <w:lang w:eastAsia="zh-CN"/>
        </w:rPr>
        <w:t>.</w:t>
      </w:r>
    </w:p>
    <w:p w14:paraId="7EE33333" w14:textId="77777777" w:rsidR="009D1D10" w:rsidRPr="00D57009" w:rsidRDefault="009D1D10">
      <w:pPr>
        <w:snapToGrid w:val="0"/>
        <w:spacing w:line="360" w:lineRule="auto"/>
        <w:jc w:val="both"/>
        <w:rPr>
          <w:rFonts w:ascii="Book Antiqua" w:hAnsi="Book Antiqua"/>
        </w:rPr>
      </w:pPr>
    </w:p>
    <w:p w14:paraId="6D30195F"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drawing>
          <wp:inline distT="0" distB="0" distL="0" distR="0" wp14:anchorId="7E12F7A1" wp14:editId="38B2D2DA">
            <wp:extent cx="5486400" cy="3088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694A3670" w14:textId="77777777" w:rsidR="009D1D10" w:rsidRPr="00D57009" w:rsidRDefault="00AF4927">
      <w:pPr>
        <w:pStyle w:val="a3"/>
        <w:snapToGrid w:val="0"/>
        <w:spacing w:line="360" w:lineRule="auto"/>
        <w:jc w:val="both"/>
        <w:rPr>
          <w:rFonts w:ascii="Book Antiqua" w:hAnsi="Book Antiqua"/>
        </w:rPr>
      </w:pPr>
      <w:r w:rsidRPr="00D57009">
        <w:rPr>
          <w:rFonts w:ascii="Book Antiqua" w:eastAsia="Book Antiqua" w:hAnsi="Book Antiqua" w:cs="Book Antiqua"/>
          <w:b/>
          <w:bCs/>
          <w:color w:val="000000"/>
        </w:rPr>
        <w:t xml:space="preserve">Figure 6 Correlation between Metabolites and Pathology score between </w:t>
      </w:r>
      <w:r w:rsidR="004668A8" w:rsidRPr="00D57009">
        <w:rPr>
          <w:rFonts w:ascii="Book Antiqua" w:eastAsia="宋体" w:hAnsi="Book Antiqua" w:cs="Book Antiqua"/>
          <w:b/>
          <w:color w:val="000000"/>
          <w:lang w:eastAsia="zh-CN"/>
        </w:rPr>
        <w:t>d</w:t>
      </w:r>
      <w:r w:rsidR="004668A8" w:rsidRPr="00D57009">
        <w:rPr>
          <w:rFonts w:ascii="Book Antiqua" w:eastAsia="Book Antiqua" w:hAnsi="Book Antiqua" w:cs="Book Antiqua"/>
          <w:b/>
          <w:color w:val="000000"/>
        </w:rPr>
        <w:t>ry-fried soybeans</w:t>
      </w:r>
      <w:r w:rsidRPr="00D57009">
        <w:rPr>
          <w:rFonts w:ascii="Book Antiqua" w:eastAsia="Book Antiqua" w:hAnsi="Book Antiqua" w:cs="Book Antiqua"/>
          <w:b/>
          <w:bCs/>
          <w:color w:val="000000"/>
        </w:rPr>
        <w:t xml:space="preserve"> and </w:t>
      </w:r>
      <w:r w:rsidR="004668A8" w:rsidRPr="00D57009">
        <w:rPr>
          <w:rFonts w:ascii="Book Antiqua" w:eastAsia="Book Antiqua" w:hAnsi="Book Antiqua" w:cs="Book Antiqua"/>
          <w:b/>
          <w:bCs/>
          <w:color w:val="000000"/>
        </w:rPr>
        <w:t>c</w:t>
      </w:r>
      <w:r w:rsidRPr="00D57009">
        <w:rPr>
          <w:rFonts w:ascii="Book Antiqua" w:eastAsia="Book Antiqua" w:hAnsi="Book Antiqua" w:cs="Book Antiqua"/>
          <w:b/>
          <w:bCs/>
          <w:color w:val="000000"/>
        </w:rPr>
        <w:t xml:space="preserve">ontrol groups at week 12. </w:t>
      </w:r>
      <w:r w:rsidR="004668A8" w:rsidRPr="00D57009">
        <w:rPr>
          <w:rFonts w:ascii="Book Antiqua" w:eastAsia="Book Antiqua" w:hAnsi="Book Antiqua" w:cs="Book Antiqua"/>
          <w:bCs/>
          <w:color w:val="000000"/>
        </w:rPr>
        <w:t xml:space="preserve">NAFLD: </w:t>
      </w:r>
      <w:r w:rsidR="004668A8" w:rsidRPr="00D57009">
        <w:rPr>
          <w:rFonts w:ascii="Book Antiqua" w:eastAsia="Book Antiqua" w:hAnsi="Book Antiqua" w:cs="Book Antiqua"/>
          <w:color w:val="000000"/>
        </w:rPr>
        <w:t>Nonalcoholic fatty liver disease</w:t>
      </w:r>
      <w:r w:rsidRPr="00D57009">
        <w:rPr>
          <w:rFonts w:ascii="Book Antiqua" w:eastAsia="Book Antiqua" w:hAnsi="Book Antiqua" w:cs="Book Antiqua"/>
          <w:color w:val="000000"/>
        </w:rPr>
        <w:t>.</w:t>
      </w:r>
    </w:p>
    <w:p w14:paraId="5F175A4D" w14:textId="77777777" w:rsidR="009D1D10" w:rsidRPr="00123B18" w:rsidRDefault="00AF4927">
      <w:pPr>
        <w:snapToGrid w:val="0"/>
        <w:spacing w:line="360" w:lineRule="auto"/>
        <w:jc w:val="both"/>
        <w:rPr>
          <w:rFonts w:ascii="Book Antiqua" w:hAnsi="Book Antiqua"/>
        </w:rPr>
      </w:pPr>
      <w:r w:rsidRPr="00D57009">
        <w:rPr>
          <w:rFonts w:ascii="Book Antiqua" w:hAnsi="Book Antiqua"/>
        </w:rPr>
        <w:br w:type="page"/>
      </w:r>
      <w:r w:rsidRPr="00A80307">
        <w:rPr>
          <w:rFonts w:ascii="Book Antiqua" w:hAnsi="Book Antiqua"/>
          <w:noProof/>
          <w:lang w:eastAsia="zh-CN"/>
        </w:rPr>
        <w:drawing>
          <wp:inline distT="0" distB="0" distL="0" distR="0" wp14:anchorId="3F4FB64F" wp14:editId="7011C89E">
            <wp:extent cx="5486400" cy="3283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283585"/>
                    </a:xfrm>
                    <a:prstGeom prst="rect">
                      <a:avLst/>
                    </a:prstGeom>
                  </pic:spPr>
                </pic:pic>
              </a:graphicData>
            </a:graphic>
          </wp:inline>
        </w:drawing>
      </w:r>
    </w:p>
    <w:p w14:paraId="1DF0203B" w14:textId="77777777" w:rsidR="009D1D10" w:rsidRPr="00D57009" w:rsidRDefault="00AF4927">
      <w:pPr>
        <w:snapToGrid w:val="0"/>
        <w:spacing w:line="360" w:lineRule="auto"/>
        <w:jc w:val="both"/>
        <w:rPr>
          <w:rFonts w:ascii="Book Antiqua" w:eastAsia="Book Antiqua" w:hAnsi="Book Antiqua" w:cs="Book Antiqua"/>
          <w:b/>
          <w:bCs/>
          <w:color w:val="000000"/>
        </w:rPr>
      </w:pPr>
      <w:r w:rsidRPr="00D57009">
        <w:rPr>
          <w:rFonts w:ascii="Book Antiqua" w:eastAsia="Book Antiqua" w:hAnsi="Book Antiqua" w:cs="Book Antiqua"/>
          <w:b/>
          <w:bCs/>
          <w:color w:val="000000"/>
        </w:rPr>
        <w:t xml:space="preserve">Figure 7 Correlation between Metabolites and Pathology score between </w:t>
      </w:r>
      <w:r w:rsidR="004668A8" w:rsidRPr="00D57009">
        <w:rPr>
          <w:rFonts w:ascii="Book Antiqua" w:eastAsia="宋体" w:hAnsi="Book Antiqua" w:cs="Book Antiqua"/>
          <w:b/>
          <w:color w:val="000000"/>
          <w:lang w:eastAsia="zh-CN"/>
        </w:rPr>
        <w:t>d</w:t>
      </w:r>
      <w:r w:rsidR="004668A8" w:rsidRPr="00D57009">
        <w:rPr>
          <w:rFonts w:ascii="Book Antiqua" w:eastAsia="Book Antiqua" w:hAnsi="Book Antiqua" w:cs="Book Antiqua"/>
          <w:b/>
          <w:color w:val="000000"/>
        </w:rPr>
        <w:t>ry-fried soybeans</w:t>
      </w:r>
      <w:r w:rsidRPr="00D57009">
        <w:rPr>
          <w:rFonts w:ascii="Book Antiqua" w:eastAsia="Book Antiqua" w:hAnsi="Book Antiqua" w:cs="Book Antiqua"/>
          <w:b/>
          <w:bCs/>
          <w:color w:val="000000"/>
        </w:rPr>
        <w:t xml:space="preserve"> and </w:t>
      </w:r>
      <w:r w:rsidR="004668A8" w:rsidRPr="00D57009">
        <w:rPr>
          <w:rFonts w:ascii="Book Antiqua" w:eastAsia="宋体" w:hAnsi="Book Antiqua" w:cs="Book Antiqua"/>
          <w:b/>
          <w:color w:val="000000"/>
          <w:lang w:eastAsia="zh-CN"/>
        </w:rPr>
        <w:t>n</w:t>
      </w:r>
      <w:r w:rsidR="004668A8" w:rsidRPr="00D57009">
        <w:rPr>
          <w:rFonts w:ascii="Book Antiqua" w:eastAsia="Book Antiqua" w:hAnsi="Book Antiqua" w:cs="Book Antiqua"/>
          <w:b/>
          <w:color w:val="000000"/>
        </w:rPr>
        <w:t>onfried soybeans</w:t>
      </w:r>
      <w:r w:rsidRPr="00D57009">
        <w:rPr>
          <w:rFonts w:ascii="Book Antiqua" w:eastAsia="Book Antiqua" w:hAnsi="Book Antiqua" w:cs="Book Antiqua"/>
          <w:b/>
          <w:bCs/>
          <w:color w:val="000000"/>
        </w:rPr>
        <w:t xml:space="preserve"> groups at week 12. </w:t>
      </w:r>
      <w:r w:rsidRPr="00D57009">
        <w:rPr>
          <w:rFonts w:ascii="Book Antiqua" w:eastAsia="Book Antiqua" w:hAnsi="Book Antiqua" w:cs="Book Antiqua"/>
          <w:bCs/>
          <w:color w:val="000000"/>
        </w:rPr>
        <w:t xml:space="preserve">NAFLD: </w:t>
      </w:r>
      <w:r w:rsidRPr="00D57009">
        <w:rPr>
          <w:rFonts w:ascii="Book Antiqua" w:eastAsia="Book Antiqua" w:hAnsi="Book Antiqua" w:cs="Book Antiqua"/>
          <w:color w:val="000000"/>
        </w:rPr>
        <w:t>Nonalcoholic fatty liver disease.</w:t>
      </w:r>
    </w:p>
    <w:p w14:paraId="20112C43" w14:textId="77777777" w:rsidR="009D1D10" w:rsidRPr="00D57009" w:rsidRDefault="00AF4927">
      <w:pPr>
        <w:snapToGrid w:val="0"/>
        <w:spacing w:line="360" w:lineRule="auto"/>
        <w:jc w:val="both"/>
        <w:rPr>
          <w:rFonts w:ascii="Book Antiqua" w:hAnsi="Book Antiqua" w:cs="Arial"/>
          <w:b/>
          <w:bCs/>
        </w:rPr>
      </w:pPr>
      <w:r w:rsidRPr="00D57009">
        <w:rPr>
          <w:rFonts w:ascii="Book Antiqua" w:eastAsia="Book Antiqua" w:hAnsi="Book Antiqua" w:cs="Book Antiqua"/>
          <w:b/>
          <w:bCs/>
          <w:color w:val="000000"/>
        </w:rPr>
        <w:br w:type="page"/>
      </w:r>
      <w:r w:rsidRPr="00D57009">
        <w:rPr>
          <w:rFonts w:ascii="Book Antiqua" w:hAnsi="Book Antiqua" w:cs="Arial"/>
          <w:b/>
          <w:bCs/>
        </w:rPr>
        <w:t>Table 1 Major components of the three different diet (g/100 g diet)</w:t>
      </w:r>
    </w:p>
    <w:tbl>
      <w:tblPr>
        <w:tblStyle w:val="a8"/>
        <w:tblW w:w="894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4"/>
        <w:gridCol w:w="1151"/>
        <w:gridCol w:w="1296"/>
        <w:gridCol w:w="1560"/>
        <w:gridCol w:w="2698"/>
      </w:tblGrid>
      <w:tr w:rsidR="009D1D10" w:rsidRPr="00D57009" w14:paraId="62528413" w14:textId="77777777" w:rsidTr="003326DB">
        <w:trPr>
          <w:trHeight w:val="692"/>
          <w:jc w:val="center"/>
        </w:trPr>
        <w:tc>
          <w:tcPr>
            <w:tcW w:w="2244" w:type="dxa"/>
            <w:tcBorders>
              <w:top w:val="single" w:sz="4" w:space="0" w:color="auto"/>
              <w:bottom w:val="single" w:sz="4" w:space="0" w:color="auto"/>
            </w:tcBorders>
          </w:tcPr>
          <w:p w14:paraId="4DDBBBFD" w14:textId="77777777" w:rsidR="009D1D10" w:rsidRPr="00D57009" w:rsidRDefault="009D1D10">
            <w:pPr>
              <w:snapToGrid w:val="0"/>
              <w:spacing w:line="360" w:lineRule="auto"/>
              <w:jc w:val="both"/>
              <w:rPr>
                <w:rFonts w:ascii="Book Antiqua" w:eastAsia="宋体" w:hAnsi="Book Antiqua" w:cs="Arial"/>
                <w:b/>
                <w:lang w:eastAsia="zh-CN"/>
              </w:rPr>
            </w:pPr>
          </w:p>
        </w:tc>
        <w:tc>
          <w:tcPr>
            <w:tcW w:w="1151" w:type="dxa"/>
            <w:tcBorders>
              <w:top w:val="single" w:sz="4" w:space="0" w:color="auto"/>
              <w:bottom w:val="single" w:sz="4" w:space="0" w:color="auto"/>
            </w:tcBorders>
          </w:tcPr>
          <w:p w14:paraId="01C7B4DA"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Control group</w:t>
            </w:r>
          </w:p>
        </w:tc>
        <w:tc>
          <w:tcPr>
            <w:tcW w:w="1296" w:type="dxa"/>
            <w:tcBorders>
              <w:top w:val="single" w:sz="4" w:space="0" w:color="auto"/>
              <w:bottom w:val="single" w:sz="4" w:space="0" w:color="auto"/>
            </w:tcBorders>
          </w:tcPr>
          <w:p w14:paraId="6571BDCC"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NDFS group</w:t>
            </w:r>
          </w:p>
        </w:tc>
        <w:tc>
          <w:tcPr>
            <w:tcW w:w="1560" w:type="dxa"/>
            <w:tcBorders>
              <w:top w:val="single" w:sz="4" w:space="0" w:color="auto"/>
              <w:bottom w:val="single" w:sz="4" w:space="0" w:color="auto"/>
            </w:tcBorders>
          </w:tcPr>
          <w:p w14:paraId="578B3A90"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DFS group</w:t>
            </w:r>
          </w:p>
        </w:tc>
        <w:tc>
          <w:tcPr>
            <w:tcW w:w="2698" w:type="dxa"/>
            <w:tcBorders>
              <w:top w:val="single" w:sz="4" w:space="0" w:color="auto"/>
              <w:bottom w:val="single" w:sz="4" w:space="0" w:color="auto"/>
            </w:tcBorders>
          </w:tcPr>
          <w:p w14:paraId="13529609" w14:textId="77777777" w:rsidR="009D1D10" w:rsidRPr="00D57009" w:rsidRDefault="00AF4927">
            <w:pPr>
              <w:snapToGrid w:val="0"/>
              <w:spacing w:line="360" w:lineRule="auto"/>
              <w:jc w:val="both"/>
              <w:rPr>
                <w:rFonts w:ascii="Book Antiqua" w:eastAsia="宋体" w:hAnsi="Book Antiqua" w:cs="Arial"/>
                <w:b/>
                <w:lang w:eastAsia="zh-CN"/>
              </w:rPr>
            </w:pPr>
            <w:r w:rsidRPr="00D57009">
              <w:rPr>
                <w:rFonts w:ascii="Book Antiqua" w:eastAsia="宋体" w:hAnsi="Book Antiqua" w:cs="Arial"/>
                <w:b/>
                <w:lang w:eastAsia="zh-CN"/>
              </w:rPr>
              <w:t>Reference method</w:t>
            </w:r>
          </w:p>
        </w:tc>
      </w:tr>
      <w:tr w:rsidR="009D1D10" w:rsidRPr="00D57009" w14:paraId="55A1F73A" w14:textId="77777777">
        <w:trPr>
          <w:jc w:val="center"/>
        </w:trPr>
        <w:tc>
          <w:tcPr>
            <w:tcW w:w="2244" w:type="dxa"/>
            <w:tcBorders>
              <w:top w:val="single" w:sz="4" w:space="0" w:color="auto"/>
            </w:tcBorders>
          </w:tcPr>
          <w:p w14:paraId="12A1BE92" w14:textId="7C14019B"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Water</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Borders>
              <w:top w:val="single" w:sz="4" w:space="0" w:color="auto"/>
            </w:tcBorders>
          </w:tcPr>
          <w:p w14:paraId="6218AF91"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8.1</w:t>
            </w:r>
          </w:p>
        </w:tc>
        <w:tc>
          <w:tcPr>
            <w:tcW w:w="1296" w:type="dxa"/>
            <w:tcBorders>
              <w:top w:val="single" w:sz="4" w:space="0" w:color="auto"/>
            </w:tcBorders>
          </w:tcPr>
          <w:p w14:paraId="6814474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9.0</w:t>
            </w:r>
          </w:p>
        </w:tc>
        <w:tc>
          <w:tcPr>
            <w:tcW w:w="1560" w:type="dxa"/>
            <w:tcBorders>
              <w:top w:val="single" w:sz="4" w:space="0" w:color="auto"/>
            </w:tcBorders>
          </w:tcPr>
          <w:p w14:paraId="6CFF8DCA"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7.1</w:t>
            </w:r>
          </w:p>
        </w:tc>
        <w:tc>
          <w:tcPr>
            <w:tcW w:w="2698" w:type="dxa"/>
            <w:tcBorders>
              <w:top w:val="single" w:sz="4" w:space="0" w:color="auto"/>
            </w:tcBorders>
          </w:tcPr>
          <w:p w14:paraId="22EF692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6435-2014 8.1</w:t>
            </w:r>
          </w:p>
        </w:tc>
      </w:tr>
      <w:tr w:rsidR="009D1D10" w:rsidRPr="00D57009" w14:paraId="103769DC" w14:textId="77777777">
        <w:trPr>
          <w:jc w:val="center"/>
        </w:trPr>
        <w:tc>
          <w:tcPr>
            <w:tcW w:w="2244" w:type="dxa"/>
          </w:tcPr>
          <w:p w14:paraId="419641CA" w14:textId="45BC40C1"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Fat</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Pr>
          <w:p w14:paraId="3C66B46E"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4.6</w:t>
            </w:r>
          </w:p>
        </w:tc>
        <w:tc>
          <w:tcPr>
            <w:tcW w:w="1296" w:type="dxa"/>
          </w:tcPr>
          <w:p w14:paraId="4B24B5D4"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14.2</w:t>
            </w:r>
          </w:p>
        </w:tc>
        <w:tc>
          <w:tcPr>
            <w:tcW w:w="1560" w:type="dxa"/>
          </w:tcPr>
          <w:p w14:paraId="5A6065FF"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11.0</w:t>
            </w:r>
          </w:p>
        </w:tc>
        <w:tc>
          <w:tcPr>
            <w:tcW w:w="2698" w:type="dxa"/>
          </w:tcPr>
          <w:p w14:paraId="3F35DBA0"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6433-2006</w:t>
            </w:r>
          </w:p>
        </w:tc>
      </w:tr>
      <w:tr w:rsidR="009D1D10" w:rsidRPr="00D57009" w14:paraId="3B6C7094" w14:textId="77777777">
        <w:trPr>
          <w:jc w:val="center"/>
        </w:trPr>
        <w:tc>
          <w:tcPr>
            <w:tcW w:w="2244" w:type="dxa"/>
          </w:tcPr>
          <w:p w14:paraId="38E4E381" w14:textId="2AACBC2A"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Protein</w:t>
            </w:r>
            <w:r w:rsidR="00F736F1">
              <w:rPr>
                <w:rFonts w:ascii="Book Antiqua" w:eastAsia="宋体" w:hAnsi="Book Antiqua" w:cs="Arial"/>
                <w:lang w:eastAsia="zh-CN"/>
              </w:rPr>
              <w:t>,</w:t>
            </w:r>
            <w:r w:rsidRPr="00F736F1">
              <w:rPr>
                <w:rFonts w:ascii="Book Antiqua" w:eastAsia="宋体" w:hAnsi="Book Antiqua" w:cs="Arial"/>
                <w:lang w:eastAsia="zh-CN"/>
              </w:rPr>
              <w:t xml:space="preserve"> %</w:t>
            </w:r>
          </w:p>
        </w:tc>
        <w:tc>
          <w:tcPr>
            <w:tcW w:w="1151" w:type="dxa"/>
          </w:tcPr>
          <w:p w14:paraId="3FF8A9C0"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21.0</w:t>
            </w:r>
          </w:p>
        </w:tc>
        <w:tc>
          <w:tcPr>
            <w:tcW w:w="1296" w:type="dxa"/>
          </w:tcPr>
          <w:p w14:paraId="4194F514"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29.6</w:t>
            </w:r>
          </w:p>
        </w:tc>
        <w:tc>
          <w:tcPr>
            <w:tcW w:w="1560" w:type="dxa"/>
          </w:tcPr>
          <w:p w14:paraId="0A8AE14D"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31.2</w:t>
            </w:r>
          </w:p>
        </w:tc>
        <w:tc>
          <w:tcPr>
            <w:tcW w:w="2698" w:type="dxa"/>
          </w:tcPr>
          <w:p w14:paraId="0CF20312"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GB/T 6432-2018</w:t>
            </w:r>
          </w:p>
        </w:tc>
      </w:tr>
      <w:tr w:rsidR="009D1D10" w:rsidRPr="00D57009" w14:paraId="4F2AB7C7" w14:textId="77777777">
        <w:trPr>
          <w:jc w:val="center"/>
        </w:trPr>
        <w:tc>
          <w:tcPr>
            <w:tcW w:w="2244" w:type="dxa"/>
          </w:tcPr>
          <w:p w14:paraId="4A27A998" w14:textId="138D0DAA" w:rsidR="009D1D10" w:rsidRPr="00F736F1"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Carbohydrates</w:t>
            </w:r>
            <w:r w:rsidR="00F736F1">
              <w:rPr>
                <w:rFonts w:ascii="Book Antiqua" w:eastAsia="宋体" w:hAnsi="Book Antiqua" w:cs="Arial"/>
                <w:lang w:eastAsia="zh-CN"/>
              </w:rPr>
              <w:t>,</w:t>
            </w:r>
            <w:r w:rsidRPr="00F736F1">
              <w:rPr>
                <w:rFonts w:ascii="Book Antiqua" w:eastAsia="宋体" w:hAnsi="Book Antiqua" w:cs="Arial"/>
                <w:lang w:eastAsia="zh-CN"/>
              </w:rPr>
              <w:t xml:space="preserve"> g/100 g</w:t>
            </w:r>
          </w:p>
        </w:tc>
        <w:tc>
          <w:tcPr>
            <w:tcW w:w="1151" w:type="dxa"/>
          </w:tcPr>
          <w:p w14:paraId="6EA1FF29"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59.9</w:t>
            </w:r>
          </w:p>
        </w:tc>
        <w:tc>
          <w:tcPr>
            <w:tcW w:w="1296" w:type="dxa"/>
          </w:tcPr>
          <w:p w14:paraId="57C6CB05"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41.8</w:t>
            </w:r>
          </w:p>
        </w:tc>
        <w:tc>
          <w:tcPr>
            <w:tcW w:w="1560" w:type="dxa"/>
          </w:tcPr>
          <w:p w14:paraId="006753DD"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45.2</w:t>
            </w:r>
          </w:p>
        </w:tc>
        <w:tc>
          <w:tcPr>
            <w:tcW w:w="2698" w:type="dxa"/>
          </w:tcPr>
          <w:p w14:paraId="1708FEFC"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GB/Z 21922-2008</w:t>
            </w:r>
          </w:p>
        </w:tc>
      </w:tr>
      <w:tr w:rsidR="009D1D10" w:rsidRPr="00D57009" w14:paraId="3146A62C" w14:textId="77777777">
        <w:trPr>
          <w:jc w:val="center"/>
        </w:trPr>
        <w:tc>
          <w:tcPr>
            <w:tcW w:w="2244" w:type="dxa"/>
          </w:tcPr>
          <w:p w14:paraId="34D93846" w14:textId="6B3538B8" w:rsidR="009D1D10" w:rsidRPr="00D57009" w:rsidRDefault="00AF4927" w:rsidP="00123B18">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Energ</w:t>
            </w:r>
            <w:r w:rsidR="001927E7" w:rsidRPr="00D57009">
              <w:rPr>
                <w:rFonts w:ascii="Book Antiqua" w:eastAsia="宋体" w:hAnsi="Book Antiqua" w:cs="Arial"/>
                <w:lang w:eastAsia="zh-CN"/>
              </w:rPr>
              <w:t>y</w:t>
            </w:r>
            <w:r w:rsidR="00F736F1">
              <w:rPr>
                <w:rFonts w:ascii="Book Antiqua" w:eastAsia="宋体" w:hAnsi="Book Antiqua" w:cs="Arial"/>
                <w:lang w:eastAsia="zh-CN"/>
              </w:rPr>
              <w:t>,</w:t>
            </w:r>
            <w:r w:rsidRPr="00D57009">
              <w:rPr>
                <w:rFonts w:ascii="Book Antiqua" w:eastAsia="宋体" w:hAnsi="Book Antiqua" w:cs="Arial"/>
                <w:lang w:eastAsia="zh-CN"/>
              </w:rPr>
              <w:t xml:space="preserve"> KJ/100 g</w:t>
            </w:r>
          </w:p>
        </w:tc>
        <w:tc>
          <w:tcPr>
            <w:tcW w:w="1151" w:type="dxa"/>
          </w:tcPr>
          <w:p w14:paraId="0C509F76"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1546</w:t>
            </w:r>
          </w:p>
        </w:tc>
        <w:tc>
          <w:tcPr>
            <w:tcW w:w="1296" w:type="dxa"/>
          </w:tcPr>
          <w:p w14:paraId="0C023708"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1739</w:t>
            </w:r>
          </w:p>
        </w:tc>
        <w:tc>
          <w:tcPr>
            <w:tcW w:w="1560" w:type="dxa"/>
          </w:tcPr>
          <w:p w14:paraId="4C05D41F"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1706</w:t>
            </w:r>
          </w:p>
        </w:tc>
        <w:tc>
          <w:tcPr>
            <w:tcW w:w="2698" w:type="dxa"/>
          </w:tcPr>
          <w:p w14:paraId="16A7752B" w14:textId="77777777" w:rsidR="009D1D10" w:rsidRPr="00D57009" w:rsidRDefault="00AF4927">
            <w:pPr>
              <w:snapToGrid w:val="0"/>
              <w:spacing w:line="360" w:lineRule="auto"/>
              <w:jc w:val="both"/>
              <w:rPr>
                <w:rFonts w:ascii="Book Antiqua" w:eastAsia="宋体" w:hAnsi="Book Antiqua" w:cs="Arial"/>
                <w:lang w:eastAsia="zh-CN"/>
              </w:rPr>
            </w:pPr>
            <w:r w:rsidRPr="00D57009">
              <w:rPr>
                <w:rFonts w:ascii="Book Antiqua" w:eastAsia="宋体" w:hAnsi="Book Antiqua" w:cs="Arial"/>
                <w:lang w:eastAsia="zh-CN"/>
              </w:rPr>
              <w:t>GB/Z 21922-2008</w:t>
            </w:r>
          </w:p>
        </w:tc>
      </w:tr>
    </w:tbl>
    <w:p w14:paraId="7E61BE9F" w14:textId="6931F5DC" w:rsidR="009D1D10" w:rsidRPr="00D57009" w:rsidRDefault="009E2757" w:rsidP="00123B18">
      <w:pPr>
        <w:snapToGrid w:val="0"/>
        <w:spacing w:line="360" w:lineRule="auto"/>
        <w:jc w:val="both"/>
        <w:rPr>
          <w:rFonts w:ascii="Book Antiqua" w:eastAsia="Book Antiqua" w:hAnsi="Book Antiqua" w:cs="Book Antiqua"/>
          <w:b/>
          <w:bCs/>
          <w:color w:val="000000"/>
        </w:rPr>
      </w:pPr>
      <w:r w:rsidRPr="004C4C07">
        <w:rPr>
          <w:rFonts w:ascii="Book Antiqua" w:eastAsia="Book Antiqua" w:hAnsi="Book Antiqua" w:cs="Book Antiqua"/>
          <w:color w:val="000000"/>
        </w:rPr>
        <w:t>DFS:</w:t>
      </w:r>
      <w:r w:rsidRPr="004C4C07">
        <w:rPr>
          <w:rFonts w:ascii="Book Antiqua" w:eastAsia="宋体" w:hAnsi="Book Antiqua" w:cs="Book Antiqua"/>
          <w:color w:val="000000"/>
          <w:lang w:eastAsia="zh-CN"/>
        </w:rPr>
        <w:t xml:space="preserve"> D</w:t>
      </w:r>
      <w:r w:rsidRPr="004C4C07">
        <w:rPr>
          <w:rFonts w:ascii="Book Antiqua" w:eastAsia="Book Antiqua" w:hAnsi="Book Antiqua" w:cs="Book Antiqua"/>
          <w:color w:val="000000"/>
        </w:rPr>
        <w:t>ry-fried soybeans</w:t>
      </w:r>
      <w:r>
        <w:rPr>
          <w:rFonts w:ascii="Book Antiqua" w:eastAsia="Book Antiqua" w:hAnsi="Book Antiqua" w:cs="Book Antiqua"/>
          <w:color w:val="000000"/>
        </w:rPr>
        <w:t>;</w:t>
      </w:r>
      <w:r w:rsidRPr="009E2757">
        <w:rPr>
          <w:rFonts w:ascii="Book Antiqua" w:eastAsia="Book Antiqua" w:hAnsi="Book Antiqua" w:cs="Book Antiqua"/>
          <w:color w:val="000000"/>
        </w:rPr>
        <w:t xml:space="preserve"> </w:t>
      </w:r>
      <w:r w:rsidR="00AF4927" w:rsidRPr="009E2757">
        <w:rPr>
          <w:rFonts w:ascii="Book Antiqua" w:eastAsia="Book Antiqua" w:hAnsi="Book Antiqua" w:cs="Book Antiqua"/>
          <w:color w:val="000000"/>
        </w:rPr>
        <w:t xml:space="preserve">NDFS: </w:t>
      </w:r>
      <w:r w:rsidR="00AF4927" w:rsidRPr="009E2757">
        <w:rPr>
          <w:rFonts w:ascii="Book Antiqua" w:eastAsia="宋体" w:hAnsi="Book Antiqua" w:cs="Book Antiqua"/>
          <w:color w:val="000000"/>
          <w:lang w:eastAsia="zh-CN"/>
        </w:rPr>
        <w:t>N</w:t>
      </w:r>
      <w:r w:rsidR="00AF4927" w:rsidRPr="00D57009">
        <w:rPr>
          <w:rFonts w:ascii="Book Antiqua" w:eastAsia="Book Antiqua" w:hAnsi="Book Antiqua" w:cs="Book Antiqua"/>
          <w:color w:val="000000"/>
        </w:rPr>
        <w:t>onfried soybeans.</w:t>
      </w:r>
    </w:p>
    <w:p w14:paraId="06DAD566" w14:textId="77777777" w:rsidR="009D1D10" w:rsidRPr="00D57009" w:rsidRDefault="009D1D10">
      <w:pPr>
        <w:snapToGrid w:val="0"/>
        <w:spacing w:line="360" w:lineRule="auto"/>
        <w:jc w:val="both"/>
        <w:rPr>
          <w:rFonts w:ascii="Book Antiqua" w:hAnsi="Book Antiqua"/>
        </w:rPr>
      </w:pPr>
    </w:p>
    <w:sectPr w:rsidR="009D1D10" w:rsidRPr="00D5700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CADEC" w14:textId="77777777" w:rsidR="005602D8" w:rsidRDefault="005602D8">
      <w:r>
        <w:separator/>
      </w:r>
    </w:p>
  </w:endnote>
  <w:endnote w:type="continuationSeparator" w:id="0">
    <w:p w14:paraId="58B9C60B" w14:textId="77777777" w:rsidR="005602D8" w:rsidRDefault="00560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52340706"/>
      <w:docPartObj>
        <w:docPartGallery w:val="Page Numbers (Bottom of Page)"/>
        <w:docPartUnique/>
      </w:docPartObj>
    </w:sdtPr>
    <w:sdtEndPr>
      <w:rPr>
        <w:noProof/>
      </w:rPr>
    </w:sdtEndPr>
    <w:sdtContent>
      <w:p w14:paraId="38BF5484" w14:textId="76E4638B" w:rsidR="004C71C4" w:rsidRPr="00A80307" w:rsidRDefault="004C71C4">
        <w:pPr>
          <w:pStyle w:val="a5"/>
          <w:jc w:val="right"/>
          <w:rPr>
            <w:rFonts w:ascii="Book Antiqua" w:hAnsi="Book Antiqua"/>
            <w:sz w:val="24"/>
            <w:szCs w:val="24"/>
          </w:rPr>
        </w:pPr>
        <w:r w:rsidRPr="00A80307">
          <w:rPr>
            <w:rFonts w:ascii="Book Antiqua" w:hAnsi="Book Antiqua"/>
            <w:sz w:val="24"/>
            <w:szCs w:val="24"/>
          </w:rPr>
          <w:fldChar w:fldCharType="begin"/>
        </w:r>
        <w:r w:rsidRPr="00A80307">
          <w:rPr>
            <w:rFonts w:ascii="Book Antiqua" w:hAnsi="Book Antiqua"/>
            <w:sz w:val="24"/>
            <w:szCs w:val="24"/>
          </w:rPr>
          <w:instrText xml:space="preserve"> PAGE   \* MERGEFORMAT </w:instrText>
        </w:r>
        <w:r w:rsidRPr="00A80307">
          <w:rPr>
            <w:rFonts w:ascii="Book Antiqua" w:hAnsi="Book Antiqua"/>
            <w:sz w:val="24"/>
            <w:szCs w:val="24"/>
          </w:rPr>
          <w:fldChar w:fldCharType="separate"/>
        </w:r>
        <w:r w:rsidR="005602D8">
          <w:rPr>
            <w:rFonts w:ascii="Book Antiqua" w:hAnsi="Book Antiqua"/>
            <w:noProof/>
            <w:sz w:val="24"/>
            <w:szCs w:val="24"/>
          </w:rPr>
          <w:t>1</w:t>
        </w:r>
        <w:r w:rsidRPr="00A80307">
          <w:rPr>
            <w:rFonts w:ascii="Book Antiqua" w:hAnsi="Book Antiqua"/>
            <w:noProof/>
            <w:sz w:val="24"/>
            <w:szCs w:val="24"/>
          </w:rPr>
          <w:fldChar w:fldCharType="end"/>
        </w:r>
        <w:r w:rsidR="00123B18">
          <w:rPr>
            <w:rFonts w:ascii="Book Antiqua" w:hAnsi="Book Antiqua"/>
            <w:noProof/>
            <w:sz w:val="24"/>
            <w:szCs w:val="24"/>
          </w:rPr>
          <w:t xml:space="preserve"> </w:t>
        </w:r>
        <w:r w:rsidRPr="00A80307">
          <w:rPr>
            <w:rFonts w:ascii="Book Antiqua" w:hAnsi="Book Antiqua"/>
            <w:noProof/>
            <w:sz w:val="24"/>
            <w:szCs w:val="24"/>
          </w:rPr>
          <w:t>/</w:t>
        </w:r>
        <w:r w:rsidR="00123B18">
          <w:rPr>
            <w:rFonts w:ascii="Book Antiqua" w:hAnsi="Book Antiqua"/>
            <w:noProof/>
            <w:sz w:val="24"/>
            <w:szCs w:val="24"/>
          </w:rPr>
          <w:t xml:space="preserve"> </w:t>
        </w:r>
        <w:r w:rsidRPr="00A80307">
          <w:rPr>
            <w:rFonts w:ascii="Book Antiqua" w:hAnsi="Book Antiqua"/>
            <w:noProof/>
            <w:sz w:val="24"/>
            <w:szCs w:val="24"/>
          </w:rPr>
          <w:t>3</w:t>
        </w:r>
        <w:r w:rsidR="00A80307">
          <w:rPr>
            <w:rFonts w:ascii="Book Antiqua" w:hAnsi="Book Antiqua"/>
            <w:noProof/>
            <w:sz w:val="24"/>
            <w:szCs w:val="24"/>
          </w:rPr>
          <w:t>1</w:t>
        </w:r>
      </w:p>
    </w:sdtContent>
  </w:sdt>
  <w:p w14:paraId="4D821AAC" w14:textId="77777777" w:rsidR="009D1D10" w:rsidRDefault="009D1D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693A3" w14:textId="77777777" w:rsidR="005602D8" w:rsidRDefault="005602D8">
      <w:r>
        <w:separator/>
      </w:r>
    </w:p>
  </w:footnote>
  <w:footnote w:type="continuationSeparator" w:id="0">
    <w:p w14:paraId="12218DCE" w14:textId="77777777" w:rsidR="005602D8" w:rsidRDefault="00560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8C1"/>
    <w:rsid w:val="00036772"/>
    <w:rsid w:val="0006586D"/>
    <w:rsid w:val="00083AE2"/>
    <w:rsid w:val="000B19AA"/>
    <w:rsid w:val="000C0378"/>
    <w:rsid w:val="000C3960"/>
    <w:rsid w:val="000D17E3"/>
    <w:rsid w:val="00101276"/>
    <w:rsid w:val="00103160"/>
    <w:rsid w:val="001117C6"/>
    <w:rsid w:val="00123B18"/>
    <w:rsid w:val="00192705"/>
    <w:rsid w:val="001927E7"/>
    <w:rsid w:val="001A1C2C"/>
    <w:rsid w:val="001A783B"/>
    <w:rsid w:val="001B6C15"/>
    <w:rsid w:val="001E28C0"/>
    <w:rsid w:val="00230DD5"/>
    <w:rsid w:val="00252F42"/>
    <w:rsid w:val="002E3EFE"/>
    <w:rsid w:val="003326DB"/>
    <w:rsid w:val="0033393A"/>
    <w:rsid w:val="00376B3B"/>
    <w:rsid w:val="003B67D3"/>
    <w:rsid w:val="003F20F2"/>
    <w:rsid w:val="00422CFA"/>
    <w:rsid w:val="004668A8"/>
    <w:rsid w:val="00480042"/>
    <w:rsid w:val="004B65ED"/>
    <w:rsid w:val="004C71C4"/>
    <w:rsid w:val="00502385"/>
    <w:rsid w:val="0055610E"/>
    <w:rsid w:val="005602D8"/>
    <w:rsid w:val="00575B78"/>
    <w:rsid w:val="00582BF1"/>
    <w:rsid w:val="005A0D4C"/>
    <w:rsid w:val="005F4CAC"/>
    <w:rsid w:val="0062064F"/>
    <w:rsid w:val="00627499"/>
    <w:rsid w:val="0063303F"/>
    <w:rsid w:val="006448CA"/>
    <w:rsid w:val="006836C1"/>
    <w:rsid w:val="006A19D5"/>
    <w:rsid w:val="006B7867"/>
    <w:rsid w:val="006E699E"/>
    <w:rsid w:val="0074446B"/>
    <w:rsid w:val="00834AF4"/>
    <w:rsid w:val="00863F58"/>
    <w:rsid w:val="00865587"/>
    <w:rsid w:val="008674D1"/>
    <w:rsid w:val="008E17C6"/>
    <w:rsid w:val="009124A7"/>
    <w:rsid w:val="00955FF9"/>
    <w:rsid w:val="00960802"/>
    <w:rsid w:val="009C13EB"/>
    <w:rsid w:val="009D1D10"/>
    <w:rsid w:val="009E2757"/>
    <w:rsid w:val="009E2B45"/>
    <w:rsid w:val="00A00DA2"/>
    <w:rsid w:val="00A06F88"/>
    <w:rsid w:val="00A64378"/>
    <w:rsid w:val="00A77B3E"/>
    <w:rsid w:val="00A80307"/>
    <w:rsid w:val="00AB3278"/>
    <w:rsid w:val="00AF01DE"/>
    <w:rsid w:val="00AF4927"/>
    <w:rsid w:val="00B0239D"/>
    <w:rsid w:val="00B76B27"/>
    <w:rsid w:val="00B83960"/>
    <w:rsid w:val="00BA4B48"/>
    <w:rsid w:val="00BA6C2A"/>
    <w:rsid w:val="00C47D99"/>
    <w:rsid w:val="00C564BA"/>
    <w:rsid w:val="00C72CB8"/>
    <w:rsid w:val="00CA2A55"/>
    <w:rsid w:val="00CC6888"/>
    <w:rsid w:val="00D57009"/>
    <w:rsid w:val="00D63D2F"/>
    <w:rsid w:val="00D72E92"/>
    <w:rsid w:val="00D76DC9"/>
    <w:rsid w:val="00DB6326"/>
    <w:rsid w:val="00E11B98"/>
    <w:rsid w:val="00E61382"/>
    <w:rsid w:val="00E84B6B"/>
    <w:rsid w:val="00EA34E5"/>
    <w:rsid w:val="00EC1BCD"/>
    <w:rsid w:val="00F1633F"/>
    <w:rsid w:val="00F16441"/>
    <w:rsid w:val="00F2226C"/>
    <w:rsid w:val="00F41739"/>
    <w:rsid w:val="00F429CD"/>
    <w:rsid w:val="00F5281D"/>
    <w:rsid w:val="00F736F1"/>
    <w:rsid w:val="00F808DC"/>
    <w:rsid w:val="00FB77D2"/>
    <w:rsid w:val="0658444A"/>
    <w:rsid w:val="094D571D"/>
    <w:rsid w:val="097E5495"/>
    <w:rsid w:val="0BFB7CF9"/>
    <w:rsid w:val="0C631052"/>
    <w:rsid w:val="0F62668A"/>
    <w:rsid w:val="11CB74E3"/>
    <w:rsid w:val="1EF453B9"/>
    <w:rsid w:val="2CC33BFE"/>
    <w:rsid w:val="33CF48DD"/>
    <w:rsid w:val="56234B5B"/>
    <w:rsid w:val="57ED6484"/>
    <w:rsid w:val="60E81522"/>
    <w:rsid w:val="68AE4D13"/>
    <w:rsid w:val="70F71DEE"/>
    <w:rsid w:val="78E46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5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styleId="aa">
    <w:name w:val="Placeholder Text"/>
    <w:basedOn w:val="a0"/>
    <w:uiPriority w:val="99"/>
    <w:semiHidden/>
    <w:rsid w:val="002E3E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styleId="aa">
    <w:name w:val="Placeholder Text"/>
    <w:basedOn w:val="a0"/>
    <w:uiPriority w:val="99"/>
    <w:semiHidden/>
    <w:rsid w:val="002E3E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2AAA45-DE32-4B56-90BD-AC7F2127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31</Pages>
  <Words>6322</Words>
  <Characters>36042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代 亚宁</dc:creator>
  <cp:lastModifiedBy>liujihong2008@qq.con</cp:lastModifiedBy>
  <cp:revision>21</cp:revision>
  <dcterms:created xsi:type="dcterms:W3CDTF">2020-11-10T14:54:00Z</dcterms:created>
  <dcterms:modified xsi:type="dcterms:W3CDTF">2020-12-10T07:48:00Z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