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91AB8" w14:textId="77777777" w:rsidR="00A77B3E" w:rsidRPr="0033466F" w:rsidRDefault="001016E4" w:rsidP="00BC20FC">
      <w:pPr>
        <w:spacing w:line="360" w:lineRule="auto"/>
        <w:jc w:val="both"/>
        <w:rPr>
          <w:color w:val="000000" w:themeColor="text1"/>
        </w:rPr>
      </w:pPr>
      <w:r w:rsidRPr="0033466F">
        <w:rPr>
          <w:rFonts w:ascii="Book Antiqua" w:eastAsia="Book Antiqua" w:hAnsi="Book Antiqua" w:cs="Book Antiqua"/>
          <w:b/>
          <w:color w:val="000000" w:themeColor="text1"/>
        </w:rPr>
        <w:t xml:space="preserve">Name of Journal: </w:t>
      </w:r>
      <w:r w:rsidRPr="0033466F">
        <w:rPr>
          <w:rFonts w:ascii="Book Antiqua" w:eastAsia="Book Antiqua" w:hAnsi="Book Antiqua" w:cs="Book Antiqua"/>
          <w:i/>
          <w:color w:val="000000" w:themeColor="text1"/>
        </w:rPr>
        <w:t>World Journal of Gastroenterology</w:t>
      </w:r>
    </w:p>
    <w:p w14:paraId="34F2DE1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Manuscript NO: </w:t>
      </w:r>
      <w:r w:rsidRPr="0033466F">
        <w:rPr>
          <w:rFonts w:ascii="Book Antiqua" w:eastAsia="Book Antiqua" w:hAnsi="Book Antiqua" w:cs="Book Antiqua"/>
          <w:color w:val="000000" w:themeColor="text1"/>
        </w:rPr>
        <w:t>58889</w:t>
      </w:r>
    </w:p>
    <w:p w14:paraId="643EB247"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Manuscript Type: </w:t>
      </w:r>
      <w:r w:rsidRPr="0033466F">
        <w:rPr>
          <w:rFonts w:ascii="Book Antiqua" w:eastAsia="Book Antiqua" w:hAnsi="Book Antiqua" w:cs="Book Antiqua"/>
          <w:color w:val="000000" w:themeColor="text1"/>
        </w:rPr>
        <w:t>ORIGINAL ARTICLE</w:t>
      </w:r>
    </w:p>
    <w:p w14:paraId="544A4826" w14:textId="77777777" w:rsidR="00A77B3E" w:rsidRPr="0033466F" w:rsidRDefault="00A77B3E">
      <w:pPr>
        <w:spacing w:line="360" w:lineRule="auto"/>
        <w:jc w:val="both"/>
        <w:rPr>
          <w:color w:val="000000" w:themeColor="text1"/>
        </w:rPr>
      </w:pPr>
    </w:p>
    <w:p w14:paraId="40BECB6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Prospective Study</w:t>
      </w:r>
    </w:p>
    <w:p w14:paraId="728DC99D" w14:textId="2BC21350"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Value of shear wave elastography with </w:t>
      </w:r>
      <w:r w:rsidR="00655359" w:rsidRPr="0033466F">
        <w:rPr>
          <w:rFonts w:ascii="Book Antiqua" w:eastAsia="Book Antiqua" w:hAnsi="Book Antiqua" w:cs="Book Antiqua"/>
          <w:b/>
          <w:bCs/>
          <w:color w:val="000000" w:themeColor="text1"/>
        </w:rPr>
        <w:t>maximal elasticity</w:t>
      </w:r>
      <w:r w:rsidRPr="0033466F">
        <w:rPr>
          <w:rFonts w:ascii="Book Antiqua" w:eastAsia="Book Antiqua" w:hAnsi="Book Antiqua" w:cs="Book Antiqua"/>
          <w:b/>
          <w:bCs/>
          <w:color w:val="000000" w:themeColor="text1"/>
        </w:rPr>
        <w:t xml:space="preserve"> in differentiating benign and malignant solid focal liver lesions</w:t>
      </w:r>
    </w:p>
    <w:p w14:paraId="447C89C4" w14:textId="77777777" w:rsidR="00A77B3E" w:rsidRPr="0033466F" w:rsidRDefault="00A77B3E">
      <w:pPr>
        <w:spacing w:line="360" w:lineRule="auto"/>
        <w:jc w:val="both"/>
        <w:rPr>
          <w:color w:val="000000" w:themeColor="text1"/>
        </w:rPr>
      </w:pPr>
    </w:p>
    <w:p w14:paraId="78BDF63F" w14:textId="1C6F50B1" w:rsidR="00A77B3E" w:rsidRPr="0033466F" w:rsidRDefault="00234538">
      <w:pPr>
        <w:spacing w:line="360" w:lineRule="auto"/>
        <w:jc w:val="both"/>
        <w:rPr>
          <w:color w:val="000000" w:themeColor="text1"/>
        </w:rPr>
      </w:pPr>
      <w:r w:rsidRPr="0033466F">
        <w:rPr>
          <w:rFonts w:ascii="Book Antiqua" w:eastAsia="Book Antiqua" w:hAnsi="Book Antiqua" w:cs="Book Antiqua"/>
          <w:color w:val="000000" w:themeColor="text1"/>
        </w:rPr>
        <w:t xml:space="preserve">Zhang HP </w:t>
      </w:r>
      <w:r w:rsidRPr="0033466F">
        <w:rPr>
          <w:rFonts w:ascii="Book Antiqua" w:eastAsia="Book Antiqua" w:hAnsi="Book Antiqua" w:cs="Book Antiqua"/>
          <w:i/>
          <w:iCs/>
          <w:color w:val="000000" w:themeColor="text1"/>
        </w:rPr>
        <w:t>et al</w:t>
      </w:r>
      <w:r w:rsidRPr="0033466F">
        <w:rPr>
          <w:rFonts w:ascii="Book Antiqua" w:eastAsia="Book Antiqua" w:hAnsi="Book Antiqua" w:cs="Book Antiqua"/>
          <w:color w:val="000000" w:themeColor="text1"/>
        </w:rPr>
        <w:t xml:space="preserve">. </w:t>
      </w:r>
      <w:r w:rsidR="001016E4" w:rsidRPr="0033466F">
        <w:rPr>
          <w:rFonts w:ascii="Book Antiqua" w:eastAsia="Book Antiqua" w:hAnsi="Book Antiqua" w:cs="Book Antiqua"/>
          <w:color w:val="000000" w:themeColor="text1"/>
        </w:rPr>
        <w:t>Emax in differentiating solid focal liver lesions</w:t>
      </w:r>
    </w:p>
    <w:p w14:paraId="2A9CCB1F" w14:textId="77777777" w:rsidR="00A77B3E" w:rsidRPr="0033466F" w:rsidRDefault="00A77B3E">
      <w:pPr>
        <w:spacing w:line="360" w:lineRule="auto"/>
        <w:jc w:val="both"/>
        <w:rPr>
          <w:color w:val="000000" w:themeColor="text1"/>
        </w:rPr>
      </w:pPr>
    </w:p>
    <w:p w14:paraId="5C291E08"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Hui-Ping Zhang, Ji-Ying Gu, Min Bai, Fan Li, Yu-Qing Zhou, Lian-Fang Du</w:t>
      </w:r>
    </w:p>
    <w:p w14:paraId="3071F478" w14:textId="77777777" w:rsidR="00A77B3E" w:rsidRPr="0033466F" w:rsidRDefault="00A77B3E">
      <w:pPr>
        <w:spacing w:line="360" w:lineRule="auto"/>
        <w:jc w:val="both"/>
        <w:rPr>
          <w:color w:val="000000" w:themeColor="text1"/>
        </w:rPr>
      </w:pPr>
    </w:p>
    <w:p w14:paraId="1EBC781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Hui-Ping Zhang, Yu-Qing Zhou, </w:t>
      </w:r>
      <w:r w:rsidRPr="0033466F">
        <w:rPr>
          <w:rFonts w:ascii="Book Antiqua" w:eastAsia="Book Antiqua" w:hAnsi="Book Antiqua" w:cs="Book Antiqua"/>
          <w:color w:val="000000" w:themeColor="text1"/>
        </w:rPr>
        <w:t>Department of Ultrasound, Shanghai Changning Maternity and Infant Health Hospital, East China Normal University, Shanghai 200050, China</w:t>
      </w:r>
    </w:p>
    <w:p w14:paraId="3F57AB53" w14:textId="77777777" w:rsidR="00A77B3E" w:rsidRPr="0033466F" w:rsidRDefault="00A77B3E">
      <w:pPr>
        <w:spacing w:line="360" w:lineRule="auto"/>
        <w:jc w:val="both"/>
        <w:rPr>
          <w:color w:val="000000" w:themeColor="text1"/>
        </w:rPr>
      </w:pPr>
    </w:p>
    <w:p w14:paraId="215465F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Ji-Ying Gu, </w:t>
      </w:r>
      <w:r w:rsidRPr="0033466F">
        <w:rPr>
          <w:rFonts w:ascii="Book Antiqua" w:eastAsia="Book Antiqua" w:hAnsi="Book Antiqua" w:cs="Book Antiqua"/>
          <w:color w:val="000000" w:themeColor="text1"/>
        </w:rPr>
        <w:t>Department of Ultrasound, Shanghai Fourth People’s Hospital, Shanghai Tongji University School of Medicine, Shanghai 200434, China</w:t>
      </w:r>
    </w:p>
    <w:p w14:paraId="3DD9AF1E" w14:textId="77777777" w:rsidR="00A77B3E" w:rsidRPr="0033466F" w:rsidRDefault="00A77B3E">
      <w:pPr>
        <w:spacing w:line="360" w:lineRule="auto"/>
        <w:jc w:val="both"/>
        <w:rPr>
          <w:color w:val="000000" w:themeColor="text1"/>
        </w:rPr>
      </w:pPr>
    </w:p>
    <w:p w14:paraId="631FF6A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Min Bai, Fan Li, Lian-Fang Du, </w:t>
      </w:r>
      <w:r w:rsidRPr="0033466F">
        <w:rPr>
          <w:rFonts w:ascii="Book Antiqua" w:eastAsia="Book Antiqua" w:hAnsi="Book Antiqua" w:cs="Book Antiqua"/>
          <w:color w:val="000000" w:themeColor="text1"/>
        </w:rPr>
        <w:t>Department of Ultrasound, Shanghai General Hospital, Shanghai Jiaotong University School of Medicine, Shanghai 200080, China</w:t>
      </w:r>
    </w:p>
    <w:p w14:paraId="5C473073" w14:textId="77777777" w:rsidR="00A77B3E" w:rsidRPr="0033466F" w:rsidRDefault="00A77B3E">
      <w:pPr>
        <w:spacing w:line="360" w:lineRule="auto"/>
        <w:jc w:val="both"/>
        <w:rPr>
          <w:color w:val="000000" w:themeColor="text1"/>
        </w:rPr>
      </w:pPr>
    </w:p>
    <w:p w14:paraId="321A914E" w14:textId="455AE11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Author contributions: </w:t>
      </w:r>
      <w:r w:rsidRPr="0033466F">
        <w:rPr>
          <w:rFonts w:ascii="Book Antiqua" w:eastAsia="Book Antiqua" w:hAnsi="Book Antiqua" w:cs="Book Antiqua"/>
          <w:color w:val="000000" w:themeColor="text1"/>
        </w:rPr>
        <w:t>Zhang HP designed the study, drafted the manuscript</w:t>
      </w:r>
      <w:r w:rsidR="007C0AE5"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assisted with the data analysis; Gu JY performed ultrasound elastography examinations; Bai M performed conventional ultrasound examinations; Li F collected data and assisted with the data analysis; Zhou YQ drafted the manuscript and performed statistical analysis; Du LF designed the study and drafted the manuscript</w:t>
      </w:r>
      <w:r w:rsidR="00234538"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w:t>
      </w:r>
      <w:r w:rsidR="00BC20FC">
        <w:rPr>
          <w:rFonts w:ascii="Book Antiqua" w:eastAsia="Book Antiqua" w:hAnsi="Book Antiqua" w:cs="Book Antiqua"/>
          <w:color w:val="000000" w:themeColor="text1"/>
        </w:rPr>
        <w:t>A</w:t>
      </w:r>
      <w:r w:rsidRPr="0033466F">
        <w:rPr>
          <w:rFonts w:ascii="Book Antiqua" w:eastAsia="Book Antiqua" w:hAnsi="Book Antiqua" w:cs="Book Antiqua"/>
          <w:color w:val="000000" w:themeColor="text1"/>
        </w:rPr>
        <w:t>ll authors read and approved the final manuscript.</w:t>
      </w:r>
    </w:p>
    <w:p w14:paraId="40453BE5" w14:textId="77777777" w:rsidR="00A77B3E" w:rsidRPr="0033466F" w:rsidRDefault="00A77B3E">
      <w:pPr>
        <w:spacing w:line="360" w:lineRule="auto"/>
        <w:jc w:val="both"/>
        <w:rPr>
          <w:color w:val="000000" w:themeColor="text1"/>
        </w:rPr>
      </w:pPr>
    </w:p>
    <w:p w14:paraId="3B17A2DF" w14:textId="72EFBF89"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Supported by </w:t>
      </w:r>
      <w:r w:rsidRPr="0033466F">
        <w:rPr>
          <w:rFonts w:ascii="Book Antiqua" w:eastAsia="Book Antiqua" w:hAnsi="Book Antiqua" w:cs="Book Antiqua"/>
          <w:color w:val="000000" w:themeColor="text1"/>
        </w:rPr>
        <w:t xml:space="preserve">Natural </w:t>
      </w:r>
      <w:r w:rsidRPr="0033466F">
        <w:rPr>
          <w:rFonts w:ascii="Book Antiqua" w:eastAsia="Book Antiqua" w:hAnsi="Book Antiqua" w:cs="Book Antiqua"/>
          <w:caps/>
          <w:color w:val="000000" w:themeColor="text1"/>
        </w:rPr>
        <w:t>s</w:t>
      </w:r>
      <w:r w:rsidRPr="0033466F">
        <w:rPr>
          <w:rFonts w:ascii="Book Antiqua" w:eastAsia="Book Antiqua" w:hAnsi="Book Antiqua" w:cs="Book Antiqua"/>
          <w:color w:val="000000" w:themeColor="text1"/>
        </w:rPr>
        <w:t xml:space="preserve">cience </w:t>
      </w:r>
      <w:r w:rsidRPr="0033466F">
        <w:rPr>
          <w:rFonts w:ascii="Book Antiqua" w:eastAsia="Book Antiqua" w:hAnsi="Book Antiqua" w:cs="Book Antiqua"/>
          <w:caps/>
          <w:color w:val="000000" w:themeColor="text1"/>
        </w:rPr>
        <w:t>f</w:t>
      </w:r>
      <w:r w:rsidRPr="0033466F">
        <w:rPr>
          <w:rFonts w:ascii="Book Antiqua" w:eastAsia="Book Antiqua" w:hAnsi="Book Antiqua" w:cs="Book Antiqua"/>
          <w:color w:val="000000" w:themeColor="text1"/>
        </w:rPr>
        <w:t>oundation of Shanghai of China</w:t>
      </w:r>
      <w:r w:rsidR="00E72DDD" w:rsidRPr="0033466F">
        <w:rPr>
          <w:rFonts w:ascii="Book Antiqua" w:eastAsia="Book Antiqua" w:hAnsi="Book Antiqua" w:cs="Book Antiqua"/>
          <w:color w:val="000000" w:themeColor="text1"/>
        </w:rPr>
        <w:t xml:space="preserve">, No. </w:t>
      </w:r>
      <w:r w:rsidRPr="0033466F">
        <w:rPr>
          <w:rFonts w:ascii="Book Antiqua" w:eastAsia="Book Antiqua" w:hAnsi="Book Antiqua" w:cs="Book Antiqua"/>
          <w:color w:val="000000" w:themeColor="text1"/>
        </w:rPr>
        <w:t>19ZR1441500</w:t>
      </w:r>
      <w:r w:rsidR="00E72DDD" w:rsidRPr="0033466F">
        <w:rPr>
          <w:rFonts w:ascii="Book Antiqua" w:eastAsia="Book Antiqua" w:hAnsi="Book Antiqua" w:cs="Book Antiqua"/>
          <w:color w:val="000000" w:themeColor="text1"/>
        </w:rPr>
        <w:t>.</w:t>
      </w:r>
    </w:p>
    <w:p w14:paraId="14D02752" w14:textId="77777777" w:rsidR="00A77B3E" w:rsidRPr="0033466F" w:rsidRDefault="00A77B3E">
      <w:pPr>
        <w:spacing w:line="360" w:lineRule="auto"/>
        <w:jc w:val="both"/>
        <w:rPr>
          <w:color w:val="000000" w:themeColor="text1"/>
        </w:rPr>
      </w:pPr>
    </w:p>
    <w:p w14:paraId="10813442" w14:textId="4592E9E4" w:rsidR="00A77B3E" w:rsidRPr="0033466F" w:rsidRDefault="00BC20FC">
      <w:pPr>
        <w:spacing w:line="360" w:lineRule="auto"/>
        <w:jc w:val="both"/>
        <w:rPr>
          <w:color w:val="000000" w:themeColor="text1"/>
        </w:rPr>
      </w:pPr>
      <w:r>
        <w:rPr>
          <w:rFonts w:ascii="Book Antiqua" w:eastAsia="Book Antiqua" w:hAnsi="Book Antiqua" w:cs="Book Antiqua"/>
          <w:b/>
          <w:bCs/>
          <w:color w:val="000000" w:themeColor="text1"/>
        </w:rPr>
        <w:t xml:space="preserve">Correspondence </w:t>
      </w:r>
      <w:r w:rsidR="00E30902">
        <w:rPr>
          <w:rFonts w:ascii="Book Antiqua" w:eastAsia="Book Antiqua" w:hAnsi="Book Antiqua" w:cs="Book Antiqua"/>
          <w:b/>
          <w:bCs/>
          <w:color w:val="000000"/>
        </w:rPr>
        <w:t>author</w:t>
      </w:r>
      <w:r w:rsidR="001016E4" w:rsidRPr="0033466F">
        <w:rPr>
          <w:rFonts w:ascii="Book Antiqua" w:eastAsia="Book Antiqua" w:hAnsi="Book Antiqua" w:cs="Book Antiqua"/>
          <w:b/>
          <w:bCs/>
          <w:color w:val="000000" w:themeColor="text1"/>
        </w:rPr>
        <w:t xml:space="preserve">: Lian-Fang Du, MD, Chief Doctor, Full Professor, </w:t>
      </w:r>
      <w:r w:rsidR="001016E4" w:rsidRPr="0033466F">
        <w:rPr>
          <w:rFonts w:ascii="Book Antiqua" w:eastAsia="Book Antiqua" w:hAnsi="Book Antiqua" w:cs="Book Antiqua"/>
          <w:color w:val="000000" w:themeColor="text1"/>
        </w:rPr>
        <w:t>Department of Ultrasound, Shanghai General Hospital, Shanghai Jiaotong University School of Medicine, No. 100 Haining Road, Shanghai 200080, China. du_lf@163.com</w:t>
      </w:r>
    </w:p>
    <w:p w14:paraId="47BE75AF" w14:textId="77777777" w:rsidR="00A77B3E" w:rsidRPr="0033466F" w:rsidRDefault="00A77B3E">
      <w:pPr>
        <w:spacing w:line="360" w:lineRule="auto"/>
        <w:jc w:val="both"/>
        <w:rPr>
          <w:color w:val="000000" w:themeColor="text1"/>
        </w:rPr>
      </w:pPr>
    </w:p>
    <w:p w14:paraId="70B58CC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Received: </w:t>
      </w:r>
      <w:r w:rsidRPr="0033466F">
        <w:rPr>
          <w:rFonts w:ascii="Book Antiqua" w:eastAsia="Book Antiqua" w:hAnsi="Book Antiqua" w:cs="Book Antiqua"/>
          <w:color w:val="000000" w:themeColor="text1"/>
        </w:rPr>
        <w:t>September 18, 2020</w:t>
      </w:r>
    </w:p>
    <w:p w14:paraId="7FE6455E"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Revised: </w:t>
      </w:r>
      <w:r w:rsidRPr="0033466F">
        <w:rPr>
          <w:rFonts w:ascii="Book Antiqua" w:eastAsia="Book Antiqua" w:hAnsi="Book Antiqua" w:cs="Book Antiqua"/>
          <w:color w:val="000000" w:themeColor="text1"/>
        </w:rPr>
        <w:t>October 30, 2020</w:t>
      </w:r>
    </w:p>
    <w:p w14:paraId="40002541" w14:textId="118E0646"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Accepted</w:t>
      </w:r>
      <w:r w:rsidRPr="0033466F">
        <w:rPr>
          <w:rFonts w:ascii="Book Antiqua" w:eastAsia="Book Antiqua" w:hAnsi="Book Antiqua" w:cs="Book Antiqua"/>
          <w:color w:val="000000" w:themeColor="text1"/>
        </w:rPr>
        <w:t xml:space="preserve">: </w:t>
      </w:r>
      <w:r w:rsidR="00DC4758" w:rsidRPr="0033466F">
        <w:rPr>
          <w:rFonts w:ascii="Book Antiqua" w:eastAsia="Book Antiqua" w:hAnsi="Book Antiqua" w:cs="Book Antiqua"/>
          <w:color w:val="000000" w:themeColor="text1"/>
        </w:rPr>
        <w:t>November 13, 2020</w:t>
      </w:r>
    </w:p>
    <w:p w14:paraId="60A1FD10" w14:textId="4B02B101"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Published online: </w:t>
      </w:r>
      <w:r w:rsidR="002954A8" w:rsidRPr="00C142F0">
        <w:rPr>
          <w:rFonts w:ascii="Book Antiqua" w:eastAsia="Book Antiqua" w:hAnsi="Book Antiqua" w:cs="Book Antiqua"/>
          <w:bCs/>
          <w:color w:val="000000"/>
        </w:rPr>
        <w:t xml:space="preserve">December </w:t>
      </w:r>
      <w:r w:rsidR="002954A8">
        <w:rPr>
          <w:rFonts w:ascii="Book Antiqua" w:hAnsi="Book Antiqua" w:cs="Book Antiqua" w:hint="eastAsia"/>
          <w:bCs/>
          <w:color w:val="000000"/>
          <w:lang w:eastAsia="zh-CN"/>
        </w:rPr>
        <w:t>14</w:t>
      </w:r>
      <w:r w:rsidR="002954A8" w:rsidRPr="00C142F0">
        <w:rPr>
          <w:rFonts w:ascii="Book Antiqua" w:hAnsi="Book Antiqua" w:cs="Book Antiqua" w:hint="eastAsia"/>
          <w:bCs/>
          <w:color w:val="000000"/>
          <w:lang w:eastAsia="zh-CN"/>
        </w:rPr>
        <w:t>, 2020</w:t>
      </w:r>
    </w:p>
    <w:p w14:paraId="41762F78" w14:textId="77777777" w:rsidR="00FF67D4" w:rsidRPr="0033466F" w:rsidRDefault="00FF67D4">
      <w:pPr>
        <w:spacing w:line="360" w:lineRule="auto"/>
        <w:jc w:val="both"/>
        <w:rPr>
          <w:color w:val="000000" w:themeColor="text1"/>
        </w:rPr>
        <w:sectPr w:rsidR="00FF67D4" w:rsidRPr="0033466F">
          <w:footerReference w:type="default" r:id="rId7"/>
          <w:pgSz w:w="12240" w:h="15840"/>
          <w:pgMar w:top="1440" w:right="1440" w:bottom="1440" w:left="1440" w:header="720" w:footer="720" w:gutter="0"/>
          <w:cols w:space="720"/>
          <w:docGrid w:linePitch="360"/>
        </w:sectPr>
      </w:pPr>
    </w:p>
    <w:p w14:paraId="6E07F49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Abstract</w:t>
      </w:r>
    </w:p>
    <w:p w14:paraId="423E670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BACKGROUND</w:t>
      </w:r>
    </w:p>
    <w:p w14:paraId="6F040150" w14:textId="5156661C"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shd w:val="clear" w:color="auto" w:fill="FFFFFF"/>
        </w:rPr>
        <w:t>It is important to differentiate benign and malignant f</w:t>
      </w:r>
      <w:r w:rsidRPr="0033466F">
        <w:rPr>
          <w:rFonts w:ascii="Book Antiqua" w:eastAsia="Book Antiqua" w:hAnsi="Book Antiqua" w:cs="Book Antiqua"/>
          <w:color w:val="000000" w:themeColor="text1"/>
        </w:rPr>
        <w:t xml:space="preserve">ocal liver lesions (FLLs) </w:t>
      </w:r>
      <w:r w:rsidRPr="0033466F">
        <w:rPr>
          <w:rFonts w:ascii="Book Antiqua" w:eastAsia="Book Antiqua" w:hAnsi="Book Antiqua" w:cs="Book Antiqua"/>
          <w:color w:val="000000" w:themeColor="text1"/>
          <w:shd w:val="clear" w:color="auto" w:fill="FFFFFF"/>
        </w:rPr>
        <w:t>accurately</w:t>
      </w:r>
      <w:r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shd w:val="clear" w:color="auto" w:fill="FFFFFF"/>
        </w:rPr>
        <w:t xml:space="preserve"> Despite the wide use and acceptance of </w:t>
      </w:r>
      <w:r w:rsidRPr="0033466F">
        <w:rPr>
          <w:rFonts w:ascii="Book Antiqua" w:eastAsia="Book Antiqua" w:hAnsi="Book Antiqua" w:cs="Book Antiqua"/>
          <w:color w:val="000000" w:themeColor="text1"/>
        </w:rPr>
        <w:t>shear wave elastography (SWE), its value</w:t>
      </w:r>
      <w:r w:rsidRPr="0033466F">
        <w:rPr>
          <w:rFonts w:ascii="Book Antiqua" w:eastAsia="Book Antiqua" w:hAnsi="Book Antiqua" w:cs="Book Antiqua"/>
          <w:color w:val="000000" w:themeColor="text1"/>
          <w:shd w:val="clear" w:color="auto" w:fill="FFFFFF"/>
        </w:rPr>
        <w:t xml:space="preserve"> </w:t>
      </w:r>
      <w:r w:rsidRPr="0033466F">
        <w:rPr>
          <w:rFonts w:ascii="Book Antiqua" w:eastAsia="Book Antiqua" w:hAnsi="Book Antiqua" w:cs="Book Antiqua"/>
          <w:color w:val="000000" w:themeColor="text1"/>
        </w:rPr>
        <w:t>for assessing the elasticity of FLLs and differentiating</w:t>
      </w:r>
      <w:r w:rsidRPr="0033466F">
        <w:rPr>
          <w:rFonts w:ascii="Book Antiqua" w:eastAsia="Book Antiqua" w:hAnsi="Book Antiqua" w:cs="Book Antiqua"/>
          <w:color w:val="000000" w:themeColor="text1"/>
          <w:shd w:val="clear" w:color="auto" w:fill="FFFFFF"/>
        </w:rPr>
        <w:t xml:space="preserve"> benign and malignant </w:t>
      </w:r>
      <w:r w:rsidRPr="0033466F">
        <w:rPr>
          <w:rFonts w:ascii="Book Antiqua" w:eastAsia="Book Antiqua" w:hAnsi="Book Antiqua" w:cs="Book Antiqua"/>
          <w:color w:val="000000" w:themeColor="text1"/>
        </w:rPr>
        <w:t>FLLs is still investigational.</w:t>
      </w:r>
      <w:r w:rsidRPr="0033466F">
        <w:rPr>
          <w:rFonts w:ascii="Book Antiqua" w:eastAsia="Book Antiqua" w:hAnsi="Book Antiqua" w:cs="Book Antiqua"/>
          <w:color w:val="000000" w:themeColor="text1"/>
          <w:shd w:val="clear" w:color="auto" w:fill="FFFFFF"/>
        </w:rPr>
        <w:t xml:space="preserve"> P</w:t>
      </w:r>
      <w:r w:rsidRPr="0033466F">
        <w:rPr>
          <w:rFonts w:ascii="Book Antiqua" w:eastAsia="Book Antiqua" w:hAnsi="Book Antiqua" w:cs="Book Antiqua"/>
          <w:color w:val="000000" w:themeColor="text1"/>
        </w:rPr>
        <w:t>revious studies of SWE for FLLs used mean elasticity as the parameter to reflect the stiffness of FLLs. Considering the inhomogeneity of tumor stiffness, maximal elasticity (Emax) might be the suitable parameter to reflect the stiffness of FLLs and to differentiate malignant FLLs from benign ones.</w:t>
      </w:r>
    </w:p>
    <w:p w14:paraId="07B33E9F" w14:textId="77777777" w:rsidR="00A77B3E" w:rsidRPr="0033466F" w:rsidRDefault="00A77B3E">
      <w:pPr>
        <w:spacing w:line="360" w:lineRule="auto"/>
        <w:jc w:val="both"/>
        <w:rPr>
          <w:color w:val="000000" w:themeColor="text1"/>
        </w:rPr>
      </w:pPr>
    </w:p>
    <w:p w14:paraId="02760440"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AIM</w:t>
      </w:r>
    </w:p>
    <w:p w14:paraId="048DBE5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To explore the value of SWE with Emax in differential diagnosis of solid FLLs.</w:t>
      </w:r>
    </w:p>
    <w:p w14:paraId="4CCC57E4" w14:textId="77777777" w:rsidR="00A77B3E" w:rsidRPr="0033466F" w:rsidRDefault="00A77B3E">
      <w:pPr>
        <w:spacing w:line="360" w:lineRule="auto"/>
        <w:jc w:val="both"/>
        <w:rPr>
          <w:color w:val="000000" w:themeColor="text1"/>
        </w:rPr>
      </w:pPr>
    </w:p>
    <w:p w14:paraId="5654A474"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METHODS</w:t>
      </w:r>
    </w:p>
    <w:p w14:paraId="0835D082" w14:textId="7A982B1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We included 104 solid FLLs in 95 patients and 50 healthy volunteers. All the subjects were examined using conventional ultrasound </w:t>
      </w:r>
      <w:r w:rsidR="007E65CC" w:rsidRPr="0033466F">
        <w:rPr>
          <w:rFonts w:ascii="Book Antiqua" w:eastAsia="Book Antiqua" w:hAnsi="Book Antiqua" w:cs="Book Antiqua"/>
          <w:color w:val="000000" w:themeColor="text1"/>
        </w:rPr>
        <w:t xml:space="preserve">(US) </w:t>
      </w:r>
      <w:r w:rsidRPr="0033466F">
        <w:rPr>
          <w:rFonts w:ascii="Book Antiqua" w:eastAsia="Book Antiqua" w:hAnsi="Book Antiqua" w:cs="Book Antiqua"/>
          <w:color w:val="000000" w:themeColor="text1"/>
        </w:rPr>
        <w:t>and virtual touch tissue quantification</w:t>
      </w:r>
      <w:r w:rsidRPr="0033466F">
        <w:rPr>
          <w:rFonts w:ascii="Book Antiqua" w:eastAsia="Book Antiqua" w:hAnsi="Book Antiqua" w:cs="Book Antiqua"/>
          <w:color w:val="000000"/>
        </w:rPr>
        <w:t xml:space="preserve">(VTQ) imaging. A diagnosis of benign or malignant FLL was made using conventional </w:t>
      </w:r>
      <w:r w:rsidR="007E65CC" w:rsidRPr="0033466F">
        <w:rPr>
          <w:rFonts w:ascii="Book Antiqua" w:eastAsia="Book Antiqua" w:hAnsi="Book Antiqua" w:cs="Book Antiqua"/>
          <w:color w:val="000000"/>
        </w:rPr>
        <w:t>US</w:t>
      </w:r>
      <w:r w:rsidRPr="0033466F">
        <w:rPr>
          <w:rFonts w:ascii="Book Antiqua" w:eastAsia="Book Antiqua" w:hAnsi="Book Antiqua" w:cs="Book Antiqua"/>
          <w:color w:val="000000"/>
        </w:rPr>
        <w:t xml:space="preserve">. Ten VTQ </w:t>
      </w:r>
      <w:r w:rsidRPr="0033466F">
        <w:rPr>
          <w:rFonts w:ascii="Book Antiqua" w:eastAsia="Book Antiqua" w:hAnsi="Book Antiqua" w:cs="Book Antiqua"/>
          <w:color w:val="000000" w:themeColor="text1"/>
        </w:rPr>
        <w:t>values were acquired after 10 consecutive measurements for each FLL and each normal liver, and the largest value was recorded as Emax.</w:t>
      </w:r>
    </w:p>
    <w:p w14:paraId="138CC0F4" w14:textId="77777777" w:rsidR="00A77B3E" w:rsidRPr="0033466F" w:rsidRDefault="00A77B3E">
      <w:pPr>
        <w:spacing w:line="360" w:lineRule="auto"/>
        <w:jc w:val="both"/>
        <w:rPr>
          <w:color w:val="000000" w:themeColor="text1"/>
        </w:rPr>
      </w:pPr>
    </w:p>
    <w:p w14:paraId="19D30D2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RESULTS</w:t>
      </w:r>
    </w:p>
    <w:p w14:paraId="50AD94EC" w14:textId="72A0FD81"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There were 56 cases of malignant FLLs and 48 cases of benign FLLs in this study. Emax of malignant FLLs (3.29</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0.88 m/s) was significantly higher than that of benign FLLs (1.30</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0.46 m/s,</w:t>
      </w:r>
      <w:r w:rsidRPr="0033466F">
        <w:rPr>
          <w:rFonts w:ascii="Book Antiqua" w:eastAsia="Book Antiqua" w:hAnsi="Book Antiqua" w:cs="Book Antiqua"/>
          <w:i/>
          <w:iCs/>
          <w:color w:val="000000" w:themeColor="text1"/>
        </w:rPr>
        <w:t xml:space="preserve"> P</w:t>
      </w:r>
      <w:r w:rsidR="00292BD1"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and that of livers in healthy volunteers (1.15</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0.17 m/s,</w:t>
      </w:r>
      <w:r w:rsidRPr="0033466F">
        <w:rPr>
          <w:rFonts w:ascii="Book Antiqua" w:eastAsia="Book Antiqua" w:hAnsi="Book Antiqua" w:cs="Book Antiqua"/>
          <w:i/>
          <w:iCs/>
          <w:color w:val="000000" w:themeColor="text1"/>
        </w:rPr>
        <w:t xml:space="preserve"> P</w:t>
      </w:r>
      <w:r w:rsidR="00292BD1"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292BD1"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The cut-off point of Emax was 1.945, and the area under the curve was 0.978. The sensitivity and specificity of Emax were 92.9% and 91.7%,</w:t>
      </w:r>
      <w:r w:rsidR="00F30E74" w:rsidRPr="0033466F">
        <w:rPr>
          <w:rFonts w:ascii="Book Antiqua" w:eastAsia="Book Antiqua" w:hAnsi="Book Antiqua" w:cs="Book Antiqua"/>
          <w:color w:val="000000" w:themeColor="text1"/>
        </w:rPr>
        <w:t xml:space="preserve"> respectively,</w:t>
      </w:r>
      <w:r w:rsidRPr="0033466F">
        <w:rPr>
          <w:rFonts w:ascii="Book Antiqua" w:eastAsia="Book Antiqua" w:hAnsi="Book Antiqua" w:cs="Book Antiqua"/>
          <w:color w:val="000000" w:themeColor="text1"/>
        </w:rPr>
        <w:t xml:space="preserve"> higher (but not significantly) than those of conventional </w:t>
      </w:r>
      <w:r w:rsidR="007E65CC" w:rsidRPr="0033466F">
        <w:rPr>
          <w:rFonts w:ascii="Book Antiqua" w:eastAsia="Book Antiqua" w:hAnsi="Book Antiqua" w:cs="Book Antiqua"/>
          <w:color w:val="000000" w:themeColor="text1"/>
        </w:rPr>
        <w:t>US</w:t>
      </w:r>
      <w:r w:rsidRPr="0033466F">
        <w:rPr>
          <w:rFonts w:ascii="Book Antiqua" w:eastAsia="Book Antiqua" w:hAnsi="Book Antiqua" w:cs="Book Antiqua"/>
          <w:color w:val="000000" w:themeColor="text1"/>
        </w:rPr>
        <w:t xml:space="preserve"> (80.4% for sensitivity and 81.3% for specificity). Combined diagnosis of conventional </w:t>
      </w:r>
      <w:r w:rsidR="007E65CC" w:rsidRPr="0033466F">
        <w:rPr>
          <w:rFonts w:ascii="Book Antiqua" w:eastAsia="Book Antiqua" w:hAnsi="Book Antiqua" w:cs="Book Antiqua"/>
          <w:color w:val="000000" w:themeColor="text1"/>
        </w:rPr>
        <w:t>US</w:t>
      </w:r>
      <w:r w:rsidRPr="0033466F">
        <w:rPr>
          <w:rFonts w:ascii="Book Antiqua" w:eastAsia="Book Antiqua" w:hAnsi="Book Antiqua" w:cs="Book Antiqua"/>
          <w:color w:val="000000" w:themeColor="text1"/>
        </w:rPr>
        <w:t xml:space="preserve"> and Emax using parallel testing improved the sensitivity to 100% with specificity of 75%.</w:t>
      </w:r>
    </w:p>
    <w:p w14:paraId="2E36FB33" w14:textId="77777777" w:rsidR="00A77B3E" w:rsidRPr="0033466F" w:rsidRDefault="00A77B3E">
      <w:pPr>
        <w:spacing w:line="360" w:lineRule="auto"/>
        <w:jc w:val="both"/>
        <w:rPr>
          <w:color w:val="000000" w:themeColor="text1"/>
        </w:rPr>
      </w:pPr>
    </w:p>
    <w:p w14:paraId="0E4FA8B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CONCLUSION</w:t>
      </w:r>
    </w:p>
    <w:p w14:paraId="210888D7" w14:textId="408F93CA"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SWE is a convenient and easy method to obtain accurate stiffness information of solid FLLs. Emax is useful for differential diagnosis of FLLs, especially in combination with conventional </w:t>
      </w:r>
      <w:r w:rsidR="007E65CC" w:rsidRPr="0033466F">
        <w:rPr>
          <w:rFonts w:ascii="Book Antiqua" w:eastAsia="Book Antiqua" w:hAnsi="Book Antiqua" w:cs="Book Antiqua"/>
          <w:color w:val="000000" w:themeColor="text1"/>
        </w:rPr>
        <w:t>US</w:t>
      </w:r>
      <w:r w:rsidRPr="0033466F">
        <w:rPr>
          <w:rFonts w:ascii="Book Antiqua" w:eastAsia="Book Antiqua" w:hAnsi="Book Antiqua" w:cs="Book Antiqua"/>
          <w:color w:val="000000" w:themeColor="text1"/>
        </w:rPr>
        <w:t>.</w:t>
      </w:r>
    </w:p>
    <w:p w14:paraId="5F766C75" w14:textId="77777777" w:rsidR="00A77B3E" w:rsidRPr="0033466F" w:rsidRDefault="00A77B3E">
      <w:pPr>
        <w:spacing w:line="360" w:lineRule="auto"/>
        <w:jc w:val="both"/>
        <w:rPr>
          <w:color w:val="000000" w:themeColor="text1"/>
        </w:rPr>
      </w:pPr>
    </w:p>
    <w:p w14:paraId="5D2BA1DD" w14:textId="1DF6F865"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Key Words: </w:t>
      </w:r>
      <w:r w:rsidRPr="0033466F">
        <w:rPr>
          <w:rFonts w:ascii="Book Antiqua" w:eastAsia="Book Antiqua" w:hAnsi="Book Antiqua" w:cs="Book Antiqua"/>
          <w:color w:val="000000" w:themeColor="text1"/>
        </w:rPr>
        <w:t>Focal hepatic lesions; Shear wave elastography; Conventional ultrasound; Maximal elasticity</w:t>
      </w:r>
    </w:p>
    <w:p w14:paraId="6DED818F" w14:textId="77777777" w:rsidR="00A77B3E" w:rsidRPr="0024576E" w:rsidRDefault="00A77B3E">
      <w:pPr>
        <w:spacing w:line="360" w:lineRule="auto"/>
        <w:jc w:val="both"/>
        <w:rPr>
          <w:b/>
          <w:color w:val="000000" w:themeColor="text1"/>
        </w:rPr>
      </w:pPr>
    </w:p>
    <w:p w14:paraId="28716C3F" w14:textId="6B9EFC3C" w:rsidR="00E17DBE" w:rsidRDefault="0024576E">
      <w:pPr>
        <w:spacing w:line="360" w:lineRule="auto"/>
        <w:jc w:val="both"/>
        <w:rPr>
          <w:rFonts w:ascii="Book Antiqua" w:hAnsi="Book Antiqua" w:cs="Book Antiqua" w:hint="eastAsia"/>
          <w:color w:val="000000"/>
          <w:lang w:eastAsia="zh-CN"/>
        </w:rPr>
      </w:pPr>
      <w:r w:rsidRPr="0024576E">
        <w:rPr>
          <w:rFonts w:ascii="Book Antiqua" w:hAnsi="Book Antiqua" w:cs="Book Antiqua" w:hint="eastAsia"/>
          <w:b/>
          <w:color w:val="000000" w:themeColor="text1"/>
          <w:lang w:eastAsia="zh-CN"/>
        </w:rPr>
        <w:t xml:space="preserve">Citation: </w:t>
      </w:r>
      <w:r w:rsidR="001016E4" w:rsidRPr="0033466F">
        <w:rPr>
          <w:rFonts w:ascii="Book Antiqua" w:eastAsia="Book Antiqua" w:hAnsi="Book Antiqua" w:cs="Book Antiqua"/>
          <w:color w:val="000000" w:themeColor="text1"/>
        </w:rPr>
        <w:t xml:space="preserve">Zhang HP, Gu JY, Bai M, Li F, Zhou YQ, Du LF. </w:t>
      </w:r>
      <w:r w:rsidR="00655359" w:rsidRPr="0033466F">
        <w:rPr>
          <w:rFonts w:ascii="Book Antiqua" w:eastAsia="Book Antiqua" w:hAnsi="Book Antiqua" w:cs="Book Antiqua"/>
          <w:color w:val="000000" w:themeColor="text1"/>
        </w:rPr>
        <w:t>Value of shear wave elastography with maximal elasticity in differentiating benign and malignant solid focal liver lesions</w:t>
      </w:r>
      <w:r w:rsidR="001016E4" w:rsidRPr="0033466F">
        <w:rPr>
          <w:rFonts w:ascii="Book Antiqua" w:eastAsia="Book Antiqua" w:hAnsi="Book Antiqua" w:cs="Book Antiqua"/>
          <w:color w:val="000000" w:themeColor="text1"/>
        </w:rPr>
        <w:t xml:space="preserve">. </w:t>
      </w:r>
      <w:r w:rsidR="001016E4" w:rsidRPr="0033466F">
        <w:rPr>
          <w:rFonts w:ascii="Book Antiqua" w:eastAsia="Book Antiqua" w:hAnsi="Book Antiqua" w:cs="Book Antiqua"/>
          <w:i/>
          <w:iCs/>
          <w:color w:val="000000" w:themeColor="text1"/>
        </w:rPr>
        <w:t>World J Gastroenterol</w:t>
      </w:r>
      <w:r w:rsidR="001016E4" w:rsidRPr="0033466F">
        <w:rPr>
          <w:rFonts w:ascii="Book Antiqua" w:eastAsia="Book Antiqua" w:hAnsi="Book Antiqua" w:cs="Book Antiqua"/>
          <w:color w:val="000000" w:themeColor="text1"/>
        </w:rPr>
        <w:t xml:space="preserve"> </w:t>
      </w:r>
      <w:r w:rsidR="00DA1BBD" w:rsidRPr="0032360E">
        <w:rPr>
          <w:rFonts w:ascii="Book Antiqua" w:eastAsia="Book Antiqua" w:hAnsi="Book Antiqua" w:cs="Book Antiqua"/>
          <w:color w:val="000000"/>
        </w:rPr>
        <w:t>2020; 26(4</w:t>
      </w:r>
      <w:r w:rsidR="00DA1BBD">
        <w:rPr>
          <w:rFonts w:ascii="Book Antiqua" w:hAnsi="Book Antiqua" w:cs="Book Antiqua" w:hint="eastAsia"/>
          <w:color w:val="000000"/>
          <w:lang w:eastAsia="zh-CN"/>
        </w:rPr>
        <w:t>6</w:t>
      </w:r>
      <w:r w:rsidR="00DA1BBD" w:rsidRPr="0032360E">
        <w:rPr>
          <w:rFonts w:ascii="Book Antiqua" w:eastAsia="Book Antiqua" w:hAnsi="Book Antiqua" w:cs="Book Antiqua"/>
          <w:color w:val="000000"/>
        </w:rPr>
        <w:t xml:space="preserve">): </w:t>
      </w:r>
      <w:r w:rsidR="004D2883" w:rsidRPr="004D2883">
        <w:rPr>
          <w:rFonts w:ascii="Book Antiqua" w:hAnsi="Book Antiqua" w:cs="Book Antiqua"/>
          <w:color w:val="000000"/>
          <w:lang w:eastAsia="zh-CN"/>
        </w:rPr>
        <w:t>7416-7424</w:t>
      </w:r>
      <w:r w:rsidR="00DA1BBD" w:rsidRPr="0032360E">
        <w:rPr>
          <w:rFonts w:ascii="Book Antiqua" w:eastAsia="Book Antiqua" w:hAnsi="Book Antiqua" w:cs="Book Antiqua"/>
          <w:color w:val="000000"/>
        </w:rPr>
        <w:t xml:space="preserve">  </w:t>
      </w:r>
    </w:p>
    <w:p w14:paraId="52552742" w14:textId="77777777" w:rsidR="00E17DBE" w:rsidRDefault="00DA1BBD">
      <w:pPr>
        <w:spacing w:line="360" w:lineRule="auto"/>
        <w:jc w:val="both"/>
        <w:rPr>
          <w:rFonts w:ascii="Book Antiqua" w:hAnsi="Book Antiqua" w:cs="Book Antiqua" w:hint="eastAsia"/>
          <w:color w:val="000000"/>
          <w:lang w:eastAsia="zh-CN"/>
        </w:rPr>
      </w:pPr>
      <w:r w:rsidRPr="0024576E">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https://www.wjgnet.com/1007-9327/full/v26/i4</w:t>
      </w:r>
      <w:r>
        <w:rPr>
          <w:rFonts w:ascii="Book Antiqua" w:hAnsi="Book Antiqua" w:cs="Book Antiqua" w:hint="eastAsia"/>
          <w:color w:val="000000"/>
          <w:lang w:eastAsia="zh-CN"/>
        </w:rPr>
        <w:t>6</w:t>
      </w:r>
      <w:r w:rsidRPr="0032360E">
        <w:rPr>
          <w:rFonts w:ascii="Book Antiqua" w:eastAsia="Book Antiqua" w:hAnsi="Book Antiqua" w:cs="Book Antiqua"/>
          <w:color w:val="000000"/>
        </w:rPr>
        <w:t>/</w:t>
      </w:r>
      <w:r w:rsidR="00E60093">
        <w:rPr>
          <w:rFonts w:ascii="Book Antiqua" w:hAnsi="Book Antiqua" w:cs="Book Antiqua" w:hint="eastAsia"/>
          <w:color w:val="000000"/>
          <w:lang w:eastAsia="zh-CN"/>
        </w:rPr>
        <w:t>7416</w:t>
      </w:r>
      <w:r w:rsidRPr="0032360E">
        <w:rPr>
          <w:rFonts w:ascii="Book Antiqua" w:eastAsia="Book Antiqua" w:hAnsi="Book Antiqua" w:cs="Book Antiqua"/>
          <w:color w:val="000000"/>
        </w:rPr>
        <w:t xml:space="preserve">.htm  </w:t>
      </w:r>
    </w:p>
    <w:p w14:paraId="4B9048D4" w14:textId="27D001B2" w:rsidR="00A77B3E" w:rsidRPr="0033466F" w:rsidRDefault="00DA1BBD">
      <w:pPr>
        <w:spacing w:line="360" w:lineRule="auto"/>
        <w:jc w:val="both"/>
        <w:rPr>
          <w:color w:val="000000" w:themeColor="text1"/>
        </w:rPr>
      </w:pPr>
      <w:bookmarkStart w:id="0" w:name="_GoBack"/>
      <w:r w:rsidRPr="0024576E">
        <w:rPr>
          <w:rFonts w:ascii="Book Antiqua" w:eastAsia="Book Antiqua" w:hAnsi="Book Antiqua" w:cs="Book Antiqua"/>
          <w:b/>
          <w:color w:val="000000"/>
        </w:rPr>
        <w:t xml:space="preserve">DOI: </w:t>
      </w:r>
      <w:bookmarkEnd w:id="0"/>
      <w:r w:rsidRPr="0032360E">
        <w:rPr>
          <w:rFonts w:ascii="Book Antiqua" w:eastAsia="Book Antiqua" w:hAnsi="Book Antiqua" w:cs="Book Antiqua"/>
          <w:color w:val="000000"/>
        </w:rPr>
        <w:t>https://dx.doi.org/10.3748/wjg.v26.i4</w:t>
      </w:r>
      <w:r>
        <w:rPr>
          <w:rFonts w:ascii="Book Antiqua" w:hAnsi="Book Antiqua" w:cs="Book Antiqua" w:hint="eastAsia"/>
          <w:color w:val="000000"/>
          <w:lang w:eastAsia="zh-CN"/>
        </w:rPr>
        <w:t>6</w:t>
      </w:r>
      <w:r w:rsidRPr="0032360E">
        <w:rPr>
          <w:rFonts w:ascii="Book Antiqua" w:eastAsia="Book Antiqua" w:hAnsi="Book Antiqua" w:cs="Book Antiqua"/>
          <w:color w:val="000000"/>
        </w:rPr>
        <w:t>.</w:t>
      </w:r>
      <w:r w:rsidR="002F7E07">
        <w:rPr>
          <w:rFonts w:ascii="Book Antiqua" w:hAnsi="Book Antiqua" w:cs="Book Antiqua" w:hint="eastAsia"/>
          <w:color w:val="000000"/>
          <w:lang w:eastAsia="zh-CN"/>
        </w:rPr>
        <w:t>7416</w:t>
      </w:r>
    </w:p>
    <w:p w14:paraId="7946CCD9" w14:textId="77777777" w:rsidR="00A77B3E" w:rsidRPr="0033466F" w:rsidRDefault="00A77B3E">
      <w:pPr>
        <w:spacing w:line="360" w:lineRule="auto"/>
        <w:jc w:val="both"/>
        <w:rPr>
          <w:color w:val="000000" w:themeColor="text1"/>
        </w:rPr>
      </w:pPr>
    </w:p>
    <w:p w14:paraId="699C7539" w14:textId="256BB970"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Core Tip: </w:t>
      </w:r>
      <w:r w:rsidRPr="0033466F">
        <w:rPr>
          <w:rFonts w:ascii="Book Antiqua" w:eastAsia="Book Antiqua" w:hAnsi="Book Antiqua" w:cs="Book Antiqua"/>
          <w:color w:val="000000" w:themeColor="text1"/>
        </w:rPr>
        <w:t>Shear wave elastography (SWE) has been</w:t>
      </w:r>
      <w:r w:rsidR="00F30E74" w:rsidRPr="0033466F">
        <w:rPr>
          <w:rFonts w:ascii="Book Antiqua" w:eastAsia="Book Antiqua" w:hAnsi="Book Antiqua" w:cs="Book Antiqua"/>
          <w:color w:val="000000" w:themeColor="text1"/>
        </w:rPr>
        <w:t xml:space="preserve"> used</w:t>
      </w:r>
      <w:r w:rsidRPr="0033466F">
        <w:rPr>
          <w:rFonts w:ascii="Book Antiqua" w:eastAsia="Book Antiqua" w:hAnsi="Book Antiqua" w:cs="Book Antiqua"/>
          <w:color w:val="000000" w:themeColor="text1"/>
        </w:rPr>
        <w:t xml:space="preserve"> with promising results in the assessment of liver fibrosis and in the differential diagnosis of thyroid and breast nodules. However, its value for the differential diagnosis between malignant and benign focal liver lesions (FLLs) is still investigational. In this study, instead of the common parameter (mean elasticity), we used maximal elasticity (Emax) as the parameter to explore the value of </w:t>
      </w:r>
      <w:r w:rsidRPr="0033466F">
        <w:rPr>
          <w:rFonts w:ascii="Book Antiqua" w:eastAsia="Book Antiqua" w:hAnsi="Book Antiqua" w:cs="Book Antiqua"/>
          <w:color w:val="000000"/>
        </w:rPr>
        <w:t xml:space="preserve">SWE </w:t>
      </w:r>
      <w:r w:rsidRPr="0033466F">
        <w:rPr>
          <w:rFonts w:ascii="Book Antiqua" w:eastAsia="Book Antiqua" w:hAnsi="Book Antiqua" w:cs="Book Antiqua"/>
          <w:color w:val="000000" w:themeColor="text1"/>
        </w:rPr>
        <w:t>in the differential diagnosis of FLLs. Our results showed that Emax is useful for differential diagnosis of FLLs, especially in combination with conventional ultrasound.</w:t>
      </w:r>
    </w:p>
    <w:p w14:paraId="324A05D7" w14:textId="569EFA41" w:rsidR="00A77B3E" w:rsidRPr="0033466F" w:rsidRDefault="00BF64CD">
      <w:pPr>
        <w:spacing w:line="360" w:lineRule="auto"/>
        <w:jc w:val="both"/>
        <w:rPr>
          <w:color w:val="000000" w:themeColor="text1"/>
        </w:rPr>
      </w:pPr>
      <w:r w:rsidRPr="0033466F">
        <w:rPr>
          <w:rFonts w:ascii="Book Antiqua" w:eastAsia="Book Antiqua" w:hAnsi="Book Antiqua" w:cs="Book Antiqua"/>
          <w:b/>
          <w:caps/>
          <w:color w:val="000000" w:themeColor="text1"/>
          <w:u w:val="single"/>
        </w:rPr>
        <w:br w:type="page"/>
      </w:r>
      <w:r w:rsidR="001016E4" w:rsidRPr="0033466F">
        <w:rPr>
          <w:rFonts w:ascii="Book Antiqua" w:eastAsia="Book Antiqua" w:hAnsi="Book Antiqua" w:cs="Book Antiqua"/>
          <w:b/>
          <w:caps/>
          <w:color w:val="000000" w:themeColor="text1"/>
          <w:u w:val="single"/>
        </w:rPr>
        <w:t>INTRODUCTION</w:t>
      </w:r>
    </w:p>
    <w:p w14:paraId="5CCEE5CA" w14:textId="3ABA194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Focal liver lesions (FLLs) are common. Accurate differential diagnosis is important for treatment and assessment of prognosis</w:t>
      </w:r>
      <w:r w:rsidRPr="0033466F">
        <w:rPr>
          <w:rFonts w:ascii="Book Antiqua" w:eastAsia="Book Antiqua" w:hAnsi="Book Antiqua" w:cs="Book Antiqua"/>
          <w:color w:val="000000" w:themeColor="text1"/>
          <w:vertAlign w:val="superscript"/>
        </w:rPr>
        <w:t>[1]</w:t>
      </w:r>
      <w:r w:rsidRPr="0033466F">
        <w:rPr>
          <w:rFonts w:ascii="Book Antiqua" w:eastAsia="Book Antiqua" w:hAnsi="Book Antiqua" w:cs="Book Antiqua"/>
          <w:color w:val="000000" w:themeColor="text1"/>
        </w:rPr>
        <w:t>. Conventional ultrasound (US), with the advantages of real-time imaging, no radiation, and low cost, is the first choice for the detection and diagnosis of FLLs</w:t>
      </w:r>
      <w:r w:rsidRPr="0033466F">
        <w:rPr>
          <w:rFonts w:ascii="Book Antiqua" w:eastAsia="Book Antiqua" w:hAnsi="Book Antiqua" w:cs="Book Antiqua"/>
          <w:color w:val="000000" w:themeColor="text1"/>
          <w:vertAlign w:val="superscript"/>
        </w:rPr>
        <w:t>[2]</w:t>
      </w:r>
      <w:r w:rsidRPr="0033466F">
        <w:rPr>
          <w:rFonts w:ascii="Book Antiqua" w:eastAsia="Book Antiqua" w:hAnsi="Book Antiqua" w:cs="Book Antiqua"/>
          <w:color w:val="000000" w:themeColor="text1"/>
        </w:rPr>
        <w:t xml:space="preserve">. The diagnostic efficiency, however, is not </w:t>
      </w:r>
      <w:r w:rsidR="00E96526" w:rsidRPr="0033466F">
        <w:rPr>
          <w:rFonts w:ascii="Book Antiqua" w:eastAsia="Book Antiqua" w:hAnsi="Book Antiqua" w:cs="Book Antiqua"/>
          <w:color w:val="000000" w:themeColor="text1"/>
        </w:rPr>
        <w:t xml:space="preserve">as </w:t>
      </w:r>
      <w:r w:rsidRPr="0033466F">
        <w:rPr>
          <w:rFonts w:ascii="Book Antiqua" w:eastAsia="Book Antiqua" w:hAnsi="Book Antiqua" w:cs="Book Antiqua"/>
          <w:color w:val="000000" w:themeColor="text1"/>
        </w:rPr>
        <w:t xml:space="preserve">good </w:t>
      </w:r>
      <w:r w:rsidR="00E96526" w:rsidRPr="0033466F">
        <w:rPr>
          <w:rFonts w:ascii="Book Antiqua" w:eastAsia="Book Antiqua" w:hAnsi="Book Antiqua" w:cs="Book Antiqua"/>
          <w:color w:val="000000" w:themeColor="text1"/>
        </w:rPr>
        <w:t>as</w:t>
      </w:r>
      <w:r w:rsidRPr="0033466F">
        <w:rPr>
          <w:rFonts w:ascii="Book Antiqua" w:eastAsia="Book Antiqua" w:hAnsi="Book Antiqua" w:cs="Book Antiqua"/>
          <w:color w:val="000000" w:themeColor="text1"/>
        </w:rPr>
        <w:t xml:space="preserve"> that of computed tomography (CT) and magnetic resonance imaging (MRI).</w:t>
      </w:r>
    </w:p>
    <w:p w14:paraId="08526AAD" w14:textId="77777777"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With the development of new US techniques, especially the application of microbubbles and US elastography (UE), the diagnostic efficiency of US has been improved rapidly</w:t>
      </w:r>
      <w:r w:rsidRPr="0033466F">
        <w:rPr>
          <w:rFonts w:ascii="Book Antiqua" w:eastAsia="Book Antiqua" w:hAnsi="Book Antiqua" w:cs="Book Antiqua"/>
          <w:color w:val="000000" w:themeColor="text1"/>
          <w:vertAlign w:val="superscript"/>
        </w:rPr>
        <w:t>[3,4]</w:t>
      </w:r>
      <w:r w:rsidRPr="0033466F">
        <w:rPr>
          <w:rFonts w:ascii="Book Antiqua" w:eastAsia="Book Antiqua" w:hAnsi="Book Antiqua" w:cs="Book Antiqua"/>
          <w:color w:val="000000" w:themeColor="text1"/>
        </w:rPr>
        <w:t>. The value of contrast-enhanced US (CEUS) for the differential diagnosis of solid FLLs has been confirmed and the diagnostic efficiency of CEUS is comparable to or even better than that of contrast-enhanced CT</w:t>
      </w:r>
      <w:r w:rsidRPr="0033466F">
        <w:rPr>
          <w:rFonts w:ascii="Book Antiqua" w:eastAsia="Book Antiqua" w:hAnsi="Book Antiqua" w:cs="Book Antiqua"/>
          <w:color w:val="000000" w:themeColor="text1"/>
          <w:vertAlign w:val="superscript"/>
        </w:rPr>
        <w:t>[5]</w:t>
      </w:r>
      <w:r w:rsidRPr="0033466F">
        <w:rPr>
          <w:rFonts w:ascii="Book Antiqua" w:eastAsia="Book Antiqua" w:hAnsi="Book Antiqua" w:cs="Book Antiqua"/>
          <w:color w:val="000000" w:themeColor="text1"/>
        </w:rPr>
        <w:t>.</w:t>
      </w:r>
    </w:p>
    <w:p w14:paraId="5CD31EBA" w14:textId="10687F74"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UE is a useful tool that can provide elasticity information of tissue; a different physical property other than acoustic impedance. UE, especially shear wave elastography (SWE), which can provide elastic information quantitatively, is widely used and with promising results in the differential diagnosis of thyroid and breast nodules</w:t>
      </w:r>
      <w:r w:rsidRPr="0033466F">
        <w:rPr>
          <w:rFonts w:ascii="Book Antiqua" w:eastAsia="Book Antiqua" w:hAnsi="Book Antiqua" w:cs="Book Antiqua"/>
          <w:color w:val="000000" w:themeColor="text1"/>
          <w:vertAlign w:val="superscript"/>
        </w:rPr>
        <w:t>[6,7]</w:t>
      </w:r>
      <w:r w:rsidRPr="0033466F">
        <w:rPr>
          <w:rFonts w:ascii="Book Antiqua" w:eastAsia="Book Antiqua" w:hAnsi="Book Antiqua" w:cs="Book Antiqua"/>
          <w:color w:val="000000" w:themeColor="text1"/>
        </w:rPr>
        <w:t>. The value of SWE in the assessment of liver fibrosis is significant too</w:t>
      </w:r>
      <w:r w:rsidRPr="0033466F">
        <w:rPr>
          <w:rFonts w:ascii="Book Antiqua" w:eastAsia="Book Antiqua" w:hAnsi="Book Antiqua" w:cs="Book Antiqua"/>
          <w:color w:val="000000" w:themeColor="text1"/>
          <w:vertAlign w:val="superscript"/>
        </w:rPr>
        <w:t>[8]</w:t>
      </w:r>
      <w:r w:rsidRPr="0033466F">
        <w:rPr>
          <w:rFonts w:ascii="Book Antiqua" w:eastAsia="Book Antiqua" w:hAnsi="Book Antiqua" w:cs="Book Antiqua"/>
          <w:color w:val="000000" w:themeColor="text1"/>
        </w:rPr>
        <w:t xml:space="preserve">. However, the value of SWE for the differential diagnosis between benign and malignant FLLs is still investigational according to the guidelines of the World Federation for Ultrasound in Medicine and Biology for liver </w:t>
      </w:r>
      <w:r w:rsidR="007E65CC" w:rsidRPr="0033466F">
        <w:rPr>
          <w:rFonts w:ascii="Book Antiqua" w:eastAsia="Book Antiqua" w:hAnsi="Book Antiqua" w:cs="Book Antiqua"/>
          <w:color w:val="000000" w:themeColor="text1"/>
        </w:rPr>
        <w:t>UE</w:t>
      </w:r>
      <w:r w:rsidRPr="0033466F">
        <w:rPr>
          <w:rFonts w:ascii="Book Antiqua" w:eastAsia="Book Antiqua" w:hAnsi="Book Antiqua" w:cs="Book Antiqua"/>
          <w:color w:val="000000" w:themeColor="text1"/>
          <w:vertAlign w:val="superscript"/>
        </w:rPr>
        <w:t>[9]</w:t>
      </w:r>
      <w:r w:rsidRPr="0033466F">
        <w:rPr>
          <w:rFonts w:ascii="Book Antiqua" w:eastAsia="Book Antiqua" w:hAnsi="Book Antiqua" w:cs="Book Antiqua"/>
          <w:color w:val="000000" w:themeColor="text1"/>
        </w:rPr>
        <w:t>. Previous studies of SWE for FLLs have usually used mean elasticity (Emean) as the parameter to reflect the stiffness of FLLs</w:t>
      </w:r>
      <w:r w:rsidRPr="0033466F">
        <w:rPr>
          <w:rFonts w:ascii="Book Antiqua" w:eastAsia="Book Antiqua" w:hAnsi="Book Antiqua" w:cs="Book Antiqua"/>
          <w:color w:val="000000" w:themeColor="text1"/>
          <w:vertAlign w:val="superscript"/>
        </w:rPr>
        <w:t>[10-12]</w:t>
      </w:r>
      <w:r w:rsidRPr="0033466F">
        <w:rPr>
          <w:rFonts w:ascii="Book Antiqua" w:eastAsia="Book Antiqua" w:hAnsi="Book Antiqua" w:cs="Book Antiqua"/>
          <w:color w:val="000000" w:themeColor="text1"/>
        </w:rPr>
        <w:t>. However, as tumors (especially malignant tumors) usually have inhomogeneous stiffness, maximal elasticity (Emax) has been confirmed as the best performing SWE feature for breast cancers</w:t>
      </w:r>
      <w:r w:rsidRPr="0033466F">
        <w:rPr>
          <w:rFonts w:ascii="Book Antiqua" w:eastAsia="Book Antiqua" w:hAnsi="Book Antiqua" w:cs="Book Antiqua"/>
          <w:color w:val="000000" w:themeColor="text1"/>
          <w:vertAlign w:val="superscript"/>
        </w:rPr>
        <w:t>[13]</w:t>
      </w:r>
      <w:r w:rsidRPr="0033466F">
        <w:rPr>
          <w:rFonts w:ascii="Book Antiqua" w:eastAsia="Book Antiqua" w:hAnsi="Book Antiqua" w:cs="Book Antiqua"/>
          <w:color w:val="000000" w:themeColor="text1"/>
        </w:rPr>
        <w:t>. The diagnostic value of Emax for FLLs has not yet been confirmed.</w:t>
      </w:r>
    </w:p>
    <w:p w14:paraId="2A4EA209" w14:textId="77777777"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Virtual touch tissue quantification (VTQ) imaging is one kind of point SWE (pSWE) that can determine the stiffness of the tissue in a small region of interest (ROI) and be shown on screen as a VTQ value (m/s). In this study, we used VTQ imaging with Emax as the parameter to measure the stiffness of FLLs and to explore the value of SWE with Emax in the differential diagnosis of FLLs.</w:t>
      </w:r>
    </w:p>
    <w:p w14:paraId="25AAEC4B" w14:textId="77777777" w:rsidR="00A77B3E" w:rsidRPr="0033466F" w:rsidRDefault="00A77B3E">
      <w:pPr>
        <w:spacing w:line="360" w:lineRule="auto"/>
        <w:jc w:val="both"/>
        <w:rPr>
          <w:color w:val="000000" w:themeColor="text1"/>
        </w:rPr>
      </w:pPr>
    </w:p>
    <w:p w14:paraId="2937B57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MATERIALS AND METHODS</w:t>
      </w:r>
    </w:p>
    <w:p w14:paraId="593A57B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Study design</w:t>
      </w:r>
    </w:p>
    <w:p w14:paraId="2E45245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This study was designed prospectively and approved by the Ethics Committee of Shanghai First People’s Hospital. Written informed consent was obtained from every patient before US examination.</w:t>
      </w:r>
    </w:p>
    <w:p w14:paraId="2D8FCAF0" w14:textId="77777777" w:rsidR="00A77B3E" w:rsidRPr="0033466F" w:rsidRDefault="00A77B3E">
      <w:pPr>
        <w:spacing w:line="360" w:lineRule="auto"/>
        <w:jc w:val="both"/>
        <w:rPr>
          <w:color w:val="000000" w:themeColor="text1"/>
        </w:rPr>
      </w:pPr>
    </w:p>
    <w:p w14:paraId="00692EE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Patients</w:t>
      </w:r>
    </w:p>
    <w:p w14:paraId="5E394C54" w14:textId="13EE43A2"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Between July and December 2017, patients in the Department of General Surgery at the hospital were included if they met the following criteria: (1) </w:t>
      </w:r>
      <w:r w:rsidR="002F190D" w:rsidRPr="0033466F">
        <w:rPr>
          <w:rFonts w:ascii="Book Antiqua" w:eastAsia="Book Antiqua" w:hAnsi="Book Antiqua" w:cs="Book Antiqua"/>
          <w:color w:val="000000" w:themeColor="text1"/>
        </w:rPr>
        <w:t>P</w:t>
      </w:r>
      <w:r w:rsidRPr="0033466F">
        <w:rPr>
          <w:rFonts w:ascii="Book Antiqua" w:eastAsia="Book Antiqua" w:hAnsi="Book Antiqua" w:cs="Book Antiqua"/>
          <w:color w:val="000000" w:themeColor="text1"/>
        </w:rPr>
        <w:t xml:space="preserve">resence of one or more solid FLLs with a minimum diameter &gt; 1 cm and a maximum depth &lt; 8 cm shown on conventional US; (2) </w:t>
      </w:r>
      <w:r w:rsidR="002F190D" w:rsidRPr="0033466F">
        <w:rPr>
          <w:rFonts w:ascii="Book Antiqua" w:eastAsia="Book Antiqua" w:hAnsi="Book Antiqua" w:cs="Book Antiqua"/>
          <w:color w:val="000000" w:themeColor="text1"/>
        </w:rPr>
        <w:t>P</w:t>
      </w:r>
      <w:r w:rsidRPr="0033466F">
        <w:rPr>
          <w:rFonts w:ascii="Book Antiqua" w:eastAsia="Book Antiqua" w:hAnsi="Book Antiqua" w:cs="Book Antiqua"/>
          <w:color w:val="000000" w:themeColor="text1"/>
        </w:rPr>
        <w:t xml:space="preserve">atients could follow the instructions of the operator and control their breath well; and (3) VTQ imaging done successfully with 10 VTQ values after 10 consecutive measurements. The exclusion criteria were: (1) </w:t>
      </w:r>
      <w:r w:rsidR="002F190D" w:rsidRPr="0033466F">
        <w:rPr>
          <w:rFonts w:ascii="Book Antiqua" w:eastAsia="Book Antiqua" w:hAnsi="Book Antiqua" w:cs="Book Antiqua"/>
          <w:color w:val="000000" w:themeColor="text1"/>
        </w:rPr>
        <w:t>K</w:t>
      </w:r>
      <w:r w:rsidRPr="0033466F">
        <w:rPr>
          <w:rFonts w:ascii="Book Antiqua" w:eastAsia="Book Antiqua" w:hAnsi="Book Antiqua" w:cs="Book Antiqua"/>
          <w:color w:val="000000" w:themeColor="text1"/>
        </w:rPr>
        <w:t xml:space="preserve">nown history of any liver surgery; (2) </w:t>
      </w:r>
      <w:r w:rsidR="002F190D" w:rsidRPr="0033466F">
        <w:rPr>
          <w:rFonts w:ascii="Book Antiqua" w:eastAsia="Book Antiqua" w:hAnsi="Book Antiqua" w:cs="Book Antiqua"/>
          <w:color w:val="000000" w:themeColor="text1"/>
        </w:rPr>
        <w:t>K</w:t>
      </w:r>
      <w:r w:rsidRPr="0033466F">
        <w:rPr>
          <w:rFonts w:ascii="Book Antiqua" w:eastAsia="Book Antiqua" w:hAnsi="Book Antiqua" w:cs="Book Antiqua"/>
          <w:color w:val="000000" w:themeColor="text1"/>
        </w:rPr>
        <w:t>nown history of chemotherapy, radiotherapy</w:t>
      </w:r>
      <w:r w:rsidR="0087263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or other treatment of liver tumor; and (3) </w:t>
      </w:r>
      <w:r w:rsidR="002F190D" w:rsidRPr="0033466F">
        <w:rPr>
          <w:rFonts w:ascii="Book Antiqua" w:eastAsia="Book Antiqua" w:hAnsi="Book Antiqua" w:cs="Book Antiqua"/>
          <w:color w:val="000000" w:themeColor="text1"/>
        </w:rPr>
        <w:t>W</w:t>
      </w:r>
      <w:r w:rsidRPr="0033466F">
        <w:rPr>
          <w:rFonts w:ascii="Book Antiqua" w:eastAsia="Book Antiqua" w:hAnsi="Book Antiqua" w:cs="Book Antiqua"/>
          <w:color w:val="000000" w:themeColor="text1"/>
        </w:rPr>
        <w:t>ithout definite diagnosis proven pathologically or by at least two imaging methods (CEUS together with contrast-enhanced CT and/or MRI in 1</w:t>
      </w:r>
      <w:r w:rsidR="002F190D"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wk before or after VTQ imaging). We included 104 solid FLLs in 95 patients (57 men and 38 women; aged 22</w:t>
      </w:r>
      <w:r w:rsidR="002F190D"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79 years; mean age 50.9 years). Fifty normal volunteers (aged 18</w:t>
      </w:r>
      <w:r w:rsidR="002F190D"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65 years; mean age 47.2 years) who had normal hepatic function, normal a-fetoprotein, no previous medical history of any systemic diseases, and no intrahepatic lesions examined by conventional US were included in this study as a control.</w:t>
      </w:r>
    </w:p>
    <w:p w14:paraId="57320862" w14:textId="77777777" w:rsidR="00A77B3E" w:rsidRPr="0033466F" w:rsidRDefault="00A77B3E">
      <w:pPr>
        <w:spacing w:line="360" w:lineRule="auto"/>
        <w:jc w:val="both"/>
        <w:rPr>
          <w:color w:val="000000" w:themeColor="text1"/>
        </w:rPr>
      </w:pPr>
    </w:p>
    <w:p w14:paraId="357885F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Conventional US</w:t>
      </w:r>
    </w:p>
    <w:p w14:paraId="6BB86A49" w14:textId="4260D291"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All the conventional US examinations were performed by a radiologist with 16 years’ experience in conventional US. An Acuson S2000 diagnostic </w:t>
      </w:r>
      <w:r w:rsidR="007E65CC" w:rsidRPr="0033466F">
        <w:rPr>
          <w:rFonts w:ascii="Book Antiqua" w:eastAsia="Book Antiqua" w:hAnsi="Book Antiqua" w:cs="Book Antiqua"/>
          <w:color w:val="000000" w:themeColor="text1"/>
        </w:rPr>
        <w:t>US</w:t>
      </w:r>
      <w:r w:rsidRPr="0033466F">
        <w:rPr>
          <w:rFonts w:ascii="Book Antiqua" w:eastAsia="Book Antiqua" w:hAnsi="Book Antiqua" w:cs="Book Antiqua"/>
          <w:color w:val="000000" w:themeColor="text1"/>
        </w:rPr>
        <w:t xml:space="preserve"> system (Siemens Medical Solutions, Mountain View, CA, U</w:t>
      </w:r>
      <w:r w:rsidR="002F190D" w:rsidRPr="0033466F">
        <w:rPr>
          <w:rFonts w:ascii="Book Antiqua" w:eastAsia="Book Antiqua" w:hAnsi="Book Antiqua" w:cs="Book Antiqua"/>
          <w:color w:val="000000" w:themeColor="text1"/>
        </w:rPr>
        <w:t>nited States</w:t>
      </w:r>
      <w:r w:rsidRPr="0033466F">
        <w:rPr>
          <w:rFonts w:ascii="Book Antiqua" w:eastAsia="Book Antiqua" w:hAnsi="Book Antiqua" w:cs="Book Antiqua"/>
          <w:color w:val="000000" w:themeColor="text1"/>
        </w:rPr>
        <w:t>) with a transabdominal convex 6C1 probe was used. The subjects were all instructed to fast for at least 8 h before the US examinations.</w:t>
      </w:r>
    </w:p>
    <w:p w14:paraId="1CD261A4" w14:textId="2AE1C4BD"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For the volunteers, a thorough hepatic US scan was used for the exclusion of any liver lesions, including FLLs and diffuse hepatic diseases.</w:t>
      </w:r>
    </w:p>
    <w:p w14:paraId="4DF89271" w14:textId="412DA1C0"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For the patients, conventional US was used for the detection of solid FLLs. The location, size, shape, boundary</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echogenicity of the lesion were observed. A diagnosis as benign or malignant was made and recorded. The diagnostic values of conventional US were assessed.</w:t>
      </w:r>
    </w:p>
    <w:p w14:paraId="5416C5ED" w14:textId="77777777" w:rsidR="00A77B3E" w:rsidRPr="0033466F" w:rsidRDefault="00A77B3E">
      <w:pPr>
        <w:spacing w:line="360" w:lineRule="auto"/>
        <w:jc w:val="both"/>
        <w:rPr>
          <w:color w:val="000000" w:themeColor="text1"/>
        </w:rPr>
      </w:pPr>
    </w:p>
    <w:p w14:paraId="08B3FCE1"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VTQ imaging</w:t>
      </w:r>
    </w:p>
    <w:p w14:paraId="7BF8E6CD" w14:textId="08767B3B"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same US equipment was used for VTQ imaging after conventional US examination by another radiologist with 16 years’ experience in conventional US and 5 years’ experience in UE.</w:t>
      </w:r>
    </w:p>
    <w:p w14:paraId="16BB46FA" w14:textId="36A5640F"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The volunteers were asked to assume a supine or left-lateral position. The probe was positioned on the skin gently with no pressure</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the volunteers were asked to hold their breath to avoid the effect of breath movement. The ROI (with fixed size as 10 </w:t>
      </w:r>
      <w:r w:rsidR="00060935" w:rsidRPr="0033466F">
        <w:rPr>
          <w:rFonts w:ascii="Book Antiqua" w:eastAsia="Book Antiqua" w:hAnsi="Book Antiqua" w:cs="Book Antiqua"/>
          <w:color w:val="000000" w:themeColor="text1"/>
        </w:rPr>
        <w:t>mm ×</w:t>
      </w:r>
      <w:r w:rsidRPr="0033466F">
        <w:rPr>
          <w:rFonts w:ascii="Book Antiqua" w:eastAsia="Book Antiqua" w:hAnsi="Book Antiqua" w:cs="Book Antiqua"/>
          <w:color w:val="000000" w:themeColor="text1"/>
        </w:rPr>
        <w:t xml:space="preserve"> 5 mm) was placed at a depth of 4</w:t>
      </w:r>
      <w:r w:rsidR="00681D6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6 cm</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tubular structures, such as portal veins, hepatic veins</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intra hepatic bile ducts</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were carefully avoided (Figure 1A). After 10 consecutive measurements, 10 VTQ values were acquired. The largest VTQ value was recorded as Emax; the coefficient of variation (CV = mean/standard deviation) of the VTQ values was calculated and recorded.</w:t>
      </w:r>
    </w:p>
    <w:p w14:paraId="299EAC14" w14:textId="5EC20CFE"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The patients were also asked to hold their breath to avoid the effect of breath movement. The probe was positioned on the skin gently</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the ROI was placed inside the targeted FLL (Figure 1B). After 10 consecutive measurements, the largest value was recorded as Emax. The cut-off point of Emax was calculated. The diagnostic values of Emax were assessed and compared with those of conventional US.</w:t>
      </w:r>
    </w:p>
    <w:p w14:paraId="473C4B24" w14:textId="77777777" w:rsidR="00A77B3E" w:rsidRPr="0033466F" w:rsidRDefault="00A77B3E">
      <w:pPr>
        <w:spacing w:line="360" w:lineRule="auto"/>
        <w:jc w:val="both"/>
        <w:rPr>
          <w:color w:val="000000" w:themeColor="text1"/>
        </w:rPr>
      </w:pPr>
    </w:p>
    <w:p w14:paraId="6F1B6FAE" w14:textId="77777777" w:rsidR="00A77B3E" w:rsidRPr="0033466F" w:rsidRDefault="001016E4">
      <w:pPr>
        <w:spacing w:line="360" w:lineRule="auto"/>
        <w:jc w:val="both"/>
        <w:rPr>
          <w:b/>
          <w:bCs/>
          <w:color w:val="000000" w:themeColor="text1"/>
        </w:rPr>
      </w:pPr>
      <w:r w:rsidRPr="0033466F">
        <w:rPr>
          <w:rFonts w:ascii="Book Antiqua" w:eastAsia="Book Antiqua" w:hAnsi="Book Antiqua" w:cs="Book Antiqua"/>
          <w:b/>
          <w:bCs/>
          <w:i/>
          <w:iCs/>
          <w:color w:val="000000" w:themeColor="text1"/>
        </w:rPr>
        <w:t>Combined diagnosis of conventional US and Emax</w:t>
      </w:r>
    </w:p>
    <w:p w14:paraId="0A984A9E" w14:textId="640EC3EC"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Parallel combined diagnosis of conventional US and Emax was used to improve diagnostic sensitivity. If a lesion was diagnosed as malignant by either conventional US or Emax, the result of combined diagnosis was malignant, and the result of combined diagnosis was benign when a lesion was diagnosed as benign by both conventional US and Emax.</w:t>
      </w:r>
    </w:p>
    <w:p w14:paraId="0F73522A" w14:textId="77777777" w:rsidR="00A77B3E" w:rsidRPr="0033466F" w:rsidRDefault="00A77B3E">
      <w:pPr>
        <w:spacing w:line="360" w:lineRule="auto"/>
        <w:jc w:val="both"/>
        <w:rPr>
          <w:color w:val="000000" w:themeColor="text1"/>
        </w:rPr>
      </w:pPr>
    </w:p>
    <w:p w14:paraId="5623C2AA"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Statistical analysis</w:t>
      </w:r>
    </w:p>
    <w:p w14:paraId="34EFD072" w14:textId="01FC74DC"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SPSS version13.0 software (IBM Corporation, Chicago, IL, U</w:t>
      </w:r>
      <w:r w:rsidR="00060935" w:rsidRPr="0033466F">
        <w:rPr>
          <w:rFonts w:ascii="Book Antiqua" w:eastAsia="Book Antiqua" w:hAnsi="Book Antiqua" w:cs="Book Antiqua"/>
          <w:color w:val="000000" w:themeColor="text1"/>
        </w:rPr>
        <w:t>nited States</w:t>
      </w:r>
      <w:r w:rsidRPr="0033466F">
        <w:rPr>
          <w:rFonts w:ascii="Book Antiqua" w:eastAsia="Book Antiqua" w:hAnsi="Book Antiqua" w:cs="Book Antiqua"/>
          <w:color w:val="000000" w:themeColor="text1"/>
        </w:rPr>
        <w:t xml:space="preserve">) was used for statistical analysis. </w:t>
      </w:r>
      <w:r w:rsidRPr="0033466F">
        <w:rPr>
          <w:rFonts w:ascii="Book Antiqua" w:eastAsia="Book Antiqua" w:hAnsi="Book Antiqua" w:cs="Book Antiqua"/>
          <w:i/>
          <w:iCs/>
          <w:color w:val="000000" w:themeColor="text1"/>
        </w:rPr>
        <w:t>P</w:t>
      </w:r>
      <w:r w:rsidR="00060935"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06093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0.05 was considered statistically significant. The data of Emax were presented as mean ±</w:t>
      </w:r>
      <w:r w:rsidR="00060935" w:rsidRPr="0033466F">
        <w:rPr>
          <w:rFonts w:ascii="Book Antiqua" w:eastAsia="Book Antiqua" w:hAnsi="Book Antiqua" w:cs="Book Antiqua"/>
          <w:color w:val="000000" w:themeColor="text1"/>
        </w:rPr>
        <w:t xml:space="preserve"> </w:t>
      </w:r>
      <w:r w:rsidR="00D046D3" w:rsidRPr="0033466F">
        <w:rPr>
          <w:rFonts w:ascii="Book Antiqua" w:eastAsia="Book Antiqua" w:hAnsi="Book Antiqua" w:cs="Book Antiqua"/>
          <w:color w:val="000000" w:themeColor="text1"/>
        </w:rPr>
        <w:t>standard deviation</w:t>
      </w:r>
      <w:r w:rsidRPr="0033466F">
        <w:rPr>
          <w:rFonts w:ascii="Book Antiqua" w:eastAsia="Book Antiqua" w:hAnsi="Book Antiqua" w:cs="Book Antiqua"/>
          <w:color w:val="000000" w:themeColor="text1"/>
        </w:rPr>
        <w:t xml:space="preserve"> and compared using analysis of variance and least-significant difference method. The cut-off point of Emax was calculated by a receiver operating characteristic curve. The diagnostic values of conventional US, Emax</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combined diagnosis were assessed in terms of sensitivity, specificity, positive predictive value, negative predictive value</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 The sensitivity and the specificity of Emax were compared with those of conventional US using McNemar’s </w:t>
      </w:r>
      <w:r w:rsidR="00060935" w:rsidRPr="0033466F">
        <w:rPr>
          <w:rFonts w:ascii="Book Antiqua" w:eastAsia="Book Antiqua" w:hAnsi="Book Antiqua" w:cs="Book Antiqua"/>
          <w:i/>
          <w:color w:val="000000" w:themeColor="text1"/>
        </w:rPr>
        <w:sym w:font="Symbol" w:char="F063"/>
      </w:r>
      <w:r w:rsidRPr="0033466F">
        <w:rPr>
          <w:rFonts w:ascii="Book Antiqua" w:eastAsia="Book Antiqua" w:hAnsi="Book Antiqua" w:cs="Book Antiqua"/>
          <w:color w:val="000000" w:themeColor="text1"/>
          <w:vertAlign w:val="superscript"/>
        </w:rPr>
        <w:t>2</w:t>
      </w:r>
      <w:r w:rsidRPr="0033466F">
        <w:rPr>
          <w:rFonts w:ascii="Book Antiqua" w:eastAsia="Book Antiqua" w:hAnsi="Book Antiqua" w:cs="Book Antiqua"/>
          <w:color w:val="000000" w:themeColor="text1"/>
        </w:rPr>
        <w:t xml:space="preserve"> test.</w:t>
      </w:r>
    </w:p>
    <w:p w14:paraId="6F1C7356" w14:textId="77777777" w:rsidR="00A77B3E" w:rsidRPr="0033466F" w:rsidRDefault="00A77B3E">
      <w:pPr>
        <w:spacing w:line="360" w:lineRule="auto"/>
        <w:jc w:val="both"/>
        <w:rPr>
          <w:color w:val="000000" w:themeColor="text1"/>
        </w:rPr>
      </w:pPr>
    </w:p>
    <w:p w14:paraId="3181A6D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RESULTS</w:t>
      </w:r>
    </w:p>
    <w:p w14:paraId="27568F81"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Final diagnosis</w:t>
      </w:r>
    </w:p>
    <w:p w14:paraId="3ECBFFFC" w14:textId="30B5C8B1"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There were 56 malignant and 48 benign solid FLLs. Among the malignant FLLs, 25 were hepatocellular carcinoma</w:t>
      </w:r>
      <w:r w:rsidRPr="0033466F">
        <w:rPr>
          <w:rFonts w:ascii="Book Antiqua" w:eastAsia="Book Antiqua" w:hAnsi="Book Antiqua" w:cs="Book Antiqua"/>
          <w:color w:val="000000"/>
        </w:rPr>
        <w:t xml:space="preserve"> (HCC)</w:t>
      </w:r>
      <w:r w:rsidRPr="0033466F">
        <w:rPr>
          <w:rFonts w:ascii="Book Antiqua" w:eastAsia="Book Antiqua" w:hAnsi="Book Antiqua" w:cs="Book Antiqua"/>
          <w:color w:val="000000" w:themeColor="text1"/>
        </w:rPr>
        <w:t xml:space="preserve"> and 31 were metastatic hepatic carcinoma (MHC). Among the benign solid FLLs, 35 were hemangioma, 10 were focal nodular hyperplasia (FNH)</w:t>
      </w:r>
      <w:r w:rsidR="00D046D3"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three were regenerative nodules (RNs).</w:t>
      </w:r>
    </w:p>
    <w:p w14:paraId="33284243" w14:textId="77777777" w:rsidR="00A77B3E" w:rsidRPr="0033466F" w:rsidRDefault="00A77B3E">
      <w:pPr>
        <w:spacing w:line="360" w:lineRule="auto"/>
        <w:jc w:val="both"/>
        <w:rPr>
          <w:color w:val="000000" w:themeColor="text1"/>
        </w:rPr>
      </w:pPr>
    </w:p>
    <w:p w14:paraId="2A82C468"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Diagnostic efficiency of conventional US</w:t>
      </w:r>
    </w:p>
    <w:p w14:paraId="75B588DE" w14:textId="5B4A91B2"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Eleven malignant FLLs were misdiagnosed as benign</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nine benign FLLs were misdiagnosed as malignant using conventional US (Table 1). The sensitivity, specificity, positive predictive value, negative predictive value</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 were 80.4%, 81.3%, 83.3%, 78.0%</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80.8%, respectively (Table 2).</w:t>
      </w:r>
    </w:p>
    <w:p w14:paraId="5050AA9A" w14:textId="77777777" w:rsidR="00A77B3E" w:rsidRPr="0033466F" w:rsidRDefault="00A77B3E">
      <w:pPr>
        <w:spacing w:line="360" w:lineRule="auto"/>
        <w:jc w:val="both"/>
        <w:rPr>
          <w:color w:val="000000" w:themeColor="text1"/>
        </w:rPr>
      </w:pPr>
    </w:p>
    <w:p w14:paraId="41ADBCD2" w14:textId="56C45179"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Comparison of Emax among normal livers, benign FLLs</w:t>
      </w:r>
      <w:r w:rsidR="007A4986" w:rsidRPr="0033466F">
        <w:rPr>
          <w:rFonts w:ascii="Book Antiqua" w:eastAsia="Book Antiqua" w:hAnsi="Book Antiqua" w:cs="Book Antiqua"/>
          <w:b/>
          <w:bCs/>
          <w:i/>
          <w:iCs/>
          <w:color w:val="000000" w:themeColor="text1"/>
        </w:rPr>
        <w:t>,</w:t>
      </w:r>
      <w:r w:rsidRPr="0033466F">
        <w:rPr>
          <w:rFonts w:ascii="Book Antiqua" w:eastAsia="Book Antiqua" w:hAnsi="Book Antiqua" w:cs="Book Antiqua"/>
          <w:b/>
          <w:bCs/>
          <w:i/>
          <w:iCs/>
          <w:color w:val="000000" w:themeColor="text1"/>
        </w:rPr>
        <w:t xml:space="preserve"> and malignant FLLs</w:t>
      </w:r>
    </w:p>
    <w:p w14:paraId="4131AD30" w14:textId="4D1BD47E"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comparison of Emax among normal livers, benign FLLs</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malignant FLLs is shown in Figure 2. Emax values of the normal livers in volunteers were 1.15</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0.17 m/s and ranged from 0.79 to 1.43 m/s. CV values of the VTQ values in each volunteer ranged from 4.5% to 14.6%. Emax values of the benign FLLs were 1.30</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0.46 m/s. Emax values of the malignant FLLs were 3.29</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656DC5"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0.88 m/s. There were significant differences among Emax of normal livers, benign FLLs</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malignant FLLs (</w:t>
      </w:r>
      <w:r w:rsidRPr="0033466F">
        <w:rPr>
          <w:rFonts w:ascii="Book Antiqua" w:eastAsia="Book Antiqua" w:hAnsi="Book Antiqua" w:cs="Book Antiqua"/>
          <w:i/>
          <w:iCs/>
          <w:color w:val="000000" w:themeColor="text1"/>
        </w:rPr>
        <w:t>F</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 xml:space="preserve">216.304, </w:t>
      </w:r>
      <w:r w:rsidRPr="0033466F">
        <w:rPr>
          <w:rFonts w:ascii="Book Antiqua" w:eastAsia="Book Antiqua" w:hAnsi="Book Antiqua" w:cs="Book Antiqua"/>
          <w:i/>
          <w:iCs/>
          <w:color w:val="000000" w:themeColor="text1"/>
        </w:rPr>
        <w:t>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Further multiple comparisons showed significant differences between Emax values of the malignant and benign FLLs (</w:t>
      </w:r>
      <w:r w:rsidRPr="0033466F">
        <w:rPr>
          <w:rFonts w:ascii="Book Antiqua" w:eastAsia="Book Antiqua" w:hAnsi="Book Antiqua" w:cs="Book Antiqua"/>
          <w:i/>
          <w:iCs/>
          <w:color w:val="000000" w:themeColor="text1"/>
        </w:rPr>
        <w:t>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and between Emax values of the malignant FLLs and normal livers (</w:t>
      </w:r>
      <w:r w:rsidRPr="0033466F">
        <w:rPr>
          <w:rFonts w:ascii="Book Antiqua" w:eastAsia="Book Antiqua" w:hAnsi="Book Antiqua" w:cs="Book Antiqua"/>
          <w:i/>
          <w:iCs/>
          <w:color w:val="000000" w:themeColor="text1"/>
        </w:rPr>
        <w:t>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There was no significant difference between Emax values of the benign FLLs and normal liver.</w:t>
      </w:r>
    </w:p>
    <w:p w14:paraId="29CDEFAB" w14:textId="77777777" w:rsidR="00A77B3E" w:rsidRPr="0033466F" w:rsidRDefault="00A77B3E">
      <w:pPr>
        <w:spacing w:line="360" w:lineRule="auto"/>
        <w:jc w:val="both"/>
        <w:rPr>
          <w:color w:val="000000" w:themeColor="text1"/>
        </w:rPr>
      </w:pPr>
    </w:p>
    <w:p w14:paraId="5C7035CE" w14:textId="731862D6"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Diagnostic efficiency of Emax and comparison with that of conventional US</w:t>
      </w:r>
    </w:p>
    <w:p w14:paraId="57CD1300" w14:textId="396EB231"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cut-off point of Emax was 1.945, and area under the curve (AUC) was 0.978 (Figure 3). Using Emax &gt; 1.945 for diagnosis as malignant, four malignant FLLs (</w:t>
      </w:r>
      <w:r w:rsidR="007A4986" w:rsidRPr="0033466F">
        <w:rPr>
          <w:rFonts w:ascii="Book Antiqua" w:eastAsia="Book Antiqua" w:hAnsi="Book Antiqua" w:cs="Book Antiqua"/>
          <w:color w:val="000000" w:themeColor="text1"/>
        </w:rPr>
        <w:t>one</w:t>
      </w:r>
      <w:r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rPr>
        <w:t xml:space="preserve">HCC </w:t>
      </w:r>
      <w:r w:rsidRPr="0033466F">
        <w:rPr>
          <w:rFonts w:ascii="Book Antiqua" w:eastAsia="Book Antiqua" w:hAnsi="Book Antiqua" w:cs="Book Antiqua"/>
          <w:color w:val="000000" w:themeColor="text1"/>
        </w:rPr>
        <w:t xml:space="preserve">and </w:t>
      </w:r>
      <w:r w:rsidR="007A4986" w:rsidRPr="0033466F">
        <w:rPr>
          <w:rFonts w:ascii="Book Antiqua" w:eastAsia="Book Antiqua" w:hAnsi="Book Antiqua" w:cs="Book Antiqua"/>
          <w:color w:val="000000" w:themeColor="text1"/>
        </w:rPr>
        <w:t>three</w:t>
      </w:r>
      <w:r w:rsidRPr="0033466F">
        <w:rPr>
          <w:rFonts w:ascii="Book Antiqua" w:eastAsia="Book Antiqua" w:hAnsi="Book Antiqua" w:cs="Book Antiqua"/>
          <w:color w:val="000000" w:themeColor="text1"/>
        </w:rPr>
        <w:t xml:space="preserve"> MHCs) were misdiagnosed as benign and four benign FLLs (</w:t>
      </w:r>
      <w:r w:rsidR="007A4986" w:rsidRPr="0033466F">
        <w:rPr>
          <w:rFonts w:ascii="Book Antiqua" w:eastAsia="Book Antiqua" w:hAnsi="Book Antiqua" w:cs="Book Antiqua"/>
          <w:color w:val="000000" w:themeColor="text1"/>
        </w:rPr>
        <w:t>two</w:t>
      </w:r>
      <w:r w:rsidRPr="0033466F">
        <w:rPr>
          <w:rFonts w:ascii="Book Antiqua" w:eastAsia="Book Antiqua" w:hAnsi="Book Antiqua" w:cs="Book Antiqua"/>
          <w:color w:val="000000" w:themeColor="text1"/>
        </w:rPr>
        <w:t xml:space="preserve"> hemangiomas,</w:t>
      </w:r>
      <w:r w:rsidR="00681D63" w:rsidRPr="0033466F">
        <w:rPr>
          <w:rFonts w:ascii="Book Antiqua" w:eastAsia="Book Antiqua" w:hAnsi="Book Antiqua" w:cs="Book Antiqua"/>
          <w:color w:val="000000" w:themeColor="text1"/>
        </w:rPr>
        <w:t xml:space="preserve"> </w:t>
      </w:r>
      <w:r w:rsidR="007A4986" w:rsidRPr="0033466F">
        <w:rPr>
          <w:rFonts w:ascii="Book Antiqua" w:eastAsia="Book Antiqua" w:hAnsi="Book Antiqua" w:cs="Book Antiqua"/>
          <w:color w:val="000000" w:themeColor="text1"/>
        </w:rPr>
        <w:t>one</w:t>
      </w:r>
      <w:r w:rsidRPr="0033466F">
        <w:rPr>
          <w:rFonts w:ascii="Book Antiqua" w:eastAsia="Book Antiqua" w:hAnsi="Book Antiqua" w:cs="Book Antiqua"/>
          <w:color w:val="000000" w:themeColor="text1"/>
        </w:rPr>
        <w:t xml:space="preserve"> FNH</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w:t>
      </w:r>
      <w:r w:rsidR="007A4986" w:rsidRPr="0033466F">
        <w:rPr>
          <w:rFonts w:ascii="Book Antiqua" w:eastAsia="Book Antiqua" w:hAnsi="Book Antiqua" w:cs="Book Antiqua"/>
          <w:color w:val="000000" w:themeColor="text1"/>
        </w:rPr>
        <w:t>one</w:t>
      </w:r>
      <w:r w:rsidRPr="0033466F">
        <w:rPr>
          <w:rFonts w:ascii="Book Antiqua" w:eastAsia="Book Antiqua" w:hAnsi="Book Antiqua" w:cs="Book Antiqua"/>
          <w:color w:val="000000" w:themeColor="text1"/>
        </w:rPr>
        <w:t xml:space="preserve"> RN) were misdiagnosed as malignant (Table 1), with sensitivity, specificity, positive predictive value, negative predictive value</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w:t>
      </w:r>
      <w:r w:rsidR="00681D63"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of 92.9%, 91.7%, 92.9%, 91.7%</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92.3%, respectively (Table 2). Although the sensitivity and specificity of Emax were higher than those of conventional US (92.9% </w:t>
      </w:r>
      <w:r w:rsidRPr="0033466F">
        <w:rPr>
          <w:rFonts w:ascii="Book Antiqua" w:eastAsia="Book Antiqua" w:hAnsi="Book Antiqua" w:cs="Book Antiqua"/>
          <w:i/>
          <w:iCs/>
          <w:color w:val="000000" w:themeColor="text1"/>
        </w:rPr>
        <w:t>vs</w:t>
      </w:r>
      <w:r w:rsidRPr="0033466F">
        <w:rPr>
          <w:rFonts w:ascii="Book Antiqua" w:eastAsia="Book Antiqua" w:hAnsi="Book Antiqua" w:cs="Book Antiqua"/>
          <w:color w:val="000000" w:themeColor="text1"/>
        </w:rPr>
        <w:t xml:space="preserve"> 80.4% and 91.7%</w:t>
      </w:r>
      <w:r w:rsidRPr="0033466F">
        <w:rPr>
          <w:rFonts w:ascii="Book Antiqua" w:eastAsia="Book Antiqua" w:hAnsi="Book Antiqua" w:cs="Book Antiqua"/>
          <w:i/>
          <w:iCs/>
          <w:color w:val="000000" w:themeColor="text1"/>
        </w:rPr>
        <w:t xml:space="preserve"> vs</w:t>
      </w:r>
      <w:r w:rsidRPr="0033466F">
        <w:rPr>
          <w:rFonts w:ascii="Book Antiqua" w:eastAsia="Book Antiqua" w:hAnsi="Book Antiqua" w:cs="Book Antiqua"/>
          <w:color w:val="000000" w:themeColor="text1"/>
        </w:rPr>
        <w:t xml:space="preserve"> 81.3%), the differences were not statistically significant.</w:t>
      </w:r>
    </w:p>
    <w:p w14:paraId="715EC7CE" w14:textId="77777777" w:rsidR="00A77B3E" w:rsidRPr="0033466F" w:rsidRDefault="00A77B3E">
      <w:pPr>
        <w:spacing w:line="360" w:lineRule="auto"/>
        <w:jc w:val="both"/>
        <w:rPr>
          <w:color w:val="000000" w:themeColor="text1"/>
        </w:rPr>
      </w:pPr>
    </w:p>
    <w:p w14:paraId="5C241DC0"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i/>
          <w:iCs/>
          <w:color w:val="000000" w:themeColor="text1"/>
        </w:rPr>
        <w:t>Combined diagnosis of conventional US and Emax</w:t>
      </w:r>
    </w:p>
    <w:p w14:paraId="70962896" w14:textId="2C1EFA33"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sensitivity, specificity, positive predictive value, negative predictive value</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 of combined diagnosis of conventional US and Emax using parallel test were 100%, 75%, 82.4%, 100%</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88.5%, respectively (Table 2).</w:t>
      </w:r>
    </w:p>
    <w:p w14:paraId="4B9FFA87" w14:textId="77777777" w:rsidR="00A77B3E" w:rsidRPr="0033466F" w:rsidRDefault="00A77B3E">
      <w:pPr>
        <w:spacing w:line="360" w:lineRule="auto"/>
        <w:jc w:val="both"/>
        <w:rPr>
          <w:color w:val="000000" w:themeColor="text1"/>
        </w:rPr>
      </w:pPr>
    </w:p>
    <w:p w14:paraId="535AE69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DISCUSSION</w:t>
      </w:r>
    </w:p>
    <w:p w14:paraId="614CBE4A" w14:textId="3B71511E"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We explored the value of SWE with Emax as a parameter in the differential diagnosis of solid FLLs. Our results show that SWE is a convenient and easy method that can provide accurate stiffness information of solid FLLs</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Emax is useful for the differential diagnosis of FLLs.</w:t>
      </w:r>
    </w:p>
    <w:p w14:paraId="582D06C1" w14:textId="77777777"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SWE, including VTQ imaging as pSWE, has been proven to be a useful and accurate method for the assessment of liver stiffness</w:t>
      </w:r>
      <w:r w:rsidRPr="0033466F">
        <w:rPr>
          <w:rFonts w:ascii="Book Antiqua" w:eastAsia="Book Antiqua" w:hAnsi="Book Antiqua" w:cs="Book Antiqua"/>
          <w:color w:val="000000" w:themeColor="text1"/>
          <w:vertAlign w:val="superscript"/>
        </w:rPr>
        <w:t>[14-16]</w:t>
      </w:r>
      <w:r w:rsidRPr="0033466F">
        <w:rPr>
          <w:rFonts w:ascii="Book Antiqua" w:eastAsia="Book Antiqua" w:hAnsi="Book Antiqua" w:cs="Book Antiqua"/>
          <w:color w:val="000000" w:themeColor="text1"/>
        </w:rPr>
        <w:t>. In this study, 50 volunteers with normal hepatic function and without any intrahepatic lesion were included as controls. Our results showed that CVs of the VTQ values in each volunteer were between 4.5% and 14.6%, which proved that VTQ imaging could provide reliable and reproducible quantitative information.</w:t>
      </w:r>
    </w:p>
    <w:p w14:paraId="52690D34" w14:textId="0C352722"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Although the value of SWE for solid FLLs has not yet been determined definitively, some studies have used VTQ imaging to differentiate between benign and malignant FLLs</w:t>
      </w:r>
      <w:r w:rsidRPr="0033466F">
        <w:rPr>
          <w:rFonts w:ascii="Book Antiqua" w:eastAsia="Book Antiqua" w:hAnsi="Book Antiqua" w:cs="Book Antiqua"/>
          <w:color w:val="000000" w:themeColor="text1"/>
          <w:vertAlign w:val="superscript"/>
        </w:rPr>
        <w:t>[10,11]</w:t>
      </w:r>
      <w:r w:rsidRPr="0033466F">
        <w:rPr>
          <w:rFonts w:ascii="Book Antiqua" w:eastAsia="Book Antiqua" w:hAnsi="Book Antiqua" w:cs="Book Antiqua"/>
          <w:color w:val="000000" w:themeColor="text1"/>
        </w:rPr>
        <w:t xml:space="preserve">. Akdoğan </w:t>
      </w:r>
      <w:r w:rsidRPr="0033466F">
        <w:rPr>
          <w:rFonts w:ascii="Book Antiqua" w:eastAsia="Book Antiqua" w:hAnsi="Book Antiqua" w:cs="Book Antiqua"/>
          <w:i/>
          <w:iCs/>
          <w:color w:val="000000" w:themeColor="text1"/>
        </w:rPr>
        <w:t>et al</w:t>
      </w:r>
      <w:r w:rsidRPr="0033466F">
        <w:rPr>
          <w:rFonts w:ascii="Book Antiqua" w:eastAsia="Book Antiqua" w:hAnsi="Book Antiqua" w:cs="Book Antiqua"/>
          <w:color w:val="000000" w:themeColor="text1"/>
          <w:vertAlign w:val="superscript"/>
        </w:rPr>
        <w:t>[10]</w:t>
      </w:r>
      <w:r w:rsidRPr="0033466F">
        <w:rPr>
          <w:rFonts w:ascii="Book Antiqua" w:eastAsia="Book Antiqua" w:hAnsi="Book Antiqua" w:cs="Book Antiqua"/>
          <w:color w:val="000000" w:themeColor="text1"/>
        </w:rPr>
        <w:t xml:space="preserve"> reported that there were significant differences in VTQ values between malignant and benign FLLs. A VTQ value of 2.32 m/s was used as a cut-off value to differentiate malignant liver masses from benign ones, and the sensitivity, specificity</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AUC were 0.93, 0.60</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0.826, respectively. Sun </w:t>
      </w:r>
      <w:r w:rsidRPr="0033466F">
        <w:rPr>
          <w:rFonts w:ascii="Book Antiqua" w:eastAsia="Book Antiqua" w:hAnsi="Book Antiqua" w:cs="Book Antiqua"/>
          <w:i/>
          <w:iCs/>
          <w:color w:val="000000" w:themeColor="text1"/>
        </w:rPr>
        <w:t>et al</w:t>
      </w:r>
      <w:r w:rsidRPr="0033466F">
        <w:rPr>
          <w:rFonts w:ascii="Book Antiqua" w:eastAsia="Book Antiqua" w:hAnsi="Book Antiqua" w:cs="Book Antiqua"/>
          <w:color w:val="000000" w:themeColor="text1"/>
          <w:vertAlign w:val="superscript"/>
        </w:rPr>
        <w:t>[11]</w:t>
      </w:r>
      <w:r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also showed that VTQ values of malignant tumors were significantly higher than those of benign tumors, with a cut-off of 1.60 m/s and AUC of 0.851. This diagnostic efficiency was not good enough to meet clinical requirements. In these two studies, Emean, the performance of which was not as good as Emax for breast cancer, was used as the parameter to assess the stiffness of each FLL. In our study, we used Emax as the parameter</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 promising result was achieved (sensitivity 92.9%, specificity 91.7%</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AUC 0.978).</w:t>
      </w:r>
    </w:p>
    <w:p w14:paraId="232C5DBB" w14:textId="6E2B0117"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Although shear stiffness is an important feature of malignant tumors</w:t>
      </w:r>
      <w:r w:rsidRPr="0033466F">
        <w:rPr>
          <w:rFonts w:ascii="Book Antiqua" w:eastAsia="Book Antiqua" w:hAnsi="Book Antiqua" w:cs="Book Antiqua"/>
          <w:color w:val="000000" w:themeColor="text1"/>
          <w:vertAlign w:val="superscript"/>
        </w:rPr>
        <w:t>[17-19]</w:t>
      </w:r>
      <w:r w:rsidRPr="0033466F">
        <w:rPr>
          <w:rFonts w:ascii="Book Antiqua" w:eastAsia="Book Antiqua" w:hAnsi="Book Antiqua" w:cs="Book Antiqua"/>
          <w:color w:val="000000" w:themeColor="text1"/>
        </w:rPr>
        <w:t>, there were still four malignant FLLs among the 56 that were misdiagnosed as benign in our study. One confusing result in our study was that for a patient with multiple liver metastases from breast cancer, the Emax values of three targeted metastases were not similar (4.01, 4.31</w:t>
      </w:r>
      <w:r w:rsidR="007A498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1.73, respectively). One probable reason was that tumor size may have affected its stiffness. There may be other reasons for the inconsistency and misdiagnosis and further studies are needed.</w:t>
      </w:r>
    </w:p>
    <w:p w14:paraId="7814A09A" w14:textId="280504E9"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Conventional US is the prerequisite and foundation of SWE. The sensitivity and specificity of conventional US were 80.4% and 81.3%, respectively, in our study. When combined with Emax, the sensitivity was improved to 100% with no false-negative results. This reduced significantly the rate of missed diagnosis and avoided delay of further diagnosis and treatment for malignant FLLs. Compared with CEUS, VTQ imaging is easier to operate and interpret, and cheaper, with no risk of allergy caused by contrast agents. With all these advantages and excellent diagnostic efficiency, it makes VTQ imaging a good choice for the differential diagnosis of FLLs.</w:t>
      </w:r>
    </w:p>
    <w:p w14:paraId="4A6233B3" w14:textId="4DB96865" w:rsidR="00A77B3E" w:rsidRPr="0033466F" w:rsidRDefault="001016E4">
      <w:pPr>
        <w:spacing w:line="360" w:lineRule="auto"/>
        <w:ind w:firstLineChars="100" w:firstLine="240"/>
        <w:jc w:val="both"/>
        <w:rPr>
          <w:color w:val="000000" w:themeColor="text1"/>
        </w:rPr>
      </w:pPr>
      <w:r w:rsidRPr="0033466F">
        <w:rPr>
          <w:rFonts w:ascii="Book Antiqua" w:eastAsia="Book Antiqua" w:hAnsi="Book Antiqua" w:cs="Book Antiqua"/>
          <w:color w:val="000000" w:themeColor="text1"/>
        </w:rPr>
        <w:t>There were some limitations to our study. First, the sample number was not large enough for the comparison of Emax among different pathological types of FLLs. Second, because of the technical limitation of VTQ imaging, only FLLs with a minimum diameter &gt; 1 cm and a maximum depth &lt; 8 cm could be assessed. The ROI could not be placed directly in the area with highest stiffness of a tumor. Further stud</w:t>
      </w:r>
      <w:r w:rsidR="007A4986" w:rsidRPr="0033466F">
        <w:rPr>
          <w:rFonts w:ascii="Book Antiqua" w:eastAsia="Book Antiqua" w:hAnsi="Book Antiqua" w:cs="Book Antiqua"/>
          <w:color w:val="000000" w:themeColor="text1"/>
        </w:rPr>
        <w:t>ies</w:t>
      </w:r>
      <w:r w:rsidRPr="0033466F">
        <w:rPr>
          <w:rFonts w:ascii="Book Antiqua" w:eastAsia="Book Antiqua" w:hAnsi="Book Antiqua" w:cs="Book Antiqua"/>
          <w:color w:val="000000" w:themeColor="text1"/>
        </w:rPr>
        <w:t xml:space="preserve"> with a larger sample number and improved techniques </w:t>
      </w:r>
      <w:r w:rsidR="007A4986" w:rsidRPr="0033466F">
        <w:rPr>
          <w:rFonts w:ascii="Book Antiqua" w:eastAsia="Book Antiqua" w:hAnsi="Book Antiqua" w:cs="Book Antiqua"/>
          <w:color w:val="000000" w:themeColor="text1"/>
        </w:rPr>
        <w:t>are</w:t>
      </w:r>
      <w:r w:rsidRPr="0033466F">
        <w:rPr>
          <w:rFonts w:ascii="Book Antiqua" w:eastAsia="Book Antiqua" w:hAnsi="Book Antiqua" w:cs="Book Antiqua"/>
          <w:color w:val="000000" w:themeColor="text1"/>
        </w:rPr>
        <w:t xml:space="preserve"> needed to confirm our results.</w:t>
      </w:r>
    </w:p>
    <w:p w14:paraId="34662854" w14:textId="77777777" w:rsidR="00A77B3E" w:rsidRPr="0033466F" w:rsidRDefault="00A77B3E">
      <w:pPr>
        <w:spacing w:line="360" w:lineRule="auto"/>
        <w:jc w:val="both"/>
        <w:rPr>
          <w:color w:val="000000" w:themeColor="text1"/>
        </w:rPr>
      </w:pPr>
    </w:p>
    <w:p w14:paraId="4E25F13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CONCLUSION</w:t>
      </w:r>
    </w:p>
    <w:p w14:paraId="20A4790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In conclusion, SWE is a convenient and easy method that can provide accurate stiffness information of solid FLLs. Emax is useful for the differential diagnosis of FLLs, and combined with conventional US, the diagnostic efficiency is improved.</w:t>
      </w:r>
    </w:p>
    <w:p w14:paraId="60C36FB5" w14:textId="77777777" w:rsidR="00A77B3E" w:rsidRPr="0033466F" w:rsidRDefault="00A77B3E">
      <w:pPr>
        <w:spacing w:line="360" w:lineRule="auto"/>
        <w:jc w:val="both"/>
        <w:rPr>
          <w:color w:val="000000" w:themeColor="text1"/>
        </w:rPr>
      </w:pPr>
    </w:p>
    <w:p w14:paraId="44A16A1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aps/>
          <w:color w:val="000000" w:themeColor="text1"/>
          <w:u w:val="single"/>
        </w:rPr>
        <w:t>ARTICLE HIGHLIGHTS</w:t>
      </w:r>
    </w:p>
    <w:p w14:paraId="7F70C1E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background</w:t>
      </w:r>
    </w:p>
    <w:p w14:paraId="23CCE124" w14:textId="6E9CCC8B"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Shear wave elastography (SWE), which could reflect tissue stiffness quantitatively, is the technologic leap of ultrasound</w:t>
      </w:r>
      <w:r w:rsidR="007E65CC" w:rsidRPr="0033466F">
        <w:rPr>
          <w:rFonts w:ascii="Book Antiqua" w:eastAsia="Book Antiqua" w:hAnsi="Book Antiqua" w:cs="Book Antiqua"/>
          <w:color w:val="000000" w:themeColor="text1"/>
        </w:rPr>
        <w:t xml:space="preserve"> (US)</w:t>
      </w:r>
      <w:r w:rsidRPr="0033466F">
        <w:rPr>
          <w:rFonts w:ascii="Book Antiqua" w:eastAsia="Book Antiqua" w:hAnsi="Book Antiqua" w:cs="Book Antiqua"/>
          <w:color w:val="000000" w:themeColor="text1"/>
        </w:rPr>
        <w:t xml:space="preserve"> and is playing a more and more important role clinically. SWE is a convenient and cheap method with good repeatability and without any risk of radiation. The values of SWE in the differential diagnosis of thyroid and breast nodules and the assessment of liver fibrosis are significant. However, its value for the differential diagnosis between malignant and benign </w:t>
      </w:r>
      <w:r w:rsidR="00F12F3F" w:rsidRPr="0033466F">
        <w:rPr>
          <w:rFonts w:ascii="Book Antiqua" w:eastAsia="Book Antiqua" w:hAnsi="Book Antiqua" w:cs="Book Antiqua"/>
          <w:color w:val="000000" w:themeColor="text1"/>
          <w:shd w:val="clear" w:color="auto" w:fill="FFFFFF"/>
        </w:rPr>
        <w:t>f</w:t>
      </w:r>
      <w:r w:rsidR="00F12F3F" w:rsidRPr="0033466F">
        <w:rPr>
          <w:rFonts w:ascii="Book Antiqua" w:eastAsia="Book Antiqua" w:hAnsi="Book Antiqua" w:cs="Book Antiqua"/>
          <w:color w:val="000000" w:themeColor="text1"/>
        </w:rPr>
        <w:t>ocal liver lesions (FLLs)</w:t>
      </w:r>
      <w:r w:rsidRPr="0033466F">
        <w:rPr>
          <w:rFonts w:ascii="Book Antiqua" w:eastAsia="Book Antiqua" w:hAnsi="Book Antiqua" w:cs="Book Antiqua"/>
          <w:color w:val="000000" w:themeColor="text1"/>
        </w:rPr>
        <w:t xml:space="preserve"> was not widely accepted yet.</w:t>
      </w:r>
    </w:p>
    <w:p w14:paraId="05E5EA8A" w14:textId="77777777" w:rsidR="00A77B3E" w:rsidRPr="0033466F" w:rsidRDefault="00A77B3E">
      <w:pPr>
        <w:spacing w:line="360" w:lineRule="auto"/>
        <w:jc w:val="both"/>
        <w:rPr>
          <w:color w:val="000000" w:themeColor="text1"/>
        </w:rPr>
      </w:pPr>
    </w:p>
    <w:p w14:paraId="6063560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motivation</w:t>
      </w:r>
    </w:p>
    <w:p w14:paraId="5DE8E0C0" w14:textId="1ADAD4EB"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World Federation for Ultrasound in Medicine and Biology guidelines 2018 did not recognize the value SWE for the differential diagnosis between malignant and benign FLLs. Previous studies about SWE application in liver usually used mean elasticity as the parameter. Considering the inhomogeneity of the stiffness of FLLs, maximal elasticity (Emax) might be the suitable parameter to reflect the stiffness of FLLs and to differentiate malignant FLLs from benign ones. So, it was necessary to explore the value of SWE with Emax in differential diagnosis of solid FLLs.</w:t>
      </w:r>
    </w:p>
    <w:p w14:paraId="4A031026" w14:textId="77777777" w:rsidR="00A77B3E" w:rsidRPr="0033466F" w:rsidRDefault="00A77B3E">
      <w:pPr>
        <w:spacing w:line="360" w:lineRule="auto"/>
        <w:jc w:val="both"/>
        <w:rPr>
          <w:color w:val="000000" w:themeColor="text1"/>
        </w:rPr>
      </w:pPr>
    </w:p>
    <w:p w14:paraId="728F58F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objectives</w:t>
      </w:r>
    </w:p>
    <w:p w14:paraId="00541F4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We aim to explore the value of SWE with Emax in differential diagnosis of FLLs.</w:t>
      </w:r>
    </w:p>
    <w:p w14:paraId="36406E83" w14:textId="77777777" w:rsidR="00A77B3E" w:rsidRPr="0033466F" w:rsidRDefault="00A77B3E">
      <w:pPr>
        <w:spacing w:line="360" w:lineRule="auto"/>
        <w:jc w:val="both"/>
        <w:rPr>
          <w:color w:val="000000" w:themeColor="text1"/>
        </w:rPr>
      </w:pPr>
    </w:p>
    <w:p w14:paraId="60DC6644"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methods</w:t>
      </w:r>
    </w:p>
    <w:p w14:paraId="024C1C4B" w14:textId="3F880B3A"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This study included 104 solid FLLs and 50 healthy volunteers, who were examined using conventional US and SWE. Coefficient of variation (CV) of virtual touch tissue quantification (VTQ) values in each volunteer was calculated after 10 consecutive measurements for each liver. Each lesion was diagnosed as benign or malignant using conventional US by a radiologist with 16 years’ experience in US. The largest VTQ value was recorded as Emax after 10 consecutive measurements for each FLL. The cut-off point of Emax was calculated by a receiver operating characteristic curve. The diagnostic efficiencies of conventional US, Emax</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combined test was calculated and compared.</w:t>
      </w:r>
    </w:p>
    <w:p w14:paraId="3CE617B4" w14:textId="77777777" w:rsidR="00A77B3E" w:rsidRPr="0033466F" w:rsidRDefault="00A77B3E">
      <w:pPr>
        <w:spacing w:line="360" w:lineRule="auto"/>
        <w:jc w:val="both"/>
        <w:rPr>
          <w:color w:val="000000" w:themeColor="text1"/>
        </w:rPr>
      </w:pPr>
    </w:p>
    <w:p w14:paraId="62281F8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results</w:t>
      </w:r>
    </w:p>
    <w:p w14:paraId="4C10CDED" w14:textId="7AFC8A84"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The sensitivity, specificity, positive predictive value, negative predictive value</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accuracy of conventional US were 80.4%, 81.3%, 83.3%, 78.0%</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80.8%, respectively</w:t>
      </w:r>
      <w:r w:rsidR="00F12F3F" w:rsidRPr="0033466F">
        <w:rPr>
          <w:rFonts w:ascii="Book Antiqua" w:eastAsia="Book Antiqua" w:hAnsi="Book Antiqua" w:cs="Book Antiqua"/>
          <w:color w:val="000000" w:themeColor="text1"/>
        </w:rPr>
        <w:t>.</w:t>
      </w:r>
      <w:r w:rsidR="00655359" w:rsidRPr="0033466F">
        <w:rPr>
          <w:color w:val="000000" w:themeColor="text1"/>
          <w:lang w:eastAsia="zh-CN"/>
        </w:rPr>
        <w:t xml:space="preserve"> </w:t>
      </w:r>
      <w:r w:rsidRPr="0033466F">
        <w:rPr>
          <w:rFonts w:ascii="Book Antiqua" w:eastAsia="Book Antiqua" w:hAnsi="Book Antiqua" w:cs="Book Antiqua"/>
          <w:color w:val="000000"/>
        </w:rPr>
        <w:t xml:space="preserve">CV </w:t>
      </w:r>
      <w:r w:rsidRPr="0033466F">
        <w:rPr>
          <w:rFonts w:ascii="Book Antiqua" w:eastAsia="Book Antiqua" w:hAnsi="Book Antiqua" w:cs="Book Antiqua"/>
          <w:color w:val="000000" w:themeColor="text1"/>
        </w:rPr>
        <w:t>of the VTQ values in each volunteer ranged from 4.5% to 14.6%. Emax of malignant FLLs (3.29</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0.88 m/s) was significantly higher than that of benign FLLs (1.30</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0.46 m/s,</w:t>
      </w:r>
      <w:r w:rsidRPr="0033466F">
        <w:rPr>
          <w:rFonts w:ascii="Book Antiqua" w:eastAsia="Book Antiqua" w:hAnsi="Book Antiqua" w:cs="Book Antiqua"/>
          <w:i/>
          <w:iCs/>
          <w:color w:val="000000" w:themeColor="text1"/>
        </w:rPr>
        <w:t xml:space="preserve"> 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and that of livers in healthy volunteers (1.15</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0.17 m/s,</w:t>
      </w:r>
      <w:r w:rsidRPr="0033466F">
        <w:rPr>
          <w:rFonts w:ascii="Book Antiqua" w:eastAsia="Book Antiqua" w:hAnsi="Book Antiqua" w:cs="Book Antiqua"/>
          <w:i/>
          <w:iCs/>
          <w:color w:val="000000" w:themeColor="text1"/>
        </w:rPr>
        <w:t xml:space="preserve"> P</w:t>
      </w:r>
      <w:r w:rsidR="00F12F3F"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F12F3F"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0.01). The cut-off point of Emax was 1.945, and the area under the curve was 0.978. The sensitivity and specificity of Emax were 92.9% and 91.7%, higher (but not significantly) than those of conventional US. Combined diagnosis of conventional US and Emax using parallel testing improved the sensitivity to 100% with specificity of 75%.</w:t>
      </w:r>
    </w:p>
    <w:p w14:paraId="3BB8CF72" w14:textId="77777777" w:rsidR="00A77B3E" w:rsidRPr="0033466F" w:rsidRDefault="00A77B3E">
      <w:pPr>
        <w:spacing w:line="360" w:lineRule="auto"/>
        <w:jc w:val="both"/>
        <w:rPr>
          <w:color w:val="000000" w:themeColor="text1"/>
        </w:rPr>
      </w:pPr>
    </w:p>
    <w:p w14:paraId="3BFB13C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conclusions</w:t>
      </w:r>
    </w:p>
    <w:p w14:paraId="2A33223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SWE is a convenient and easy method that can provide accurate stiffness information of solid FLLs. Emax is useful for the differential diagnosis of malignant and benign FLLs, and combined with conventional US, the diagnostic efficiency is improved.</w:t>
      </w:r>
    </w:p>
    <w:p w14:paraId="06B59A04" w14:textId="77777777" w:rsidR="00A77B3E" w:rsidRPr="0033466F" w:rsidRDefault="00A77B3E">
      <w:pPr>
        <w:spacing w:line="360" w:lineRule="auto"/>
        <w:jc w:val="both"/>
        <w:rPr>
          <w:color w:val="000000" w:themeColor="text1"/>
        </w:rPr>
      </w:pPr>
    </w:p>
    <w:p w14:paraId="7FE237B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i/>
          <w:color w:val="000000" w:themeColor="text1"/>
        </w:rPr>
        <w:t>Research perspectives</w:t>
      </w:r>
    </w:p>
    <w:p w14:paraId="24810E8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In this study, we demonstrated the value of SWE with Emax in differential diagnosis of FLLs. Prospective study with large numbers of patients and different kinds of FLLs will be needed to confirm the results. The application of two-dimensional SWE may be more convenient and accurate for differentiating FLLs.</w:t>
      </w:r>
    </w:p>
    <w:p w14:paraId="0617F664" w14:textId="77777777" w:rsidR="00A77B3E" w:rsidRPr="0033466F" w:rsidRDefault="00A77B3E">
      <w:pPr>
        <w:spacing w:line="360" w:lineRule="auto"/>
        <w:jc w:val="both"/>
        <w:rPr>
          <w:color w:val="000000" w:themeColor="text1"/>
        </w:rPr>
      </w:pPr>
    </w:p>
    <w:p w14:paraId="3B2C2D6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REFERENCES</w:t>
      </w:r>
    </w:p>
    <w:p w14:paraId="28D67633"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 </w:t>
      </w:r>
      <w:r w:rsidRPr="0033466F">
        <w:rPr>
          <w:rFonts w:ascii="Book Antiqua" w:eastAsia="Book Antiqua" w:hAnsi="Book Antiqua" w:cs="Book Antiqua"/>
          <w:b/>
          <w:bCs/>
          <w:color w:val="000000" w:themeColor="text1"/>
        </w:rPr>
        <w:t>Fu J</w:t>
      </w:r>
      <w:r w:rsidRPr="0033466F">
        <w:rPr>
          <w:rFonts w:ascii="Book Antiqua" w:eastAsia="Book Antiqua" w:hAnsi="Book Antiqua" w:cs="Book Antiqua"/>
          <w:color w:val="000000" w:themeColor="text1"/>
        </w:rPr>
        <w:t xml:space="preserve">, Wang H. Precision diagnosis and treatment of liver cancer in China. </w:t>
      </w:r>
      <w:r w:rsidRPr="0033466F">
        <w:rPr>
          <w:rFonts w:ascii="Book Antiqua" w:eastAsia="Book Antiqua" w:hAnsi="Book Antiqua" w:cs="Book Antiqua"/>
          <w:i/>
          <w:iCs/>
          <w:color w:val="000000" w:themeColor="text1"/>
        </w:rPr>
        <w:t>Cancer Lett</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412</w:t>
      </w:r>
      <w:r w:rsidRPr="0033466F">
        <w:rPr>
          <w:rFonts w:ascii="Book Antiqua" w:eastAsia="Book Antiqua" w:hAnsi="Book Antiqua" w:cs="Book Antiqua"/>
          <w:color w:val="000000" w:themeColor="text1"/>
        </w:rPr>
        <w:t>: 283-288 [PMID: 29050983 DOI: 10.1016/j.canlet.2017.10.008]</w:t>
      </w:r>
    </w:p>
    <w:p w14:paraId="46815BB1"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2 </w:t>
      </w:r>
      <w:r w:rsidRPr="0033466F">
        <w:rPr>
          <w:rFonts w:ascii="Book Antiqua" w:eastAsia="Book Antiqua" w:hAnsi="Book Antiqua" w:cs="Book Antiqua"/>
          <w:b/>
          <w:bCs/>
          <w:color w:val="000000" w:themeColor="text1"/>
        </w:rPr>
        <w:t>Minami Y</w:t>
      </w:r>
      <w:r w:rsidRPr="0033466F">
        <w:rPr>
          <w:rFonts w:ascii="Book Antiqua" w:eastAsia="Book Antiqua" w:hAnsi="Book Antiqua" w:cs="Book Antiqua"/>
          <w:color w:val="000000" w:themeColor="text1"/>
        </w:rPr>
        <w:t xml:space="preserve">, Minami T, Hagiwara S, Ida H, Ueshima K, Nishida N, Murakami T, Kudo M. Ultrasound-ultrasound image overlay fusion improves real-time control of radiofrequency ablation margin in the treatment of hepatocellular carcinoma. </w:t>
      </w:r>
      <w:r w:rsidRPr="0033466F">
        <w:rPr>
          <w:rFonts w:ascii="Book Antiqua" w:eastAsia="Book Antiqua" w:hAnsi="Book Antiqua" w:cs="Book Antiqua"/>
          <w:i/>
          <w:iCs/>
          <w:color w:val="000000" w:themeColor="text1"/>
        </w:rPr>
        <w:t>Eur Radiol</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28</w:t>
      </w:r>
      <w:r w:rsidRPr="0033466F">
        <w:rPr>
          <w:rFonts w:ascii="Book Antiqua" w:eastAsia="Book Antiqua" w:hAnsi="Book Antiqua" w:cs="Book Antiqua"/>
          <w:color w:val="000000" w:themeColor="text1"/>
        </w:rPr>
        <w:t>: 1986-1993 [PMID: 29196855 DOI: 10.1007/s00330-017-5162-8]</w:t>
      </w:r>
    </w:p>
    <w:p w14:paraId="6BA774F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3 </w:t>
      </w:r>
      <w:r w:rsidRPr="0033466F">
        <w:rPr>
          <w:rFonts w:ascii="Book Antiqua" w:eastAsia="Book Antiqua" w:hAnsi="Book Antiqua" w:cs="Book Antiqua"/>
          <w:b/>
          <w:bCs/>
          <w:color w:val="000000" w:themeColor="text1"/>
        </w:rPr>
        <w:t>Săftoiu A</w:t>
      </w:r>
      <w:r w:rsidRPr="0033466F">
        <w:rPr>
          <w:rFonts w:ascii="Book Antiqua" w:eastAsia="Book Antiqua" w:hAnsi="Book Antiqua" w:cs="Book Antiqua"/>
          <w:color w:val="000000" w:themeColor="text1"/>
        </w:rPr>
        <w:t xml:space="preserve">, Gilja OH, Sidhu PS, Dietrich CF, Cantisani V, Amy D, Bachmann-Nielsen M, Bob F, Bojunga J, Brock M, Calliada F, Clevert DA, Correas JM, D'Onofrio M, Ewertsen C, Farrokh A, Fodor D, Fusaroli P, Havre RF, Hocke M, Ignee A, Jenssen C, Klauser AS, Kollmann C, Radzina M, Ramnarine KV, Sconfienza LM, Solomon C, Sporea I, Ștefănescu H, Tanter M, Vilmann P. The EFSUMB Guidelines and Recommendations for the Clinical Practice of Elastography in Non-Hepatic Applications: Update 2018. </w:t>
      </w:r>
      <w:r w:rsidRPr="0033466F">
        <w:rPr>
          <w:rFonts w:ascii="Book Antiqua" w:eastAsia="Book Antiqua" w:hAnsi="Book Antiqua" w:cs="Book Antiqua"/>
          <w:i/>
          <w:iCs/>
          <w:color w:val="000000" w:themeColor="text1"/>
        </w:rPr>
        <w:t>Ultraschall Med</w:t>
      </w:r>
      <w:r w:rsidRPr="0033466F">
        <w:rPr>
          <w:rFonts w:ascii="Book Antiqua" w:eastAsia="Book Antiqua" w:hAnsi="Book Antiqua" w:cs="Book Antiqua"/>
          <w:color w:val="000000" w:themeColor="text1"/>
        </w:rPr>
        <w:t xml:space="preserve"> 2019; </w:t>
      </w:r>
      <w:r w:rsidRPr="0033466F">
        <w:rPr>
          <w:rFonts w:ascii="Book Antiqua" w:eastAsia="Book Antiqua" w:hAnsi="Book Antiqua" w:cs="Book Antiqua"/>
          <w:b/>
          <w:bCs/>
          <w:color w:val="000000" w:themeColor="text1"/>
        </w:rPr>
        <w:t>40</w:t>
      </w:r>
      <w:r w:rsidRPr="0033466F">
        <w:rPr>
          <w:rFonts w:ascii="Book Antiqua" w:eastAsia="Book Antiqua" w:hAnsi="Book Antiqua" w:cs="Book Antiqua"/>
          <w:color w:val="000000" w:themeColor="text1"/>
        </w:rPr>
        <w:t>: 425-453 [PMID: 31238377 DOI: 10.1055/a-0838-9937]</w:t>
      </w:r>
    </w:p>
    <w:p w14:paraId="123FBFAA"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4 </w:t>
      </w:r>
      <w:r w:rsidRPr="0033466F">
        <w:rPr>
          <w:rFonts w:ascii="Book Antiqua" w:eastAsia="Book Antiqua" w:hAnsi="Book Antiqua" w:cs="Book Antiqua"/>
          <w:b/>
          <w:bCs/>
          <w:color w:val="000000" w:themeColor="text1"/>
        </w:rPr>
        <w:t>Battaglia V</w:t>
      </w:r>
      <w:r w:rsidRPr="0033466F">
        <w:rPr>
          <w:rFonts w:ascii="Book Antiqua" w:eastAsia="Book Antiqua" w:hAnsi="Book Antiqua" w:cs="Book Antiqua"/>
          <w:color w:val="000000" w:themeColor="text1"/>
        </w:rPr>
        <w:t xml:space="preserve">, Cervelli R. Liver investigations: Updating on US technique and contrast-enhanced ultrasound (CEUS). </w:t>
      </w:r>
      <w:r w:rsidRPr="0033466F">
        <w:rPr>
          <w:rFonts w:ascii="Book Antiqua" w:eastAsia="Book Antiqua" w:hAnsi="Book Antiqua" w:cs="Book Antiqua"/>
          <w:i/>
          <w:iCs/>
          <w:color w:val="000000" w:themeColor="text1"/>
        </w:rPr>
        <w:t>Eur J Radiol</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96</w:t>
      </w:r>
      <w:r w:rsidRPr="0033466F">
        <w:rPr>
          <w:rFonts w:ascii="Book Antiqua" w:eastAsia="Book Antiqua" w:hAnsi="Book Antiqua" w:cs="Book Antiqua"/>
          <w:color w:val="000000" w:themeColor="text1"/>
        </w:rPr>
        <w:t>: 65-73 [PMID: 29103478 DOI: 10.1016/j.ejrad.2017.08.029]</w:t>
      </w:r>
    </w:p>
    <w:p w14:paraId="32A8A79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5 </w:t>
      </w:r>
      <w:r w:rsidRPr="0033466F">
        <w:rPr>
          <w:rFonts w:ascii="Book Antiqua" w:eastAsia="Book Antiqua" w:hAnsi="Book Antiqua" w:cs="Book Antiqua"/>
          <w:b/>
          <w:bCs/>
          <w:color w:val="000000" w:themeColor="text1"/>
        </w:rPr>
        <w:t>Kim TK</w:t>
      </w:r>
      <w:r w:rsidRPr="0033466F">
        <w:rPr>
          <w:rFonts w:ascii="Book Antiqua" w:eastAsia="Book Antiqua" w:hAnsi="Book Antiqua" w:cs="Book Antiqua"/>
          <w:color w:val="000000" w:themeColor="text1"/>
        </w:rPr>
        <w:t xml:space="preserve">, Noh SY, Wilson SR, Kono Y, Piscaglia F, Jang HJ, Lyshchik A, Dietrich CF, Willmann JK, Vezeridis A, Sirlin CB. Contrast-enhanced ultrasound (CEUS) liver imaging reporting and data system (LI-RADS) 2017 - a review of important differences compared to the CT/MRI system. </w:t>
      </w:r>
      <w:r w:rsidRPr="0033466F">
        <w:rPr>
          <w:rFonts w:ascii="Book Antiqua" w:eastAsia="Book Antiqua" w:hAnsi="Book Antiqua" w:cs="Book Antiqua"/>
          <w:i/>
          <w:iCs/>
          <w:color w:val="000000" w:themeColor="text1"/>
        </w:rPr>
        <w:t>Clin Mol Hepatol</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23</w:t>
      </w:r>
      <w:r w:rsidRPr="0033466F">
        <w:rPr>
          <w:rFonts w:ascii="Book Antiqua" w:eastAsia="Book Antiqua" w:hAnsi="Book Antiqua" w:cs="Book Antiqua"/>
          <w:color w:val="000000" w:themeColor="text1"/>
        </w:rPr>
        <w:t>: 280-289 [PMID: 28911220 DOI: 10.3350/cmh.2017.0037]</w:t>
      </w:r>
    </w:p>
    <w:p w14:paraId="0B32F71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6 </w:t>
      </w:r>
      <w:r w:rsidRPr="0033466F">
        <w:rPr>
          <w:rFonts w:ascii="Book Antiqua" w:eastAsia="Book Antiqua" w:hAnsi="Book Antiqua" w:cs="Book Antiqua"/>
          <w:b/>
          <w:bCs/>
          <w:color w:val="000000" w:themeColor="text1"/>
        </w:rPr>
        <w:t>Du YR</w:t>
      </w:r>
      <w:r w:rsidRPr="0033466F">
        <w:rPr>
          <w:rFonts w:ascii="Book Antiqua" w:eastAsia="Book Antiqua" w:hAnsi="Book Antiqua" w:cs="Book Antiqua"/>
          <w:color w:val="000000" w:themeColor="text1"/>
        </w:rPr>
        <w:t xml:space="preserve">, Ji CL, Wu Y, Gu XG. Combination of ultrasound elastography with TI-RADS in the diagnosis of small thyroid nodules (≤10 mm): A new method to increase the diagnostic performance. </w:t>
      </w:r>
      <w:r w:rsidRPr="0033466F">
        <w:rPr>
          <w:rFonts w:ascii="Book Antiqua" w:eastAsia="Book Antiqua" w:hAnsi="Book Antiqua" w:cs="Book Antiqua"/>
          <w:i/>
          <w:iCs/>
          <w:color w:val="000000" w:themeColor="text1"/>
        </w:rPr>
        <w:t>Eur J Radiol</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109</w:t>
      </w:r>
      <w:r w:rsidRPr="0033466F">
        <w:rPr>
          <w:rFonts w:ascii="Book Antiqua" w:eastAsia="Book Antiqua" w:hAnsi="Book Antiqua" w:cs="Book Antiqua"/>
          <w:color w:val="000000" w:themeColor="text1"/>
        </w:rPr>
        <w:t>: 33-40 [PMID: 30527309 DOI: 10.1016/j.ejrad.2018.10.024]</w:t>
      </w:r>
    </w:p>
    <w:p w14:paraId="3D3F25D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7 </w:t>
      </w:r>
      <w:r w:rsidRPr="0033466F">
        <w:rPr>
          <w:rFonts w:ascii="Book Antiqua" w:eastAsia="Book Antiqua" w:hAnsi="Book Antiqua" w:cs="Book Antiqua"/>
          <w:b/>
          <w:bCs/>
          <w:color w:val="000000" w:themeColor="text1"/>
        </w:rPr>
        <w:t>Fernandes J</w:t>
      </w:r>
      <w:r w:rsidRPr="0033466F">
        <w:rPr>
          <w:rFonts w:ascii="Book Antiqua" w:eastAsia="Book Antiqua" w:hAnsi="Book Antiqua" w:cs="Book Antiqua"/>
          <w:color w:val="000000" w:themeColor="text1"/>
        </w:rPr>
        <w:t xml:space="preserve">, Sannachi L, Tran WT, Koven A, Watkins E, Hadizad F, Gandhi S, Wright F, Curpen B, El Kaffas A, Faltyn J, Sadeghi-Naini A, Czarnota G. Monitoring Breast Cancer Response to Neoadjuvant Chemotherapy Using Ultrasound Strain Elastography. </w:t>
      </w:r>
      <w:r w:rsidRPr="0033466F">
        <w:rPr>
          <w:rFonts w:ascii="Book Antiqua" w:eastAsia="Book Antiqua" w:hAnsi="Book Antiqua" w:cs="Book Antiqua"/>
          <w:i/>
          <w:iCs/>
          <w:color w:val="000000" w:themeColor="text1"/>
        </w:rPr>
        <w:t>Transl Oncol</w:t>
      </w:r>
      <w:r w:rsidRPr="0033466F">
        <w:rPr>
          <w:rFonts w:ascii="Book Antiqua" w:eastAsia="Book Antiqua" w:hAnsi="Book Antiqua" w:cs="Book Antiqua"/>
          <w:color w:val="000000" w:themeColor="text1"/>
        </w:rPr>
        <w:t xml:space="preserve"> 2019; </w:t>
      </w:r>
      <w:r w:rsidRPr="0033466F">
        <w:rPr>
          <w:rFonts w:ascii="Book Antiqua" w:eastAsia="Book Antiqua" w:hAnsi="Book Antiqua" w:cs="Book Antiqua"/>
          <w:b/>
          <w:bCs/>
          <w:color w:val="000000" w:themeColor="text1"/>
        </w:rPr>
        <w:t>12</w:t>
      </w:r>
      <w:r w:rsidRPr="0033466F">
        <w:rPr>
          <w:rFonts w:ascii="Book Antiqua" w:eastAsia="Book Antiqua" w:hAnsi="Book Antiqua" w:cs="Book Antiqua"/>
          <w:color w:val="000000" w:themeColor="text1"/>
        </w:rPr>
        <w:t>: 1177-1184 [PMID: 31226518 DOI: 10.1016/j.tranon.2019.05.004]</w:t>
      </w:r>
    </w:p>
    <w:p w14:paraId="3A9CAC0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8 </w:t>
      </w:r>
      <w:r w:rsidRPr="0033466F">
        <w:rPr>
          <w:rFonts w:ascii="Book Antiqua" w:eastAsia="Book Antiqua" w:hAnsi="Book Antiqua" w:cs="Book Antiqua"/>
          <w:b/>
          <w:bCs/>
          <w:color w:val="000000" w:themeColor="text1"/>
        </w:rPr>
        <w:t>Zhuang Y</w:t>
      </w:r>
      <w:r w:rsidRPr="0033466F">
        <w:rPr>
          <w:rFonts w:ascii="Book Antiqua" w:eastAsia="Book Antiqua" w:hAnsi="Book Antiqua" w:cs="Book Antiqua"/>
          <w:color w:val="000000" w:themeColor="text1"/>
        </w:rPr>
        <w:t xml:space="preserve">, Ding H, Zhang Y, Sun H, Xu C, Wang W. Two-dimensional Shear-Wave Elastography Performance in the Noninvasive Evaluation of Liver Fibrosis in Patients with Chronic Hepatitis B: Comparison with Serum Fibrosis Indexes. </w:t>
      </w:r>
      <w:r w:rsidRPr="0033466F">
        <w:rPr>
          <w:rFonts w:ascii="Book Antiqua" w:eastAsia="Book Antiqua" w:hAnsi="Book Antiqua" w:cs="Book Antiqua"/>
          <w:i/>
          <w:iCs/>
          <w:color w:val="000000" w:themeColor="text1"/>
        </w:rPr>
        <w:t>Radiology</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283</w:t>
      </w:r>
      <w:r w:rsidRPr="0033466F">
        <w:rPr>
          <w:rFonts w:ascii="Book Antiqua" w:eastAsia="Book Antiqua" w:hAnsi="Book Antiqua" w:cs="Book Antiqua"/>
          <w:color w:val="000000" w:themeColor="text1"/>
        </w:rPr>
        <w:t>: 873-882 [PMID: 27982760 DOI: 10.1148/radiol.2016160131]</w:t>
      </w:r>
    </w:p>
    <w:p w14:paraId="2780AED0"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9 </w:t>
      </w:r>
      <w:r w:rsidRPr="0033466F">
        <w:rPr>
          <w:rFonts w:ascii="Book Antiqua" w:eastAsia="Book Antiqua" w:hAnsi="Book Antiqua" w:cs="Book Antiqua"/>
          <w:b/>
          <w:bCs/>
          <w:color w:val="000000" w:themeColor="text1"/>
        </w:rPr>
        <w:t>Ferraioli G</w:t>
      </w:r>
      <w:r w:rsidRPr="0033466F">
        <w:rPr>
          <w:rFonts w:ascii="Book Antiqua" w:eastAsia="Book Antiqua" w:hAnsi="Book Antiqua" w:cs="Book Antiqua"/>
          <w:color w:val="000000" w:themeColor="text1"/>
        </w:rPr>
        <w:t xml:space="preserve">, Wong VW, Castera L, Berzigotti A, Sporea I, Dietrich CF, Choi BI, Wilson SR, Kudo M, Barr RG. Liver Ultrasound Elastography: An Update to the World Federation for Ultrasound in Medicine and Biology Guidelines and Recommendations. </w:t>
      </w:r>
      <w:r w:rsidRPr="0033466F">
        <w:rPr>
          <w:rFonts w:ascii="Book Antiqua" w:eastAsia="Book Antiqua" w:hAnsi="Book Antiqua" w:cs="Book Antiqua"/>
          <w:i/>
          <w:iCs/>
          <w:color w:val="000000" w:themeColor="text1"/>
        </w:rPr>
        <w:t>Ultrasound Med Biol</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44</w:t>
      </w:r>
      <w:r w:rsidRPr="0033466F">
        <w:rPr>
          <w:rFonts w:ascii="Book Antiqua" w:eastAsia="Book Antiqua" w:hAnsi="Book Antiqua" w:cs="Book Antiqua"/>
          <w:color w:val="000000" w:themeColor="text1"/>
        </w:rPr>
        <w:t>: 2419-2440 [PMID: 30209008 DOI: 10.1016/j.ultrasmedbio.2018.07.008]</w:t>
      </w:r>
    </w:p>
    <w:p w14:paraId="0EBF175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10 </w:t>
      </w:r>
      <w:r w:rsidRPr="0033466F">
        <w:rPr>
          <w:rFonts w:ascii="Book Antiqua" w:eastAsia="Book Antiqua" w:hAnsi="Book Antiqua" w:cs="Book Antiqua"/>
          <w:b/>
          <w:bCs/>
          <w:color w:val="000000" w:themeColor="text1"/>
        </w:rPr>
        <w:t>Akdoğan E</w:t>
      </w:r>
      <w:r w:rsidRPr="0033466F">
        <w:rPr>
          <w:rFonts w:ascii="Book Antiqua" w:eastAsia="Book Antiqua" w:hAnsi="Book Antiqua" w:cs="Book Antiqua"/>
          <w:color w:val="000000" w:themeColor="text1"/>
        </w:rPr>
        <w:t xml:space="preserve">, Yılmaz FG. The role of acoustic radiation force impulse elastography in the differentiation of benign and malignant focal liver masses. </w:t>
      </w:r>
      <w:r w:rsidRPr="0033466F">
        <w:rPr>
          <w:rFonts w:ascii="Book Antiqua" w:eastAsia="Book Antiqua" w:hAnsi="Book Antiqua" w:cs="Book Antiqua"/>
          <w:i/>
          <w:iCs/>
          <w:color w:val="000000" w:themeColor="text1"/>
        </w:rPr>
        <w:t>Turk J Gastroenterol</w:t>
      </w:r>
      <w:r w:rsidRPr="0033466F">
        <w:rPr>
          <w:rFonts w:ascii="Book Antiqua" w:eastAsia="Book Antiqua" w:hAnsi="Book Antiqua" w:cs="Book Antiqua"/>
          <w:color w:val="000000" w:themeColor="text1"/>
        </w:rPr>
        <w:t xml:space="preserve"> 2018; </w:t>
      </w:r>
      <w:r w:rsidRPr="0033466F">
        <w:rPr>
          <w:rFonts w:ascii="Book Antiqua" w:eastAsia="Book Antiqua" w:hAnsi="Book Antiqua" w:cs="Book Antiqua"/>
          <w:b/>
          <w:bCs/>
          <w:color w:val="000000" w:themeColor="text1"/>
        </w:rPr>
        <w:t>29</w:t>
      </w:r>
      <w:r w:rsidRPr="0033466F">
        <w:rPr>
          <w:rFonts w:ascii="Book Antiqua" w:eastAsia="Book Antiqua" w:hAnsi="Book Antiqua" w:cs="Book Antiqua"/>
          <w:color w:val="000000" w:themeColor="text1"/>
        </w:rPr>
        <w:t>: 456-463 [PMID: 30249561 DOI: 10.5152/tjg.2018.11710]</w:t>
      </w:r>
    </w:p>
    <w:p w14:paraId="53F00E4B"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11 </w:t>
      </w:r>
      <w:r w:rsidRPr="0033466F">
        <w:rPr>
          <w:rFonts w:ascii="Book Antiqua" w:eastAsia="Book Antiqua" w:hAnsi="Book Antiqua" w:cs="Book Antiqua"/>
          <w:b/>
          <w:bCs/>
          <w:color w:val="000000" w:themeColor="text1"/>
        </w:rPr>
        <w:t>Sun XL</w:t>
      </w:r>
      <w:r w:rsidRPr="0033466F">
        <w:rPr>
          <w:rFonts w:ascii="Book Antiqua" w:eastAsia="Book Antiqua" w:hAnsi="Book Antiqua" w:cs="Book Antiqua"/>
          <w:color w:val="000000" w:themeColor="text1"/>
        </w:rPr>
        <w:t xml:space="preserve">, Yao H, Men Q, Hou KZ, Chen Z, Xu CQ, Liang LW. Combination of acoustic radiation force impulse imaging, serological indexes and contrast-enhanced ultrasound for diagnosis of liver lesions. </w:t>
      </w:r>
      <w:r w:rsidRPr="0033466F">
        <w:rPr>
          <w:rFonts w:ascii="Book Antiqua" w:eastAsia="Book Antiqua" w:hAnsi="Book Antiqua" w:cs="Book Antiqua"/>
          <w:i/>
          <w:iCs/>
          <w:color w:val="000000" w:themeColor="text1"/>
        </w:rPr>
        <w:t>World J Gastroenterol</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23</w:t>
      </w:r>
      <w:r w:rsidRPr="0033466F">
        <w:rPr>
          <w:rFonts w:ascii="Book Antiqua" w:eastAsia="Book Antiqua" w:hAnsi="Book Antiqua" w:cs="Book Antiqua"/>
          <w:color w:val="000000" w:themeColor="text1"/>
        </w:rPr>
        <w:t>: 5602-5609 [PMID: 28852319 DOI: 10.3748/wjg.v23.i30.5602]</w:t>
      </w:r>
    </w:p>
    <w:p w14:paraId="3B61465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12 </w:t>
      </w:r>
      <w:r w:rsidRPr="0033466F">
        <w:rPr>
          <w:rFonts w:ascii="Book Antiqua" w:eastAsia="Book Antiqua" w:hAnsi="Book Antiqua" w:cs="Book Antiqua"/>
          <w:b/>
          <w:bCs/>
          <w:color w:val="000000" w:themeColor="text1"/>
        </w:rPr>
        <w:t>Ronot M</w:t>
      </w:r>
      <w:r w:rsidRPr="0033466F">
        <w:rPr>
          <w:rFonts w:ascii="Book Antiqua" w:eastAsia="Book Antiqua" w:hAnsi="Book Antiqua" w:cs="Book Antiqua"/>
          <w:color w:val="000000" w:themeColor="text1"/>
        </w:rPr>
        <w:t xml:space="preserve">, Di Renzo S, Gregoli B, Duran R, Castera L, Van Beers BE, Vilgrain V. Characterization of fortuitously discovered focal liver lesions: additional information provided by shearwave elastography. </w:t>
      </w:r>
      <w:r w:rsidRPr="0033466F">
        <w:rPr>
          <w:rFonts w:ascii="Book Antiqua" w:eastAsia="Book Antiqua" w:hAnsi="Book Antiqua" w:cs="Book Antiqua"/>
          <w:i/>
          <w:iCs/>
          <w:color w:val="000000" w:themeColor="text1"/>
        </w:rPr>
        <w:t>Eur Radiol</w:t>
      </w:r>
      <w:r w:rsidRPr="0033466F">
        <w:rPr>
          <w:rFonts w:ascii="Book Antiqua" w:eastAsia="Book Antiqua" w:hAnsi="Book Antiqua" w:cs="Book Antiqua"/>
          <w:color w:val="000000" w:themeColor="text1"/>
        </w:rPr>
        <w:t xml:space="preserve"> 2015; </w:t>
      </w:r>
      <w:r w:rsidRPr="0033466F">
        <w:rPr>
          <w:rFonts w:ascii="Book Antiqua" w:eastAsia="Book Antiqua" w:hAnsi="Book Antiqua" w:cs="Book Antiqua"/>
          <w:b/>
          <w:bCs/>
          <w:color w:val="000000" w:themeColor="text1"/>
        </w:rPr>
        <w:t>25</w:t>
      </w:r>
      <w:r w:rsidRPr="0033466F">
        <w:rPr>
          <w:rFonts w:ascii="Book Antiqua" w:eastAsia="Book Antiqua" w:hAnsi="Book Antiqua" w:cs="Book Antiqua"/>
          <w:color w:val="000000" w:themeColor="text1"/>
        </w:rPr>
        <w:t>: 346-358 [PMID: 25231131 DOI: 10.1007/s00330-014-3370-z]</w:t>
      </w:r>
    </w:p>
    <w:p w14:paraId="1DD42B1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13 </w:t>
      </w:r>
      <w:r w:rsidRPr="0033466F">
        <w:rPr>
          <w:rFonts w:ascii="Book Antiqua" w:eastAsia="Book Antiqua" w:hAnsi="Book Antiqua" w:cs="Book Antiqua"/>
          <w:b/>
          <w:bCs/>
          <w:color w:val="000000" w:themeColor="text1"/>
        </w:rPr>
        <w:t>Berg WA</w:t>
      </w:r>
      <w:r w:rsidRPr="0033466F">
        <w:rPr>
          <w:rFonts w:ascii="Book Antiqua" w:eastAsia="Book Antiqua" w:hAnsi="Book Antiqua" w:cs="Book Antiqua"/>
          <w:color w:val="000000" w:themeColor="text1"/>
        </w:rPr>
        <w:t xml:space="preserve">, Cosgrove DO, Doré CJ, Schäfer FK, Svensson WE, Hooley RJ, Ohlinger R, Mendelson EB, Balu-Maestro C, Locatelli M, Tourasse C, Cavanaugh BC, Juhan V, Stavros AT, Tardivon A, Gay J, Henry JP, Cohen-Bacrie C; BE1 Investigators. Shear-wave elastography improves the specificity of breast US: the BE1 multinational study of 939 masses. </w:t>
      </w:r>
      <w:r w:rsidRPr="0033466F">
        <w:rPr>
          <w:rFonts w:ascii="Book Antiqua" w:eastAsia="Book Antiqua" w:hAnsi="Book Antiqua" w:cs="Book Antiqua"/>
          <w:i/>
          <w:iCs/>
          <w:color w:val="000000" w:themeColor="text1"/>
        </w:rPr>
        <w:t>Radiology</w:t>
      </w:r>
      <w:r w:rsidRPr="0033466F">
        <w:rPr>
          <w:rFonts w:ascii="Book Antiqua" w:eastAsia="Book Antiqua" w:hAnsi="Book Antiqua" w:cs="Book Antiqua"/>
          <w:color w:val="000000" w:themeColor="text1"/>
        </w:rPr>
        <w:t xml:space="preserve"> 2012; </w:t>
      </w:r>
      <w:r w:rsidRPr="0033466F">
        <w:rPr>
          <w:rFonts w:ascii="Book Antiqua" w:eastAsia="Book Antiqua" w:hAnsi="Book Antiqua" w:cs="Book Antiqua"/>
          <w:b/>
          <w:bCs/>
          <w:color w:val="000000" w:themeColor="text1"/>
        </w:rPr>
        <w:t>262</w:t>
      </w:r>
      <w:r w:rsidRPr="0033466F">
        <w:rPr>
          <w:rFonts w:ascii="Book Antiqua" w:eastAsia="Book Antiqua" w:hAnsi="Book Antiqua" w:cs="Book Antiqua"/>
          <w:color w:val="000000" w:themeColor="text1"/>
        </w:rPr>
        <w:t>: 435-449 [PMID: 22282182 DOI: 10.1148/radiol.11110640]</w:t>
      </w:r>
    </w:p>
    <w:p w14:paraId="6F85964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14 </w:t>
      </w:r>
      <w:r w:rsidRPr="0033466F">
        <w:rPr>
          <w:rFonts w:ascii="Book Antiqua" w:eastAsia="Book Antiqua" w:hAnsi="Book Antiqua" w:cs="Book Antiqua"/>
          <w:b/>
          <w:bCs/>
          <w:color w:val="000000" w:themeColor="text1"/>
        </w:rPr>
        <w:t>Potthoff A</w:t>
      </w:r>
      <w:r w:rsidRPr="0033466F">
        <w:rPr>
          <w:rFonts w:ascii="Book Antiqua" w:eastAsia="Book Antiqua" w:hAnsi="Book Antiqua" w:cs="Book Antiqua"/>
          <w:color w:val="000000" w:themeColor="text1"/>
        </w:rPr>
        <w:t xml:space="preserve">, Attia D, Pischke S, Kirschner J, Mederacke I, Wedemeyer H, Manns MP, Gebel MJ, Rifai K. Influence of different frequencies and insertion depths on the diagnostic accuracy of liver elastography by acoustic radiation force impulse imaging (ARFI). </w:t>
      </w:r>
      <w:r w:rsidRPr="0033466F">
        <w:rPr>
          <w:rFonts w:ascii="Book Antiqua" w:eastAsia="Book Antiqua" w:hAnsi="Book Antiqua" w:cs="Book Antiqua"/>
          <w:i/>
          <w:iCs/>
          <w:color w:val="000000" w:themeColor="text1"/>
        </w:rPr>
        <w:t>Eur J Radiol</w:t>
      </w:r>
      <w:r w:rsidRPr="0033466F">
        <w:rPr>
          <w:rFonts w:ascii="Book Antiqua" w:eastAsia="Book Antiqua" w:hAnsi="Book Antiqua" w:cs="Book Antiqua"/>
          <w:color w:val="000000" w:themeColor="text1"/>
        </w:rPr>
        <w:t xml:space="preserve"> 2013; </w:t>
      </w:r>
      <w:r w:rsidRPr="0033466F">
        <w:rPr>
          <w:rFonts w:ascii="Book Antiqua" w:eastAsia="Book Antiqua" w:hAnsi="Book Antiqua" w:cs="Book Antiqua"/>
          <w:b/>
          <w:bCs/>
          <w:color w:val="000000" w:themeColor="text1"/>
        </w:rPr>
        <w:t>82</w:t>
      </w:r>
      <w:r w:rsidRPr="0033466F">
        <w:rPr>
          <w:rFonts w:ascii="Book Antiqua" w:eastAsia="Book Antiqua" w:hAnsi="Book Antiqua" w:cs="Book Antiqua"/>
          <w:color w:val="000000" w:themeColor="text1"/>
        </w:rPr>
        <w:t>: 1207-1212 [PMID: 23523513 DOI: 10.1016/j.ejrad.2013.02.011]</w:t>
      </w:r>
    </w:p>
    <w:p w14:paraId="72E3E15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15 </w:t>
      </w:r>
      <w:r w:rsidRPr="0033466F">
        <w:rPr>
          <w:rFonts w:ascii="Book Antiqua" w:eastAsia="Book Antiqua" w:hAnsi="Book Antiqua" w:cs="Book Antiqua"/>
          <w:b/>
          <w:bCs/>
          <w:color w:val="000000" w:themeColor="text1"/>
        </w:rPr>
        <w:t>Nierhoff J</w:t>
      </w:r>
      <w:r w:rsidRPr="0033466F">
        <w:rPr>
          <w:rFonts w:ascii="Book Antiqua" w:eastAsia="Book Antiqua" w:hAnsi="Book Antiqua" w:cs="Book Antiqua"/>
          <w:color w:val="000000" w:themeColor="text1"/>
        </w:rPr>
        <w:t xml:space="preserve">, Chávez Ortiz AA, Herrmann E, Zeuzem S, Friedrich-Rust M. The efficiency of acoustic radiation force impulse imaging for the staging of liver fibrosis: a meta-analysis. </w:t>
      </w:r>
      <w:r w:rsidRPr="0033466F">
        <w:rPr>
          <w:rFonts w:ascii="Book Antiqua" w:eastAsia="Book Antiqua" w:hAnsi="Book Antiqua" w:cs="Book Antiqua"/>
          <w:i/>
          <w:iCs/>
          <w:color w:val="000000" w:themeColor="text1"/>
        </w:rPr>
        <w:t>Eur Radiol</w:t>
      </w:r>
      <w:r w:rsidRPr="0033466F">
        <w:rPr>
          <w:rFonts w:ascii="Book Antiqua" w:eastAsia="Book Antiqua" w:hAnsi="Book Antiqua" w:cs="Book Antiqua"/>
          <w:color w:val="000000" w:themeColor="text1"/>
        </w:rPr>
        <w:t xml:space="preserve"> 2013; </w:t>
      </w:r>
      <w:r w:rsidRPr="0033466F">
        <w:rPr>
          <w:rFonts w:ascii="Book Antiqua" w:eastAsia="Book Antiqua" w:hAnsi="Book Antiqua" w:cs="Book Antiqua"/>
          <w:b/>
          <w:bCs/>
          <w:color w:val="000000" w:themeColor="text1"/>
        </w:rPr>
        <w:t>23</w:t>
      </w:r>
      <w:r w:rsidRPr="0033466F">
        <w:rPr>
          <w:rFonts w:ascii="Book Antiqua" w:eastAsia="Book Antiqua" w:hAnsi="Book Antiqua" w:cs="Book Antiqua"/>
          <w:color w:val="000000" w:themeColor="text1"/>
        </w:rPr>
        <w:t>: 3040-3053 [PMID: 23801420 DOI: 10.1007/s00330-013-2927-6]</w:t>
      </w:r>
    </w:p>
    <w:p w14:paraId="2B497B16"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16 </w:t>
      </w:r>
      <w:r w:rsidRPr="0033466F">
        <w:rPr>
          <w:rFonts w:ascii="Book Antiqua" w:eastAsia="Book Antiqua" w:hAnsi="Book Antiqua" w:cs="Book Antiqua"/>
          <w:b/>
          <w:bCs/>
          <w:color w:val="000000" w:themeColor="text1"/>
        </w:rPr>
        <w:t>Ding H</w:t>
      </w:r>
      <w:r w:rsidRPr="0033466F">
        <w:rPr>
          <w:rFonts w:ascii="Book Antiqua" w:eastAsia="Book Antiqua" w:hAnsi="Book Antiqua" w:cs="Book Antiqua"/>
          <w:color w:val="000000" w:themeColor="text1"/>
        </w:rPr>
        <w:t xml:space="preserve">, Ma JJ, Wang WP, Zeng WJ, Jiang T, Huang BJ, Chen SY. Assessment of liver fibrosis: the relationship between point shear wave elastography and quantitative histological analysis. </w:t>
      </w:r>
      <w:r w:rsidRPr="0033466F">
        <w:rPr>
          <w:rFonts w:ascii="Book Antiqua" w:eastAsia="Book Antiqua" w:hAnsi="Book Antiqua" w:cs="Book Antiqua"/>
          <w:i/>
          <w:iCs/>
          <w:color w:val="000000" w:themeColor="text1"/>
        </w:rPr>
        <w:t>J Gastroenterol Hepatol</w:t>
      </w:r>
      <w:r w:rsidRPr="0033466F">
        <w:rPr>
          <w:rFonts w:ascii="Book Antiqua" w:eastAsia="Book Antiqua" w:hAnsi="Book Antiqua" w:cs="Book Antiqua"/>
          <w:color w:val="000000" w:themeColor="text1"/>
        </w:rPr>
        <w:t xml:space="preserve"> 2015; </w:t>
      </w:r>
      <w:r w:rsidRPr="0033466F">
        <w:rPr>
          <w:rFonts w:ascii="Book Antiqua" w:eastAsia="Book Antiqua" w:hAnsi="Book Antiqua" w:cs="Book Antiqua"/>
          <w:b/>
          <w:bCs/>
          <w:color w:val="000000" w:themeColor="text1"/>
        </w:rPr>
        <w:t>30</w:t>
      </w:r>
      <w:r w:rsidRPr="0033466F">
        <w:rPr>
          <w:rFonts w:ascii="Book Antiqua" w:eastAsia="Book Antiqua" w:hAnsi="Book Antiqua" w:cs="Book Antiqua"/>
          <w:color w:val="000000" w:themeColor="text1"/>
        </w:rPr>
        <w:t>: 553-558 [PMID: 25250854 DOI: 10.1111/jgh.12789]</w:t>
      </w:r>
    </w:p>
    <w:p w14:paraId="3D03CDCA"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17 </w:t>
      </w:r>
      <w:r w:rsidRPr="0033466F">
        <w:rPr>
          <w:rFonts w:ascii="Book Antiqua" w:eastAsia="Book Antiqua" w:hAnsi="Book Antiqua" w:cs="Book Antiqua"/>
          <w:b/>
          <w:bCs/>
          <w:color w:val="000000" w:themeColor="text1"/>
        </w:rPr>
        <w:t>Venkatesh SK</w:t>
      </w:r>
      <w:r w:rsidRPr="0033466F">
        <w:rPr>
          <w:rFonts w:ascii="Book Antiqua" w:eastAsia="Book Antiqua" w:hAnsi="Book Antiqua" w:cs="Book Antiqua"/>
          <w:color w:val="000000" w:themeColor="text1"/>
        </w:rPr>
        <w:t xml:space="preserve">, Yin M, Glockner JF, Takahashi N, Araoz PA, Talwalkar JA, Ehman RL. MR elastography of liver tumors: preliminary results. </w:t>
      </w:r>
      <w:r w:rsidRPr="0033466F">
        <w:rPr>
          <w:rFonts w:ascii="Book Antiqua" w:eastAsia="Book Antiqua" w:hAnsi="Book Antiqua" w:cs="Book Antiqua"/>
          <w:i/>
          <w:iCs/>
          <w:color w:val="000000" w:themeColor="text1"/>
        </w:rPr>
        <w:t>AJR Am J Roentgenol</w:t>
      </w:r>
      <w:r w:rsidRPr="0033466F">
        <w:rPr>
          <w:rFonts w:ascii="Book Antiqua" w:eastAsia="Book Antiqua" w:hAnsi="Book Antiqua" w:cs="Book Antiqua"/>
          <w:color w:val="000000" w:themeColor="text1"/>
        </w:rPr>
        <w:t xml:space="preserve"> 2008; </w:t>
      </w:r>
      <w:r w:rsidRPr="0033466F">
        <w:rPr>
          <w:rFonts w:ascii="Book Antiqua" w:eastAsia="Book Antiqua" w:hAnsi="Book Antiqua" w:cs="Book Antiqua"/>
          <w:b/>
          <w:bCs/>
          <w:color w:val="000000" w:themeColor="text1"/>
        </w:rPr>
        <w:t>190</w:t>
      </w:r>
      <w:r w:rsidRPr="0033466F">
        <w:rPr>
          <w:rFonts w:ascii="Book Antiqua" w:eastAsia="Book Antiqua" w:hAnsi="Book Antiqua" w:cs="Book Antiqua"/>
          <w:color w:val="000000" w:themeColor="text1"/>
        </w:rPr>
        <w:t>: 1534-1540 [PMID: 18492904 DOI: 10.2214/AJR.07.3123]</w:t>
      </w:r>
    </w:p>
    <w:p w14:paraId="55FA8D3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18 </w:t>
      </w:r>
      <w:r w:rsidRPr="0033466F">
        <w:rPr>
          <w:rFonts w:ascii="Book Antiqua" w:eastAsia="Book Antiqua" w:hAnsi="Book Antiqua" w:cs="Book Antiqua"/>
          <w:b/>
          <w:bCs/>
          <w:color w:val="000000" w:themeColor="text1"/>
        </w:rPr>
        <w:t>Vogl TJ</w:t>
      </w:r>
      <w:r w:rsidRPr="0033466F">
        <w:rPr>
          <w:rFonts w:ascii="Book Antiqua" w:eastAsia="Book Antiqua" w:hAnsi="Book Antiqua" w:cs="Book Antiqua"/>
          <w:color w:val="000000" w:themeColor="text1"/>
        </w:rPr>
        <w:t xml:space="preserve">, Martin SS, Johnson AA, Haas Y. Evaluation of MR elastography as a response parameter for transarterial chemoembolization of colorectal liver metastases. </w:t>
      </w:r>
      <w:r w:rsidRPr="0033466F">
        <w:rPr>
          <w:rFonts w:ascii="Book Antiqua" w:eastAsia="Book Antiqua" w:hAnsi="Book Antiqua" w:cs="Book Antiqua"/>
          <w:i/>
          <w:iCs/>
          <w:color w:val="000000" w:themeColor="text1"/>
        </w:rPr>
        <w:t>Eur Radiol</w:t>
      </w:r>
      <w:r w:rsidRPr="0033466F">
        <w:rPr>
          <w:rFonts w:ascii="Book Antiqua" w:eastAsia="Book Antiqua" w:hAnsi="Book Antiqua" w:cs="Book Antiqua"/>
          <w:color w:val="000000" w:themeColor="text1"/>
        </w:rPr>
        <w:t xml:space="preserve"> 2020; </w:t>
      </w:r>
      <w:r w:rsidRPr="0033466F">
        <w:rPr>
          <w:rFonts w:ascii="Book Antiqua" w:eastAsia="Book Antiqua" w:hAnsi="Book Antiqua" w:cs="Book Antiqua"/>
          <w:b/>
          <w:bCs/>
          <w:color w:val="000000" w:themeColor="text1"/>
        </w:rPr>
        <w:t>30</w:t>
      </w:r>
      <w:r w:rsidRPr="0033466F">
        <w:rPr>
          <w:rFonts w:ascii="Book Antiqua" w:eastAsia="Book Antiqua" w:hAnsi="Book Antiqua" w:cs="Book Antiqua"/>
          <w:color w:val="000000" w:themeColor="text1"/>
        </w:rPr>
        <w:t>: 3900-3907 [PMID: 32086582 DOI: 10.1007/s00330-020-06706-y]</w:t>
      </w:r>
    </w:p>
    <w:p w14:paraId="08080765"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 xml:space="preserve">19 </w:t>
      </w:r>
      <w:r w:rsidRPr="0033466F">
        <w:rPr>
          <w:rFonts w:ascii="Book Antiqua" w:eastAsia="Book Antiqua" w:hAnsi="Book Antiqua" w:cs="Book Antiqua"/>
          <w:b/>
          <w:bCs/>
          <w:color w:val="000000" w:themeColor="text1"/>
        </w:rPr>
        <w:t>Serai SD</w:t>
      </w:r>
      <w:r w:rsidRPr="0033466F">
        <w:rPr>
          <w:rFonts w:ascii="Book Antiqua" w:eastAsia="Book Antiqua" w:hAnsi="Book Antiqua" w:cs="Book Antiqua"/>
          <w:color w:val="000000" w:themeColor="text1"/>
        </w:rPr>
        <w:t xml:space="preserve">, Obuchowski NA, Venkatesh SK, Sirlin CB, Miller FH, Ashton E, Cole PE, Ehman RL. Repeatability of MR Elastography of Liver: A Meta-Analysis. </w:t>
      </w:r>
      <w:r w:rsidRPr="0033466F">
        <w:rPr>
          <w:rFonts w:ascii="Book Antiqua" w:eastAsia="Book Antiqua" w:hAnsi="Book Antiqua" w:cs="Book Antiqua"/>
          <w:i/>
          <w:iCs/>
          <w:color w:val="000000" w:themeColor="text1"/>
        </w:rPr>
        <w:t>Radiology</w:t>
      </w:r>
      <w:r w:rsidRPr="0033466F">
        <w:rPr>
          <w:rFonts w:ascii="Book Antiqua" w:eastAsia="Book Antiqua" w:hAnsi="Book Antiqua" w:cs="Book Antiqua"/>
          <w:color w:val="000000" w:themeColor="text1"/>
        </w:rPr>
        <w:t xml:space="preserve"> 2017; </w:t>
      </w:r>
      <w:r w:rsidRPr="0033466F">
        <w:rPr>
          <w:rFonts w:ascii="Book Antiqua" w:eastAsia="Book Antiqua" w:hAnsi="Book Antiqua" w:cs="Book Antiqua"/>
          <w:b/>
          <w:bCs/>
          <w:color w:val="000000" w:themeColor="text1"/>
        </w:rPr>
        <w:t>285</w:t>
      </w:r>
      <w:r w:rsidRPr="0033466F">
        <w:rPr>
          <w:rFonts w:ascii="Book Antiqua" w:eastAsia="Book Antiqua" w:hAnsi="Book Antiqua" w:cs="Book Antiqua"/>
          <w:color w:val="000000" w:themeColor="text1"/>
        </w:rPr>
        <w:t>: 92-100 [PMID: 28530847 DOI: 10.1148/radiol.2017161398]</w:t>
      </w:r>
    </w:p>
    <w:p w14:paraId="371058B3" w14:textId="77777777" w:rsidR="00FF67D4" w:rsidRPr="0033466F" w:rsidRDefault="00FF67D4">
      <w:pPr>
        <w:spacing w:line="360" w:lineRule="auto"/>
        <w:jc w:val="both"/>
        <w:rPr>
          <w:color w:val="000000" w:themeColor="text1"/>
        </w:rPr>
        <w:sectPr w:rsidR="00FF67D4" w:rsidRPr="0033466F">
          <w:pgSz w:w="12240" w:h="15840"/>
          <w:pgMar w:top="1440" w:right="1440" w:bottom="1440" w:left="1440" w:header="720" w:footer="720" w:gutter="0"/>
          <w:cols w:space="720"/>
          <w:docGrid w:linePitch="360"/>
        </w:sectPr>
      </w:pPr>
    </w:p>
    <w:p w14:paraId="0927AEE9"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Footnotes</w:t>
      </w:r>
    </w:p>
    <w:p w14:paraId="526DD8FD"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Institutional review board statement: </w:t>
      </w:r>
      <w:r w:rsidRPr="0033466F">
        <w:rPr>
          <w:rFonts w:ascii="Book Antiqua" w:eastAsia="Book Antiqua" w:hAnsi="Book Antiqua" w:cs="Book Antiqua"/>
          <w:color w:val="000000" w:themeColor="text1"/>
        </w:rPr>
        <w:t>The study was approved by the Ethics Committee of Shanghai First People’s Hospital.</w:t>
      </w:r>
    </w:p>
    <w:p w14:paraId="5B2A5287" w14:textId="77777777" w:rsidR="00A77B3E" w:rsidRPr="0033466F" w:rsidRDefault="00A77B3E">
      <w:pPr>
        <w:spacing w:line="360" w:lineRule="auto"/>
        <w:jc w:val="both"/>
        <w:rPr>
          <w:color w:val="000000" w:themeColor="text1"/>
        </w:rPr>
      </w:pPr>
    </w:p>
    <w:p w14:paraId="01ACDF1C" w14:textId="4E8C42FC"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Clinical trial registration statement: </w:t>
      </w:r>
      <w:r w:rsidRPr="0033466F">
        <w:rPr>
          <w:rFonts w:ascii="Book Antiqua" w:eastAsia="Book Antiqua" w:hAnsi="Book Antiqua" w:cs="Book Antiqua"/>
          <w:color w:val="000000" w:themeColor="text1"/>
        </w:rPr>
        <w:t xml:space="preserve">This study is registered at clinical hospital center </w:t>
      </w:r>
      <w:r w:rsidR="00AE01B4"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Shanghai General Hospital, Shanghai Jiaotong University School of Medicine</w:t>
      </w:r>
      <w:r w:rsidR="00AE01B4"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trial registry. </w:t>
      </w:r>
      <w:r w:rsidR="00767D2E" w:rsidRPr="0033466F">
        <w:rPr>
          <w:rFonts w:ascii="Book Antiqua" w:eastAsia="Book Antiqua" w:hAnsi="Book Antiqua" w:cs="Book Antiqua"/>
          <w:color w:val="000000" w:themeColor="text1"/>
        </w:rPr>
        <w:t>R</w:t>
      </w:r>
      <w:r w:rsidRPr="0033466F">
        <w:rPr>
          <w:rFonts w:ascii="Book Antiqua" w:eastAsia="Book Antiqua" w:hAnsi="Book Antiqua" w:cs="Book Antiqua"/>
          <w:color w:val="000000" w:themeColor="text1"/>
        </w:rPr>
        <w:t>egistration identification</w:t>
      </w:r>
      <w:r w:rsidR="0009669E"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w:t>
      </w:r>
      <w:r w:rsidR="00767D2E" w:rsidRPr="0033466F">
        <w:rPr>
          <w:rFonts w:ascii="Book Antiqua" w:eastAsia="Book Antiqua" w:hAnsi="Book Antiqua" w:cs="Book Antiqua"/>
          <w:color w:val="000000" w:themeColor="text1"/>
        </w:rPr>
        <w:t>No.</w:t>
      </w:r>
      <w:r w:rsidRPr="0033466F">
        <w:rPr>
          <w:rFonts w:ascii="Book Antiqua" w:eastAsia="Book Antiqua" w:hAnsi="Book Antiqua" w:cs="Book Antiqua"/>
          <w:color w:val="000000" w:themeColor="text1"/>
        </w:rPr>
        <w:t xml:space="preserve"> ChiCTR1800016590.</w:t>
      </w:r>
    </w:p>
    <w:p w14:paraId="5FF7F562" w14:textId="77777777" w:rsidR="00A77B3E" w:rsidRPr="0033466F" w:rsidRDefault="00A77B3E">
      <w:pPr>
        <w:spacing w:line="360" w:lineRule="auto"/>
        <w:jc w:val="both"/>
        <w:rPr>
          <w:color w:val="000000" w:themeColor="text1"/>
        </w:rPr>
      </w:pPr>
    </w:p>
    <w:p w14:paraId="468DA3FE" w14:textId="7BCAD5AC"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Informed consent statement: </w:t>
      </w:r>
      <w:r w:rsidRPr="0033466F">
        <w:rPr>
          <w:rFonts w:ascii="Book Antiqua" w:eastAsia="Book Antiqua" w:hAnsi="Book Antiqua" w:cs="Book Antiqua"/>
          <w:color w:val="000000" w:themeColor="text1"/>
        </w:rPr>
        <w:t>Written informed consent was obtained from every patient.</w:t>
      </w:r>
    </w:p>
    <w:p w14:paraId="42D92DA0" w14:textId="77777777" w:rsidR="00A77B3E" w:rsidRPr="0033466F" w:rsidRDefault="00A77B3E">
      <w:pPr>
        <w:spacing w:line="360" w:lineRule="auto"/>
        <w:jc w:val="both"/>
        <w:rPr>
          <w:color w:val="000000" w:themeColor="text1"/>
        </w:rPr>
      </w:pPr>
    </w:p>
    <w:p w14:paraId="20B8319D" w14:textId="2F742DE8"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Conflict-of-interest statement: </w:t>
      </w:r>
      <w:r w:rsidRPr="0033466F">
        <w:rPr>
          <w:rFonts w:ascii="Book Antiqua" w:eastAsia="Book Antiqua" w:hAnsi="Book Antiqua" w:cs="Book Antiqua"/>
          <w:color w:val="000000" w:themeColor="text1"/>
        </w:rPr>
        <w:t>The authors of this manuscript having no conflicts of interest to disclose.</w:t>
      </w:r>
    </w:p>
    <w:p w14:paraId="55540962" w14:textId="77777777" w:rsidR="00A77B3E" w:rsidRPr="0033466F" w:rsidRDefault="00A77B3E">
      <w:pPr>
        <w:spacing w:line="360" w:lineRule="auto"/>
        <w:jc w:val="both"/>
        <w:rPr>
          <w:color w:val="000000" w:themeColor="text1"/>
        </w:rPr>
      </w:pPr>
    </w:p>
    <w:p w14:paraId="13F8DB08"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Data sharing statement: </w:t>
      </w:r>
      <w:r w:rsidRPr="0033466F">
        <w:rPr>
          <w:rFonts w:ascii="Book Antiqua" w:eastAsia="Book Antiqua" w:hAnsi="Book Antiqua" w:cs="Book Antiqua"/>
          <w:color w:val="000000" w:themeColor="text1"/>
        </w:rPr>
        <w:t>There is no additional data available.</w:t>
      </w:r>
    </w:p>
    <w:p w14:paraId="4CF780FF" w14:textId="77777777" w:rsidR="00A77B3E" w:rsidRPr="0033466F" w:rsidRDefault="00A77B3E">
      <w:pPr>
        <w:spacing w:line="360" w:lineRule="auto"/>
        <w:jc w:val="both"/>
        <w:rPr>
          <w:color w:val="000000" w:themeColor="text1"/>
        </w:rPr>
      </w:pPr>
    </w:p>
    <w:p w14:paraId="4E1C8E3A" w14:textId="2FAC031C"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CONSORT 2010 statement: </w:t>
      </w:r>
      <w:r w:rsidR="009F70A2" w:rsidRPr="0033466F">
        <w:rPr>
          <w:rFonts w:ascii="Book Antiqua" w:eastAsia="Book Antiqua" w:hAnsi="Book Antiqua" w:cs="Book Antiqua"/>
          <w:color w:val="000000" w:themeColor="text1"/>
        </w:rPr>
        <w:t>The authors have read the CONSORT 2010 Statement, and the manuscript was prepared and revised according to the CONSORT 2010 Statement.</w:t>
      </w:r>
    </w:p>
    <w:p w14:paraId="38892DDF" w14:textId="77777777" w:rsidR="00A77B3E" w:rsidRPr="0033466F" w:rsidRDefault="00A77B3E">
      <w:pPr>
        <w:spacing w:line="360" w:lineRule="auto"/>
        <w:jc w:val="both"/>
        <w:rPr>
          <w:color w:val="000000" w:themeColor="text1"/>
        </w:rPr>
      </w:pPr>
    </w:p>
    <w:p w14:paraId="01B1A5F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bCs/>
          <w:color w:val="000000" w:themeColor="text1"/>
        </w:rPr>
        <w:t xml:space="preserve">Open-Access: </w:t>
      </w:r>
      <w:r w:rsidRPr="0033466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37F7E7" w14:textId="77777777" w:rsidR="00A77B3E" w:rsidRPr="0033466F" w:rsidRDefault="00A77B3E">
      <w:pPr>
        <w:spacing w:line="360" w:lineRule="auto"/>
        <w:jc w:val="both"/>
        <w:rPr>
          <w:color w:val="000000" w:themeColor="text1"/>
        </w:rPr>
      </w:pPr>
    </w:p>
    <w:p w14:paraId="592E1B3B" w14:textId="20E4806B"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Manuscript source: </w:t>
      </w:r>
      <w:r w:rsidRPr="0033466F">
        <w:rPr>
          <w:rFonts w:ascii="Book Antiqua" w:eastAsia="Book Antiqua" w:hAnsi="Book Antiqua" w:cs="Book Antiqua"/>
          <w:color w:val="000000" w:themeColor="text1"/>
        </w:rPr>
        <w:t xml:space="preserve">Unsolicited </w:t>
      </w:r>
      <w:r w:rsidR="009F70A2" w:rsidRPr="0033466F">
        <w:rPr>
          <w:rFonts w:ascii="Book Antiqua" w:eastAsia="Book Antiqua" w:hAnsi="Book Antiqua" w:cs="Book Antiqua"/>
          <w:color w:val="000000" w:themeColor="text1"/>
        </w:rPr>
        <w:t>m</w:t>
      </w:r>
      <w:r w:rsidRPr="0033466F">
        <w:rPr>
          <w:rFonts w:ascii="Book Antiqua" w:eastAsia="Book Antiqua" w:hAnsi="Book Antiqua" w:cs="Book Antiqua"/>
          <w:color w:val="000000" w:themeColor="text1"/>
        </w:rPr>
        <w:t>anuscript</w:t>
      </w:r>
    </w:p>
    <w:p w14:paraId="58D78DC2" w14:textId="77777777" w:rsidR="00A77B3E" w:rsidRPr="0033466F" w:rsidRDefault="00A77B3E">
      <w:pPr>
        <w:spacing w:line="360" w:lineRule="auto"/>
        <w:jc w:val="both"/>
        <w:rPr>
          <w:color w:val="000000" w:themeColor="text1"/>
        </w:rPr>
      </w:pPr>
    </w:p>
    <w:p w14:paraId="606637D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Peer-review started: </w:t>
      </w:r>
      <w:r w:rsidRPr="0033466F">
        <w:rPr>
          <w:rFonts w:ascii="Book Antiqua" w:eastAsia="Book Antiqua" w:hAnsi="Book Antiqua" w:cs="Book Antiqua"/>
          <w:color w:val="000000" w:themeColor="text1"/>
        </w:rPr>
        <w:t>September 18, 2020</w:t>
      </w:r>
    </w:p>
    <w:p w14:paraId="4C786627"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First decision: </w:t>
      </w:r>
      <w:r w:rsidRPr="0033466F">
        <w:rPr>
          <w:rFonts w:ascii="Book Antiqua" w:eastAsia="Book Antiqua" w:hAnsi="Book Antiqua" w:cs="Book Antiqua"/>
          <w:color w:val="000000" w:themeColor="text1"/>
        </w:rPr>
        <w:t>October 17, 2020</w:t>
      </w:r>
    </w:p>
    <w:p w14:paraId="41F3D177" w14:textId="17CD763A"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Article in press: </w:t>
      </w:r>
      <w:r w:rsidR="002954A8" w:rsidRPr="0033466F">
        <w:rPr>
          <w:rFonts w:ascii="Book Antiqua" w:eastAsia="Book Antiqua" w:hAnsi="Book Antiqua" w:cs="Book Antiqua"/>
          <w:color w:val="000000" w:themeColor="text1"/>
        </w:rPr>
        <w:t>November 13, 2020</w:t>
      </w:r>
    </w:p>
    <w:p w14:paraId="41B7A044" w14:textId="77777777" w:rsidR="00A77B3E" w:rsidRPr="0033466F" w:rsidRDefault="00A77B3E">
      <w:pPr>
        <w:spacing w:line="360" w:lineRule="auto"/>
        <w:jc w:val="both"/>
        <w:rPr>
          <w:color w:val="000000" w:themeColor="text1"/>
        </w:rPr>
      </w:pPr>
    </w:p>
    <w:p w14:paraId="3C8C28F8" w14:textId="510AD240"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Specialty type: </w:t>
      </w:r>
      <w:r w:rsidRPr="0033466F">
        <w:rPr>
          <w:rFonts w:ascii="Book Antiqua" w:eastAsia="Book Antiqua" w:hAnsi="Book Antiqua" w:cs="Book Antiqua"/>
          <w:color w:val="000000" w:themeColor="text1"/>
        </w:rPr>
        <w:t xml:space="preserve">Gastroenterology and </w:t>
      </w:r>
      <w:r w:rsidR="00080B13" w:rsidRPr="0033466F">
        <w:rPr>
          <w:rFonts w:ascii="Book Antiqua" w:eastAsia="Book Antiqua" w:hAnsi="Book Antiqua" w:cs="Book Antiqua"/>
          <w:color w:val="000000" w:themeColor="text1"/>
        </w:rPr>
        <w:t>h</w:t>
      </w:r>
      <w:r w:rsidRPr="0033466F">
        <w:rPr>
          <w:rFonts w:ascii="Book Antiqua" w:eastAsia="Book Antiqua" w:hAnsi="Book Antiqua" w:cs="Book Antiqua"/>
          <w:color w:val="000000" w:themeColor="text1"/>
        </w:rPr>
        <w:t>epatology</w:t>
      </w:r>
    </w:p>
    <w:p w14:paraId="680C8AE2"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 xml:space="preserve">Country/Territory of origin: </w:t>
      </w:r>
      <w:r w:rsidRPr="0033466F">
        <w:rPr>
          <w:rFonts w:ascii="Book Antiqua" w:eastAsia="Book Antiqua" w:hAnsi="Book Antiqua" w:cs="Book Antiqua"/>
          <w:color w:val="000000" w:themeColor="text1"/>
        </w:rPr>
        <w:t>China</w:t>
      </w:r>
    </w:p>
    <w:p w14:paraId="4438E34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b/>
          <w:color w:val="000000" w:themeColor="text1"/>
        </w:rPr>
        <w:t>Peer-review report’s scientific quality classification</w:t>
      </w:r>
    </w:p>
    <w:p w14:paraId="5575140E"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A (Excellent): A</w:t>
      </w:r>
    </w:p>
    <w:p w14:paraId="078F4C6F"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B (Very good): B, B</w:t>
      </w:r>
    </w:p>
    <w:p w14:paraId="1F73EEA8"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C (Good): 0</w:t>
      </w:r>
    </w:p>
    <w:p w14:paraId="3D975C94"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D (Fair): 0</w:t>
      </w:r>
    </w:p>
    <w:p w14:paraId="72C7606C" w14:textId="77777777" w:rsidR="00A77B3E" w:rsidRPr="0033466F" w:rsidRDefault="001016E4">
      <w:pPr>
        <w:spacing w:line="360" w:lineRule="auto"/>
        <w:jc w:val="both"/>
        <w:rPr>
          <w:color w:val="000000" w:themeColor="text1"/>
        </w:rPr>
      </w:pPr>
      <w:r w:rsidRPr="0033466F">
        <w:rPr>
          <w:rFonts w:ascii="Book Antiqua" w:eastAsia="Book Antiqua" w:hAnsi="Book Antiqua" w:cs="Book Antiqua"/>
          <w:color w:val="000000" w:themeColor="text1"/>
        </w:rPr>
        <w:t>Grade E (Poor): 0</w:t>
      </w:r>
    </w:p>
    <w:p w14:paraId="65CAF416" w14:textId="77777777" w:rsidR="00A77B3E" w:rsidRPr="0033466F" w:rsidRDefault="00A77B3E">
      <w:pPr>
        <w:spacing w:line="360" w:lineRule="auto"/>
        <w:jc w:val="both"/>
        <w:rPr>
          <w:color w:val="000000" w:themeColor="text1"/>
        </w:rPr>
      </w:pPr>
    </w:p>
    <w:p w14:paraId="3602DCB7" w14:textId="69661346" w:rsidR="00FF67D4" w:rsidRPr="002954A8" w:rsidRDefault="001016E4">
      <w:pPr>
        <w:spacing w:line="360" w:lineRule="auto"/>
        <w:jc w:val="both"/>
        <w:rPr>
          <w:rFonts w:ascii="Book Antiqua" w:hAnsi="Book Antiqua" w:cs="Book Antiqua"/>
          <w:b/>
          <w:color w:val="000000" w:themeColor="text1"/>
          <w:lang w:eastAsia="zh-CN"/>
        </w:rPr>
      </w:pPr>
      <w:r w:rsidRPr="0033466F">
        <w:rPr>
          <w:rFonts w:ascii="Book Antiqua" w:eastAsia="Book Antiqua" w:hAnsi="Book Antiqua" w:cs="Book Antiqua"/>
          <w:b/>
          <w:color w:val="000000" w:themeColor="text1"/>
        </w:rPr>
        <w:t xml:space="preserve">P-Reviewer: </w:t>
      </w:r>
      <w:r w:rsidRPr="0033466F">
        <w:rPr>
          <w:rFonts w:ascii="Book Antiqua" w:eastAsia="Book Antiqua" w:hAnsi="Book Antiqua" w:cs="Book Antiqua"/>
          <w:color w:val="000000" w:themeColor="text1"/>
        </w:rPr>
        <w:t>Dueland S, Pratschke S, Sumi K</w:t>
      </w:r>
      <w:r w:rsidRPr="0033466F">
        <w:rPr>
          <w:rFonts w:ascii="Book Antiqua" w:eastAsia="Book Antiqua" w:hAnsi="Book Antiqua" w:cs="Book Antiqua"/>
          <w:b/>
          <w:color w:val="000000" w:themeColor="text1"/>
        </w:rPr>
        <w:t xml:space="preserve"> S-Editor: </w:t>
      </w:r>
      <w:r w:rsidRPr="0033466F">
        <w:rPr>
          <w:rFonts w:ascii="Book Antiqua" w:eastAsia="Book Antiqua" w:hAnsi="Book Antiqua" w:cs="Book Antiqua"/>
          <w:color w:val="000000" w:themeColor="text1"/>
        </w:rPr>
        <w:t>Huang P</w:t>
      </w:r>
      <w:r w:rsidRPr="0033466F">
        <w:rPr>
          <w:rFonts w:ascii="Book Antiqua" w:eastAsia="Book Antiqua" w:hAnsi="Book Antiqua" w:cs="Book Antiqua"/>
          <w:b/>
          <w:color w:val="000000" w:themeColor="text1"/>
        </w:rPr>
        <w:t xml:space="preserve"> L-Editor: </w:t>
      </w:r>
      <w:r w:rsidR="00064BD6" w:rsidRPr="0033466F">
        <w:rPr>
          <w:rFonts w:ascii="Book Antiqua" w:eastAsia="Book Antiqua" w:hAnsi="Book Antiqua" w:cs="Book Antiqua"/>
          <w:bCs/>
          <w:color w:val="000000" w:themeColor="text1"/>
        </w:rPr>
        <w:t>Filipodia</w:t>
      </w:r>
      <w:r w:rsidRPr="0033466F">
        <w:rPr>
          <w:rFonts w:ascii="Book Antiqua" w:eastAsia="Book Antiqua" w:hAnsi="Book Antiqua" w:cs="Book Antiqua"/>
          <w:b/>
          <w:color w:val="000000" w:themeColor="text1"/>
        </w:rPr>
        <w:t xml:space="preserve"> P-Editor: </w:t>
      </w:r>
      <w:r w:rsidR="002954A8" w:rsidRPr="002954A8">
        <w:rPr>
          <w:rFonts w:ascii="Book Antiqua" w:hAnsi="Book Antiqua" w:cs="Book Antiqua" w:hint="eastAsia"/>
          <w:color w:val="000000" w:themeColor="text1"/>
          <w:lang w:eastAsia="zh-CN"/>
        </w:rPr>
        <w:t>Liu JH</w:t>
      </w:r>
    </w:p>
    <w:p w14:paraId="403D4FE2" w14:textId="77777777" w:rsidR="002954A8" w:rsidRPr="002954A8" w:rsidRDefault="002954A8">
      <w:pPr>
        <w:spacing w:line="360" w:lineRule="auto"/>
        <w:jc w:val="both"/>
        <w:rPr>
          <w:color w:val="000000" w:themeColor="text1"/>
          <w:lang w:eastAsia="zh-CN"/>
        </w:rPr>
        <w:sectPr w:rsidR="002954A8" w:rsidRPr="002954A8">
          <w:pgSz w:w="12240" w:h="15840"/>
          <w:pgMar w:top="1440" w:right="1440" w:bottom="1440" w:left="1440" w:header="720" w:footer="720" w:gutter="0"/>
          <w:cols w:space="720"/>
          <w:docGrid w:linePitch="360"/>
        </w:sectPr>
      </w:pPr>
    </w:p>
    <w:p w14:paraId="26DA2176" w14:textId="6A3123D0" w:rsidR="00A77B3E" w:rsidRPr="0033466F" w:rsidRDefault="001016E4">
      <w:pPr>
        <w:spacing w:line="360" w:lineRule="auto"/>
        <w:jc w:val="both"/>
        <w:rPr>
          <w:rFonts w:ascii="Book Antiqua" w:eastAsia="Book Antiqua" w:hAnsi="Book Antiqua" w:cs="Book Antiqua"/>
          <w:b/>
          <w:color w:val="000000" w:themeColor="text1"/>
        </w:rPr>
      </w:pPr>
      <w:r w:rsidRPr="0033466F">
        <w:rPr>
          <w:rFonts w:ascii="Book Antiqua" w:eastAsia="Book Antiqua" w:hAnsi="Book Antiqua" w:cs="Book Antiqua"/>
          <w:b/>
          <w:color w:val="000000" w:themeColor="text1"/>
        </w:rPr>
        <w:t>Figure Legends</w:t>
      </w:r>
    </w:p>
    <w:p w14:paraId="7A37E349" w14:textId="33D11C86" w:rsidR="00B67238" w:rsidRPr="0033466F" w:rsidRDefault="00B67238">
      <w:pPr>
        <w:spacing w:line="360" w:lineRule="auto"/>
        <w:jc w:val="both"/>
        <w:rPr>
          <w:color w:val="000000" w:themeColor="text1"/>
        </w:rPr>
      </w:pPr>
      <w:r w:rsidRPr="0033466F">
        <w:rPr>
          <w:noProof/>
          <w:color w:val="000000" w:themeColor="text1"/>
          <w:lang w:eastAsia="zh-CN"/>
        </w:rPr>
        <w:drawing>
          <wp:inline distT="0" distB="0" distL="0" distR="0" wp14:anchorId="70F0F901" wp14:editId="2A4BAA4D">
            <wp:extent cx="5943600" cy="2035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2035175"/>
                    </a:xfrm>
                    <a:prstGeom prst="rect">
                      <a:avLst/>
                    </a:prstGeom>
                  </pic:spPr>
                </pic:pic>
              </a:graphicData>
            </a:graphic>
          </wp:inline>
        </w:drawing>
      </w:r>
    </w:p>
    <w:p w14:paraId="19428290" w14:textId="54911914" w:rsidR="00B67238" w:rsidRPr="0033466F" w:rsidRDefault="001016E4">
      <w:pPr>
        <w:spacing w:line="360" w:lineRule="auto"/>
        <w:jc w:val="both"/>
        <w:rPr>
          <w:rFonts w:ascii="Book Antiqua" w:eastAsia="Book Antiqua" w:hAnsi="Book Antiqua" w:cs="Book Antiqua"/>
          <w:color w:val="000000" w:themeColor="text1"/>
        </w:rPr>
      </w:pPr>
      <w:r w:rsidRPr="0033466F">
        <w:rPr>
          <w:rFonts w:ascii="Book Antiqua" w:eastAsia="Book Antiqua" w:hAnsi="Book Antiqua" w:cs="Book Antiqua"/>
          <w:b/>
          <w:bCs/>
          <w:color w:val="000000" w:themeColor="text1"/>
        </w:rPr>
        <w:t xml:space="preserve">Figure 1 </w:t>
      </w:r>
      <w:r w:rsidR="00B67238" w:rsidRPr="0033466F">
        <w:rPr>
          <w:rFonts w:ascii="Book Antiqua" w:eastAsia="Book Antiqua" w:hAnsi="Book Antiqua" w:cs="Book Antiqua"/>
          <w:b/>
          <w:bCs/>
          <w:color w:val="000000" w:themeColor="text1"/>
        </w:rPr>
        <w:t>Region of interest</w:t>
      </w:r>
      <w:r w:rsidRPr="0033466F">
        <w:rPr>
          <w:rFonts w:ascii="Book Antiqua" w:eastAsia="Book Antiqua" w:hAnsi="Book Antiqua" w:cs="Book Antiqua"/>
          <w:b/>
          <w:bCs/>
          <w:color w:val="000000" w:themeColor="text1"/>
        </w:rPr>
        <w:t xml:space="preserve"> in the liver in volunteers and in patients with focal liver lesions</w:t>
      </w:r>
      <w:r w:rsidR="00F60479" w:rsidRPr="0033466F">
        <w:rPr>
          <w:rFonts w:ascii="Book Antiqua" w:eastAsia="Book Antiqua" w:hAnsi="Book Antiqua" w:cs="Book Antiqua"/>
          <w:b/>
          <w:bCs/>
          <w:color w:val="000000" w:themeColor="text1"/>
        </w:rPr>
        <w:t xml:space="preserve"> using virtual touch tissue quantification</w:t>
      </w:r>
      <w:r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color w:val="000000" w:themeColor="text1"/>
        </w:rPr>
        <w:t xml:space="preserve">A: </w:t>
      </w:r>
      <w:r w:rsidR="00997652" w:rsidRPr="0033466F">
        <w:rPr>
          <w:rFonts w:ascii="Book Antiqua" w:eastAsia="Book Antiqua" w:hAnsi="Book Antiqua" w:cs="Book Antiqua"/>
          <w:color w:val="000000" w:themeColor="text1"/>
        </w:rPr>
        <w:t>Region of interest (</w:t>
      </w:r>
      <w:r w:rsidRPr="0033466F">
        <w:rPr>
          <w:rFonts w:ascii="Book Antiqua" w:eastAsia="Book Antiqua" w:hAnsi="Book Antiqua" w:cs="Book Antiqua"/>
          <w:color w:val="000000" w:themeColor="text1"/>
        </w:rPr>
        <w:t>with fixed size 10</w:t>
      </w:r>
      <w:r w:rsidR="00997652" w:rsidRPr="0033466F">
        <w:rPr>
          <w:rFonts w:ascii="Book Antiqua" w:eastAsia="Book Antiqua" w:hAnsi="Book Antiqua" w:cs="Book Antiqua"/>
          <w:color w:val="000000" w:themeColor="text1"/>
        </w:rPr>
        <w:t xml:space="preserve"> mm ×</w:t>
      </w:r>
      <w:r w:rsidR="00F60479"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5 mm) for the liver in volunteers was placed at a depth of 4</w:t>
      </w:r>
      <w:r w:rsidR="00997652"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6 cm</w:t>
      </w:r>
      <w:r w:rsidR="00F60479"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and tubular structures, such as portal veins, hepatic veins and intrahepatic bile ducts were carefully avoided</w:t>
      </w:r>
      <w:r w:rsidR="00997652"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B: R</w:t>
      </w:r>
      <w:r w:rsidR="00F60479" w:rsidRPr="0033466F">
        <w:rPr>
          <w:rFonts w:ascii="Book Antiqua" w:eastAsia="Book Antiqua" w:hAnsi="Book Antiqua" w:cs="Book Antiqua"/>
          <w:color w:val="000000" w:themeColor="text1"/>
        </w:rPr>
        <w:t>egion of interest</w:t>
      </w:r>
      <w:r w:rsidRPr="0033466F">
        <w:rPr>
          <w:rFonts w:ascii="Book Antiqua" w:eastAsia="Book Antiqua" w:hAnsi="Book Antiqua" w:cs="Book Antiqua"/>
          <w:color w:val="000000" w:themeColor="text1"/>
        </w:rPr>
        <w:t xml:space="preserve"> for patients was placed inside the targeted </w:t>
      </w:r>
      <w:r w:rsidR="00997652" w:rsidRPr="0033466F">
        <w:rPr>
          <w:rFonts w:ascii="Book Antiqua" w:eastAsia="Book Antiqua" w:hAnsi="Book Antiqua" w:cs="Book Antiqua"/>
          <w:color w:val="000000" w:themeColor="text1"/>
        </w:rPr>
        <w:t>focal liver lesion</w:t>
      </w:r>
      <w:r w:rsidRPr="0033466F">
        <w:rPr>
          <w:rFonts w:ascii="Book Antiqua" w:eastAsia="Book Antiqua" w:hAnsi="Book Antiqua" w:cs="Book Antiqua"/>
          <w:color w:val="000000" w:themeColor="text1"/>
        </w:rPr>
        <w:t xml:space="preserve"> (a hemangioma shown here).</w:t>
      </w:r>
    </w:p>
    <w:p w14:paraId="0912BDEB" w14:textId="40B08611" w:rsidR="00A77B3E" w:rsidRPr="0033466F" w:rsidRDefault="00B67238">
      <w:pPr>
        <w:spacing w:line="360" w:lineRule="auto"/>
        <w:jc w:val="both"/>
        <w:rPr>
          <w:rFonts w:ascii="Book Antiqua" w:eastAsia="Book Antiqua" w:hAnsi="Book Antiqua" w:cs="Book Antiqua"/>
          <w:color w:val="000000" w:themeColor="text1"/>
        </w:rPr>
      </w:pPr>
      <w:r w:rsidRPr="0033466F">
        <w:rPr>
          <w:rFonts w:ascii="Book Antiqua" w:eastAsia="Book Antiqua" w:hAnsi="Book Antiqua" w:cs="Book Antiqua"/>
          <w:color w:val="000000" w:themeColor="text1"/>
        </w:rPr>
        <w:br w:type="page"/>
      </w:r>
      <w:r w:rsidR="009142EB" w:rsidRPr="0033466F">
        <w:rPr>
          <w:rFonts w:ascii="Book Antiqua" w:eastAsia="Book Antiqua" w:hAnsi="Book Antiqua" w:cs="Book Antiqua"/>
          <w:noProof/>
          <w:color w:val="000000" w:themeColor="text1"/>
          <w:lang w:eastAsia="zh-CN"/>
        </w:rPr>
        <w:drawing>
          <wp:inline distT="0" distB="0" distL="0" distR="0" wp14:anchorId="4F14154A" wp14:editId="37F45F38">
            <wp:extent cx="4273609" cy="2894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9036" cy="2904723"/>
                    </a:xfrm>
                    <a:prstGeom prst="rect">
                      <a:avLst/>
                    </a:prstGeom>
                  </pic:spPr>
                </pic:pic>
              </a:graphicData>
            </a:graphic>
          </wp:inline>
        </w:drawing>
      </w:r>
    </w:p>
    <w:p w14:paraId="279787DC" w14:textId="444ADB5C" w:rsidR="00E567F6" w:rsidRPr="0033466F" w:rsidRDefault="001016E4">
      <w:pPr>
        <w:spacing w:line="360" w:lineRule="auto"/>
        <w:jc w:val="both"/>
        <w:rPr>
          <w:rFonts w:ascii="Book Antiqua" w:eastAsia="Book Antiqua" w:hAnsi="Book Antiqua" w:cs="Book Antiqua"/>
          <w:color w:val="000000" w:themeColor="text1"/>
        </w:rPr>
      </w:pPr>
      <w:r w:rsidRPr="0033466F">
        <w:rPr>
          <w:rFonts w:ascii="Book Antiqua" w:eastAsia="Book Antiqua" w:hAnsi="Book Antiqua" w:cs="Book Antiqua"/>
          <w:b/>
          <w:bCs/>
          <w:color w:val="000000" w:themeColor="text1"/>
        </w:rPr>
        <w:t>Figure</w:t>
      </w:r>
      <w:r w:rsidR="008D1BF6"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b/>
          <w:bCs/>
          <w:color w:val="000000" w:themeColor="text1"/>
        </w:rPr>
        <w:t>2</w:t>
      </w:r>
      <w:r w:rsidR="00E567F6"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b/>
          <w:bCs/>
          <w:color w:val="000000" w:themeColor="text1"/>
        </w:rPr>
        <w:t xml:space="preserve">Comparison of </w:t>
      </w:r>
      <w:r w:rsidR="00F60479" w:rsidRPr="0033466F">
        <w:rPr>
          <w:rFonts w:ascii="Book Antiqua" w:eastAsia="Book Antiqua" w:hAnsi="Book Antiqua" w:cs="Book Antiqua"/>
          <w:b/>
          <w:bCs/>
          <w:color w:val="000000" w:themeColor="text1"/>
        </w:rPr>
        <w:t>maximum elasticity</w:t>
      </w:r>
      <w:r w:rsidRPr="0033466F">
        <w:rPr>
          <w:rFonts w:ascii="Book Antiqua" w:eastAsia="Book Antiqua" w:hAnsi="Book Antiqua" w:cs="Book Antiqua"/>
          <w:b/>
          <w:bCs/>
          <w:color w:val="000000" w:themeColor="text1"/>
        </w:rPr>
        <w:t xml:space="preserve"> among normal livers, benign </w:t>
      </w:r>
      <w:r w:rsidR="00E567F6" w:rsidRPr="0033466F">
        <w:rPr>
          <w:rFonts w:ascii="Book Antiqua" w:eastAsia="Book Antiqua" w:hAnsi="Book Antiqua" w:cs="Book Antiqua"/>
          <w:b/>
          <w:bCs/>
          <w:color w:val="000000" w:themeColor="text1"/>
        </w:rPr>
        <w:t>focal liver lesion</w:t>
      </w:r>
      <w:r w:rsidRPr="0033466F">
        <w:rPr>
          <w:rFonts w:ascii="Book Antiqua" w:eastAsia="Book Antiqua" w:hAnsi="Book Antiqua" w:cs="Book Antiqua"/>
          <w:b/>
          <w:bCs/>
          <w:color w:val="000000" w:themeColor="text1"/>
        </w:rPr>
        <w:t>s</w:t>
      </w:r>
      <w:r w:rsidR="00F60479" w:rsidRPr="0033466F">
        <w:rPr>
          <w:rFonts w:ascii="Book Antiqua" w:eastAsia="Book Antiqua" w:hAnsi="Book Antiqua" w:cs="Book Antiqua"/>
          <w:b/>
          <w:bCs/>
          <w:color w:val="000000" w:themeColor="text1"/>
        </w:rPr>
        <w:t>,</w:t>
      </w:r>
      <w:r w:rsidRPr="0033466F">
        <w:rPr>
          <w:rFonts w:ascii="Book Antiqua" w:eastAsia="Book Antiqua" w:hAnsi="Book Antiqua" w:cs="Book Antiqua"/>
          <w:b/>
          <w:bCs/>
          <w:color w:val="000000" w:themeColor="text1"/>
        </w:rPr>
        <w:t xml:space="preserve"> and malignant </w:t>
      </w:r>
      <w:r w:rsidR="00E567F6" w:rsidRPr="0033466F">
        <w:rPr>
          <w:rFonts w:ascii="Book Antiqua" w:eastAsia="Book Antiqua" w:hAnsi="Book Antiqua" w:cs="Book Antiqua"/>
          <w:b/>
          <w:bCs/>
          <w:color w:val="000000" w:themeColor="text1"/>
        </w:rPr>
        <w:t>focal liver lesion</w:t>
      </w:r>
      <w:r w:rsidRPr="0033466F">
        <w:rPr>
          <w:rFonts w:ascii="Book Antiqua" w:eastAsia="Book Antiqua" w:hAnsi="Book Antiqua" w:cs="Book Antiqua"/>
          <w:b/>
          <w:bCs/>
          <w:color w:val="000000" w:themeColor="text1"/>
        </w:rPr>
        <w:t xml:space="preserve">s. </w:t>
      </w:r>
      <w:r w:rsidR="00E61EC8" w:rsidRPr="0033466F">
        <w:rPr>
          <w:rFonts w:ascii="Book Antiqua" w:eastAsia="Book Antiqua" w:hAnsi="Book Antiqua" w:cs="Book Antiqua"/>
          <w:color w:val="000000" w:themeColor="text1"/>
          <w:vertAlign w:val="superscript"/>
        </w:rPr>
        <w:t>b</w:t>
      </w:r>
      <w:r w:rsidRPr="0033466F">
        <w:rPr>
          <w:rFonts w:ascii="Book Antiqua" w:eastAsia="Book Antiqua" w:hAnsi="Book Antiqua" w:cs="Book Antiqua"/>
          <w:i/>
          <w:iCs/>
          <w:color w:val="000000" w:themeColor="text1"/>
        </w:rPr>
        <w:t>P</w:t>
      </w:r>
      <w:r w:rsidR="00E567F6" w:rsidRPr="0033466F">
        <w:rPr>
          <w:rFonts w:ascii="Book Antiqua" w:eastAsia="Book Antiqua" w:hAnsi="Book Antiqua" w:cs="Book Antiqua"/>
          <w:i/>
          <w:iCs/>
          <w:color w:val="000000" w:themeColor="text1"/>
        </w:rPr>
        <w:t xml:space="preserve"> </w:t>
      </w:r>
      <w:r w:rsidRPr="0033466F">
        <w:rPr>
          <w:rFonts w:ascii="Book Antiqua" w:eastAsia="Book Antiqua" w:hAnsi="Book Antiqua" w:cs="Book Antiqua"/>
          <w:color w:val="000000" w:themeColor="text1"/>
        </w:rPr>
        <w:t>&lt;</w:t>
      </w:r>
      <w:r w:rsidR="00E567F6" w:rsidRPr="0033466F">
        <w:rPr>
          <w:rFonts w:ascii="Book Antiqua" w:eastAsia="Book Antiqua" w:hAnsi="Book Antiqua" w:cs="Book Antiqua"/>
          <w:color w:val="000000" w:themeColor="text1"/>
        </w:rPr>
        <w:t xml:space="preserve"> </w:t>
      </w:r>
      <w:r w:rsidRPr="0033466F">
        <w:rPr>
          <w:rFonts w:ascii="Book Antiqua" w:eastAsia="Book Antiqua" w:hAnsi="Book Antiqua" w:cs="Book Antiqua"/>
          <w:color w:val="000000" w:themeColor="text1"/>
        </w:rPr>
        <w:t xml:space="preserve">0.01 compared with </w:t>
      </w:r>
      <w:r w:rsidR="00E567F6" w:rsidRPr="0033466F">
        <w:rPr>
          <w:rFonts w:ascii="Book Antiqua" w:eastAsia="Book Antiqua" w:hAnsi="Book Antiqua" w:cs="Book Antiqua"/>
          <w:color w:val="000000" w:themeColor="text1"/>
        </w:rPr>
        <w:t>maximum elasticity (</w:t>
      </w:r>
      <w:r w:rsidRPr="0033466F">
        <w:rPr>
          <w:rFonts w:ascii="Book Antiqua" w:eastAsia="Book Antiqua" w:hAnsi="Book Antiqua" w:cs="Book Antiqua"/>
          <w:color w:val="000000" w:themeColor="text1"/>
        </w:rPr>
        <w:t>Emax</w:t>
      </w:r>
      <w:r w:rsidR="00E567F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of benign </w:t>
      </w:r>
      <w:r w:rsidR="00E567F6" w:rsidRPr="0033466F">
        <w:rPr>
          <w:rFonts w:ascii="Book Antiqua" w:eastAsia="Book Antiqua" w:hAnsi="Book Antiqua" w:cs="Book Antiqua"/>
          <w:color w:val="000000" w:themeColor="text1"/>
        </w:rPr>
        <w:t>focal liver lesions (</w:t>
      </w:r>
      <w:r w:rsidRPr="0033466F">
        <w:rPr>
          <w:rFonts w:ascii="Book Antiqua" w:eastAsia="Book Antiqua" w:hAnsi="Book Antiqua" w:cs="Book Antiqua"/>
          <w:color w:val="000000" w:themeColor="text1"/>
        </w:rPr>
        <w:t>FLLs</w:t>
      </w:r>
      <w:r w:rsidR="00E567F6" w:rsidRPr="0033466F">
        <w:rPr>
          <w:rFonts w:ascii="Book Antiqua" w:eastAsia="Book Antiqua" w:hAnsi="Book Antiqua" w:cs="Book Antiqua"/>
          <w:color w:val="000000" w:themeColor="text1"/>
        </w:rPr>
        <w:t>)</w:t>
      </w:r>
      <w:r w:rsidRPr="0033466F">
        <w:rPr>
          <w:rFonts w:ascii="Book Antiqua" w:eastAsia="Book Antiqua" w:hAnsi="Book Antiqua" w:cs="Book Antiqua"/>
          <w:color w:val="000000" w:themeColor="text1"/>
        </w:rPr>
        <w:t xml:space="preserve"> or normal livers. Emax of malignant FLLs were statistically significantly higher compared with Emax of benign FLLs and normal livers. There was no statistically significant difference between Emax values of the benign FLLs and normal livers. </w:t>
      </w:r>
    </w:p>
    <w:p w14:paraId="18010679" w14:textId="36F918BF" w:rsidR="00A77B3E" w:rsidRPr="0033466F" w:rsidRDefault="00E567F6">
      <w:pPr>
        <w:spacing w:line="360" w:lineRule="auto"/>
        <w:jc w:val="both"/>
        <w:rPr>
          <w:rFonts w:ascii="Book Antiqua" w:eastAsia="Book Antiqua" w:hAnsi="Book Antiqua" w:cs="Book Antiqua"/>
          <w:color w:val="000000" w:themeColor="text1"/>
        </w:rPr>
      </w:pPr>
      <w:r w:rsidRPr="0033466F">
        <w:rPr>
          <w:rFonts w:ascii="Book Antiqua" w:eastAsia="Book Antiqua" w:hAnsi="Book Antiqua" w:cs="Book Antiqua"/>
          <w:color w:val="000000" w:themeColor="text1"/>
        </w:rPr>
        <w:br w:type="page"/>
      </w:r>
      <w:r w:rsidR="008D1BF6" w:rsidRPr="0033466F">
        <w:rPr>
          <w:rFonts w:ascii="Book Antiqua" w:eastAsia="Book Antiqua" w:hAnsi="Book Antiqua" w:cs="Book Antiqua"/>
          <w:noProof/>
          <w:color w:val="000000" w:themeColor="text1"/>
          <w:lang w:eastAsia="zh-CN"/>
        </w:rPr>
        <w:drawing>
          <wp:inline distT="0" distB="0" distL="0" distR="0" wp14:anchorId="6B0A1E11" wp14:editId="09AD0B1E">
            <wp:extent cx="3355450" cy="3299460"/>
            <wp:effectExtent l="0" t="0" r="0" b="0"/>
            <wp:docPr id="5" name="图片 4"/>
            <wp:cNvGraphicFramePr/>
            <a:graphic xmlns:a="http://schemas.openxmlformats.org/drawingml/2006/main">
              <a:graphicData uri="http://schemas.openxmlformats.org/drawingml/2006/picture">
                <pic:pic xmlns:pic="http://schemas.openxmlformats.org/drawingml/2006/picture">
                  <pic:nvPicPr>
                    <pic:cNvPr id="5" name="图片 4"/>
                    <pic:cNvPicPr/>
                  </pic:nvPicPr>
                  <pic:blipFill>
                    <a:blip r:embed="rId10"/>
                    <a:stretch>
                      <a:fillRect/>
                    </a:stretch>
                  </pic:blipFill>
                  <pic:spPr>
                    <a:xfrm>
                      <a:off x="0" y="0"/>
                      <a:ext cx="3363738" cy="3307610"/>
                    </a:xfrm>
                    <a:prstGeom prst="rect">
                      <a:avLst/>
                    </a:prstGeom>
                    <a:noFill/>
                    <a:ln>
                      <a:noFill/>
                    </a:ln>
                  </pic:spPr>
                </pic:pic>
              </a:graphicData>
            </a:graphic>
          </wp:inline>
        </w:drawing>
      </w:r>
    </w:p>
    <w:p w14:paraId="7B43C993" w14:textId="6B32B77A" w:rsidR="008D1BF6" w:rsidRPr="0033466F" w:rsidRDefault="001016E4">
      <w:pPr>
        <w:spacing w:line="360" w:lineRule="auto"/>
        <w:jc w:val="both"/>
        <w:rPr>
          <w:rFonts w:ascii="Book Antiqua" w:eastAsia="Book Antiqua" w:hAnsi="Book Antiqua" w:cs="Book Antiqua"/>
          <w:b/>
          <w:bCs/>
          <w:color w:val="000000" w:themeColor="text1"/>
        </w:rPr>
      </w:pPr>
      <w:r w:rsidRPr="0033466F">
        <w:rPr>
          <w:rFonts w:ascii="Book Antiqua" w:eastAsia="Book Antiqua" w:hAnsi="Book Antiqua" w:cs="Book Antiqua"/>
          <w:b/>
          <w:bCs/>
          <w:color w:val="000000" w:themeColor="text1"/>
        </w:rPr>
        <w:t>Figure</w:t>
      </w:r>
      <w:r w:rsidR="008D1BF6"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b/>
          <w:bCs/>
          <w:color w:val="000000" w:themeColor="text1"/>
        </w:rPr>
        <w:t>3</w:t>
      </w:r>
      <w:r w:rsidR="008D1BF6" w:rsidRPr="0033466F">
        <w:rPr>
          <w:rFonts w:ascii="Book Antiqua" w:eastAsia="Book Antiqua" w:hAnsi="Book Antiqua" w:cs="Book Antiqua"/>
          <w:b/>
          <w:bCs/>
          <w:color w:val="000000" w:themeColor="text1"/>
        </w:rPr>
        <w:t xml:space="preserve"> </w:t>
      </w:r>
      <w:r w:rsidRPr="0033466F">
        <w:rPr>
          <w:rFonts w:ascii="Book Antiqua" w:eastAsia="Book Antiqua" w:hAnsi="Book Antiqua" w:cs="Book Antiqua"/>
          <w:b/>
          <w:bCs/>
          <w:color w:val="000000" w:themeColor="text1"/>
        </w:rPr>
        <w:t>Receiver operating characteristic curves of maximum elasticity for malignant and benign focal liver lesions.</w:t>
      </w:r>
    </w:p>
    <w:p w14:paraId="4EA00027" w14:textId="46B3E54C" w:rsidR="00A77B3E" w:rsidRPr="0033466F" w:rsidRDefault="008D1BF6">
      <w:pPr>
        <w:spacing w:line="360" w:lineRule="auto"/>
        <w:jc w:val="both"/>
        <w:rPr>
          <w:rFonts w:ascii="Book Antiqua" w:eastAsia="Book Antiqua" w:hAnsi="Book Antiqua" w:cs="Book Antiqua"/>
          <w:b/>
          <w:bCs/>
          <w:color w:val="000000" w:themeColor="text1"/>
        </w:rPr>
      </w:pPr>
      <w:r w:rsidRPr="0033466F">
        <w:rPr>
          <w:rFonts w:ascii="Book Antiqua" w:eastAsia="Book Antiqua" w:hAnsi="Book Antiqua" w:cs="Book Antiqua"/>
          <w:b/>
          <w:bCs/>
          <w:color w:val="000000" w:themeColor="text1"/>
        </w:rPr>
        <w:br w:type="page"/>
      </w:r>
      <w:r w:rsidR="00BE70AF" w:rsidRPr="0033466F">
        <w:rPr>
          <w:rFonts w:ascii="Book Antiqua" w:eastAsia="Book Antiqua" w:hAnsi="Book Antiqua" w:cs="Book Antiqua"/>
          <w:b/>
          <w:bCs/>
          <w:color w:val="000000" w:themeColor="text1"/>
        </w:rPr>
        <w:t xml:space="preserve">Table 1 Diagnostic results of conventional ultrasound and maximum elasticity, </w:t>
      </w:r>
      <w:r w:rsidR="00BE70AF" w:rsidRPr="0033466F">
        <w:rPr>
          <w:rFonts w:ascii="Book Antiqua" w:eastAsia="Book Antiqua" w:hAnsi="Book Antiqua" w:cs="Book Antiqua"/>
          <w:b/>
          <w:bCs/>
          <w:i/>
          <w:iCs/>
          <w:color w:val="000000" w:themeColor="text1"/>
        </w:rPr>
        <w:t>n</w:t>
      </w:r>
      <w:r w:rsidR="00BE70AF" w:rsidRPr="0033466F">
        <w:rPr>
          <w:rFonts w:ascii="Book Antiqua" w:eastAsia="Book Antiqua" w:hAnsi="Book Antiqua" w:cs="Book Antiqua"/>
          <w:b/>
          <w:bCs/>
          <w:color w:val="000000" w:themeColor="text1"/>
        </w:rPr>
        <w:t xml:space="preserve"> (%)</w:t>
      </w: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1733"/>
        <w:gridCol w:w="2080"/>
        <w:gridCol w:w="1448"/>
        <w:gridCol w:w="1735"/>
      </w:tblGrid>
      <w:tr w:rsidR="00BC20FC" w:rsidRPr="00BC20FC" w14:paraId="257A78A2" w14:textId="77777777" w:rsidTr="000C3421">
        <w:trPr>
          <w:trHeight w:val="461"/>
          <w:jc w:val="center"/>
        </w:trPr>
        <w:tc>
          <w:tcPr>
            <w:tcW w:w="1347" w:type="pct"/>
            <w:tcBorders>
              <w:top w:val="single" w:sz="4" w:space="0" w:color="auto"/>
              <w:bottom w:val="single" w:sz="4" w:space="0" w:color="auto"/>
            </w:tcBorders>
          </w:tcPr>
          <w:p w14:paraId="4CD08D0D" w14:textId="77777777" w:rsidR="00BE70AF" w:rsidRPr="0033466F" w:rsidRDefault="00BE70AF" w:rsidP="0033466F">
            <w:pPr>
              <w:spacing w:line="360" w:lineRule="auto"/>
              <w:jc w:val="both"/>
              <w:rPr>
                <w:rFonts w:ascii="Book Antiqua" w:hAnsi="Book Antiqua"/>
                <w:b/>
                <w:bCs/>
                <w:color w:val="000000" w:themeColor="text1"/>
              </w:rPr>
            </w:pPr>
          </w:p>
        </w:tc>
        <w:tc>
          <w:tcPr>
            <w:tcW w:w="1991" w:type="pct"/>
            <w:gridSpan w:val="2"/>
            <w:tcBorders>
              <w:top w:val="single" w:sz="4" w:space="0" w:color="auto"/>
              <w:bottom w:val="single" w:sz="4" w:space="0" w:color="auto"/>
            </w:tcBorders>
          </w:tcPr>
          <w:p w14:paraId="77C01645" w14:textId="77777777"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Conventional ultrasound</w:t>
            </w:r>
          </w:p>
        </w:tc>
        <w:tc>
          <w:tcPr>
            <w:tcW w:w="1662" w:type="pct"/>
            <w:gridSpan w:val="2"/>
            <w:tcBorders>
              <w:top w:val="single" w:sz="4" w:space="0" w:color="auto"/>
              <w:bottom w:val="single" w:sz="4" w:space="0" w:color="auto"/>
            </w:tcBorders>
          </w:tcPr>
          <w:p w14:paraId="1F233A26" w14:textId="77777777"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Emax</w:t>
            </w:r>
          </w:p>
        </w:tc>
      </w:tr>
      <w:tr w:rsidR="00BC20FC" w:rsidRPr="00BC20FC" w14:paraId="5590B10E" w14:textId="77777777" w:rsidTr="000C3421">
        <w:trPr>
          <w:jc w:val="center"/>
        </w:trPr>
        <w:tc>
          <w:tcPr>
            <w:tcW w:w="1347" w:type="pct"/>
          </w:tcPr>
          <w:p w14:paraId="66729480" w14:textId="77777777" w:rsidR="00BE70AF" w:rsidRPr="0033466F" w:rsidRDefault="00BE70AF" w:rsidP="0033466F">
            <w:pPr>
              <w:spacing w:line="360" w:lineRule="auto"/>
              <w:jc w:val="both"/>
              <w:rPr>
                <w:rFonts w:ascii="Book Antiqua" w:hAnsi="Book Antiqua"/>
                <w:color w:val="000000" w:themeColor="text1"/>
              </w:rPr>
            </w:pPr>
          </w:p>
        </w:tc>
        <w:tc>
          <w:tcPr>
            <w:tcW w:w="905" w:type="pct"/>
            <w:vAlign w:val="center"/>
          </w:tcPr>
          <w:p w14:paraId="54B7CE7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Benign</w:t>
            </w:r>
          </w:p>
        </w:tc>
        <w:tc>
          <w:tcPr>
            <w:tcW w:w="1086" w:type="pct"/>
            <w:vAlign w:val="center"/>
          </w:tcPr>
          <w:p w14:paraId="2A7773A8"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Malignant</w:t>
            </w:r>
          </w:p>
        </w:tc>
        <w:tc>
          <w:tcPr>
            <w:tcW w:w="756" w:type="pct"/>
            <w:vAlign w:val="center"/>
          </w:tcPr>
          <w:p w14:paraId="439CCD1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Benign</w:t>
            </w:r>
          </w:p>
        </w:tc>
        <w:tc>
          <w:tcPr>
            <w:tcW w:w="906" w:type="pct"/>
            <w:vAlign w:val="center"/>
          </w:tcPr>
          <w:p w14:paraId="7175F6F9"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Malignant</w:t>
            </w:r>
          </w:p>
        </w:tc>
      </w:tr>
      <w:tr w:rsidR="00BC20FC" w:rsidRPr="00BC20FC" w14:paraId="29A8AE9A" w14:textId="77777777" w:rsidTr="000C3421">
        <w:trPr>
          <w:jc w:val="center"/>
        </w:trPr>
        <w:tc>
          <w:tcPr>
            <w:tcW w:w="1347" w:type="pct"/>
          </w:tcPr>
          <w:p w14:paraId="2AE55701" w14:textId="13B908D0"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 xml:space="preserve">Benign, </w:t>
            </w:r>
            <w:r w:rsidRPr="0033466F">
              <w:rPr>
                <w:rFonts w:ascii="Book Antiqua" w:hAnsi="Book Antiqua"/>
                <w:i/>
                <w:iCs/>
                <w:color w:val="000000" w:themeColor="text1"/>
              </w:rPr>
              <w:t xml:space="preserve">n </w:t>
            </w:r>
            <w:r w:rsidRPr="0033466F">
              <w:rPr>
                <w:rFonts w:ascii="Book Antiqua" w:hAnsi="Book Antiqua"/>
                <w:color w:val="000000" w:themeColor="text1"/>
              </w:rPr>
              <w:t>= 48</w:t>
            </w:r>
          </w:p>
        </w:tc>
        <w:tc>
          <w:tcPr>
            <w:tcW w:w="905" w:type="pct"/>
            <w:vAlign w:val="center"/>
          </w:tcPr>
          <w:p w14:paraId="3B4790F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39 (81.3)</w:t>
            </w:r>
          </w:p>
        </w:tc>
        <w:tc>
          <w:tcPr>
            <w:tcW w:w="1086" w:type="pct"/>
            <w:vAlign w:val="center"/>
          </w:tcPr>
          <w:p w14:paraId="43901D48" w14:textId="77777777" w:rsidR="00BE70AF" w:rsidRPr="0033466F" w:rsidRDefault="00BE70AF" w:rsidP="0033466F">
            <w:pPr>
              <w:spacing w:line="360" w:lineRule="auto"/>
              <w:ind w:firstLineChars="50" w:firstLine="120"/>
              <w:jc w:val="both"/>
              <w:rPr>
                <w:rFonts w:ascii="Book Antiqua" w:hAnsi="Book Antiqua"/>
                <w:color w:val="000000" w:themeColor="text1"/>
              </w:rPr>
            </w:pPr>
            <w:r w:rsidRPr="0033466F">
              <w:rPr>
                <w:rFonts w:ascii="Book Antiqua" w:hAnsi="Book Antiqua"/>
                <w:color w:val="000000" w:themeColor="text1"/>
              </w:rPr>
              <w:t>9 (18.8)</w:t>
            </w:r>
          </w:p>
        </w:tc>
        <w:tc>
          <w:tcPr>
            <w:tcW w:w="756" w:type="pct"/>
            <w:vAlign w:val="center"/>
          </w:tcPr>
          <w:p w14:paraId="0AC021A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44 (91.7)</w:t>
            </w:r>
          </w:p>
        </w:tc>
        <w:tc>
          <w:tcPr>
            <w:tcW w:w="906" w:type="pct"/>
            <w:vAlign w:val="center"/>
          </w:tcPr>
          <w:p w14:paraId="07D8F7D7"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4 (8.3)</w:t>
            </w:r>
          </w:p>
        </w:tc>
      </w:tr>
      <w:tr w:rsidR="00BC20FC" w:rsidRPr="00BC20FC" w14:paraId="7DB9AD52" w14:textId="77777777" w:rsidTr="000C3421">
        <w:trPr>
          <w:jc w:val="center"/>
        </w:trPr>
        <w:tc>
          <w:tcPr>
            <w:tcW w:w="1347" w:type="pct"/>
            <w:tcBorders>
              <w:bottom w:val="single" w:sz="4" w:space="0" w:color="auto"/>
            </w:tcBorders>
          </w:tcPr>
          <w:p w14:paraId="473F05F6" w14:textId="0ED6FED2"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 xml:space="preserve">Malignant, </w:t>
            </w:r>
            <w:r w:rsidRPr="0033466F">
              <w:rPr>
                <w:rFonts w:ascii="Book Antiqua" w:hAnsi="Book Antiqua"/>
                <w:i/>
                <w:iCs/>
                <w:color w:val="000000" w:themeColor="text1"/>
              </w:rPr>
              <w:t xml:space="preserve">n </w:t>
            </w:r>
            <w:r w:rsidRPr="0033466F">
              <w:rPr>
                <w:rFonts w:ascii="Book Antiqua" w:hAnsi="Book Antiqua"/>
                <w:color w:val="000000" w:themeColor="text1"/>
              </w:rPr>
              <w:t>= 56</w:t>
            </w:r>
          </w:p>
        </w:tc>
        <w:tc>
          <w:tcPr>
            <w:tcW w:w="905" w:type="pct"/>
            <w:tcBorders>
              <w:bottom w:val="single" w:sz="4" w:space="0" w:color="auto"/>
            </w:tcBorders>
            <w:vAlign w:val="center"/>
          </w:tcPr>
          <w:p w14:paraId="57D49B29" w14:textId="77777777" w:rsidR="00BE70AF" w:rsidRPr="0033466F" w:rsidRDefault="00BE70AF" w:rsidP="0033466F">
            <w:pPr>
              <w:spacing w:line="360" w:lineRule="auto"/>
              <w:jc w:val="both"/>
              <w:rPr>
                <w:rFonts w:ascii="Book Antiqua" w:hAnsi="Book Antiqua"/>
                <w:color w:val="000000" w:themeColor="text1"/>
                <w:vertAlign w:val="superscript"/>
              </w:rPr>
            </w:pPr>
            <w:r w:rsidRPr="0033466F">
              <w:rPr>
                <w:rFonts w:ascii="Book Antiqua" w:hAnsi="Book Antiqua"/>
                <w:color w:val="000000" w:themeColor="text1"/>
              </w:rPr>
              <w:t>11 (19.6)</w:t>
            </w:r>
          </w:p>
        </w:tc>
        <w:tc>
          <w:tcPr>
            <w:tcW w:w="1086" w:type="pct"/>
            <w:tcBorders>
              <w:bottom w:val="single" w:sz="4" w:space="0" w:color="auto"/>
            </w:tcBorders>
            <w:vAlign w:val="center"/>
          </w:tcPr>
          <w:p w14:paraId="12516A36" w14:textId="77777777" w:rsidR="00BE70AF" w:rsidRPr="0033466F" w:rsidRDefault="00BE70AF" w:rsidP="0033466F">
            <w:pPr>
              <w:spacing w:line="360" w:lineRule="auto"/>
              <w:ind w:firstLineChars="50" w:firstLine="120"/>
              <w:jc w:val="both"/>
              <w:rPr>
                <w:rFonts w:ascii="Book Antiqua" w:hAnsi="Book Antiqua"/>
                <w:color w:val="000000" w:themeColor="text1"/>
              </w:rPr>
            </w:pPr>
            <w:r w:rsidRPr="0033466F">
              <w:rPr>
                <w:rFonts w:ascii="Book Antiqua" w:hAnsi="Book Antiqua"/>
                <w:color w:val="000000" w:themeColor="text1"/>
              </w:rPr>
              <w:t>45 (80.4)</w:t>
            </w:r>
          </w:p>
        </w:tc>
        <w:tc>
          <w:tcPr>
            <w:tcW w:w="756" w:type="pct"/>
            <w:tcBorders>
              <w:bottom w:val="single" w:sz="4" w:space="0" w:color="auto"/>
            </w:tcBorders>
            <w:vAlign w:val="center"/>
          </w:tcPr>
          <w:p w14:paraId="586445D3"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4 (7.1)</w:t>
            </w:r>
          </w:p>
        </w:tc>
        <w:tc>
          <w:tcPr>
            <w:tcW w:w="906" w:type="pct"/>
            <w:tcBorders>
              <w:bottom w:val="single" w:sz="4" w:space="0" w:color="auto"/>
            </w:tcBorders>
            <w:vAlign w:val="center"/>
          </w:tcPr>
          <w:p w14:paraId="19D78FF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52 (92.9)</w:t>
            </w:r>
          </w:p>
        </w:tc>
      </w:tr>
    </w:tbl>
    <w:p w14:paraId="5483D270" w14:textId="0947AE08" w:rsidR="00BE70AF" w:rsidRPr="0033466F" w:rsidRDefault="00BE70AF" w:rsidP="00BC20FC">
      <w:pPr>
        <w:spacing w:line="360" w:lineRule="auto"/>
        <w:jc w:val="both"/>
        <w:rPr>
          <w:rFonts w:ascii="Book Antiqua" w:hAnsi="Book Antiqua"/>
          <w:color w:val="000000" w:themeColor="text1"/>
        </w:rPr>
      </w:pPr>
      <w:r w:rsidRPr="0033466F">
        <w:rPr>
          <w:rFonts w:ascii="Book Antiqua" w:hAnsi="Book Antiqua"/>
          <w:color w:val="000000" w:themeColor="text1"/>
        </w:rPr>
        <w:t>Emax: Maximum elasticity.</w:t>
      </w:r>
    </w:p>
    <w:p w14:paraId="4E576197" w14:textId="0CC90391" w:rsidR="00BE70AF" w:rsidRPr="0033466F" w:rsidRDefault="00BE70AF">
      <w:pPr>
        <w:spacing w:line="360" w:lineRule="auto"/>
        <w:jc w:val="both"/>
        <w:rPr>
          <w:rFonts w:ascii="Book Antiqua" w:hAnsi="Book Antiqua"/>
          <w:b/>
          <w:bCs/>
          <w:color w:val="000000" w:themeColor="text1"/>
        </w:rPr>
      </w:pPr>
      <w:r w:rsidRPr="0033466F">
        <w:rPr>
          <w:rFonts w:ascii="Book Antiqua" w:hAnsi="Book Antiqua"/>
          <w:color w:val="000000" w:themeColor="text1"/>
        </w:rPr>
        <w:br w:type="page"/>
      </w:r>
      <w:r w:rsidRPr="0033466F">
        <w:rPr>
          <w:rFonts w:ascii="Book Antiqua" w:hAnsi="Book Antiqua"/>
          <w:b/>
          <w:bCs/>
          <w:color w:val="000000" w:themeColor="text1"/>
        </w:rPr>
        <w:t>Table 2 Diagnostic efficiency of conventional ultrasound, maximum elasticity</w:t>
      </w:r>
      <w:r w:rsidR="00F60479" w:rsidRPr="0033466F">
        <w:rPr>
          <w:rFonts w:ascii="Book Antiqua" w:hAnsi="Book Antiqua"/>
          <w:b/>
          <w:bCs/>
          <w:color w:val="000000" w:themeColor="text1"/>
        </w:rPr>
        <w:t>,</w:t>
      </w:r>
      <w:r w:rsidRPr="0033466F">
        <w:rPr>
          <w:rFonts w:ascii="Book Antiqua" w:hAnsi="Book Antiqua"/>
          <w:b/>
          <w:bCs/>
          <w:color w:val="000000" w:themeColor="text1"/>
        </w:rPr>
        <w:t xml:space="preserve"> and the combination of conventional ultrasound and maximum elasticity in differentiating benign and focal live lesions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469"/>
        <w:gridCol w:w="1448"/>
        <w:gridCol w:w="1643"/>
        <w:gridCol w:w="1659"/>
        <w:gridCol w:w="1339"/>
      </w:tblGrid>
      <w:tr w:rsidR="00BC20FC" w:rsidRPr="00BC20FC" w14:paraId="4F8A6098" w14:textId="77777777" w:rsidTr="000C3421">
        <w:tc>
          <w:tcPr>
            <w:tcW w:w="1054" w:type="pct"/>
            <w:tcBorders>
              <w:left w:val="nil"/>
              <w:right w:val="nil"/>
            </w:tcBorders>
            <w:vAlign w:val="center"/>
          </w:tcPr>
          <w:p w14:paraId="070C6499" w14:textId="77777777"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Diagnostic methods</w:t>
            </w:r>
          </w:p>
        </w:tc>
        <w:tc>
          <w:tcPr>
            <w:tcW w:w="767" w:type="pct"/>
            <w:tcBorders>
              <w:left w:val="nil"/>
              <w:right w:val="nil"/>
            </w:tcBorders>
            <w:vAlign w:val="center"/>
          </w:tcPr>
          <w:p w14:paraId="017BEE52" w14:textId="5B1C20EE"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Sensitivity</w:t>
            </w:r>
          </w:p>
        </w:tc>
        <w:tc>
          <w:tcPr>
            <w:tcW w:w="756" w:type="pct"/>
            <w:tcBorders>
              <w:left w:val="nil"/>
              <w:right w:val="nil"/>
            </w:tcBorders>
            <w:vAlign w:val="center"/>
          </w:tcPr>
          <w:p w14:paraId="0A725DC4" w14:textId="61282426"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Specificity</w:t>
            </w:r>
          </w:p>
        </w:tc>
        <w:tc>
          <w:tcPr>
            <w:tcW w:w="858" w:type="pct"/>
            <w:tcBorders>
              <w:left w:val="nil"/>
              <w:right w:val="nil"/>
            </w:tcBorders>
            <w:vAlign w:val="center"/>
          </w:tcPr>
          <w:p w14:paraId="6083CE7E" w14:textId="5BFFAFE7"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Positive predictive value</w:t>
            </w:r>
          </w:p>
        </w:tc>
        <w:tc>
          <w:tcPr>
            <w:tcW w:w="866" w:type="pct"/>
            <w:tcBorders>
              <w:left w:val="nil"/>
              <w:right w:val="nil"/>
            </w:tcBorders>
            <w:vAlign w:val="center"/>
          </w:tcPr>
          <w:p w14:paraId="3B959625" w14:textId="7E92A6F6"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Negative predictive value</w:t>
            </w:r>
          </w:p>
        </w:tc>
        <w:tc>
          <w:tcPr>
            <w:tcW w:w="699" w:type="pct"/>
            <w:tcBorders>
              <w:left w:val="nil"/>
              <w:right w:val="nil"/>
            </w:tcBorders>
            <w:vAlign w:val="center"/>
          </w:tcPr>
          <w:p w14:paraId="74ADEDD8" w14:textId="61D9E0D1" w:rsidR="00BE70AF" w:rsidRPr="0033466F" w:rsidRDefault="00BE70AF" w:rsidP="0033466F">
            <w:pPr>
              <w:spacing w:line="360" w:lineRule="auto"/>
              <w:jc w:val="both"/>
              <w:rPr>
                <w:rFonts w:ascii="Book Antiqua" w:hAnsi="Book Antiqua"/>
                <w:b/>
                <w:bCs/>
                <w:color w:val="000000" w:themeColor="text1"/>
              </w:rPr>
            </w:pPr>
            <w:r w:rsidRPr="0033466F">
              <w:rPr>
                <w:rFonts w:ascii="Book Antiqua" w:hAnsi="Book Antiqua"/>
                <w:b/>
                <w:bCs/>
                <w:color w:val="000000" w:themeColor="text1"/>
              </w:rPr>
              <w:t>Accuracy</w:t>
            </w:r>
          </w:p>
        </w:tc>
      </w:tr>
      <w:tr w:rsidR="00BC20FC" w:rsidRPr="00BC20FC" w14:paraId="2CBF168F" w14:textId="77777777" w:rsidTr="000C3421">
        <w:tc>
          <w:tcPr>
            <w:tcW w:w="1054" w:type="pct"/>
            <w:tcBorders>
              <w:top w:val="nil"/>
              <w:left w:val="nil"/>
              <w:bottom w:val="nil"/>
              <w:right w:val="nil"/>
            </w:tcBorders>
            <w:vAlign w:val="center"/>
          </w:tcPr>
          <w:p w14:paraId="0AA87B11"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Conventional US</w:t>
            </w:r>
          </w:p>
        </w:tc>
        <w:tc>
          <w:tcPr>
            <w:tcW w:w="767" w:type="pct"/>
            <w:tcBorders>
              <w:top w:val="nil"/>
              <w:left w:val="nil"/>
              <w:bottom w:val="nil"/>
              <w:right w:val="nil"/>
            </w:tcBorders>
            <w:vAlign w:val="center"/>
          </w:tcPr>
          <w:p w14:paraId="7C85F877"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80.4</w:t>
            </w:r>
          </w:p>
        </w:tc>
        <w:tc>
          <w:tcPr>
            <w:tcW w:w="756" w:type="pct"/>
            <w:tcBorders>
              <w:top w:val="nil"/>
              <w:left w:val="nil"/>
              <w:bottom w:val="nil"/>
              <w:right w:val="nil"/>
            </w:tcBorders>
            <w:vAlign w:val="center"/>
          </w:tcPr>
          <w:p w14:paraId="3A99DD66"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81.3</w:t>
            </w:r>
          </w:p>
        </w:tc>
        <w:tc>
          <w:tcPr>
            <w:tcW w:w="858" w:type="pct"/>
            <w:tcBorders>
              <w:top w:val="nil"/>
              <w:left w:val="nil"/>
              <w:bottom w:val="nil"/>
              <w:right w:val="nil"/>
            </w:tcBorders>
            <w:vAlign w:val="center"/>
          </w:tcPr>
          <w:p w14:paraId="3BCF68B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83.3</w:t>
            </w:r>
          </w:p>
        </w:tc>
        <w:tc>
          <w:tcPr>
            <w:tcW w:w="866" w:type="pct"/>
            <w:tcBorders>
              <w:top w:val="nil"/>
              <w:left w:val="nil"/>
              <w:bottom w:val="nil"/>
              <w:right w:val="nil"/>
            </w:tcBorders>
            <w:vAlign w:val="center"/>
          </w:tcPr>
          <w:p w14:paraId="1EF2474C"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78.0</w:t>
            </w:r>
          </w:p>
        </w:tc>
        <w:tc>
          <w:tcPr>
            <w:tcW w:w="699" w:type="pct"/>
            <w:tcBorders>
              <w:top w:val="nil"/>
              <w:left w:val="nil"/>
              <w:bottom w:val="nil"/>
              <w:right w:val="nil"/>
            </w:tcBorders>
            <w:vAlign w:val="center"/>
          </w:tcPr>
          <w:p w14:paraId="4FA5F544"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80.8</w:t>
            </w:r>
          </w:p>
        </w:tc>
      </w:tr>
      <w:tr w:rsidR="00BC20FC" w:rsidRPr="00BC20FC" w14:paraId="1CAC5082" w14:textId="77777777" w:rsidTr="000C3421">
        <w:tc>
          <w:tcPr>
            <w:tcW w:w="1054" w:type="pct"/>
            <w:tcBorders>
              <w:top w:val="nil"/>
              <w:left w:val="nil"/>
              <w:bottom w:val="nil"/>
              <w:right w:val="nil"/>
            </w:tcBorders>
            <w:vAlign w:val="center"/>
          </w:tcPr>
          <w:p w14:paraId="39D13228"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Emax</w:t>
            </w:r>
          </w:p>
        </w:tc>
        <w:tc>
          <w:tcPr>
            <w:tcW w:w="767" w:type="pct"/>
            <w:tcBorders>
              <w:top w:val="nil"/>
              <w:left w:val="nil"/>
              <w:bottom w:val="nil"/>
              <w:right w:val="nil"/>
            </w:tcBorders>
            <w:vAlign w:val="center"/>
          </w:tcPr>
          <w:p w14:paraId="297E09F1"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92.9</w:t>
            </w:r>
          </w:p>
        </w:tc>
        <w:tc>
          <w:tcPr>
            <w:tcW w:w="756" w:type="pct"/>
            <w:tcBorders>
              <w:top w:val="nil"/>
              <w:left w:val="nil"/>
              <w:bottom w:val="nil"/>
              <w:right w:val="nil"/>
            </w:tcBorders>
            <w:vAlign w:val="center"/>
          </w:tcPr>
          <w:p w14:paraId="63501B1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91.7</w:t>
            </w:r>
          </w:p>
        </w:tc>
        <w:tc>
          <w:tcPr>
            <w:tcW w:w="858" w:type="pct"/>
            <w:tcBorders>
              <w:top w:val="nil"/>
              <w:left w:val="nil"/>
              <w:bottom w:val="nil"/>
              <w:right w:val="nil"/>
            </w:tcBorders>
            <w:vAlign w:val="center"/>
          </w:tcPr>
          <w:p w14:paraId="132D536C"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92.9</w:t>
            </w:r>
          </w:p>
        </w:tc>
        <w:tc>
          <w:tcPr>
            <w:tcW w:w="866" w:type="pct"/>
            <w:tcBorders>
              <w:top w:val="nil"/>
              <w:left w:val="nil"/>
              <w:bottom w:val="nil"/>
              <w:right w:val="nil"/>
            </w:tcBorders>
            <w:vAlign w:val="center"/>
          </w:tcPr>
          <w:p w14:paraId="4CE623E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91.7</w:t>
            </w:r>
          </w:p>
        </w:tc>
        <w:tc>
          <w:tcPr>
            <w:tcW w:w="699" w:type="pct"/>
            <w:tcBorders>
              <w:top w:val="nil"/>
              <w:left w:val="nil"/>
              <w:bottom w:val="nil"/>
              <w:right w:val="nil"/>
            </w:tcBorders>
            <w:vAlign w:val="center"/>
          </w:tcPr>
          <w:p w14:paraId="33FD6F87"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92.3</w:t>
            </w:r>
          </w:p>
        </w:tc>
      </w:tr>
      <w:tr w:rsidR="00BC20FC" w:rsidRPr="00BC20FC" w14:paraId="100E70AE" w14:textId="77777777" w:rsidTr="000C3421">
        <w:tc>
          <w:tcPr>
            <w:tcW w:w="1054" w:type="pct"/>
            <w:tcBorders>
              <w:top w:val="nil"/>
              <w:left w:val="nil"/>
              <w:bottom w:val="single" w:sz="4" w:space="0" w:color="auto"/>
              <w:right w:val="nil"/>
            </w:tcBorders>
            <w:vAlign w:val="center"/>
          </w:tcPr>
          <w:p w14:paraId="1999432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Combination of conventional US and Emax</w:t>
            </w:r>
          </w:p>
        </w:tc>
        <w:tc>
          <w:tcPr>
            <w:tcW w:w="767" w:type="pct"/>
            <w:tcBorders>
              <w:top w:val="nil"/>
              <w:left w:val="nil"/>
              <w:bottom w:val="single" w:sz="4" w:space="0" w:color="auto"/>
              <w:right w:val="nil"/>
            </w:tcBorders>
            <w:vAlign w:val="center"/>
          </w:tcPr>
          <w:p w14:paraId="27B0E96F"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100</w:t>
            </w:r>
          </w:p>
        </w:tc>
        <w:tc>
          <w:tcPr>
            <w:tcW w:w="756" w:type="pct"/>
            <w:tcBorders>
              <w:top w:val="nil"/>
              <w:left w:val="nil"/>
              <w:bottom w:val="single" w:sz="4" w:space="0" w:color="auto"/>
              <w:right w:val="nil"/>
            </w:tcBorders>
            <w:vAlign w:val="center"/>
          </w:tcPr>
          <w:p w14:paraId="48F813C0"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75.0</w:t>
            </w:r>
          </w:p>
        </w:tc>
        <w:tc>
          <w:tcPr>
            <w:tcW w:w="858" w:type="pct"/>
            <w:tcBorders>
              <w:top w:val="nil"/>
              <w:left w:val="nil"/>
              <w:bottom w:val="single" w:sz="4" w:space="0" w:color="auto"/>
              <w:right w:val="nil"/>
            </w:tcBorders>
            <w:vAlign w:val="center"/>
          </w:tcPr>
          <w:p w14:paraId="701A9114"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82.4</w:t>
            </w:r>
          </w:p>
        </w:tc>
        <w:tc>
          <w:tcPr>
            <w:tcW w:w="866" w:type="pct"/>
            <w:tcBorders>
              <w:top w:val="nil"/>
              <w:left w:val="nil"/>
              <w:bottom w:val="single" w:sz="4" w:space="0" w:color="auto"/>
              <w:right w:val="nil"/>
            </w:tcBorders>
            <w:vAlign w:val="center"/>
          </w:tcPr>
          <w:p w14:paraId="463C8E6C"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100</w:t>
            </w:r>
          </w:p>
        </w:tc>
        <w:tc>
          <w:tcPr>
            <w:tcW w:w="699" w:type="pct"/>
            <w:tcBorders>
              <w:top w:val="nil"/>
              <w:left w:val="nil"/>
              <w:bottom w:val="single" w:sz="4" w:space="0" w:color="auto"/>
              <w:right w:val="nil"/>
            </w:tcBorders>
            <w:vAlign w:val="center"/>
          </w:tcPr>
          <w:p w14:paraId="1C309D47" w14:textId="77777777" w:rsidR="00BE70AF" w:rsidRPr="0033466F" w:rsidRDefault="00BE70AF" w:rsidP="0033466F">
            <w:pPr>
              <w:spacing w:line="360" w:lineRule="auto"/>
              <w:jc w:val="both"/>
              <w:rPr>
                <w:rFonts w:ascii="Book Antiqua" w:hAnsi="Book Antiqua"/>
                <w:color w:val="000000" w:themeColor="text1"/>
              </w:rPr>
            </w:pPr>
            <w:r w:rsidRPr="0033466F">
              <w:rPr>
                <w:rFonts w:ascii="Book Antiqua" w:hAnsi="Book Antiqua"/>
                <w:color w:val="000000" w:themeColor="text1"/>
              </w:rPr>
              <w:t>88.5</w:t>
            </w:r>
          </w:p>
        </w:tc>
      </w:tr>
    </w:tbl>
    <w:p w14:paraId="1C575AEE" w14:textId="0CC5E79A" w:rsidR="00BE70AF" w:rsidRPr="0033466F" w:rsidRDefault="00BC20FC" w:rsidP="00BC20FC">
      <w:pPr>
        <w:spacing w:line="360" w:lineRule="auto"/>
        <w:jc w:val="both"/>
        <w:rPr>
          <w:rFonts w:ascii="Book Antiqua" w:hAnsi="Book Antiqua"/>
          <w:b/>
          <w:bCs/>
          <w:color w:val="000000" w:themeColor="text1"/>
        </w:rPr>
      </w:pPr>
      <w:r w:rsidRPr="0059405F">
        <w:rPr>
          <w:rFonts w:ascii="Book Antiqua" w:hAnsi="Book Antiqua"/>
          <w:color w:val="000000" w:themeColor="text1"/>
        </w:rPr>
        <w:t>Emax: Maximum elasticity</w:t>
      </w:r>
      <w:r>
        <w:rPr>
          <w:rFonts w:ascii="Book Antiqua" w:hAnsi="Book Antiqua"/>
          <w:color w:val="000000" w:themeColor="text1"/>
        </w:rPr>
        <w:t>;</w:t>
      </w:r>
      <w:r w:rsidRPr="00BC20FC">
        <w:rPr>
          <w:rFonts w:ascii="Book Antiqua" w:hAnsi="Book Antiqua"/>
          <w:color w:val="000000" w:themeColor="text1"/>
        </w:rPr>
        <w:t xml:space="preserve"> </w:t>
      </w:r>
      <w:r w:rsidR="00BE70AF" w:rsidRPr="0033466F">
        <w:rPr>
          <w:rFonts w:ascii="Book Antiqua" w:hAnsi="Book Antiqua"/>
          <w:color w:val="000000" w:themeColor="text1"/>
        </w:rPr>
        <w:t>US</w:t>
      </w:r>
      <w:bookmarkStart w:id="1" w:name="_Hlk55595846"/>
      <w:r w:rsidR="00BE70AF" w:rsidRPr="0033466F">
        <w:rPr>
          <w:rFonts w:ascii="Book Antiqua" w:hAnsi="Book Antiqua"/>
          <w:color w:val="000000" w:themeColor="text1"/>
        </w:rPr>
        <w:t>: Ultrasound</w:t>
      </w:r>
      <w:bookmarkEnd w:id="1"/>
      <w:r w:rsidR="00BE70AF" w:rsidRPr="0033466F">
        <w:rPr>
          <w:rFonts w:ascii="Book Antiqua" w:hAnsi="Book Antiqua"/>
          <w:color w:val="000000" w:themeColor="text1"/>
        </w:rPr>
        <w:t>.</w:t>
      </w:r>
    </w:p>
    <w:sectPr w:rsidR="00BE70AF" w:rsidRPr="00334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8B053" w14:textId="77777777" w:rsidR="00D9130C" w:rsidRDefault="00D9130C" w:rsidP="00E72DDD">
      <w:r>
        <w:separator/>
      </w:r>
    </w:p>
  </w:endnote>
  <w:endnote w:type="continuationSeparator" w:id="0">
    <w:p w14:paraId="20E191A9" w14:textId="77777777" w:rsidR="00D9130C" w:rsidRDefault="00D9130C" w:rsidP="00E7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37259536"/>
      <w:docPartObj>
        <w:docPartGallery w:val="Page Numbers (Bottom of Page)"/>
        <w:docPartUnique/>
      </w:docPartObj>
    </w:sdtPr>
    <w:sdtEndPr>
      <w:rPr>
        <w:noProof/>
      </w:rPr>
    </w:sdtEndPr>
    <w:sdtContent>
      <w:p w14:paraId="77093BA7" w14:textId="310B8870" w:rsidR="007C0AE5" w:rsidRPr="007C0AE5" w:rsidRDefault="007C0AE5">
        <w:pPr>
          <w:pStyle w:val="a4"/>
          <w:jc w:val="right"/>
          <w:rPr>
            <w:rFonts w:ascii="Book Antiqua" w:hAnsi="Book Antiqua"/>
            <w:sz w:val="24"/>
            <w:szCs w:val="24"/>
          </w:rPr>
        </w:pPr>
        <w:r w:rsidRPr="007C0AE5">
          <w:rPr>
            <w:rFonts w:ascii="Book Antiqua" w:hAnsi="Book Antiqua"/>
            <w:sz w:val="24"/>
            <w:szCs w:val="24"/>
          </w:rPr>
          <w:fldChar w:fldCharType="begin"/>
        </w:r>
        <w:r w:rsidRPr="007C0AE5">
          <w:rPr>
            <w:rFonts w:ascii="Book Antiqua" w:hAnsi="Book Antiqua"/>
            <w:sz w:val="24"/>
            <w:szCs w:val="24"/>
          </w:rPr>
          <w:instrText xml:space="preserve"> PAGE   \* MERGEFORMAT </w:instrText>
        </w:r>
        <w:r w:rsidRPr="007C0AE5">
          <w:rPr>
            <w:rFonts w:ascii="Book Antiqua" w:hAnsi="Book Antiqua"/>
            <w:sz w:val="24"/>
            <w:szCs w:val="24"/>
          </w:rPr>
          <w:fldChar w:fldCharType="separate"/>
        </w:r>
        <w:r w:rsidR="00D9130C">
          <w:rPr>
            <w:rFonts w:ascii="Book Antiqua" w:hAnsi="Book Antiqua"/>
            <w:noProof/>
            <w:sz w:val="24"/>
            <w:szCs w:val="24"/>
          </w:rPr>
          <w:t>1</w:t>
        </w:r>
        <w:r w:rsidRPr="007C0AE5">
          <w:rPr>
            <w:rFonts w:ascii="Book Antiqua" w:hAnsi="Book Antiqua"/>
            <w:noProof/>
            <w:sz w:val="24"/>
            <w:szCs w:val="24"/>
          </w:rPr>
          <w:fldChar w:fldCharType="end"/>
        </w:r>
        <w:r w:rsidR="00BC20FC">
          <w:rPr>
            <w:rFonts w:ascii="Book Antiqua" w:hAnsi="Book Antiqua"/>
            <w:noProof/>
            <w:sz w:val="24"/>
            <w:szCs w:val="24"/>
          </w:rPr>
          <w:t xml:space="preserve"> </w:t>
        </w:r>
        <w:r w:rsidRPr="007C0AE5">
          <w:rPr>
            <w:rFonts w:ascii="Book Antiqua" w:hAnsi="Book Antiqua"/>
            <w:noProof/>
            <w:sz w:val="24"/>
            <w:szCs w:val="24"/>
          </w:rPr>
          <w:t>/</w:t>
        </w:r>
        <w:r w:rsidR="00BC20FC">
          <w:rPr>
            <w:rFonts w:ascii="Book Antiqua" w:hAnsi="Book Antiqua"/>
            <w:noProof/>
            <w:sz w:val="24"/>
            <w:szCs w:val="24"/>
          </w:rPr>
          <w:t xml:space="preserve"> </w:t>
        </w:r>
        <w:r w:rsidRPr="007C0AE5">
          <w:rPr>
            <w:rFonts w:ascii="Book Antiqua" w:hAnsi="Book Antiqua"/>
            <w:noProof/>
            <w:sz w:val="24"/>
            <w:szCs w:val="24"/>
          </w:rPr>
          <w:t>2</w:t>
        </w:r>
        <w:r w:rsidR="0033466F">
          <w:rPr>
            <w:rFonts w:ascii="Book Antiqua" w:hAnsi="Book Antiqua"/>
            <w:noProof/>
            <w:sz w:val="24"/>
            <w:szCs w:val="24"/>
          </w:rPr>
          <w:t>3</w:t>
        </w:r>
      </w:p>
    </w:sdtContent>
  </w:sdt>
  <w:p w14:paraId="56C9BBA6" w14:textId="77777777" w:rsidR="00E72DDD" w:rsidRDefault="00E72D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79EDF" w14:textId="77777777" w:rsidR="00D9130C" w:rsidRDefault="00D9130C" w:rsidP="00E72DDD">
      <w:r>
        <w:separator/>
      </w:r>
    </w:p>
  </w:footnote>
  <w:footnote w:type="continuationSeparator" w:id="0">
    <w:p w14:paraId="4E56FECC" w14:textId="77777777" w:rsidR="00D9130C" w:rsidRDefault="00D9130C" w:rsidP="00E72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935"/>
    <w:rsid w:val="00063DF7"/>
    <w:rsid w:val="00064BD6"/>
    <w:rsid w:val="00080B13"/>
    <w:rsid w:val="000838A4"/>
    <w:rsid w:val="0009669E"/>
    <w:rsid w:val="001016E4"/>
    <w:rsid w:val="001414CE"/>
    <w:rsid w:val="00184B44"/>
    <w:rsid w:val="001E50C3"/>
    <w:rsid w:val="001E5794"/>
    <w:rsid w:val="00210F05"/>
    <w:rsid w:val="00234538"/>
    <w:rsid w:val="0024576E"/>
    <w:rsid w:val="00292BD1"/>
    <w:rsid w:val="002954A8"/>
    <w:rsid w:val="002E19B5"/>
    <w:rsid w:val="002F190D"/>
    <w:rsid w:val="002F7E07"/>
    <w:rsid w:val="0033466F"/>
    <w:rsid w:val="003A1B27"/>
    <w:rsid w:val="003E3507"/>
    <w:rsid w:val="003F7CFB"/>
    <w:rsid w:val="004574E6"/>
    <w:rsid w:val="004B1693"/>
    <w:rsid w:val="004B6E37"/>
    <w:rsid w:val="004D2883"/>
    <w:rsid w:val="005626E1"/>
    <w:rsid w:val="005E51E3"/>
    <w:rsid w:val="005F5B46"/>
    <w:rsid w:val="00655359"/>
    <w:rsid w:val="00656DC5"/>
    <w:rsid w:val="00681D63"/>
    <w:rsid w:val="006C4700"/>
    <w:rsid w:val="006D35B8"/>
    <w:rsid w:val="00723CBB"/>
    <w:rsid w:val="007370B1"/>
    <w:rsid w:val="00767D2E"/>
    <w:rsid w:val="00794CDE"/>
    <w:rsid w:val="007A4986"/>
    <w:rsid w:val="007A5452"/>
    <w:rsid w:val="007C0AE5"/>
    <w:rsid w:val="007E10A1"/>
    <w:rsid w:val="007E65CC"/>
    <w:rsid w:val="00804BC3"/>
    <w:rsid w:val="0083522E"/>
    <w:rsid w:val="00872633"/>
    <w:rsid w:val="008A4294"/>
    <w:rsid w:val="008A5587"/>
    <w:rsid w:val="008D1BF6"/>
    <w:rsid w:val="008E33C5"/>
    <w:rsid w:val="009142EB"/>
    <w:rsid w:val="009221DF"/>
    <w:rsid w:val="00997652"/>
    <w:rsid w:val="009D6730"/>
    <w:rsid w:val="009F70A2"/>
    <w:rsid w:val="00A13484"/>
    <w:rsid w:val="00A13A28"/>
    <w:rsid w:val="00A72CDF"/>
    <w:rsid w:val="00A77B3E"/>
    <w:rsid w:val="00A85480"/>
    <w:rsid w:val="00A87D21"/>
    <w:rsid w:val="00AE01B4"/>
    <w:rsid w:val="00AE4963"/>
    <w:rsid w:val="00B004AB"/>
    <w:rsid w:val="00B44D28"/>
    <w:rsid w:val="00B629AC"/>
    <w:rsid w:val="00B67238"/>
    <w:rsid w:val="00BC20FC"/>
    <w:rsid w:val="00BC7934"/>
    <w:rsid w:val="00BE70AF"/>
    <w:rsid w:val="00BF64CD"/>
    <w:rsid w:val="00C01878"/>
    <w:rsid w:val="00C13F8F"/>
    <w:rsid w:val="00CA2A55"/>
    <w:rsid w:val="00D046D3"/>
    <w:rsid w:val="00D41B78"/>
    <w:rsid w:val="00D73BC0"/>
    <w:rsid w:val="00D9130C"/>
    <w:rsid w:val="00D9592B"/>
    <w:rsid w:val="00DA1BBD"/>
    <w:rsid w:val="00DB6EDE"/>
    <w:rsid w:val="00DC4758"/>
    <w:rsid w:val="00DE2C1C"/>
    <w:rsid w:val="00E17DBE"/>
    <w:rsid w:val="00E248F3"/>
    <w:rsid w:val="00E30902"/>
    <w:rsid w:val="00E5091D"/>
    <w:rsid w:val="00E567F6"/>
    <w:rsid w:val="00E60093"/>
    <w:rsid w:val="00E61EC8"/>
    <w:rsid w:val="00E72DDD"/>
    <w:rsid w:val="00E96526"/>
    <w:rsid w:val="00F12F3F"/>
    <w:rsid w:val="00F30E74"/>
    <w:rsid w:val="00F60479"/>
    <w:rsid w:val="00F91CDB"/>
    <w:rsid w:val="00FA58C8"/>
    <w:rsid w:val="00FE4C16"/>
    <w:rsid w:val="00FF6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B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2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2DDD"/>
    <w:rPr>
      <w:sz w:val="18"/>
      <w:szCs w:val="18"/>
    </w:rPr>
  </w:style>
  <w:style w:type="paragraph" w:styleId="a4">
    <w:name w:val="footer"/>
    <w:basedOn w:val="a"/>
    <w:link w:val="Char0"/>
    <w:uiPriority w:val="99"/>
    <w:unhideWhenUsed/>
    <w:rsid w:val="00E72DDD"/>
    <w:pPr>
      <w:tabs>
        <w:tab w:val="center" w:pos="4153"/>
        <w:tab w:val="right" w:pos="8306"/>
      </w:tabs>
      <w:snapToGrid w:val="0"/>
    </w:pPr>
    <w:rPr>
      <w:sz w:val="18"/>
      <w:szCs w:val="18"/>
    </w:rPr>
  </w:style>
  <w:style w:type="character" w:customStyle="1" w:styleId="Char0">
    <w:name w:val="页脚 Char"/>
    <w:basedOn w:val="a0"/>
    <w:link w:val="a4"/>
    <w:uiPriority w:val="99"/>
    <w:rsid w:val="00E72DDD"/>
    <w:rPr>
      <w:sz w:val="18"/>
      <w:szCs w:val="18"/>
    </w:rPr>
  </w:style>
  <w:style w:type="table" w:styleId="a5">
    <w:name w:val="Table Grid"/>
    <w:basedOn w:val="a1"/>
    <w:uiPriority w:val="59"/>
    <w:rsid w:val="00BE70AF"/>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semiHidden/>
    <w:unhideWhenUsed/>
    <w:rsid w:val="007A4986"/>
    <w:rPr>
      <w:sz w:val="16"/>
      <w:szCs w:val="16"/>
    </w:rPr>
  </w:style>
  <w:style w:type="paragraph" w:styleId="a7">
    <w:name w:val="annotation text"/>
    <w:basedOn w:val="a"/>
    <w:link w:val="Char1"/>
    <w:semiHidden/>
    <w:unhideWhenUsed/>
    <w:rsid w:val="007A4986"/>
    <w:rPr>
      <w:sz w:val="20"/>
      <w:szCs w:val="20"/>
    </w:rPr>
  </w:style>
  <w:style w:type="character" w:customStyle="1" w:styleId="Char1">
    <w:name w:val="批注文字 Char"/>
    <w:basedOn w:val="a0"/>
    <w:link w:val="a7"/>
    <w:semiHidden/>
    <w:rsid w:val="007A4986"/>
  </w:style>
  <w:style w:type="paragraph" w:styleId="a8">
    <w:name w:val="annotation subject"/>
    <w:basedOn w:val="a7"/>
    <w:next w:val="a7"/>
    <w:link w:val="Char2"/>
    <w:semiHidden/>
    <w:unhideWhenUsed/>
    <w:rsid w:val="007A4986"/>
    <w:rPr>
      <w:b/>
      <w:bCs/>
    </w:rPr>
  </w:style>
  <w:style w:type="character" w:customStyle="1" w:styleId="Char2">
    <w:name w:val="批注主题 Char"/>
    <w:basedOn w:val="Char1"/>
    <w:link w:val="a8"/>
    <w:semiHidden/>
    <w:rsid w:val="007A4986"/>
    <w:rPr>
      <w:b/>
      <w:bCs/>
    </w:rPr>
  </w:style>
  <w:style w:type="paragraph" w:styleId="a9">
    <w:name w:val="Balloon Text"/>
    <w:basedOn w:val="a"/>
    <w:link w:val="Char3"/>
    <w:semiHidden/>
    <w:unhideWhenUsed/>
    <w:rsid w:val="007A4986"/>
    <w:rPr>
      <w:rFonts w:ascii="Segoe UI" w:hAnsi="Segoe UI" w:cs="Segoe UI"/>
      <w:sz w:val="18"/>
      <w:szCs w:val="18"/>
    </w:rPr>
  </w:style>
  <w:style w:type="character" w:customStyle="1" w:styleId="Char3">
    <w:name w:val="批注框文本 Char"/>
    <w:basedOn w:val="a0"/>
    <w:link w:val="a9"/>
    <w:semiHidden/>
    <w:rsid w:val="007A4986"/>
    <w:rPr>
      <w:rFonts w:ascii="Segoe UI" w:hAnsi="Segoe UI" w:cs="Segoe UI"/>
      <w:sz w:val="18"/>
      <w:szCs w:val="18"/>
    </w:rPr>
  </w:style>
  <w:style w:type="paragraph" w:styleId="aa">
    <w:name w:val="Revision"/>
    <w:hidden/>
    <w:uiPriority w:val="99"/>
    <w:semiHidden/>
    <w:rsid w:val="007A49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2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2DDD"/>
    <w:rPr>
      <w:sz w:val="18"/>
      <w:szCs w:val="18"/>
    </w:rPr>
  </w:style>
  <w:style w:type="paragraph" w:styleId="a4">
    <w:name w:val="footer"/>
    <w:basedOn w:val="a"/>
    <w:link w:val="Char0"/>
    <w:uiPriority w:val="99"/>
    <w:unhideWhenUsed/>
    <w:rsid w:val="00E72DDD"/>
    <w:pPr>
      <w:tabs>
        <w:tab w:val="center" w:pos="4153"/>
        <w:tab w:val="right" w:pos="8306"/>
      </w:tabs>
      <w:snapToGrid w:val="0"/>
    </w:pPr>
    <w:rPr>
      <w:sz w:val="18"/>
      <w:szCs w:val="18"/>
    </w:rPr>
  </w:style>
  <w:style w:type="character" w:customStyle="1" w:styleId="Char0">
    <w:name w:val="页脚 Char"/>
    <w:basedOn w:val="a0"/>
    <w:link w:val="a4"/>
    <w:uiPriority w:val="99"/>
    <w:rsid w:val="00E72DDD"/>
    <w:rPr>
      <w:sz w:val="18"/>
      <w:szCs w:val="18"/>
    </w:rPr>
  </w:style>
  <w:style w:type="table" w:styleId="a5">
    <w:name w:val="Table Grid"/>
    <w:basedOn w:val="a1"/>
    <w:uiPriority w:val="59"/>
    <w:rsid w:val="00BE70AF"/>
    <w:rPr>
      <w:rFonts w:asciiTheme="minorHAnsi"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semiHidden/>
    <w:unhideWhenUsed/>
    <w:rsid w:val="007A4986"/>
    <w:rPr>
      <w:sz w:val="16"/>
      <w:szCs w:val="16"/>
    </w:rPr>
  </w:style>
  <w:style w:type="paragraph" w:styleId="a7">
    <w:name w:val="annotation text"/>
    <w:basedOn w:val="a"/>
    <w:link w:val="Char1"/>
    <w:semiHidden/>
    <w:unhideWhenUsed/>
    <w:rsid w:val="007A4986"/>
    <w:rPr>
      <w:sz w:val="20"/>
      <w:szCs w:val="20"/>
    </w:rPr>
  </w:style>
  <w:style w:type="character" w:customStyle="1" w:styleId="Char1">
    <w:name w:val="批注文字 Char"/>
    <w:basedOn w:val="a0"/>
    <w:link w:val="a7"/>
    <w:semiHidden/>
    <w:rsid w:val="007A4986"/>
  </w:style>
  <w:style w:type="paragraph" w:styleId="a8">
    <w:name w:val="annotation subject"/>
    <w:basedOn w:val="a7"/>
    <w:next w:val="a7"/>
    <w:link w:val="Char2"/>
    <w:semiHidden/>
    <w:unhideWhenUsed/>
    <w:rsid w:val="007A4986"/>
    <w:rPr>
      <w:b/>
      <w:bCs/>
    </w:rPr>
  </w:style>
  <w:style w:type="character" w:customStyle="1" w:styleId="Char2">
    <w:name w:val="批注主题 Char"/>
    <w:basedOn w:val="Char1"/>
    <w:link w:val="a8"/>
    <w:semiHidden/>
    <w:rsid w:val="007A4986"/>
    <w:rPr>
      <w:b/>
      <w:bCs/>
    </w:rPr>
  </w:style>
  <w:style w:type="paragraph" w:styleId="a9">
    <w:name w:val="Balloon Text"/>
    <w:basedOn w:val="a"/>
    <w:link w:val="Char3"/>
    <w:semiHidden/>
    <w:unhideWhenUsed/>
    <w:rsid w:val="007A4986"/>
    <w:rPr>
      <w:rFonts w:ascii="Segoe UI" w:hAnsi="Segoe UI" w:cs="Segoe UI"/>
      <w:sz w:val="18"/>
      <w:szCs w:val="18"/>
    </w:rPr>
  </w:style>
  <w:style w:type="character" w:customStyle="1" w:styleId="Char3">
    <w:name w:val="批注框文本 Char"/>
    <w:basedOn w:val="a0"/>
    <w:link w:val="a9"/>
    <w:semiHidden/>
    <w:rsid w:val="007A4986"/>
    <w:rPr>
      <w:rFonts w:ascii="Segoe UI" w:hAnsi="Segoe UI" w:cs="Segoe UI"/>
      <w:sz w:val="18"/>
      <w:szCs w:val="18"/>
    </w:rPr>
  </w:style>
  <w:style w:type="paragraph" w:styleId="aa">
    <w:name w:val="Revision"/>
    <w:hidden/>
    <w:uiPriority w:val="99"/>
    <w:semiHidden/>
    <w:rsid w:val="007A49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12</cp:revision>
  <dcterms:created xsi:type="dcterms:W3CDTF">2020-11-13T19:56:00Z</dcterms:created>
  <dcterms:modified xsi:type="dcterms:W3CDTF">2020-12-10T08:13:00Z</dcterms:modified>
</cp:coreProperties>
</file>