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A2D6A"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Name of Journal: </w:t>
      </w:r>
      <w:r w:rsidRPr="00C25019">
        <w:rPr>
          <w:rFonts w:ascii="Book Antiqua" w:eastAsia="Book Antiqua" w:hAnsi="Book Antiqua" w:cs="Book Antiqua"/>
          <w:i/>
          <w:color w:val="000000"/>
        </w:rPr>
        <w:t>World Journal of Clinical Cases</w:t>
      </w:r>
    </w:p>
    <w:p w14:paraId="5ECD1199"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Manuscript NO: </w:t>
      </w:r>
      <w:r w:rsidRPr="00C25019">
        <w:rPr>
          <w:rFonts w:ascii="Book Antiqua" w:eastAsia="Book Antiqua" w:hAnsi="Book Antiqua" w:cs="Book Antiqua"/>
          <w:color w:val="000000"/>
        </w:rPr>
        <w:t>58893</w:t>
      </w:r>
    </w:p>
    <w:p w14:paraId="7C290F78"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Manuscript Type: </w:t>
      </w:r>
      <w:r w:rsidRPr="00C25019">
        <w:rPr>
          <w:rFonts w:ascii="Book Antiqua" w:eastAsia="Book Antiqua" w:hAnsi="Book Antiqua" w:cs="Book Antiqua"/>
          <w:color w:val="000000"/>
        </w:rPr>
        <w:t>CASE REPORT</w:t>
      </w:r>
    </w:p>
    <w:p w14:paraId="4E435638" w14:textId="77777777" w:rsidR="00A77B3E" w:rsidRPr="00C25019" w:rsidRDefault="00A77B3E" w:rsidP="00C25019">
      <w:pPr>
        <w:snapToGrid w:val="0"/>
        <w:spacing w:line="360" w:lineRule="auto"/>
        <w:jc w:val="both"/>
        <w:rPr>
          <w:rFonts w:ascii="Book Antiqua" w:hAnsi="Book Antiqua"/>
        </w:rPr>
      </w:pPr>
    </w:p>
    <w:p w14:paraId="084F8447" w14:textId="71391D2E" w:rsidR="00A77B3E" w:rsidRPr="00C25019" w:rsidRDefault="00CC3306" w:rsidP="00C25019">
      <w:pPr>
        <w:snapToGrid w:val="0"/>
        <w:spacing w:line="360" w:lineRule="auto"/>
        <w:jc w:val="both"/>
        <w:rPr>
          <w:rFonts w:ascii="Book Antiqua" w:hAnsi="Book Antiqua"/>
        </w:rPr>
      </w:pPr>
      <w:bookmarkStart w:id="0" w:name="OLE_LINK37"/>
      <w:bookmarkStart w:id="1" w:name="OLE_LINK38"/>
      <w:bookmarkStart w:id="2" w:name="OLE_LINK3"/>
      <w:bookmarkStart w:id="3" w:name="OLE_LINK8"/>
      <w:r w:rsidRPr="00C25019">
        <w:rPr>
          <w:rFonts w:ascii="Book Antiqua" w:eastAsia="Book Antiqua" w:hAnsi="Book Antiqua" w:cs="Book Antiqua"/>
          <w:b/>
          <w:color w:val="000000"/>
        </w:rPr>
        <w:t xml:space="preserve">Amelioration of cognitive impairment following growth hormone replacement therapy: </w:t>
      </w:r>
      <w:r w:rsidR="003627D9" w:rsidRPr="00C25019">
        <w:rPr>
          <w:rFonts w:ascii="Book Antiqua" w:eastAsia="Book Antiqua" w:hAnsi="Book Antiqua" w:cs="Book Antiqua"/>
          <w:b/>
          <w:color w:val="000000"/>
        </w:rPr>
        <w:t>A case report and review of literature</w:t>
      </w:r>
    </w:p>
    <w:bookmarkEnd w:id="0"/>
    <w:bookmarkEnd w:id="1"/>
    <w:bookmarkEnd w:id="2"/>
    <w:bookmarkEnd w:id="3"/>
    <w:p w14:paraId="6D925AC7" w14:textId="77777777" w:rsidR="00A77B3E" w:rsidRPr="00C25019" w:rsidRDefault="00A77B3E" w:rsidP="00C25019">
      <w:pPr>
        <w:snapToGrid w:val="0"/>
        <w:spacing w:line="360" w:lineRule="auto"/>
        <w:jc w:val="both"/>
        <w:rPr>
          <w:rFonts w:ascii="Book Antiqua" w:hAnsi="Book Antiqua"/>
        </w:rPr>
      </w:pPr>
    </w:p>
    <w:p w14:paraId="22B16CF8" w14:textId="5590E35D" w:rsidR="00A77B3E" w:rsidRPr="00C25019" w:rsidRDefault="002C0CEF"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Liu JT </w:t>
      </w:r>
      <w:r w:rsidRPr="00C25019">
        <w:rPr>
          <w:rFonts w:ascii="Book Antiqua" w:eastAsia="Book Antiqua" w:hAnsi="Book Antiqua" w:cs="Book Antiqua"/>
          <w:i/>
          <w:iCs/>
          <w:color w:val="000000"/>
        </w:rPr>
        <w:t>et al</w:t>
      </w:r>
      <w:r w:rsidRPr="00C25019">
        <w:rPr>
          <w:rFonts w:ascii="Book Antiqua" w:eastAsia="Book Antiqua" w:hAnsi="Book Antiqua" w:cs="Book Antiqua"/>
          <w:color w:val="000000"/>
        </w:rPr>
        <w:t xml:space="preserve">. </w:t>
      </w:r>
      <w:bookmarkStart w:id="4" w:name="OLE_LINK9"/>
      <w:bookmarkStart w:id="5" w:name="OLE_LINK10"/>
      <w:r w:rsidR="00CC3306" w:rsidRPr="00C25019">
        <w:rPr>
          <w:rFonts w:ascii="Book Antiqua" w:eastAsia="Book Antiqua" w:hAnsi="Book Antiqua" w:cs="Book Antiqua"/>
          <w:color w:val="000000"/>
        </w:rPr>
        <w:t>Neurological improvements following GHRT</w:t>
      </w:r>
    </w:p>
    <w:bookmarkEnd w:id="4"/>
    <w:bookmarkEnd w:id="5"/>
    <w:p w14:paraId="326F3B15" w14:textId="77777777" w:rsidR="0042155F" w:rsidRPr="00C25019" w:rsidRDefault="0042155F" w:rsidP="00C25019">
      <w:pPr>
        <w:snapToGrid w:val="0"/>
        <w:spacing w:line="360" w:lineRule="auto"/>
        <w:jc w:val="both"/>
        <w:rPr>
          <w:rFonts w:ascii="Book Antiqua" w:hAnsi="Book Antiqua"/>
        </w:rPr>
      </w:pPr>
    </w:p>
    <w:p w14:paraId="3E81144E" w14:textId="67C91724" w:rsidR="00A77B3E" w:rsidRPr="00C25019" w:rsidRDefault="00A730BB" w:rsidP="00C25019">
      <w:pPr>
        <w:snapToGrid w:val="0"/>
        <w:spacing w:line="360" w:lineRule="auto"/>
        <w:jc w:val="both"/>
        <w:rPr>
          <w:rFonts w:ascii="Book Antiqua" w:hAnsi="Book Antiqua"/>
        </w:rPr>
      </w:pPr>
      <w:r>
        <w:rPr>
          <w:rFonts w:ascii="Book Antiqua" w:hAnsi="Book Antiqua"/>
          <w:color w:val="000000" w:themeColor="text1"/>
        </w:rPr>
        <w:t>Jung-Tung</w:t>
      </w:r>
      <w:r w:rsidR="0042155F" w:rsidRPr="00C25019">
        <w:rPr>
          <w:rFonts w:ascii="Book Antiqua" w:hAnsi="Book Antiqua"/>
        </w:rPr>
        <w:t xml:space="preserve"> Liu, </w:t>
      </w:r>
      <w:r w:rsidRPr="00537478">
        <w:rPr>
          <w:rFonts w:ascii="Book Antiqua" w:hAnsi="Book Antiqua"/>
          <w:color w:val="000000" w:themeColor="text1"/>
        </w:rPr>
        <w:t>Pen-Hua</w:t>
      </w:r>
      <w:r w:rsidR="0042155F" w:rsidRPr="00C25019">
        <w:rPr>
          <w:rFonts w:ascii="Book Antiqua" w:hAnsi="Book Antiqua"/>
        </w:rPr>
        <w:t xml:space="preserve"> Su</w:t>
      </w:r>
    </w:p>
    <w:p w14:paraId="08E9CE98" w14:textId="77777777" w:rsidR="0042155F" w:rsidRPr="00C25019" w:rsidRDefault="0042155F" w:rsidP="00C25019">
      <w:pPr>
        <w:snapToGrid w:val="0"/>
        <w:spacing w:line="360" w:lineRule="auto"/>
        <w:jc w:val="both"/>
        <w:rPr>
          <w:rFonts w:ascii="Book Antiqua" w:hAnsi="Book Antiqua"/>
        </w:rPr>
      </w:pPr>
    </w:p>
    <w:p w14:paraId="78F4B9B7" w14:textId="508E62F6" w:rsidR="00A77B3E" w:rsidRPr="00C25019" w:rsidRDefault="00A730BB" w:rsidP="00C25019">
      <w:pPr>
        <w:snapToGrid w:val="0"/>
        <w:spacing w:line="360" w:lineRule="auto"/>
        <w:jc w:val="both"/>
        <w:rPr>
          <w:rFonts w:ascii="Book Antiqua" w:hAnsi="Book Antiqua"/>
        </w:rPr>
      </w:pPr>
      <w:r w:rsidRPr="007C219C">
        <w:rPr>
          <w:rFonts w:ascii="Book Antiqua" w:hAnsi="Book Antiqua"/>
          <w:b/>
          <w:color w:val="000000" w:themeColor="text1"/>
        </w:rPr>
        <w:t>Jung-Tung</w:t>
      </w:r>
      <w:r w:rsidR="00CC3306" w:rsidRPr="00C25019">
        <w:rPr>
          <w:rFonts w:ascii="Book Antiqua" w:eastAsia="Book Antiqua" w:hAnsi="Book Antiqua" w:cs="Book Antiqua"/>
          <w:b/>
          <w:bCs/>
          <w:color w:val="000000"/>
        </w:rPr>
        <w:t xml:space="preserve"> Liu, </w:t>
      </w:r>
      <w:r w:rsidR="00CC3306" w:rsidRPr="00C25019">
        <w:rPr>
          <w:rFonts w:ascii="Book Antiqua" w:eastAsia="Book Antiqua" w:hAnsi="Book Antiqua" w:cs="Book Antiqua"/>
          <w:color w:val="000000"/>
        </w:rPr>
        <w:t>Department of Neurosurgery, Chung Shan Medical University Hospital, Taichung 40201, Taiwan</w:t>
      </w:r>
    </w:p>
    <w:p w14:paraId="5F85A953" w14:textId="77777777" w:rsidR="00A77B3E" w:rsidRPr="00C25019" w:rsidRDefault="00A77B3E" w:rsidP="00C25019">
      <w:pPr>
        <w:snapToGrid w:val="0"/>
        <w:spacing w:line="360" w:lineRule="auto"/>
        <w:jc w:val="both"/>
        <w:rPr>
          <w:rFonts w:ascii="Book Antiqua" w:hAnsi="Book Antiqua"/>
        </w:rPr>
      </w:pPr>
    </w:p>
    <w:p w14:paraId="25BDBB22" w14:textId="5C3EEFB9" w:rsidR="00A77B3E" w:rsidRPr="00C25019" w:rsidRDefault="00A730BB" w:rsidP="00C25019">
      <w:pPr>
        <w:snapToGrid w:val="0"/>
        <w:spacing w:line="360" w:lineRule="auto"/>
        <w:jc w:val="both"/>
        <w:rPr>
          <w:rFonts w:ascii="Book Antiqua" w:hAnsi="Book Antiqua"/>
        </w:rPr>
      </w:pPr>
      <w:r w:rsidRPr="007C219C">
        <w:rPr>
          <w:rFonts w:ascii="Book Antiqua" w:hAnsi="Book Antiqua"/>
          <w:b/>
          <w:color w:val="000000" w:themeColor="text1"/>
        </w:rPr>
        <w:t>Jung-Tung</w:t>
      </w:r>
      <w:r w:rsidR="0042155F" w:rsidRPr="00C25019">
        <w:rPr>
          <w:rFonts w:ascii="Book Antiqua" w:eastAsia="Book Antiqua" w:hAnsi="Book Antiqua" w:cs="Book Antiqua"/>
          <w:b/>
          <w:bCs/>
          <w:color w:val="000000"/>
        </w:rPr>
        <w:t xml:space="preserve"> Liu, </w:t>
      </w:r>
      <w:r w:rsidRPr="007C219C">
        <w:rPr>
          <w:rFonts w:ascii="Book Antiqua" w:hAnsi="Book Antiqua"/>
          <w:b/>
          <w:color w:val="000000" w:themeColor="text1"/>
        </w:rPr>
        <w:t>Pen-Hua</w:t>
      </w:r>
      <w:r w:rsidR="0042155F" w:rsidRPr="00C25019">
        <w:rPr>
          <w:rFonts w:ascii="Book Antiqua" w:eastAsia="Book Antiqua" w:hAnsi="Book Antiqua" w:cs="Book Antiqua"/>
          <w:b/>
          <w:bCs/>
          <w:color w:val="000000"/>
        </w:rPr>
        <w:t xml:space="preserve"> Su</w:t>
      </w:r>
      <w:r w:rsidR="00CC3306" w:rsidRPr="00C25019">
        <w:rPr>
          <w:rFonts w:ascii="Book Antiqua" w:eastAsia="Book Antiqua" w:hAnsi="Book Antiqua" w:cs="Book Antiqua"/>
          <w:b/>
          <w:bCs/>
          <w:color w:val="000000"/>
        </w:rPr>
        <w:t xml:space="preserve">, </w:t>
      </w:r>
      <w:r w:rsidR="0042155F" w:rsidRPr="00C25019">
        <w:rPr>
          <w:rFonts w:ascii="Book Antiqua" w:eastAsia="Book Antiqua" w:hAnsi="Book Antiqua" w:cs="Book Antiqua"/>
          <w:color w:val="000000"/>
        </w:rPr>
        <w:t>Department of</w:t>
      </w:r>
      <w:r w:rsidR="0042155F" w:rsidRPr="00C25019">
        <w:rPr>
          <w:rFonts w:ascii="Book Antiqua" w:eastAsia="Book Antiqua" w:hAnsi="Book Antiqua" w:cs="Book Antiqua"/>
          <w:b/>
          <w:bCs/>
          <w:color w:val="000000"/>
        </w:rPr>
        <w:t xml:space="preserve"> </w:t>
      </w:r>
      <w:r w:rsidR="00CC3306" w:rsidRPr="00C25019">
        <w:rPr>
          <w:rFonts w:ascii="Book Antiqua" w:eastAsia="Book Antiqua" w:hAnsi="Book Antiqua" w:cs="Book Antiqua"/>
          <w:color w:val="000000"/>
        </w:rPr>
        <w:t>School of Medicine, Chung-Shan Medical University, Taichung 40201, Taiwan</w:t>
      </w:r>
    </w:p>
    <w:p w14:paraId="7AC0C2FE" w14:textId="77777777" w:rsidR="00A77B3E" w:rsidRPr="00C25019" w:rsidRDefault="00A77B3E" w:rsidP="00C25019">
      <w:pPr>
        <w:snapToGrid w:val="0"/>
        <w:spacing w:line="360" w:lineRule="auto"/>
        <w:jc w:val="both"/>
        <w:rPr>
          <w:rFonts w:ascii="Book Antiqua" w:hAnsi="Book Antiqua"/>
        </w:rPr>
      </w:pPr>
    </w:p>
    <w:p w14:paraId="50057A97" w14:textId="01B33537" w:rsidR="00A77B3E" w:rsidRPr="00C25019" w:rsidRDefault="00A730BB" w:rsidP="00C25019">
      <w:pPr>
        <w:snapToGrid w:val="0"/>
        <w:spacing w:line="360" w:lineRule="auto"/>
        <w:jc w:val="both"/>
        <w:rPr>
          <w:rFonts w:ascii="Book Antiqua" w:hAnsi="Book Antiqua"/>
        </w:rPr>
      </w:pPr>
      <w:r w:rsidRPr="007C219C">
        <w:rPr>
          <w:rFonts w:ascii="Book Antiqua" w:hAnsi="Book Antiqua"/>
          <w:b/>
          <w:color w:val="000000" w:themeColor="text1"/>
        </w:rPr>
        <w:t>Pen-Hua</w:t>
      </w:r>
      <w:r w:rsidR="00CC3306" w:rsidRPr="00C25019">
        <w:rPr>
          <w:rFonts w:ascii="Book Antiqua" w:eastAsia="Book Antiqua" w:hAnsi="Book Antiqua" w:cs="Book Antiqua"/>
          <w:b/>
          <w:bCs/>
          <w:color w:val="000000"/>
        </w:rPr>
        <w:t xml:space="preserve"> Su, </w:t>
      </w:r>
      <w:r w:rsidR="00CC3306" w:rsidRPr="00C25019">
        <w:rPr>
          <w:rFonts w:ascii="Book Antiqua" w:eastAsia="Book Antiqua" w:hAnsi="Book Antiqua" w:cs="Book Antiqua"/>
          <w:color w:val="000000"/>
        </w:rPr>
        <w:t>Department of Pediatrics and Genetics, Chung Shan Medical University Hospital, Taichung 40201, Taiwan</w:t>
      </w:r>
    </w:p>
    <w:p w14:paraId="7D3CD77B" w14:textId="77777777" w:rsidR="00A77B3E" w:rsidRPr="00C25019" w:rsidRDefault="00A77B3E" w:rsidP="00C25019">
      <w:pPr>
        <w:snapToGrid w:val="0"/>
        <w:spacing w:line="360" w:lineRule="auto"/>
        <w:jc w:val="both"/>
        <w:rPr>
          <w:rFonts w:ascii="Book Antiqua" w:hAnsi="Book Antiqua"/>
        </w:rPr>
      </w:pPr>
    </w:p>
    <w:p w14:paraId="222387B7" w14:textId="5BF2ED4C"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Author contributions: </w:t>
      </w:r>
      <w:bookmarkStart w:id="6" w:name="OLE_LINK11"/>
      <w:bookmarkStart w:id="7" w:name="OLE_LINK12"/>
      <w:r w:rsidRPr="00C25019">
        <w:rPr>
          <w:rFonts w:ascii="Book Antiqua" w:eastAsia="Book Antiqua" w:hAnsi="Book Antiqua" w:cs="Book Antiqua"/>
          <w:color w:val="000000"/>
        </w:rPr>
        <w:t>Liu JT was the neurosurgeon of t</w:t>
      </w:r>
      <w:r w:rsidR="00905647" w:rsidRPr="00C25019">
        <w:rPr>
          <w:rFonts w:ascii="Book Antiqua" w:eastAsia="Book Antiqua" w:hAnsi="Book Antiqua" w:cs="Book Antiqua"/>
          <w:color w:val="000000"/>
        </w:rPr>
        <w:t>he patient</w:t>
      </w:r>
      <w:r w:rsidR="00905647" w:rsidRPr="00C25019">
        <w:rPr>
          <w:rFonts w:ascii="Book Antiqua" w:hAnsi="Book Antiqua" w:cs="Book Antiqua"/>
          <w:color w:val="000000"/>
          <w:lang w:eastAsia="zh-CN"/>
        </w:rPr>
        <w:t>.</w:t>
      </w:r>
      <w:r w:rsidRPr="00C25019">
        <w:rPr>
          <w:rFonts w:ascii="Book Antiqua" w:eastAsia="Book Antiqua" w:hAnsi="Book Antiqua" w:cs="Book Antiqua"/>
          <w:color w:val="000000"/>
        </w:rPr>
        <w:t xml:space="preserve"> Both the authors collected the patients’ clinical data, reviewed the literature, drafted and revised the manuscript, and approved the final version to be submitted.</w:t>
      </w:r>
    </w:p>
    <w:bookmarkEnd w:id="6"/>
    <w:bookmarkEnd w:id="7"/>
    <w:p w14:paraId="481A3F09" w14:textId="77777777" w:rsidR="00A77B3E" w:rsidRPr="00C25019" w:rsidRDefault="00A77B3E" w:rsidP="00C25019">
      <w:pPr>
        <w:snapToGrid w:val="0"/>
        <w:spacing w:line="360" w:lineRule="auto"/>
        <w:jc w:val="both"/>
        <w:rPr>
          <w:rFonts w:ascii="Book Antiqua" w:hAnsi="Book Antiqua"/>
        </w:rPr>
      </w:pPr>
    </w:p>
    <w:p w14:paraId="31F12805" w14:textId="6141D278"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Corresponding author: </w:t>
      </w:r>
      <w:r w:rsidR="00A730BB" w:rsidRPr="007C219C">
        <w:rPr>
          <w:rFonts w:ascii="Book Antiqua" w:hAnsi="Book Antiqua"/>
          <w:b/>
          <w:color w:val="000000" w:themeColor="text1"/>
        </w:rPr>
        <w:t>Pen-Hua</w:t>
      </w:r>
      <w:r w:rsidRPr="00C25019">
        <w:rPr>
          <w:rFonts w:ascii="Book Antiqua" w:eastAsia="Book Antiqua" w:hAnsi="Book Antiqua" w:cs="Book Antiqua"/>
          <w:b/>
          <w:bCs/>
          <w:color w:val="000000"/>
        </w:rPr>
        <w:t xml:space="preserve"> Su, MD, PhD, Professor, </w:t>
      </w:r>
      <w:r w:rsidRPr="00C25019">
        <w:rPr>
          <w:rFonts w:ascii="Book Antiqua" w:eastAsia="Book Antiqua" w:hAnsi="Book Antiqua" w:cs="Book Antiqua"/>
          <w:color w:val="000000"/>
        </w:rPr>
        <w:t>Department of Pediatrics and Genetics, Chung Shan Medical University Hospital, No. 110</w:t>
      </w:r>
      <w:r w:rsidR="006E79FC">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Section 1, Jianguo North Road, South District, Taichung 40201, Taiwan. </w:t>
      </w:r>
      <w:r w:rsidRPr="006E79FC">
        <w:rPr>
          <w:rFonts w:ascii="Book Antiqua" w:eastAsia="Book Antiqua" w:hAnsi="Book Antiqua" w:cs="Book Antiqua"/>
          <w:color w:val="000000"/>
        </w:rPr>
        <w:t>jen@csh.org.tw</w:t>
      </w:r>
    </w:p>
    <w:p w14:paraId="0B9902F0" w14:textId="77777777" w:rsidR="00A77B3E" w:rsidRPr="00C25019" w:rsidRDefault="00A77B3E" w:rsidP="00C25019">
      <w:pPr>
        <w:snapToGrid w:val="0"/>
        <w:spacing w:line="360" w:lineRule="auto"/>
        <w:jc w:val="both"/>
        <w:rPr>
          <w:rFonts w:ascii="Book Antiqua" w:hAnsi="Book Antiqua"/>
        </w:rPr>
      </w:pPr>
    </w:p>
    <w:p w14:paraId="081270BB"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lastRenderedPageBreak/>
        <w:t xml:space="preserve">Received: </w:t>
      </w:r>
      <w:r w:rsidRPr="00C25019">
        <w:rPr>
          <w:rFonts w:ascii="Book Antiqua" w:eastAsia="Book Antiqua" w:hAnsi="Book Antiqua" w:cs="Book Antiqua"/>
          <w:color w:val="000000"/>
        </w:rPr>
        <w:t>September 7, 2020</w:t>
      </w:r>
    </w:p>
    <w:p w14:paraId="467B6A9C" w14:textId="261E413C"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Revised: </w:t>
      </w:r>
      <w:r w:rsidR="00905647" w:rsidRPr="00C25019">
        <w:rPr>
          <w:rFonts w:ascii="Book Antiqua" w:eastAsia="Book Antiqua" w:hAnsi="Book Antiqua" w:cs="Book Antiqua"/>
          <w:color w:val="000000"/>
        </w:rPr>
        <w:t>September 30, 2020</w:t>
      </w:r>
    </w:p>
    <w:p w14:paraId="07B5B0C0" w14:textId="365D673B"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Accepted: </w:t>
      </w:r>
      <w:r w:rsidR="00EE1128" w:rsidRPr="00EE1128">
        <w:rPr>
          <w:rFonts w:ascii="Book Antiqua" w:eastAsia="Book Antiqua" w:hAnsi="Book Antiqua" w:cs="Book Antiqua"/>
          <w:color w:val="000000"/>
        </w:rPr>
        <w:t>October 20, 2020</w:t>
      </w:r>
    </w:p>
    <w:p w14:paraId="604A7390" w14:textId="0781B0BB"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Published online: </w:t>
      </w:r>
      <w:r w:rsidR="00485BB8" w:rsidRPr="0060328B">
        <w:rPr>
          <w:rFonts w:ascii="Book Antiqua" w:eastAsia="Book Antiqua" w:hAnsi="Book Antiqua" w:cs="Book Antiqua"/>
          <w:color w:val="000000" w:themeColor="text1"/>
        </w:rPr>
        <w:t>November 26, 2020</w:t>
      </w:r>
    </w:p>
    <w:p w14:paraId="234055E6" w14:textId="77777777" w:rsidR="00A77B3E" w:rsidRPr="00C25019" w:rsidRDefault="00A77B3E" w:rsidP="00C25019">
      <w:pPr>
        <w:snapToGrid w:val="0"/>
        <w:spacing w:line="360" w:lineRule="auto"/>
        <w:jc w:val="both"/>
        <w:rPr>
          <w:rFonts w:ascii="Book Antiqua" w:hAnsi="Book Antiqua"/>
        </w:rPr>
        <w:sectPr w:rsidR="00A77B3E" w:rsidRPr="00C25019" w:rsidSect="00581185">
          <w:footerReference w:type="default" r:id="rId8"/>
          <w:pgSz w:w="12240" w:h="15840"/>
          <w:pgMar w:top="1440" w:right="1800" w:bottom="1440" w:left="1800" w:header="720" w:footer="720" w:gutter="0"/>
          <w:cols w:space="720"/>
          <w:docGrid w:linePitch="360"/>
        </w:sectPr>
      </w:pPr>
    </w:p>
    <w:p w14:paraId="762C1252"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Abstract</w:t>
      </w:r>
    </w:p>
    <w:p w14:paraId="13C7D5B8"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BACKGROUND</w:t>
      </w:r>
    </w:p>
    <w:p w14:paraId="745EA61E" w14:textId="746CDCDC" w:rsidR="00A77B3E" w:rsidRPr="00C25019" w:rsidRDefault="00CC3306" w:rsidP="00C25019">
      <w:pPr>
        <w:snapToGrid w:val="0"/>
        <w:spacing w:line="360" w:lineRule="auto"/>
        <w:jc w:val="both"/>
        <w:rPr>
          <w:rFonts w:ascii="Book Antiqua" w:hAnsi="Book Antiqua"/>
        </w:rPr>
      </w:pPr>
      <w:bookmarkStart w:id="8" w:name="OLE_LINK23"/>
      <w:bookmarkStart w:id="9" w:name="OLE_LINK24"/>
      <w:r w:rsidRPr="00C25019">
        <w:rPr>
          <w:rFonts w:ascii="Book Antiqua" w:eastAsia="Book Antiqua" w:hAnsi="Book Antiqua" w:cs="Book Antiqua"/>
          <w:color w:val="000000"/>
          <w:shd w:val="clear" w:color="auto" w:fill="FCFCFC"/>
        </w:rPr>
        <w:t>Stroke is one of the leading causes of death and disability worldwide. In patients suffering from strokes and other acute brain injuries, the prevalence of pituitary dysfunction is high, and growth hormone deficiency is commonly found. Previous studies have demonstrated that administration of recombinant human growth hormone</w:t>
      </w:r>
      <w:r w:rsidR="005F6E17" w:rsidRPr="00C25019">
        <w:rPr>
          <w:rFonts w:ascii="Book Antiqua" w:eastAsia="Book Antiqua" w:hAnsi="Book Antiqua" w:cs="Book Antiqua"/>
          <w:color w:val="000000"/>
          <w:shd w:val="clear" w:color="auto" w:fill="FCFCFC"/>
        </w:rPr>
        <w:t xml:space="preserve"> </w:t>
      </w:r>
      <w:r w:rsidRPr="00C25019">
        <w:rPr>
          <w:rFonts w:ascii="Book Antiqua" w:eastAsia="Book Antiqua" w:hAnsi="Book Antiqua" w:cs="Book Antiqua"/>
          <w:color w:val="000000"/>
          <w:shd w:val="clear" w:color="auto" w:fill="FCFCFC"/>
        </w:rPr>
        <w:t>provides adult growth hormone deficiency (AGHD) patients with beneficial effects such as improving body compositions and quality of life. Nevertheless, other physiological benefits of growth hormone substitution are still controversial and inconclusive.</w:t>
      </w:r>
    </w:p>
    <w:bookmarkEnd w:id="8"/>
    <w:bookmarkEnd w:id="9"/>
    <w:p w14:paraId="6E17C887" w14:textId="77777777" w:rsidR="00A77B3E" w:rsidRPr="00C25019" w:rsidRDefault="00A77B3E" w:rsidP="00C25019">
      <w:pPr>
        <w:snapToGrid w:val="0"/>
        <w:spacing w:line="360" w:lineRule="auto"/>
        <w:jc w:val="both"/>
        <w:rPr>
          <w:rFonts w:ascii="Book Antiqua" w:hAnsi="Book Antiqua"/>
        </w:rPr>
      </w:pPr>
    </w:p>
    <w:p w14:paraId="2174D828"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CASE SUMMARY</w:t>
      </w:r>
    </w:p>
    <w:p w14:paraId="1A954CC7" w14:textId="4449A44B" w:rsidR="00A77B3E" w:rsidRPr="00C25019" w:rsidRDefault="00CC3306" w:rsidP="00C25019">
      <w:pPr>
        <w:snapToGrid w:val="0"/>
        <w:spacing w:line="360" w:lineRule="auto"/>
        <w:jc w:val="both"/>
        <w:rPr>
          <w:rFonts w:ascii="Book Antiqua" w:hAnsi="Book Antiqua"/>
        </w:rPr>
      </w:pPr>
      <w:bookmarkStart w:id="10" w:name="OLE_LINK25"/>
      <w:bookmarkStart w:id="11" w:name="OLE_LINK26"/>
      <w:bookmarkStart w:id="12" w:name="OLE_LINK13"/>
      <w:r w:rsidRPr="00C25019">
        <w:rPr>
          <w:rFonts w:ascii="Book Antiqua" w:eastAsia="Book Antiqua" w:hAnsi="Book Antiqua" w:cs="Book Antiqua"/>
          <w:color w:val="000000"/>
        </w:rPr>
        <w:t xml:space="preserve">A female with a history of hypertension suffered intracranial hemorrhage, intraventricular hemorrhage, and hydrocephalus at 56 years of age. Her mobility, fluency of speech, and mentality were impaired ever since the event occurred. After five years, the 61-year-old patient was further diagnosed with AGHD and received six-month </w:t>
      </w:r>
      <w:bookmarkStart w:id="13" w:name="_Hlk52629650"/>
      <w:r w:rsidRPr="00C25019">
        <w:rPr>
          <w:rFonts w:ascii="Book Antiqua" w:eastAsia="Book Antiqua" w:hAnsi="Book Antiqua" w:cs="Book Antiqua"/>
          <w:color w:val="000000"/>
        </w:rPr>
        <w:t>growth hormone replacement therapy</w:t>
      </w:r>
      <w:bookmarkEnd w:id="13"/>
      <w:r w:rsidRPr="00C25019">
        <w:rPr>
          <w:rFonts w:ascii="Book Antiqua" w:eastAsia="Book Antiqua" w:hAnsi="Book Antiqua" w:cs="Book Antiqua"/>
          <w:color w:val="000000"/>
        </w:rPr>
        <w:t xml:space="preserve"> (GHRT). After six months of GHRT, the patient’s body composition was improved. A substantial improvement in Mini-Mental State Examination score was also observed, accompanying with ameliorations in mobility, fluency of speech, and mentality.</w:t>
      </w:r>
    </w:p>
    <w:bookmarkEnd w:id="10"/>
    <w:bookmarkEnd w:id="11"/>
    <w:bookmarkEnd w:id="12"/>
    <w:p w14:paraId="6CAF2464" w14:textId="77777777" w:rsidR="00A77B3E" w:rsidRPr="00C25019" w:rsidRDefault="00A77B3E" w:rsidP="00C25019">
      <w:pPr>
        <w:snapToGrid w:val="0"/>
        <w:spacing w:line="360" w:lineRule="auto"/>
        <w:jc w:val="both"/>
        <w:rPr>
          <w:rFonts w:ascii="Book Antiqua" w:hAnsi="Book Antiqua"/>
        </w:rPr>
      </w:pPr>
    </w:p>
    <w:p w14:paraId="1613EFB7"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CONCLUSION</w:t>
      </w:r>
    </w:p>
    <w:p w14:paraId="15DFFBCD" w14:textId="77777777" w:rsidR="00A77B3E" w:rsidRPr="00C25019" w:rsidRDefault="00CC3306" w:rsidP="00C25019">
      <w:pPr>
        <w:snapToGrid w:val="0"/>
        <w:spacing w:line="360" w:lineRule="auto"/>
        <w:jc w:val="both"/>
        <w:rPr>
          <w:rFonts w:ascii="Book Antiqua" w:hAnsi="Book Antiqua"/>
        </w:rPr>
      </w:pPr>
      <w:bookmarkStart w:id="14" w:name="OLE_LINK14"/>
      <w:bookmarkStart w:id="15" w:name="OLE_LINK15"/>
      <w:r w:rsidRPr="00C25019">
        <w:rPr>
          <w:rFonts w:ascii="Book Antiqua" w:eastAsia="Book Antiqua" w:hAnsi="Book Antiqua" w:cs="Book Antiqua"/>
          <w:color w:val="000000"/>
          <w:shd w:val="clear" w:color="auto" w:fill="FFFFFF"/>
        </w:rPr>
        <w:t>In addition to improvements in body composition, GHRT for AGHD may provide further beneficial effects in patients with cognitive or motor impairments due to intracerebral hemorrhage.</w:t>
      </w:r>
    </w:p>
    <w:bookmarkEnd w:id="14"/>
    <w:bookmarkEnd w:id="15"/>
    <w:p w14:paraId="4CCBA36A" w14:textId="77777777" w:rsidR="00A77B3E" w:rsidRPr="00C25019" w:rsidRDefault="00A77B3E" w:rsidP="00C25019">
      <w:pPr>
        <w:snapToGrid w:val="0"/>
        <w:spacing w:line="360" w:lineRule="auto"/>
        <w:jc w:val="both"/>
        <w:rPr>
          <w:rFonts w:ascii="Book Antiqua" w:hAnsi="Book Antiqua"/>
        </w:rPr>
      </w:pPr>
    </w:p>
    <w:p w14:paraId="3B48FF56" w14:textId="0122624D"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Key Words: </w:t>
      </w:r>
      <w:bookmarkStart w:id="16" w:name="OLE_LINK35"/>
      <w:bookmarkStart w:id="17" w:name="OLE_LINK36"/>
      <w:r w:rsidR="0042155F" w:rsidRPr="00C25019">
        <w:rPr>
          <w:rFonts w:ascii="Book Antiqua" w:eastAsia="Book Antiqua" w:hAnsi="Book Antiqua" w:cs="Book Antiqua"/>
          <w:color w:val="000000"/>
        </w:rPr>
        <w:t>C</w:t>
      </w:r>
      <w:r w:rsidRPr="00C25019">
        <w:rPr>
          <w:rFonts w:ascii="Book Antiqua" w:eastAsia="Book Antiqua" w:hAnsi="Book Antiqua" w:cs="Book Antiqua"/>
          <w:color w:val="000000"/>
        </w:rPr>
        <w:t xml:space="preserve">erebral hemorrhage; </w:t>
      </w:r>
      <w:r w:rsidR="0042155F" w:rsidRPr="00C25019">
        <w:rPr>
          <w:rFonts w:ascii="Book Antiqua" w:eastAsia="Book Antiqua" w:hAnsi="Book Antiqua" w:cs="Book Antiqua"/>
          <w:color w:val="000000"/>
        </w:rPr>
        <w:t>G</w:t>
      </w:r>
      <w:r w:rsidRPr="00C25019">
        <w:rPr>
          <w:rFonts w:ascii="Book Antiqua" w:eastAsia="Book Antiqua" w:hAnsi="Book Antiqua" w:cs="Book Antiqua"/>
          <w:color w:val="000000"/>
        </w:rPr>
        <w:t xml:space="preserve">rowth hormone; </w:t>
      </w:r>
      <w:r w:rsidR="0042155F" w:rsidRPr="00C25019">
        <w:rPr>
          <w:rFonts w:ascii="Book Antiqua" w:eastAsia="Book Antiqua" w:hAnsi="Book Antiqua" w:cs="Book Antiqua"/>
          <w:color w:val="000000"/>
        </w:rPr>
        <w:t>C</w:t>
      </w:r>
      <w:r w:rsidRPr="00C25019">
        <w:rPr>
          <w:rFonts w:ascii="Book Antiqua" w:eastAsia="Book Antiqua" w:hAnsi="Book Antiqua" w:cs="Book Antiqua"/>
          <w:color w:val="000000"/>
        </w:rPr>
        <w:t xml:space="preserve">ognitive dysfunction; </w:t>
      </w:r>
      <w:r w:rsidR="0042155F" w:rsidRPr="00C25019">
        <w:rPr>
          <w:rFonts w:ascii="Book Antiqua" w:eastAsia="Book Antiqua" w:hAnsi="Book Antiqua" w:cs="Book Antiqua"/>
          <w:color w:val="000000"/>
        </w:rPr>
        <w:t>C</w:t>
      </w:r>
      <w:r w:rsidRPr="00C25019">
        <w:rPr>
          <w:rFonts w:ascii="Book Antiqua" w:eastAsia="Book Antiqua" w:hAnsi="Book Antiqua" w:cs="Book Antiqua"/>
          <w:color w:val="000000"/>
        </w:rPr>
        <w:t>ase report</w:t>
      </w:r>
    </w:p>
    <w:bookmarkEnd w:id="16"/>
    <w:bookmarkEnd w:id="17"/>
    <w:p w14:paraId="7A785A4F" w14:textId="77777777" w:rsidR="00A77B3E" w:rsidRPr="00C25019" w:rsidRDefault="00A77B3E" w:rsidP="00C25019">
      <w:pPr>
        <w:snapToGrid w:val="0"/>
        <w:spacing w:line="360" w:lineRule="auto"/>
        <w:jc w:val="both"/>
        <w:rPr>
          <w:rFonts w:ascii="Book Antiqua" w:hAnsi="Book Antiqua"/>
        </w:rPr>
      </w:pPr>
    </w:p>
    <w:p w14:paraId="4C775C3D" w14:textId="0C2CEBC3" w:rsidR="002C7D37" w:rsidRDefault="002C7D37" w:rsidP="00485BB8">
      <w:pPr>
        <w:adjustRightInd w:val="0"/>
        <w:snapToGrid w:val="0"/>
        <w:spacing w:line="360" w:lineRule="auto"/>
        <w:rPr>
          <w:rFonts w:ascii="Book Antiqua" w:hAnsi="Book Antiqua" w:cs="Book Antiqua" w:hint="eastAsia"/>
          <w:lang w:eastAsia="zh-CN"/>
        </w:rPr>
      </w:pPr>
      <w:bookmarkStart w:id="18" w:name="OLE_LINK4"/>
      <w:bookmarkStart w:id="19" w:name="OLE_LINK5"/>
      <w:r w:rsidRPr="002C7D37">
        <w:rPr>
          <w:rFonts w:ascii="Book Antiqua" w:hAnsi="Book Antiqua" w:cs="Book Antiqua" w:hint="eastAsia"/>
          <w:b/>
          <w:color w:val="000000"/>
          <w:lang w:eastAsia="zh-CN"/>
        </w:rPr>
        <w:t xml:space="preserve">Citation: </w:t>
      </w:r>
      <w:r w:rsidR="00CC3306" w:rsidRPr="00C25019">
        <w:rPr>
          <w:rFonts w:ascii="Book Antiqua" w:eastAsia="Book Antiqua" w:hAnsi="Book Antiqua" w:cs="Book Antiqua"/>
          <w:color w:val="000000"/>
        </w:rPr>
        <w:t xml:space="preserve">Liu JT, Su PH. </w:t>
      </w:r>
      <w:r w:rsidR="00905647" w:rsidRPr="00C25019">
        <w:rPr>
          <w:rFonts w:ascii="Book Antiqua" w:eastAsia="Book Antiqua" w:hAnsi="Book Antiqua" w:cs="Book Antiqua"/>
          <w:color w:val="000000"/>
        </w:rPr>
        <w:t>Amelioration of cognitive impairment following growth hormone replacement therapy: A case report and review of literature</w:t>
      </w:r>
      <w:r w:rsidR="00CC3306" w:rsidRPr="00C25019">
        <w:rPr>
          <w:rFonts w:ascii="Book Antiqua" w:eastAsia="Book Antiqua" w:hAnsi="Book Antiqua" w:cs="Book Antiqua"/>
          <w:color w:val="000000"/>
        </w:rPr>
        <w:t xml:space="preserve">. </w:t>
      </w:r>
      <w:r w:rsidR="00CC3306" w:rsidRPr="00C25019">
        <w:rPr>
          <w:rFonts w:ascii="Book Antiqua" w:eastAsia="Book Antiqua" w:hAnsi="Book Antiqua" w:cs="Book Antiqua"/>
          <w:i/>
          <w:iCs/>
          <w:color w:val="000000"/>
        </w:rPr>
        <w:t>World J Clin Cases</w:t>
      </w:r>
      <w:r w:rsidR="00CC3306" w:rsidRPr="00C25019">
        <w:rPr>
          <w:rFonts w:ascii="Book Antiqua" w:eastAsia="Book Antiqua" w:hAnsi="Book Antiqua" w:cs="Book Antiqua"/>
          <w:color w:val="000000"/>
        </w:rPr>
        <w:t xml:space="preserve"> </w:t>
      </w:r>
      <w:bookmarkEnd w:id="18"/>
      <w:bookmarkEnd w:id="19"/>
      <w:r w:rsidR="00485BB8" w:rsidRPr="00412AEB">
        <w:rPr>
          <w:rFonts w:ascii="Book Antiqua" w:eastAsia="Book Antiqua" w:hAnsi="Book Antiqua" w:cs="Book Antiqua"/>
        </w:rPr>
        <w:t>2020; 8(2</w:t>
      </w:r>
      <w:r w:rsidR="00485BB8">
        <w:rPr>
          <w:rFonts w:ascii="Book Antiqua" w:eastAsia="Book Antiqua" w:hAnsi="Book Antiqua" w:cs="Book Antiqua"/>
        </w:rPr>
        <w:t xml:space="preserve">2): </w:t>
      </w:r>
      <w:r w:rsidR="000B4E6E" w:rsidRPr="000B4E6E">
        <w:rPr>
          <w:rFonts w:ascii="Book Antiqua" w:eastAsia="Book Antiqua" w:hAnsi="Book Antiqua" w:cs="Book Antiqua"/>
        </w:rPr>
        <w:t>5773-5780</w:t>
      </w:r>
      <w:r w:rsidR="00485BB8" w:rsidRPr="00412AEB">
        <w:rPr>
          <w:rFonts w:ascii="Book Antiqua" w:eastAsia="Book Antiqua" w:hAnsi="Book Antiqua" w:cs="Book Antiqua"/>
        </w:rPr>
        <w:t xml:space="preserve">  </w:t>
      </w:r>
    </w:p>
    <w:p w14:paraId="132B48D4" w14:textId="1A1A753E" w:rsidR="002C7D37" w:rsidRDefault="00485BB8" w:rsidP="00485BB8">
      <w:pPr>
        <w:adjustRightInd w:val="0"/>
        <w:snapToGrid w:val="0"/>
        <w:spacing w:line="360" w:lineRule="auto"/>
        <w:rPr>
          <w:rFonts w:ascii="Book Antiqua" w:hAnsi="Book Antiqua" w:cs="Book Antiqua" w:hint="eastAsia"/>
          <w:lang w:eastAsia="zh-CN"/>
        </w:rPr>
      </w:pPr>
      <w:r w:rsidRPr="002C7D37">
        <w:rPr>
          <w:rFonts w:ascii="Book Antiqua" w:eastAsia="Book Antiqua" w:hAnsi="Book Antiqua" w:cs="Book Antiqua"/>
          <w:b/>
        </w:rPr>
        <w:t xml:space="preserve">URL: </w:t>
      </w:r>
      <w:r w:rsidRPr="00412AEB">
        <w:rPr>
          <w:rFonts w:ascii="Book Antiqua" w:eastAsia="Book Antiqua" w:hAnsi="Book Antiqua" w:cs="Book Antiqua"/>
        </w:rPr>
        <w:t>https://www.wjgnet.com/2307</w:t>
      </w:r>
      <w:r>
        <w:rPr>
          <w:rFonts w:ascii="Book Antiqua" w:eastAsia="Book Antiqua" w:hAnsi="Book Antiqua" w:cs="Book Antiqua"/>
        </w:rPr>
        <w:t>-</w:t>
      </w:r>
      <w:r w:rsidRPr="00412AEB">
        <w:rPr>
          <w:rFonts w:ascii="Book Antiqua" w:eastAsia="Book Antiqua" w:hAnsi="Book Antiqua" w:cs="Book Antiqua"/>
        </w:rPr>
        <w:t>960/full/v8/i22/</w:t>
      </w:r>
      <w:r w:rsidR="000B4E6E">
        <w:rPr>
          <w:rFonts w:ascii="Book Antiqua" w:hAnsi="Book Antiqua" w:cs="Book Antiqua" w:hint="eastAsia"/>
          <w:lang w:eastAsia="zh-CN"/>
        </w:rPr>
        <w:t>5773</w:t>
      </w:r>
      <w:r w:rsidRPr="00412AEB">
        <w:rPr>
          <w:rFonts w:ascii="Book Antiqua" w:eastAsia="Book Antiqua" w:hAnsi="Book Antiqua" w:cs="Book Antiqua"/>
        </w:rPr>
        <w:t xml:space="preserve">.htm  </w:t>
      </w:r>
    </w:p>
    <w:p w14:paraId="4F1C1BFD" w14:textId="7E959B65" w:rsidR="00485BB8" w:rsidRPr="000B4E6E" w:rsidRDefault="00485BB8" w:rsidP="00485BB8">
      <w:pPr>
        <w:adjustRightInd w:val="0"/>
        <w:snapToGrid w:val="0"/>
        <w:spacing w:line="360" w:lineRule="auto"/>
        <w:rPr>
          <w:rFonts w:ascii="Book Antiqua" w:hAnsi="Book Antiqua" w:cs="Book Antiqua" w:hint="eastAsia"/>
          <w:lang w:eastAsia="zh-CN"/>
        </w:rPr>
      </w:pPr>
      <w:bookmarkStart w:id="20" w:name="_GoBack"/>
      <w:r w:rsidRPr="002C7D37">
        <w:rPr>
          <w:rFonts w:ascii="Book Antiqua" w:eastAsia="Book Antiqua" w:hAnsi="Book Antiqua" w:cs="Book Antiqua"/>
          <w:b/>
        </w:rPr>
        <w:t>DOI:</w:t>
      </w:r>
      <w:bookmarkEnd w:id="20"/>
      <w:r w:rsidRPr="00412AEB">
        <w:rPr>
          <w:rFonts w:ascii="Book Antiqua" w:eastAsia="Book Antiqua" w:hAnsi="Book Antiqua" w:cs="Book Antiqua"/>
        </w:rPr>
        <w:t xml:space="preserve"> https://dx.doi.org/10.12998/wjcc.v8.i22.</w:t>
      </w:r>
      <w:r w:rsidR="000B4E6E">
        <w:rPr>
          <w:rFonts w:ascii="Book Antiqua" w:hAnsi="Book Antiqua" w:cs="Book Antiqua" w:hint="eastAsia"/>
          <w:lang w:eastAsia="zh-CN"/>
        </w:rPr>
        <w:t>5773</w:t>
      </w:r>
    </w:p>
    <w:p w14:paraId="4AC4A4DB" w14:textId="046A89C3" w:rsidR="00A77B3E" w:rsidRPr="00C25019" w:rsidRDefault="00A77B3E" w:rsidP="00C25019">
      <w:pPr>
        <w:snapToGrid w:val="0"/>
        <w:spacing w:line="360" w:lineRule="auto"/>
        <w:jc w:val="both"/>
        <w:rPr>
          <w:rFonts w:ascii="Book Antiqua" w:hAnsi="Book Antiqua"/>
        </w:rPr>
      </w:pPr>
    </w:p>
    <w:p w14:paraId="74F54457" w14:textId="5B7C4FAA"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Core Tip: </w:t>
      </w:r>
      <w:bookmarkStart w:id="21" w:name="OLE_LINK6"/>
      <w:bookmarkStart w:id="22" w:name="OLE_LINK7"/>
      <w:r w:rsidRPr="00C25019">
        <w:rPr>
          <w:rFonts w:ascii="Book Antiqua" w:eastAsia="Book Antiqua" w:hAnsi="Book Antiqua" w:cs="Book Antiqua"/>
          <w:color w:val="000000"/>
        </w:rPr>
        <w:t xml:space="preserve">We present a case report of a female patient suffered nontraumatic </w:t>
      </w:r>
      <w:bookmarkStart w:id="23" w:name="_Hlk52628621"/>
      <w:r w:rsidRPr="00C25019">
        <w:rPr>
          <w:rFonts w:ascii="Book Antiqua" w:eastAsia="Book Antiqua" w:hAnsi="Book Antiqua" w:cs="Book Antiqua"/>
          <w:color w:val="000000"/>
        </w:rPr>
        <w:t>intracerebral hemorrhage</w:t>
      </w:r>
      <w:bookmarkEnd w:id="23"/>
      <w:r w:rsidRPr="00C25019">
        <w:rPr>
          <w:rFonts w:ascii="Book Antiqua" w:eastAsia="Book Antiqua" w:hAnsi="Book Antiqua" w:cs="Book Antiqua"/>
          <w:color w:val="000000"/>
        </w:rPr>
        <w:t xml:space="preserve"> and was diagnosed with </w:t>
      </w:r>
      <w:bookmarkStart w:id="24" w:name="_Hlk52628665"/>
      <w:r w:rsidRPr="00C25019">
        <w:rPr>
          <w:rFonts w:ascii="Book Antiqua" w:eastAsia="Book Antiqua" w:hAnsi="Book Antiqua" w:cs="Book Antiqua"/>
          <w:color w:val="000000"/>
        </w:rPr>
        <w:t>adult growth hormone deficiency</w:t>
      </w:r>
      <w:bookmarkEnd w:id="24"/>
      <w:r w:rsidRPr="00C25019">
        <w:rPr>
          <w:rFonts w:ascii="Book Antiqua" w:eastAsia="Book Antiqua" w:hAnsi="Book Antiqua" w:cs="Book Antiqua"/>
          <w:color w:val="000000"/>
        </w:rPr>
        <w:t xml:space="preserve"> five years later. Unexpected improvements in cognitive function, fluency of speech, and mobility were observed after six months of growth hormone replacement therapy, suggesting that </w:t>
      </w:r>
      <w:r w:rsidR="0042155F" w:rsidRPr="00C25019">
        <w:rPr>
          <w:rFonts w:ascii="Book Antiqua" w:eastAsia="Book Antiqua" w:hAnsi="Book Antiqua" w:cs="Book Antiqua"/>
          <w:color w:val="000000"/>
        </w:rPr>
        <w:t>growth hormone replacement therapy</w:t>
      </w:r>
      <w:r w:rsidRPr="00C25019">
        <w:rPr>
          <w:rFonts w:ascii="Book Antiqua" w:eastAsia="Book Antiqua" w:hAnsi="Book Antiqua" w:cs="Book Antiqua"/>
          <w:color w:val="000000"/>
        </w:rPr>
        <w:t xml:space="preserve"> may provide further beneficial effects in </w:t>
      </w:r>
      <w:r w:rsidR="0042155F" w:rsidRPr="00C25019">
        <w:rPr>
          <w:rFonts w:ascii="Book Antiqua" w:eastAsia="Book Antiqua" w:hAnsi="Book Antiqua" w:cs="Book Antiqua"/>
          <w:color w:val="000000"/>
        </w:rPr>
        <w:t>adult growth hormone deficiency</w:t>
      </w:r>
      <w:r w:rsidRPr="00C25019">
        <w:rPr>
          <w:rFonts w:ascii="Book Antiqua" w:eastAsia="Book Antiqua" w:hAnsi="Book Antiqua" w:cs="Book Antiqua"/>
          <w:color w:val="000000"/>
        </w:rPr>
        <w:t xml:space="preserve"> patients with cognitive or motor impairments due to </w:t>
      </w:r>
      <w:r w:rsidR="0042155F" w:rsidRPr="00C25019">
        <w:rPr>
          <w:rFonts w:ascii="Book Antiqua" w:eastAsia="Book Antiqua" w:hAnsi="Book Antiqua" w:cs="Book Antiqua"/>
          <w:color w:val="000000"/>
        </w:rPr>
        <w:t>intracerebral hemorrhage</w:t>
      </w:r>
      <w:r w:rsidRPr="00C25019">
        <w:rPr>
          <w:rFonts w:ascii="Book Antiqua" w:eastAsia="Book Antiqua" w:hAnsi="Book Antiqua" w:cs="Book Antiqua"/>
          <w:color w:val="000000"/>
        </w:rPr>
        <w:t>.</w:t>
      </w:r>
    </w:p>
    <w:bookmarkEnd w:id="21"/>
    <w:bookmarkEnd w:id="22"/>
    <w:p w14:paraId="004BB532" w14:textId="77777777" w:rsidR="00A77B3E" w:rsidRPr="00C25019" w:rsidRDefault="00A77B3E" w:rsidP="00C25019">
      <w:pPr>
        <w:snapToGrid w:val="0"/>
        <w:spacing w:line="360" w:lineRule="auto"/>
        <w:jc w:val="both"/>
        <w:rPr>
          <w:rFonts w:ascii="Book Antiqua" w:hAnsi="Book Antiqua"/>
        </w:rPr>
      </w:pPr>
    </w:p>
    <w:p w14:paraId="7372EEBE" w14:textId="4B0900D4" w:rsidR="00A77B3E" w:rsidRPr="00C25019" w:rsidRDefault="0042155F"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br w:type="page"/>
      </w:r>
      <w:r w:rsidR="00CC3306" w:rsidRPr="00C25019">
        <w:rPr>
          <w:rFonts w:ascii="Book Antiqua" w:eastAsia="Book Antiqua" w:hAnsi="Book Antiqua" w:cs="Book Antiqua"/>
          <w:b/>
          <w:caps/>
          <w:color w:val="000000"/>
          <w:u w:val="single"/>
        </w:rPr>
        <w:t>INTRODUCTION</w:t>
      </w:r>
    </w:p>
    <w:p w14:paraId="1B3DD5FB" w14:textId="20A27296" w:rsidR="00A77B3E" w:rsidRPr="00C25019" w:rsidRDefault="00CC3306" w:rsidP="00C25019">
      <w:pPr>
        <w:snapToGrid w:val="0"/>
        <w:spacing w:line="360" w:lineRule="auto"/>
        <w:jc w:val="both"/>
        <w:rPr>
          <w:rFonts w:ascii="Book Antiqua" w:hAnsi="Book Antiqua"/>
        </w:rPr>
      </w:pPr>
      <w:bookmarkStart w:id="25" w:name="OLE_LINK27"/>
      <w:bookmarkStart w:id="26" w:name="OLE_LINK28"/>
      <w:bookmarkStart w:id="27" w:name="OLE_LINK16"/>
      <w:r w:rsidRPr="00C25019">
        <w:rPr>
          <w:rFonts w:ascii="Book Antiqua" w:eastAsia="Book Antiqua" w:hAnsi="Book Antiqua" w:cs="Book Antiqua"/>
          <w:color w:val="000000"/>
        </w:rPr>
        <w:t>Stroke remained one of the leading causes of death throughout the world and was among the top ten diseases contributing to years lived with disability in 2010</w:t>
      </w:r>
      <w:r w:rsidRPr="00C25019">
        <w:rPr>
          <w:rFonts w:ascii="Book Antiqua" w:eastAsia="Book Antiqua" w:hAnsi="Book Antiqua" w:cs="Book Antiqua"/>
          <w:color w:val="000000"/>
          <w:vertAlign w:val="superscript"/>
        </w:rPr>
        <w:t>[1]</w:t>
      </w:r>
      <w:r w:rsidR="003627D9"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The long-term disability caused by stroke results in immense health and economic burdens. As a subtype of stroke, nontraumatic intracerebral hemorrhage (ICH) accounts for around 10% of all strokes, with hypertension being the most significant risk factor</w:t>
      </w:r>
      <w:r w:rsidRPr="00C25019">
        <w:rPr>
          <w:rFonts w:ascii="Book Antiqua" w:eastAsia="Book Antiqua" w:hAnsi="Book Antiqua" w:cs="Book Antiqua"/>
          <w:color w:val="000000"/>
          <w:vertAlign w:val="superscript"/>
        </w:rPr>
        <w:t>[2]</w:t>
      </w:r>
      <w:r w:rsidR="003627D9"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The long-term neurologic sequelae of stroke can result in significant impacts on the patients’ cognitive function, motor performance, and quality of life.</w:t>
      </w:r>
    </w:p>
    <w:p w14:paraId="2E46AFB6" w14:textId="1F77AFDB" w:rsidR="00A77B3E" w:rsidRPr="00C25019" w:rsidRDefault="00CC3306" w:rsidP="00C25019">
      <w:pPr>
        <w:snapToGrid w:val="0"/>
        <w:spacing w:line="360" w:lineRule="auto"/>
        <w:ind w:firstLine="240"/>
        <w:jc w:val="both"/>
        <w:rPr>
          <w:rFonts w:ascii="Book Antiqua" w:hAnsi="Book Antiqua"/>
        </w:rPr>
      </w:pPr>
      <w:r w:rsidRPr="00C25019">
        <w:rPr>
          <w:rFonts w:ascii="Book Antiqua" w:eastAsia="Book Antiqua" w:hAnsi="Book Antiqua" w:cs="Book Antiqua"/>
          <w:color w:val="000000"/>
        </w:rPr>
        <w:t>Growth hormone (GH) plays a crucial role in regulating physiological and metabolic status in adults. Development of neuropsychiatric-cognitive, cardiovascular, neuromuscular, metabolic, and skeletal problems can be observed in adult patients with growth hormone deficiency</w:t>
      </w:r>
      <w:r w:rsidRPr="00C25019">
        <w:rPr>
          <w:rFonts w:ascii="Book Antiqua" w:eastAsia="Book Antiqua" w:hAnsi="Book Antiqua" w:cs="Book Antiqua"/>
          <w:color w:val="000000"/>
          <w:vertAlign w:val="superscript"/>
        </w:rPr>
        <w:t>[3]</w:t>
      </w:r>
      <w:r w:rsidR="003627D9"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While it is known that pituitary tumors, craniopharyngioma, and idiopathic GHD are major causes of adult growth hormone deficiency (AGHD)</w:t>
      </w:r>
      <w:r w:rsidRPr="00C25019">
        <w:rPr>
          <w:rFonts w:ascii="Book Antiqua" w:eastAsia="Book Antiqua" w:hAnsi="Book Antiqua" w:cs="Book Antiqua"/>
          <w:color w:val="000000"/>
          <w:vertAlign w:val="superscript"/>
        </w:rPr>
        <w:t>[4,5]</w:t>
      </w:r>
      <w:r w:rsidR="003627D9"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increased number of studies have shown that stroke and other acute brain injuries</w:t>
      </w:r>
      <w:r w:rsidRPr="00C25019">
        <w:rPr>
          <w:rFonts w:ascii="Book Antiqua" w:eastAsia="Book Antiqua" w:hAnsi="Book Antiqua" w:cs="Book Antiqua"/>
          <w:color w:val="000000"/>
          <w:vertAlign w:val="superscript"/>
        </w:rPr>
        <w:t>[6]</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including traumatic brain injury (TBI) and subarachnoid hemorrhage, are among the etiologies of AGHD</w:t>
      </w:r>
      <w:r w:rsidRPr="00C25019">
        <w:rPr>
          <w:rFonts w:ascii="Book Antiqua" w:eastAsia="Book Antiqua" w:hAnsi="Book Antiqua" w:cs="Book Antiqua"/>
          <w:color w:val="000000"/>
          <w:vertAlign w:val="superscript"/>
        </w:rPr>
        <w:t>[3,7]</w:t>
      </w:r>
      <w:r w:rsidR="005F6E17" w:rsidRPr="00C25019">
        <w:rPr>
          <w:rFonts w:ascii="Book Antiqua" w:eastAsia="Book Antiqua" w:hAnsi="Book Antiqua" w:cs="Book Antiqua"/>
          <w:color w:val="000000"/>
        </w:rPr>
        <w:t>.</w:t>
      </w:r>
    </w:p>
    <w:p w14:paraId="68CFB56D" w14:textId="734EE409" w:rsidR="00A77B3E" w:rsidRPr="00C25019" w:rsidRDefault="00CC3306" w:rsidP="00C25019">
      <w:pPr>
        <w:snapToGrid w:val="0"/>
        <w:spacing w:line="360" w:lineRule="auto"/>
        <w:ind w:firstLineChars="100" w:firstLine="240"/>
        <w:jc w:val="both"/>
        <w:rPr>
          <w:rFonts w:ascii="Book Antiqua" w:hAnsi="Book Antiqua"/>
        </w:rPr>
      </w:pPr>
      <w:r w:rsidRPr="00C25019">
        <w:rPr>
          <w:rFonts w:ascii="Book Antiqua" w:eastAsia="Book Antiqua" w:hAnsi="Book Antiqua" w:cs="Book Antiqua"/>
          <w:color w:val="000000"/>
        </w:rPr>
        <w:t>GH replacement therapy (GHRT) has been in clinical use for three decades</w:t>
      </w:r>
      <w:r w:rsidRPr="00C25019">
        <w:rPr>
          <w:rFonts w:ascii="Book Antiqua" w:eastAsia="Book Antiqua" w:hAnsi="Book Antiqua" w:cs="Book Antiqua"/>
          <w:color w:val="000000"/>
          <w:vertAlign w:val="superscript"/>
        </w:rPr>
        <w:t>[8]</w:t>
      </w:r>
      <w:r w:rsidRPr="00C25019">
        <w:rPr>
          <w:rFonts w:ascii="Book Antiqua" w:eastAsia="Book Antiqua" w:hAnsi="Book Antiqua" w:cs="Book Antiqua"/>
          <w:color w:val="000000"/>
        </w:rPr>
        <w:t xml:space="preserve"> and has been reported to normalize AGHD-related signs and symptoms, including depression, anxiety, fatigue, lack of strength, and altered body composition</w:t>
      </w:r>
      <w:r w:rsidRPr="00C25019">
        <w:rPr>
          <w:rFonts w:ascii="Book Antiqua" w:eastAsia="Book Antiqua" w:hAnsi="Book Antiqua" w:cs="Book Antiqua"/>
          <w:color w:val="000000"/>
          <w:vertAlign w:val="superscript"/>
        </w:rPr>
        <w:t>[3]</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Benefits such as improved voluntary physical activity and quality of life</w:t>
      </w:r>
      <w:r w:rsidRPr="00C25019">
        <w:rPr>
          <w:rFonts w:ascii="Book Antiqua" w:eastAsia="Book Antiqua" w:hAnsi="Book Antiqua" w:cs="Book Antiqua"/>
          <w:color w:val="000000"/>
          <w:vertAlign w:val="superscript"/>
        </w:rPr>
        <w:t>[9,10]</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increased lean body mass, reduced fat mass</w:t>
      </w:r>
      <w:r w:rsidRPr="00C25019">
        <w:rPr>
          <w:rFonts w:ascii="Book Antiqua" w:eastAsia="Book Antiqua" w:hAnsi="Book Antiqua" w:cs="Book Antiqua"/>
          <w:color w:val="000000"/>
          <w:vertAlign w:val="superscript"/>
        </w:rPr>
        <w:t>[11,12]</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and improved lipid profile</w:t>
      </w:r>
      <w:r w:rsidRPr="00C25019">
        <w:rPr>
          <w:rFonts w:ascii="Book Antiqua" w:eastAsia="Book Antiqua" w:hAnsi="Book Antiqua" w:cs="Book Antiqua"/>
          <w:color w:val="000000"/>
          <w:vertAlign w:val="superscript"/>
        </w:rPr>
        <w:t>[13]</w:t>
      </w:r>
      <w:r w:rsidRPr="00C25019">
        <w:rPr>
          <w:rFonts w:ascii="Book Antiqua" w:eastAsia="Book Antiqua" w:hAnsi="Book Antiqua" w:cs="Book Antiqua"/>
          <w:color w:val="000000"/>
        </w:rPr>
        <w:t xml:space="preserve"> have been demonstrated in patients receiving GHRT. Nevertheless, other than improvements in body composition, the beneficial effects of GHRT in AGHD patients are mainly inconclusive. Moreover, studies regarding GHRT for patients suffering from ICH are scarce. Herein, we report a female patient who was diagnosed with AGHD five years after the event of ICH occurred. It is encouraging that her cognitive function, fluency of speech, and mobility drastically improved after six months of GHRT. The results of body composition, serum insulin-like growth factor-1 (IGF-1) level, and lipid profiles were also presented.</w:t>
      </w:r>
    </w:p>
    <w:bookmarkEnd w:id="25"/>
    <w:bookmarkEnd w:id="26"/>
    <w:bookmarkEnd w:id="27"/>
    <w:p w14:paraId="03700E69" w14:textId="77777777" w:rsidR="00A77B3E" w:rsidRPr="00C25019" w:rsidRDefault="00A77B3E" w:rsidP="00C25019">
      <w:pPr>
        <w:snapToGrid w:val="0"/>
        <w:spacing w:line="360" w:lineRule="auto"/>
        <w:ind w:firstLine="240"/>
        <w:jc w:val="both"/>
        <w:rPr>
          <w:rFonts w:ascii="Book Antiqua" w:hAnsi="Book Antiqua"/>
        </w:rPr>
      </w:pPr>
    </w:p>
    <w:p w14:paraId="7CE596A0"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t>CASE PRESENTATION</w:t>
      </w:r>
    </w:p>
    <w:p w14:paraId="0ED07914"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i/>
          <w:color w:val="000000"/>
        </w:rPr>
        <w:t>Chief complaints</w:t>
      </w:r>
    </w:p>
    <w:p w14:paraId="6EC1BEF7"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 xml:space="preserve">In late 2017, a 61-year-old female patient visited the clinic for regular follow-up. The patient’s consciousness was clear, but with dullness and impaired cognitive function. </w:t>
      </w:r>
    </w:p>
    <w:p w14:paraId="19C80D9B" w14:textId="77777777" w:rsidR="00A77B3E" w:rsidRPr="00C25019" w:rsidRDefault="00A77B3E" w:rsidP="00C25019">
      <w:pPr>
        <w:snapToGrid w:val="0"/>
        <w:spacing w:line="360" w:lineRule="auto"/>
        <w:jc w:val="both"/>
        <w:rPr>
          <w:rFonts w:ascii="Book Antiqua" w:hAnsi="Book Antiqua"/>
        </w:rPr>
      </w:pPr>
    </w:p>
    <w:p w14:paraId="2ABEC129"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i/>
          <w:color w:val="000000"/>
        </w:rPr>
        <w:t>History of present illness</w:t>
      </w:r>
    </w:p>
    <w:p w14:paraId="7305112A" w14:textId="0F61D717" w:rsidR="00A77B3E" w:rsidRPr="00C25019" w:rsidRDefault="00CC3306" w:rsidP="00C25019">
      <w:pPr>
        <w:snapToGrid w:val="0"/>
        <w:spacing w:line="360" w:lineRule="auto"/>
        <w:jc w:val="both"/>
        <w:rPr>
          <w:rFonts w:ascii="Book Antiqua" w:hAnsi="Book Antiqua"/>
        </w:rPr>
      </w:pPr>
      <w:bookmarkStart w:id="28" w:name="OLE_LINK29"/>
      <w:bookmarkStart w:id="29" w:name="OLE_LINK30"/>
      <w:r w:rsidRPr="00C25019">
        <w:rPr>
          <w:rFonts w:ascii="Book Antiqua" w:eastAsia="Book Antiqua" w:hAnsi="Book Antiqua" w:cs="Book Antiqua"/>
          <w:color w:val="000000"/>
        </w:rPr>
        <w:t xml:space="preserve">In 2013, the patient was brought to the </w:t>
      </w:r>
      <w:r w:rsidR="005F6E17" w:rsidRPr="00C25019">
        <w:rPr>
          <w:rFonts w:ascii="Book Antiqua" w:eastAsia="Book Antiqua" w:hAnsi="Book Antiqua" w:cs="Book Antiqua"/>
          <w:color w:val="000000"/>
        </w:rPr>
        <w:t>e</w:t>
      </w:r>
      <w:r w:rsidRPr="00C25019">
        <w:rPr>
          <w:rFonts w:ascii="Book Antiqua" w:eastAsia="Book Antiqua" w:hAnsi="Book Antiqua" w:cs="Book Antiqua"/>
          <w:color w:val="000000"/>
        </w:rPr>
        <w:t xml:space="preserve">mergency </w:t>
      </w:r>
      <w:r w:rsidR="005F6E17" w:rsidRPr="00C25019">
        <w:rPr>
          <w:rFonts w:ascii="Book Antiqua" w:eastAsia="Book Antiqua" w:hAnsi="Book Antiqua" w:cs="Book Antiqua"/>
          <w:color w:val="000000"/>
        </w:rPr>
        <w:t>d</w:t>
      </w:r>
      <w:r w:rsidRPr="00C25019">
        <w:rPr>
          <w:rFonts w:ascii="Book Antiqua" w:eastAsia="Book Antiqua" w:hAnsi="Book Antiqua" w:cs="Book Antiqua"/>
          <w:color w:val="000000"/>
        </w:rPr>
        <w:t xml:space="preserve">epartment after losing control of her bike because of sudden-onset right-sided limb weakness. The physical examination revealed a </w:t>
      </w:r>
      <w:r w:rsidR="005F6E17" w:rsidRPr="00C25019">
        <w:rPr>
          <w:rFonts w:ascii="Book Antiqua" w:eastAsia="Book Antiqua" w:hAnsi="Book Antiqua" w:cs="Book Antiqua"/>
          <w:color w:val="000000"/>
        </w:rPr>
        <w:t>g</w:t>
      </w:r>
      <w:r w:rsidRPr="00C25019">
        <w:rPr>
          <w:rFonts w:ascii="Book Antiqua" w:eastAsia="Book Antiqua" w:hAnsi="Book Antiqua" w:cs="Book Antiqua"/>
          <w:color w:val="000000"/>
        </w:rPr>
        <w:t xml:space="preserve">lasgow </w:t>
      </w:r>
      <w:r w:rsidR="005F6E17" w:rsidRPr="00C25019">
        <w:rPr>
          <w:rFonts w:ascii="Book Antiqua" w:eastAsia="Book Antiqua" w:hAnsi="Book Antiqua" w:cs="Book Antiqua"/>
          <w:color w:val="000000"/>
        </w:rPr>
        <w:t>c</w:t>
      </w:r>
      <w:r w:rsidRPr="00C25019">
        <w:rPr>
          <w:rFonts w:ascii="Book Antiqua" w:eastAsia="Book Antiqua" w:hAnsi="Book Antiqua" w:cs="Book Antiqua"/>
          <w:color w:val="000000"/>
        </w:rPr>
        <w:t xml:space="preserve">oma </w:t>
      </w:r>
      <w:r w:rsidR="005F6E17" w:rsidRPr="00C25019">
        <w:rPr>
          <w:rFonts w:ascii="Book Antiqua" w:eastAsia="Book Antiqua" w:hAnsi="Book Antiqua" w:cs="Book Antiqua"/>
          <w:color w:val="000000"/>
        </w:rPr>
        <w:t>s</w:t>
      </w:r>
      <w:r w:rsidRPr="00C25019">
        <w:rPr>
          <w:rFonts w:ascii="Book Antiqua" w:eastAsia="Book Antiqua" w:hAnsi="Book Antiqua" w:cs="Book Antiqua"/>
          <w:color w:val="000000"/>
        </w:rPr>
        <w:t>cale (GCS) of nine (E3M5V1). Brain computed tomography showed left putaminal intracranial hemorrhage, intraventricular hemorrhage, and hydrocephalus. Following surgical interventions, the patient (GCS of 14 [E4M6V4]) was discharged and transferred to another hospital for rehabilitation. In the following four years, the patient continuously received intensive rehabilitation therapy. Although her deep tendon reflex increased during follow-up, the patient’s right-sided hemiparesis remained and continuously affected her right dominant side.</w:t>
      </w:r>
    </w:p>
    <w:bookmarkEnd w:id="28"/>
    <w:bookmarkEnd w:id="29"/>
    <w:p w14:paraId="24707F35" w14:textId="77777777" w:rsidR="00A77B3E" w:rsidRPr="00C25019" w:rsidRDefault="00A77B3E" w:rsidP="00C25019">
      <w:pPr>
        <w:snapToGrid w:val="0"/>
        <w:spacing w:line="360" w:lineRule="auto"/>
        <w:jc w:val="both"/>
        <w:rPr>
          <w:rFonts w:ascii="Book Antiqua" w:hAnsi="Book Antiqua"/>
        </w:rPr>
      </w:pPr>
    </w:p>
    <w:p w14:paraId="0ACCCCFA"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i/>
          <w:color w:val="000000"/>
        </w:rPr>
        <w:t>History of past illness</w:t>
      </w:r>
    </w:p>
    <w:p w14:paraId="6DE0598D"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The patient had a history of hypertension and hyperglyceridemia.</w:t>
      </w:r>
    </w:p>
    <w:p w14:paraId="35F4E678" w14:textId="77777777" w:rsidR="00A77B3E" w:rsidRPr="00C25019" w:rsidRDefault="00A77B3E" w:rsidP="00C25019">
      <w:pPr>
        <w:snapToGrid w:val="0"/>
        <w:spacing w:line="360" w:lineRule="auto"/>
        <w:jc w:val="both"/>
        <w:rPr>
          <w:rFonts w:ascii="Book Antiqua" w:hAnsi="Book Antiqua"/>
        </w:rPr>
      </w:pPr>
    </w:p>
    <w:p w14:paraId="0F3A5487"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i/>
          <w:color w:val="000000"/>
        </w:rPr>
        <w:t>Physical examination</w:t>
      </w:r>
    </w:p>
    <w:p w14:paraId="4BC97BBC"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The patient’s physical examination revealed no remarkable findings. </w:t>
      </w:r>
    </w:p>
    <w:p w14:paraId="0B9CBA16" w14:textId="77777777" w:rsidR="00A77B3E" w:rsidRPr="00C25019" w:rsidRDefault="00A77B3E" w:rsidP="00C25019">
      <w:pPr>
        <w:snapToGrid w:val="0"/>
        <w:spacing w:line="360" w:lineRule="auto"/>
        <w:jc w:val="both"/>
        <w:rPr>
          <w:rFonts w:ascii="Book Antiqua" w:hAnsi="Book Antiqua"/>
        </w:rPr>
      </w:pPr>
    </w:p>
    <w:p w14:paraId="169B88DB"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i/>
          <w:color w:val="000000"/>
        </w:rPr>
        <w:t>Laboratory examinations</w:t>
      </w:r>
    </w:p>
    <w:p w14:paraId="67DDE923" w14:textId="3438901D"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The glucagon stimulation test showed a significantly reduced GH (&lt;</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3 μg/L).</w:t>
      </w:r>
    </w:p>
    <w:p w14:paraId="5BD5B2DB" w14:textId="77777777" w:rsidR="00A77B3E" w:rsidRPr="00C25019" w:rsidRDefault="00A77B3E" w:rsidP="00C25019">
      <w:pPr>
        <w:snapToGrid w:val="0"/>
        <w:spacing w:line="360" w:lineRule="auto"/>
        <w:jc w:val="both"/>
        <w:rPr>
          <w:rFonts w:ascii="Book Antiqua" w:hAnsi="Book Antiqua"/>
        </w:rPr>
      </w:pPr>
    </w:p>
    <w:p w14:paraId="303B6B34"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t>FINAL DIAGNOSIS</w:t>
      </w:r>
    </w:p>
    <w:p w14:paraId="728C7617"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The patient was diagnosed with GHD, as examined with the glucagon stimulation test.</w:t>
      </w:r>
    </w:p>
    <w:p w14:paraId="119B4625" w14:textId="77777777" w:rsidR="00A77B3E" w:rsidRPr="00C25019" w:rsidRDefault="00A77B3E" w:rsidP="00C25019">
      <w:pPr>
        <w:snapToGrid w:val="0"/>
        <w:spacing w:line="360" w:lineRule="auto"/>
        <w:jc w:val="both"/>
        <w:rPr>
          <w:rFonts w:ascii="Book Antiqua" w:hAnsi="Book Antiqua"/>
        </w:rPr>
      </w:pPr>
    </w:p>
    <w:p w14:paraId="0CDEC19A"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t>TREATMENT</w:t>
      </w:r>
    </w:p>
    <w:p w14:paraId="58B5E159" w14:textId="2F0DAFD0" w:rsidR="00A77B3E" w:rsidRPr="00C25019" w:rsidRDefault="00CC3306" w:rsidP="00C25019">
      <w:pPr>
        <w:snapToGrid w:val="0"/>
        <w:spacing w:line="360" w:lineRule="auto"/>
        <w:jc w:val="both"/>
        <w:rPr>
          <w:rFonts w:ascii="Book Antiqua" w:hAnsi="Book Antiqua"/>
        </w:rPr>
      </w:pPr>
      <w:bookmarkStart w:id="30" w:name="OLE_LINK31"/>
      <w:bookmarkStart w:id="31" w:name="OLE_LINK32"/>
      <w:bookmarkStart w:id="32" w:name="OLE_LINK17"/>
      <w:r w:rsidRPr="00C25019">
        <w:rPr>
          <w:rFonts w:ascii="Book Antiqua" w:eastAsia="Book Antiqua" w:hAnsi="Book Antiqua" w:cs="Book Antiqua"/>
          <w:color w:val="000000"/>
        </w:rPr>
        <w:t>In early 2018, the patient started a 6-mo</w:t>
      </w:r>
      <w:r w:rsidR="00AA0D2D">
        <w:rPr>
          <w:rFonts w:ascii="Book Antiqua" w:eastAsia="Book Antiqua" w:hAnsi="Book Antiqua" w:cs="Book Antiqua"/>
          <w:color w:val="000000"/>
        </w:rPr>
        <w:t xml:space="preserve"> </w:t>
      </w:r>
      <w:r w:rsidRPr="00C25019">
        <w:rPr>
          <w:rFonts w:ascii="Book Antiqua" w:eastAsia="Book Antiqua" w:hAnsi="Book Antiqua" w:cs="Book Antiqua"/>
          <w:color w:val="000000"/>
        </w:rPr>
        <w:t>GHRT. Subcutaneous administration of recombinant human growth hormones (rhGH) was initiated at a daily dose of 0.3 mg through an electronic injection device. During the 6-mo treatment period, the dose was increased stepwise to 1.0 mg/d (Fig</w:t>
      </w:r>
      <w:r w:rsidR="005F6E17" w:rsidRPr="00C25019">
        <w:rPr>
          <w:rFonts w:ascii="Book Antiqua" w:eastAsia="Book Antiqua" w:hAnsi="Book Antiqua" w:cs="Book Antiqua"/>
          <w:color w:val="000000"/>
        </w:rPr>
        <w:t>ure</w:t>
      </w:r>
      <w:r w:rsidRPr="00C25019">
        <w:rPr>
          <w:rFonts w:ascii="Book Antiqua" w:eastAsia="Book Antiqua" w:hAnsi="Book Antiqua" w:cs="Book Antiqua"/>
          <w:color w:val="000000"/>
        </w:rPr>
        <w:t xml:space="preserve"> 1A). According to the data retrieved from the electronic device, the patient received a full 100% of the recommended dosage. Her serum IGF-1 </w:t>
      </w:r>
      <w:r w:rsidR="007F2A00">
        <w:rPr>
          <w:rFonts w:ascii="Book Antiqua" w:eastAsia="Book Antiqua" w:hAnsi="Book Antiqua" w:cs="Book Antiqua"/>
          <w:color w:val="000000"/>
        </w:rPr>
        <w:t>l</w:t>
      </w:r>
      <w:r w:rsidR="007F2A00" w:rsidRPr="00C25019">
        <w:rPr>
          <w:rFonts w:ascii="Book Antiqua" w:eastAsia="Book Antiqua" w:hAnsi="Book Antiqua" w:cs="Book Antiqua"/>
          <w:color w:val="000000"/>
        </w:rPr>
        <w:t xml:space="preserve">evel </w:t>
      </w:r>
      <w:r w:rsidRPr="00C25019">
        <w:rPr>
          <w:rFonts w:ascii="Book Antiqua" w:eastAsia="Book Antiqua" w:hAnsi="Book Antiqua" w:cs="Book Antiqua"/>
          <w:color w:val="000000"/>
        </w:rPr>
        <w:t>gradually increased in response to rhGH administration (Fig</w:t>
      </w:r>
      <w:r w:rsidR="005F6E17" w:rsidRPr="00C25019">
        <w:rPr>
          <w:rFonts w:ascii="Book Antiqua" w:eastAsia="Book Antiqua" w:hAnsi="Book Antiqua" w:cs="Book Antiqua"/>
          <w:color w:val="000000"/>
        </w:rPr>
        <w:t>ure</w:t>
      </w:r>
      <w:r w:rsidRPr="00C25019">
        <w:rPr>
          <w:rFonts w:ascii="Book Antiqua" w:eastAsia="Book Antiqua" w:hAnsi="Book Antiqua" w:cs="Book Antiqua"/>
          <w:color w:val="000000"/>
        </w:rPr>
        <w:t xml:space="preserve"> 1A). No undesirable adverse effects were observed during the treatment period.</w:t>
      </w:r>
    </w:p>
    <w:bookmarkEnd w:id="30"/>
    <w:bookmarkEnd w:id="31"/>
    <w:bookmarkEnd w:id="32"/>
    <w:p w14:paraId="5492FA35" w14:textId="77777777" w:rsidR="00A77B3E" w:rsidRPr="00C25019" w:rsidRDefault="00A77B3E" w:rsidP="00C25019">
      <w:pPr>
        <w:snapToGrid w:val="0"/>
        <w:spacing w:line="360" w:lineRule="auto"/>
        <w:jc w:val="both"/>
        <w:rPr>
          <w:rFonts w:ascii="Book Antiqua" w:hAnsi="Book Antiqua"/>
        </w:rPr>
      </w:pPr>
    </w:p>
    <w:p w14:paraId="2595AC28"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t>OUTCOME AND FOLLOW-UP</w:t>
      </w:r>
    </w:p>
    <w:p w14:paraId="79FA3965" w14:textId="79C0A684" w:rsidR="00A77B3E" w:rsidRPr="00C25019" w:rsidRDefault="00CC3306" w:rsidP="00C25019">
      <w:pPr>
        <w:snapToGrid w:val="0"/>
        <w:spacing w:line="360" w:lineRule="auto"/>
        <w:jc w:val="both"/>
        <w:rPr>
          <w:rFonts w:ascii="Book Antiqua" w:hAnsi="Book Antiqua"/>
        </w:rPr>
      </w:pPr>
      <w:bookmarkStart w:id="33" w:name="OLE_LINK18"/>
      <w:bookmarkStart w:id="34" w:name="OLE_LINK19"/>
      <w:r w:rsidRPr="00C25019">
        <w:rPr>
          <w:rFonts w:ascii="Book Antiqua" w:eastAsia="Book Antiqua" w:hAnsi="Book Antiqua" w:cs="Book Antiqua"/>
          <w:color w:val="000000"/>
        </w:rPr>
        <w:t xml:space="preserve">In line with the previous studies, the results of </w:t>
      </w:r>
      <w:bookmarkStart w:id="35" w:name="_Hlk52631471"/>
      <w:r w:rsidRPr="00C25019">
        <w:rPr>
          <w:rFonts w:ascii="Book Antiqua" w:eastAsia="Book Antiqua" w:hAnsi="Book Antiqua" w:cs="Book Antiqua"/>
          <w:color w:val="000000"/>
        </w:rPr>
        <w:t>dual-energy X-ray absorptiometry</w:t>
      </w:r>
      <w:bookmarkEnd w:id="35"/>
      <w:r w:rsidRPr="00C25019">
        <w:rPr>
          <w:rFonts w:ascii="Book Antiqua" w:eastAsia="Book Antiqua" w:hAnsi="Book Antiqua" w:cs="Book Antiqua"/>
          <w:color w:val="000000"/>
        </w:rPr>
        <w:t xml:space="preserve"> showed that GHRT substantially improved her body composition, as lean body mass increased from 37.5 to 40.5 kg and fat mass reduced from 28.6 to 24.8 kg (Table 1 and Fig</w:t>
      </w:r>
      <w:r w:rsidR="005F6E17" w:rsidRPr="00C25019">
        <w:rPr>
          <w:rFonts w:ascii="Book Antiqua" w:eastAsia="Book Antiqua" w:hAnsi="Book Antiqua" w:cs="Book Antiqua"/>
          <w:color w:val="000000"/>
        </w:rPr>
        <w:t>ure</w:t>
      </w:r>
      <w:r w:rsidRPr="00C25019">
        <w:rPr>
          <w:rFonts w:ascii="Book Antiqua" w:eastAsia="Book Antiqua" w:hAnsi="Book Antiqua" w:cs="Book Antiqua"/>
          <w:color w:val="000000"/>
        </w:rPr>
        <w:t xml:space="preserve"> 1B). The percentage of body fat also decreased from 43.3% to 38.0% (Table 1). The lipid profile during the 6-mo</w:t>
      </w:r>
      <w:r w:rsidR="00AA0D2D">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treatment period is displayed in Figure 1A. </w:t>
      </w:r>
    </w:p>
    <w:p w14:paraId="0F78C0BF" w14:textId="1829BC99" w:rsidR="00A77B3E" w:rsidRPr="00C25019" w:rsidRDefault="00CC3306" w:rsidP="00C25019">
      <w:pPr>
        <w:snapToGrid w:val="0"/>
        <w:spacing w:line="360" w:lineRule="auto"/>
        <w:ind w:firstLine="240"/>
        <w:jc w:val="both"/>
        <w:rPr>
          <w:rFonts w:ascii="Book Antiqua" w:hAnsi="Book Antiqua"/>
        </w:rPr>
      </w:pPr>
      <w:r w:rsidRPr="00C25019">
        <w:rPr>
          <w:rFonts w:ascii="Book Antiqua" w:eastAsia="Book Antiqua" w:hAnsi="Book Antiqua" w:cs="Book Antiqua"/>
          <w:color w:val="000000"/>
        </w:rPr>
        <w:t xml:space="preserve">Before starting GHRT, the patient could not stand up, walk, or turn her body around without assistance due to right-sided limb weakness. She scored 14 on the GCS and 16 on the </w:t>
      </w:r>
      <w:bookmarkStart w:id="36" w:name="_Hlk52629608"/>
      <w:r w:rsidRPr="00C25019">
        <w:rPr>
          <w:rFonts w:ascii="Book Antiqua" w:eastAsia="Book Antiqua" w:hAnsi="Book Antiqua" w:cs="Book Antiqua"/>
          <w:color w:val="000000"/>
        </w:rPr>
        <w:t>Mini-</w:t>
      </w:r>
      <w:r w:rsidR="007F2A00">
        <w:rPr>
          <w:rFonts w:ascii="Book Antiqua" w:eastAsia="Book Antiqua" w:hAnsi="Book Antiqua" w:cs="Book Antiqua"/>
          <w:color w:val="000000"/>
        </w:rPr>
        <w:t>M</w:t>
      </w:r>
      <w:r w:rsidR="007F2A00" w:rsidRPr="00C25019">
        <w:rPr>
          <w:rFonts w:ascii="Book Antiqua" w:eastAsia="Book Antiqua" w:hAnsi="Book Antiqua" w:cs="Book Antiqua"/>
          <w:color w:val="000000"/>
        </w:rPr>
        <w:t xml:space="preserve">ental </w:t>
      </w:r>
      <w:r w:rsidR="007F2A00">
        <w:rPr>
          <w:rFonts w:ascii="Book Antiqua" w:eastAsia="Book Antiqua" w:hAnsi="Book Antiqua" w:cs="Book Antiqua"/>
          <w:color w:val="000000"/>
        </w:rPr>
        <w:t>S</w:t>
      </w:r>
      <w:r w:rsidR="007F2A00" w:rsidRPr="00C25019">
        <w:rPr>
          <w:rFonts w:ascii="Book Antiqua" w:eastAsia="Book Antiqua" w:hAnsi="Book Antiqua" w:cs="Book Antiqua"/>
          <w:color w:val="000000"/>
        </w:rPr>
        <w:t xml:space="preserve">tate </w:t>
      </w:r>
      <w:bookmarkEnd w:id="36"/>
      <w:r w:rsidR="007F2A00">
        <w:rPr>
          <w:rFonts w:ascii="Book Antiqua" w:eastAsia="Book Antiqua" w:hAnsi="Book Antiqua" w:cs="Book Antiqua"/>
          <w:color w:val="000000"/>
        </w:rPr>
        <w:t>E</w:t>
      </w:r>
      <w:r w:rsidR="007F2A00" w:rsidRPr="00C25019">
        <w:rPr>
          <w:rFonts w:ascii="Book Antiqua" w:eastAsia="Book Antiqua" w:hAnsi="Book Antiqua" w:cs="Book Antiqua"/>
          <w:color w:val="000000"/>
        </w:rPr>
        <w:t xml:space="preserve">xamination </w:t>
      </w:r>
      <w:r w:rsidRPr="00C25019">
        <w:rPr>
          <w:rFonts w:ascii="Book Antiqua" w:eastAsia="Book Antiqua" w:hAnsi="Book Antiqua" w:cs="Book Antiqua"/>
          <w:color w:val="000000"/>
        </w:rPr>
        <w:t>(MMSE), accompanied by symptoms of disorientation, incoherent speech, and difficulty in making full sentences. Nevertheless, after six months of treatment, the patient was able to stand up and walk without any help. She could also turn her body around in approximately 6 s. At the end of treatment, the patient had a GCS of 15 and an MMSE of 22; the latter suggested a substantial improvement in cognitive function. Although the pentagon copying tasks were both scored zero before and after 6-mo</w:t>
      </w:r>
      <w:r w:rsidR="00AA0D2D">
        <w:rPr>
          <w:rFonts w:ascii="Book Antiqua" w:eastAsia="Book Antiqua" w:hAnsi="Book Antiqua" w:cs="Book Antiqua"/>
          <w:color w:val="000000"/>
        </w:rPr>
        <w:t xml:space="preserve"> </w:t>
      </w:r>
      <w:r w:rsidRPr="00C25019">
        <w:rPr>
          <w:rFonts w:ascii="Book Antiqua" w:eastAsia="Book Antiqua" w:hAnsi="Book Antiqua" w:cs="Book Antiqua"/>
          <w:color w:val="000000"/>
        </w:rPr>
        <w:t>GHRT, the right-hand tremor significantly improved posttreatment (Figure 2). Her speech was much more fluent, with good and positive responses to physicians’ and her family’s talk.</w:t>
      </w:r>
    </w:p>
    <w:bookmarkEnd w:id="33"/>
    <w:bookmarkEnd w:id="34"/>
    <w:p w14:paraId="268705FA" w14:textId="77777777" w:rsidR="00A77B3E" w:rsidRPr="00C25019" w:rsidRDefault="00A77B3E" w:rsidP="00C25019">
      <w:pPr>
        <w:snapToGrid w:val="0"/>
        <w:spacing w:line="360" w:lineRule="auto"/>
        <w:ind w:firstLine="240"/>
        <w:jc w:val="both"/>
        <w:rPr>
          <w:rFonts w:ascii="Book Antiqua" w:hAnsi="Book Antiqua"/>
        </w:rPr>
      </w:pPr>
    </w:p>
    <w:p w14:paraId="24FD1034"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t>DISCUSSION</w:t>
      </w:r>
    </w:p>
    <w:p w14:paraId="1B636034" w14:textId="77777777" w:rsidR="00A77B3E" w:rsidRPr="00C25019" w:rsidRDefault="00CC3306" w:rsidP="00C25019">
      <w:pPr>
        <w:snapToGrid w:val="0"/>
        <w:spacing w:line="360" w:lineRule="auto"/>
        <w:jc w:val="both"/>
        <w:rPr>
          <w:rFonts w:ascii="Book Antiqua" w:hAnsi="Book Antiqua"/>
        </w:rPr>
      </w:pPr>
      <w:bookmarkStart w:id="37" w:name="OLE_LINK33"/>
      <w:bookmarkStart w:id="38" w:name="OLE_LINK34"/>
      <w:bookmarkStart w:id="39" w:name="OLE_LINK20"/>
      <w:r w:rsidRPr="00C25019">
        <w:rPr>
          <w:rFonts w:ascii="Book Antiqua" w:eastAsia="Book Antiqua" w:hAnsi="Book Antiqua" w:cs="Book Antiqua"/>
          <w:color w:val="000000"/>
        </w:rPr>
        <w:t>In the present report, a female patient who suffered ICH was diagnosed with AGHD five years later. Improvements in cognitive function, fluency of speech, and mobility were observed after six months of rhGH treatment. To the best of our knowledge, there is no case report presenting the effects of GHRT on physiological functions in patients with AGHD caused by ICH.</w:t>
      </w:r>
    </w:p>
    <w:p w14:paraId="4E6E5F0A" w14:textId="121C7FD9" w:rsidR="00A77B3E" w:rsidRPr="00C25019" w:rsidRDefault="00CC3306" w:rsidP="00C25019">
      <w:pPr>
        <w:snapToGrid w:val="0"/>
        <w:spacing w:line="360" w:lineRule="auto"/>
        <w:ind w:firstLine="240"/>
        <w:jc w:val="both"/>
        <w:rPr>
          <w:rFonts w:ascii="Book Antiqua" w:hAnsi="Book Antiqua"/>
        </w:rPr>
      </w:pPr>
      <w:r w:rsidRPr="00C25019">
        <w:rPr>
          <w:rFonts w:ascii="Book Antiqua" w:eastAsia="Book Antiqua" w:hAnsi="Book Antiqua" w:cs="Book Antiqua"/>
          <w:color w:val="000000"/>
        </w:rPr>
        <w:t>The beneficial effects of GHRT on body compositions are well established in randomized controlled trials</w:t>
      </w:r>
      <w:r w:rsidRPr="00C25019">
        <w:rPr>
          <w:rFonts w:ascii="Book Antiqua" w:eastAsia="Book Antiqua" w:hAnsi="Book Antiqua" w:cs="Book Antiqua"/>
          <w:color w:val="000000"/>
          <w:vertAlign w:val="superscript"/>
        </w:rPr>
        <w:t>[14]</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A mean increase of 2</w:t>
      </w:r>
      <w:r w:rsidR="00B401D9">
        <w:rPr>
          <w:rFonts w:ascii="Book Antiqua" w:eastAsia="Book Antiqua" w:hAnsi="Book Antiqua" w:cs="Book Antiqua"/>
          <w:color w:val="000000"/>
        </w:rPr>
        <w:t>-</w:t>
      </w:r>
      <w:r w:rsidRPr="00C25019">
        <w:rPr>
          <w:rFonts w:ascii="Book Antiqua" w:eastAsia="Book Antiqua" w:hAnsi="Book Antiqua" w:cs="Book Antiqua"/>
          <w:color w:val="000000"/>
        </w:rPr>
        <w:t>5.5 kg in lean body mass and a mean reduction of 4</w:t>
      </w:r>
      <w:r w:rsidR="00B401D9">
        <w:rPr>
          <w:rFonts w:ascii="Book Antiqua" w:eastAsia="Book Antiqua" w:hAnsi="Book Antiqua" w:cs="Book Antiqua"/>
          <w:color w:val="000000"/>
        </w:rPr>
        <w:t>-</w:t>
      </w:r>
      <w:r w:rsidRPr="00C25019">
        <w:rPr>
          <w:rFonts w:ascii="Book Antiqua" w:eastAsia="Book Antiqua" w:hAnsi="Book Antiqua" w:cs="Book Antiqua"/>
          <w:color w:val="000000"/>
        </w:rPr>
        <w:t>6 kg in fat mass has been shown in previous literature</w:t>
      </w:r>
      <w:r w:rsidRPr="00C25019">
        <w:rPr>
          <w:rFonts w:ascii="Book Antiqua" w:eastAsia="Book Antiqua" w:hAnsi="Book Antiqua" w:cs="Book Antiqua"/>
          <w:color w:val="000000"/>
          <w:vertAlign w:val="superscript"/>
        </w:rPr>
        <w:t>[14]</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With respect to serum lipid profile, Florakis </w:t>
      </w:r>
      <w:r w:rsidRPr="00C25019">
        <w:rPr>
          <w:rFonts w:ascii="Book Antiqua" w:eastAsia="Book Antiqua" w:hAnsi="Book Antiqua" w:cs="Book Antiqua"/>
          <w:i/>
          <w:iCs/>
          <w:color w:val="000000"/>
        </w:rPr>
        <w:t>et al</w:t>
      </w:r>
      <w:r w:rsidR="005F6E17" w:rsidRPr="00C25019">
        <w:rPr>
          <w:rFonts w:ascii="Book Antiqua" w:eastAsia="Book Antiqua" w:hAnsi="Book Antiqua" w:cs="Book Antiqua"/>
          <w:color w:val="000000"/>
          <w:vertAlign w:val="superscript"/>
        </w:rPr>
        <w:t>[15]</w:t>
      </w:r>
      <w:r w:rsidRPr="00C25019">
        <w:rPr>
          <w:rFonts w:ascii="Book Antiqua" w:eastAsia="Book Antiqua" w:hAnsi="Book Antiqua" w:cs="Book Antiqua"/>
          <w:color w:val="000000"/>
        </w:rPr>
        <w:t xml:space="preserve"> found that significant reductions in total and low-density lipoprotein-cholesterol (LDL-C) levels were observed at 6 mo of GH treatment, whereas an increment in high-density lipoprotein-cholesterol (HDL-C) level became evident at 18 mo and no significant changes were observed for triglycerides (TG) at all time points. Another study conducted by Feldt-Rasmussen </w:t>
      </w:r>
      <w:r w:rsidRPr="00C25019">
        <w:rPr>
          <w:rFonts w:ascii="Book Antiqua" w:eastAsia="Book Antiqua" w:hAnsi="Book Antiqua" w:cs="Book Antiqua"/>
          <w:i/>
          <w:iCs/>
          <w:color w:val="000000"/>
        </w:rPr>
        <w:t>et al</w:t>
      </w:r>
      <w:r w:rsidR="005F6E17" w:rsidRPr="00C25019">
        <w:rPr>
          <w:rFonts w:ascii="Book Antiqua" w:eastAsia="Book Antiqua" w:hAnsi="Book Antiqua" w:cs="Book Antiqua"/>
          <w:color w:val="000000"/>
          <w:vertAlign w:val="superscript"/>
        </w:rPr>
        <w:t>[13]</w:t>
      </w:r>
      <w:r w:rsidRPr="00C25019">
        <w:rPr>
          <w:rFonts w:ascii="Book Antiqua" w:eastAsia="Book Antiqua" w:hAnsi="Book Antiqua" w:cs="Book Antiqua"/>
          <w:color w:val="000000"/>
        </w:rPr>
        <w:t xml:space="preserve"> also reported that serum total cholesterol (TC) and LDL-C reduced significantly upon 12-mo GH treatment, and no significant alterations in HDL-C or TG were seen. In line with previous studies, the patient in this report showed that treatment of GH resulted in an increase in lean body mass, a reduction in fat mass, and slight declines in TC and LDL-C. Nevertheless, a gradual decrease in HDL-C and fluctuations in TG were noted during the 6-month treatment period. Because the patient had a medical history of </w:t>
      </w:r>
      <w:r w:rsidRPr="00C25019">
        <w:rPr>
          <w:rStyle w:val="st1"/>
          <w:rFonts w:ascii="Book Antiqua" w:eastAsia="Book Antiqua" w:hAnsi="Book Antiqua" w:cs="Book Antiqua"/>
          <w:color w:val="000000"/>
        </w:rPr>
        <w:t xml:space="preserve">hyperglyceridemia, </w:t>
      </w:r>
      <w:r w:rsidRPr="00C25019">
        <w:rPr>
          <w:rFonts w:ascii="Book Antiqua" w:eastAsia="Book Antiqua" w:hAnsi="Book Antiqua" w:cs="Book Antiqua"/>
          <w:color w:val="000000"/>
        </w:rPr>
        <w:t>it is not clear whether the HDL-C and TG levels were also affected by the patient’s comorbidity.</w:t>
      </w:r>
    </w:p>
    <w:p w14:paraId="7B40ECA7" w14:textId="4019E97D" w:rsidR="00A77B3E" w:rsidRPr="00C25019" w:rsidRDefault="00CC3306" w:rsidP="00C25019">
      <w:pPr>
        <w:snapToGrid w:val="0"/>
        <w:spacing w:line="360" w:lineRule="auto"/>
        <w:ind w:firstLineChars="100" w:firstLine="240"/>
        <w:jc w:val="both"/>
        <w:rPr>
          <w:rFonts w:ascii="Book Antiqua" w:hAnsi="Book Antiqua"/>
        </w:rPr>
      </w:pPr>
      <w:r w:rsidRPr="00C25019">
        <w:rPr>
          <w:rFonts w:ascii="Book Antiqua" w:eastAsia="Book Antiqua" w:hAnsi="Book Antiqua" w:cs="Book Antiqua"/>
          <w:color w:val="000000"/>
        </w:rPr>
        <w:t xml:space="preserve">The literature concerning the prevalence of pituitary dysfunction or GHD following stroke is scarce. According to a prospective study conducted by Bondanelli </w:t>
      </w:r>
      <w:r w:rsidRPr="00C25019">
        <w:rPr>
          <w:rFonts w:ascii="Book Antiqua" w:eastAsia="Book Antiqua" w:hAnsi="Book Antiqua" w:cs="Book Antiqua"/>
          <w:i/>
          <w:iCs/>
          <w:color w:val="000000"/>
        </w:rPr>
        <w:t>et al</w:t>
      </w:r>
      <w:r w:rsidR="005F6E17" w:rsidRPr="00C25019">
        <w:rPr>
          <w:rFonts w:ascii="Book Antiqua" w:eastAsia="Book Antiqua" w:hAnsi="Book Antiqua" w:cs="Book Antiqua"/>
          <w:color w:val="000000"/>
          <w:vertAlign w:val="superscript"/>
        </w:rPr>
        <w:t>[16]</w:t>
      </w:r>
      <w:r w:rsidRPr="00C25019">
        <w:rPr>
          <w:rFonts w:ascii="Book Antiqua" w:eastAsia="Book Antiqua" w:hAnsi="Book Antiqua" w:cs="Book Antiqua"/>
          <w:color w:val="000000"/>
        </w:rPr>
        <w:t>, 30.3% and 35.4% of the patients were found to have GHD at 1</w:t>
      </w:r>
      <w:r w:rsidR="00B401D9">
        <w:rPr>
          <w:rFonts w:ascii="Book Antiqua" w:eastAsia="Book Antiqua" w:hAnsi="Book Antiqua" w:cs="Book Antiqua"/>
          <w:color w:val="000000"/>
        </w:rPr>
        <w:t>-</w:t>
      </w:r>
      <w:r w:rsidRPr="00C25019">
        <w:rPr>
          <w:rFonts w:ascii="Book Antiqua" w:eastAsia="Book Antiqua" w:hAnsi="Book Antiqua" w:cs="Book Antiqua"/>
          <w:color w:val="000000"/>
        </w:rPr>
        <w:t>3 mo and 12</w:t>
      </w:r>
      <w:r w:rsidR="00B401D9">
        <w:rPr>
          <w:rFonts w:ascii="Book Antiqua" w:eastAsia="Book Antiqua" w:hAnsi="Book Antiqua" w:cs="Book Antiqua"/>
          <w:color w:val="000000"/>
        </w:rPr>
        <w:t>-</w:t>
      </w:r>
      <w:r w:rsidRPr="00C25019">
        <w:rPr>
          <w:rFonts w:ascii="Book Antiqua" w:eastAsia="Book Antiqua" w:hAnsi="Book Antiqua" w:cs="Book Antiqua"/>
          <w:color w:val="000000"/>
        </w:rPr>
        <w:t>15 mo after an ischemic stroke, respectively. A recent study reported that 7 out of 13 patients fulfilling the criteria of GHD when tested within a week post-stroke</w:t>
      </w:r>
      <w:r w:rsidRPr="00C25019">
        <w:rPr>
          <w:rFonts w:ascii="Book Antiqua" w:eastAsia="Book Antiqua" w:hAnsi="Book Antiqua" w:cs="Book Antiqua"/>
          <w:color w:val="000000"/>
          <w:vertAlign w:val="superscript"/>
        </w:rPr>
        <w:t>[17]</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Apart from the studies related to stroke, accumulating studies have also suggested that both TBI and </w:t>
      </w:r>
      <w:r w:rsidR="003627D9" w:rsidRPr="00C25019">
        <w:rPr>
          <w:rFonts w:ascii="Book Antiqua" w:eastAsia="Book Antiqua" w:hAnsi="Book Antiqua" w:cs="Book Antiqua"/>
          <w:color w:val="000000"/>
        </w:rPr>
        <w:t>subarachnoid hemorrhage</w:t>
      </w:r>
      <w:r w:rsidRPr="00C25019">
        <w:rPr>
          <w:rFonts w:ascii="Book Antiqua" w:eastAsia="Book Antiqua" w:hAnsi="Book Antiqua" w:cs="Book Antiqua"/>
          <w:color w:val="000000"/>
        </w:rPr>
        <w:t xml:space="preserve"> are conditions at high risk of acquired GHD</w:t>
      </w:r>
      <w:r w:rsidRPr="00C25019">
        <w:rPr>
          <w:rFonts w:ascii="Book Antiqua" w:eastAsia="Book Antiqua" w:hAnsi="Book Antiqua" w:cs="Book Antiqua"/>
          <w:color w:val="000000"/>
          <w:vertAlign w:val="superscript"/>
        </w:rPr>
        <w:t>[18]</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Impaired pituitary function was found in about one-fifth of patients after TBI, and in 5</w:t>
      </w:r>
      <w:r w:rsidR="00976E37" w:rsidRPr="00C25019">
        <w:rPr>
          <w:rFonts w:ascii="Book Antiqua" w:eastAsia="Book Antiqua" w:hAnsi="Book Antiqua" w:cs="Book Antiqua"/>
          <w:color w:val="000000"/>
        </w:rPr>
        <w:t>%</w:t>
      </w:r>
      <w:r w:rsidRPr="00C25019">
        <w:rPr>
          <w:rFonts w:ascii="Book Antiqua" w:eastAsia="Book Antiqua" w:hAnsi="Book Antiqua" w:cs="Book Antiqua"/>
          <w:color w:val="000000"/>
        </w:rPr>
        <w:t>-8% GHD was identified</w:t>
      </w:r>
      <w:r w:rsidRPr="00C25019">
        <w:rPr>
          <w:rFonts w:ascii="Book Antiqua" w:eastAsia="Book Antiqua" w:hAnsi="Book Antiqua" w:cs="Book Antiqua"/>
          <w:color w:val="000000"/>
          <w:vertAlign w:val="superscript"/>
        </w:rPr>
        <w:t>[19,20]</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Although the association between GHD and nontraumatic ICH is still unclear, it would be expected that patients with nontraumatic ICH were also at risk of developing GHD. Owing to the lack of routine examination of pituitary hormones for patients who experienced cerebrovascular events, GHD may be unrecognized, and the patients remained unaware of their conditions unless further clinical manifestations appear months or years later. Thus, the incidence or prevalence of GHD due to cerebrovascular events could be largely underestimated.</w:t>
      </w:r>
    </w:p>
    <w:p w14:paraId="04C3C3B3" w14:textId="3E1F6009" w:rsidR="00A77B3E" w:rsidRPr="00C25019" w:rsidRDefault="00CC3306" w:rsidP="00C25019">
      <w:pPr>
        <w:snapToGrid w:val="0"/>
        <w:spacing w:line="360" w:lineRule="auto"/>
        <w:ind w:firstLineChars="100" w:firstLine="240"/>
        <w:jc w:val="both"/>
        <w:rPr>
          <w:rFonts w:ascii="Book Antiqua" w:hAnsi="Book Antiqua"/>
        </w:rPr>
      </w:pPr>
      <w:r w:rsidRPr="00C25019">
        <w:rPr>
          <w:rFonts w:ascii="Book Antiqua" w:eastAsia="Book Antiqua" w:hAnsi="Book Antiqua" w:cs="Book Antiqua"/>
          <w:color w:val="000000"/>
        </w:rPr>
        <w:t>Cognitive impairment is among the complaints reported by patients with GHD, particularly memory difficulties</w:t>
      </w:r>
      <w:r w:rsidRPr="00C25019">
        <w:rPr>
          <w:rFonts w:ascii="Book Antiqua" w:eastAsia="Book Antiqua" w:hAnsi="Book Antiqua" w:cs="Book Antiqua"/>
          <w:color w:val="000000"/>
          <w:vertAlign w:val="superscript"/>
        </w:rPr>
        <w:t>[21,22]</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In addition, GHD was also associated with attention and verbal memory disorders after TBI</w:t>
      </w:r>
      <w:r w:rsidRPr="00C25019">
        <w:rPr>
          <w:rFonts w:ascii="Book Antiqua" w:eastAsia="Book Antiqua" w:hAnsi="Book Antiqua" w:cs="Book Antiqua"/>
          <w:color w:val="000000"/>
          <w:vertAlign w:val="superscript"/>
        </w:rPr>
        <w:t>[23]</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The impact of GHRT on cognitive functions has been assessed with various performance tests but with inconsistent results. While some studies indicated that administration of GH help recovery of cognitive functions, as examined by means like verbal memory tests or neuroimaging</w:t>
      </w:r>
      <w:r w:rsidRPr="00C25019">
        <w:rPr>
          <w:rFonts w:ascii="Book Antiqua" w:eastAsia="Book Antiqua" w:hAnsi="Book Antiqua" w:cs="Book Antiqua"/>
          <w:color w:val="000000"/>
          <w:vertAlign w:val="superscript"/>
        </w:rPr>
        <w:t>[24-26]</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significant changes were not found in several other studies</w:t>
      </w:r>
      <w:r w:rsidRPr="00C25019">
        <w:rPr>
          <w:rFonts w:ascii="Book Antiqua" w:eastAsia="Book Antiqua" w:hAnsi="Book Antiqua" w:cs="Book Antiqua"/>
          <w:color w:val="000000"/>
          <w:vertAlign w:val="superscript"/>
        </w:rPr>
        <w:t>[27,28]</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In our case, the patient’s cognitive impairment was evaluated with MMSE before and after a 6-mo GH treatment. A difference of 6 points was observed between the two evaluations. The results are consistent with </w:t>
      </w:r>
      <w:bookmarkStart w:id="40" w:name="OLE_LINK1"/>
      <w:bookmarkStart w:id="41" w:name="OLE_LINK2"/>
      <w:r w:rsidRPr="00C25019">
        <w:rPr>
          <w:rFonts w:ascii="Book Antiqua" w:eastAsia="Book Antiqua" w:hAnsi="Book Antiqua" w:cs="Book Antiqua"/>
          <w:color w:val="000000"/>
        </w:rPr>
        <w:t>Devesa</w:t>
      </w:r>
      <w:bookmarkEnd w:id="40"/>
      <w:bookmarkEnd w:id="41"/>
      <w:r w:rsidRPr="00C25019">
        <w:rPr>
          <w:rFonts w:ascii="Book Antiqua" w:eastAsia="Book Antiqua" w:hAnsi="Book Antiqua" w:cs="Book Antiqua"/>
          <w:color w:val="000000"/>
        </w:rPr>
        <w:t xml:space="preserve"> </w:t>
      </w:r>
      <w:r w:rsidR="00976E37" w:rsidRPr="00C25019">
        <w:rPr>
          <w:rFonts w:ascii="Book Antiqua" w:eastAsia="Book Antiqua" w:hAnsi="Book Antiqua" w:cs="Book Antiqua"/>
          <w:i/>
          <w:color w:val="000000"/>
        </w:rPr>
        <w:t>et al</w:t>
      </w:r>
      <w:r w:rsidR="00976E37" w:rsidRPr="00C25019">
        <w:rPr>
          <w:rFonts w:ascii="Book Antiqua" w:eastAsia="Book Antiqua" w:hAnsi="Book Antiqua" w:cs="Book Antiqua"/>
          <w:color w:val="000000"/>
          <w:vertAlign w:val="superscript"/>
        </w:rPr>
        <w:t>[29]</w:t>
      </w:r>
      <w:r w:rsidRPr="00C25019">
        <w:rPr>
          <w:rFonts w:ascii="Book Antiqua" w:eastAsia="Book Antiqua" w:hAnsi="Book Antiqua" w:cs="Book Antiqua"/>
          <w:color w:val="000000"/>
        </w:rPr>
        <w:t>’ report that cognitive impairments were mitigated following GHRT in patients with GHD caused by TBI, as reflected by improvements in MMSE scores</w:t>
      </w:r>
      <w:r w:rsidRPr="00C25019">
        <w:rPr>
          <w:rFonts w:ascii="Book Antiqua" w:eastAsia="Book Antiqua" w:hAnsi="Book Antiqua" w:cs="Book Antiqua"/>
          <w:color w:val="000000"/>
          <w:vertAlign w:val="superscript"/>
        </w:rPr>
        <w:t>[29]</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These findings suggest that GHRT may provide beneficial effects for AGHD patients with cognitive impairments.</w:t>
      </w:r>
    </w:p>
    <w:p w14:paraId="65375569" w14:textId="4FF70172" w:rsidR="00A77B3E" w:rsidRPr="00C25019" w:rsidRDefault="00CC3306" w:rsidP="00C25019">
      <w:pPr>
        <w:snapToGrid w:val="0"/>
        <w:spacing w:line="360" w:lineRule="auto"/>
        <w:ind w:firstLine="240"/>
        <w:jc w:val="both"/>
        <w:rPr>
          <w:rFonts w:ascii="Book Antiqua" w:hAnsi="Book Antiqua"/>
        </w:rPr>
      </w:pPr>
      <w:r w:rsidRPr="00C25019">
        <w:rPr>
          <w:rFonts w:ascii="Book Antiqua" w:eastAsia="Book Antiqua" w:hAnsi="Book Antiqua" w:cs="Book Antiqua"/>
          <w:color w:val="000000"/>
        </w:rPr>
        <w:t xml:space="preserve">Motor improvements have been previously revealed in patients receiving growth hormone treatment. In a series of TBI cases, the administration of growth hormone was initiated 2.5 mo to 11 years after TBI. Motor improvements were found in months after commencing the treatment as assessed with Functional </w:t>
      </w:r>
      <w:r w:rsidR="005F6E17" w:rsidRPr="00C25019">
        <w:rPr>
          <w:rFonts w:ascii="Book Antiqua" w:eastAsia="Book Antiqua" w:hAnsi="Book Antiqua" w:cs="Book Antiqua"/>
          <w:color w:val="000000"/>
        </w:rPr>
        <w:t>a</w:t>
      </w:r>
      <w:r w:rsidRPr="00C25019">
        <w:rPr>
          <w:rFonts w:ascii="Book Antiqua" w:eastAsia="Book Antiqua" w:hAnsi="Book Antiqua" w:cs="Book Antiqua"/>
          <w:color w:val="000000"/>
        </w:rPr>
        <w:t xml:space="preserve">mbulation </w:t>
      </w:r>
      <w:r w:rsidR="005F6E17" w:rsidRPr="00C25019">
        <w:rPr>
          <w:rFonts w:ascii="Book Antiqua" w:eastAsia="Book Antiqua" w:hAnsi="Book Antiqua" w:cs="Book Antiqua"/>
          <w:color w:val="000000"/>
        </w:rPr>
        <w:t>c</w:t>
      </w:r>
      <w:r w:rsidRPr="00C25019">
        <w:rPr>
          <w:rFonts w:ascii="Book Antiqua" w:eastAsia="Book Antiqua" w:hAnsi="Book Antiqua" w:cs="Book Antiqua"/>
          <w:color w:val="000000"/>
        </w:rPr>
        <w:t>ategories and Tinetti balance and gait tests in both GHD and non-GHD patients</w:t>
      </w:r>
      <w:r w:rsidRPr="00C25019">
        <w:rPr>
          <w:rFonts w:ascii="Book Antiqua" w:eastAsia="Book Antiqua" w:hAnsi="Book Antiqua" w:cs="Book Antiqua"/>
          <w:color w:val="000000"/>
          <w:vertAlign w:val="superscript"/>
        </w:rPr>
        <w:t>[29]</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In our case, the patient received GHRT five years after ICH and was able to stand up and walk without assistance following the treatment. In addition to the neurotrophic effects of GH</w:t>
      </w:r>
      <w:r w:rsidRPr="00C25019">
        <w:rPr>
          <w:rFonts w:ascii="Book Antiqua" w:eastAsia="Book Antiqua" w:hAnsi="Book Antiqua" w:cs="Book Antiqua"/>
          <w:color w:val="000000"/>
          <w:vertAlign w:val="superscript"/>
        </w:rPr>
        <w:t>[30]</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 xml:space="preserve">the improved body composition and enhanced muscle strength may also contribute to the patient’s motivation to leave her bed. </w:t>
      </w:r>
    </w:p>
    <w:p w14:paraId="16D47D81" w14:textId="62FC45B8" w:rsidR="00A77B3E" w:rsidRPr="00C25019" w:rsidRDefault="00CC3306" w:rsidP="00C25019">
      <w:pPr>
        <w:snapToGrid w:val="0"/>
        <w:spacing w:line="360" w:lineRule="auto"/>
        <w:ind w:firstLine="240"/>
        <w:jc w:val="both"/>
        <w:rPr>
          <w:rFonts w:ascii="Book Antiqua" w:hAnsi="Book Antiqua"/>
        </w:rPr>
      </w:pPr>
      <w:r w:rsidRPr="00C25019">
        <w:rPr>
          <w:rFonts w:ascii="Book Antiqua" w:eastAsia="Book Antiqua" w:hAnsi="Book Antiqua" w:cs="Book Antiqua"/>
          <w:color w:val="000000"/>
        </w:rPr>
        <w:t>During the entire 6-month treatment period, IGF-1 Levels were checked every month to monitor the patient’s response to dose changes over time. The IGF-1 concentration increased from 178 ng/</w:t>
      </w:r>
      <w:r w:rsidR="00976E37" w:rsidRPr="00C25019">
        <w:rPr>
          <w:rFonts w:ascii="Book Antiqua" w:eastAsia="Book Antiqua" w:hAnsi="Book Antiqua" w:cs="Book Antiqua"/>
          <w:color w:val="000000"/>
        </w:rPr>
        <w:t>m</w:t>
      </w:r>
      <w:r w:rsidRPr="00C25019">
        <w:rPr>
          <w:rFonts w:ascii="Book Antiqua" w:eastAsia="Book Antiqua" w:hAnsi="Book Antiqua" w:cs="Book Antiqua"/>
          <w:color w:val="000000"/>
        </w:rPr>
        <w:t>L before the treatment to 390 ng/</w:t>
      </w:r>
      <w:r w:rsidR="00976E37" w:rsidRPr="00C25019">
        <w:rPr>
          <w:rFonts w:ascii="Book Antiqua" w:eastAsia="Book Antiqua" w:hAnsi="Book Antiqua" w:cs="Book Antiqua"/>
          <w:color w:val="000000"/>
        </w:rPr>
        <w:t>m</w:t>
      </w:r>
      <w:r w:rsidRPr="00C25019">
        <w:rPr>
          <w:rFonts w:ascii="Book Antiqua" w:eastAsia="Book Antiqua" w:hAnsi="Book Antiqua" w:cs="Book Antiqua"/>
          <w:color w:val="000000"/>
        </w:rPr>
        <w:t>L at the end of treatment. In healthy female Chinese adults aged 60-64 years, the 2.5 and 97.5 percentile values for serum IGF-1 are 46.5 and 210.4, respectively</w:t>
      </w:r>
      <w:r w:rsidRPr="00C25019">
        <w:rPr>
          <w:rFonts w:ascii="Book Antiqua" w:eastAsia="Book Antiqua" w:hAnsi="Book Antiqua" w:cs="Book Antiqua"/>
          <w:color w:val="000000"/>
          <w:vertAlign w:val="superscript"/>
        </w:rPr>
        <w:t>[31]</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Because no unfavorable side effects were shown and the improvements in mobility and neurological symptoms emerged, the dosage of rhGH at 1 mg/d (a dosage within the recommended range of locally approved prescribing information) was maintained with close monitoring for the last two months, and the treatment was planned to be stopped afterward. The case showed a substantial improvement in MMSE while having an elevated IGF-1 Level. Low serum IGF-1 Levels were reported to be independently associated with unfavorable functional outcome and death in patients with ischemic stroke</w:t>
      </w:r>
      <w:r w:rsidRPr="00C25019">
        <w:rPr>
          <w:rFonts w:ascii="Book Antiqua" w:eastAsia="Book Antiqua" w:hAnsi="Book Antiqua" w:cs="Book Antiqua"/>
          <w:color w:val="000000"/>
          <w:vertAlign w:val="superscript"/>
        </w:rPr>
        <w:t>[32]</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Nevertheless, the association between IGF-1 and cognitive performance is still controversial. In elderly subjects, it was previously shown that circulating IGF-I may be positively associated with certain cognitive functions</w:t>
      </w:r>
      <w:r w:rsidR="00976E37" w:rsidRPr="00C25019">
        <w:rPr>
          <w:rFonts w:ascii="Book Antiqua" w:eastAsia="Book Antiqua" w:hAnsi="Book Antiqua" w:cs="Book Antiqua"/>
          <w:color w:val="000000"/>
          <w:vertAlign w:val="superscript"/>
        </w:rPr>
        <w:t>[33,</w:t>
      </w:r>
      <w:r w:rsidRPr="00C25019">
        <w:rPr>
          <w:rFonts w:ascii="Book Antiqua" w:eastAsia="Book Antiqua" w:hAnsi="Book Antiqua" w:cs="Book Antiqua"/>
          <w:color w:val="000000"/>
          <w:vertAlign w:val="superscript"/>
        </w:rPr>
        <w:t>34]</w:t>
      </w:r>
      <w:r w:rsidR="005F6E17"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despite that an inverse relationship between IGF-1 Level and cognitive performance was also reported</w:t>
      </w:r>
      <w:r w:rsidRPr="00C25019">
        <w:rPr>
          <w:rFonts w:ascii="Book Antiqua" w:eastAsia="Book Antiqua" w:hAnsi="Book Antiqua" w:cs="Book Antiqua"/>
          <w:color w:val="000000"/>
          <w:vertAlign w:val="superscript"/>
        </w:rPr>
        <w:t>[35]</w:t>
      </w:r>
      <w:r w:rsidR="009D1239">
        <w:rPr>
          <w:rFonts w:ascii="Book Antiqua" w:eastAsia="Book Antiqua" w:hAnsi="Book Antiqua" w:cs="Book Antiqua"/>
          <w:color w:val="000000"/>
        </w:rPr>
        <w:t>.</w:t>
      </w:r>
      <w:r w:rsidRPr="00C25019">
        <w:rPr>
          <w:rFonts w:ascii="Book Antiqua" w:eastAsia="Book Antiqua" w:hAnsi="Book Antiqua" w:cs="Book Antiqua"/>
          <w:color w:val="000000"/>
        </w:rPr>
        <w:t xml:space="preserve"> Thus, whether IGF-1 was positively related to cognitive function requires future studies for further elucidation.</w:t>
      </w:r>
    </w:p>
    <w:bookmarkEnd w:id="37"/>
    <w:bookmarkEnd w:id="38"/>
    <w:bookmarkEnd w:id="39"/>
    <w:p w14:paraId="70DF87F7" w14:textId="77777777" w:rsidR="00A77B3E" w:rsidRPr="00C25019" w:rsidRDefault="00A77B3E" w:rsidP="00C25019">
      <w:pPr>
        <w:snapToGrid w:val="0"/>
        <w:spacing w:line="360" w:lineRule="auto"/>
        <w:ind w:firstLine="240"/>
        <w:jc w:val="both"/>
        <w:rPr>
          <w:rFonts w:ascii="Book Antiqua" w:hAnsi="Book Antiqua"/>
        </w:rPr>
      </w:pPr>
    </w:p>
    <w:p w14:paraId="4A700138"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t>CONCLUSION</w:t>
      </w:r>
    </w:p>
    <w:p w14:paraId="45EBB02A" w14:textId="77777777" w:rsidR="00A77B3E" w:rsidRPr="00C25019" w:rsidRDefault="00CC3306" w:rsidP="00C25019">
      <w:pPr>
        <w:snapToGrid w:val="0"/>
        <w:spacing w:line="360" w:lineRule="auto"/>
        <w:jc w:val="both"/>
        <w:rPr>
          <w:rFonts w:ascii="Book Antiqua" w:hAnsi="Book Antiqua"/>
        </w:rPr>
      </w:pPr>
      <w:bookmarkStart w:id="42" w:name="OLE_LINK21"/>
      <w:bookmarkStart w:id="43" w:name="OLE_LINK22"/>
      <w:r w:rsidRPr="00C25019">
        <w:rPr>
          <w:rFonts w:ascii="Book Antiqua" w:eastAsia="Book Antiqua" w:hAnsi="Book Antiqua" w:cs="Book Antiqua"/>
          <w:color w:val="000000"/>
        </w:rPr>
        <w:t>Although it is not known whether the ameliorations in cognition or motor performance could be directly attributable to GH treatment for the present case, the improvements following GHRT is prominent and encouraging, suggesting cognitive and motor impairments of ICH patients may be partially reversed by growth hormone treatment. Current evidence regarding the beneficial effects of GHRT on cognitive and motor function remains limited. Without severe loss of neurological function, the effects may be too subtle to be detected in the general AGHD patients. Therefore, to further confirm whether GH treatment can reverse cognitive deterioration and neurological sequelae cerebrovascular events, randomized controlled studies in the cohorts of ICH or TBI are needed.</w:t>
      </w:r>
    </w:p>
    <w:bookmarkEnd w:id="42"/>
    <w:bookmarkEnd w:id="43"/>
    <w:p w14:paraId="7DD20788" w14:textId="77777777" w:rsidR="00A77B3E" w:rsidRPr="00C25019" w:rsidRDefault="00A77B3E" w:rsidP="00C25019">
      <w:pPr>
        <w:snapToGrid w:val="0"/>
        <w:spacing w:line="360" w:lineRule="auto"/>
        <w:jc w:val="both"/>
        <w:rPr>
          <w:rFonts w:ascii="Book Antiqua" w:hAnsi="Book Antiqua"/>
        </w:rPr>
      </w:pPr>
    </w:p>
    <w:p w14:paraId="7D77E929"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aps/>
          <w:color w:val="000000"/>
          <w:u w:val="single"/>
        </w:rPr>
        <w:t>ACKNOWLEDGEMENTS</w:t>
      </w:r>
    </w:p>
    <w:p w14:paraId="7C38B45D" w14:textId="12B7D4CF" w:rsidR="00A77B3E" w:rsidRPr="00C25019" w:rsidRDefault="00CC3306" w:rsidP="00C25019">
      <w:pPr>
        <w:snapToGrid w:val="0"/>
        <w:spacing w:line="360" w:lineRule="auto"/>
        <w:jc w:val="both"/>
        <w:rPr>
          <w:rFonts w:ascii="Book Antiqua" w:hAnsi="Book Antiqua"/>
        </w:rPr>
      </w:pPr>
      <w:bookmarkStart w:id="44" w:name="OLE_LINK39"/>
      <w:bookmarkStart w:id="45" w:name="OLE_LINK40"/>
      <w:r w:rsidRPr="00C25019">
        <w:rPr>
          <w:rFonts w:ascii="Book Antiqua" w:eastAsia="Book Antiqua" w:hAnsi="Book Antiqua" w:cs="Book Antiqua"/>
          <w:color w:val="000000"/>
          <w:shd w:val="clear" w:color="auto" w:fill="FFFFFF"/>
        </w:rPr>
        <w:t xml:space="preserve">Medical writing assistance was funded by Merck Ltd., </w:t>
      </w:r>
      <w:r w:rsidR="00976E37" w:rsidRPr="00C25019">
        <w:rPr>
          <w:rFonts w:ascii="Book Antiqua" w:eastAsia="Book Antiqua" w:hAnsi="Book Antiqua" w:cs="Book Antiqua"/>
          <w:color w:val="000000"/>
          <w:shd w:val="clear" w:color="auto" w:fill="FFFFFF"/>
        </w:rPr>
        <w:t>t</w:t>
      </w:r>
      <w:r w:rsidRPr="00C25019">
        <w:rPr>
          <w:rFonts w:ascii="Book Antiqua" w:eastAsia="Book Antiqua" w:hAnsi="Book Antiqua" w:cs="Book Antiqua"/>
          <w:color w:val="000000"/>
          <w:shd w:val="clear" w:color="auto" w:fill="FFFFFF"/>
        </w:rPr>
        <w:t>he funder did not have any roles in study design, data collection and analysis, decision to publish, or preparation of the manuscript.</w:t>
      </w:r>
    </w:p>
    <w:bookmarkEnd w:id="44"/>
    <w:bookmarkEnd w:id="45"/>
    <w:p w14:paraId="266C5856" w14:textId="77777777" w:rsidR="00A77B3E" w:rsidRPr="00C25019" w:rsidRDefault="00A77B3E" w:rsidP="00C25019">
      <w:pPr>
        <w:snapToGrid w:val="0"/>
        <w:spacing w:line="360" w:lineRule="auto"/>
        <w:jc w:val="both"/>
        <w:rPr>
          <w:rFonts w:ascii="Book Antiqua" w:hAnsi="Book Antiqua"/>
        </w:rPr>
      </w:pPr>
    </w:p>
    <w:p w14:paraId="25859B28"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REFERENCES</w:t>
      </w:r>
    </w:p>
    <w:p w14:paraId="40714F5D"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 </w:t>
      </w:r>
      <w:r w:rsidRPr="00C25019">
        <w:rPr>
          <w:rFonts w:ascii="Book Antiqua" w:eastAsia="Book Antiqua" w:hAnsi="Book Antiqua" w:cs="Book Antiqua"/>
          <w:b/>
          <w:bCs/>
          <w:color w:val="000000"/>
        </w:rPr>
        <w:t>Murray CJ</w:t>
      </w:r>
      <w:r w:rsidRPr="00C25019">
        <w:rPr>
          <w:rFonts w:ascii="Book Antiqua" w:eastAsia="Book Antiqua" w:hAnsi="Book Antiqua" w:cs="Book Antiqua"/>
          <w:color w:val="000000"/>
        </w:rPr>
        <w:t xml:space="preserve">, Atkinson C, Bhalla K, Birbeck G, Burstein R, Chou D, Dellavalle R, Danaei G, Ezzati M, Fahimi A, Flaxman D, Foreman, Gabriel S, Gakidou E, Kassebaum N, Khatibzadeh S, Lim S, Lipshultz SE, London S, Lopez, MacIntyre MF, Mokdad AH, Moran A, Moran AE, Mozaffarian D, Murphy T, Naghavi M, Pope C, Roberts T, Salomon J, Schwebel DC, Shahraz S, Sleet DA, Murray, Abraham J, Ali MK, Atkinson C, Bartels DH, Bhalla K, Birbeck G, Burstein R, Chen H, Criqui MH, Dahodwala, Jarlais, Ding EL, Dorsey ER, Ebel BE, Ezzati M, Fahami, Flaxman S, Flaxman AD, Gonzalez-Medina D, Grant B, Hagan H, Hoffman H, Kassebaum N, Khatibzadeh S, Leasher JL, Lin J, Lipshultz SE, Lozano R, Lu Y, Mallinger L, McDermott MM, Micha R, Miller TR, Mokdad AA, Mokdad AH, Mozaffarian D, Naghavi M, Narayan KM, Omer SB, Pelizzari PM, Phillips D, Ranganathan D, Rivara FP, Roberts T, Sampson U, Sanman E, Sapkota A, Schwebel DC, Sharaz S, Shivakoti R, Singh GM, Singh D, Tavakkoli M, Towbin JA, Wilkinson JD, Zabetian A, Murray, Abraham J, Ali MK, Alvardo M, Atkinson C, Baddour LM, Benjamin EJ, Bhalla K, Birbeck G, Bolliger I, Burstein R, Carnahan E, Chou D, Chugh SS, Cohen A, Colson KE, Cooper LT, Couser W, Criqui MH, Dabhadkar KC, Dellavalle RP, Jarlais, Dicker D, Dorsey ER, Duber H, Ebel BE, Engell RE, Ezzati M, Felson DT, Finucane MM, Flaxman S, Flaxman AD, Fleming T, Foreman, Forouzanfar MH, Freedman G, Freeman MK, Gakidou E, Gillum RF, Gonzalez-Medina D, Gosselin R, Gutierrez HR, Hagan H, Havmoeller R, Hoffman H, Jacobsen KH, James SL, Jasrasaria R, Jayarman S, Johns N, Kassebaum N, Khatibzadeh S, Lan Q, Leasher JL, Lim S, Lipshultz SE, London S, Lopez, Lozano R, Lu Y, Mallinger L, Meltzer M, Mensah GA, Michaud C, Miller TR, Mock C, Moffitt TE, Mokdad AA, Mokdad AH, Moran A, Naghavi M, Narayan KM, Nelson RG, Olives C, Omer SB, Ortblad K, Ostro B, Pelizzari PM, Phillips D, Raju M, Razavi H, Ritz B, Roberts T, Sacco RL, Salomon J, Sampson U, Schwebel DC, Shahraz S, Shibuya K, Silberberg D, Singh JA, Steenland K, Taylor JA, Thurston GD, Vavilala MS, Vos T, Wagner GR, Weinstock MA, Weisskopf MG, Wulf S, Murray; U.S. Burden of Disease Collaborators. The state of US health, 1990-2010: burden of diseases, injuries, and risk factors. </w:t>
      </w:r>
      <w:r w:rsidRPr="00C25019">
        <w:rPr>
          <w:rFonts w:ascii="Book Antiqua" w:eastAsia="Book Antiqua" w:hAnsi="Book Antiqua" w:cs="Book Antiqua"/>
          <w:i/>
          <w:iCs/>
          <w:color w:val="000000"/>
        </w:rPr>
        <w:t>JAMA</w:t>
      </w:r>
      <w:r w:rsidRPr="00C25019">
        <w:rPr>
          <w:rFonts w:ascii="Book Antiqua" w:eastAsia="Book Antiqua" w:hAnsi="Book Antiqua" w:cs="Book Antiqua"/>
          <w:color w:val="000000"/>
        </w:rPr>
        <w:t xml:space="preserve"> 2013; </w:t>
      </w:r>
      <w:r w:rsidRPr="00C25019">
        <w:rPr>
          <w:rFonts w:ascii="Book Antiqua" w:eastAsia="Book Antiqua" w:hAnsi="Book Antiqua" w:cs="Book Antiqua"/>
          <w:b/>
          <w:bCs/>
          <w:color w:val="000000"/>
        </w:rPr>
        <w:t>310</w:t>
      </w:r>
      <w:r w:rsidRPr="00C25019">
        <w:rPr>
          <w:rFonts w:ascii="Book Antiqua" w:eastAsia="Book Antiqua" w:hAnsi="Book Antiqua" w:cs="Book Antiqua"/>
          <w:color w:val="000000"/>
        </w:rPr>
        <w:t>: 591-608 [PMID: 23842577 DOI: 10.1001/jama.2013.13805]</w:t>
      </w:r>
    </w:p>
    <w:p w14:paraId="55FE71D5"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 </w:t>
      </w:r>
      <w:r w:rsidRPr="00C25019">
        <w:rPr>
          <w:rFonts w:ascii="Book Antiqua" w:eastAsia="Book Antiqua" w:hAnsi="Book Antiqua" w:cs="Book Antiqua"/>
          <w:b/>
          <w:bCs/>
          <w:color w:val="000000"/>
        </w:rPr>
        <w:t>Aguilar MI</w:t>
      </w:r>
      <w:r w:rsidRPr="00C25019">
        <w:rPr>
          <w:rFonts w:ascii="Book Antiqua" w:eastAsia="Book Antiqua" w:hAnsi="Book Antiqua" w:cs="Book Antiqua"/>
          <w:color w:val="000000"/>
        </w:rPr>
        <w:t xml:space="preserve">, Brott TG. Update in intracerebral hemorrhage. </w:t>
      </w:r>
      <w:r w:rsidRPr="00C25019">
        <w:rPr>
          <w:rFonts w:ascii="Book Antiqua" w:eastAsia="Book Antiqua" w:hAnsi="Book Antiqua" w:cs="Book Antiqua"/>
          <w:i/>
          <w:iCs/>
          <w:color w:val="000000"/>
        </w:rPr>
        <w:t>Neurohospitalist</w:t>
      </w:r>
      <w:r w:rsidRPr="00C25019">
        <w:rPr>
          <w:rFonts w:ascii="Book Antiqua" w:eastAsia="Book Antiqua" w:hAnsi="Book Antiqua" w:cs="Book Antiqua"/>
          <w:color w:val="000000"/>
        </w:rPr>
        <w:t xml:space="preserve"> 2011; </w:t>
      </w:r>
      <w:r w:rsidRPr="00C25019">
        <w:rPr>
          <w:rFonts w:ascii="Book Antiqua" w:eastAsia="Book Antiqua" w:hAnsi="Book Antiqua" w:cs="Book Antiqua"/>
          <w:b/>
          <w:bCs/>
          <w:color w:val="000000"/>
        </w:rPr>
        <w:t>1</w:t>
      </w:r>
      <w:r w:rsidRPr="00C25019">
        <w:rPr>
          <w:rFonts w:ascii="Book Antiqua" w:eastAsia="Book Antiqua" w:hAnsi="Book Antiqua" w:cs="Book Antiqua"/>
          <w:color w:val="000000"/>
        </w:rPr>
        <w:t>: 148-159 [PMID: 23983850 DOI: 10.1177/1941875211409050]</w:t>
      </w:r>
    </w:p>
    <w:p w14:paraId="1D61EA6C"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3 </w:t>
      </w:r>
      <w:r w:rsidRPr="00C25019">
        <w:rPr>
          <w:rFonts w:ascii="Book Antiqua" w:eastAsia="Book Antiqua" w:hAnsi="Book Antiqua" w:cs="Book Antiqua"/>
          <w:b/>
          <w:bCs/>
          <w:color w:val="000000"/>
        </w:rPr>
        <w:t>Gupta V</w:t>
      </w:r>
      <w:r w:rsidRPr="00C25019">
        <w:rPr>
          <w:rFonts w:ascii="Book Antiqua" w:eastAsia="Book Antiqua" w:hAnsi="Book Antiqua" w:cs="Book Antiqua"/>
          <w:color w:val="000000"/>
        </w:rPr>
        <w:t xml:space="preserve">. Adult growth hormone deficiency. </w:t>
      </w:r>
      <w:r w:rsidRPr="00C25019">
        <w:rPr>
          <w:rFonts w:ascii="Book Antiqua" w:eastAsia="Book Antiqua" w:hAnsi="Book Antiqua" w:cs="Book Antiqua"/>
          <w:i/>
          <w:iCs/>
          <w:color w:val="000000"/>
        </w:rPr>
        <w:t>Indian J Endocrinol Metab</w:t>
      </w:r>
      <w:r w:rsidRPr="00C25019">
        <w:rPr>
          <w:rFonts w:ascii="Book Antiqua" w:eastAsia="Book Antiqua" w:hAnsi="Book Antiqua" w:cs="Book Antiqua"/>
          <w:color w:val="000000"/>
        </w:rPr>
        <w:t xml:space="preserve"> 2011; </w:t>
      </w:r>
      <w:r w:rsidRPr="00C25019">
        <w:rPr>
          <w:rFonts w:ascii="Book Antiqua" w:eastAsia="Book Antiqua" w:hAnsi="Book Antiqua" w:cs="Book Antiqua"/>
          <w:b/>
          <w:bCs/>
          <w:color w:val="000000"/>
        </w:rPr>
        <w:t>15 Suppl 3</w:t>
      </w:r>
      <w:r w:rsidRPr="00C25019">
        <w:rPr>
          <w:rFonts w:ascii="Book Antiqua" w:eastAsia="Book Antiqua" w:hAnsi="Book Antiqua" w:cs="Book Antiqua"/>
          <w:color w:val="000000"/>
        </w:rPr>
        <w:t>: S197-S202 [PMID: 22029024 DOI: 10.4103/2230-8210.84865]</w:t>
      </w:r>
    </w:p>
    <w:p w14:paraId="506AF63E"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4 </w:t>
      </w:r>
      <w:r w:rsidRPr="00C25019">
        <w:rPr>
          <w:rFonts w:ascii="Book Antiqua" w:eastAsia="Book Antiqua" w:hAnsi="Book Antiqua" w:cs="Book Antiqua"/>
          <w:b/>
          <w:bCs/>
          <w:color w:val="000000"/>
        </w:rPr>
        <w:t>Stochholm K</w:t>
      </w:r>
      <w:r w:rsidRPr="00C25019">
        <w:rPr>
          <w:rFonts w:ascii="Book Antiqua" w:eastAsia="Book Antiqua" w:hAnsi="Book Antiqua" w:cs="Book Antiqua"/>
          <w:color w:val="000000"/>
        </w:rPr>
        <w:t xml:space="preserve">, Gravholt CH, Laursen T, Jørgensen JO, Laurberg P, Andersen M, Kristensen LØ, Feldt-Rasmussen U, Christiansen JS, Frydenberg M, Green A. Incidence of GH deficiency - a nationwide study. </w:t>
      </w:r>
      <w:r w:rsidRPr="00C25019">
        <w:rPr>
          <w:rFonts w:ascii="Book Antiqua" w:eastAsia="Book Antiqua" w:hAnsi="Book Antiqua" w:cs="Book Antiqua"/>
          <w:i/>
          <w:iCs/>
          <w:color w:val="000000"/>
        </w:rPr>
        <w:t>Eur J Endocrinol</w:t>
      </w:r>
      <w:r w:rsidRPr="00C25019">
        <w:rPr>
          <w:rFonts w:ascii="Book Antiqua" w:eastAsia="Book Antiqua" w:hAnsi="Book Antiqua" w:cs="Book Antiqua"/>
          <w:color w:val="000000"/>
        </w:rPr>
        <w:t xml:space="preserve"> 2006; </w:t>
      </w:r>
      <w:r w:rsidRPr="00C25019">
        <w:rPr>
          <w:rFonts w:ascii="Book Antiqua" w:eastAsia="Book Antiqua" w:hAnsi="Book Antiqua" w:cs="Book Antiqua"/>
          <w:b/>
          <w:bCs/>
          <w:color w:val="000000"/>
        </w:rPr>
        <w:t>155</w:t>
      </w:r>
      <w:r w:rsidRPr="00C25019">
        <w:rPr>
          <w:rFonts w:ascii="Book Antiqua" w:eastAsia="Book Antiqua" w:hAnsi="Book Antiqua" w:cs="Book Antiqua"/>
          <w:color w:val="000000"/>
        </w:rPr>
        <w:t>: 61-71 [PMID: 16793951 DOI: 10.1530/eje.1.02191]</w:t>
      </w:r>
    </w:p>
    <w:p w14:paraId="32758D87"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5 </w:t>
      </w:r>
      <w:r w:rsidRPr="00C25019">
        <w:rPr>
          <w:rFonts w:ascii="Book Antiqua" w:eastAsia="Book Antiqua" w:hAnsi="Book Antiqua" w:cs="Book Antiqua"/>
          <w:b/>
          <w:bCs/>
          <w:color w:val="000000"/>
        </w:rPr>
        <w:t>Abs R</w:t>
      </w:r>
      <w:r w:rsidRPr="00C25019">
        <w:rPr>
          <w:rFonts w:ascii="Book Antiqua" w:eastAsia="Book Antiqua" w:hAnsi="Book Antiqua" w:cs="Book Antiqua"/>
          <w:color w:val="000000"/>
        </w:rPr>
        <w:t xml:space="preserve">, Bengtsson BA, Hernberg-Stâhl E, Monson JP, Tauber JP, Wilton P, Wüster C. GH replacement in 1034 growth hormone deficient hypopituitary adults: demographic and clinical characteristics, dosing and safety. </w:t>
      </w:r>
      <w:r w:rsidRPr="00C25019">
        <w:rPr>
          <w:rFonts w:ascii="Book Antiqua" w:eastAsia="Book Antiqua" w:hAnsi="Book Antiqua" w:cs="Book Antiqua"/>
          <w:i/>
          <w:iCs/>
          <w:color w:val="000000"/>
        </w:rPr>
        <w:t>Clin Endocrinol (Oxf)</w:t>
      </w:r>
      <w:r w:rsidRPr="00C25019">
        <w:rPr>
          <w:rFonts w:ascii="Book Antiqua" w:eastAsia="Book Antiqua" w:hAnsi="Book Antiqua" w:cs="Book Antiqua"/>
          <w:color w:val="000000"/>
        </w:rPr>
        <w:t xml:space="preserve"> 1999; </w:t>
      </w:r>
      <w:r w:rsidRPr="00C25019">
        <w:rPr>
          <w:rFonts w:ascii="Book Antiqua" w:eastAsia="Book Antiqua" w:hAnsi="Book Antiqua" w:cs="Book Antiqua"/>
          <w:b/>
          <w:bCs/>
          <w:color w:val="000000"/>
        </w:rPr>
        <w:t>50</w:t>
      </w:r>
      <w:r w:rsidRPr="00C25019">
        <w:rPr>
          <w:rFonts w:ascii="Book Antiqua" w:eastAsia="Book Antiqua" w:hAnsi="Book Antiqua" w:cs="Book Antiqua"/>
          <w:color w:val="000000"/>
        </w:rPr>
        <w:t>: 703-713 [PMID: 10468941 DOI: 10.1046/j.1365-2265.1999.00695.x]</w:t>
      </w:r>
    </w:p>
    <w:p w14:paraId="62C34830"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6 </w:t>
      </w:r>
      <w:r w:rsidRPr="00C25019">
        <w:rPr>
          <w:rFonts w:ascii="Book Antiqua" w:eastAsia="Book Antiqua" w:hAnsi="Book Antiqua" w:cs="Book Antiqua"/>
          <w:b/>
          <w:bCs/>
          <w:color w:val="000000"/>
        </w:rPr>
        <w:t>Booij HA</w:t>
      </w:r>
      <w:r w:rsidRPr="00C25019">
        <w:rPr>
          <w:rFonts w:ascii="Book Antiqua" w:eastAsia="Book Antiqua" w:hAnsi="Book Antiqua" w:cs="Book Antiqua"/>
          <w:color w:val="000000"/>
        </w:rPr>
        <w:t xml:space="preserve">, Gaykema WDC, Kuijpers KAJ, Pouwels MJM, den Hertog HM. Pituitary dysfunction and association with fatigue in stroke and other acute brain injury. </w:t>
      </w:r>
      <w:r w:rsidRPr="00C25019">
        <w:rPr>
          <w:rFonts w:ascii="Book Antiqua" w:eastAsia="Book Antiqua" w:hAnsi="Book Antiqua" w:cs="Book Antiqua"/>
          <w:i/>
          <w:iCs/>
          <w:color w:val="000000"/>
        </w:rPr>
        <w:t>Endocr Connect</w:t>
      </w:r>
      <w:r w:rsidRPr="00C25019">
        <w:rPr>
          <w:rFonts w:ascii="Book Antiqua" w:eastAsia="Book Antiqua" w:hAnsi="Book Antiqua" w:cs="Book Antiqua"/>
          <w:color w:val="000000"/>
        </w:rPr>
        <w:t xml:space="preserve"> 2018; </w:t>
      </w:r>
      <w:r w:rsidRPr="00C25019">
        <w:rPr>
          <w:rFonts w:ascii="Book Antiqua" w:eastAsia="Book Antiqua" w:hAnsi="Book Antiqua" w:cs="Book Antiqua"/>
          <w:b/>
          <w:bCs/>
          <w:color w:val="000000"/>
        </w:rPr>
        <w:t>7</w:t>
      </w:r>
      <w:r w:rsidRPr="00C25019">
        <w:rPr>
          <w:rFonts w:ascii="Book Antiqua" w:eastAsia="Book Antiqua" w:hAnsi="Book Antiqua" w:cs="Book Antiqua"/>
          <w:color w:val="000000"/>
        </w:rPr>
        <w:t>: R223-R237 [PMID: 29748174 DOI: 10.1530/EC-18-0147]</w:t>
      </w:r>
    </w:p>
    <w:p w14:paraId="78B53299"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7 </w:t>
      </w:r>
      <w:r w:rsidRPr="00C25019">
        <w:rPr>
          <w:rFonts w:ascii="Book Antiqua" w:eastAsia="Book Antiqua" w:hAnsi="Book Antiqua" w:cs="Book Antiqua"/>
          <w:b/>
          <w:bCs/>
          <w:color w:val="000000"/>
        </w:rPr>
        <w:t>Kargi AY</w:t>
      </w:r>
      <w:r w:rsidRPr="00C25019">
        <w:rPr>
          <w:rFonts w:ascii="Book Antiqua" w:eastAsia="Book Antiqua" w:hAnsi="Book Antiqua" w:cs="Book Antiqua"/>
          <w:color w:val="000000"/>
        </w:rPr>
        <w:t xml:space="preserve">, Merriam GR. Diagnosis and treatment of growth hormone deficiency in adults. </w:t>
      </w:r>
      <w:r w:rsidRPr="00C25019">
        <w:rPr>
          <w:rFonts w:ascii="Book Antiqua" w:eastAsia="Book Antiqua" w:hAnsi="Book Antiqua" w:cs="Book Antiqua"/>
          <w:i/>
          <w:iCs/>
          <w:color w:val="000000"/>
        </w:rPr>
        <w:t>Nat Rev Endocrinol</w:t>
      </w:r>
      <w:r w:rsidRPr="00C25019">
        <w:rPr>
          <w:rFonts w:ascii="Book Antiqua" w:eastAsia="Book Antiqua" w:hAnsi="Book Antiqua" w:cs="Book Antiqua"/>
          <w:color w:val="000000"/>
        </w:rPr>
        <w:t xml:space="preserve"> 2013; </w:t>
      </w:r>
      <w:r w:rsidRPr="00C25019">
        <w:rPr>
          <w:rFonts w:ascii="Book Antiqua" w:eastAsia="Book Antiqua" w:hAnsi="Book Antiqua" w:cs="Book Antiqua"/>
          <w:b/>
          <w:bCs/>
          <w:color w:val="000000"/>
        </w:rPr>
        <w:t>9</w:t>
      </w:r>
      <w:r w:rsidRPr="00C25019">
        <w:rPr>
          <w:rFonts w:ascii="Book Antiqua" w:eastAsia="Book Antiqua" w:hAnsi="Book Antiqua" w:cs="Book Antiqua"/>
          <w:color w:val="000000"/>
        </w:rPr>
        <w:t>: 335-345 [PMID: 23629539 DOI: 10.1038/nrendo.2013.77]</w:t>
      </w:r>
    </w:p>
    <w:p w14:paraId="5A631DA1"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8 </w:t>
      </w:r>
      <w:r w:rsidRPr="00C25019">
        <w:rPr>
          <w:rFonts w:ascii="Book Antiqua" w:eastAsia="Book Antiqua" w:hAnsi="Book Antiqua" w:cs="Book Antiqua"/>
          <w:b/>
          <w:bCs/>
          <w:color w:val="000000"/>
        </w:rPr>
        <w:t>Allen DB</w:t>
      </w:r>
      <w:r w:rsidRPr="00C25019">
        <w:rPr>
          <w:rFonts w:ascii="Book Antiqua" w:eastAsia="Book Antiqua" w:hAnsi="Book Antiqua" w:cs="Book Antiqua"/>
          <w:color w:val="000000"/>
        </w:rPr>
        <w:t xml:space="preserve">, Backeljauw P, Bidlingmaier M, Biller BM, Boguszewski M, Burman P, Butler G, Chihara K, Christiansen J, Cianfarani S, Clayton P, Clemmons D, Cohen P, Darendeliler F, Deal C, Dunger D, Erfurth EM, Fuqua JS, Grimberg A, Haymond M, Higham C, Ho K, Hoffman AR, Hokken-Koelega A, Johannsson G, Juul A, Kopchick J, Lee P, Pollak M, Radovick S, Robison L, Rosenfeld R, Ross RJ, Savendahl L, Saenger P, Sorensen HT, Stochholm K, Strasburger C, Swerdlow A, Thorner M. GH safety workshop position paper: a critical appraisal of recombinant human GH therapy in children and adults. </w:t>
      </w:r>
      <w:r w:rsidRPr="00C25019">
        <w:rPr>
          <w:rFonts w:ascii="Book Antiqua" w:eastAsia="Book Antiqua" w:hAnsi="Book Antiqua" w:cs="Book Antiqua"/>
          <w:i/>
          <w:iCs/>
          <w:color w:val="000000"/>
        </w:rPr>
        <w:t>Eur J Endocrinol</w:t>
      </w:r>
      <w:r w:rsidRPr="00C25019">
        <w:rPr>
          <w:rFonts w:ascii="Book Antiqua" w:eastAsia="Book Antiqua" w:hAnsi="Book Antiqua" w:cs="Book Antiqua"/>
          <w:color w:val="000000"/>
        </w:rPr>
        <w:t xml:space="preserve"> 2016; </w:t>
      </w:r>
      <w:r w:rsidRPr="00C25019">
        <w:rPr>
          <w:rFonts w:ascii="Book Antiqua" w:eastAsia="Book Antiqua" w:hAnsi="Book Antiqua" w:cs="Book Antiqua"/>
          <w:b/>
          <w:bCs/>
          <w:color w:val="000000"/>
        </w:rPr>
        <w:t>174</w:t>
      </w:r>
      <w:r w:rsidRPr="00C25019">
        <w:rPr>
          <w:rFonts w:ascii="Book Antiqua" w:eastAsia="Book Antiqua" w:hAnsi="Book Antiqua" w:cs="Book Antiqua"/>
          <w:color w:val="000000"/>
        </w:rPr>
        <w:t>: P1-P9 [PMID: 26563978 DOI: 10.1530/EJE-15-0873]</w:t>
      </w:r>
    </w:p>
    <w:p w14:paraId="277481AE"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9 </w:t>
      </w:r>
      <w:r w:rsidRPr="00C25019">
        <w:rPr>
          <w:rFonts w:ascii="Book Antiqua" w:eastAsia="Book Antiqua" w:hAnsi="Book Antiqua" w:cs="Book Antiqua"/>
          <w:b/>
          <w:bCs/>
          <w:color w:val="000000"/>
        </w:rPr>
        <w:t>Spielhagen C</w:t>
      </w:r>
      <w:r w:rsidRPr="00C25019">
        <w:rPr>
          <w:rFonts w:ascii="Book Antiqua" w:eastAsia="Book Antiqua" w:hAnsi="Book Antiqua" w:cs="Book Antiqua"/>
          <w:color w:val="000000"/>
        </w:rPr>
        <w:t xml:space="preserve">, Schwahn C, Möller K, Friedrich N, Kohlmann T, Moock J, Kołtowska-Häggström M, Nauck M, Buchfelder M, Wallaschofski H. The benefit of long-term growth hormone (GH) replacement therapy in hypopituitary adults with GH deficiency: results of the German KIMS database. </w:t>
      </w:r>
      <w:r w:rsidRPr="00C25019">
        <w:rPr>
          <w:rFonts w:ascii="Book Antiqua" w:eastAsia="Book Antiqua" w:hAnsi="Book Antiqua" w:cs="Book Antiqua"/>
          <w:i/>
          <w:iCs/>
          <w:color w:val="000000"/>
        </w:rPr>
        <w:t>Growth Horm IGF Res</w:t>
      </w:r>
      <w:r w:rsidRPr="00C25019">
        <w:rPr>
          <w:rFonts w:ascii="Book Antiqua" w:eastAsia="Book Antiqua" w:hAnsi="Book Antiqua" w:cs="Book Antiqua"/>
          <w:color w:val="000000"/>
        </w:rPr>
        <w:t xml:space="preserve"> 2011; </w:t>
      </w:r>
      <w:r w:rsidRPr="00C25019">
        <w:rPr>
          <w:rFonts w:ascii="Book Antiqua" w:eastAsia="Book Antiqua" w:hAnsi="Book Antiqua" w:cs="Book Antiqua"/>
          <w:b/>
          <w:bCs/>
          <w:color w:val="000000"/>
        </w:rPr>
        <w:t>21</w:t>
      </w:r>
      <w:r w:rsidRPr="00C25019">
        <w:rPr>
          <w:rFonts w:ascii="Book Antiqua" w:eastAsia="Book Antiqua" w:hAnsi="Book Antiqua" w:cs="Book Antiqua"/>
          <w:color w:val="000000"/>
        </w:rPr>
        <w:t>: 1-10 [PMID: 21093334 DOI: 10.1016/j.ghir.2010.10.005]</w:t>
      </w:r>
    </w:p>
    <w:p w14:paraId="3B9FC209"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10 </w:t>
      </w:r>
      <w:r w:rsidRPr="00C25019">
        <w:rPr>
          <w:rFonts w:ascii="Book Antiqua" w:eastAsia="Book Antiqua" w:hAnsi="Book Antiqua" w:cs="Book Antiqua"/>
          <w:b/>
          <w:bCs/>
          <w:color w:val="000000"/>
        </w:rPr>
        <w:t>Deepak D</w:t>
      </w:r>
      <w:r w:rsidRPr="00C25019">
        <w:rPr>
          <w:rFonts w:ascii="Book Antiqua" w:eastAsia="Book Antiqua" w:hAnsi="Book Antiqua" w:cs="Book Antiqua"/>
          <w:color w:val="000000"/>
        </w:rPr>
        <w:t xml:space="preserve">, Daousi C, Boyland E, Pinkney JH, Wilding JP, MacFarlane IA. Growth hormone and changes in energy balance in growth hormone deficient adults. </w:t>
      </w:r>
      <w:r w:rsidRPr="00C25019">
        <w:rPr>
          <w:rFonts w:ascii="Book Antiqua" w:eastAsia="Book Antiqua" w:hAnsi="Book Antiqua" w:cs="Book Antiqua"/>
          <w:i/>
          <w:iCs/>
          <w:color w:val="000000"/>
        </w:rPr>
        <w:t>Eur J Clin Invest</w:t>
      </w:r>
      <w:r w:rsidRPr="00C25019">
        <w:rPr>
          <w:rFonts w:ascii="Book Antiqua" w:eastAsia="Book Antiqua" w:hAnsi="Book Antiqua" w:cs="Book Antiqua"/>
          <w:color w:val="000000"/>
        </w:rPr>
        <w:t xml:space="preserve"> 2008; </w:t>
      </w:r>
      <w:r w:rsidRPr="00C25019">
        <w:rPr>
          <w:rFonts w:ascii="Book Antiqua" w:eastAsia="Book Antiqua" w:hAnsi="Book Antiqua" w:cs="Book Antiqua"/>
          <w:b/>
          <w:bCs/>
          <w:color w:val="000000"/>
        </w:rPr>
        <w:t>38</w:t>
      </w:r>
      <w:r w:rsidRPr="00C25019">
        <w:rPr>
          <w:rFonts w:ascii="Book Antiqua" w:eastAsia="Book Antiqua" w:hAnsi="Book Antiqua" w:cs="Book Antiqua"/>
          <w:color w:val="000000"/>
        </w:rPr>
        <w:t>: 622-627 [PMID: 18837737 DOI: 10.1111/j.1365-2362.2008.01993.x]</w:t>
      </w:r>
    </w:p>
    <w:p w14:paraId="7AE3943B"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11 </w:t>
      </w:r>
      <w:r w:rsidRPr="00C25019">
        <w:rPr>
          <w:rFonts w:ascii="Book Antiqua" w:eastAsia="Book Antiqua" w:hAnsi="Book Antiqua" w:cs="Book Antiqua"/>
          <w:b/>
          <w:bCs/>
          <w:color w:val="000000"/>
        </w:rPr>
        <w:t>Fernholm R</w:t>
      </w:r>
      <w:r w:rsidRPr="00C25019">
        <w:rPr>
          <w:rFonts w:ascii="Book Antiqua" w:eastAsia="Book Antiqua" w:hAnsi="Book Antiqua" w:cs="Book Antiqua"/>
          <w:color w:val="000000"/>
        </w:rPr>
        <w:t xml:space="preserve">, Bramnert M, Hägg E, Hilding A, Baylink DJ, Mohan S, Thorén M. Growth hormone replacement therapy improves body composition and increases bone metabolism in elderly patients with pituitary disease. </w:t>
      </w:r>
      <w:r w:rsidRPr="00C25019">
        <w:rPr>
          <w:rFonts w:ascii="Book Antiqua" w:eastAsia="Book Antiqua" w:hAnsi="Book Antiqua" w:cs="Book Antiqua"/>
          <w:i/>
          <w:iCs/>
          <w:color w:val="000000"/>
        </w:rPr>
        <w:t>J Clin Endocrinol Metab</w:t>
      </w:r>
      <w:r w:rsidRPr="00C25019">
        <w:rPr>
          <w:rFonts w:ascii="Book Antiqua" w:eastAsia="Book Antiqua" w:hAnsi="Book Antiqua" w:cs="Book Antiqua"/>
          <w:color w:val="000000"/>
        </w:rPr>
        <w:t xml:space="preserve"> 2000; </w:t>
      </w:r>
      <w:r w:rsidRPr="00C25019">
        <w:rPr>
          <w:rFonts w:ascii="Book Antiqua" w:eastAsia="Book Antiqua" w:hAnsi="Book Antiqua" w:cs="Book Antiqua"/>
          <w:b/>
          <w:bCs/>
          <w:color w:val="000000"/>
        </w:rPr>
        <w:t>85</w:t>
      </w:r>
      <w:r w:rsidRPr="00C25019">
        <w:rPr>
          <w:rFonts w:ascii="Book Antiqua" w:eastAsia="Book Antiqua" w:hAnsi="Book Antiqua" w:cs="Book Antiqua"/>
          <w:color w:val="000000"/>
        </w:rPr>
        <w:t>: 4104-4112 [PMID: 11095440 DOI: 10.1210/jcem.85.11.6949]</w:t>
      </w:r>
    </w:p>
    <w:p w14:paraId="07BA87C9"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12 </w:t>
      </w:r>
      <w:r w:rsidRPr="00C25019">
        <w:rPr>
          <w:rFonts w:ascii="Book Antiqua" w:eastAsia="Book Antiqua" w:hAnsi="Book Antiqua" w:cs="Book Antiqua"/>
          <w:b/>
          <w:bCs/>
          <w:color w:val="000000"/>
        </w:rPr>
        <w:t>Christ ER</w:t>
      </w:r>
      <w:r w:rsidRPr="00C25019">
        <w:rPr>
          <w:rFonts w:ascii="Book Antiqua" w:eastAsia="Book Antiqua" w:hAnsi="Book Antiqua" w:cs="Book Antiqua"/>
          <w:color w:val="000000"/>
        </w:rPr>
        <w:t xml:space="preserve">, Carroll PV, Russell-Jones DL, Sönksen PH. The consequences of growth hormone deficiency in adulthood, and the effects of growth hormone replacement. </w:t>
      </w:r>
      <w:r w:rsidRPr="00C25019">
        <w:rPr>
          <w:rFonts w:ascii="Book Antiqua" w:eastAsia="Book Antiqua" w:hAnsi="Book Antiqua" w:cs="Book Antiqua"/>
          <w:i/>
          <w:iCs/>
          <w:color w:val="000000"/>
        </w:rPr>
        <w:t>Schweiz Med Wochenschr</w:t>
      </w:r>
      <w:r w:rsidRPr="00C25019">
        <w:rPr>
          <w:rFonts w:ascii="Book Antiqua" w:eastAsia="Book Antiqua" w:hAnsi="Book Antiqua" w:cs="Book Antiqua"/>
          <w:color w:val="000000"/>
        </w:rPr>
        <w:t xml:space="preserve"> 1997; </w:t>
      </w:r>
      <w:r w:rsidRPr="00C25019">
        <w:rPr>
          <w:rFonts w:ascii="Book Antiqua" w:eastAsia="Book Antiqua" w:hAnsi="Book Antiqua" w:cs="Book Antiqua"/>
          <w:b/>
          <w:bCs/>
          <w:color w:val="000000"/>
        </w:rPr>
        <w:t>127</w:t>
      </w:r>
      <w:r w:rsidRPr="00C25019">
        <w:rPr>
          <w:rFonts w:ascii="Book Antiqua" w:eastAsia="Book Antiqua" w:hAnsi="Book Antiqua" w:cs="Book Antiqua"/>
          <w:color w:val="000000"/>
        </w:rPr>
        <w:t>: 1440-1449 [PMID: 9297747]</w:t>
      </w:r>
    </w:p>
    <w:p w14:paraId="19F7D04F"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13 </w:t>
      </w:r>
      <w:r w:rsidRPr="00C25019">
        <w:rPr>
          <w:rFonts w:ascii="Book Antiqua" w:eastAsia="Book Antiqua" w:hAnsi="Book Antiqua" w:cs="Book Antiqua"/>
          <w:b/>
          <w:bCs/>
          <w:color w:val="000000"/>
        </w:rPr>
        <w:t>Feldt-Rasmussen U</w:t>
      </w:r>
      <w:r w:rsidRPr="00C25019">
        <w:rPr>
          <w:rFonts w:ascii="Book Antiqua" w:eastAsia="Book Antiqua" w:hAnsi="Book Antiqua" w:cs="Book Antiqua"/>
          <w:color w:val="000000"/>
        </w:rPr>
        <w:t xml:space="preserve">, Wilton P, Jonsson P; KIMS Study Group; KIMS International Board. Aspects of growth hormone deficiency and replacement in elderly hypopituitary adults. </w:t>
      </w:r>
      <w:r w:rsidRPr="00C25019">
        <w:rPr>
          <w:rFonts w:ascii="Book Antiqua" w:eastAsia="Book Antiqua" w:hAnsi="Book Antiqua" w:cs="Book Antiqua"/>
          <w:i/>
          <w:iCs/>
          <w:color w:val="000000"/>
        </w:rPr>
        <w:t>Growth Horm IGF Res</w:t>
      </w:r>
      <w:r w:rsidRPr="00C25019">
        <w:rPr>
          <w:rFonts w:ascii="Book Antiqua" w:eastAsia="Book Antiqua" w:hAnsi="Book Antiqua" w:cs="Book Antiqua"/>
          <w:color w:val="000000"/>
        </w:rPr>
        <w:t xml:space="preserve"> 2004; </w:t>
      </w:r>
      <w:r w:rsidRPr="00C25019">
        <w:rPr>
          <w:rFonts w:ascii="Book Antiqua" w:eastAsia="Book Antiqua" w:hAnsi="Book Antiqua" w:cs="Book Antiqua"/>
          <w:b/>
          <w:bCs/>
          <w:color w:val="000000"/>
        </w:rPr>
        <w:t>14 Suppl A</w:t>
      </w:r>
      <w:r w:rsidRPr="00C25019">
        <w:rPr>
          <w:rFonts w:ascii="Book Antiqua" w:eastAsia="Book Antiqua" w:hAnsi="Book Antiqua" w:cs="Book Antiqua"/>
          <w:color w:val="000000"/>
        </w:rPr>
        <w:t>: S51-S58 [PMID: 15135778 DOI: 10.1016/j.ghir.2004.03.013]</w:t>
      </w:r>
    </w:p>
    <w:p w14:paraId="52FF3992"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14 </w:t>
      </w:r>
      <w:r w:rsidRPr="00C25019">
        <w:rPr>
          <w:rFonts w:ascii="Book Antiqua" w:eastAsia="Book Antiqua" w:hAnsi="Book Antiqua" w:cs="Book Antiqua"/>
          <w:b/>
          <w:bCs/>
          <w:color w:val="000000"/>
        </w:rPr>
        <w:t>Carroll PV</w:t>
      </w:r>
      <w:r w:rsidRPr="00C25019">
        <w:rPr>
          <w:rFonts w:ascii="Book Antiqua" w:eastAsia="Book Antiqua" w:hAnsi="Book Antiqua" w:cs="Book Antiqua"/>
          <w:color w:val="000000"/>
        </w:rPr>
        <w:t xml:space="preserve">, Christ ER, Bengtsson BA, Carlsson L, Christiansen JS, Clemmons D, Hintz R, Ho K, Laron Z, Sizonenko P, Sönksen PH, Tanaka T, Thorne M. Growth hormone deficiency in adulthood and the effects of growth hormone replacement: a review. Growth Hormone Research Society Scientific Committee. </w:t>
      </w:r>
      <w:r w:rsidRPr="00C25019">
        <w:rPr>
          <w:rFonts w:ascii="Book Antiqua" w:eastAsia="Book Antiqua" w:hAnsi="Book Antiqua" w:cs="Book Antiqua"/>
          <w:i/>
          <w:iCs/>
          <w:color w:val="000000"/>
        </w:rPr>
        <w:t>J Clin Endocrinol Metab</w:t>
      </w:r>
      <w:r w:rsidRPr="00C25019">
        <w:rPr>
          <w:rFonts w:ascii="Book Antiqua" w:eastAsia="Book Antiqua" w:hAnsi="Book Antiqua" w:cs="Book Antiqua"/>
          <w:color w:val="000000"/>
        </w:rPr>
        <w:t xml:space="preserve"> 1998; </w:t>
      </w:r>
      <w:r w:rsidRPr="00C25019">
        <w:rPr>
          <w:rFonts w:ascii="Book Antiqua" w:eastAsia="Book Antiqua" w:hAnsi="Book Antiqua" w:cs="Book Antiqua"/>
          <w:b/>
          <w:bCs/>
          <w:color w:val="000000"/>
        </w:rPr>
        <w:t>83</w:t>
      </w:r>
      <w:r w:rsidRPr="00C25019">
        <w:rPr>
          <w:rFonts w:ascii="Book Antiqua" w:eastAsia="Book Antiqua" w:hAnsi="Book Antiqua" w:cs="Book Antiqua"/>
          <w:color w:val="000000"/>
        </w:rPr>
        <w:t>: 382-395 [PMID: 9467546 DOI: 10.1210/jcem.83.2.4594]</w:t>
      </w:r>
    </w:p>
    <w:p w14:paraId="24506BD5"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15 </w:t>
      </w:r>
      <w:r w:rsidRPr="00C25019">
        <w:rPr>
          <w:rFonts w:ascii="Book Antiqua" w:eastAsia="Book Antiqua" w:hAnsi="Book Antiqua" w:cs="Book Antiqua"/>
          <w:b/>
          <w:bCs/>
          <w:color w:val="000000"/>
        </w:rPr>
        <w:t>Florakis D</w:t>
      </w:r>
      <w:r w:rsidRPr="00C25019">
        <w:rPr>
          <w:rFonts w:ascii="Book Antiqua" w:eastAsia="Book Antiqua" w:hAnsi="Book Antiqua" w:cs="Book Antiqua"/>
          <w:color w:val="000000"/>
        </w:rPr>
        <w:t xml:space="preserve">, Hung V, Kaltsas G, Coyte D, Jenkins PJ, Chew SL, Grossman AB, Besser GM, Monson JP. Sustained reduction in circulating cholesterol in adult hypopituitary patients given low dose titrated growth hormone replacement therapy: a two year study. </w:t>
      </w:r>
      <w:r w:rsidRPr="00C25019">
        <w:rPr>
          <w:rFonts w:ascii="Book Antiqua" w:eastAsia="Book Antiqua" w:hAnsi="Book Antiqua" w:cs="Book Antiqua"/>
          <w:i/>
          <w:iCs/>
          <w:color w:val="000000"/>
        </w:rPr>
        <w:t>Clin Endocrinol (Oxf)</w:t>
      </w:r>
      <w:r w:rsidRPr="00C25019">
        <w:rPr>
          <w:rFonts w:ascii="Book Antiqua" w:eastAsia="Book Antiqua" w:hAnsi="Book Antiqua" w:cs="Book Antiqua"/>
          <w:color w:val="000000"/>
        </w:rPr>
        <w:t xml:space="preserve"> 2000; </w:t>
      </w:r>
      <w:r w:rsidRPr="00C25019">
        <w:rPr>
          <w:rFonts w:ascii="Book Antiqua" w:eastAsia="Book Antiqua" w:hAnsi="Book Antiqua" w:cs="Book Antiqua"/>
          <w:b/>
          <w:bCs/>
          <w:color w:val="000000"/>
        </w:rPr>
        <w:t>53</w:t>
      </w:r>
      <w:r w:rsidRPr="00C25019">
        <w:rPr>
          <w:rFonts w:ascii="Book Antiqua" w:eastAsia="Book Antiqua" w:hAnsi="Book Antiqua" w:cs="Book Antiqua"/>
          <w:color w:val="000000"/>
        </w:rPr>
        <w:t>: 453-459 [PMID: 11012570 DOI: 10.1046/j.1365-2265.2000.01108.x]</w:t>
      </w:r>
    </w:p>
    <w:p w14:paraId="3C45A365"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16 </w:t>
      </w:r>
      <w:r w:rsidRPr="00C25019">
        <w:rPr>
          <w:rFonts w:ascii="Book Antiqua" w:eastAsia="Book Antiqua" w:hAnsi="Book Antiqua" w:cs="Book Antiqua"/>
          <w:b/>
          <w:bCs/>
          <w:color w:val="000000"/>
        </w:rPr>
        <w:t>Bondanelli M</w:t>
      </w:r>
      <w:r w:rsidRPr="00C25019">
        <w:rPr>
          <w:rFonts w:ascii="Book Antiqua" w:eastAsia="Book Antiqua" w:hAnsi="Book Antiqua" w:cs="Book Antiqua"/>
          <w:color w:val="000000"/>
        </w:rPr>
        <w:t xml:space="preserve">, Ambrosio MR, Carli A, Bergonzoni A, Bertocchi A, Zatelli MC, Ceruti S, Valle D, Basaglia N, degli Uberti EC. Predictors of pituitary dysfunction in patients surviving ischemic stroke. </w:t>
      </w:r>
      <w:r w:rsidRPr="00C25019">
        <w:rPr>
          <w:rFonts w:ascii="Book Antiqua" w:eastAsia="Book Antiqua" w:hAnsi="Book Antiqua" w:cs="Book Antiqua"/>
          <w:i/>
          <w:iCs/>
          <w:color w:val="000000"/>
        </w:rPr>
        <w:t>J Clin Endocrinol Metab</w:t>
      </w:r>
      <w:r w:rsidRPr="00C25019">
        <w:rPr>
          <w:rFonts w:ascii="Book Antiqua" w:eastAsia="Book Antiqua" w:hAnsi="Book Antiqua" w:cs="Book Antiqua"/>
          <w:color w:val="000000"/>
        </w:rPr>
        <w:t xml:space="preserve"> 2010; </w:t>
      </w:r>
      <w:r w:rsidRPr="00C25019">
        <w:rPr>
          <w:rFonts w:ascii="Book Antiqua" w:eastAsia="Book Antiqua" w:hAnsi="Book Antiqua" w:cs="Book Antiqua"/>
          <w:b/>
          <w:bCs/>
          <w:color w:val="000000"/>
        </w:rPr>
        <w:t>95</w:t>
      </w:r>
      <w:r w:rsidRPr="00C25019">
        <w:rPr>
          <w:rFonts w:ascii="Book Antiqua" w:eastAsia="Book Antiqua" w:hAnsi="Book Antiqua" w:cs="Book Antiqua"/>
          <w:color w:val="000000"/>
        </w:rPr>
        <w:t>: 4660-4668 [PMID: 20660027 DOI: 10.1210/jc.2010-0611]</w:t>
      </w:r>
    </w:p>
    <w:p w14:paraId="569A2B70"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17 </w:t>
      </w:r>
      <w:r w:rsidRPr="00C25019">
        <w:rPr>
          <w:rFonts w:ascii="Book Antiqua" w:eastAsia="Book Antiqua" w:hAnsi="Book Antiqua" w:cs="Book Antiqua"/>
          <w:b/>
          <w:bCs/>
          <w:color w:val="000000"/>
        </w:rPr>
        <w:t>Lillicrap T</w:t>
      </w:r>
      <w:r w:rsidRPr="00C25019">
        <w:rPr>
          <w:rFonts w:ascii="Book Antiqua" w:eastAsia="Book Antiqua" w:hAnsi="Book Antiqua" w:cs="Book Antiqua"/>
          <w:color w:val="000000"/>
        </w:rPr>
        <w:t xml:space="preserve">, Garcia-Esperon C, Walker FR, Ong LK, Nilsson M, Spratt N, Levi CR, Parsons M, Isgaard J, Bivard A. Growth Hormone Deficiency Is Frequent After Recent Stroke. </w:t>
      </w:r>
      <w:r w:rsidRPr="00C25019">
        <w:rPr>
          <w:rFonts w:ascii="Book Antiqua" w:eastAsia="Book Antiqua" w:hAnsi="Book Antiqua" w:cs="Book Antiqua"/>
          <w:i/>
          <w:iCs/>
          <w:color w:val="000000"/>
        </w:rPr>
        <w:t>Front Neurol</w:t>
      </w:r>
      <w:r w:rsidRPr="00C25019">
        <w:rPr>
          <w:rFonts w:ascii="Book Antiqua" w:eastAsia="Book Antiqua" w:hAnsi="Book Antiqua" w:cs="Book Antiqua"/>
          <w:color w:val="000000"/>
        </w:rPr>
        <w:t xml:space="preserve"> 2018; </w:t>
      </w:r>
      <w:r w:rsidRPr="00C25019">
        <w:rPr>
          <w:rFonts w:ascii="Book Antiqua" w:eastAsia="Book Antiqua" w:hAnsi="Book Antiqua" w:cs="Book Antiqua"/>
          <w:b/>
          <w:bCs/>
          <w:color w:val="000000"/>
        </w:rPr>
        <w:t>9</w:t>
      </w:r>
      <w:r w:rsidRPr="00C25019">
        <w:rPr>
          <w:rFonts w:ascii="Book Antiqua" w:eastAsia="Book Antiqua" w:hAnsi="Book Antiqua" w:cs="Book Antiqua"/>
          <w:color w:val="000000"/>
        </w:rPr>
        <w:t>: 713 [PMID: 30237782 DOI: 10.3389/fneur.2018.00713]</w:t>
      </w:r>
    </w:p>
    <w:p w14:paraId="7381480B"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18 </w:t>
      </w:r>
      <w:r w:rsidRPr="00C25019">
        <w:rPr>
          <w:rFonts w:ascii="Book Antiqua" w:eastAsia="Book Antiqua" w:hAnsi="Book Antiqua" w:cs="Book Antiqua"/>
          <w:b/>
          <w:bCs/>
          <w:color w:val="000000"/>
        </w:rPr>
        <w:t>Aimaretti G</w:t>
      </w:r>
      <w:r w:rsidRPr="00C25019">
        <w:rPr>
          <w:rFonts w:ascii="Book Antiqua" w:eastAsia="Book Antiqua" w:hAnsi="Book Antiqua" w:cs="Book Antiqua"/>
          <w:color w:val="000000"/>
        </w:rPr>
        <w:t xml:space="preserve">, Ambrosio MR, Di Somma C, Fusco A, Cannavò S, Gasperi M, Scaroni C, De Marinis L, Benvenga S, degli Uberti EC, Lombardi G, Mantero F, Martino E, Giordano G, Ghigo E. Traumatic brain injury and subarachnoid haemorrhage are conditions at high risk for hypopituitarism: screening study at 3 months after the brain injury. </w:t>
      </w:r>
      <w:r w:rsidRPr="00C25019">
        <w:rPr>
          <w:rFonts w:ascii="Book Antiqua" w:eastAsia="Book Antiqua" w:hAnsi="Book Antiqua" w:cs="Book Antiqua"/>
          <w:i/>
          <w:iCs/>
          <w:color w:val="000000"/>
        </w:rPr>
        <w:t>Clin Endocrinol (Oxf)</w:t>
      </w:r>
      <w:r w:rsidRPr="00C25019">
        <w:rPr>
          <w:rFonts w:ascii="Book Antiqua" w:eastAsia="Book Antiqua" w:hAnsi="Book Antiqua" w:cs="Book Antiqua"/>
          <w:color w:val="000000"/>
        </w:rPr>
        <w:t xml:space="preserve"> 2004; </w:t>
      </w:r>
      <w:r w:rsidRPr="00C25019">
        <w:rPr>
          <w:rFonts w:ascii="Book Antiqua" w:eastAsia="Book Antiqua" w:hAnsi="Book Antiqua" w:cs="Book Antiqua"/>
          <w:b/>
          <w:bCs/>
          <w:color w:val="000000"/>
        </w:rPr>
        <w:t>61</w:t>
      </w:r>
      <w:r w:rsidRPr="00C25019">
        <w:rPr>
          <w:rFonts w:ascii="Book Antiqua" w:eastAsia="Book Antiqua" w:hAnsi="Book Antiqua" w:cs="Book Antiqua"/>
          <w:color w:val="000000"/>
        </w:rPr>
        <w:t>: 320-326 [PMID: 15355447 DOI: 10.1111/j.1365-2265.2004.02094.x]</w:t>
      </w:r>
    </w:p>
    <w:p w14:paraId="41B5BE77"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19 </w:t>
      </w:r>
      <w:r w:rsidRPr="00C25019">
        <w:rPr>
          <w:rFonts w:ascii="Book Antiqua" w:eastAsia="Book Antiqua" w:hAnsi="Book Antiqua" w:cs="Book Antiqua"/>
          <w:b/>
          <w:bCs/>
          <w:color w:val="000000"/>
        </w:rPr>
        <w:t>Herrmann BL</w:t>
      </w:r>
      <w:r w:rsidRPr="00C25019">
        <w:rPr>
          <w:rFonts w:ascii="Book Antiqua" w:eastAsia="Book Antiqua" w:hAnsi="Book Antiqua" w:cs="Book Antiqua"/>
          <w:color w:val="000000"/>
        </w:rPr>
        <w:t xml:space="preserve">, Rehder J, Kahlke S, Wiedemayer H, Doerfler A, Ischebeck W, Laumer R, Forsting M, Stolke D, Mann K. Hypopituitarism following severe traumatic brain injury. </w:t>
      </w:r>
      <w:r w:rsidRPr="00C25019">
        <w:rPr>
          <w:rFonts w:ascii="Book Antiqua" w:eastAsia="Book Antiqua" w:hAnsi="Book Antiqua" w:cs="Book Antiqua"/>
          <w:i/>
          <w:iCs/>
          <w:color w:val="000000"/>
        </w:rPr>
        <w:t>Exp Clin Endocrinol Diabetes</w:t>
      </w:r>
      <w:r w:rsidRPr="00C25019">
        <w:rPr>
          <w:rFonts w:ascii="Book Antiqua" w:eastAsia="Book Antiqua" w:hAnsi="Book Antiqua" w:cs="Book Antiqua"/>
          <w:color w:val="000000"/>
        </w:rPr>
        <w:t xml:space="preserve"> 2006; </w:t>
      </w:r>
      <w:r w:rsidRPr="00C25019">
        <w:rPr>
          <w:rFonts w:ascii="Book Antiqua" w:eastAsia="Book Antiqua" w:hAnsi="Book Antiqua" w:cs="Book Antiqua"/>
          <w:b/>
          <w:bCs/>
          <w:color w:val="000000"/>
        </w:rPr>
        <w:t>114</w:t>
      </w:r>
      <w:r w:rsidRPr="00C25019">
        <w:rPr>
          <w:rFonts w:ascii="Book Antiqua" w:eastAsia="Book Antiqua" w:hAnsi="Book Antiqua" w:cs="Book Antiqua"/>
          <w:color w:val="000000"/>
        </w:rPr>
        <w:t>: 316-321 [PMID: 16868891 DOI: 10.1055/s-2006-924254]</w:t>
      </w:r>
    </w:p>
    <w:p w14:paraId="7458A76E"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20 </w:t>
      </w:r>
      <w:r w:rsidRPr="00C25019">
        <w:rPr>
          <w:rFonts w:ascii="Book Antiqua" w:eastAsia="Book Antiqua" w:hAnsi="Book Antiqua" w:cs="Book Antiqua"/>
          <w:b/>
          <w:bCs/>
          <w:color w:val="000000"/>
        </w:rPr>
        <w:t>Berg C</w:t>
      </w:r>
      <w:r w:rsidRPr="00C25019">
        <w:rPr>
          <w:rFonts w:ascii="Book Antiqua" w:eastAsia="Book Antiqua" w:hAnsi="Book Antiqua" w:cs="Book Antiqua"/>
          <w:color w:val="000000"/>
        </w:rPr>
        <w:t xml:space="preserve">, Oeffner A, Schumm-Draeger PM, Badorrek F, Brabant G, Gerbert B, Bornstein S, Zimmermann A, Weber M, Broecker-Preuss M, Mann K, Herrmann BL. Prevalence of anterior pituitary dysfunction in patients following traumatic brain injury in a German multi-centre screening program. </w:t>
      </w:r>
      <w:r w:rsidRPr="00C25019">
        <w:rPr>
          <w:rFonts w:ascii="Book Antiqua" w:eastAsia="Book Antiqua" w:hAnsi="Book Antiqua" w:cs="Book Antiqua"/>
          <w:i/>
          <w:iCs/>
          <w:color w:val="000000"/>
        </w:rPr>
        <w:t>Exp Clin Endocrinol Diabetes</w:t>
      </w:r>
      <w:r w:rsidRPr="00C25019">
        <w:rPr>
          <w:rFonts w:ascii="Book Antiqua" w:eastAsia="Book Antiqua" w:hAnsi="Book Antiqua" w:cs="Book Antiqua"/>
          <w:color w:val="000000"/>
        </w:rPr>
        <w:t xml:space="preserve"> 2010; </w:t>
      </w:r>
      <w:r w:rsidRPr="00C25019">
        <w:rPr>
          <w:rFonts w:ascii="Book Antiqua" w:eastAsia="Book Antiqua" w:hAnsi="Book Antiqua" w:cs="Book Antiqua"/>
          <w:b/>
          <w:bCs/>
          <w:color w:val="000000"/>
        </w:rPr>
        <w:t>118</w:t>
      </w:r>
      <w:r w:rsidRPr="00C25019">
        <w:rPr>
          <w:rFonts w:ascii="Book Antiqua" w:eastAsia="Book Antiqua" w:hAnsi="Book Antiqua" w:cs="Book Antiqua"/>
          <w:color w:val="000000"/>
        </w:rPr>
        <w:t>: 139-144 [PMID: 19691014 DOI: 10.1055/s-0029-1225611]</w:t>
      </w:r>
    </w:p>
    <w:p w14:paraId="081C1CC0"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21 </w:t>
      </w:r>
      <w:r w:rsidRPr="00C25019">
        <w:rPr>
          <w:rFonts w:ascii="Book Antiqua" w:eastAsia="Book Antiqua" w:hAnsi="Book Antiqua" w:cs="Book Antiqua"/>
          <w:b/>
          <w:bCs/>
          <w:color w:val="000000"/>
        </w:rPr>
        <w:t>Bengtsson BA</w:t>
      </w:r>
      <w:r w:rsidRPr="00C25019">
        <w:rPr>
          <w:rFonts w:ascii="Book Antiqua" w:eastAsia="Book Antiqua" w:hAnsi="Book Antiqua" w:cs="Book Antiqua"/>
          <w:color w:val="000000"/>
        </w:rPr>
        <w:t xml:space="preserve">, Edén S, Lönn L, Kvist H, Stokland A, Lindstedt G, Bosaeus I, Tölli J, Sjöström L, Isaksson OG. Treatment of adults with growth hormone (GH) deficiency with recombinant human GH. </w:t>
      </w:r>
      <w:r w:rsidRPr="00C25019">
        <w:rPr>
          <w:rFonts w:ascii="Book Antiqua" w:eastAsia="Book Antiqua" w:hAnsi="Book Antiqua" w:cs="Book Antiqua"/>
          <w:i/>
          <w:iCs/>
          <w:color w:val="000000"/>
        </w:rPr>
        <w:t>J Clin Endocrinol Metab</w:t>
      </w:r>
      <w:r w:rsidRPr="00C25019">
        <w:rPr>
          <w:rFonts w:ascii="Book Antiqua" w:eastAsia="Book Antiqua" w:hAnsi="Book Antiqua" w:cs="Book Antiqua"/>
          <w:color w:val="000000"/>
        </w:rPr>
        <w:t xml:space="preserve"> 1993; </w:t>
      </w:r>
      <w:r w:rsidRPr="00C25019">
        <w:rPr>
          <w:rFonts w:ascii="Book Antiqua" w:eastAsia="Book Antiqua" w:hAnsi="Book Antiqua" w:cs="Book Antiqua"/>
          <w:b/>
          <w:bCs/>
          <w:color w:val="000000"/>
        </w:rPr>
        <w:t>76</w:t>
      </w:r>
      <w:r w:rsidRPr="00C25019">
        <w:rPr>
          <w:rFonts w:ascii="Book Antiqua" w:eastAsia="Book Antiqua" w:hAnsi="Book Antiqua" w:cs="Book Antiqua"/>
          <w:color w:val="000000"/>
        </w:rPr>
        <w:t>: 309-317 [PMID: 8432773 DOI: 10.1210/jcem.76.2.8432773]</w:t>
      </w:r>
    </w:p>
    <w:p w14:paraId="3987B9E8"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22 </w:t>
      </w:r>
      <w:r w:rsidRPr="00C25019">
        <w:rPr>
          <w:rFonts w:ascii="Book Antiqua" w:eastAsia="Book Antiqua" w:hAnsi="Book Antiqua" w:cs="Book Antiqua"/>
          <w:b/>
          <w:bCs/>
          <w:color w:val="000000"/>
        </w:rPr>
        <w:t>Deijen JB</w:t>
      </w:r>
      <w:r w:rsidRPr="00C25019">
        <w:rPr>
          <w:rFonts w:ascii="Book Antiqua" w:eastAsia="Book Antiqua" w:hAnsi="Book Antiqua" w:cs="Book Antiqua"/>
          <w:color w:val="000000"/>
        </w:rPr>
        <w:t xml:space="preserve">, de Boer H, Blok GJ, van der Veen EA. Cognitive impairments and mood disturbances in growth hormone deficient men. </w:t>
      </w:r>
      <w:r w:rsidRPr="00C25019">
        <w:rPr>
          <w:rFonts w:ascii="Book Antiqua" w:eastAsia="Book Antiqua" w:hAnsi="Book Antiqua" w:cs="Book Antiqua"/>
          <w:i/>
          <w:iCs/>
          <w:color w:val="000000"/>
        </w:rPr>
        <w:t>Psychoneuroendocrinology</w:t>
      </w:r>
      <w:r w:rsidRPr="00C25019">
        <w:rPr>
          <w:rFonts w:ascii="Book Antiqua" w:eastAsia="Book Antiqua" w:hAnsi="Book Antiqua" w:cs="Book Antiqua"/>
          <w:color w:val="000000"/>
        </w:rPr>
        <w:t xml:space="preserve"> 1996; </w:t>
      </w:r>
      <w:r w:rsidRPr="00C25019">
        <w:rPr>
          <w:rFonts w:ascii="Book Antiqua" w:eastAsia="Book Antiqua" w:hAnsi="Book Antiqua" w:cs="Book Antiqua"/>
          <w:b/>
          <w:bCs/>
          <w:color w:val="000000"/>
        </w:rPr>
        <w:t>21</w:t>
      </w:r>
      <w:r w:rsidRPr="00C25019">
        <w:rPr>
          <w:rFonts w:ascii="Book Antiqua" w:eastAsia="Book Antiqua" w:hAnsi="Book Antiqua" w:cs="Book Antiqua"/>
          <w:color w:val="000000"/>
        </w:rPr>
        <w:t>: 313-322 [PMID: 8817729 DOI: 10.1016/0306-4530(95)00050-x]</w:t>
      </w:r>
    </w:p>
    <w:p w14:paraId="26F3D00D"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23 </w:t>
      </w:r>
      <w:r w:rsidRPr="00C25019">
        <w:rPr>
          <w:rFonts w:ascii="Book Antiqua" w:eastAsia="Book Antiqua" w:hAnsi="Book Antiqua" w:cs="Book Antiqua"/>
          <w:b/>
          <w:bCs/>
          <w:color w:val="000000"/>
        </w:rPr>
        <w:t>Kozlowski Moreau O</w:t>
      </w:r>
      <w:r w:rsidRPr="00C25019">
        <w:rPr>
          <w:rFonts w:ascii="Book Antiqua" w:eastAsia="Book Antiqua" w:hAnsi="Book Antiqua" w:cs="Book Antiqua"/>
          <w:color w:val="000000"/>
        </w:rPr>
        <w:t xml:space="preserve">, Yollin E, Merlen E, Daveluy W, Rousseaux M. Lasting pituitary hormone deficiency after traumatic brain injury. </w:t>
      </w:r>
      <w:r w:rsidRPr="00C25019">
        <w:rPr>
          <w:rFonts w:ascii="Book Antiqua" w:eastAsia="Book Antiqua" w:hAnsi="Book Antiqua" w:cs="Book Antiqua"/>
          <w:i/>
          <w:iCs/>
          <w:color w:val="000000"/>
        </w:rPr>
        <w:t>J Neurotrauma</w:t>
      </w:r>
      <w:r w:rsidRPr="00C25019">
        <w:rPr>
          <w:rFonts w:ascii="Book Antiqua" w:eastAsia="Book Antiqua" w:hAnsi="Book Antiqua" w:cs="Book Antiqua"/>
          <w:color w:val="000000"/>
        </w:rPr>
        <w:t xml:space="preserve"> 2012; </w:t>
      </w:r>
      <w:r w:rsidRPr="00C25019">
        <w:rPr>
          <w:rFonts w:ascii="Book Antiqua" w:eastAsia="Book Antiqua" w:hAnsi="Book Antiqua" w:cs="Book Antiqua"/>
          <w:b/>
          <w:bCs/>
          <w:color w:val="000000"/>
        </w:rPr>
        <w:t>29</w:t>
      </w:r>
      <w:r w:rsidRPr="00C25019">
        <w:rPr>
          <w:rFonts w:ascii="Book Antiqua" w:eastAsia="Book Antiqua" w:hAnsi="Book Antiqua" w:cs="Book Antiqua"/>
          <w:color w:val="000000"/>
        </w:rPr>
        <w:t>: 81-89 [PMID: 21992034 DOI: 10.1089/neu.2011.2048]</w:t>
      </w:r>
    </w:p>
    <w:p w14:paraId="7281433C"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24 </w:t>
      </w:r>
      <w:r w:rsidRPr="00C25019">
        <w:rPr>
          <w:rFonts w:ascii="Book Antiqua" w:eastAsia="Book Antiqua" w:hAnsi="Book Antiqua" w:cs="Book Antiqua"/>
          <w:b/>
          <w:bCs/>
          <w:color w:val="000000"/>
        </w:rPr>
        <w:t>Arwert LI</w:t>
      </w:r>
      <w:r w:rsidRPr="00C25019">
        <w:rPr>
          <w:rFonts w:ascii="Book Antiqua" w:eastAsia="Book Antiqua" w:hAnsi="Book Antiqua" w:cs="Book Antiqua"/>
          <w:color w:val="000000"/>
        </w:rPr>
        <w:t xml:space="preserve">, Veltman DJ, Deijen JB, van Dam PS, Drent ML. Effects of growth hormone substitution therapy on cognitive functioning in growth hormone deficient patients: a functional MRI study. </w:t>
      </w:r>
      <w:r w:rsidRPr="00C25019">
        <w:rPr>
          <w:rFonts w:ascii="Book Antiqua" w:eastAsia="Book Antiqua" w:hAnsi="Book Antiqua" w:cs="Book Antiqua"/>
          <w:i/>
          <w:iCs/>
          <w:color w:val="000000"/>
        </w:rPr>
        <w:t>Neuroendocrinology</w:t>
      </w:r>
      <w:r w:rsidRPr="00C25019">
        <w:rPr>
          <w:rFonts w:ascii="Book Antiqua" w:eastAsia="Book Antiqua" w:hAnsi="Book Antiqua" w:cs="Book Antiqua"/>
          <w:color w:val="000000"/>
        </w:rPr>
        <w:t xml:space="preserve"> 2006; </w:t>
      </w:r>
      <w:r w:rsidRPr="00C25019">
        <w:rPr>
          <w:rFonts w:ascii="Book Antiqua" w:eastAsia="Book Antiqua" w:hAnsi="Book Antiqua" w:cs="Book Antiqua"/>
          <w:b/>
          <w:bCs/>
          <w:color w:val="000000"/>
        </w:rPr>
        <w:t>83</w:t>
      </w:r>
      <w:r w:rsidRPr="00C25019">
        <w:rPr>
          <w:rFonts w:ascii="Book Antiqua" w:eastAsia="Book Antiqua" w:hAnsi="Book Antiqua" w:cs="Book Antiqua"/>
          <w:color w:val="000000"/>
        </w:rPr>
        <w:t>: 12-19 [PMID: 16707911 DOI: 10.1159/000093337]</w:t>
      </w:r>
    </w:p>
    <w:p w14:paraId="63FD3DB2"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25 </w:t>
      </w:r>
      <w:r w:rsidRPr="00C25019">
        <w:rPr>
          <w:rFonts w:ascii="Book Antiqua" w:eastAsia="Book Antiqua" w:hAnsi="Book Antiqua" w:cs="Book Antiqua"/>
          <w:b/>
          <w:bCs/>
          <w:color w:val="000000"/>
        </w:rPr>
        <w:t>Moreau OK</w:t>
      </w:r>
      <w:r w:rsidRPr="00C25019">
        <w:rPr>
          <w:rFonts w:ascii="Book Antiqua" w:eastAsia="Book Antiqua" w:hAnsi="Book Antiqua" w:cs="Book Antiqua"/>
          <w:color w:val="000000"/>
        </w:rPr>
        <w:t xml:space="preserve">, Cortet-Rudelli C, Yollin E, Merlen E, Daveluy W, Rousseaux M. Growth hormone replacement therapy in patients with traumatic brain injury. </w:t>
      </w:r>
      <w:r w:rsidRPr="00C25019">
        <w:rPr>
          <w:rFonts w:ascii="Book Antiqua" w:eastAsia="Book Antiqua" w:hAnsi="Book Antiqua" w:cs="Book Antiqua"/>
          <w:i/>
          <w:iCs/>
          <w:color w:val="000000"/>
        </w:rPr>
        <w:t>J Neurotrauma</w:t>
      </w:r>
      <w:r w:rsidRPr="00C25019">
        <w:rPr>
          <w:rFonts w:ascii="Book Antiqua" w:eastAsia="Book Antiqua" w:hAnsi="Book Antiqua" w:cs="Book Antiqua"/>
          <w:color w:val="000000"/>
        </w:rPr>
        <w:t xml:space="preserve"> 2013; </w:t>
      </w:r>
      <w:r w:rsidRPr="00C25019">
        <w:rPr>
          <w:rFonts w:ascii="Book Antiqua" w:eastAsia="Book Antiqua" w:hAnsi="Book Antiqua" w:cs="Book Antiqua"/>
          <w:b/>
          <w:bCs/>
          <w:color w:val="000000"/>
        </w:rPr>
        <w:t>30</w:t>
      </w:r>
      <w:r w:rsidRPr="00C25019">
        <w:rPr>
          <w:rFonts w:ascii="Book Antiqua" w:eastAsia="Book Antiqua" w:hAnsi="Book Antiqua" w:cs="Book Antiqua"/>
          <w:color w:val="000000"/>
        </w:rPr>
        <w:t>: 998-1006 [PMID: 23323993 DOI: 10.1089/neu.2012.2705]</w:t>
      </w:r>
    </w:p>
    <w:p w14:paraId="0534BAE5"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26 </w:t>
      </w:r>
      <w:r w:rsidRPr="00C25019">
        <w:rPr>
          <w:rFonts w:ascii="Book Antiqua" w:eastAsia="Book Antiqua" w:hAnsi="Book Antiqua" w:cs="Book Antiqua"/>
          <w:b/>
          <w:bCs/>
          <w:color w:val="000000"/>
        </w:rPr>
        <w:t>Maric NP</w:t>
      </w:r>
      <w:r w:rsidRPr="00C25019">
        <w:rPr>
          <w:rFonts w:ascii="Book Antiqua" w:eastAsia="Book Antiqua" w:hAnsi="Book Antiqua" w:cs="Book Antiqua"/>
          <w:color w:val="000000"/>
        </w:rPr>
        <w:t xml:space="preserve">, Doknic M, Pavlovic D, Pekic S, Stojanovic M, Jasovic-Gasic M, Popovic V. Psychiatric and neuropsychological changes in growth hormone-deficient patients after traumatic brain injury in response to growth hormone therapy. </w:t>
      </w:r>
      <w:r w:rsidRPr="00C25019">
        <w:rPr>
          <w:rFonts w:ascii="Book Antiqua" w:eastAsia="Book Antiqua" w:hAnsi="Book Antiqua" w:cs="Book Antiqua"/>
          <w:i/>
          <w:iCs/>
          <w:color w:val="000000"/>
        </w:rPr>
        <w:t>J Endocrinol Invest</w:t>
      </w:r>
      <w:r w:rsidRPr="00C25019">
        <w:rPr>
          <w:rFonts w:ascii="Book Antiqua" w:eastAsia="Book Antiqua" w:hAnsi="Book Antiqua" w:cs="Book Antiqua"/>
          <w:color w:val="000000"/>
        </w:rPr>
        <w:t xml:space="preserve"> 2010; </w:t>
      </w:r>
      <w:r w:rsidRPr="00C25019">
        <w:rPr>
          <w:rFonts w:ascii="Book Antiqua" w:eastAsia="Book Antiqua" w:hAnsi="Book Antiqua" w:cs="Book Antiqua"/>
          <w:b/>
          <w:bCs/>
          <w:color w:val="000000"/>
        </w:rPr>
        <w:t>33</w:t>
      </w:r>
      <w:r w:rsidRPr="00C25019">
        <w:rPr>
          <w:rFonts w:ascii="Book Antiqua" w:eastAsia="Book Antiqua" w:hAnsi="Book Antiqua" w:cs="Book Antiqua"/>
          <w:color w:val="000000"/>
        </w:rPr>
        <w:t>: 770-775 [PMID: 20479569 DOI: 10.1007/BF03350340]</w:t>
      </w:r>
    </w:p>
    <w:p w14:paraId="52F2A5E0"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27 </w:t>
      </w:r>
      <w:r w:rsidRPr="00C25019">
        <w:rPr>
          <w:rFonts w:ascii="Book Antiqua" w:eastAsia="Book Antiqua" w:hAnsi="Book Antiqua" w:cs="Book Antiqua"/>
          <w:b/>
          <w:bCs/>
          <w:color w:val="000000"/>
        </w:rPr>
        <w:t>Oertel H</w:t>
      </w:r>
      <w:r w:rsidRPr="00C25019">
        <w:rPr>
          <w:rFonts w:ascii="Book Antiqua" w:eastAsia="Book Antiqua" w:hAnsi="Book Antiqua" w:cs="Book Antiqua"/>
          <w:color w:val="000000"/>
        </w:rPr>
        <w:t xml:space="preserve">, Schneider HJ, Stalla GK, Holsboer F, Zihl J. The effect of growth hormone substitution on cognitive performance in adult patients with hypopituitarism. </w:t>
      </w:r>
      <w:r w:rsidRPr="00C25019">
        <w:rPr>
          <w:rFonts w:ascii="Book Antiqua" w:eastAsia="Book Antiqua" w:hAnsi="Book Antiqua" w:cs="Book Antiqua"/>
          <w:i/>
          <w:iCs/>
          <w:color w:val="000000"/>
        </w:rPr>
        <w:t>Psychoneuroendocrinology</w:t>
      </w:r>
      <w:r w:rsidRPr="00C25019">
        <w:rPr>
          <w:rFonts w:ascii="Book Antiqua" w:eastAsia="Book Antiqua" w:hAnsi="Book Antiqua" w:cs="Book Antiqua"/>
          <w:color w:val="000000"/>
        </w:rPr>
        <w:t xml:space="preserve"> 2004; </w:t>
      </w:r>
      <w:r w:rsidRPr="00C25019">
        <w:rPr>
          <w:rFonts w:ascii="Book Antiqua" w:eastAsia="Book Antiqua" w:hAnsi="Book Antiqua" w:cs="Book Antiqua"/>
          <w:b/>
          <w:bCs/>
          <w:color w:val="000000"/>
        </w:rPr>
        <w:t>29</w:t>
      </w:r>
      <w:r w:rsidRPr="00C25019">
        <w:rPr>
          <w:rFonts w:ascii="Book Antiqua" w:eastAsia="Book Antiqua" w:hAnsi="Book Antiqua" w:cs="Book Antiqua"/>
          <w:color w:val="000000"/>
        </w:rPr>
        <w:t>: 839-850 [PMID: 15177699 DOI: 10.1016/s0306-4530(03)00151-3]</w:t>
      </w:r>
    </w:p>
    <w:p w14:paraId="41D2758A"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28 </w:t>
      </w:r>
      <w:r w:rsidRPr="00C25019">
        <w:rPr>
          <w:rFonts w:ascii="Book Antiqua" w:eastAsia="Book Antiqua" w:hAnsi="Book Antiqua" w:cs="Book Antiqua"/>
          <w:b/>
          <w:bCs/>
          <w:color w:val="000000"/>
        </w:rPr>
        <w:t>Mossberg KA</w:t>
      </w:r>
      <w:r w:rsidRPr="00C25019">
        <w:rPr>
          <w:rFonts w:ascii="Book Antiqua" w:eastAsia="Book Antiqua" w:hAnsi="Book Antiqua" w:cs="Book Antiqua"/>
          <w:color w:val="000000"/>
        </w:rPr>
        <w:t xml:space="preserve">, Durham WJ, Zgaljardic DJ, Gilkison CR, Danesi CP, Sheffield-Moore M, Masel BE, Urban RJ. Functional Changes after Recombinant Human Growth Hormone Replacement in Patients with Chronic Traumatic Brain Injury and Abnormal Growth Hormone Secretion. </w:t>
      </w:r>
      <w:r w:rsidRPr="00C25019">
        <w:rPr>
          <w:rFonts w:ascii="Book Antiqua" w:eastAsia="Book Antiqua" w:hAnsi="Book Antiqua" w:cs="Book Antiqua"/>
          <w:i/>
          <w:iCs/>
          <w:color w:val="000000"/>
        </w:rPr>
        <w:t>J Neurotrauma</w:t>
      </w:r>
      <w:r w:rsidRPr="00C25019">
        <w:rPr>
          <w:rFonts w:ascii="Book Antiqua" w:eastAsia="Book Antiqua" w:hAnsi="Book Antiqua" w:cs="Book Antiqua"/>
          <w:color w:val="000000"/>
        </w:rPr>
        <w:t xml:space="preserve"> 2017; </w:t>
      </w:r>
      <w:r w:rsidRPr="00C25019">
        <w:rPr>
          <w:rFonts w:ascii="Book Antiqua" w:eastAsia="Book Antiqua" w:hAnsi="Book Antiqua" w:cs="Book Antiqua"/>
          <w:b/>
          <w:bCs/>
          <w:color w:val="000000"/>
        </w:rPr>
        <w:t>34</w:t>
      </w:r>
      <w:r w:rsidRPr="00C25019">
        <w:rPr>
          <w:rFonts w:ascii="Book Antiqua" w:eastAsia="Book Antiqua" w:hAnsi="Book Antiqua" w:cs="Book Antiqua"/>
          <w:color w:val="000000"/>
        </w:rPr>
        <w:t>: 845-852 [PMID: 27627580 DOI: 10.1089/neu.2016.4552]</w:t>
      </w:r>
    </w:p>
    <w:p w14:paraId="41F40FF1"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29 </w:t>
      </w:r>
      <w:r w:rsidRPr="00C25019">
        <w:rPr>
          <w:rFonts w:ascii="Book Antiqua" w:eastAsia="Book Antiqua" w:hAnsi="Book Antiqua" w:cs="Book Antiqua"/>
          <w:b/>
          <w:bCs/>
          <w:color w:val="000000"/>
        </w:rPr>
        <w:t>Devesa J</w:t>
      </w:r>
      <w:r w:rsidRPr="00C25019">
        <w:rPr>
          <w:rFonts w:ascii="Book Antiqua" w:eastAsia="Book Antiqua" w:hAnsi="Book Antiqua" w:cs="Book Antiqua"/>
          <w:color w:val="000000"/>
        </w:rPr>
        <w:t xml:space="preserve">, Reimunde P, Devesa P, Barberá M, Arce V. Growth hormone (GH) and brain trauma. </w:t>
      </w:r>
      <w:r w:rsidRPr="00C25019">
        <w:rPr>
          <w:rFonts w:ascii="Book Antiqua" w:eastAsia="Book Antiqua" w:hAnsi="Book Antiqua" w:cs="Book Antiqua"/>
          <w:i/>
          <w:iCs/>
          <w:color w:val="000000"/>
        </w:rPr>
        <w:t>Horm Behav</w:t>
      </w:r>
      <w:r w:rsidRPr="00C25019">
        <w:rPr>
          <w:rFonts w:ascii="Book Antiqua" w:eastAsia="Book Antiqua" w:hAnsi="Book Antiqua" w:cs="Book Antiqua"/>
          <w:color w:val="000000"/>
        </w:rPr>
        <w:t xml:space="preserve"> 2013; </w:t>
      </w:r>
      <w:r w:rsidRPr="00C25019">
        <w:rPr>
          <w:rFonts w:ascii="Book Antiqua" w:eastAsia="Book Antiqua" w:hAnsi="Book Antiqua" w:cs="Book Antiqua"/>
          <w:b/>
          <w:bCs/>
          <w:color w:val="000000"/>
        </w:rPr>
        <w:t>63</w:t>
      </w:r>
      <w:r w:rsidRPr="00C25019">
        <w:rPr>
          <w:rFonts w:ascii="Book Antiqua" w:eastAsia="Book Antiqua" w:hAnsi="Book Antiqua" w:cs="Book Antiqua"/>
          <w:color w:val="000000"/>
        </w:rPr>
        <w:t>: 331-344 [PMID: 22405763 DOI: 10.1016/j.yhbeh.2012.02.022]</w:t>
      </w:r>
    </w:p>
    <w:p w14:paraId="4B145E1A"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30 </w:t>
      </w:r>
      <w:r w:rsidRPr="00C25019">
        <w:rPr>
          <w:rFonts w:ascii="Book Antiqua" w:eastAsia="Book Antiqua" w:hAnsi="Book Antiqua" w:cs="Book Antiqua"/>
          <w:b/>
          <w:bCs/>
          <w:color w:val="000000"/>
        </w:rPr>
        <w:t>Martínez-Moreno CG</w:t>
      </w:r>
      <w:r w:rsidRPr="00C25019">
        <w:rPr>
          <w:rFonts w:ascii="Book Antiqua" w:eastAsia="Book Antiqua" w:hAnsi="Book Antiqua" w:cs="Book Antiqua"/>
          <w:color w:val="000000"/>
        </w:rPr>
        <w:t xml:space="preserve">, Calderón-Vallejo D, Harvey S, Arámburo C, Quintanar JL. Growth Hormone (GH) and Gonadotropin-Releasing Hormone (GnRH) in the Central Nervous System: A Potential Neurological Combinatory Therapy? </w:t>
      </w:r>
      <w:r w:rsidRPr="00C25019">
        <w:rPr>
          <w:rFonts w:ascii="Book Antiqua" w:eastAsia="Book Antiqua" w:hAnsi="Book Antiqua" w:cs="Book Antiqua"/>
          <w:i/>
          <w:iCs/>
          <w:color w:val="000000"/>
        </w:rPr>
        <w:t>Int J Mol Sci</w:t>
      </w:r>
      <w:r w:rsidRPr="00C25019">
        <w:rPr>
          <w:rFonts w:ascii="Book Antiqua" w:eastAsia="Book Antiqua" w:hAnsi="Book Antiqua" w:cs="Book Antiqua"/>
          <w:color w:val="000000"/>
        </w:rPr>
        <w:t xml:space="preserve"> 2018; </w:t>
      </w:r>
      <w:r w:rsidRPr="00C25019">
        <w:rPr>
          <w:rFonts w:ascii="Book Antiqua" w:eastAsia="Book Antiqua" w:hAnsi="Book Antiqua" w:cs="Book Antiqua"/>
          <w:b/>
          <w:bCs/>
          <w:color w:val="000000"/>
        </w:rPr>
        <w:t>19</w:t>
      </w:r>
      <w:r w:rsidRPr="00C25019">
        <w:rPr>
          <w:rFonts w:ascii="Book Antiqua" w:eastAsia="Book Antiqua" w:hAnsi="Book Antiqua" w:cs="Book Antiqua"/>
          <w:color w:val="000000"/>
        </w:rPr>
        <w:t>: [PMID: 29373545 DOI: 10.3390/ijms19020375]</w:t>
      </w:r>
    </w:p>
    <w:p w14:paraId="676AE535"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31 </w:t>
      </w:r>
      <w:r w:rsidRPr="00C25019">
        <w:rPr>
          <w:rFonts w:ascii="Book Antiqua" w:eastAsia="Book Antiqua" w:hAnsi="Book Antiqua" w:cs="Book Antiqua"/>
          <w:b/>
          <w:bCs/>
          <w:color w:val="000000"/>
        </w:rPr>
        <w:t>Zhu H</w:t>
      </w:r>
      <w:r w:rsidRPr="00C25019">
        <w:rPr>
          <w:rFonts w:ascii="Book Antiqua" w:eastAsia="Book Antiqua" w:hAnsi="Book Antiqua" w:cs="Book Antiqua"/>
          <w:color w:val="000000"/>
        </w:rPr>
        <w:t xml:space="preserve">, Xu Y, Gong F, Shan G, Yang H, Xu K, Zhang D, Cheng X, Zhang Z, Chen S, Wang L, Pan H. Reference ranges for serum insulin-like growth factor I (IGF-I) in healthy Chinese adults. </w:t>
      </w:r>
      <w:r w:rsidRPr="00C25019">
        <w:rPr>
          <w:rFonts w:ascii="Book Antiqua" w:eastAsia="Book Antiqua" w:hAnsi="Book Antiqua" w:cs="Book Antiqua"/>
          <w:i/>
          <w:iCs/>
          <w:color w:val="000000"/>
        </w:rPr>
        <w:t>PLoS One</w:t>
      </w:r>
      <w:r w:rsidRPr="00C25019">
        <w:rPr>
          <w:rFonts w:ascii="Book Antiqua" w:eastAsia="Book Antiqua" w:hAnsi="Book Antiqua" w:cs="Book Antiqua"/>
          <w:color w:val="000000"/>
        </w:rPr>
        <w:t xml:space="preserve"> 2017; </w:t>
      </w:r>
      <w:r w:rsidRPr="00C25019">
        <w:rPr>
          <w:rFonts w:ascii="Book Antiqua" w:eastAsia="Book Antiqua" w:hAnsi="Book Antiqua" w:cs="Book Antiqua"/>
          <w:b/>
          <w:bCs/>
          <w:color w:val="000000"/>
        </w:rPr>
        <w:t>12</w:t>
      </w:r>
      <w:r w:rsidRPr="00C25019">
        <w:rPr>
          <w:rFonts w:ascii="Book Antiqua" w:eastAsia="Book Antiqua" w:hAnsi="Book Antiqua" w:cs="Book Antiqua"/>
          <w:color w:val="000000"/>
        </w:rPr>
        <w:t>: e0185561 [PMID: 28976993 DOI: 10.1371/journal.pone.0185561]</w:t>
      </w:r>
    </w:p>
    <w:p w14:paraId="0AE81353"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32 </w:t>
      </w:r>
      <w:r w:rsidRPr="00C25019">
        <w:rPr>
          <w:rFonts w:ascii="Book Antiqua" w:eastAsia="Book Antiqua" w:hAnsi="Book Antiqua" w:cs="Book Antiqua"/>
          <w:b/>
          <w:bCs/>
          <w:color w:val="000000"/>
        </w:rPr>
        <w:t>Tang JH</w:t>
      </w:r>
      <w:r w:rsidRPr="00C25019">
        <w:rPr>
          <w:rFonts w:ascii="Book Antiqua" w:eastAsia="Book Antiqua" w:hAnsi="Book Antiqua" w:cs="Book Antiqua"/>
          <w:color w:val="000000"/>
        </w:rPr>
        <w:t xml:space="preserve">, Ma LL, Yu TX, Zheng J, Zhang HJ, Liang H, Shao P. Insulin-like growth factor-1 as a prognostic marker in patients with acute ischemic stroke. </w:t>
      </w:r>
      <w:r w:rsidRPr="00C25019">
        <w:rPr>
          <w:rFonts w:ascii="Book Antiqua" w:eastAsia="Book Antiqua" w:hAnsi="Book Antiqua" w:cs="Book Antiqua"/>
          <w:i/>
          <w:iCs/>
          <w:color w:val="000000"/>
        </w:rPr>
        <w:t>PLoS One</w:t>
      </w:r>
      <w:r w:rsidRPr="00C25019">
        <w:rPr>
          <w:rFonts w:ascii="Book Antiqua" w:eastAsia="Book Antiqua" w:hAnsi="Book Antiqua" w:cs="Book Antiqua"/>
          <w:color w:val="000000"/>
        </w:rPr>
        <w:t xml:space="preserve"> 2014; </w:t>
      </w:r>
      <w:r w:rsidRPr="00C25019">
        <w:rPr>
          <w:rFonts w:ascii="Book Antiqua" w:eastAsia="Book Antiqua" w:hAnsi="Book Antiqua" w:cs="Book Antiqua"/>
          <w:b/>
          <w:bCs/>
          <w:color w:val="000000"/>
        </w:rPr>
        <w:t>9</w:t>
      </w:r>
      <w:r w:rsidRPr="00C25019">
        <w:rPr>
          <w:rFonts w:ascii="Book Antiqua" w:eastAsia="Book Antiqua" w:hAnsi="Book Antiqua" w:cs="Book Antiqua"/>
          <w:color w:val="000000"/>
        </w:rPr>
        <w:t>: e99186 [PMID: 24911265 DOI: 10.1371/journal.pone.0099186]</w:t>
      </w:r>
    </w:p>
    <w:p w14:paraId="043A0E4E"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33 </w:t>
      </w:r>
      <w:r w:rsidRPr="00C25019">
        <w:rPr>
          <w:rFonts w:ascii="Book Antiqua" w:eastAsia="Book Antiqua" w:hAnsi="Book Antiqua" w:cs="Book Antiqua"/>
          <w:b/>
          <w:bCs/>
          <w:color w:val="000000"/>
        </w:rPr>
        <w:t>Aleman A</w:t>
      </w:r>
      <w:r w:rsidRPr="00C25019">
        <w:rPr>
          <w:rFonts w:ascii="Book Antiqua" w:eastAsia="Book Antiqua" w:hAnsi="Book Antiqua" w:cs="Book Antiqua"/>
          <w:color w:val="000000"/>
        </w:rPr>
        <w:t xml:space="preserve">, Verhaar HJ, De Haan EH, De Vries WR, Samson MM, Drent ML, Van der Veen EA, Koppeschaar HP. Insulin-like growth factor-I and cognitive function in healthy older men. </w:t>
      </w:r>
      <w:r w:rsidRPr="00C25019">
        <w:rPr>
          <w:rFonts w:ascii="Book Antiqua" w:eastAsia="Book Antiqua" w:hAnsi="Book Antiqua" w:cs="Book Antiqua"/>
          <w:i/>
          <w:iCs/>
          <w:color w:val="000000"/>
        </w:rPr>
        <w:t>J Clin Endocrinol Metab</w:t>
      </w:r>
      <w:r w:rsidRPr="00C25019">
        <w:rPr>
          <w:rFonts w:ascii="Book Antiqua" w:eastAsia="Book Antiqua" w:hAnsi="Book Antiqua" w:cs="Book Antiqua"/>
          <w:color w:val="000000"/>
        </w:rPr>
        <w:t xml:space="preserve"> 1999; </w:t>
      </w:r>
      <w:r w:rsidRPr="00C25019">
        <w:rPr>
          <w:rFonts w:ascii="Book Antiqua" w:eastAsia="Book Antiqua" w:hAnsi="Book Antiqua" w:cs="Book Antiqua"/>
          <w:b/>
          <w:bCs/>
          <w:color w:val="000000"/>
        </w:rPr>
        <w:t>84</w:t>
      </w:r>
      <w:r w:rsidRPr="00C25019">
        <w:rPr>
          <w:rFonts w:ascii="Book Antiqua" w:eastAsia="Book Antiqua" w:hAnsi="Book Antiqua" w:cs="Book Antiqua"/>
          <w:color w:val="000000"/>
        </w:rPr>
        <w:t>: 471-475 [PMID: 10022403 DOI: 10.1210/jcem.84.2.5455]</w:t>
      </w:r>
    </w:p>
    <w:p w14:paraId="42436DD3"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34 </w:t>
      </w:r>
      <w:r w:rsidRPr="00C25019">
        <w:rPr>
          <w:rFonts w:ascii="Book Antiqua" w:eastAsia="Book Antiqua" w:hAnsi="Book Antiqua" w:cs="Book Antiqua"/>
          <w:b/>
          <w:bCs/>
          <w:color w:val="000000"/>
        </w:rPr>
        <w:t>Wennberg AMV</w:t>
      </w:r>
      <w:r w:rsidRPr="00C25019">
        <w:rPr>
          <w:rFonts w:ascii="Book Antiqua" w:eastAsia="Book Antiqua" w:hAnsi="Book Antiqua" w:cs="Book Antiqua"/>
          <w:color w:val="000000"/>
        </w:rPr>
        <w:t xml:space="preserve">, Hagen CE, Machulda MM, Hollman JH, Roberts RO, Knopman DS, Petersen RC, Mielke MM. The association between peripheral total IGF-1, IGFBP-3, and IGF-1/IGFBP-3 and functional and cognitive outcomes in the Mayo Clinic Study of Aging. </w:t>
      </w:r>
      <w:r w:rsidRPr="00C25019">
        <w:rPr>
          <w:rFonts w:ascii="Book Antiqua" w:eastAsia="Book Antiqua" w:hAnsi="Book Antiqua" w:cs="Book Antiqua"/>
          <w:i/>
          <w:iCs/>
          <w:color w:val="000000"/>
        </w:rPr>
        <w:t>Neurobiol Aging</w:t>
      </w:r>
      <w:r w:rsidRPr="00C25019">
        <w:rPr>
          <w:rFonts w:ascii="Book Antiqua" w:eastAsia="Book Antiqua" w:hAnsi="Book Antiqua" w:cs="Book Antiqua"/>
          <w:color w:val="000000"/>
        </w:rPr>
        <w:t xml:space="preserve"> 2018; </w:t>
      </w:r>
      <w:r w:rsidRPr="00C25019">
        <w:rPr>
          <w:rFonts w:ascii="Book Antiqua" w:eastAsia="Book Antiqua" w:hAnsi="Book Antiqua" w:cs="Book Antiqua"/>
          <w:b/>
          <w:bCs/>
          <w:color w:val="000000"/>
        </w:rPr>
        <w:t>66</w:t>
      </w:r>
      <w:r w:rsidRPr="00C25019">
        <w:rPr>
          <w:rFonts w:ascii="Book Antiqua" w:eastAsia="Book Antiqua" w:hAnsi="Book Antiqua" w:cs="Book Antiqua"/>
          <w:color w:val="000000"/>
        </w:rPr>
        <w:t>: 68-74 [PMID: 29547749 DOI: 10.1016/j.neurobiolaging.2017.11.017]</w:t>
      </w:r>
    </w:p>
    <w:p w14:paraId="2FD906EE"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 xml:space="preserve">35 </w:t>
      </w:r>
      <w:r w:rsidRPr="00C25019">
        <w:rPr>
          <w:rFonts w:ascii="Book Antiqua" w:eastAsia="Book Antiqua" w:hAnsi="Book Antiqua" w:cs="Book Antiqua"/>
          <w:b/>
          <w:bCs/>
          <w:color w:val="000000"/>
        </w:rPr>
        <w:t>van Bunderen CC</w:t>
      </w:r>
      <w:r w:rsidRPr="00C25019">
        <w:rPr>
          <w:rFonts w:ascii="Book Antiqua" w:eastAsia="Book Antiqua" w:hAnsi="Book Antiqua" w:cs="Book Antiqua"/>
          <w:color w:val="000000"/>
        </w:rPr>
        <w:t xml:space="preserve">, Deijen JB, Drent ML. Effect of low-normal and high-normal IGF-1 levels on memory and wellbeing during growth hormone replacement therapy: a randomized clinical trial in adult growth hormone deficiency. </w:t>
      </w:r>
      <w:r w:rsidRPr="00C25019">
        <w:rPr>
          <w:rFonts w:ascii="Book Antiqua" w:eastAsia="Book Antiqua" w:hAnsi="Book Antiqua" w:cs="Book Antiqua"/>
          <w:i/>
          <w:iCs/>
          <w:color w:val="000000"/>
        </w:rPr>
        <w:t>Health Qual Life Outcomes</w:t>
      </w:r>
      <w:r w:rsidRPr="00C25019">
        <w:rPr>
          <w:rFonts w:ascii="Book Antiqua" w:eastAsia="Book Antiqua" w:hAnsi="Book Antiqua" w:cs="Book Antiqua"/>
          <w:color w:val="000000"/>
        </w:rPr>
        <w:t xml:space="preserve"> 2018; </w:t>
      </w:r>
      <w:r w:rsidRPr="00C25019">
        <w:rPr>
          <w:rFonts w:ascii="Book Antiqua" w:eastAsia="Book Antiqua" w:hAnsi="Book Antiqua" w:cs="Book Antiqua"/>
          <w:b/>
          <w:bCs/>
          <w:color w:val="000000"/>
        </w:rPr>
        <w:t>16</w:t>
      </w:r>
      <w:r w:rsidRPr="00C25019">
        <w:rPr>
          <w:rFonts w:ascii="Book Antiqua" w:eastAsia="Book Antiqua" w:hAnsi="Book Antiqua" w:cs="Book Antiqua"/>
          <w:color w:val="000000"/>
        </w:rPr>
        <w:t>: 135 [PMID: 29980224 DOI: 10.1186/s12955-018-0963-2]</w:t>
      </w:r>
    </w:p>
    <w:p w14:paraId="594A6C5A" w14:textId="77777777" w:rsidR="00A77B3E" w:rsidRPr="00C25019" w:rsidRDefault="00A77B3E" w:rsidP="00C25019">
      <w:pPr>
        <w:snapToGrid w:val="0"/>
        <w:spacing w:line="360" w:lineRule="auto"/>
        <w:jc w:val="both"/>
        <w:rPr>
          <w:rFonts w:ascii="Book Antiqua" w:hAnsi="Book Antiqua"/>
        </w:rPr>
        <w:sectPr w:rsidR="00A77B3E" w:rsidRPr="00C25019" w:rsidSect="00581185">
          <w:pgSz w:w="12240" w:h="15840"/>
          <w:pgMar w:top="1440" w:right="1800" w:bottom="1440" w:left="1800" w:header="720" w:footer="720" w:gutter="0"/>
          <w:cols w:space="720"/>
          <w:docGrid w:linePitch="360"/>
        </w:sectPr>
      </w:pPr>
    </w:p>
    <w:p w14:paraId="172B9C94"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Footnotes</w:t>
      </w:r>
    </w:p>
    <w:p w14:paraId="7F22921C"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Informed consent statement: </w:t>
      </w:r>
      <w:r w:rsidRPr="00C25019">
        <w:rPr>
          <w:rFonts w:ascii="Book Antiqua" w:eastAsia="Book Antiqua" w:hAnsi="Book Antiqua" w:cs="Book Antiqua"/>
          <w:color w:val="000000"/>
        </w:rPr>
        <w:t>Written</w:t>
      </w:r>
      <w:r w:rsidRPr="00C25019">
        <w:rPr>
          <w:rFonts w:ascii="Book Antiqua" w:eastAsia="Book Antiqua" w:hAnsi="Book Antiqua" w:cs="Book Antiqua"/>
          <w:b/>
          <w:bCs/>
          <w:color w:val="000000"/>
        </w:rPr>
        <w:t xml:space="preserve"> </w:t>
      </w:r>
      <w:r w:rsidRPr="00C25019">
        <w:rPr>
          <w:rFonts w:ascii="Book Antiqua" w:eastAsia="Book Antiqua" w:hAnsi="Book Antiqua" w:cs="Book Antiqua"/>
          <w:color w:val="000000"/>
        </w:rPr>
        <w:t>informed consent was obtained from the patient before the publication of this report and accompanying images.</w:t>
      </w:r>
    </w:p>
    <w:p w14:paraId="6C4C2CC9" w14:textId="77777777" w:rsidR="00A77B3E" w:rsidRPr="00C25019" w:rsidRDefault="00A77B3E" w:rsidP="00C25019">
      <w:pPr>
        <w:snapToGrid w:val="0"/>
        <w:spacing w:line="360" w:lineRule="auto"/>
        <w:jc w:val="both"/>
        <w:rPr>
          <w:rFonts w:ascii="Book Antiqua" w:hAnsi="Book Antiqua"/>
        </w:rPr>
      </w:pPr>
    </w:p>
    <w:p w14:paraId="415F1B86" w14:textId="3930BB1C"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Conflict-of-interest statement: </w:t>
      </w:r>
      <w:r w:rsidRPr="00C25019">
        <w:rPr>
          <w:rFonts w:ascii="Book Antiqua" w:eastAsia="Book Antiqua" w:hAnsi="Book Antiqua" w:cs="Book Antiqua"/>
          <w:color w:val="000000"/>
        </w:rPr>
        <w:t>The authors declare that they have no conflicts of interest.</w:t>
      </w:r>
    </w:p>
    <w:p w14:paraId="78AFAAEF" w14:textId="77777777" w:rsidR="00A77B3E" w:rsidRPr="00C25019" w:rsidRDefault="00A77B3E" w:rsidP="00C25019">
      <w:pPr>
        <w:snapToGrid w:val="0"/>
        <w:spacing w:line="360" w:lineRule="auto"/>
        <w:jc w:val="both"/>
        <w:rPr>
          <w:rFonts w:ascii="Book Antiqua" w:hAnsi="Book Antiqua"/>
        </w:rPr>
      </w:pPr>
    </w:p>
    <w:p w14:paraId="063D8911"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CARE Checklist (2016) statement: </w:t>
      </w:r>
      <w:r w:rsidRPr="00C25019">
        <w:rPr>
          <w:rFonts w:ascii="Book Antiqua" w:eastAsia="Book Antiqua" w:hAnsi="Book Antiqua" w:cs="Book Antiqua"/>
          <w:color w:val="000000"/>
        </w:rPr>
        <w:t>The authors have read the CARE Checklist (2016), and the manuscript was prepared and revised according to the CARE Checklist (2016).</w:t>
      </w:r>
    </w:p>
    <w:p w14:paraId="01BFF692" w14:textId="77777777" w:rsidR="00A77B3E" w:rsidRPr="00C25019" w:rsidRDefault="00A77B3E" w:rsidP="00C25019">
      <w:pPr>
        <w:snapToGrid w:val="0"/>
        <w:spacing w:line="360" w:lineRule="auto"/>
        <w:jc w:val="both"/>
        <w:rPr>
          <w:rFonts w:ascii="Book Antiqua" w:hAnsi="Book Antiqua"/>
        </w:rPr>
      </w:pPr>
    </w:p>
    <w:p w14:paraId="3C62E4A7"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bCs/>
          <w:color w:val="000000"/>
        </w:rPr>
        <w:t xml:space="preserve">Open-Access: </w:t>
      </w:r>
      <w:r w:rsidRPr="00C2501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EABB8E" w14:textId="77777777" w:rsidR="00A77B3E" w:rsidRPr="00C25019" w:rsidRDefault="00A77B3E" w:rsidP="00C25019">
      <w:pPr>
        <w:snapToGrid w:val="0"/>
        <w:spacing w:line="360" w:lineRule="auto"/>
        <w:jc w:val="both"/>
        <w:rPr>
          <w:rFonts w:ascii="Book Antiqua" w:hAnsi="Book Antiqua"/>
        </w:rPr>
      </w:pPr>
    </w:p>
    <w:p w14:paraId="2029FBBF" w14:textId="0C0CD7B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Manuscript source: </w:t>
      </w:r>
      <w:r w:rsidRPr="00C25019">
        <w:rPr>
          <w:rFonts w:ascii="Book Antiqua" w:eastAsia="Book Antiqua" w:hAnsi="Book Antiqua" w:cs="Book Antiqua"/>
          <w:color w:val="000000"/>
        </w:rPr>
        <w:t xml:space="preserve">Unsolicited </w:t>
      </w:r>
      <w:r w:rsidR="00976E37" w:rsidRPr="00C25019">
        <w:rPr>
          <w:rFonts w:ascii="Book Antiqua" w:eastAsia="Book Antiqua" w:hAnsi="Book Antiqua" w:cs="Book Antiqua"/>
          <w:color w:val="000000"/>
        </w:rPr>
        <w:t>m</w:t>
      </w:r>
      <w:r w:rsidRPr="00C25019">
        <w:rPr>
          <w:rFonts w:ascii="Book Antiqua" w:eastAsia="Book Antiqua" w:hAnsi="Book Antiqua" w:cs="Book Antiqua"/>
          <w:color w:val="000000"/>
        </w:rPr>
        <w:t>anuscript</w:t>
      </w:r>
    </w:p>
    <w:p w14:paraId="05AB9AF8" w14:textId="77777777" w:rsidR="00A77B3E" w:rsidRPr="00C25019" w:rsidRDefault="00A77B3E" w:rsidP="00C25019">
      <w:pPr>
        <w:snapToGrid w:val="0"/>
        <w:spacing w:line="360" w:lineRule="auto"/>
        <w:jc w:val="both"/>
        <w:rPr>
          <w:rFonts w:ascii="Book Antiqua" w:hAnsi="Book Antiqua"/>
        </w:rPr>
      </w:pPr>
    </w:p>
    <w:p w14:paraId="2364C1A3"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Peer-review started: </w:t>
      </w:r>
      <w:r w:rsidRPr="00C25019">
        <w:rPr>
          <w:rFonts w:ascii="Book Antiqua" w:eastAsia="Book Antiqua" w:hAnsi="Book Antiqua" w:cs="Book Antiqua"/>
          <w:color w:val="000000"/>
        </w:rPr>
        <w:t>September 7, 2020</w:t>
      </w:r>
    </w:p>
    <w:p w14:paraId="6B653DC3"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First decision: </w:t>
      </w:r>
      <w:r w:rsidRPr="00C25019">
        <w:rPr>
          <w:rFonts w:ascii="Book Antiqua" w:eastAsia="Book Antiqua" w:hAnsi="Book Antiqua" w:cs="Book Antiqua"/>
          <w:color w:val="000000"/>
        </w:rPr>
        <w:t>September 23, 2020</w:t>
      </w:r>
    </w:p>
    <w:p w14:paraId="25FF60D8" w14:textId="6963BEFB"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Article in press: </w:t>
      </w:r>
      <w:r w:rsidR="00485BB8" w:rsidRPr="00EE1128">
        <w:rPr>
          <w:rFonts w:ascii="Book Antiqua" w:eastAsia="Book Antiqua" w:hAnsi="Book Antiqua" w:cs="Book Antiqua"/>
          <w:color w:val="000000"/>
        </w:rPr>
        <w:t>October 20, 2020</w:t>
      </w:r>
    </w:p>
    <w:p w14:paraId="513313D0" w14:textId="77777777" w:rsidR="00A77B3E" w:rsidRPr="00C25019" w:rsidRDefault="00A77B3E" w:rsidP="00C25019">
      <w:pPr>
        <w:snapToGrid w:val="0"/>
        <w:spacing w:line="360" w:lineRule="auto"/>
        <w:jc w:val="both"/>
        <w:rPr>
          <w:rFonts w:ascii="Book Antiqua" w:hAnsi="Book Antiqua"/>
        </w:rPr>
      </w:pPr>
    </w:p>
    <w:p w14:paraId="2F8BE822" w14:textId="4D4A2F69"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Specialty type: </w:t>
      </w:r>
      <w:r w:rsidR="00976E37" w:rsidRPr="00C25019">
        <w:rPr>
          <w:rFonts w:ascii="Book Antiqua" w:eastAsia="Book Antiqua" w:hAnsi="Book Antiqua" w:cs="Book Antiqua"/>
          <w:color w:val="000000"/>
        </w:rPr>
        <w:t>Medicine, research and experimental</w:t>
      </w:r>
    </w:p>
    <w:p w14:paraId="25552477"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 xml:space="preserve">Country/Territory of origin: </w:t>
      </w:r>
      <w:r w:rsidRPr="00C25019">
        <w:rPr>
          <w:rFonts w:ascii="Book Antiqua" w:eastAsia="Book Antiqua" w:hAnsi="Book Antiqua" w:cs="Book Antiqua"/>
          <w:color w:val="000000"/>
        </w:rPr>
        <w:t>Taiwan</w:t>
      </w:r>
    </w:p>
    <w:p w14:paraId="4E64A0FA"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b/>
          <w:color w:val="000000"/>
        </w:rPr>
        <w:t>Peer-review report’s scientific quality classification</w:t>
      </w:r>
    </w:p>
    <w:p w14:paraId="0580760F"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Grade A (Excellent): A</w:t>
      </w:r>
    </w:p>
    <w:p w14:paraId="2C3DCBC2"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Grade B (Very good): 0</w:t>
      </w:r>
    </w:p>
    <w:p w14:paraId="59BE8EB1"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Grade C (Good): 0</w:t>
      </w:r>
    </w:p>
    <w:p w14:paraId="7E75057F"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Grade D (Fair): 0</w:t>
      </w:r>
    </w:p>
    <w:p w14:paraId="6A60DA3C" w14:textId="77777777" w:rsidR="00A77B3E" w:rsidRPr="00C25019" w:rsidRDefault="00CC3306" w:rsidP="00C25019">
      <w:pPr>
        <w:snapToGrid w:val="0"/>
        <w:spacing w:line="360" w:lineRule="auto"/>
        <w:jc w:val="both"/>
        <w:rPr>
          <w:rFonts w:ascii="Book Antiqua" w:hAnsi="Book Antiqua"/>
        </w:rPr>
      </w:pPr>
      <w:r w:rsidRPr="00C25019">
        <w:rPr>
          <w:rFonts w:ascii="Book Antiqua" w:eastAsia="Book Antiqua" w:hAnsi="Book Antiqua" w:cs="Book Antiqua"/>
          <w:color w:val="000000"/>
        </w:rPr>
        <w:t>Grade E (Poor): 0</w:t>
      </w:r>
    </w:p>
    <w:p w14:paraId="20A12ECD" w14:textId="77777777" w:rsidR="00A77B3E" w:rsidRPr="00C25019" w:rsidRDefault="00A77B3E" w:rsidP="00C25019">
      <w:pPr>
        <w:snapToGrid w:val="0"/>
        <w:spacing w:line="360" w:lineRule="auto"/>
        <w:jc w:val="both"/>
        <w:rPr>
          <w:rFonts w:ascii="Book Antiqua" w:hAnsi="Book Antiqua"/>
        </w:rPr>
      </w:pPr>
    </w:p>
    <w:p w14:paraId="628D43BD" w14:textId="68E98E44" w:rsidR="00A77B3E" w:rsidRPr="00C25019" w:rsidRDefault="00CC3306" w:rsidP="00C25019">
      <w:pPr>
        <w:snapToGrid w:val="0"/>
        <w:spacing w:line="360" w:lineRule="auto"/>
        <w:jc w:val="both"/>
        <w:rPr>
          <w:rFonts w:ascii="Book Antiqua" w:eastAsia="Book Antiqua" w:hAnsi="Book Antiqua" w:cs="Book Antiqua"/>
          <w:b/>
          <w:color w:val="000000"/>
        </w:rPr>
      </w:pPr>
      <w:r w:rsidRPr="00C25019">
        <w:rPr>
          <w:rFonts w:ascii="Book Antiqua" w:eastAsia="Book Antiqua" w:hAnsi="Book Antiqua" w:cs="Book Antiqua"/>
          <w:b/>
          <w:color w:val="000000"/>
        </w:rPr>
        <w:t xml:space="preserve">P-Reviewer: </w:t>
      </w:r>
      <w:r w:rsidRPr="00C25019">
        <w:rPr>
          <w:rFonts w:ascii="Book Antiqua" w:eastAsia="Book Antiqua" w:hAnsi="Book Antiqua" w:cs="Book Antiqua"/>
          <w:color w:val="000000"/>
        </w:rPr>
        <w:t>Mrzljak A</w:t>
      </w:r>
      <w:r w:rsidRPr="00C25019">
        <w:rPr>
          <w:rFonts w:ascii="Book Antiqua" w:eastAsia="Book Antiqua" w:hAnsi="Book Antiqua" w:cs="Book Antiqua"/>
          <w:b/>
          <w:color w:val="000000"/>
        </w:rPr>
        <w:t xml:space="preserve"> S-Editor: </w:t>
      </w:r>
      <w:r w:rsidRPr="00C25019">
        <w:rPr>
          <w:rFonts w:ascii="Book Antiqua" w:eastAsia="Book Antiqua" w:hAnsi="Book Antiqua" w:cs="Book Antiqua"/>
          <w:color w:val="000000"/>
        </w:rPr>
        <w:t>Zhang L</w:t>
      </w:r>
      <w:r w:rsidRPr="00C25019">
        <w:rPr>
          <w:rFonts w:ascii="Book Antiqua" w:eastAsia="Book Antiqua" w:hAnsi="Book Antiqua" w:cs="Book Antiqua"/>
          <w:b/>
          <w:color w:val="000000"/>
        </w:rPr>
        <w:t xml:space="preserve"> L-Editor:</w:t>
      </w:r>
      <w:r w:rsidR="00B760D8">
        <w:rPr>
          <w:rFonts w:ascii="Book Antiqua" w:eastAsia="Book Antiqua" w:hAnsi="Book Antiqua" w:cs="Book Antiqua"/>
          <w:b/>
          <w:color w:val="000000"/>
        </w:rPr>
        <w:t xml:space="preserve"> </w:t>
      </w:r>
      <w:r w:rsidR="00B760D8" w:rsidRPr="00B760D8">
        <w:rPr>
          <w:rFonts w:ascii="Book Antiqua" w:eastAsia="Book Antiqua" w:hAnsi="Book Antiqua" w:cs="Book Antiqua"/>
          <w:bCs/>
          <w:color w:val="000000"/>
        </w:rPr>
        <w:t>A</w:t>
      </w:r>
      <w:r w:rsidR="005F6E17" w:rsidRPr="00C25019">
        <w:rPr>
          <w:rFonts w:ascii="Book Antiqua" w:eastAsia="Book Antiqua" w:hAnsi="Book Antiqua" w:cs="Book Antiqua"/>
          <w:b/>
          <w:color w:val="000000"/>
        </w:rPr>
        <w:t xml:space="preserve"> </w:t>
      </w:r>
      <w:r w:rsidRPr="00C25019">
        <w:rPr>
          <w:rFonts w:ascii="Book Antiqua" w:eastAsia="Book Antiqua" w:hAnsi="Book Antiqua" w:cs="Book Antiqua"/>
          <w:b/>
          <w:color w:val="000000"/>
        </w:rPr>
        <w:t xml:space="preserve">P-Editor: </w:t>
      </w:r>
      <w:r w:rsidR="00485BB8" w:rsidRPr="0060328B">
        <w:rPr>
          <w:rFonts w:ascii="Book Antiqua" w:eastAsia="Book Antiqua" w:hAnsi="Book Antiqua" w:cs="Book Antiqua"/>
          <w:bCs/>
          <w:color w:val="000000" w:themeColor="text1"/>
        </w:rPr>
        <w:t>Wang LYT</w:t>
      </w:r>
    </w:p>
    <w:p w14:paraId="3209AC0F" w14:textId="77777777" w:rsidR="00976E37" w:rsidRPr="00C25019" w:rsidRDefault="00976E37" w:rsidP="00C25019">
      <w:pPr>
        <w:snapToGrid w:val="0"/>
        <w:spacing w:line="360" w:lineRule="auto"/>
        <w:jc w:val="both"/>
        <w:rPr>
          <w:rFonts w:ascii="Book Antiqua" w:hAnsi="Book Antiqua"/>
        </w:rPr>
        <w:sectPr w:rsidR="00976E37" w:rsidRPr="00C25019" w:rsidSect="00581185">
          <w:pgSz w:w="12240" w:h="15840"/>
          <w:pgMar w:top="1440" w:right="1800" w:bottom="1440" w:left="1800" w:header="720" w:footer="720" w:gutter="0"/>
          <w:cols w:space="720"/>
          <w:docGrid w:linePitch="360"/>
        </w:sectPr>
      </w:pPr>
    </w:p>
    <w:p w14:paraId="559E6649" w14:textId="77777777" w:rsidR="0042155F" w:rsidRPr="00C25019" w:rsidRDefault="00CC3306" w:rsidP="00C25019">
      <w:pPr>
        <w:snapToGrid w:val="0"/>
        <w:spacing w:line="360" w:lineRule="auto"/>
        <w:jc w:val="both"/>
        <w:rPr>
          <w:rFonts w:ascii="Book Antiqua" w:eastAsia="Book Antiqua" w:hAnsi="Book Antiqua" w:cs="Book Antiqua"/>
          <w:b/>
          <w:color w:val="000000"/>
        </w:rPr>
      </w:pPr>
      <w:r w:rsidRPr="00C25019">
        <w:rPr>
          <w:rFonts w:ascii="Book Antiqua" w:eastAsia="Book Antiqua" w:hAnsi="Book Antiqua" w:cs="Book Antiqua"/>
          <w:b/>
          <w:color w:val="000000"/>
        </w:rPr>
        <w:t>Figure Legends</w:t>
      </w:r>
    </w:p>
    <w:p w14:paraId="78A8C4F9" w14:textId="0137D81B" w:rsidR="0042155F" w:rsidRPr="00C25019" w:rsidRDefault="00C25019" w:rsidP="00C25019">
      <w:pPr>
        <w:snapToGrid w:val="0"/>
        <w:spacing w:line="360" w:lineRule="auto"/>
        <w:jc w:val="both"/>
        <w:rPr>
          <w:rFonts w:ascii="Book Antiqua" w:hAnsi="Book Antiqua"/>
          <w:b/>
          <w:bCs/>
          <w:noProof/>
        </w:rPr>
      </w:pPr>
      <w:r w:rsidRPr="00C25019">
        <w:rPr>
          <w:rFonts w:ascii="Book Antiqua" w:hAnsi="Book Antiqua"/>
          <w:b/>
          <w:bCs/>
          <w:noProof/>
          <w:lang w:eastAsia="zh-CN"/>
        </w:rPr>
        <w:drawing>
          <wp:inline distT="0" distB="0" distL="0" distR="0" wp14:anchorId="566A3B68" wp14:editId="35B95F64">
            <wp:extent cx="5486400" cy="27216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721610"/>
                    </a:xfrm>
                    <a:prstGeom prst="rect">
                      <a:avLst/>
                    </a:prstGeom>
                  </pic:spPr>
                </pic:pic>
              </a:graphicData>
            </a:graphic>
          </wp:inline>
        </w:drawing>
      </w:r>
    </w:p>
    <w:p w14:paraId="0B713681" w14:textId="2265F001" w:rsidR="00A77B3E" w:rsidRPr="00C25019" w:rsidRDefault="00CC3306"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b/>
          <w:bCs/>
          <w:color w:val="000000"/>
        </w:rPr>
        <w:t>Figure 1 Body composition and serum markers.</w:t>
      </w:r>
      <w:r w:rsidR="0042155F" w:rsidRPr="00C25019">
        <w:rPr>
          <w:rFonts w:ascii="Book Antiqua" w:hAnsi="Book Antiqua"/>
          <w:lang w:eastAsia="zh-CN"/>
        </w:rPr>
        <w:t xml:space="preserve"> </w:t>
      </w:r>
      <w:r w:rsidRPr="00C25019">
        <w:rPr>
          <w:rFonts w:ascii="Book Antiqua" w:eastAsia="Book Antiqua" w:hAnsi="Book Antiqua" w:cs="Book Antiqua"/>
          <w:color w:val="000000"/>
        </w:rPr>
        <w:t>A</w:t>
      </w:r>
      <w:r w:rsidR="0042155F" w:rsidRPr="00C25019">
        <w:rPr>
          <w:rFonts w:ascii="Book Antiqua" w:eastAsia="Book Antiqua" w:hAnsi="Book Antiqua" w:cs="Book Antiqua"/>
          <w:color w:val="000000"/>
        </w:rPr>
        <w:t>:</w:t>
      </w:r>
      <w:r w:rsidRPr="00C25019">
        <w:rPr>
          <w:rFonts w:ascii="Book Antiqua" w:eastAsia="Book Antiqua" w:hAnsi="Book Antiqua" w:cs="Book Antiqua"/>
          <w:color w:val="000000"/>
        </w:rPr>
        <w:t xml:space="preserve"> </w:t>
      </w:r>
      <w:commentRangeStart w:id="46"/>
      <w:r w:rsidR="00077A28" w:rsidRPr="00C25019">
        <w:rPr>
          <w:rFonts w:ascii="Book Antiqua" w:eastAsia="Book Antiqua" w:hAnsi="Book Antiqua" w:cs="Book Antiqua"/>
          <w:color w:val="000000"/>
        </w:rPr>
        <w:t>The values of insulin-like growth factor-1 (upper) and lipid profiles (lower) were examined every month since the initiation of recombinant human growth hormones treatment</w:t>
      </w:r>
      <w:commentRangeEnd w:id="46"/>
      <w:r w:rsidR="00077A28">
        <w:rPr>
          <w:rStyle w:val="a8"/>
        </w:rPr>
        <w:commentReference w:id="46"/>
      </w:r>
      <w:r w:rsidR="00077A28" w:rsidRPr="00C25019">
        <w:rPr>
          <w:rFonts w:ascii="Book Antiqua" w:eastAsia="Book Antiqua" w:hAnsi="Book Antiqua" w:cs="Book Antiqua"/>
          <w:color w:val="000000"/>
        </w:rPr>
        <w:t>;</w:t>
      </w:r>
      <w:r w:rsidR="00077A28" w:rsidRPr="00C25019" w:rsidDel="00077A28">
        <w:rPr>
          <w:rFonts w:ascii="Book Antiqua" w:eastAsia="Book Antiqua" w:hAnsi="Book Antiqua" w:cs="Book Antiqua"/>
          <w:color w:val="000000"/>
        </w:rPr>
        <w:t xml:space="preserve"> </w:t>
      </w:r>
      <w:r w:rsidRPr="00C25019">
        <w:rPr>
          <w:rFonts w:ascii="Book Antiqua" w:eastAsia="Book Antiqua" w:hAnsi="Book Antiqua" w:cs="Book Antiqua"/>
          <w:color w:val="000000"/>
        </w:rPr>
        <w:t>B</w:t>
      </w:r>
      <w:r w:rsidR="0042155F" w:rsidRPr="00C25019">
        <w:rPr>
          <w:rFonts w:ascii="Book Antiqua" w:eastAsia="Book Antiqua" w:hAnsi="Book Antiqua" w:cs="Book Antiqua"/>
          <w:color w:val="000000"/>
        </w:rPr>
        <w:t>:</w:t>
      </w:r>
      <w:r w:rsidRPr="00C25019">
        <w:rPr>
          <w:rFonts w:ascii="Book Antiqua" w:eastAsia="Book Antiqua" w:hAnsi="Book Antiqua" w:cs="Book Antiqua"/>
          <w:color w:val="000000"/>
        </w:rPr>
        <w:t xml:space="preserve"> </w:t>
      </w:r>
      <w:r w:rsidR="00077A28" w:rsidRPr="00C25019">
        <w:rPr>
          <w:rFonts w:ascii="Book Antiqua" w:eastAsia="Book Antiqua" w:hAnsi="Book Antiqua" w:cs="Book Antiqua"/>
          <w:color w:val="000000"/>
        </w:rPr>
        <w:t>The patient’s body composition was assessed using dual-energy X-ray absorptiometry before and after growth hormone replacement therapy</w:t>
      </w:r>
      <w:r w:rsidRPr="00C25019">
        <w:rPr>
          <w:rFonts w:ascii="Book Antiqua" w:eastAsia="Book Antiqua" w:hAnsi="Book Antiqua" w:cs="Book Antiqua"/>
          <w:color w:val="000000"/>
        </w:rPr>
        <w:t>.</w:t>
      </w:r>
      <w:r w:rsidR="0042155F" w:rsidRPr="00C25019">
        <w:rPr>
          <w:rFonts w:ascii="Book Antiqua" w:eastAsia="Book Antiqua" w:hAnsi="Book Antiqua" w:cs="Book Antiqua"/>
          <w:color w:val="000000"/>
        </w:rPr>
        <w:t xml:space="preserve"> </w:t>
      </w:r>
      <w:r w:rsidRPr="00C25019">
        <w:rPr>
          <w:rFonts w:ascii="Book Antiqua" w:eastAsia="Book Antiqua" w:hAnsi="Book Antiqua" w:cs="Book Antiqua"/>
          <w:color w:val="000000"/>
        </w:rPr>
        <w:t>HDL-C</w:t>
      </w:r>
      <w:r w:rsidR="0042155F" w:rsidRPr="00C25019">
        <w:rPr>
          <w:rFonts w:ascii="Book Antiqua" w:eastAsia="Book Antiqua" w:hAnsi="Book Antiqua" w:cs="Book Antiqua"/>
          <w:color w:val="000000"/>
        </w:rPr>
        <w:t>:</w:t>
      </w:r>
      <w:r w:rsidRPr="00C25019">
        <w:rPr>
          <w:rFonts w:ascii="Book Antiqua" w:eastAsia="Book Antiqua" w:hAnsi="Book Antiqua" w:cs="Book Antiqua"/>
          <w:color w:val="000000"/>
        </w:rPr>
        <w:t xml:space="preserve"> </w:t>
      </w:r>
      <w:r w:rsidR="0042155F" w:rsidRPr="00C25019">
        <w:rPr>
          <w:rFonts w:ascii="Book Antiqua" w:eastAsia="Book Antiqua" w:hAnsi="Book Antiqua" w:cs="Book Antiqua"/>
          <w:color w:val="000000"/>
        </w:rPr>
        <w:t>H</w:t>
      </w:r>
      <w:r w:rsidRPr="00C25019">
        <w:rPr>
          <w:rFonts w:ascii="Book Antiqua" w:eastAsia="Book Antiqua" w:hAnsi="Book Antiqua" w:cs="Book Antiqua"/>
          <w:color w:val="000000"/>
        </w:rPr>
        <w:t>igh-density lipoprotein-cholesterol; IGF-1</w:t>
      </w:r>
      <w:r w:rsidR="0042155F" w:rsidRPr="00C25019">
        <w:rPr>
          <w:rFonts w:ascii="Book Antiqua" w:eastAsia="Book Antiqua" w:hAnsi="Book Antiqua" w:cs="Book Antiqua"/>
          <w:color w:val="000000"/>
        </w:rPr>
        <w:t>:</w:t>
      </w:r>
      <w:r w:rsidRPr="00C25019">
        <w:rPr>
          <w:rFonts w:ascii="Book Antiqua" w:eastAsia="Book Antiqua" w:hAnsi="Book Antiqua" w:cs="Book Antiqua"/>
          <w:color w:val="000000"/>
        </w:rPr>
        <w:t xml:space="preserve"> </w:t>
      </w:r>
      <w:r w:rsidR="0042155F" w:rsidRPr="00C25019">
        <w:rPr>
          <w:rFonts w:ascii="Book Antiqua" w:eastAsia="Book Antiqua" w:hAnsi="Book Antiqua" w:cs="Book Antiqua"/>
          <w:color w:val="000000"/>
        </w:rPr>
        <w:t>I</w:t>
      </w:r>
      <w:r w:rsidRPr="00C25019">
        <w:rPr>
          <w:rFonts w:ascii="Book Antiqua" w:eastAsia="Book Antiqua" w:hAnsi="Book Antiqua" w:cs="Book Antiqua"/>
          <w:color w:val="000000"/>
        </w:rPr>
        <w:t>nsulin-like growth factor-1; LDL-C</w:t>
      </w:r>
      <w:r w:rsidR="0042155F" w:rsidRPr="00C25019">
        <w:rPr>
          <w:rFonts w:ascii="Book Antiqua" w:eastAsia="Book Antiqua" w:hAnsi="Book Antiqua" w:cs="Book Antiqua"/>
          <w:color w:val="000000"/>
        </w:rPr>
        <w:t>: L</w:t>
      </w:r>
      <w:r w:rsidRPr="00C25019">
        <w:rPr>
          <w:rFonts w:ascii="Book Antiqua" w:eastAsia="Book Antiqua" w:hAnsi="Book Antiqua" w:cs="Book Antiqua"/>
          <w:color w:val="000000"/>
        </w:rPr>
        <w:t>ow-density lipoprotein-cholesterol; TC</w:t>
      </w:r>
      <w:r w:rsidR="0042155F" w:rsidRPr="00C25019">
        <w:rPr>
          <w:rFonts w:ascii="Book Antiqua" w:eastAsia="Book Antiqua" w:hAnsi="Book Antiqua" w:cs="Book Antiqua"/>
          <w:color w:val="000000"/>
        </w:rPr>
        <w:t>:</w:t>
      </w:r>
      <w:r w:rsidRPr="00C25019">
        <w:rPr>
          <w:rFonts w:ascii="Book Antiqua" w:eastAsia="Book Antiqua" w:hAnsi="Book Antiqua" w:cs="Book Antiqua"/>
          <w:color w:val="000000"/>
        </w:rPr>
        <w:t xml:space="preserve"> </w:t>
      </w:r>
      <w:r w:rsidR="0042155F" w:rsidRPr="00C25019">
        <w:rPr>
          <w:rFonts w:ascii="Book Antiqua" w:eastAsia="Book Antiqua" w:hAnsi="Book Antiqua" w:cs="Book Antiqua"/>
          <w:color w:val="000000"/>
        </w:rPr>
        <w:t>T</w:t>
      </w:r>
      <w:r w:rsidRPr="00C25019">
        <w:rPr>
          <w:rFonts w:ascii="Book Antiqua" w:eastAsia="Book Antiqua" w:hAnsi="Book Antiqua" w:cs="Book Antiqua"/>
          <w:color w:val="000000"/>
        </w:rPr>
        <w:t>otal cholesterol; TG</w:t>
      </w:r>
      <w:r w:rsidR="0042155F" w:rsidRPr="00C25019">
        <w:rPr>
          <w:rFonts w:ascii="Book Antiqua" w:eastAsia="Book Antiqua" w:hAnsi="Book Antiqua" w:cs="Book Antiqua"/>
          <w:color w:val="000000"/>
        </w:rPr>
        <w:t>:</w:t>
      </w:r>
      <w:r w:rsidRPr="00C25019">
        <w:rPr>
          <w:rFonts w:ascii="Book Antiqua" w:eastAsia="Book Antiqua" w:hAnsi="Book Antiqua" w:cs="Book Antiqua"/>
          <w:color w:val="000000"/>
        </w:rPr>
        <w:t xml:space="preserve"> </w:t>
      </w:r>
      <w:r w:rsidR="0042155F" w:rsidRPr="00C25019">
        <w:rPr>
          <w:rFonts w:ascii="Book Antiqua" w:eastAsia="Book Antiqua" w:hAnsi="Book Antiqua" w:cs="Book Antiqua"/>
          <w:color w:val="000000"/>
        </w:rPr>
        <w:t>T</w:t>
      </w:r>
      <w:r w:rsidRPr="00C25019">
        <w:rPr>
          <w:rFonts w:ascii="Book Antiqua" w:eastAsia="Book Antiqua" w:hAnsi="Book Antiqua" w:cs="Book Antiqua"/>
          <w:color w:val="000000"/>
        </w:rPr>
        <w:t>riglycerides total cholesterol.</w:t>
      </w:r>
    </w:p>
    <w:p w14:paraId="467C02A2" w14:textId="174D8180" w:rsidR="0042155F" w:rsidRPr="00C25019" w:rsidRDefault="0042155F" w:rsidP="00C25019">
      <w:pPr>
        <w:snapToGrid w:val="0"/>
        <w:spacing w:line="360" w:lineRule="auto"/>
        <w:jc w:val="both"/>
        <w:rPr>
          <w:rFonts w:ascii="Book Antiqua" w:hAnsi="Book Antiqua"/>
        </w:rPr>
      </w:pPr>
      <w:r w:rsidRPr="00C25019">
        <w:rPr>
          <w:rFonts w:ascii="Book Antiqua" w:eastAsia="Book Antiqua" w:hAnsi="Book Antiqua" w:cs="Book Antiqua"/>
          <w:color w:val="000000"/>
        </w:rPr>
        <w:br w:type="page"/>
      </w:r>
    </w:p>
    <w:p w14:paraId="1144B5C7" w14:textId="762FB7ED" w:rsidR="00A77B3E" w:rsidRPr="00C25019" w:rsidRDefault="0042155F" w:rsidP="00C25019">
      <w:pPr>
        <w:snapToGrid w:val="0"/>
        <w:spacing w:line="360" w:lineRule="auto"/>
        <w:jc w:val="both"/>
        <w:rPr>
          <w:rFonts w:ascii="Book Antiqua" w:hAnsi="Book Antiqua"/>
        </w:rPr>
      </w:pPr>
      <w:r w:rsidRPr="00C25019">
        <w:rPr>
          <w:rFonts w:ascii="Book Antiqua" w:hAnsi="Book Antiqua"/>
          <w:noProof/>
          <w:lang w:eastAsia="zh-CN"/>
        </w:rPr>
        <w:drawing>
          <wp:inline distT="0" distB="0" distL="0" distR="0" wp14:anchorId="3B799694" wp14:editId="22423835">
            <wp:extent cx="1444857" cy="2895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5950" cy="301803"/>
                    </a:xfrm>
                    <a:prstGeom prst="rect">
                      <a:avLst/>
                    </a:prstGeom>
                    <a:noFill/>
                  </pic:spPr>
                </pic:pic>
              </a:graphicData>
            </a:graphic>
          </wp:inline>
        </w:drawing>
      </w:r>
      <w:r w:rsidRPr="00C25019">
        <w:rPr>
          <w:rFonts w:ascii="Book Antiqua" w:hAnsi="Book Antiqua"/>
          <w:noProof/>
          <w:lang w:eastAsia="zh-CN"/>
        </w:rPr>
        <w:drawing>
          <wp:inline distT="0" distB="0" distL="0" distR="0" wp14:anchorId="0E25EBE1" wp14:editId="41E659A2">
            <wp:extent cx="5706110" cy="168846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6110" cy="1688465"/>
                    </a:xfrm>
                    <a:prstGeom prst="rect">
                      <a:avLst/>
                    </a:prstGeom>
                    <a:noFill/>
                  </pic:spPr>
                </pic:pic>
              </a:graphicData>
            </a:graphic>
          </wp:inline>
        </w:drawing>
      </w:r>
    </w:p>
    <w:p w14:paraId="1FAFF629" w14:textId="63941B64" w:rsidR="0042155F" w:rsidRPr="00C25019" w:rsidRDefault="0042155F" w:rsidP="00C25019">
      <w:pPr>
        <w:snapToGrid w:val="0"/>
        <w:spacing w:line="360" w:lineRule="auto"/>
        <w:jc w:val="both"/>
        <w:rPr>
          <w:rFonts w:ascii="Book Antiqua" w:hAnsi="Book Antiqua"/>
        </w:rPr>
      </w:pPr>
      <w:r w:rsidRPr="00C25019">
        <w:rPr>
          <w:rFonts w:ascii="Book Antiqua" w:hAnsi="Book Antiqua"/>
          <w:noProof/>
          <w:lang w:eastAsia="zh-CN"/>
        </w:rPr>
        <w:drawing>
          <wp:inline distT="0" distB="0" distL="0" distR="0" wp14:anchorId="05B36D6D" wp14:editId="38BA712A">
            <wp:extent cx="5157470" cy="215201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7470" cy="2152015"/>
                    </a:xfrm>
                    <a:prstGeom prst="rect">
                      <a:avLst/>
                    </a:prstGeom>
                    <a:noFill/>
                  </pic:spPr>
                </pic:pic>
              </a:graphicData>
            </a:graphic>
          </wp:inline>
        </w:drawing>
      </w:r>
      <w:r w:rsidRPr="00C25019">
        <w:rPr>
          <w:rFonts w:ascii="Book Antiqua" w:hAnsi="Book Antiqua"/>
          <w:noProof/>
          <w:lang w:eastAsia="zh-CN"/>
        </w:rPr>
        <w:drawing>
          <wp:inline distT="0" distB="0" distL="0" distR="0" wp14:anchorId="3D34A499" wp14:editId="711234E5">
            <wp:extent cx="1330790" cy="2667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0312" cy="306686"/>
                    </a:xfrm>
                    <a:prstGeom prst="rect">
                      <a:avLst/>
                    </a:prstGeom>
                    <a:noFill/>
                  </pic:spPr>
                </pic:pic>
              </a:graphicData>
            </a:graphic>
          </wp:inline>
        </w:drawing>
      </w:r>
    </w:p>
    <w:p w14:paraId="1E1B97A9" w14:textId="300FE5B2" w:rsidR="00A77B3E" w:rsidRPr="00C25019" w:rsidRDefault="00CC3306"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b/>
          <w:bCs/>
          <w:color w:val="000000"/>
        </w:rPr>
        <w:t>Figure 2 Pentagon copying test.</w:t>
      </w:r>
      <w:r w:rsidR="0042155F" w:rsidRPr="00C25019">
        <w:rPr>
          <w:rFonts w:ascii="Book Antiqua" w:hAnsi="Book Antiqua"/>
          <w:lang w:eastAsia="zh-CN"/>
        </w:rPr>
        <w:t xml:space="preserve"> </w:t>
      </w:r>
      <w:r w:rsidRPr="00C25019">
        <w:rPr>
          <w:rFonts w:ascii="Book Antiqua" w:eastAsia="Book Antiqua" w:hAnsi="Book Antiqua" w:cs="Book Antiqua"/>
          <w:color w:val="000000"/>
        </w:rPr>
        <w:t xml:space="preserve">The </w:t>
      </w:r>
      <w:r w:rsidR="0042155F" w:rsidRPr="00C25019">
        <w:rPr>
          <w:rFonts w:ascii="Book Antiqua" w:eastAsia="Book Antiqua" w:hAnsi="Book Antiqua" w:cs="Book Antiqua"/>
          <w:color w:val="000000"/>
        </w:rPr>
        <w:t>Mini-</w:t>
      </w:r>
      <w:r w:rsidR="004545EB">
        <w:rPr>
          <w:rFonts w:ascii="Book Antiqua" w:eastAsia="Book Antiqua" w:hAnsi="Book Antiqua" w:cs="Book Antiqua"/>
          <w:color w:val="000000"/>
        </w:rPr>
        <w:t>M</w:t>
      </w:r>
      <w:r w:rsidR="004545EB" w:rsidRPr="00C25019">
        <w:rPr>
          <w:rFonts w:ascii="Book Antiqua" w:eastAsia="Book Antiqua" w:hAnsi="Book Antiqua" w:cs="Book Antiqua"/>
          <w:color w:val="000000"/>
        </w:rPr>
        <w:t xml:space="preserve">ental </w:t>
      </w:r>
      <w:r w:rsidR="004545EB">
        <w:rPr>
          <w:rFonts w:ascii="Book Antiqua" w:eastAsia="Book Antiqua" w:hAnsi="Book Antiqua" w:cs="Book Antiqua"/>
          <w:color w:val="000000"/>
        </w:rPr>
        <w:t>S</w:t>
      </w:r>
      <w:r w:rsidR="0042155F" w:rsidRPr="00C25019">
        <w:rPr>
          <w:rFonts w:ascii="Book Antiqua" w:eastAsia="Book Antiqua" w:hAnsi="Book Antiqua" w:cs="Book Antiqua"/>
          <w:color w:val="000000"/>
        </w:rPr>
        <w:t xml:space="preserve">tate </w:t>
      </w:r>
      <w:r w:rsidR="004545EB">
        <w:rPr>
          <w:rFonts w:ascii="Book Antiqua" w:eastAsia="Book Antiqua" w:hAnsi="Book Antiqua" w:cs="Book Antiqua"/>
          <w:color w:val="000000"/>
        </w:rPr>
        <w:t>E</w:t>
      </w:r>
      <w:r w:rsidR="0042155F" w:rsidRPr="00C25019">
        <w:rPr>
          <w:rFonts w:ascii="Book Antiqua" w:eastAsia="Book Antiqua" w:hAnsi="Book Antiqua" w:cs="Book Antiqua"/>
          <w:color w:val="000000"/>
        </w:rPr>
        <w:t>xamination</w:t>
      </w:r>
      <w:r w:rsidRPr="00C25019">
        <w:rPr>
          <w:rFonts w:ascii="Book Antiqua" w:eastAsia="Book Antiqua" w:hAnsi="Book Antiqua" w:cs="Book Antiqua"/>
          <w:color w:val="000000"/>
        </w:rPr>
        <w:t xml:space="preserve"> was conducted before and after 6-mo </w:t>
      </w:r>
      <w:r w:rsidR="0042155F" w:rsidRPr="00C25019">
        <w:rPr>
          <w:rFonts w:ascii="Book Antiqua" w:eastAsia="Book Antiqua" w:hAnsi="Book Antiqua" w:cs="Book Antiqua"/>
          <w:color w:val="000000"/>
        </w:rPr>
        <w:t>growth hormone replacement therapy</w:t>
      </w:r>
      <w:r w:rsidRPr="00C25019">
        <w:rPr>
          <w:rFonts w:ascii="Book Antiqua" w:eastAsia="Book Antiqua" w:hAnsi="Book Antiqua" w:cs="Book Antiqua"/>
          <w:color w:val="000000"/>
        </w:rPr>
        <w:t>. The drawings show the patient’s performance in copying the two overlapping pentagons.</w:t>
      </w:r>
    </w:p>
    <w:p w14:paraId="0E6F0E96" w14:textId="1B412E7E" w:rsidR="003627D9" w:rsidRPr="00C25019" w:rsidRDefault="003627D9" w:rsidP="00C25019">
      <w:pPr>
        <w:snapToGrid w:val="0"/>
        <w:spacing w:line="360" w:lineRule="auto"/>
        <w:jc w:val="both"/>
        <w:rPr>
          <w:rFonts w:ascii="Book Antiqua" w:eastAsia="Book Antiqua" w:hAnsi="Book Antiqua" w:cs="Book Antiqua"/>
          <w:b/>
          <w:color w:val="000000"/>
        </w:rPr>
      </w:pPr>
      <w:r w:rsidRPr="00C25019">
        <w:rPr>
          <w:rFonts w:ascii="Book Antiqua" w:eastAsia="Book Antiqua" w:hAnsi="Book Antiqua" w:cs="Book Antiqua"/>
          <w:color w:val="000000"/>
        </w:rPr>
        <w:br w:type="page"/>
      </w:r>
      <w:r w:rsidRPr="00C25019">
        <w:rPr>
          <w:rFonts w:ascii="Book Antiqua" w:eastAsia="Book Antiqua" w:hAnsi="Book Antiqua" w:cs="Book Antiqua"/>
          <w:b/>
          <w:color w:val="000000"/>
        </w:rPr>
        <w:t>Table 1 Body compositions</w:t>
      </w:r>
    </w:p>
    <w:tbl>
      <w:tblPr>
        <w:tblStyle w:val="a7"/>
        <w:tblW w:w="9357"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1630"/>
        <w:gridCol w:w="1736"/>
        <w:gridCol w:w="3304"/>
      </w:tblGrid>
      <w:tr w:rsidR="003627D9" w:rsidRPr="00C25019" w14:paraId="7FC967CA" w14:textId="77777777" w:rsidTr="00C25019">
        <w:tc>
          <w:tcPr>
            <w:tcW w:w="2687" w:type="dxa"/>
            <w:tcBorders>
              <w:top w:val="single" w:sz="4" w:space="0" w:color="auto"/>
              <w:bottom w:val="single" w:sz="4" w:space="0" w:color="auto"/>
            </w:tcBorders>
            <w:vAlign w:val="center"/>
          </w:tcPr>
          <w:p w14:paraId="558F4A30" w14:textId="77777777" w:rsidR="003627D9" w:rsidRPr="00C25019" w:rsidRDefault="003627D9" w:rsidP="00C25019">
            <w:pPr>
              <w:snapToGrid w:val="0"/>
              <w:spacing w:line="360" w:lineRule="auto"/>
              <w:jc w:val="both"/>
              <w:rPr>
                <w:rFonts w:ascii="Book Antiqua" w:eastAsia="Book Antiqua" w:hAnsi="Book Antiqua" w:cs="Book Antiqua"/>
                <w:b/>
                <w:color w:val="000000"/>
              </w:rPr>
            </w:pPr>
          </w:p>
        </w:tc>
        <w:tc>
          <w:tcPr>
            <w:tcW w:w="1630" w:type="dxa"/>
            <w:tcBorders>
              <w:top w:val="single" w:sz="4" w:space="0" w:color="auto"/>
              <w:bottom w:val="single" w:sz="4" w:space="0" w:color="auto"/>
            </w:tcBorders>
            <w:vAlign w:val="center"/>
          </w:tcPr>
          <w:p w14:paraId="751DE807" w14:textId="77777777" w:rsidR="003627D9" w:rsidRPr="00C25019" w:rsidRDefault="003627D9" w:rsidP="00C25019">
            <w:pPr>
              <w:snapToGrid w:val="0"/>
              <w:spacing w:line="360" w:lineRule="auto"/>
              <w:jc w:val="both"/>
              <w:rPr>
                <w:rFonts w:ascii="Book Antiqua" w:eastAsia="Book Antiqua" w:hAnsi="Book Antiqua" w:cs="Book Antiqua"/>
                <w:b/>
                <w:color w:val="000000"/>
              </w:rPr>
            </w:pPr>
            <w:r w:rsidRPr="00C25019">
              <w:rPr>
                <w:rFonts w:ascii="Book Antiqua" w:eastAsia="Book Antiqua" w:hAnsi="Book Antiqua" w:cs="Book Antiqua"/>
                <w:b/>
                <w:color w:val="000000"/>
              </w:rPr>
              <w:t>Pretreatment</w:t>
            </w:r>
          </w:p>
        </w:tc>
        <w:tc>
          <w:tcPr>
            <w:tcW w:w="1736" w:type="dxa"/>
            <w:tcBorders>
              <w:top w:val="single" w:sz="4" w:space="0" w:color="auto"/>
              <w:bottom w:val="single" w:sz="4" w:space="0" w:color="auto"/>
            </w:tcBorders>
            <w:vAlign w:val="center"/>
          </w:tcPr>
          <w:p w14:paraId="175B5785" w14:textId="77777777" w:rsidR="003627D9" w:rsidRPr="00C25019" w:rsidRDefault="003627D9" w:rsidP="00C25019">
            <w:pPr>
              <w:snapToGrid w:val="0"/>
              <w:spacing w:line="360" w:lineRule="auto"/>
              <w:jc w:val="both"/>
              <w:rPr>
                <w:rFonts w:ascii="Book Antiqua" w:eastAsia="Book Antiqua" w:hAnsi="Book Antiqua" w:cs="Book Antiqua"/>
                <w:b/>
                <w:color w:val="000000"/>
              </w:rPr>
            </w:pPr>
            <w:r w:rsidRPr="00C25019">
              <w:rPr>
                <w:rFonts w:ascii="Book Antiqua" w:eastAsia="Book Antiqua" w:hAnsi="Book Antiqua" w:cs="Book Antiqua"/>
                <w:b/>
                <w:color w:val="000000"/>
              </w:rPr>
              <w:t>Posttreatment</w:t>
            </w:r>
          </w:p>
        </w:tc>
        <w:tc>
          <w:tcPr>
            <w:tcW w:w="3304" w:type="dxa"/>
            <w:tcBorders>
              <w:top w:val="single" w:sz="4" w:space="0" w:color="auto"/>
              <w:bottom w:val="single" w:sz="4" w:space="0" w:color="auto"/>
            </w:tcBorders>
            <w:vAlign w:val="center"/>
          </w:tcPr>
          <w:p w14:paraId="26395047" w14:textId="77777777" w:rsidR="003627D9" w:rsidRPr="00C25019" w:rsidRDefault="003627D9" w:rsidP="00C25019">
            <w:pPr>
              <w:snapToGrid w:val="0"/>
              <w:spacing w:line="360" w:lineRule="auto"/>
              <w:jc w:val="both"/>
              <w:rPr>
                <w:rFonts w:ascii="Book Antiqua" w:eastAsia="Book Antiqua" w:hAnsi="Book Antiqua" w:cs="Book Antiqua"/>
                <w:b/>
                <w:color w:val="000000"/>
              </w:rPr>
            </w:pPr>
            <w:r w:rsidRPr="00C25019">
              <w:rPr>
                <w:rFonts w:ascii="Book Antiqua" w:eastAsia="Book Antiqua" w:hAnsi="Book Antiqua" w:cs="Book Antiqua"/>
                <w:b/>
                <w:color w:val="000000"/>
              </w:rPr>
              <w:t>Change from pretreatment</w:t>
            </w:r>
          </w:p>
        </w:tc>
      </w:tr>
      <w:tr w:rsidR="003627D9" w:rsidRPr="00C25019" w14:paraId="34EBCA53" w14:textId="77777777" w:rsidTr="00C25019">
        <w:tc>
          <w:tcPr>
            <w:tcW w:w="2687" w:type="dxa"/>
            <w:tcBorders>
              <w:top w:val="single" w:sz="4" w:space="0" w:color="auto"/>
            </w:tcBorders>
          </w:tcPr>
          <w:p w14:paraId="6C9FB2D5"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Lean body mass (kg)</w:t>
            </w:r>
          </w:p>
        </w:tc>
        <w:tc>
          <w:tcPr>
            <w:tcW w:w="1630" w:type="dxa"/>
            <w:tcBorders>
              <w:top w:val="single" w:sz="4" w:space="0" w:color="auto"/>
            </w:tcBorders>
          </w:tcPr>
          <w:p w14:paraId="459C785C"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37.5</w:t>
            </w:r>
          </w:p>
        </w:tc>
        <w:tc>
          <w:tcPr>
            <w:tcW w:w="1736" w:type="dxa"/>
            <w:tcBorders>
              <w:top w:val="single" w:sz="4" w:space="0" w:color="auto"/>
            </w:tcBorders>
          </w:tcPr>
          <w:p w14:paraId="1EC23951"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40.5</w:t>
            </w:r>
          </w:p>
        </w:tc>
        <w:tc>
          <w:tcPr>
            <w:tcW w:w="3304" w:type="dxa"/>
            <w:tcBorders>
              <w:top w:val="single" w:sz="4" w:space="0" w:color="auto"/>
            </w:tcBorders>
          </w:tcPr>
          <w:p w14:paraId="1C1D8E60" w14:textId="409FFC48"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+3.0</w:t>
            </w:r>
          </w:p>
        </w:tc>
      </w:tr>
      <w:tr w:rsidR="003627D9" w:rsidRPr="00C25019" w14:paraId="0D1126FB" w14:textId="77777777" w:rsidTr="00C25019">
        <w:tc>
          <w:tcPr>
            <w:tcW w:w="2687" w:type="dxa"/>
          </w:tcPr>
          <w:p w14:paraId="54BD96A3"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Fat mass (kg)</w:t>
            </w:r>
          </w:p>
        </w:tc>
        <w:tc>
          <w:tcPr>
            <w:tcW w:w="1630" w:type="dxa"/>
          </w:tcPr>
          <w:p w14:paraId="0848C5CF"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28.6</w:t>
            </w:r>
          </w:p>
        </w:tc>
        <w:tc>
          <w:tcPr>
            <w:tcW w:w="1736" w:type="dxa"/>
          </w:tcPr>
          <w:p w14:paraId="6AD93A76"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24.8</w:t>
            </w:r>
          </w:p>
        </w:tc>
        <w:tc>
          <w:tcPr>
            <w:tcW w:w="3304" w:type="dxa"/>
          </w:tcPr>
          <w:p w14:paraId="2AA4BDC6" w14:textId="549E2C8C"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-3.8</w:t>
            </w:r>
          </w:p>
        </w:tc>
      </w:tr>
      <w:tr w:rsidR="003627D9" w:rsidRPr="00C25019" w14:paraId="79F7BF2F" w14:textId="77777777" w:rsidTr="00C25019">
        <w:tc>
          <w:tcPr>
            <w:tcW w:w="2687" w:type="dxa"/>
          </w:tcPr>
          <w:p w14:paraId="66111AB0"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Fat (%)</w:t>
            </w:r>
          </w:p>
        </w:tc>
        <w:tc>
          <w:tcPr>
            <w:tcW w:w="1630" w:type="dxa"/>
          </w:tcPr>
          <w:p w14:paraId="3939B1EC"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43.3</w:t>
            </w:r>
          </w:p>
        </w:tc>
        <w:tc>
          <w:tcPr>
            <w:tcW w:w="1736" w:type="dxa"/>
          </w:tcPr>
          <w:p w14:paraId="756B785B"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38.0</w:t>
            </w:r>
          </w:p>
        </w:tc>
        <w:tc>
          <w:tcPr>
            <w:tcW w:w="3304" w:type="dxa"/>
          </w:tcPr>
          <w:p w14:paraId="36F54228" w14:textId="531FE142"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-5.3</w:t>
            </w:r>
          </w:p>
        </w:tc>
      </w:tr>
      <w:tr w:rsidR="003627D9" w:rsidRPr="00C25019" w14:paraId="022F3351" w14:textId="77777777" w:rsidTr="00C25019">
        <w:tc>
          <w:tcPr>
            <w:tcW w:w="2687" w:type="dxa"/>
          </w:tcPr>
          <w:p w14:paraId="306E794B"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Weight (kg)</w:t>
            </w:r>
          </w:p>
        </w:tc>
        <w:tc>
          <w:tcPr>
            <w:tcW w:w="1630" w:type="dxa"/>
          </w:tcPr>
          <w:p w14:paraId="192FF89B"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68.0</w:t>
            </w:r>
          </w:p>
        </w:tc>
        <w:tc>
          <w:tcPr>
            <w:tcW w:w="1736" w:type="dxa"/>
          </w:tcPr>
          <w:p w14:paraId="60611B49"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67.0</w:t>
            </w:r>
          </w:p>
        </w:tc>
        <w:tc>
          <w:tcPr>
            <w:tcW w:w="3304" w:type="dxa"/>
          </w:tcPr>
          <w:p w14:paraId="0860BC94" w14:textId="0911781F"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-1.0</w:t>
            </w:r>
          </w:p>
        </w:tc>
      </w:tr>
      <w:tr w:rsidR="003627D9" w:rsidRPr="00C25019" w14:paraId="2D328756" w14:textId="77777777" w:rsidTr="00C25019">
        <w:tc>
          <w:tcPr>
            <w:tcW w:w="2687" w:type="dxa"/>
          </w:tcPr>
          <w:p w14:paraId="67D04AB8"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BMI (kg/m</w:t>
            </w:r>
            <w:r w:rsidRPr="00C25019">
              <w:rPr>
                <w:rFonts w:ascii="Book Antiqua" w:eastAsia="Book Antiqua" w:hAnsi="Book Antiqua" w:cs="Book Antiqua"/>
                <w:bCs/>
                <w:color w:val="000000"/>
                <w:vertAlign w:val="superscript"/>
              </w:rPr>
              <w:t>2</w:t>
            </w:r>
            <w:r w:rsidRPr="00C25019">
              <w:rPr>
                <w:rFonts w:ascii="Book Antiqua" w:eastAsia="Book Antiqua" w:hAnsi="Book Antiqua" w:cs="Book Antiqua"/>
                <w:bCs/>
                <w:color w:val="000000"/>
              </w:rPr>
              <w:t>)</w:t>
            </w:r>
          </w:p>
        </w:tc>
        <w:tc>
          <w:tcPr>
            <w:tcW w:w="1630" w:type="dxa"/>
          </w:tcPr>
          <w:p w14:paraId="3CCF59B3"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29.0</w:t>
            </w:r>
          </w:p>
        </w:tc>
        <w:tc>
          <w:tcPr>
            <w:tcW w:w="1736" w:type="dxa"/>
          </w:tcPr>
          <w:p w14:paraId="79B1053C"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28.6</w:t>
            </w:r>
          </w:p>
        </w:tc>
        <w:tc>
          <w:tcPr>
            <w:tcW w:w="3304" w:type="dxa"/>
          </w:tcPr>
          <w:p w14:paraId="1722CD81" w14:textId="7E39FA40"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-0.4</w:t>
            </w:r>
          </w:p>
        </w:tc>
      </w:tr>
      <w:tr w:rsidR="003627D9" w:rsidRPr="00C25019" w14:paraId="6C307F0F" w14:textId="77777777" w:rsidTr="00C25019">
        <w:tc>
          <w:tcPr>
            <w:tcW w:w="2687" w:type="dxa"/>
          </w:tcPr>
          <w:p w14:paraId="067EADEF" w14:textId="7D634153"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Fat mass/Height</w:t>
            </w:r>
            <w:r w:rsidRPr="00C25019">
              <w:rPr>
                <w:rFonts w:ascii="Book Antiqua" w:eastAsia="Book Antiqua" w:hAnsi="Book Antiqua" w:cs="Book Antiqua"/>
                <w:bCs/>
                <w:color w:val="000000"/>
                <w:vertAlign w:val="superscript"/>
              </w:rPr>
              <w:t>2</w:t>
            </w:r>
          </w:p>
        </w:tc>
        <w:tc>
          <w:tcPr>
            <w:tcW w:w="1630" w:type="dxa"/>
          </w:tcPr>
          <w:p w14:paraId="44E36C6F"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12.2</w:t>
            </w:r>
          </w:p>
        </w:tc>
        <w:tc>
          <w:tcPr>
            <w:tcW w:w="1736" w:type="dxa"/>
          </w:tcPr>
          <w:p w14:paraId="63C3CA85"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10.6</w:t>
            </w:r>
          </w:p>
        </w:tc>
        <w:tc>
          <w:tcPr>
            <w:tcW w:w="3304" w:type="dxa"/>
          </w:tcPr>
          <w:p w14:paraId="693D353E" w14:textId="114263E9"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-1.6</w:t>
            </w:r>
          </w:p>
        </w:tc>
      </w:tr>
      <w:tr w:rsidR="003627D9" w:rsidRPr="00C25019" w14:paraId="17200D38" w14:textId="77777777" w:rsidTr="00C25019">
        <w:tc>
          <w:tcPr>
            <w:tcW w:w="2687" w:type="dxa"/>
          </w:tcPr>
          <w:p w14:paraId="1B87661A"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Lean/Height</w:t>
            </w:r>
            <w:r w:rsidRPr="00C25019">
              <w:rPr>
                <w:rFonts w:ascii="Book Antiqua" w:eastAsia="Book Antiqua" w:hAnsi="Book Antiqua" w:cs="Book Antiqua"/>
                <w:bCs/>
                <w:color w:val="000000"/>
                <w:vertAlign w:val="superscript"/>
              </w:rPr>
              <w:t>2</w:t>
            </w:r>
          </w:p>
        </w:tc>
        <w:tc>
          <w:tcPr>
            <w:tcW w:w="1630" w:type="dxa"/>
          </w:tcPr>
          <w:p w14:paraId="3464AC77"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15.2</w:t>
            </w:r>
          </w:p>
        </w:tc>
        <w:tc>
          <w:tcPr>
            <w:tcW w:w="1736" w:type="dxa"/>
          </w:tcPr>
          <w:p w14:paraId="153933D7"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16.5</w:t>
            </w:r>
          </w:p>
        </w:tc>
        <w:tc>
          <w:tcPr>
            <w:tcW w:w="3304" w:type="dxa"/>
          </w:tcPr>
          <w:p w14:paraId="4E867414" w14:textId="3AFFA275"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+1.3</w:t>
            </w:r>
          </w:p>
        </w:tc>
      </w:tr>
      <w:tr w:rsidR="003627D9" w:rsidRPr="00C25019" w14:paraId="75154C08" w14:textId="77777777" w:rsidTr="00C25019">
        <w:tc>
          <w:tcPr>
            <w:tcW w:w="2687" w:type="dxa"/>
          </w:tcPr>
          <w:p w14:paraId="43A7CAAD"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Est. VAT mass (g)</w:t>
            </w:r>
          </w:p>
        </w:tc>
        <w:tc>
          <w:tcPr>
            <w:tcW w:w="1630" w:type="dxa"/>
          </w:tcPr>
          <w:p w14:paraId="17172492"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796</w:t>
            </w:r>
          </w:p>
        </w:tc>
        <w:tc>
          <w:tcPr>
            <w:tcW w:w="1736" w:type="dxa"/>
          </w:tcPr>
          <w:p w14:paraId="6DE2A0B8"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630</w:t>
            </w:r>
          </w:p>
        </w:tc>
        <w:tc>
          <w:tcPr>
            <w:tcW w:w="3304" w:type="dxa"/>
          </w:tcPr>
          <w:p w14:paraId="2A3CAF14" w14:textId="67ADC0EA" w:rsidR="003627D9" w:rsidRPr="00C25019" w:rsidRDefault="00C2501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w:t>
            </w:r>
            <w:r w:rsidR="003627D9" w:rsidRPr="00C25019">
              <w:rPr>
                <w:rFonts w:ascii="Book Antiqua" w:eastAsia="Book Antiqua" w:hAnsi="Book Antiqua" w:cs="Book Antiqua"/>
                <w:color w:val="000000"/>
              </w:rPr>
              <w:t>136</w:t>
            </w:r>
          </w:p>
        </w:tc>
      </w:tr>
      <w:tr w:rsidR="003627D9" w:rsidRPr="00C25019" w14:paraId="4E8FA273" w14:textId="77777777" w:rsidTr="00C25019">
        <w:tc>
          <w:tcPr>
            <w:tcW w:w="2687" w:type="dxa"/>
          </w:tcPr>
          <w:p w14:paraId="4D12D0D5"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Est. VAT volume (cm</w:t>
            </w:r>
            <w:r w:rsidRPr="00C25019">
              <w:rPr>
                <w:rFonts w:ascii="Book Antiqua" w:eastAsia="Book Antiqua" w:hAnsi="Book Antiqua" w:cs="Book Antiqua"/>
                <w:bCs/>
                <w:color w:val="000000"/>
                <w:vertAlign w:val="superscript"/>
              </w:rPr>
              <w:t>3</w:t>
            </w:r>
            <w:r w:rsidRPr="00C25019">
              <w:rPr>
                <w:rFonts w:ascii="Book Antiqua" w:eastAsia="Book Antiqua" w:hAnsi="Book Antiqua" w:cs="Book Antiqua"/>
                <w:bCs/>
                <w:color w:val="000000"/>
              </w:rPr>
              <w:t>)</w:t>
            </w:r>
          </w:p>
        </w:tc>
        <w:tc>
          <w:tcPr>
            <w:tcW w:w="1630" w:type="dxa"/>
          </w:tcPr>
          <w:p w14:paraId="65E25404"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861</w:t>
            </w:r>
          </w:p>
        </w:tc>
        <w:tc>
          <w:tcPr>
            <w:tcW w:w="1736" w:type="dxa"/>
          </w:tcPr>
          <w:p w14:paraId="36BE1916"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681</w:t>
            </w:r>
          </w:p>
        </w:tc>
        <w:tc>
          <w:tcPr>
            <w:tcW w:w="3304" w:type="dxa"/>
          </w:tcPr>
          <w:p w14:paraId="35D52F98" w14:textId="0FCEC380" w:rsidR="003627D9" w:rsidRPr="00C25019" w:rsidRDefault="00C2501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w:t>
            </w:r>
            <w:r w:rsidR="003627D9" w:rsidRPr="00C25019">
              <w:rPr>
                <w:rFonts w:ascii="Book Antiqua" w:eastAsia="Book Antiqua" w:hAnsi="Book Antiqua" w:cs="Book Antiqua"/>
                <w:color w:val="000000"/>
              </w:rPr>
              <w:t>180</w:t>
            </w:r>
          </w:p>
        </w:tc>
      </w:tr>
      <w:tr w:rsidR="003627D9" w:rsidRPr="00C25019" w14:paraId="388013A9" w14:textId="77777777" w:rsidTr="00C25019">
        <w:tc>
          <w:tcPr>
            <w:tcW w:w="2687" w:type="dxa"/>
          </w:tcPr>
          <w:p w14:paraId="7757F382" w14:textId="77777777" w:rsidR="003627D9" w:rsidRPr="00C25019" w:rsidRDefault="003627D9" w:rsidP="00C25019">
            <w:pPr>
              <w:snapToGrid w:val="0"/>
              <w:spacing w:line="360" w:lineRule="auto"/>
              <w:jc w:val="both"/>
              <w:rPr>
                <w:rFonts w:ascii="Book Antiqua" w:eastAsia="Book Antiqua" w:hAnsi="Book Antiqua" w:cs="Book Antiqua"/>
                <w:bCs/>
                <w:color w:val="000000"/>
              </w:rPr>
            </w:pPr>
            <w:r w:rsidRPr="00C25019">
              <w:rPr>
                <w:rFonts w:ascii="Book Antiqua" w:eastAsia="Book Antiqua" w:hAnsi="Book Antiqua" w:cs="Book Antiqua"/>
                <w:bCs/>
                <w:color w:val="000000"/>
              </w:rPr>
              <w:t>Est. VAT area (cm</w:t>
            </w:r>
            <w:r w:rsidRPr="00C25019">
              <w:rPr>
                <w:rFonts w:ascii="Book Antiqua" w:eastAsia="Book Antiqua" w:hAnsi="Book Antiqua" w:cs="Book Antiqua"/>
                <w:bCs/>
                <w:color w:val="000000"/>
                <w:vertAlign w:val="superscript"/>
              </w:rPr>
              <w:t>2</w:t>
            </w:r>
            <w:r w:rsidRPr="00C25019">
              <w:rPr>
                <w:rFonts w:ascii="Book Antiqua" w:eastAsia="Book Antiqua" w:hAnsi="Book Antiqua" w:cs="Book Antiqua"/>
                <w:bCs/>
                <w:color w:val="000000"/>
              </w:rPr>
              <w:t>)</w:t>
            </w:r>
          </w:p>
        </w:tc>
        <w:tc>
          <w:tcPr>
            <w:tcW w:w="1630" w:type="dxa"/>
          </w:tcPr>
          <w:p w14:paraId="0425CB59"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165</w:t>
            </w:r>
          </w:p>
        </w:tc>
        <w:tc>
          <w:tcPr>
            <w:tcW w:w="1736" w:type="dxa"/>
          </w:tcPr>
          <w:p w14:paraId="38F6D865" w14:textId="77777777"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131</w:t>
            </w:r>
          </w:p>
        </w:tc>
        <w:tc>
          <w:tcPr>
            <w:tcW w:w="3304" w:type="dxa"/>
          </w:tcPr>
          <w:p w14:paraId="70D863F8" w14:textId="0A2ECDF6" w:rsidR="003627D9" w:rsidRPr="00C25019" w:rsidRDefault="00C2501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w:t>
            </w:r>
            <w:r w:rsidR="003627D9" w:rsidRPr="00C25019">
              <w:rPr>
                <w:rFonts w:ascii="Book Antiqua" w:eastAsia="Book Antiqua" w:hAnsi="Book Antiqua" w:cs="Book Antiqua"/>
                <w:color w:val="000000"/>
              </w:rPr>
              <w:t>34</w:t>
            </w:r>
          </w:p>
        </w:tc>
      </w:tr>
    </w:tbl>
    <w:p w14:paraId="79BB9D3F" w14:textId="6C66F289" w:rsidR="003627D9" w:rsidRPr="00C25019" w:rsidRDefault="003627D9" w:rsidP="00C25019">
      <w:pPr>
        <w:snapToGrid w:val="0"/>
        <w:spacing w:line="360" w:lineRule="auto"/>
        <w:jc w:val="both"/>
        <w:rPr>
          <w:rFonts w:ascii="Book Antiqua" w:eastAsia="Book Antiqua" w:hAnsi="Book Antiqua" w:cs="Book Antiqua"/>
          <w:color w:val="000000"/>
        </w:rPr>
      </w:pPr>
      <w:r w:rsidRPr="00C25019">
        <w:rPr>
          <w:rFonts w:ascii="Book Antiqua" w:eastAsia="Book Antiqua" w:hAnsi="Book Antiqua" w:cs="Book Antiqua"/>
          <w:color w:val="000000"/>
        </w:rPr>
        <w:t>BMI: Body mass index; Est. VAT: Estimated visceral adipose tissue.</w:t>
      </w:r>
    </w:p>
    <w:sectPr w:rsidR="003627D9" w:rsidRPr="00C25019" w:rsidSect="0058118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Jen" w:date="2020-11-17T14:04:00Z" w:initials="Jen">
    <w:p w14:paraId="11869BA7" w14:textId="3BEA7EDC" w:rsidR="00077A28" w:rsidRPr="00077A28" w:rsidRDefault="00077A28">
      <w:pPr>
        <w:pStyle w:val="a9"/>
        <w:rPr>
          <w:rFonts w:eastAsia="PMingLiU"/>
          <w:lang w:eastAsia="zh-TW"/>
        </w:rPr>
      </w:pPr>
      <w:r>
        <w:rPr>
          <w:rStyle w:val="a8"/>
        </w:rPr>
        <w:annotationRef/>
      </w:r>
      <w:r>
        <w:rPr>
          <w:rFonts w:eastAsia="PMingLiU"/>
          <w:lang w:eastAsia="zh-TW"/>
        </w:rPr>
        <w:t>I am sorry that t</w:t>
      </w:r>
      <w:r>
        <w:rPr>
          <w:rFonts w:eastAsia="PMingLiU" w:hint="eastAsia"/>
          <w:lang w:eastAsia="zh-TW"/>
        </w:rPr>
        <w:t xml:space="preserve">he </w:t>
      </w:r>
      <w:r>
        <w:rPr>
          <w:rFonts w:eastAsia="PMingLiU"/>
          <w:lang w:eastAsia="zh-TW"/>
        </w:rPr>
        <w:t>texts for A and B should be swapped.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869B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869BA7" w16cid:durableId="2360E7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C5507" w14:textId="77777777" w:rsidR="00475918" w:rsidRDefault="00475918" w:rsidP="002C0CEF">
      <w:r>
        <w:separator/>
      </w:r>
    </w:p>
  </w:endnote>
  <w:endnote w:type="continuationSeparator" w:id="0">
    <w:p w14:paraId="76553935" w14:textId="77777777" w:rsidR="00475918" w:rsidRDefault="00475918" w:rsidP="002C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333311"/>
      <w:docPartObj>
        <w:docPartGallery w:val="Page Numbers (Bottom of Page)"/>
        <w:docPartUnique/>
      </w:docPartObj>
    </w:sdtPr>
    <w:sdtEndPr/>
    <w:sdtContent>
      <w:sdt>
        <w:sdtPr>
          <w:id w:val="-1769616900"/>
          <w:docPartObj>
            <w:docPartGallery w:val="Page Numbers (Top of Page)"/>
            <w:docPartUnique/>
          </w:docPartObj>
        </w:sdtPr>
        <w:sdtEndPr/>
        <w:sdtContent>
          <w:p w14:paraId="52DA13A3" w14:textId="3B2CD7B5" w:rsidR="008506DD" w:rsidRDefault="008506DD">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7591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75918">
              <w:rPr>
                <w:b/>
                <w:bCs/>
                <w:noProof/>
              </w:rPr>
              <w:t>1</w:t>
            </w:r>
            <w:r>
              <w:rPr>
                <w:b/>
                <w:bCs/>
                <w:sz w:val="24"/>
                <w:szCs w:val="24"/>
              </w:rPr>
              <w:fldChar w:fldCharType="end"/>
            </w:r>
          </w:p>
        </w:sdtContent>
      </w:sdt>
    </w:sdtContent>
  </w:sdt>
  <w:p w14:paraId="7315E830" w14:textId="77777777" w:rsidR="00273018" w:rsidRDefault="002730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E7263" w14:textId="77777777" w:rsidR="00475918" w:rsidRDefault="00475918" w:rsidP="002C0CEF">
      <w:r>
        <w:separator/>
      </w:r>
    </w:p>
  </w:footnote>
  <w:footnote w:type="continuationSeparator" w:id="0">
    <w:p w14:paraId="569BFD60" w14:textId="77777777" w:rsidR="00475918" w:rsidRDefault="00475918" w:rsidP="002C0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FB6"/>
    <w:multiLevelType w:val="hybridMultilevel"/>
    <w:tmpl w:val="9C02995E"/>
    <w:lvl w:ilvl="0" w:tplc="5A549DB4">
      <w:start w:val="16"/>
      <w:numFmt w:val="bullet"/>
      <w:lvlText w:val="-"/>
      <w:lvlJc w:val="left"/>
      <w:pPr>
        <w:ind w:left="360" w:hanging="360"/>
      </w:pPr>
      <w:rPr>
        <w:rFonts w:ascii="Book Antiqua" w:eastAsia="Book Antiqua" w:hAnsi="Book Antiqua" w:cs="Book Antiqu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
    <w15:presenceInfo w15:providerId="None" w15:userId="J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wM7G0NDIyMTWxMDJR0lEKTi0uzszPAykwrgUAo0z7RywAAAA="/>
  </w:docVars>
  <w:rsids>
    <w:rsidRoot w:val="00A77B3E"/>
    <w:rsid w:val="0003516A"/>
    <w:rsid w:val="00077A28"/>
    <w:rsid w:val="000B4E6E"/>
    <w:rsid w:val="00143296"/>
    <w:rsid w:val="0018051D"/>
    <w:rsid w:val="001C7C90"/>
    <w:rsid w:val="00201A47"/>
    <w:rsid w:val="00273018"/>
    <w:rsid w:val="002C0CEF"/>
    <w:rsid w:val="002C7D37"/>
    <w:rsid w:val="00332EBC"/>
    <w:rsid w:val="003521E9"/>
    <w:rsid w:val="003627D9"/>
    <w:rsid w:val="003A1AEA"/>
    <w:rsid w:val="003B5556"/>
    <w:rsid w:val="00420C52"/>
    <w:rsid w:val="004211FA"/>
    <w:rsid w:val="0042155F"/>
    <w:rsid w:val="00431216"/>
    <w:rsid w:val="004545EB"/>
    <w:rsid w:val="00475918"/>
    <w:rsid w:val="00485BB8"/>
    <w:rsid w:val="00531CA3"/>
    <w:rsid w:val="00581185"/>
    <w:rsid w:val="005C2497"/>
    <w:rsid w:val="005F6E17"/>
    <w:rsid w:val="006736B0"/>
    <w:rsid w:val="00697471"/>
    <w:rsid w:val="006B7910"/>
    <w:rsid w:val="006E79FC"/>
    <w:rsid w:val="00781936"/>
    <w:rsid w:val="007C219C"/>
    <w:rsid w:val="007F2A00"/>
    <w:rsid w:val="008506DD"/>
    <w:rsid w:val="00862125"/>
    <w:rsid w:val="00905647"/>
    <w:rsid w:val="00976E37"/>
    <w:rsid w:val="009D1239"/>
    <w:rsid w:val="00A45746"/>
    <w:rsid w:val="00A730BB"/>
    <w:rsid w:val="00A77B3E"/>
    <w:rsid w:val="00AA0D2D"/>
    <w:rsid w:val="00B401D9"/>
    <w:rsid w:val="00B54026"/>
    <w:rsid w:val="00B72F57"/>
    <w:rsid w:val="00B760D8"/>
    <w:rsid w:val="00C25019"/>
    <w:rsid w:val="00C442B5"/>
    <w:rsid w:val="00C85D93"/>
    <w:rsid w:val="00CA2A55"/>
    <w:rsid w:val="00CC3306"/>
    <w:rsid w:val="00E34AE2"/>
    <w:rsid w:val="00EE1128"/>
    <w:rsid w:val="00F00375"/>
    <w:rsid w:val="00FC2E68"/>
    <w:rsid w:val="00FD5158"/>
    <w:rsid w:val="00FE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2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style>
  <w:style w:type="paragraph" w:styleId="a3">
    <w:name w:val="header"/>
    <w:basedOn w:val="a"/>
    <w:link w:val="Char"/>
    <w:unhideWhenUsed/>
    <w:rsid w:val="002C0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0CEF"/>
    <w:rPr>
      <w:sz w:val="18"/>
      <w:szCs w:val="18"/>
    </w:rPr>
  </w:style>
  <w:style w:type="paragraph" w:styleId="a4">
    <w:name w:val="footer"/>
    <w:basedOn w:val="a"/>
    <w:link w:val="Char0"/>
    <w:uiPriority w:val="99"/>
    <w:unhideWhenUsed/>
    <w:rsid w:val="002C0CEF"/>
    <w:pPr>
      <w:tabs>
        <w:tab w:val="center" w:pos="4153"/>
        <w:tab w:val="right" w:pos="8306"/>
      </w:tabs>
      <w:snapToGrid w:val="0"/>
    </w:pPr>
    <w:rPr>
      <w:sz w:val="18"/>
      <w:szCs w:val="18"/>
    </w:rPr>
  </w:style>
  <w:style w:type="character" w:customStyle="1" w:styleId="Char0">
    <w:name w:val="页脚 Char"/>
    <w:basedOn w:val="a0"/>
    <w:link w:val="a4"/>
    <w:uiPriority w:val="99"/>
    <w:rsid w:val="002C0CEF"/>
    <w:rPr>
      <w:sz w:val="18"/>
      <w:szCs w:val="18"/>
    </w:rPr>
  </w:style>
  <w:style w:type="paragraph" w:styleId="a5">
    <w:name w:val="Balloon Text"/>
    <w:basedOn w:val="a"/>
    <w:link w:val="Char1"/>
    <w:rsid w:val="00201A47"/>
    <w:rPr>
      <w:sz w:val="18"/>
      <w:szCs w:val="18"/>
    </w:rPr>
  </w:style>
  <w:style w:type="character" w:customStyle="1" w:styleId="Char1">
    <w:name w:val="批注框文本 Char"/>
    <w:basedOn w:val="a0"/>
    <w:link w:val="a5"/>
    <w:rsid w:val="00201A47"/>
    <w:rPr>
      <w:sz w:val="18"/>
      <w:szCs w:val="18"/>
    </w:rPr>
  </w:style>
  <w:style w:type="paragraph" w:styleId="a6">
    <w:name w:val="Normal (Web)"/>
    <w:basedOn w:val="a"/>
    <w:semiHidden/>
    <w:unhideWhenUsed/>
    <w:rsid w:val="0042155F"/>
  </w:style>
  <w:style w:type="table" w:styleId="a7">
    <w:name w:val="Table Grid"/>
    <w:basedOn w:val="a1"/>
    <w:rsid w:val="0036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077A28"/>
    <w:rPr>
      <w:sz w:val="18"/>
      <w:szCs w:val="18"/>
    </w:rPr>
  </w:style>
  <w:style w:type="paragraph" w:styleId="a9">
    <w:name w:val="annotation text"/>
    <w:basedOn w:val="a"/>
    <w:link w:val="Char2"/>
    <w:semiHidden/>
    <w:unhideWhenUsed/>
    <w:rsid w:val="00077A28"/>
  </w:style>
  <w:style w:type="character" w:customStyle="1" w:styleId="Char2">
    <w:name w:val="批注文字 Char"/>
    <w:basedOn w:val="a0"/>
    <w:link w:val="a9"/>
    <w:semiHidden/>
    <w:rsid w:val="00077A28"/>
    <w:rPr>
      <w:sz w:val="24"/>
      <w:szCs w:val="24"/>
    </w:rPr>
  </w:style>
  <w:style w:type="paragraph" w:styleId="aa">
    <w:name w:val="annotation subject"/>
    <w:basedOn w:val="a9"/>
    <w:next w:val="a9"/>
    <w:link w:val="Char3"/>
    <w:semiHidden/>
    <w:unhideWhenUsed/>
    <w:rsid w:val="00077A28"/>
    <w:rPr>
      <w:b/>
      <w:bCs/>
    </w:rPr>
  </w:style>
  <w:style w:type="character" w:customStyle="1" w:styleId="Char3">
    <w:name w:val="批注主题 Char"/>
    <w:basedOn w:val="Char2"/>
    <w:link w:val="aa"/>
    <w:semiHidden/>
    <w:rsid w:val="00077A2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style>
  <w:style w:type="paragraph" w:styleId="a3">
    <w:name w:val="header"/>
    <w:basedOn w:val="a"/>
    <w:link w:val="Char"/>
    <w:unhideWhenUsed/>
    <w:rsid w:val="002C0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C0CEF"/>
    <w:rPr>
      <w:sz w:val="18"/>
      <w:szCs w:val="18"/>
    </w:rPr>
  </w:style>
  <w:style w:type="paragraph" w:styleId="a4">
    <w:name w:val="footer"/>
    <w:basedOn w:val="a"/>
    <w:link w:val="Char0"/>
    <w:uiPriority w:val="99"/>
    <w:unhideWhenUsed/>
    <w:rsid w:val="002C0CEF"/>
    <w:pPr>
      <w:tabs>
        <w:tab w:val="center" w:pos="4153"/>
        <w:tab w:val="right" w:pos="8306"/>
      </w:tabs>
      <w:snapToGrid w:val="0"/>
    </w:pPr>
    <w:rPr>
      <w:sz w:val="18"/>
      <w:szCs w:val="18"/>
    </w:rPr>
  </w:style>
  <w:style w:type="character" w:customStyle="1" w:styleId="Char0">
    <w:name w:val="页脚 Char"/>
    <w:basedOn w:val="a0"/>
    <w:link w:val="a4"/>
    <w:uiPriority w:val="99"/>
    <w:rsid w:val="002C0CEF"/>
    <w:rPr>
      <w:sz w:val="18"/>
      <w:szCs w:val="18"/>
    </w:rPr>
  </w:style>
  <w:style w:type="paragraph" w:styleId="a5">
    <w:name w:val="Balloon Text"/>
    <w:basedOn w:val="a"/>
    <w:link w:val="Char1"/>
    <w:rsid w:val="00201A47"/>
    <w:rPr>
      <w:sz w:val="18"/>
      <w:szCs w:val="18"/>
    </w:rPr>
  </w:style>
  <w:style w:type="character" w:customStyle="1" w:styleId="Char1">
    <w:name w:val="批注框文本 Char"/>
    <w:basedOn w:val="a0"/>
    <w:link w:val="a5"/>
    <w:rsid w:val="00201A47"/>
    <w:rPr>
      <w:sz w:val="18"/>
      <w:szCs w:val="18"/>
    </w:rPr>
  </w:style>
  <w:style w:type="paragraph" w:styleId="a6">
    <w:name w:val="Normal (Web)"/>
    <w:basedOn w:val="a"/>
    <w:semiHidden/>
    <w:unhideWhenUsed/>
    <w:rsid w:val="0042155F"/>
  </w:style>
  <w:style w:type="table" w:styleId="a7">
    <w:name w:val="Table Grid"/>
    <w:basedOn w:val="a1"/>
    <w:rsid w:val="0036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077A28"/>
    <w:rPr>
      <w:sz w:val="18"/>
      <w:szCs w:val="18"/>
    </w:rPr>
  </w:style>
  <w:style w:type="paragraph" w:styleId="a9">
    <w:name w:val="annotation text"/>
    <w:basedOn w:val="a"/>
    <w:link w:val="Char2"/>
    <w:semiHidden/>
    <w:unhideWhenUsed/>
    <w:rsid w:val="00077A28"/>
  </w:style>
  <w:style w:type="character" w:customStyle="1" w:styleId="Char2">
    <w:name w:val="批注文字 Char"/>
    <w:basedOn w:val="a0"/>
    <w:link w:val="a9"/>
    <w:semiHidden/>
    <w:rsid w:val="00077A28"/>
    <w:rPr>
      <w:sz w:val="24"/>
      <w:szCs w:val="24"/>
    </w:rPr>
  </w:style>
  <w:style w:type="paragraph" w:styleId="aa">
    <w:name w:val="annotation subject"/>
    <w:basedOn w:val="a9"/>
    <w:next w:val="a9"/>
    <w:link w:val="Char3"/>
    <w:semiHidden/>
    <w:unhideWhenUsed/>
    <w:rsid w:val="00077A28"/>
    <w:rPr>
      <w:b/>
      <w:bCs/>
    </w:rPr>
  </w:style>
  <w:style w:type="character" w:customStyle="1" w:styleId="Char3">
    <w:name w:val="批注主题 Char"/>
    <w:basedOn w:val="Char2"/>
    <w:link w:val="aa"/>
    <w:semiHidden/>
    <w:rsid w:val="00077A2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0900">
      <w:bodyDiv w:val="1"/>
      <w:marLeft w:val="0"/>
      <w:marRight w:val="0"/>
      <w:marTop w:val="0"/>
      <w:marBottom w:val="0"/>
      <w:divBdr>
        <w:top w:val="none" w:sz="0" w:space="0" w:color="auto"/>
        <w:left w:val="none" w:sz="0" w:space="0" w:color="auto"/>
        <w:bottom w:val="none" w:sz="0" w:space="0" w:color="auto"/>
        <w:right w:val="none" w:sz="0" w:space="0" w:color="auto"/>
      </w:divBdr>
    </w:div>
    <w:div w:id="800266165">
      <w:bodyDiv w:val="1"/>
      <w:marLeft w:val="0"/>
      <w:marRight w:val="0"/>
      <w:marTop w:val="0"/>
      <w:marBottom w:val="0"/>
      <w:divBdr>
        <w:top w:val="none" w:sz="0" w:space="0" w:color="auto"/>
        <w:left w:val="none" w:sz="0" w:space="0" w:color="auto"/>
        <w:bottom w:val="none" w:sz="0" w:space="0" w:color="auto"/>
        <w:right w:val="none" w:sz="0" w:space="0" w:color="auto"/>
      </w:divBdr>
      <w:divsChild>
        <w:div w:id="132335882">
          <w:marLeft w:val="0"/>
          <w:marRight w:val="0"/>
          <w:marTop w:val="0"/>
          <w:marBottom w:val="0"/>
          <w:divBdr>
            <w:top w:val="none" w:sz="0" w:space="0" w:color="auto"/>
            <w:left w:val="none" w:sz="0" w:space="0" w:color="auto"/>
            <w:bottom w:val="none" w:sz="0" w:space="0" w:color="auto"/>
            <w:right w:val="none" w:sz="0" w:space="0" w:color="auto"/>
          </w:divBdr>
          <w:divsChild>
            <w:div w:id="6169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466">
      <w:bodyDiv w:val="1"/>
      <w:marLeft w:val="0"/>
      <w:marRight w:val="0"/>
      <w:marTop w:val="0"/>
      <w:marBottom w:val="0"/>
      <w:divBdr>
        <w:top w:val="none" w:sz="0" w:space="0" w:color="auto"/>
        <w:left w:val="none" w:sz="0" w:space="0" w:color="auto"/>
        <w:bottom w:val="none" w:sz="0" w:space="0" w:color="auto"/>
        <w:right w:val="none" w:sz="0" w:space="0" w:color="auto"/>
      </w:divBdr>
    </w:div>
    <w:div w:id="1989705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4593</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12</cp:revision>
  <dcterms:created xsi:type="dcterms:W3CDTF">2020-10-19T23:41:00Z</dcterms:created>
  <dcterms:modified xsi:type="dcterms:W3CDTF">2020-11-23T07:54:00Z</dcterms:modified>
</cp:coreProperties>
</file>