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DA649"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Name of Journal: </w:t>
      </w:r>
      <w:r w:rsidRPr="007F0B0F">
        <w:rPr>
          <w:rFonts w:ascii="Book Antiqua" w:eastAsia="Book Antiqua" w:hAnsi="Book Antiqua" w:cs="Book Antiqua"/>
          <w:i/>
          <w:color w:val="000000"/>
        </w:rPr>
        <w:t>World Journal of Gastrointestinal Surgery</w:t>
      </w:r>
    </w:p>
    <w:p w14:paraId="5E414683"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Manuscript NO: </w:t>
      </w:r>
      <w:r w:rsidRPr="007F0B0F">
        <w:rPr>
          <w:rFonts w:ascii="Book Antiqua" w:eastAsia="Book Antiqua" w:hAnsi="Book Antiqua" w:cs="Book Antiqua"/>
          <w:color w:val="000000"/>
        </w:rPr>
        <w:t>58901</w:t>
      </w:r>
    </w:p>
    <w:p w14:paraId="093B0382"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Manuscript Type: </w:t>
      </w:r>
      <w:r w:rsidRPr="007F0B0F">
        <w:rPr>
          <w:rFonts w:ascii="Book Antiqua" w:eastAsia="Book Antiqua" w:hAnsi="Book Antiqua" w:cs="Book Antiqua"/>
          <w:color w:val="000000"/>
        </w:rPr>
        <w:t>ORIGINAL ARTICLE</w:t>
      </w:r>
    </w:p>
    <w:p w14:paraId="380245A1" w14:textId="77777777" w:rsidR="00A77B3E" w:rsidRPr="007F0B0F" w:rsidRDefault="00A77B3E" w:rsidP="007F0B0F">
      <w:pPr>
        <w:snapToGrid w:val="0"/>
        <w:spacing w:line="360" w:lineRule="auto"/>
        <w:jc w:val="both"/>
        <w:rPr>
          <w:rFonts w:ascii="Book Antiqua" w:hAnsi="Book Antiqua"/>
        </w:rPr>
      </w:pPr>
    </w:p>
    <w:p w14:paraId="4A35FC31"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i/>
          <w:color w:val="000000"/>
        </w:rPr>
        <w:t>Prospective Study</w:t>
      </w:r>
    </w:p>
    <w:p w14:paraId="1418C150" w14:textId="77777777" w:rsidR="00A77B3E" w:rsidRPr="007F0B0F" w:rsidRDefault="00CA658C" w:rsidP="007F0B0F">
      <w:pPr>
        <w:snapToGrid w:val="0"/>
        <w:spacing w:line="360" w:lineRule="auto"/>
        <w:jc w:val="both"/>
        <w:rPr>
          <w:rFonts w:ascii="Book Antiqua" w:hAnsi="Book Antiqua"/>
        </w:rPr>
      </w:pPr>
      <w:bookmarkStart w:id="0" w:name="OLE_LINK16"/>
      <w:r w:rsidRPr="007F0B0F">
        <w:rPr>
          <w:rFonts w:ascii="Book Antiqua" w:eastAsia="Book Antiqua" w:hAnsi="Book Antiqua" w:cs="Book Antiqua"/>
          <w:b/>
          <w:color w:val="000000"/>
        </w:rPr>
        <w:t xml:space="preserve">Perianal fistulodesis </w:t>
      </w:r>
      <w:r w:rsidR="00536C53" w:rsidRPr="00536C53">
        <w:rPr>
          <w:rFonts w:ascii="Book Antiqua" w:eastAsia="等线" w:hAnsi="Book Antiqua" w:cs="Arial"/>
          <w:b/>
        </w:rPr>
        <w:t>–</w:t>
      </w:r>
      <w:r w:rsidRPr="007F0B0F">
        <w:rPr>
          <w:rFonts w:ascii="Book Antiqua" w:eastAsia="Book Antiqua" w:hAnsi="Book Antiqua" w:cs="Book Antiqua"/>
          <w:b/>
          <w:color w:val="000000"/>
        </w:rPr>
        <w:t xml:space="preserve"> A pilot study of a novel minimally invasive surgical and medical approach for closure of perianal fistulae</w:t>
      </w:r>
    </w:p>
    <w:bookmarkEnd w:id="0"/>
    <w:p w14:paraId="14BCE7EA" w14:textId="77777777" w:rsidR="00A77B3E" w:rsidRPr="007F0B0F" w:rsidRDefault="00A77B3E" w:rsidP="007F0B0F">
      <w:pPr>
        <w:snapToGrid w:val="0"/>
        <w:spacing w:line="360" w:lineRule="auto"/>
        <w:jc w:val="both"/>
        <w:rPr>
          <w:rFonts w:ascii="Book Antiqua" w:hAnsi="Book Antiqua"/>
        </w:rPr>
      </w:pPr>
    </w:p>
    <w:p w14:paraId="2E19CB49" w14:textId="77777777" w:rsidR="00A77B3E" w:rsidRPr="007F0B0F" w:rsidRDefault="00835AF0" w:rsidP="007F0B0F">
      <w:pPr>
        <w:snapToGrid w:val="0"/>
        <w:spacing w:line="360" w:lineRule="auto"/>
        <w:jc w:val="both"/>
        <w:rPr>
          <w:rFonts w:ascii="Book Antiqua" w:hAnsi="Book Antiqua"/>
        </w:rPr>
      </w:pPr>
      <w:r w:rsidRPr="007F0B0F">
        <w:rPr>
          <w:rFonts w:ascii="Book Antiqua" w:eastAsia="Book Antiqua" w:hAnsi="Book Antiqua" w:cs="Book Antiqua"/>
          <w:color w:val="000000"/>
        </w:rPr>
        <w:t>Villiger R</w:t>
      </w:r>
      <w:r w:rsidR="00CA658C" w:rsidRPr="007F0B0F">
        <w:rPr>
          <w:rFonts w:ascii="Book Antiqua" w:eastAsia="Book Antiqua" w:hAnsi="Book Antiqua" w:cs="Book Antiqua"/>
          <w:color w:val="000000"/>
        </w:rPr>
        <w:t xml:space="preserve"> </w:t>
      </w:r>
      <w:r w:rsidR="00CA658C" w:rsidRPr="007F0B0F">
        <w:rPr>
          <w:rFonts w:ascii="Book Antiqua" w:eastAsia="Book Antiqua" w:hAnsi="Book Antiqua" w:cs="Book Antiqua"/>
          <w:i/>
          <w:color w:val="000000"/>
        </w:rPr>
        <w:t>et al</w:t>
      </w:r>
      <w:r w:rsidR="00CA658C" w:rsidRPr="007F0B0F">
        <w:rPr>
          <w:rFonts w:ascii="Book Antiqua" w:eastAsia="Book Antiqua" w:hAnsi="Book Antiqua" w:cs="Book Antiqua"/>
          <w:color w:val="000000"/>
        </w:rPr>
        <w:t xml:space="preserve">. </w:t>
      </w:r>
      <w:bookmarkStart w:id="1" w:name="OLE_LINK11"/>
      <w:bookmarkStart w:id="2" w:name="OLE_LINK12"/>
      <w:bookmarkStart w:id="3" w:name="OLE_LINK17"/>
      <w:bookmarkStart w:id="4" w:name="OLE_LINK18"/>
      <w:r w:rsidR="00CA658C" w:rsidRPr="007F0B0F">
        <w:rPr>
          <w:rFonts w:ascii="Book Antiqua" w:eastAsia="Book Antiqua" w:hAnsi="Book Antiqua" w:cs="Book Antiqua"/>
          <w:color w:val="000000"/>
        </w:rPr>
        <w:t>Perianal fistulodesis - A pilot study</w:t>
      </w:r>
      <w:bookmarkEnd w:id="1"/>
      <w:bookmarkEnd w:id="2"/>
    </w:p>
    <w:bookmarkEnd w:id="3"/>
    <w:bookmarkEnd w:id="4"/>
    <w:p w14:paraId="2E9869BD" w14:textId="77777777" w:rsidR="00A77B3E" w:rsidRPr="007F0B0F" w:rsidRDefault="00A77B3E" w:rsidP="007F0B0F">
      <w:pPr>
        <w:snapToGrid w:val="0"/>
        <w:spacing w:line="360" w:lineRule="auto"/>
        <w:jc w:val="both"/>
        <w:rPr>
          <w:rFonts w:ascii="Book Antiqua" w:hAnsi="Book Antiqua"/>
        </w:rPr>
      </w:pPr>
    </w:p>
    <w:p w14:paraId="281D56AC"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Roxanne Villiger, Daniela Cabalzar-Wondberg, Daniela Zeller, Pascal Frei, Luc Biedermann, Christian Schneider, Michael Scharl, Gerhard Rogler, Matthias Turina, Andreas Rickenbacher, Benjamin Misselwitz</w:t>
      </w:r>
    </w:p>
    <w:p w14:paraId="0892C441" w14:textId="77777777" w:rsidR="00A77B3E" w:rsidRPr="007F0B0F" w:rsidRDefault="00A77B3E" w:rsidP="007F0B0F">
      <w:pPr>
        <w:snapToGrid w:val="0"/>
        <w:spacing w:line="360" w:lineRule="auto"/>
        <w:jc w:val="both"/>
        <w:rPr>
          <w:rFonts w:ascii="Book Antiqua" w:hAnsi="Book Antiqua"/>
        </w:rPr>
      </w:pPr>
    </w:p>
    <w:p w14:paraId="017F94D5"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Roxanne Villiger, Pascal Frei, Luc Biedermann, Christian Schneider, </w:t>
      </w:r>
      <w:r w:rsidR="00835AF0" w:rsidRPr="007F0B0F">
        <w:rPr>
          <w:rFonts w:ascii="Book Antiqua" w:eastAsia="Book Antiqua" w:hAnsi="Book Antiqua" w:cs="Book Antiqua"/>
          <w:b/>
          <w:bCs/>
          <w:color w:val="000000"/>
        </w:rPr>
        <w:t xml:space="preserve">Gerhard Rogler, </w:t>
      </w:r>
      <w:r w:rsidR="00096E92" w:rsidRPr="007F0B0F">
        <w:rPr>
          <w:rFonts w:ascii="Book Antiqua" w:eastAsia="Book Antiqua" w:hAnsi="Book Antiqua" w:cs="Book Antiqua"/>
          <w:b/>
          <w:color w:val="000000"/>
        </w:rPr>
        <w:t>Benjamin Misselwitz,</w:t>
      </w:r>
      <w:r w:rsidR="00096E92" w:rsidRPr="007F0B0F">
        <w:rPr>
          <w:rFonts w:ascii="Book Antiqua" w:eastAsia="Book Antiqua" w:hAnsi="Book Antiqua" w:cs="Book Antiqua"/>
          <w:color w:val="000000"/>
        </w:rPr>
        <w:t xml:space="preserve"> </w:t>
      </w:r>
      <w:bookmarkStart w:id="5" w:name="OLE_LINK7"/>
      <w:bookmarkStart w:id="6" w:name="OLE_LINK8"/>
      <w:r w:rsidR="00835AF0" w:rsidRPr="007F0B0F">
        <w:rPr>
          <w:rFonts w:ascii="Book Antiqua" w:eastAsia="Book Antiqua" w:hAnsi="Book Antiqua" w:cs="Book Antiqua"/>
          <w:color w:val="000000"/>
        </w:rPr>
        <w:t xml:space="preserve">Department of </w:t>
      </w:r>
      <w:r w:rsidRPr="007F0B0F">
        <w:rPr>
          <w:rFonts w:ascii="Book Antiqua" w:eastAsia="Book Antiqua" w:hAnsi="Book Antiqua" w:cs="Book Antiqua"/>
          <w:color w:val="000000"/>
        </w:rPr>
        <w:t>Gastroenterol</w:t>
      </w:r>
      <w:r w:rsidR="00835AF0" w:rsidRPr="007F0B0F">
        <w:rPr>
          <w:rFonts w:ascii="Book Antiqua" w:eastAsia="Book Antiqua" w:hAnsi="Book Antiqua" w:cs="Book Antiqua"/>
          <w:color w:val="000000"/>
        </w:rPr>
        <w:t>ogy</w:t>
      </w:r>
      <w:r w:rsidRPr="007F0B0F">
        <w:rPr>
          <w:rFonts w:ascii="Book Antiqua" w:eastAsia="Book Antiqua" w:hAnsi="Book Antiqua" w:cs="Book Antiqua"/>
          <w:color w:val="000000"/>
        </w:rPr>
        <w:t xml:space="preserve"> </w:t>
      </w:r>
      <w:r w:rsidR="00835AF0" w:rsidRPr="007F0B0F">
        <w:rPr>
          <w:rFonts w:ascii="Book Antiqua" w:hAnsi="Book Antiqua" w:cs="Book Antiqua"/>
          <w:color w:val="000000"/>
          <w:lang w:eastAsia="zh-CN"/>
        </w:rPr>
        <w:t>and</w:t>
      </w:r>
      <w:r w:rsidRPr="007F0B0F">
        <w:rPr>
          <w:rFonts w:ascii="Book Antiqua" w:eastAsia="Book Antiqua" w:hAnsi="Book Antiqua" w:cs="Book Antiqua"/>
          <w:color w:val="000000"/>
        </w:rPr>
        <w:t xml:space="preserve"> Hepatol</w:t>
      </w:r>
      <w:r w:rsidR="00835AF0" w:rsidRPr="007F0B0F">
        <w:rPr>
          <w:rFonts w:ascii="Book Antiqua" w:eastAsia="Book Antiqua" w:hAnsi="Book Antiqua" w:cs="Book Antiqua"/>
          <w:color w:val="000000"/>
        </w:rPr>
        <w:t>ogy</w:t>
      </w:r>
      <w:bookmarkEnd w:id="5"/>
      <w:bookmarkEnd w:id="6"/>
      <w:r w:rsidRPr="007F0B0F">
        <w:rPr>
          <w:rFonts w:ascii="Book Antiqua" w:eastAsia="Book Antiqua" w:hAnsi="Book Antiqua" w:cs="Book Antiqua"/>
          <w:color w:val="000000"/>
        </w:rPr>
        <w:t xml:space="preserve">, University Hospital of Zurich, Zurich 8091, </w:t>
      </w:r>
      <w:bookmarkStart w:id="7" w:name="OLE_LINK3"/>
      <w:bookmarkStart w:id="8" w:name="OLE_LINK4"/>
      <w:r w:rsidRPr="007F0B0F">
        <w:rPr>
          <w:rFonts w:ascii="Book Antiqua" w:eastAsia="Book Antiqua" w:hAnsi="Book Antiqua" w:cs="Book Antiqua"/>
          <w:color w:val="000000"/>
        </w:rPr>
        <w:t>Switzerland</w:t>
      </w:r>
    </w:p>
    <w:bookmarkEnd w:id="7"/>
    <w:bookmarkEnd w:id="8"/>
    <w:p w14:paraId="167D7118" w14:textId="77777777" w:rsidR="00A77B3E" w:rsidRPr="007F0B0F" w:rsidRDefault="00A77B3E" w:rsidP="007F0B0F">
      <w:pPr>
        <w:snapToGrid w:val="0"/>
        <w:spacing w:line="360" w:lineRule="auto"/>
        <w:jc w:val="both"/>
        <w:rPr>
          <w:rFonts w:ascii="Book Antiqua" w:hAnsi="Book Antiqua"/>
        </w:rPr>
      </w:pPr>
    </w:p>
    <w:p w14:paraId="656864A8"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Daniela Cabalzar-Wondberg, </w:t>
      </w:r>
      <w:r w:rsidR="00835AF0" w:rsidRPr="007F0B0F">
        <w:rPr>
          <w:rFonts w:ascii="Book Antiqua" w:eastAsia="Book Antiqua" w:hAnsi="Book Antiqua" w:cs="Book Antiqua"/>
          <w:b/>
          <w:bCs/>
          <w:color w:val="000000"/>
        </w:rPr>
        <w:t xml:space="preserve">Matthias Turina, Andreas Rickenbacher, </w:t>
      </w:r>
      <w:r w:rsidRPr="007F0B0F">
        <w:rPr>
          <w:rFonts w:ascii="Book Antiqua" w:eastAsia="Book Antiqua" w:hAnsi="Book Antiqua" w:cs="Book Antiqua"/>
          <w:color w:val="000000"/>
        </w:rPr>
        <w:t xml:space="preserve">Visceral- and Transplant Surgery, University </w:t>
      </w:r>
      <w:r w:rsidR="00835AF0" w:rsidRPr="007F0B0F">
        <w:rPr>
          <w:rFonts w:ascii="Book Antiqua" w:eastAsia="Book Antiqua" w:hAnsi="Book Antiqua" w:cs="Book Antiqua"/>
          <w:color w:val="000000"/>
        </w:rPr>
        <w:t xml:space="preserve">Hospital of </w:t>
      </w:r>
      <w:r w:rsidRPr="007F0B0F">
        <w:rPr>
          <w:rFonts w:ascii="Book Antiqua" w:eastAsia="Book Antiqua" w:hAnsi="Book Antiqua" w:cs="Book Antiqua"/>
          <w:color w:val="000000"/>
        </w:rPr>
        <w:t>Zurich, Zurich 8091, Switzerland</w:t>
      </w:r>
    </w:p>
    <w:p w14:paraId="70EA7C8C" w14:textId="77777777" w:rsidR="00A77B3E" w:rsidRPr="007F0B0F" w:rsidRDefault="00A77B3E" w:rsidP="007F0B0F">
      <w:pPr>
        <w:snapToGrid w:val="0"/>
        <w:spacing w:line="360" w:lineRule="auto"/>
        <w:jc w:val="both"/>
        <w:rPr>
          <w:rFonts w:ascii="Book Antiqua" w:hAnsi="Book Antiqua"/>
        </w:rPr>
      </w:pPr>
    </w:p>
    <w:p w14:paraId="6EB90496"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Daniela Zeller, </w:t>
      </w:r>
      <w:bookmarkStart w:id="9" w:name="OLE_LINK9"/>
      <w:bookmarkStart w:id="10" w:name="OLE_LINK10"/>
      <w:r w:rsidR="00835AF0" w:rsidRPr="007F0B0F">
        <w:rPr>
          <w:rFonts w:ascii="Book Antiqua" w:eastAsia="Book Antiqua" w:hAnsi="Book Antiqua" w:cs="Book Antiqua"/>
          <w:color w:val="000000"/>
        </w:rPr>
        <w:t xml:space="preserve">Department of </w:t>
      </w:r>
      <w:r w:rsidRPr="007F0B0F">
        <w:rPr>
          <w:rFonts w:ascii="Book Antiqua" w:eastAsia="Book Antiqua" w:hAnsi="Book Antiqua" w:cs="Book Antiqua"/>
          <w:color w:val="000000"/>
        </w:rPr>
        <w:t>Surgery</w:t>
      </w:r>
      <w:bookmarkEnd w:id="9"/>
      <w:bookmarkEnd w:id="10"/>
      <w:r w:rsidRPr="007F0B0F">
        <w:rPr>
          <w:rFonts w:ascii="Book Antiqua" w:eastAsia="Book Antiqua" w:hAnsi="Book Antiqua" w:cs="Book Antiqua"/>
          <w:color w:val="000000"/>
        </w:rPr>
        <w:t xml:space="preserve">, </w:t>
      </w:r>
      <w:bookmarkStart w:id="11" w:name="OLE_LINK15"/>
      <w:r w:rsidRPr="007F0B0F">
        <w:rPr>
          <w:rFonts w:ascii="Book Antiqua" w:eastAsia="Book Antiqua" w:hAnsi="Book Antiqua" w:cs="Book Antiqua"/>
          <w:color w:val="000000"/>
        </w:rPr>
        <w:t xml:space="preserve">Zeller </w:t>
      </w:r>
      <w:r w:rsidR="00B959ED" w:rsidRPr="007F0B0F">
        <w:rPr>
          <w:rFonts w:ascii="Book Antiqua" w:eastAsia="Book Antiqua" w:hAnsi="Book Antiqua" w:cs="Book Antiqua"/>
          <w:color w:val="000000"/>
        </w:rPr>
        <w:t>Surgery</w:t>
      </w:r>
      <w:bookmarkEnd w:id="11"/>
      <w:r w:rsidRPr="007F0B0F">
        <w:rPr>
          <w:rFonts w:ascii="Book Antiqua" w:eastAsia="Book Antiqua" w:hAnsi="Book Antiqua" w:cs="Book Antiqua"/>
          <w:color w:val="000000"/>
        </w:rPr>
        <w:t>, Zurich 8008, Switzerland</w:t>
      </w:r>
    </w:p>
    <w:p w14:paraId="4AF1E6E7" w14:textId="77777777" w:rsidR="00A77B3E" w:rsidRPr="007F0B0F" w:rsidRDefault="00A77B3E" w:rsidP="007F0B0F">
      <w:pPr>
        <w:snapToGrid w:val="0"/>
        <w:spacing w:line="360" w:lineRule="auto"/>
        <w:jc w:val="both"/>
        <w:rPr>
          <w:rFonts w:ascii="Book Antiqua" w:hAnsi="Book Antiqua"/>
        </w:rPr>
      </w:pPr>
    </w:p>
    <w:p w14:paraId="3D3401DC"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Michael Scharl, </w:t>
      </w:r>
      <w:r w:rsidRPr="007F0B0F">
        <w:rPr>
          <w:rFonts w:ascii="Book Antiqua" w:eastAsia="Book Antiqua" w:hAnsi="Book Antiqua" w:cs="Book Antiqua"/>
          <w:color w:val="000000"/>
        </w:rPr>
        <w:t>Department of Gastroenterology, University Hospital of Zurich, Zurich 8091, Switzerland</w:t>
      </w:r>
    </w:p>
    <w:p w14:paraId="0F383BE0" w14:textId="77777777" w:rsidR="00A77B3E" w:rsidRPr="007F0B0F" w:rsidRDefault="00A77B3E" w:rsidP="007F0B0F">
      <w:pPr>
        <w:snapToGrid w:val="0"/>
        <w:spacing w:line="360" w:lineRule="auto"/>
        <w:jc w:val="both"/>
        <w:rPr>
          <w:rFonts w:ascii="Book Antiqua" w:hAnsi="Book Antiqua"/>
        </w:rPr>
      </w:pPr>
    </w:p>
    <w:p w14:paraId="7B5DC9E0"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Benjamin Misselwitz, </w:t>
      </w:r>
      <w:r w:rsidRPr="007F0B0F">
        <w:rPr>
          <w:rFonts w:ascii="Book Antiqua" w:eastAsia="Book Antiqua" w:hAnsi="Book Antiqua" w:cs="Book Antiqua"/>
          <w:color w:val="000000"/>
        </w:rPr>
        <w:t>Visceral Surgery and Medicine, University Hospital of Bern, Bern 3010, Switzerland</w:t>
      </w:r>
    </w:p>
    <w:p w14:paraId="58169DD8" w14:textId="77777777" w:rsidR="00A77B3E" w:rsidRPr="007F0B0F" w:rsidRDefault="00A77B3E" w:rsidP="007F0B0F">
      <w:pPr>
        <w:snapToGrid w:val="0"/>
        <w:spacing w:line="360" w:lineRule="auto"/>
        <w:jc w:val="both"/>
        <w:rPr>
          <w:rFonts w:ascii="Book Antiqua" w:hAnsi="Book Antiqua"/>
        </w:rPr>
      </w:pPr>
    </w:p>
    <w:p w14:paraId="76B250E4" w14:textId="77777777" w:rsidR="00A77B3E" w:rsidRPr="007F0B0F" w:rsidRDefault="00CA658C" w:rsidP="007F0B0F">
      <w:pPr>
        <w:snapToGrid w:val="0"/>
        <w:spacing w:line="360" w:lineRule="auto"/>
        <w:jc w:val="both"/>
        <w:rPr>
          <w:rFonts w:ascii="Book Antiqua" w:eastAsia="Book Antiqua" w:hAnsi="Book Antiqua" w:cs="Book Antiqua"/>
          <w:iCs/>
          <w:color w:val="000000"/>
        </w:rPr>
      </w:pPr>
      <w:r w:rsidRPr="007F0B0F">
        <w:rPr>
          <w:rFonts w:ascii="Book Antiqua" w:eastAsia="Book Antiqua" w:hAnsi="Book Antiqua" w:cs="Book Antiqua"/>
          <w:b/>
          <w:bCs/>
          <w:color w:val="000000"/>
        </w:rPr>
        <w:lastRenderedPageBreak/>
        <w:t xml:space="preserve">Author contributions: </w:t>
      </w:r>
      <w:bookmarkStart w:id="12" w:name="OLE_LINK19"/>
      <w:bookmarkStart w:id="13" w:name="OLE_LINK20"/>
      <w:r w:rsidRPr="007F0B0F">
        <w:rPr>
          <w:rFonts w:ascii="Book Antiqua" w:eastAsia="Book Antiqua" w:hAnsi="Book Antiqua" w:cs="Book Antiqua"/>
          <w:color w:val="000000"/>
        </w:rPr>
        <w:t>Misselwitz</w:t>
      </w:r>
      <w:r w:rsidR="00835AF0" w:rsidRPr="007F0B0F">
        <w:rPr>
          <w:rFonts w:ascii="Book Antiqua" w:eastAsia="Book Antiqua" w:hAnsi="Book Antiqua" w:cs="Book Antiqua"/>
          <w:color w:val="000000"/>
        </w:rPr>
        <w:t xml:space="preserve"> B</w:t>
      </w:r>
      <w:r w:rsidRPr="007F0B0F">
        <w:rPr>
          <w:rFonts w:ascii="Book Antiqua" w:eastAsia="Book Antiqua" w:hAnsi="Book Antiqua" w:cs="Book Antiqua"/>
          <w:color w:val="000000"/>
        </w:rPr>
        <w:t>, Rogler</w:t>
      </w:r>
      <w:r w:rsidR="00835AF0" w:rsidRPr="007F0B0F">
        <w:rPr>
          <w:rFonts w:ascii="Book Antiqua" w:eastAsia="Book Antiqua" w:hAnsi="Book Antiqua" w:cs="Book Antiqua"/>
          <w:color w:val="000000"/>
        </w:rPr>
        <w:t xml:space="preserve"> G</w:t>
      </w:r>
      <w:r w:rsidRPr="007F0B0F">
        <w:rPr>
          <w:rFonts w:ascii="Book Antiqua" w:eastAsia="Book Antiqua" w:hAnsi="Book Antiqua" w:cs="Book Antiqua"/>
          <w:color w:val="000000"/>
        </w:rPr>
        <w:t>, Turina</w:t>
      </w:r>
      <w:r w:rsidR="00835AF0" w:rsidRPr="007F0B0F">
        <w:rPr>
          <w:rFonts w:ascii="Book Antiqua" w:eastAsia="Book Antiqua" w:hAnsi="Book Antiqua" w:cs="Book Antiqua"/>
          <w:color w:val="000000"/>
        </w:rPr>
        <w:t xml:space="preserve"> M</w:t>
      </w:r>
      <w:r w:rsidRPr="007F0B0F">
        <w:rPr>
          <w:rFonts w:ascii="Book Antiqua" w:eastAsia="Book Antiqua" w:hAnsi="Book Antiqua" w:cs="Book Antiqua"/>
          <w:color w:val="000000"/>
        </w:rPr>
        <w:t>, Zeller</w:t>
      </w:r>
      <w:r w:rsidR="00835AF0" w:rsidRPr="007F0B0F">
        <w:rPr>
          <w:rFonts w:ascii="Book Antiqua" w:eastAsia="Book Antiqua" w:hAnsi="Book Antiqua" w:cs="Book Antiqua"/>
          <w:color w:val="000000"/>
        </w:rPr>
        <w:t xml:space="preserve"> D</w:t>
      </w:r>
      <w:r w:rsidRPr="007F0B0F">
        <w:rPr>
          <w:rFonts w:ascii="Book Antiqua" w:eastAsia="Book Antiqua" w:hAnsi="Book Antiqua" w:cs="Book Antiqua"/>
          <w:color w:val="000000"/>
        </w:rPr>
        <w:t>, Frei</w:t>
      </w:r>
      <w:r w:rsidR="00835AF0" w:rsidRPr="007F0B0F">
        <w:rPr>
          <w:rFonts w:ascii="Book Antiqua" w:eastAsia="Book Antiqua" w:hAnsi="Book Antiqua" w:cs="Book Antiqua"/>
          <w:color w:val="000000"/>
        </w:rPr>
        <w:t xml:space="preserve"> P</w:t>
      </w:r>
      <w:r w:rsidRPr="007F0B0F">
        <w:rPr>
          <w:rFonts w:ascii="Book Antiqua" w:eastAsia="Book Antiqua" w:hAnsi="Book Antiqua" w:cs="Book Antiqua"/>
          <w:color w:val="000000"/>
        </w:rPr>
        <w:t xml:space="preserve">, </w:t>
      </w:r>
      <w:r w:rsidR="00096E92" w:rsidRPr="007F0B0F">
        <w:rPr>
          <w:rFonts w:ascii="Book Antiqua" w:eastAsia="Book Antiqua" w:hAnsi="Book Antiqua" w:cs="Book Antiqua"/>
          <w:color w:val="000000"/>
        </w:rPr>
        <w:t xml:space="preserve">and </w:t>
      </w:r>
      <w:r w:rsidRPr="007F0B0F">
        <w:rPr>
          <w:rFonts w:ascii="Book Antiqua" w:eastAsia="Book Antiqua" w:hAnsi="Book Antiqua" w:cs="Book Antiqua"/>
          <w:color w:val="000000"/>
        </w:rPr>
        <w:t>Schneider</w:t>
      </w:r>
      <w:r w:rsidR="00835AF0" w:rsidRPr="007F0B0F">
        <w:rPr>
          <w:rFonts w:ascii="Book Antiqua" w:eastAsia="Book Antiqua" w:hAnsi="Book Antiqua" w:cs="Book Antiqua"/>
          <w:color w:val="000000"/>
        </w:rPr>
        <w:t xml:space="preserve"> C contributed to </w:t>
      </w:r>
      <w:r w:rsidR="00835AF0" w:rsidRPr="007F0B0F">
        <w:rPr>
          <w:rFonts w:ascii="Book Antiqua" w:eastAsia="Book Antiqua" w:hAnsi="Book Antiqua" w:cs="Book Antiqua"/>
          <w:iCs/>
          <w:color w:val="000000"/>
        </w:rPr>
        <w:t>concept and design of the study;</w:t>
      </w:r>
      <w:r w:rsidR="00835AF0" w:rsidRPr="007F0B0F">
        <w:rPr>
          <w:rFonts w:ascii="Book Antiqua" w:hAnsi="Book Antiqua"/>
          <w:lang w:eastAsia="zh-CN"/>
        </w:rPr>
        <w:t xml:space="preserve"> </w:t>
      </w:r>
      <w:r w:rsidRPr="007F0B0F">
        <w:rPr>
          <w:rFonts w:ascii="Book Antiqua" w:eastAsia="Book Antiqua" w:hAnsi="Book Antiqua" w:cs="Book Antiqua"/>
          <w:color w:val="000000"/>
        </w:rPr>
        <w:t>Misselwitz</w:t>
      </w:r>
      <w:r w:rsidR="00835AF0" w:rsidRPr="007F0B0F">
        <w:rPr>
          <w:rFonts w:ascii="Book Antiqua" w:eastAsia="Book Antiqua" w:hAnsi="Book Antiqua" w:cs="Book Antiqua"/>
          <w:color w:val="000000"/>
        </w:rPr>
        <w:t xml:space="preserve"> B</w:t>
      </w:r>
      <w:r w:rsidRPr="007F0B0F">
        <w:rPr>
          <w:rFonts w:ascii="Book Antiqua" w:eastAsia="Book Antiqua" w:hAnsi="Book Antiqua" w:cs="Book Antiqua"/>
          <w:color w:val="000000"/>
        </w:rPr>
        <w:t>, Rickenbacher</w:t>
      </w:r>
      <w:r w:rsidR="00835AF0" w:rsidRPr="007F0B0F">
        <w:rPr>
          <w:rFonts w:ascii="Book Antiqua" w:eastAsia="Book Antiqua" w:hAnsi="Book Antiqua" w:cs="Book Antiqua"/>
          <w:color w:val="000000"/>
        </w:rPr>
        <w:t xml:space="preserve"> A</w:t>
      </w:r>
      <w:r w:rsidRPr="007F0B0F">
        <w:rPr>
          <w:rFonts w:ascii="Book Antiqua" w:eastAsia="Book Antiqua" w:hAnsi="Book Antiqua" w:cs="Book Antiqua"/>
          <w:color w:val="000000"/>
        </w:rPr>
        <w:t>, Cabalzar-Wondberg</w:t>
      </w:r>
      <w:r w:rsidR="00835AF0" w:rsidRPr="007F0B0F">
        <w:rPr>
          <w:rFonts w:ascii="Book Antiqua" w:eastAsia="Book Antiqua" w:hAnsi="Book Antiqua" w:cs="Book Antiqua"/>
          <w:color w:val="000000"/>
        </w:rPr>
        <w:t xml:space="preserve"> D</w:t>
      </w:r>
      <w:r w:rsidRPr="007F0B0F">
        <w:rPr>
          <w:rFonts w:ascii="Book Antiqua" w:eastAsia="Book Antiqua" w:hAnsi="Book Antiqua" w:cs="Book Antiqua"/>
          <w:color w:val="000000"/>
        </w:rPr>
        <w:t>, Zeller</w:t>
      </w:r>
      <w:r w:rsidR="00835AF0" w:rsidRPr="007F0B0F">
        <w:rPr>
          <w:rFonts w:ascii="Book Antiqua" w:eastAsia="Book Antiqua" w:hAnsi="Book Antiqua" w:cs="Book Antiqua"/>
          <w:color w:val="000000"/>
        </w:rPr>
        <w:t xml:space="preserve"> D</w:t>
      </w:r>
      <w:r w:rsidRPr="007F0B0F">
        <w:rPr>
          <w:rFonts w:ascii="Book Antiqua" w:eastAsia="Book Antiqua" w:hAnsi="Book Antiqua" w:cs="Book Antiqua"/>
          <w:color w:val="000000"/>
        </w:rPr>
        <w:t xml:space="preserve">, </w:t>
      </w:r>
      <w:r w:rsidR="00096E92" w:rsidRPr="007F0B0F">
        <w:rPr>
          <w:rFonts w:ascii="Book Antiqua" w:eastAsia="Book Antiqua" w:hAnsi="Book Antiqua" w:cs="Book Antiqua"/>
          <w:color w:val="000000"/>
        </w:rPr>
        <w:t xml:space="preserve">and </w:t>
      </w:r>
      <w:r w:rsidRPr="007F0B0F">
        <w:rPr>
          <w:rFonts w:ascii="Book Antiqua" w:eastAsia="Book Antiqua" w:hAnsi="Book Antiqua" w:cs="Book Antiqua"/>
          <w:color w:val="000000"/>
        </w:rPr>
        <w:t>Biedermann</w:t>
      </w:r>
      <w:r w:rsidR="00835AF0" w:rsidRPr="007F0B0F">
        <w:rPr>
          <w:rFonts w:ascii="Book Antiqua" w:eastAsia="Book Antiqua" w:hAnsi="Book Antiqua" w:cs="Book Antiqua"/>
          <w:color w:val="000000"/>
        </w:rPr>
        <w:t xml:space="preserve"> L contributed to </w:t>
      </w:r>
      <w:r w:rsidR="00835AF0" w:rsidRPr="007F0B0F">
        <w:rPr>
          <w:rFonts w:ascii="Book Antiqua" w:eastAsia="Book Antiqua" w:hAnsi="Book Antiqua" w:cs="Book Antiqua"/>
          <w:iCs/>
          <w:color w:val="000000"/>
        </w:rPr>
        <w:t>recruitment and clinical care of patients;</w:t>
      </w:r>
      <w:r w:rsidR="00096E92" w:rsidRPr="007F0B0F">
        <w:rPr>
          <w:rFonts w:ascii="Book Antiqua" w:hAnsi="Book Antiqua" w:cs="Book Antiqua"/>
          <w:iCs/>
          <w:color w:val="000000"/>
          <w:lang w:eastAsia="zh-CN"/>
        </w:rPr>
        <w:t xml:space="preserve"> </w:t>
      </w:r>
      <w:r w:rsidRPr="007F0B0F">
        <w:rPr>
          <w:rFonts w:ascii="Book Antiqua" w:eastAsia="Book Antiqua" w:hAnsi="Book Antiqua" w:cs="Book Antiqua"/>
          <w:color w:val="000000"/>
        </w:rPr>
        <w:t>Misselwitz</w:t>
      </w:r>
      <w:r w:rsidR="00835AF0" w:rsidRPr="007F0B0F">
        <w:rPr>
          <w:rFonts w:ascii="Book Antiqua" w:eastAsia="Book Antiqua" w:hAnsi="Book Antiqua" w:cs="Book Antiqua"/>
          <w:color w:val="000000"/>
        </w:rPr>
        <w:t xml:space="preserve"> B</w:t>
      </w:r>
      <w:r w:rsidRPr="007F0B0F">
        <w:rPr>
          <w:rFonts w:ascii="Book Antiqua" w:eastAsia="Book Antiqua" w:hAnsi="Book Antiqua" w:cs="Book Antiqua"/>
          <w:color w:val="000000"/>
        </w:rPr>
        <w:t>, Rickenbacher</w:t>
      </w:r>
      <w:r w:rsidR="00835AF0" w:rsidRPr="007F0B0F">
        <w:rPr>
          <w:rFonts w:ascii="Book Antiqua" w:eastAsia="Book Antiqua" w:hAnsi="Book Antiqua" w:cs="Book Antiqua"/>
          <w:color w:val="000000"/>
        </w:rPr>
        <w:t xml:space="preserve"> A</w:t>
      </w:r>
      <w:r w:rsidRPr="007F0B0F">
        <w:rPr>
          <w:rFonts w:ascii="Book Antiqua" w:eastAsia="Book Antiqua" w:hAnsi="Book Antiqua" w:cs="Book Antiqua"/>
          <w:color w:val="000000"/>
        </w:rPr>
        <w:t>, Cabalzar-Wondberg</w:t>
      </w:r>
      <w:r w:rsidR="00835AF0" w:rsidRPr="007F0B0F">
        <w:rPr>
          <w:rFonts w:ascii="Book Antiqua" w:eastAsia="Book Antiqua" w:hAnsi="Book Antiqua" w:cs="Book Antiqua"/>
          <w:color w:val="000000"/>
        </w:rPr>
        <w:t xml:space="preserve"> D</w:t>
      </w:r>
      <w:r w:rsidRPr="007F0B0F">
        <w:rPr>
          <w:rFonts w:ascii="Book Antiqua" w:eastAsia="Book Antiqua" w:hAnsi="Book Antiqua" w:cs="Book Antiqua"/>
          <w:color w:val="000000"/>
        </w:rPr>
        <w:t>, Zeller</w:t>
      </w:r>
      <w:r w:rsidR="00835AF0" w:rsidRPr="007F0B0F">
        <w:rPr>
          <w:rFonts w:ascii="Book Antiqua" w:eastAsia="Book Antiqua" w:hAnsi="Book Antiqua" w:cs="Book Antiqua"/>
          <w:color w:val="000000"/>
        </w:rPr>
        <w:t xml:space="preserve"> D</w:t>
      </w:r>
      <w:r w:rsidRPr="007F0B0F">
        <w:rPr>
          <w:rFonts w:ascii="Book Antiqua" w:eastAsia="Book Antiqua" w:hAnsi="Book Antiqua" w:cs="Book Antiqua"/>
          <w:color w:val="000000"/>
        </w:rPr>
        <w:t>, Biedermann</w:t>
      </w:r>
      <w:r w:rsidR="00835AF0" w:rsidRPr="007F0B0F">
        <w:rPr>
          <w:rFonts w:ascii="Book Antiqua" w:eastAsia="Book Antiqua" w:hAnsi="Book Antiqua" w:cs="Book Antiqua"/>
          <w:color w:val="000000"/>
        </w:rPr>
        <w:t xml:space="preserve"> L</w:t>
      </w:r>
      <w:r w:rsidRPr="007F0B0F">
        <w:rPr>
          <w:rFonts w:ascii="Book Antiqua" w:eastAsia="Book Antiqua" w:hAnsi="Book Antiqua" w:cs="Book Antiqua"/>
          <w:color w:val="000000"/>
        </w:rPr>
        <w:t>, Scharl</w:t>
      </w:r>
      <w:r w:rsidR="00835AF0" w:rsidRPr="007F0B0F">
        <w:rPr>
          <w:rFonts w:ascii="Book Antiqua" w:eastAsia="Book Antiqua" w:hAnsi="Book Antiqua" w:cs="Book Antiqua"/>
          <w:color w:val="000000"/>
        </w:rPr>
        <w:t xml:space="preserve"> M</w:t>
      </w:r>
      <w:r w:rsidRPr="007F0B0F">
        <w:rPr>
          <w:rFonts w:ascii="Book Antiqua" w:eastAsia="Book Antiqua" w:hAnsi="Book Antiqua" w:cs="Book Antiqua"/>
          <w:color w:val="000000"/>
        </w:rPr>
        <w:t>, Burk</w:t>
      </w:r>
      <w:r w:rsidR="00835AF0" w:rsidRPr="007F0B0F">
        <w:rPr>
          <w:rFonts w:ascii="Book Antiqua" w:eastAsia="Book Antiqua" w:hAnsi="Book Antiqua" w:cs="Book Antiqua"/>
          <w:color w:val="000000"/>
        </w:rPr>
        <w:t xml:space="preserve"> S</w:t>
      </w:r>
      <w:r w:rsidRPr="007F0B0F">
        <w:rPr>
          <w:rFonts w:ascii="Book Antiqua" w:eastAsia="Book Antiqua" w:hAnsi="Book Antiqua" w:cs="Book Antiqua"/>
          <w:color w:val="000000"/>
        </w:rPr>
        <w:t xml:space="preserve">, </w:t>
      </w:r>
      <w:r w:rsidR="00096E92" w:rsidRPr="007F0B0F">
        <w:rPr>
          <w:rFonts w:ascii="Book Antiqua" w:eastAsia="Book Antiqua" w:hAnsi="Book Antiqua" w:cs="Book Antiqua"/>
          <w:color w:val="000000"/>
        </w:rPr>
        <w:t xml:space="preserve">and </w:t>
      </w:r>
      <w:r w:rsidRPr="007F0B0F">
        <w:rPr>
          <w:rFonts w:ascii="Book Antiqua" w:eastAsia="Book Antiqua" w:hAnsi="Book Antiqua" w:cs="Book Antiqua"/>
          <w:color w:val="000000"/>
        </w:rPr>
        <w:t>Villiger</w:t>
      </w:r>
      <w:r w:rsidR="00835AF0" w:rsidRPr="007F0B0F">
        <w:rPr>
          <w:rFonts w:ascii="Book Antiqua" w:eastAsia="Book Antiqua" w:hAnsi="Book Antiqua" w:cs="Book Antiqua"/>
          <w:color w:val="000000"/>
        </w:rPr>
        <w:t xml:space="preserve"> R contributed to </w:t>
      </w:r>
      <w:r w:rsidR="00835AF0" w:rsidRPr="007F0B0F">
        <w:rPr>
          <w:rFonts w:ascii="Book Antiqua" w:eastAsia="Book Antiqua" w:hAnsi="Book Antiqua" w:cs="Book Antiqua"/>
          <w:iCs/>
          <w:color w:val="000000"/>
        </w:rPr>
        <w:t>data acquisition;</w:t>
      </w:r>
      <w:r w:rsidR="00096E92" w:rsidRPr="007F0B0F">
        <w:rPr>
          <w:rFonts w:ascii="Book Antiqua" w:hAnsi="Book Antiqua"/>
          <w:lang w:eastAsia="zh-CN"/>
        </w:rPr>
        <w:t xml:space="preserve"> </w:t>
      </w:r>
      <w:r w:rsidRPr="007F0B0F">
        <w:rPr>
          <w:rFonts w:ascii="Book Antiqua" w:eastAsia="Book Antiqua" w:hAnsi="Book Antiqua" w:cs="Book Antiqua"/>
          <w:color w:val="000000"/>
        </w:rPr>
        <w:t>Villiger</w:t>
      </w:r>
      <w:r w:rsidR="00096E92" w:rsidRPr="007F0B0F">
        <w:rPr>
          <w:rFonts w:ascii="Book Antiqua" w:eastAsia="Book Antiqua" w:hAnsi="Book Antiqua" w:cs="Book Antiqua"/>
          <w:color w:val="000000"/>
        </w:rPr>
        <w:t xml:space="preserve"> R and</w:t>
      </w:r>
      <w:r w:rsidRPr="007F0B0F">
        <w:rPr>
          <w:rFonts w:ascii="Book Antiqua" w:eastAsia="Book Antiqua" w:hAnsi="Book Antiqua" w:cs="Book Antiqua"/>
          <w:color w:val="000000"/>
        </w:rPr>
        <w:t xml:space="preserve"> Misselwitz</w:t>
      </w:r>
      <w:r w:rsidR="00096E92" w:rsidRPr="007F0B0F">
        <w:rPr>
          <w:rFonts w:ascii="Book Antiqua" w:eastAsia="Book Antiqua" w:hAnsi="Book Antiqua" w:cs="Book Antiqua"/>
          <w:color w:val="000000"/>
        </w:rPr>
        <w:t xml:space="preserve"> B contributed to </w:t>
      </w:r>
      <w:r w:rsidR="00096E92" w:rsidRPr="007F0B0F">
        <w:rPr>
          <w:rFonts w:ascii="Book Antiqua" w:eastAsia="Book Antiqua" w:hAnsi="Book Antiqua" w:cs="Book Antiqua"/>
          <w:iCs/>
          <w:color w:val="000000"/>
        </w:rPr>
        <w:t>statistical analysis;</w:t>
      </w:r>
      <w:r w:rsidR="00096E92" w:rsidRPr="007F0B0F">
        <w:rPr>
          <w:rFonts w:ascii="Book Antiqua" w:hAnsi="Book Antiqua" w:cs="Book Antiqua"/>
          <w:iCs/>
          <w:color w:val="000000"/>
          <w:lang w:eastAsia="zh-CN"/>
        </w:rPr>
        <w:t xml:space="preserve"> </w:t>
      </w:r>
      <w:r w:rsidRPr="007F0B0F">
        <w:rPr>
          <w:rFonts w:ascii="Book Antiqua" w:eastAsia="Book Antiqua" w:hAnsi="Book Antiqua" w:cs="Book Antiqua"/>
          <w:color w:val="000000"/>
        </w:rPr>
        <w:t>Misselwitz</w:t>
      </w:r>
      <w:r w:rsidR="00096E92" w:rsidRPr="007F0B0F">
        <w:rPr>
          <w:rFonts w:ascii="Book Antiqua" w:eastAsia="Book Antiqua" w:hAnsi="Book Antiqua" w:cs="Book Antiqua"/>
          <w:color w:val="000000"/>
        </w:rPr>
        <w:t xml:space="preserve"> B</w:t>
      </w:r>
      <w:r w:rsidRPr="007F0B0F">
        <w:rPr>
          <w:rFonts w:ascii="Book Antiqua" w:eastAsia="Book Antiqua" w:hAnsi="Book Antiqua" w:cs="Book Antiqua"/>
          <w:color w:val="000000"/>
        </w:rPr>
        <w:t>, Villiger</w:t>
      </w:r>
      <w:r w:rsidR="00096E92" w:rsidRPr="007F0B0F">
        <w:rPr>
          <w:rFonts w:ascii="Book Antiqua" w:eastAsia="Book Antiqua" w:hAnsi="Book Antiqua" w:cs="Book Antiqua"/>
          <w:color w:val="000000"/>
        </w:rPr>
        <w:t xml:space="preserve"> R</w:t>
      </w:r>
      <w:r w:rsidRPr="007F0B0F">
        <w:rPr>
          <w:rFonts w:ascii="Book Antiqua" w:eastAsia="Book Antiqua" w:hAnsi="Book Antiqua" w:cs="Book Antiqua"/>
          <w:color w:val="000000"/>
        </w:rPr>
        <w:t>, Rickenbacher</w:t>
      </w:r>
      <w:r w:rsidR="00096E92" w:rsidRPr="007F0B0F">
        <w:rPr>
          <w:rFonts w:ascii="Book Antiqua" w:eastAsia="Book Antiqua" w:hAnsi="Book Antiqua" w:cs="Book Antiqua"/>
          <w:color w:val="000000"/>
        </w:rPr>
        <w:t xml:space="preserve"> A</w:t>
      </w:r>
      <w:r w:rsidRPr="007F0B0F">
        <w:rPr>
          <w:rFonts w:ascii="Book Antiqua" w:eastAsia="Book Antiqua" w:hAnsi="Book Antiqua" w:cs="Book Antiqua"/>
          <w:color w:val="000000"/>
        </w:rPr>
        <w:t xml:space="preserve">, </w:t>
      </w:r>
      <w:r w:rsidR="00096E92" w:rsidRPr="007F0B0F">
        <w:rPr>
          <w:rFonts w:ascii="Book Antiqua" w:eastAsia="Book Antiqua" w:hAnsi="Book Antiqua" w:cs="Book Antiqua"/>
          <w:color w:val="000000"/>
        </w:rPr>
        <w:t xml:space="preserve">and </w:t>
      </w:r>
      <w:r w:rsidRPr="007F0B0F">
        <w:rPr>
          <w:rFonts w:ascii="Book Antiqua" w:eastAsia="Book Antiqua" w:hAnsi="Book Antiqua" w:cs="Book Antiqua"/>
          <w:color w:val="000000"/>
        </w:rPr>
        <w:t>Cabalzar-Wondberg</w:t>
      </w:r>
      <w:r w:rsidR="00096E92" w:rsidRPr="007F0B0F">
        <w:rPr>
          <w:rFonts w:ascii="Book Antiqua" w:eastAsia="Book Antiqua" w:hAnsi="Book Antiqua" w:cs="Book Antiqua"/>
          <w:color w:val="000000"/>
        </w:rPr>
        <w:t xml:space="preserve"> D contributed to </w:t>
      </w:r>
      <w:r w:rsidR="00096E92" w:rsidRPr="007F0B0F">
        <w:rPr>
          <w:rFonts w:ascii="Book Antiqua" w:eastAsia="Book Antiqua" w:hAnsi="Book Antiqua" w:cs="Book Antiqua"/>
          <w:iCs/>
          <w:color w:val="000000"/>
        </w:rPr>
        <w:t>interpretation of data;</w:t>
      </w:r>
      <w:r w:rsidR="00096E92" w:rsidRPr="007F0B0F">
        <w:rPr>
          <w:rFonts w:ascii="Book Antiqua" w:hAnsi="Book Antiqua"/>
          <w:lang w:eastAsia="zh-CN"/>
        </w:rPr>
        <w:t xml:space="preserve"> </w:t>
      </w:r>
      <w:r w:rsidRPr="007F0B0F">
        <w:rPr>
          <w:rFonts w:ascii="Book Antiqua" w:eastAsia="Book Antiqua" w:hAnsi="Book Antiqua" w:cs="Book Antiqua"/>
          <w:color w:val="000000"/>
        </w:rPr>
        <w:t>Villiger</w:t>
      </w:r>
      <w:r w:rsidR="00096E92" w:rsidRPr="007F0B0F">
        <w:rPr>
          <w:rFonts w:ascii="Book Antiqua" w:eastAsia="Book Antiqua" w:hAnsi="Book Antiqua" w:cs="Book Antiqua"/>
          <w:color w:val="000000"/>
        </w:rPr>
        <w:t xml:space="preserve"> R</w:t>
      </w:r>
      <w:r w:rsidRPr="007F0B0F">
        <w:rPr>
          <w:rFonts w:ascii="Book Antiqua" w:eastAsia="Book Antiqua" w:hAnsi="Book Antiqua" w:cs="Book Antiqua"/>
          <w:color w:val="000000"/>
        </w:rPr>
        <w:t>, Misselwitz</w:t>
      </w:r>
      <w:r w:rsidR="00096E92" w:rsidRPr="007F0B0F">
        <w:rPr>
          <w:rFonts w:ascii="Book Antiqua" w:eastAsia="Book Antiqua" w:hAnsi="Book Antiqua" w:cs="Book Antiqua"/>
          <w:color w:val="000000"/>
        </w:rPr>
        <w:t xml:space="preserve"> B</w:t>
      </w:r>
      <w:r w:rsidRPr="007F0B0F">
        <w:rPr>
          <w:rFonts w:ascii="Book Antiqua" w:eastAsia="Book Antiqua" w:hAnsi="Book Antiqua" w:cs="Book Antiqua"/>
          <w:color w:val="000000"/>
        </w:rPr>
        <w:t>, Cabalzar-Wondberg</w:t>
      </w:r>
      <w:r w:rsidR="00096E92" w:rsidRPr="007F0B0F">
        <w:rPr>
          <w:rFonts w:ascii="Book Antiqua" w:eastAsia="Book Antiqua" w:hAnsi="Book Antiqua" w:cs="Book Antiqua"/>
          <w:color w:val="000000"/>
        </w:rPr>
        <w:t xml:space="preserve"> D</w:t>
      </w:r>
      <w:r w:rsidRPr="007F0B0F">
        <w:rPr>
          <w:rFonts w:ascii="Book Antiqua" w:eastAsia="Book Antiqua" w:hAnsi="Book Antiqua" w:cs="Book Antiqua"/>
          <w:color w:val="000000"/>
        </w:rPr>
        <w:t>, Rickenbacher</w:t>
      </w:r>
      <w:r w:rsidR="00096E92" w:rsidRPr="007F0B0F">
        <w:rPr>
          <w:rFonts w:ascii="Book Antiqua" w:eastAsia="Book Antiqua" w:hAnsi="Book Antiqua" w:cs="Book Antiqua"/>
          <w:color w:val="000000"/>
        </w:rPr>
        <w:t xml:space="preserve"> A</w:t>
      </w:r>
      <w:r w:rsidRPr="007F0B0F">
        <w:rPr>
          <w:rFonts w:ascii="Book Antiqua" w:eastAsia="Book Antiqua" w:hAnsi="Book Antiqua" w:cs="Book Antiqua"/>
          <w:color w:val="000000"/>
        </w:rPr>
        <w:t>, Rogler</w:t>
      </w:r>
      <w:r w:rsidR="00096E92" w:rsidRPr="007F0B0F">
        <w:rPr>
          <w:rFonts w:ascii="Book Antiqua" w:eastAsia="Book Antiqua" w:hAnsi="Book Antiqua" w:cs="Book Antiqua"/>
          <w:color w:val="000000"/>
        </w:rPr>
        <w:t xml:space="preserve"> G</w:t>
      </w:r>
      <w:r w:rsidRPr="007F0B0F">
        <w:rPr>
          <w:rFonts w:ascii="Book Antiqua" w:eastAsia="Book Antiqua" w:hAnsi="Book Antiqua" w:cs="Book Antiqua"/>
          <w:color w:val="000000"/>
        </w:rPr>
        <w:t xml:space="preserve">, </w:t>
      </w:r>
      <w:r w:rsidR="00096E92" w:rsidRPr="007F0B0F">
        <w:rPr>
          <w:rFonts w:ascii="Book Antiqua" w:eastAsia="Book Antiqua" w:hAnsi="Book Antiqua" w:cs="Book Antiqua"/>
          <w:color w:val="000000"/>
        </w:rPr>
        <w:t xml:space="preserve">and </w:t>
      </w:r>
      <w:r w:rsidRPr="007F0B0F">
        <w:rPr>
          <w:rFonts w:ascii="Book Antiqua" w:eastAsia="Book Antiqua" w:hAnsi="Book Antiqua" w:cs="Book Antiqua"/>
          <w:color w:val="000000"/>
        </w:rPr>
        <w:t>Zeller</w:t>
      </w:r>
      <w:r w:rsidR="00096E92" w:rsidRPr="007F0B0F">
        <w:rPr>
          <w:rFonts w:ascii="Book Antiqua" w:eastAsia="Book Antiqua" w:hAnsi="Book Antiqua" w:cs="Book Antiqua"/>
          <w:color w:val="000000"/>
        </w:rPr>
        <w:t xml:space="preserve"> D contributed to </w:t>
      </w:r>
      <w:r w:rsidR="00096E92" w:rsidRPr="007F0B0F">
        <w:rPr>
          <w:rFonts w:ascii="Book Antiqua" w:eastAsia="Book Antiqua" w:hAnsi="Book Antiqua" w:cs="Book Antiqua"/>
          <w:iCs/>
          <w:color w:val="000000"/>
        </w:rPr>
        <w:t>drafting of the article and critical revisions to the manuscript;</w:t>
      </w:r>
      <w:r w:rsidR="00096E92" w:rsidRPr="007F0B0F">
        <w:rPr>
          <w:rFonts w:ascii="Book Antiqua" w:hAnsi="Book Antiqua"/>
          <w:lang w:eastAsia="zh-CN"/>
        </w:rPr>
        <w:t xml:space="preserve"> </w:t>
      </w:r>
      <w:r w:rsidR="00096E92" w:rsidRPr="007F0B0F">
        <w:rPr>
          <w:rFonts w:ascii="Book Antiqua" w:eastAsia="Book Antiqua" w:hAnsi="Book Antiqua" w:cs="Book Antiqua"/>
          <w:color w:val="000000"/>
        </w:rPr>
        <w:t xml:space="preserve">all </w:t>
      </w:r>
      <w:r w:rsidRPr="007F0B0F">
        <w:rPr>
          <w:rFonts w:ascii="Book Antiqua" w:eastAsia="Book Antiqua" w:hAnsi="Book Antiqua" w:cs="Book Antiqua"/>
          <w:color w:val="000000"/>
        </w:rPr>
        <w:t>authors</w:t>
      </w:r>
      <w:r w:rsidR="00096E92" w:rsidRPr="007F0B0F">
        <w:rPr>
          <w:rFonts w:ascii="Book Antiqua" w:eastAsia="Book Antiqua" w:hAnsi="Book Antiqua" w:cs="Book Antiqua"/>
          <w:color w:val="000000"/>
        </w:rPr>
        <w:t xml:space="preserve"> </w:t>
      </w:r>
      <w:r w:rsidR="00096E92" w:rsidRPr="007F0B0F">
        <w:rPr>
          <w:rFonts w:ascii="Book Antiqua" w:eastAsia="Book Antiqua" w:hAnsi="Book Antiqua" w:cs="Book Antiqua"/>
          <w:iCs/>
          <w:color w:val="000000"/>
        </w:rPr>
        <w:t>final approval of version of the article to be published.</w:t>
      </w:r>
    </w:p>
    <w:bookmarkEnd w:id="12"/>
    <w:bookmarkEnd w:id="13"/>
    <w:p w14:paraId="31D62A79" w14:textId="77777777" w:rsidR="00A77B3E" w:rsidRPr="007F0B0F" w:rsidRDefault="00A77B3E" w:rsidP="007F0B0F">
      <w:pPr>
        <w:snapToGrid w:val="0"/>
        <w:spacing w:line="360" w:lineRule="auto"/>
        <w:jc w:val="both"/>
        <w:rPr>
          <w:rFonts w:ascii="Book Antiqua" w:hAnsi="Book Antiqua"/>
        </w:rPr>
      </w:pPr>
    </w:p>
    <w:p w14:paraId="00283050"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Corresponding author: Benjamin </w:t>
      </w:r>
      <w:bookmarkStart w:id="14" w:name="OLE_LINK1"/>
      <w:bookmarkStart w:id="15" w:name="OLE_LINK2"/>
      <w:r w:rsidRPr="007F0B0F">
        <w:rPr>
          <w:rFonts w:ascii="Book Antiqua" w:eastAsia="Book Antiqua" w:hAnsi="Book Antiqua" w:cs="Book Antiqua"/>
          <w:b/>
          <w:bCs/>
          <w:color w:val="000000"/>
        </w:rPr>
        <w:t>Misselwitz</w:t>
      </w:r>
      <w:bookmarkEnd w:id="14"/>
      <w:bookmarkEnd w:id="15"/>
      <w:r w:rsidRPr="007F0B0F">
        <w:rPr>
          <w:rFonts w:ascii="Book Antiqua" w:eastAsia="Book Antiqua" w:hAnsi="Book Antiqua" w:cs="Book Antiqua"/>
          <w:b/>
          <w:bCs/>
          <w:color w:val="000000"/>
        </w:rPr>
        <w:t xml:space="preserve">, MD, Professor, </w:t>
      </w:r>
      <w:r w:rsidRPr="007F0B0F">
        <w:rPr>
          <w:rFonts w:ascii="Book Antiqua" w:eastAsia="Book Antiqua" w:hAnsi="Book Antiqua" w:cs="Book Antiqua"/>
          <w:color w:val="000000"/>
        </w:rPr>
        <w:t xml:space="preserve">Visceral Surgery and Medicine, </w:t>
      </w:r>
      <w:bookmarkStart w:id="16" w:name="OLE_LINK5"/>
      <w:bookmarkStart w:id="17" w:name="OLE_LINK6"/>
      <w:r w:rsidRPr="007F0B0F">
        <w:rPr>
          <w:rFonts w:ascii="Book Antiqua" w:eastAsia="Book Antiqua" w:hAnsi="Book Antiqua" w:cs="Book Antiqua"/>
          <w:color w:val="000000"/>
        </w:rPr>
        <w:t>University Hospital of Bern</w:t>
      </w:r>
      <w:bookmarkEnd w:id="16"/>
      <w:bookmarkEnd w:id="17"/>
      <w:r w:rsidRPr="007F0B0F">
        <w:rPr>
          <w:rFonts w:ascii="Book Antiqua" w:eastAsia="Book Antiqua" w:hAnsi="Book Antiqua" w:cs="Book Antiqua"/>
          <w:color w:val="000000"/>
        </w:rPr>
        <w:t xml:space="preserve">, </w:t>
      </w:r>
      <w:r w:rsidR="00096E92" w:rsidRPr="007F0B0F">
        <w:rPr>
          <w:rFonts w:ascii="Book Antiqua" w:eastAsia="Book Antiqua" w:hAnsi="Book Antiqua" w:cs="Book Antiqua"/>
          <w:color w:val="000000"/>
        </w:rPr>
        <w:t xml:space="preserve">Freiburgstrasse 4, </w:t>
      </w:r>
      <w:r w:rsidRPr="007F0B0F">
        <w:rPr>
          <w:rFonts w:ascii="Book Antiqua" w:eastAsia="Book Antiqua" w:hAnsi="Book Antiqua" w:cs="Book Antiqua"/>
          <w:color w:val="000000"/>
        </w:rPr>
        <w:t>Bern 3010, Switzerland. benjamin.misselwitz@insel.ch</w:t>
      </w:r>
    </w:p>
    <w:p w14:paraId="20D22410" w14:textId="77777777" w:rsidR="00A77B3E" w:rsidRPr="007F0B0F" w:rsidRDefault="00A77B3E" w:rsidP="007F0B0F">
      <w:pPr>
        <w:snapToGrid w:val="0"/>
        <w:spacing w:line="360" w:lineRule="auto"/>
        <w:jc w:val="both"/>
        <w:rPr>
          <w:rFonts w:ascii="Book Antiqua" w:hAnsi="Book Antiqua"/>
        </w:rPr>
      </w:pPr>
    </w:p>
    <w:p w14:paraId="38BE39BB"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Received: </w:t>
      </w:r>
      <w:r w:rsidRPr="007F0B0F">
        <w:rPr>
          <w:rFonts w:ascii="Book Antiqua" w:eastAsia="Book Antiqua" w:hAnsi="Book Antiqua" w:cs="Book Antiqua"/>
          <w:color w:val="000000"/>
        </w:rPr>
        <w:t>September 1, 2020</w:t>
      </w:r>
    </w:p>
    <w:p w14:paraId="74B97A78"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Revised: </w:t>
      </w:r>
      <w:r w:rsidRPr="007F0B0F">
        <w:rPr>
          <w:rFonts w:ascii="Book Antiqua" w:eastAsia="Book Antiqua" w:hAnsi="Book Antiqua" w:cs="Book Antiqua"/>
          <w:color w:val="000000"/>
        </w:rPr>
        <w:t>November 20, 2020</w:t>
      </w:r>
    </w:p>
    <w:p w14:paraId="0A9C4F00" w14:textId="71378BDA"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Accepted: </w:t>
      </w:r>
      <w:r w:rsidR="00B57D49" w:rsidRPr="00B57D49">
        <w:rPr>
          <w:rFonts w:ascii="Book Antiqua" w:eastAsia="Book Antiqua" w:hAnsi="Book Antiqua" w:cs="Book Antiqua"/>
          <w:color w:val="000000"/>
        </w:rPr>
        <w:t>December 23, 2020</w:t>
      </w:r>
    </w:p>
    <w:p w14:paraId="7B9ABC2A" w14:textId="2E8E8DF4" w:rsidR="00A77B3E" w:rsidRPr="00B072B3" w:rsidRDefault="00CA658C" w:rsidP="00B072B3">
      <w:pPr>
        <w:snapToGrid w:val="0"/>
        <w:spacing w:line="360" w:lineRule="auto"/>
        <w:jc w:val="both"/>
        <w:rPr>
          <w:rFonts w:ascii="Book Antiqua" w:hAnsi="Book Antiqua"/>
        </w:rPr>
        <w:sectPr w:rsidR="00A77B3E" w:rsidRPr="00B072B3" w:rsidSect="00094AEF">
          <w:footerReference w:type="default" r:id="rId7"/>
          <w:pgSz w:w="12240" w:h="15840"/>
          <w:pgMar w:top="1440" w:right="1800" w:bottom="1440" w:left="1800" w:header="720" w:footer="720" w:gutter="0"/>
          <w:cols w:space="720"/>
          <w:docGrid w:linePitch="360"/>
        </w:sectPr>
      </w:pPr>
      <w:r w:rsidRPr="007F0B0F">
        <w:rPr>
          <w:rFonts w:ascii="Book Antiqua" w:eastAsia="Book Antiqua" w:hAnsi="Book Antiqua" w:cs="Book Antiqua"/>
          <w:b/>
          <w:bCs/>
          <w:color w:val="000000"/>
        </w:rPr>
        <w:t xml:space="preserve">Published online: </w:t>
      </w:r>
      <w:r w:rsidR="00B072B3">
        <w:rPr>
          <w:rFonts w:ascii="Book Antiqua" w:hAnsi="Book Antiqua"/>
        </w:rPr>
        <w:t>February 27, 2021</w:t>
      </w:r>
    </w:p>
    <w:p w14:paraId="7A318DB7"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lastRenderedPageBreak/>
        <w:t>Abstract</w:t>
      </w:r>
    </w:p>
    <w:p w14:paraId="5A16AC6D"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BACKGROUND</w:t>
      </w:r>
    </w:p>
    <w:p w14:paraId="32E1B0AF" w14:textId="77777777" w:rsidR="00A77B3E" w:rsidRPr="007F0B0F" w:rsidRDefault="00CA658C" w:rsidP="007F0B0F">
      <w:pPr>
        <w:snapToGrid w:val="0"/>
        <w:spacing w:line="360" w:lineRule="auto"/>
        <w:jc w:val="both"/>
        <w:rPr>
          <w:rFonts w:ascii="Book Antiqua" w:hAnsi="Book Antiqua"/>
        </w:rPr>
      </w:pPr>
      <w:bookmarkStart w:id="18" w:name="OLE_LINK25"/>
      <w:bookmarkStart w:id="19" w:name="OLE_LINK26"/>
      <w:r w:rsidRPr="007F0B0F">
        <w:rPr>
          <w:rFonts w:ascii="Book Antiqua" w:eastAsia="Book Antiqua" w:hAnsi="Book Antiqua" w:cs="Book Antiqua"/>
          <w:color w:val="000000"/>
        </w:rPr>
        <w:t>Perianal fistulae strongly impact on quality of life of affected patients.</w:t>
      </w:r>
    </w:p>
    <w:bookmarkEnd w:id="18"/>
    <w:bookmarkEnd w:id="19"/>
    <w:p w14:paraId="1743F04F" w14:textId="77777777" w:rsidR="00A77B3E" w:rsidRPr="007F0B0F" w:rsidRDefault="00A77B3E" w:rsidP="007F0B0F">
      <w:pPr>
        <w:snapToGrid w:val="0"/>
        <w:spacing w:line="360" w:lineRule="auto"/>
        <w:jc w:val="both"/>
        <w:rPr>
          <w:rFonts w:ascii="Book Antiqua" w:hAnsi="Book Antiqua"/>
        </w:rPr>
      </w:pPr>
    </w:p>
    <w:p w14:paraId="2466CC29"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AIM</w:t>
      </w:r>
    </w:p>
    <w:p w14:paraId="16B302FC" w14:textId="77777777" w:rsidR="00A77B3E" w:rsidRPr="007F0B0F" w:rsidRDefault="00CE0E29" w:rsidP="007F0B0F">
      <w:pPr>
        <w:snapToGrid w:val="0"/>
        <w:spacing w:line="360" w:lineRule="auto"/>
        <w:jc w:val="both"/>
        <w:rPr>
          <w:rFonts w:ascii="Book Antiqua" w:hAnsi="Book Antiqua"/>
        </w:rPr>
      </w:pPr>
      <w:bookmarkStart w:id="20" w:name="OLE_LINK27"/>
      <w:bookmarkStart w:id="21" w:name="OLE_LINK28"/>
      <w:r w:rsidRPr="007F0B0F">
        <w:rPr>
          <w:rFonts w:ascii="Book Antiqua" w:eastAsia="Book Antiqua" w:hAnsi="Book Antiqua" w:cs="Book Antiqua"/>
          <w:color w:val="000000"/>
        </w:rPr>
        <w:t>To</w:t>
      </w:r>
      <w:r w:rsidR="00CA658C" w:rsidRPr="007F0B0F">
        <w:rPr>
          <w:rFonts w:ascii="Book Antiqua" w:eastAsia="Book Antiqua" w:hAnsi="Book Antiqua" w:cs="Book Antiqua"/>
          <w:color w:val="000000"/>
        </w:rPr>
        <w:t xml:space="preserve"> challenge and novel minimally invasive treatment options are needed.</w:t>
      </w:r>
    </w:p>
    <w:bookmarkEnd w:id="20"/>
    <w:bookmarkEnd w:id="21"/>
    <w:p w14:paraId="6C8638F6" w14:textId="77777777" w:rsidR="00A77B3E" w:rsidRPr="007F0B0F" w:rsidRDefault="00A77B3E" w:rsidP="007F0B0F">
      <w:pPr>
        <w:snapToGrid w:val="0"/>
        <w:spacing w:line="360" w:lineRule="auto"/>
        <w:jc w:val="both"/>
        <w:rPr>
          <w:rFonts w:ascii="Book Antiqua" w:hAnsi="Book Antiqua"/>
        </w:rPr>
      </w:pPr>
    </w:p>
    <w:p w14:paraId="74443724"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METHODS</w:t>
      </w:r>
    </w:p>
    <w:p w14:paraId="780450FE" w14:textId="77777777" w:rsidR="00A77B3E" w:rsidRPr="007F0B0F" w:rsidRDefault="00CA658C" w:rsidP="007F0B0F">
      <w:pPr>
        <w:snapToGrid w:val="0"/>
        <w:spacing w:line="360" w:lineRule="auto"/>
        <w:jc w:val="both"/>
        <w:rPr>
          <w:rFonts w:ascii="Book Antiqua" w:hAnsi="Book Antiqua"/>
        </w:rPr>
      </w:pPr>
      <w:bookmarkStart w:id="22" w:name="OLE_LINK29"/>
      <w:bookmarkStart w:id="23" w:name="OLE_LINK30"/>
      <w:r w:rsidRPr="007F0B0F">
        <w:rPr>
          <w:rFonts w:ascii="Book Antiqua" w:eastAsia="Book Antiqua" w:hAnsi="Book Antiqua" w:cs="Book Antiqua"/>
          <w:color w:val="000000"/>
        </w:rPr>
        <w:t>Patients with Crohn’s disease (CD) in remission and patients without inflammatory bowel disease (non-IBD patients) were treated with fistulodesis, a method including curettage of fistula tract, flushing with acetylcysteine and doxycycline, Z-suture of the inner fistula opening, fibrin glue instillation, and Z-suture of the outer fistula opening followed by post-operative antibiotic prophylaxis with ciprofloxacin and metronidazole for two weeks. Patients with a maximum of 2 fistula openings and no clinical or endosonographic signs of a complicated fistula were included. The primary end point was fistula healing, defined as macroscopic and clinical fistula closure and lack of patient reported fistula symptoms at 24 wk.</w:t>
      </w:r>
    </w:p>
    <w:bookmarkEnd w:id="22"/>
    <w:bookmarkEnd w:id="23"/>
    <w:p w14:paraId="58A41649" w14:textId="77777777" w:rsidR="00A77B3E" w:rsidRPr="007F0B0F" w:rsidRDefault="00A77B3E" w:rsidP="007F0B0F">
      <w:pPr>
        <w:snapToGrid w:val="0"/>
        <w:spacing w:line="360" w:lineRule="auto"/>
        <w:jc w:val="both"/>
        <w:rPr>
          <w:rFonts w:ascii="Book Antiqua" w:hAnsi="Book Antiqua"/>
        </w:rPr>
      </w:pPr>
    </w:p>
    <w:p w14:paraId="29F7CBA8"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RESULTS</w:t>
      </w:r>
    </w:p>
    <w:p w14:paraId="224CBD68" w14:textId="77777777" w:rsidR="00A77B3E" w:rsidRPr="007F0B0F" w:rsidRDefault="00CA658C" w:rsidP="007F0B0F">
      <w:pPr>
        <w:snapToGrid w:val="0"/>
        <w:spacing w:line="360" w:lineRule="auto"/>
        <w:jc w:val="both"/>
        <w:rPr>
          <w:rFonts w:ascii="Book Antiqua" w:hAnsi="Book Antiqua"/>
        </w:rPr>
      </w:pPr>
      <w:bookmarkStart w:id="24" w:name="OLE_LINK31"/>
      <w:bookmarkStart w:id="25" w:name="OLE_LINK32"/>
      <w:r w:rsidRPr="007F0B0F">
        <w:rPr>
          <w:rFonts w:ascii="Book Antiqua" w:eastAsia="Book Antiqua" w:hAnsi="Book Antiqua" w:cs="Book Antiqua"/>
          <w:color w:val="000000"/>
        </w:rPr>
        <w:t>Fistulodesis was performed in 17 non-IBD and 3 CD patients, with a total of 22 fistulae. After 24 wk, all fistulae were healed in 4 non-IBD and 2 CD patients (overall 30%) and fistula remained closed until the end of follow-up at 10-25 mo. In a secondary per-fistula analysis, 7 out of 22 fistulae (32%) were closed. Perianal disease activity index (PDAI) improved in patients with fistula healing. Low PDAI was associated with favorable outcome (</w:t>
      </w:r>
      <w:r w:rsidRPr="007F0B0F">
        <w:rPr>
          <w:rFonts w:ascii="Book Antiqua" w:eastAsia="Book Antiqua" w:hAnsi="Book Antiqua" w:cs="Book Antiqua"/>
          <w:i/>
          <w:iCs/>
          <w:color w:val="000000"/>
        </w:rPr>
        <w:t>P</w:t>
      </w:r>
      <w:r w:rsidRPr="007F0B0F">
        <w:rPr>
          <w:rFonts w:ascii="Book Antiqua" w:eastAsia="Book Antiqua" w:hAnsi="Book Antiqua" w:cs="Book Antiqua"/>
          <w:color w:val="000000"/>
        </w:rPr>
        <w:t xml:space="preserve"> = 0.0013). No serious adverse events were observed.</w:t>
      </w:r>
    </w:p>
    <w:bookmarkEnd w:id="24"/>
    <w:bookmarkEnd w:id="25"/>
    <w:p w14:paraId="750AFC4B" w14:textId="77777777" w:rsidR="00A77B3E" w:rsidRPr="007F0B0F" w:rsidRDefault="00A77B3E" w:rsidP="007F0B0F">
      <w:pPr>
        <w:snapToGrid w:val="0"/>
        <w:spacing w:line="360" w:lineRule="auto"/>
        <w:jc w:val="both"/>
        <w:rPr>
          <w:rFonts w:ascii="Book Antiqua" w:hAnsi="Book Antiqua"/>
        </w:rPr>
      </w:pPr>
    </w:p>
    <w:p w14:paraId="417DCE52"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CONCLUSION</w:t>
      </w:r>
    </w:p>
    <w:p w14:paraId="1260EA0C" w14:textId="77777777" w:rsidR="00A77B3E" w:rsidRPr="007F0B0F" w:rsidRDefault="00CA658C" w:rsidP="007F0B0F">
      <w:pPr>
        <w:snapToGrid w:val="0"/>
        <w:spacing w:line="360" w:lineRule="auto"/>
        <w:jc w:val="both"/>
        <w:rPr>
          <w:rFonts w:ascii="Book Antiqua" w:hAnsi="Book Antiqua"/>
        </w:rPr>
      </w:pPr>
      <w:bookmarkStart w:id="26" w:name="OLE_LINK33"/>
      <w:bookmarkStart w:id="27" w:name="OLE_LINK34"/>
      <w:r w:rsidRPr="007F0B0F">
        <w:rPr>
          <w:rFonts w:ascii="Book Antiqua" w:eastAsia="Book Antiqua" w:hAnsi="Book Antiqua" w:cs="Book Antiqua"/>
          <w:color w:val="000000"/>
        </w:rPr>
        <w:lastRenderedPageBreak/>
        <w:t>Fistulodesis is feasible and safe for perianal fistula closure. Overall success rates is at 30% comparable to other similar techniques. A trend for better outcomes in patients with low PDAI needs to be confirmed.</w:t>
      </w:r>
    </w:p>
    <w:bookmarkEnd w:id="26"/>
    <w:bookmarkEnd w:id="27"/>
    <w:p w14:paraId="2AFF8210" w14:textId="77777777" w:rsidR="00A77B3E" w:rsidRPr="007F0B0F" w:rsidRDefault="00A77B3E" w:rsidP="007F0B0F">
      <w:pPr>
        <w:snapToGrid w:val="0"/>
        <w:spacing w:line="360" w:lineRule="auto"/>
        <w:jc w:val="both"/>
        <w:rPr>
          <w:rFonts w:ascii="Book Antiqua" w:hAnsi="Book Antiqua"/>
        </w:rPr>
      </w:pPr>
    </w:p>
    <w:p w14:paraId="272D6007"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Key Words: </w:t>
      </w:r>
      <w:bookmarkStart w:id="28" w:name="OLE_LINK21"/>
      <w:bookmarkStart w:id="29" w:name="OLE_LINK22"/>
      <w:r w:rsidRPr="007F0B0F">
        <w:rPr>
          <w:rFonts w:ascii="Book Antiqua" w:eastAsia="Book Antiqua" w:hAnsi="Book Antiqua" w:cs="Book Antiqua"/>
          <w:color w:val="000000"/>
        </w:rPr>
        <w:t xml:space="preserve">Fistula; Fibrin glue; Crohn's disease; </w:t>
      </w:r>
      <w:r w:rsidR="00CE0E29" w:rsidRPr="007F0B0F">
        <w:rPr>
          <w:rFonts w:ascii="Book Antiqua" w:eastAsia="Book Antiqua" w:hAnsi="Book Antiqua" w:cs="Book Antiqua"/>
          <w:color w:val="000000"/>
        </w:rPr>
        <w:t>Perianal disease activity index</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Inflammatory bowel disease</w:t>
      </w:r>
      <w:r w:rsidRPr="007F0B0F">
        <w:rPr>
          <w:rFonts w:ascii="Book Antiqua" w:eastAsia="Book Antiqua" w:hAnsi="Book Antiqua" w:cs="Book Antiqua"/>
          <w:color w:val="000000"/>
        </w:rPr>
        <w:t xml:space="preserve">; </w:t>
      </w:r>
      <w:bookmarkStart w:id="30" w:name="OLE_LINK13"/>
      <w:bookmarkStart w:id="31" w:name="OLE_LINK14"/>
      <w:r w:rsidRPr="007F0B0F">
        <w:rPr>
          <w:rFonts w:ascii="Book Antiqua" w:eastAsia="Book Antiqua" w:hAnsi="Book Antiqua" w:cs="Book Antiqua"/>
          <w:color w:val="000000"/>
        </w:rPr>
        <w:t>Fistula closure</w:t>
      </w:r>
      <w:bookmarkEnd w:id="30"/>
      <w:bookmarkEnd w:id="31"/>
    </w:p>
    <w:bookmarkEnd w:id="28"/>
    <w:bookmarkEnd w:id="29"/>
    <w:p w14:paraId="51309966" w14:textId="77777777" w:rsidR="006676FF" w:rsidRDefault="006676FF" w:rsidP="006676FF">
      <w:pPr>
        <w:spacing w:line="360" w:lineRule="auto"/>
        <w:jc w:val="both"/>
        <w:rPr>
          <w:lang w:eastAsia="zh-CN"/>
        </w:rPr>
      </w:pPr>
    </w:p>
    <w:p w14:paraId="5079BFE9" w14:textId="77777777" w:rsidR="006676FF" w:rsidRDefault="006676FF" w:rsidP="006676F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9C43006" w14:textId="77777777" w:rsidR="006676FF" w:rsidRDefault="006676FF" w:rsidP="006676FF">
      <w:pPr>
        <w:spacing w:line="360" w:lineRule="auto"/>
        <w:jc w:val="both"/>
        <w:rPr>
          <w:lang w:eastAsia="zh-CN"/>
        </w:rPr>
      </w:pPr>
    </w:p>
    <w:p w14:paraId="2D2C4BD7" w14:textId="0BC0C68D" w:rsidR="003211C5" w:rsidRDefault="006676FF" w:rsidP="006676FF">
      <w:pPr>
        <w:spacing w:line="360" w:lineRule="auto"/>
        <w:rPr>
          <w:rFonts w:ascii="Book Antiqua" w:eastAsia="宋体" w:hAnsi="Book Antiqua" w:cs="宋体"/>
          <w:color w:val="333333"/>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CA658C" w:rsidRPr="007F0B0F">
        <w:rPr>
          <w:rFonts w:ascii="Book Antiqua" w:eastAsia="Book Antiqua" w:hAnsi="Book Antiqua" w:cs="Book Antiqua"/>
          <w:color w:val="000000"/>
        </w:rPr>
        <w:t xml:space="preserve">Villiger R, Cabalzar-Wondberg D, Zeller D, Frei P, Biedermann L, Schneider C, Scharl M, Rogler G, Turina M, Rickenbacher A, Misselwitz B. Perianal fistulodesis </w:t>
      </w:r>
      <w:r w:rsidR="00536C53" w:rsidRPr="00536C53">
        <w:rPr>
          <w:rFonts w:ascii="Book Antiqua" w:eastAsia="等线" w:hAnsi="Book Antiqua" w:cs="Arial"/>
        </w:rPr>
        <w:t>–</w:t>
      </w:r>
      <w:r w:rsidR="00536C53">
        <w:rPr>
          <w:rFonts w:ascii="Book Antiqua" w:eastAsia="Book Antiqua" w:hAnsi="Book Antiqua" w:cs="Book Antiqua"/>
          <w:color w:val="000000"/>
        </w:rPr>
        <w:t xml:space="preserve"> </w:t>
      </w:r>
      <w:r w:rsidR="00CA658C" w:rsidRPr="007F0B0F">
        <w:rPr>
          <w:rFonts w:ascii="Book Antiqua" w:eastAsia="Book Antiqua" w:hAnsi="Book Antiqua" w:cs="Book Antiqua"/>
          <w:color w:val="000000"/>
        </w:rPr>
        <w:t xml:space="preserve">A pilot study of a novel minimally invasive surgical and medical approach for closure of perianal fistulae. </w:t>
      </w:r>
      <w:r w:rsidR="00CA658C" w:rsidRPr="007F0B0F">
        <w:rPr>
          <w:rFonts w:ascii="Book Antiqua" w:eastAsia="Book Antiqua" w:hAnsi="Book Antiqua" w:cs="Book Antiqua"/>
          <w:i/>
          <w:iCs/>
          <w:color w:val="000000"/>
        </w:rPr>
        <w:t>World J Gastrointest Surg</w:t>
      </w:r>
      <w:r w:rsidR="00CA658C" w:rsidRPr="007F0B0F">
        <w:rPr>
          <w:rFonts w:ascii="Book Antiqua" w:eastAsia="Book Antiqua" w:hAnsi="Book Antiqua" w:cs="Book Antiqua"/>
          <w:color w:val="000000"/>
        </w:rPr>
        <w:t xml:space="preserve"> </w:t>
      </w:r>
      <w:r w:rsidR="002B48B1" w:rsidRPr="002B48B1">
        <w:rPr>
          <w:rFonts w:ascii="Book Antiqua" w:eastAsia="宋体" w:hAnsi="Book Antiqua" w:cs="宋体"/>
          <w:color w:val="333333"/>
        </w:rPr>
        <w:t xml:space="preserve">2021; 13(2): </w:t>
      </w:r>
      <w:r w:rsidR="003211C5">
        <w:rPr>
          <w:rFonts w:ascii="Book Antiqua" w:eastAsia="宋体" w:hAnsi="Book Antiqua" w:cs="宋体"/>
          <w:color w:val="333333"/>
        </w:rPr>
        <w:t>187-197</w:t>
      </w:r>
    </w:p>
    <w:p w14:paraId="4850C736" w14:textId="4664FB20" w:rsidR="003211C5" w:rsidRDefault="002B48B1" w:rsidP="006676FF">
      <w:pPr>
        <w:spacing w:line="360" w:lineRule="auto"/>
        <w:rPr>
          <w:rFonts w:ascii="Book Antiqua" w:eastAsia="宋体" w:hAnsi="Book Antiqua" w:cs="宋体"/>
          <w:color w:val="333333"/>
        </w:rPr>
      </w:pPr>
      <w:r w:rsidRPr="002B48B1">
        <w:rPr>
          <w:rFonts w:ascii="Book Antiqua" w:eastAsia="宋体" w:hAnsi="Book Antiqua" w:cs="宋体"/>
          <w:color w:val="333333"/>
        </w:rPr>
        <w:t>URL: https://www.wjgnet.com/1948-9366/full/v13/i2/</w:t>
      </w:r>
      <w:r w:rsidR="006C188E">
        <w:rPr>
          <w:rFonts w:ascii="Book Antiqua" w:eastAsia="宋体" w:hAnsi="Book Antiqua" w:cs="宋体"/>
          <w:color w:val="333333"/>
        </w:rPr>
        <w:t>187</w:t>
      </w:r>
      <w:r w:rsidRPr="002B48B1">
        <w:rPr>
          <w:rFonts w:ascii="Book Antiqua" w:eastAsia="宋体" w:hAnsi="Book Antiqua" w:cs="宋体"/>
          <w:color w:val="333333"/>
        </w:rPr>
        <w:t xml:space="preserve">.htm  </w:t>
      </w:r>
    </w:p>
    <w:p w14:paraId="5FE0E563" w14:textId="270B5AC1" w:rsidR="00A77B3E" w:rsidRPr="002B48B1" w:rsidRDefault="002B48B1" w:rsidP="006676FF">
      <w:pPr>
        <w:spacing w:line="360" w:lineRule="auto"/>
        <w:rPr>
          <w:rFonts w:ascii="Book Antiqua" w:eastAsia="宋体" w:hAnsi="Book Antiqua" w:cs="宋体"/>
          <w:color w:val="333333"/>
        </w:rPr>
      </w:pPr>
      <w:r w:rsidRPr="002B48B1">
        <w:rPr>
          <w:rFonts w:ascii="Book Antiqua" w:eastAsia="宋体" w:hAnsi="Book Antiqua" w:cs="宋体"/>
          <w:color w:val="333333"/>
        </w:rPr>
        <w:t>DOI: https://dx.doi.org/10.4240/wjgs.v13.i2.</w:t>
      </w:r>
      <w:r w:rsidR="006C188E">
        <w:rPr>
          <w:rFonts w:ascii="Book Antiqua" w:eastAsia="宋体" w:hAnsi="Book Antiqua" w:cs="宋体"/>
          <w:color w:val="333333"/>
        </w:rPr>
        <w:t>187</w:t>
      </w:r>
    </w:p>
    <w:p w14:paraId="51CCEE84" w14:textId="77777777" w:rsidR="00A77B3E" w:rsidRPr="007F0B0F" w:rsidRDefault="00A77B3E" w:rsidP="007F0B0F">
      <w:pPr>
        <w:snapToGrid w:val="0"/>
        <w:spacing w:line="360" w:lineRule="auto"/>
        <w:jc w:val="both"/>
        <w:rPr>
          <w:rFonts w:ascii="Book Antiqua" w:hAnsi="Book Antiqua"/>
        </w:rPr>
      </w:pPr>
    </w:p>
    <w:p w14:paraId="3DE718D7"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Core Tip: </w:t>
      </w:r>
      <w:bookmarkStart w:id="32" w:name="OLE_LINK23"/>
      <w:bookmarkStart w:id="33" w:name="OLE_LINK24"/>
      <w:r w:rsidRPr="007F0B0F">
        <w:rPr>
          <w:rFonts w:ascii="Book Antiqua" w:eastAsia="Book Antiqua" w:hAnsi="Book Antiqua" w:cs="Book Antiqua"/>
          <w:color w:val="000000"/>
        </w:rPr>
        <w:t xml:space="preserve">Perianal fistulae strongly impact on quality of life of affected patients. Despite various treatment options clinical care of fistula patients remains a challenge and novel minimally invasive treatment options are needed. Fistulodesis is feasible and safe for perianal fistula closure. Overall success rates is at 30% comparable to other similar techniques. A trend for better outcomes in patients with low </w:t>
      </w:r>
      <w:r w:rsidR="00CE0E29" w:rsidRPr="007F0B0F">
        <w:rPr>
          <w:rFonts w:ascii="Book Antiqua" w:eastAsia="Book Antiqua" w:hAnsi="Book Antiqua" w:cs="Book Antiqua"/>
          <w:color w:val="000000"/>
        </w:rPr>
        <w:t>perianal disease activity index</w:t>
      </w:r>
      <w:r w:rsidRPr="007F0B0F">
        <w:rPr>
          <w:rFonts w:ascii="Book Antiqua" w:eastAsia="Book Antiqua" w:hAnsi="Book Antiqua" w:cs="Book Antiqua"/>
          <w:color w:val="000000"/>
        </w:rPr>
        <w:t xml:space="preserve"> needs to be confirmed.</w:t>
      </w:r>
    </w:p>
    <w:bookmarkEnd w:id="32"/>
    <w:bookmarkEnd w:id="33"/>
    <w:p w14:paraId="65B0D69B" w14:textId="77777777" w:rsidR="00A77B3E" w:rsidRPr="007F0B0F" w:rsidRDefault="008F3B7D" w:rsidP="007F0B0F">
      <w:pPr>
        <w:snapToGrid w:val="0"/>
        <w:spacing w:line="360" w:lineRule="auto"/>
        <w:jc w:val="both"/>
        <w:rPr>
          <w:rFonts w:ascii="Book Antiqua" w:hAnsi="Book Antiqua"/>
        </w:rPr>
      </w:pPr>
      <w:r w:rsidRPr="007F0B0F">
        <w:rPr>
          <w:rFonts w:ascii="Book Antiqua" w:hAnsi="Book Antiqua"/>
        </w:rPr>
        <w:br w:type="page"/>
      </w:r>
      <w:r w:rsidR="00CA658C" w:rsidRPr="007F0B0F">
        <w:rPr>
          <w:rFonts w:ascii="Book Antiqua" w:eastAsia="Book Antiqua" w:hAnsi="Book Antiqua" w:cs="Book Antiqua"/>
          <w:b/>
          <w:caps/>
          <w:color w:val="000000"/>
          <w:u w:val="single"/>
        </w:rPr>
        <w:lastRenderedPageBreak/>
        <w:t>INTRODUCTION</w:t>
      </w:r>
    </w:p>
    <w:p w14:paraId="4C25E4BB" w14:textId="77777777" w:rsidR="00A77B3E" w:rsidRPr="007F0B0F" w:rsidRDefault="00CA658C" w:rsidP="007F0B0F">
      <w:pPr>
        <w:snapToGrid w:val="0"/>
        <w:spacing w:line="360" w:lineRule="auto"/>
        <w:jc w:val="both"/>
        <w:rPr>
          <w:rFonts w:ascii="Book Antiqua" w:hAnsi="Book Antiqua"/>
        </w:rPr>
      </w:pPr>
      <w:bookmarkStart w:id="34" w:name="OLE_LINK35"/>
      <w:bookmarkStart w:id="35" w:name="OLE_LINK36"/>
      <w:r w:rsidRPr="007F0B0F">
        <w:rPr>
          <w:rFonts w:ascii="Book Antiqua" w:eastAsia="Book Antiqua" w:hAnsi="Book Antiqua" w:cs="Book Antiqua"/>
          <w:color w:val="000000"/>
        </w:rPr>
        <w:t>Symptoms of perianal fistulae include secr</w:t>
      </w:r>
      <w:r w:rsidR="00011CC4">
        <w:rPr>
          <w:rFonts w:ascii="Book Antiqua" w:eastAsia="Book Antiqua" w:hAnsi="Book Antiqua" w:cs="Book Antiqua"/>
          <w:color w:val="000000"/>
        </w:rPr>
        <w:t>etion of mucus, blood, pus and/</w:t>
      </w:r>
      <w:r w:rsidRPr="007F0B0F">
        <w:rPr>
          <w:rFonts w:ascii="Book Antiqua" w:eastAsia="Book Antiqua" w:hAnsi="Book Antiqua" w:cs="Book Antiqua"/>
          <w:color w:val="000000"/>
        </w:rPr>
        <w:t>or stool as well as pain, fecal incontinence and sexual dysfunction</w:t>
      </w:r>
      <w:r w:rsidRPr="007F0B0F">
        <w:rPr>
          <w:rFonts w:ascii="Book Antiqua" w:eastAsia="Book Antiqua" w:hAnsi="Book Antiqua" w:cs="Book Antiqua"/>
          <w:color w:val="000000"/>
          <w:vertAlign w:val="superscript"/>
        </w:rPr>
        <w:t>[1]</w:t>
      </w:r>
      <w:r w:rsidRPr="007F0B0F">
        <w:rPr>
          <w:rFonts w:ascii="Book Antiqua" w:eastAsia="Book Antiqua" w:hAnsi="Book Antiqua" w:cs="Book Antiqua"/>
          <w:color w:val="000000"/>
        </w:rPr>
        <w:t>, leading to a pronounced decrease in the quality of life</w:t>
      </w:r>
      <w:r w:rsidRPr="007F0B0F">
        <w:rPr>
          <w:rFonts w:ascii="Book Antiqua" w:eastAsia="Book Antiqua" w:hAnsi="Book Antiqua" w:cs="Book Antiqua"/>
          <w:color w:val="000000"/>
          <w:vertAlign w:val="superscript"/>
        </w:rPr>
        <w:t>[2]</w:t>
      </w:r>
      <w:r w:rsidRPr="007F0B0F">
        <w:rPr>
          <w:rFonts w:ascii="Book Antiqua" w:eastAsia="Book Antiqua" w:hAnsi="Book Antiqua" w:cs="Book Antiqua"/>
          <w:color w:val="000000"/>
        </w:rPr>
        <w:t>. Most perianal fistulae occur due to obstruction of anal glands and an acute perianal abscess can transform into a fistula; vice versa, fistulae can be complicated by perianal abscesses in case of congestion of secretions</w:t>
      </w:r>
      <w:r w:rsidRPr="007F0B0F">
        <w:rPr>
          <w:rFonts w:ascii="Book Antiqua" w:eastAsia="Book Antiqua" w:hAnsi="Book Antiqua" w:cs="Book Antiqua"/>
          <w:color w:val="000000"/>
          <w:vertAlign w:val="superscript"/>
        </w:rPr>
        <w:t>[3]</w:t>
      </w:r>
      <w:r w:rsidRPr="007F0B0F">
        <w:rPr>
          <w:rFonts w:ascii="Book Antiqua" w:eastAsia="Book Antiqua" w:hAnsi="Book Antiqua" w:cs="Book Antiqua"/>
          <w:color w:val="000000"/>
        </w:rPr>
        <w:t>. Numerous surgical therapeutic options for perianal fistulae exist, all are limited by low to moderate success rates and frequent relapses</w:t>
      </w:r>
      <w:r w:rsidRPr="007F0B0F">
        <w:rPr>
          <w:rFonts w:ascii="Book Antiqua" w:eastAsia="Book Antiqua" w:hAnsi="Book Antiqua" w:cs="Book Antiqua"/>
          <w:color w:val="000000"/>
          <w:vertAlign w:val="superscript"/>
        </w:rPr>
        <w:t>[4-6]</w:t>
      </w:r>
      <w:r w:rsidRPr="007F0B0F">
        <w:rPr>
          <w:rFonts w:ascii="Book Antiqua" w:eastAsia="Book Antiqua" w:hAnsi="Book Antiqua" w:cs="Book Antiqua"/>
          <w:color w:val="000000"/>
        </w:rPr>
        <w:t>.</w:t>
      </w:r>
    </w:p>
    <w:p w14:paraId="64C4AD67"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Perianal fistulae are also a frequent problem in patients with Crohn’s disease (CD), a chronic, immune-mediated disease of the intestinal tract</w:t>
      </w:r>
      <w:r w:rsidRPr="007F0B0F">
        <w:rPr>
          <w:rFonts w:ascii="Book Antiqua" w:eastAsia="Book Antiqua" w:hAnsi="Book Antiqua" w:cs="Book Antiqua"/>
          <w:color w:val="000000"/>
          <w:vertAlign w:val="superscript"/>
        </w:rPr>
        <w:t>[7]</w:t>
      </w:r>
      <w:r w:rsidRPr="007F0B0F">
        <w:rPr>
          <w:rFonts w:ascii="Book Antiqua" w:eastAsia="Book Antiqua" w:hAnsi="Book Antiqua" w:cs="Book Antiqua"/>
          <w:color w:val="000000"/>
        </w:rPr>
        <w:t>. Multiple medical, surgical and combined treatment options exist</w:t>
      </w:r>
      <w:r w:rsidRPr="007F0B0F">
        <w:rPr>
          <w:rFonts w:ascii="Book Antiqua" w:eastAsia="Book Antiqua" w:hAnsi="Book Antiqua" w:cs="Book Antiqua"/>
          <w:color w:val="000000"/>
          <w:vertAlign w:val="superscript"/>
        </w:rPr>
        <w:t>[8]</w:t>
      </w:r>
      <w:r w:rsidRPr="007F0B0F">
        <w:rPr>
          <w:rFonts w:ascii="Book Antiqua" w:eastAsia="Book Antiqua" w:hAnsi="Book Antiqua" w:cs="Book Antiqua"/>
          <w:color w:val="000000"/>
        </w:rPr>
        <w:t>, however, CD fistulae still present a significant clinical challenge for patients and physicians alike</w:t>
      </w:r>
      <w:r w:rsidR="00CE0E29" w:rsidRPr="007F0B0F">
        <w:rPr>
          <w:rFonts w:ascii="Book Antiqua" w:eastAsia="Book Antiqua" w:hAnsi="Book Antiqua" w:cs="Book Antiqua"/>
          <w:color w:val="000000"/>
          <w:vertAlign w:val="superscript"/>
        </w:rPr>
        <w:t>[9,</w:t>
      </w:r>
      <w:r w:rsidRPr="007F0B0F">
        <w:rPr>
          <w:rFonts w:ascii="Book Antiqua" w:eastAsia="Book Antiqua" w:hAnsi="Book Antiqua" w:cs="Book Antiqua"/>
          <w:color w:val="000000"/>
          <w:vertAlign w:val="superscript"/>
        </w:rPr>
        <w:t>10]</w:t>
      </w:r>
      <w:r w:rsidRPr="007F0B0F">
        <w:rPr>
          <w:rFonts w:ascii="Book Antiqua" w:eastAsia="Book Antiqua" w:hAnsi="Book Antiqua" w:cs="Book Antiqua"/>
          <w:color w:val="000000"/>
        </w:rPr>
        <w:t>. Therapeutic success for long-term fistula healing in CD patients is unsatisfying with healing rates reaching 50% at most and even after initial success, CD fistulae frequently relapse</w:t>
      </w:r>
      <w:r w:rsidR="00CE0E29" w:rsidRPr="007F0B0F">
        <w:rPr>
          <w:rFonts w:ascii="Book Antiqua" w:eastAsia="Book Antiqua" w:hAnsi="Book Antiqua" w:cs="Book Antiqua"/>
          <w:color w:val="000000"/>
          <w:vertAlign w:val="superscript"/>
        </w:rPr>
        <w:t>[11,</w:t>
      </w:r>
      <w:r w:rsidRPr="007F0B0F">
        <w:rPr>
          <w:rFonts w:ascii="Book Antiqua" w:eastAsia="Book Antiqua" w:hAnsi="Book Antiqua" w:cs="Book Antiqua"/>
          <w:color w:val="000000"/>
          <w:vertAlign w:val="superscript"/>
        </w:rPr>
        <w:t>12]</w:t>
      </w:r>
      <w:r w:rsidRPr="007F0B0F">
        <w:rPr>
          <w:rFonts w:ascii="Book Antiqua" w:eastAsia="Book Antiqua" w:hAnsi="Book Antiqua" w:cs="Book Antiqua"/>
          <w:color w:val="000000"/>
        </w:rPr>
        <w:t>. This might also be related to a different pathogenesis of CD fistula compared to non-CD fistulas. Mesenchymal stem cells might significantly improve treatment success</w:t>
      </w:r>
      <w:r w:rsidRPr="007F0B0F">
        <w:rPr>
          <w:rFonts w:ascii="Book Antiqua" w:eastAsia="Book Antiqua" w:hAnsi="Book Antiqua" w:cs="Book Antiqua"/>
          <w:color w:val="000000"/>
          <w:vertAlign w:val="superscript"/>
        </w:rPr>
        <w:t>[13]</w:t>
      </w:r>
      <w:r w:rsidRPr="007F0B0F">
        <w:rPr>
          <w:rFonts w:ascii="Book Antiqua" w:eastAsia="Book Antiqua" w:hAnsi="Book Antiqua" w:cs="Book Antiqua"/>
          <w:color w:val="000000"/>
        </w:rPr>
        <w:t>, but the treatment is very cost intensive and long-term safety data are lacking.</w:t>
      </w:r>
    </w:p>
    <w:p w14:paraId="683D2F98"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Fibrin glue instillation, leading to formation of a fibrin clot and mechanical sealing of the fistula tract has been introduced as a fistula treatment two decades ago</w:t>
      </w:r>
      <w:r w:rsidR="00CE0E29" w:rsidRPr="007F0B0F">
        <w:rPr>
          <w:rFonts w:ascii="Book Antiqua" w:eastAsia="Book Antiqua" w:hAnsi="Book Antiqua" w:cs="Book Antiqua"/>
          <w:color w:val="000000"/>
          <w:vertAlign w:val="superscript"/>
        </w:rPr>
        <w:t>[14,</w:t>
      </w:r>
      <w:r w:rsidRPr="007F0B0F">
        <w:rPr>
          <w:rFonts w:ascii="Book Antiqua" w:eastAsia="Book Antiqua" w:hAnsi="Book Antiqua" w:cs="Book Antiqua"/>
          <w:color w:val="000000"/>
          <w:vertAlign w:val="superscript"/>
        </w:rPr>
        <w:t>15]</w:t>
      </w:r>
      <w:r w:rsidRPr="007F0B0F">
        <w:rPr>
          <w:rFonts w:ascii="Book Antiqua" w:eastAsia="Book Antiqua" w:hAnsi="Book Antiqua" w:cs="Book Antiqua"/>
          <w:color w:val="000000"/>
        </w:rPr>
        <w:t>. Fibrin application for perianal fistulae is well-tolerated</w:t>
      </w:r>
      <w:r w:rsidRPr="007F0B0F">
        <w:rPr>
          <w:rFonts w:ascii="Book Antiqua" w:eastAsia="Book Antiqua" w:hAnsi="Book Antiqua" w:cs="Book Antiqua"/>
          <w:color w:val="000000"/>
          <w:vertAlign w:val="superscript"/>
        </w:rPr>
        <w:t>[16]</w:t>
      </w:r>
      <w:r w:rsidRPr="007F0B0F">
        <w:rPr>
          <w:rFonts w:ascii="Book Antiqua" w:eastAsia="Book Antiqua" w:hAnsi="Book Antiqua" w:cs="Book Antiqua"/>
          <w:color w:val="000000"/>
        </w:rPr>
        <w:t xml:space="preserve"> and even in case of treatment failure, there is no evidence for a negative impact on future treatment attempts</w:t>
      </w:r>
      <w:r w:rsidRPr="007F0B0F">
        <w:rPr>
          <w:rFonts w:ascii="Book Antiqua" w:eastAsia="Book Antiqua" w:hAnsi="Book Antiqua" w:cs="Book Antiqua"/>
          <w:color w:val="000000"/>
          <w:vertAlign w:val="superscript"/>
        </w:rPr>
        <w:t>[17]</w:t>
      </w:r>
      <w:r w:rsidRPr="007F0B0F">
        <w:rPr>
          <w:rFonts w:ascii="Book Antiqua" w:eastAsia="Book Antiqua" w:hAnsi="Book Antiqua" w:cs="Book Antiqua"/>
          <w:color w:val="000000"/>
        </w:rPr>
        <w:t>. Unfortunately, success rates vary widely</w:t>
      </w:r>
      <w:r w:rsidRPr="007F0B0F">
        <w:rPr>
          <w:rFonts w:ascii="Book Antiqua" w:eastAsia="Book Antiqua" w:hAnsi="Book Antiqua" w:cs="Book Antiqua"/>
          <w:color w:val="000000"/>
          <w:vertAlign w:val="superscript"/>
        </w:rPr>
        <w:t>[16]</w:t>
      </w:r>
      <w:r w:rsidRPr="007F0B0F">
        <w:rPr>
          <w:rFonts w:ascii="Book Antiqua" w:eastAsia="Book Antiqua" w:hAnsi="Book Antiqua" w:cs="Book Antiqua"/>
          <w:color w:val="000000"/>
        </w:rPr>
        <w:t xml:space="preserve"> and in an illustrative study, a 38% success rate in CD patients has been described</w:t>
      </w:r>
      <w:r w:rsidRPr="007F0B0F">
        <w:rPr>
          <w:rFonts w:ascii="Book Antiqua" w:eastAsia="Book Antiqua" w:hAnsi="Book Antiqua" w:cs="Book Antiqua"/>
          <w:color w:val="000000"/>
          <w:vertAlign w:val="superscript"/>
        </w:rPr>
        <w:t>[18]</w:t>
      </w:r>
      <w:r w:rsidRPr="007F0B0F">
        <w:rPr>
          <w:rFonts w:ascii="Book Antiqua" w:eastAsia="Book Antiqua" w:hAnsi="Book Antiqua" w:cs="Book Antiqua"/>
          <w:color w:val="000000"/>
        </w:rPr>
        <w:t>. Further modifications to improve success rates of fibrin glue treatment would be desirable.</w:t>
      </w:r>
    </w:p>
    <w:p w14:paraId="0E57B8A2" w14:textId="77777777" w:rsidR="00CE0E29" w:rsidRPr="007F0B0F" w:rsidRDefault="00CA658C" w:rsidP="007F0B0F">
      <w:pPr>
        <w:snapToGrid w:val="0"/>
        <w:spacing w:line="360" w:lineRule="auto"/>
        <w:ind w:firstLineChars="100" w:firstLine="240"/>
        <w:jc w:val="both"/>
        <w:rPr>
          <w:rFonts w:ascii="Book Antiqua" w:eastAsia="Book Antiqua" w:hAnsi="Book Antiqua" w:cs="Book Antiqua"/>
          <w:color w:val="000000"/>
        </w:rPr>
      </w:pPr>
      <w:r w:rsidRPr="007F0B0F">
        <w:rPr>
          <w:rFonts w:ascii="Book Antiqua" w:eastAsia="Book Antiqua" w:hAnsi="Book Antiqua" w:cs="Book Antiqua"/>
          <w:color w:val="000000"/>
        </w:rPr>
        <w:t xml:space="preserve">In this study we tested the fistulodesis concept, comprising surgical curettage, flushing of the fistula tract with acetylcysteine and doxycycline, surgical closure of the fistula openings and closure of the fistula tract with fibrin glue followed by </w:t>
      </w:r>
      <w:r w:rsidRPr="007F0B0F">
        <w:rPr>
          <w:rFonts w:ascii="Book Antiqua" w:eastAsia="Book Antiqua" w:hAnsi="Book Antiqua" w:cs="Book Antiqua"/>
          <w:color w:val="000000"/>
        </w:rPr>
        <w:lastRenderedPageBreak/>
        <w:t>antibiotic treatment for ten days post-operatively. Here we report the feasibility and success rates of fistulodesis and identified predictors for success, possibly enabling improvements of our procedure.</w:t>
      </w:r>
    </w:p>
    <w:bookmarkEnd w:id="34"/>
    <w:bookmarkEnd w:id="35"/>
    <w:p w14:paraId="5652CD3B" w14:textId="77777777" w:rsidR="00CE0E29" w:rsidRPr="007F0B0F" w:rsidRDefault="00CE0E29" w:rsidP="007F0B0F">
      <w:pPr>
        <w:snapToGrid w:val="0"/>
        <w:spacing w:line="360" w:lineRule="auto"/>
        <w:jc w:val="both"/>
        <w:rPr>
          <w:rFonts w:ascii="Book Antiqua" w:eastAsia="Book Antiqua" w:hAnsi="Book Antiqua" w:cs="Book Antiqua"/>
          <w:color w:val="000000"/>
        </w:rPr>
      </w:pPr>
    </w:p>
    <w:p w14:paraId="41983AFB"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aps/>
          <w:color w:val="000000"/>
          <w:u w:val="single"/>
        </w:rPr>
        <w:t>MATERIALS AND METHODS</w:t>
      </w:r>
    </w:p>
    <w:p w14:paraId="081B9444" w14:textId="77777777" w:rsidR="00A77B3E" w:rsidRPr="007F0B0F" w:rsidRDefault="00CA658C" w:rsidP="007F0B0F">
      <w:pPr>
        <w:snapToGrid w:val="0"/>
        <w:spacing w:line="360" w:lineRule="auto"/>
        <w:jc w:val="both"/>
        <w:rPr>
          <w:rFonts w:ascii="Book Antiqua" w:hAnsi="Book Antiqua"/>
        </w:rPr>
      </w:pPr>
      <w:bookmarkStart w:id="36" w:name="OLE_LINK37"/>
      <w:bookmarkStart w:id="37" w:name="OLE_LINK38"/>
      <w:r w:rsidRPr="007F0B0F">
        <w:rPr>
          <w:rFonts w:ascii="Book Antiqua" w:eastAsia="Book Antiqua" w:hAnsi="Book Antiqua" w:cs="Book Antiqua"/>
          <w:color w:val="000000"/>
        </w:rPr>
        <w:t>The fistulodesis pilot study is an open label, prospective and interventional study, including two centers. The study included patients with perianal fistulae, divided into an IBD and a non-IBD cohort, initially aiming to include 20 patients into each group. After two years and slow recruitment in the CD arm of the study, we decided to interrupt the study and report the results.</w:t>
      </w:r>
    </w:p>
    <w:p w14:paraId="2513A974" w14:textId="77777777" w:rsidR="00A77B3E" w:rsidRPr="007F0B0F" w:rsidRDefault="00A77B3E" w:rsidP="007F0B0F">
      <w:pPr>
        <w:snapToGrid w:val="0"/>
        <w:spacing w:line="360" w:lineRule="auto"/>
        <w:jc w:val="both"/>
        <w:rPr>
          <w:rFonts w:ascii="Book Antiqua" w:hAnsi="Book Antiqua"/>
        </w:rPr>
      </w:pPr>
    </w:p>
    <w:p w14:paraId="7E589C2E"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iCs/>
          <w:color w:val="000000"/>
        </w:rPr>
        <w:t>Inclusion and exclusion criteria</w:t>
      </w:r>
    </w:p>
    <w:p w14:paraId="286C9722" w14:textId="1B0E3BE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 xml:space="preserve">Patients were recruited between June 2017 and November 2018. Inclusion criteria were: </w:t>
      </w:r>
      <w:r w:rsidR="00CE0E29" w:rsidRPr="007F0B0F">
        <w:rPr>
          <w:rFonts w:ascii="Book Antiqua" w:eastAsia="Book Antiqua" w:hAnsi="Book Antiqua" w:cs="Book Antiqua"/>
          <w:color w:val="000000"/>
        </w:rPr>
        <w:t>(1</w:t>
      </w:r>
      <w:r w:rsidRPr="007F0B0F">
        <w:rPr>
          <w:rFonts w:ascii="Book Antiqua" w:eastAsia="Book Antiqua" w:hAnsi="Book Antiqua" w:cs="Book Antiqua"/>
          <w:color w:val="000000"/>
        </w:rPr>
        <w:t xml:space="preserve">) </w:t>
      </w:r>
      <w:r w:rsidR="00AF6B4B">
        <w:rPr>
          <w:rFonts w:ascii="Book Antiqua" w:eastAsia="Book Antiqua" w:hAnsi="Book Antiqua" w:cs="Book Antiqua"/>
          <w:color w:val="000000"/>
        </w:rPr>
        <w:t>S</w:t>
      </w:r>
      <w:r w:rsidR="00CE0E29" w:rsidRPr="007F0B0F">
        <w:rPr>
          <w:rFonts w:ascii="Book Antiqua" w:eastAsia="Book Antiqua" w:hAnsi="Book Antiqua" w:cs="Book Antiqua"/>
          <w:color w:val="000000"/>
        </w:rPr>
        <w:t>igned written informed consent;</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(2</w:t>
      </w:r>
      <w:r w:rsidRPr="007F0B0F">
        <w:rPr>
          <w:rFonts w:ascii="Book Antiqua" w:eastAsia="Book Antiqua" w:hAnsi="Book Antiqua" w:cs="Book Antiqua"/>
          <w:color w:val="000000"/>
        </w:rPr>
        <w:t>) ≥</w:t>
      </w:r>
      <w:r w:rsidR="00CE0E29" w:rsidRPr="007F0B0F">
        <w:rPr>
          <w:rFonts w:ascii="Book Antiqua" w:eastAsia="Book Antiqua" w:hAnsi="Book Antiqua" w:cs="Book Antiqua"/>
          <w:color w:val="000000"/>
        </w:rPr>
        <w:t xml:space="preserve"> 18 years of age;</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(3</w:t>
      </w:r>
      <w:r w:rsidRPr="007F0B0F">
        <w:rPr>
          <w:rFonts w:ascii="Book Antiqua" w:eastAsia="Book Antiqua" w:hAnsi="Book Antiqua" w:cs="Book Antiqua"/>
          <w:color w:val="000000"/>
        </w:rPr>
        <w:t xml:space="preserve">) </w:t>
      </w:r>
      <w:r w:rsidR="00AF6B4B">
        <w:rPr>
          <w:rFonts w:ascii="Book Antiqua" w:eastAsia="Book Antiqua" w:hAnsi="Book Antiqua" w:cs="Book Antiqua"/>
          <w:color w:val="000000"/>
        </w:rPr>
        <w:t>P</w:t>
      </w:r>
      <w:r w:rsidRPr="007F0B0F">
        <w:rPr>
          <w:rFonts w:ascii="Book Antiqua" w:eastAsia="Book Antiqua" w:hAnsi="Book Antiqua" w:cs="Book Antiqua"/>
          <w:color w:val="000000"/>
        </w:rPr>
        <w:t>ersistent perianal fistula for ≥</w:t>
      </w:r>
      <w:r w:rsidR="00CE0E29"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3 mo</w:t>
      </w:r>
      <w:r w:rsidR="00CE0E29" w:rsidRPr="007F0B0F">
        <w:rPr>
          <w:rFonts w:ascii="Book Antiqua" w:eastAsia="Book Antiqua" w:hAnsi="Book Antiqua" w:cs="Book Antiqua"/>
          <w:color w:val="000000"/>
        </w:rPr>
        <w:t>;</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(4</w:t>
      </w:r>
      <w:r w:rsidRPr="007F0B0F">
        <w:rPr>
          <w:rFonts w:ascii="Book Antiqua" w:eastAsia="Book Antiqua" w:hAnsi="Book Antiqua" w:cs="Book Antiqua"/>
          <w:color w:val="000000"/>
        </w:rPr>
        <w:t xml:space="preserve">) </w:t>
      </w:r>
      <w:r w:rsidR="00AF6B4B">
        <w:rPr>
          <w:rFonts w:ascii="Book Antiqua" w:eastAsia="Book Antiqua" w:hAnsi="Book Antiqua" w:cs="Book Antiqua"/>
          <w:color w:val="000000"/>
        </w:rPr>
        <w:t>P</w:t>
      </w:r>
      <w:r w:rsidRPr="007F0B0F">
        <w:rPr>
          <w:rFonts w:ascii="Book Antiqua" w:eastAsia="Book Antiqua" w:hAnsi="Book Antiqua" w:cs="Book Antiqua"/>
          <w:color w:val="000000"/>
        </w:rPr>
        <w:t>lanned</w:t>
      </w:r>
      <w:r w:rsidR="00CE0E29" w:rsidRPr="007F0B0F">
        <w:rPr>
          <w:rFonts w:ascii="Book Antiqua" w:eastAsia="Book Antiqua" w:hAnsi="Book Antiqua" w:cs="Book Antiqua"/>
          <w:color w:val="000000"/>
        </w:rPr>
        <w:t xml:space="preserve"> examination under anesthesia;</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(5</w:t>
      </w:r>
      <w:r w:rsidRPr="007F0B0F">
        <w:rPr>
          <w:rFonts w:ascii="Book Antiqua" w:eastAsia="Book Antiqua" w:hAnsi="Book Antiqua" w:cs="Book Antiqua"/>
          <w:color w:val="000000"/>
        </w:rPr>
        <w:t xml:space="preserve">) </w:t>
      </w:r>
      <w:r w:rsidR="00AF6B4B">
        <w:rPr>
          <w:rFonts w:ascii="Book Antiqua" w:eastAsia="Book Antiqua" w:hAnsi="Book Antiqua" w:cs="Book Antiqua"/>
          <w:color w:val="000000"/>
        </w:rPr>
        <w:t>E</w:t>
      </w:r>
      <w:r w:rsidRPr="007F0B0F">
        <w:rPr>
          <w:rFonts w:ascii="Book Antiqua" w:eastAsia="Book Antiqua" w:hAnsi="Book Antiqua" w:cs="Book Antiqua"/>
          <w:color w:val="000000"/>
        </w:rPr>
        <w:t xml:space="preserve">xclusion of pregnancy </w:t>
      </w:r>
      <w:r w:rsidRPr="007F0B0F">
        <w:rPr>
          <w:rFonts w:ascii="Book Antiqua" w:eastAsia="Book Antiqua" w:hAnsi="Book Antiqua" w:cs="Book Antiqua"/>
          <w:i/>
          <w:iCs/>
          <w:color w:val="000000"/>
        </w:rPr>
        <w:t>via</w:t>
      </w:r>
      <w:r w:rsidRPr="007F0B0F">
        <w:rPr>
          <w:rFonts w:ascii="Book Antiqua" w:eastAsia="Book Antiqua" w:hAnsi="Book Antiqua" w:cs="Book Antiqua"/>
          <w:color w:val="000000"/>
        </w:rPr>
        <w:t xml:space="preserve"> a prior urine test in females of childbearing potential and willingness to use effective contraception during study participation and </w:t>
      </w:r>
      <w:r w:rsidR="00CE0E29" w:rsidRPr="007F0B0F">
        <w:rPr>
          <w:rFonts w:ascii="Book Antiqua" w:eastAsia="Book Antiqua" w:hAnsi="Book Antiqua" w:cs="Book Antiqua"/>
          <w:color w:val="000000"/>
        </w:rPr>
        <w:t>(6</w:t>
      </w:r>
      <w:r w:rsidRPr="007F0B0F">
        <w:rPr>
          <w:rFonts w:ascii="Book Antiqua" w:eastAsia="Book Antiqua" w:hAnsi="Book Antiqua" w:cs="Book Antiqua"/>
          <w:color w:val="000000"/>
        </w:rPr>
        <w:t xml:space="preserve">) no breastfeeding. In addition, the following exclusion criteria applied: </w:t>
      </w:r>
      <w:r w:rsidR="00CE0E29" w:rsidRPr="007F0B0F">
        <w:rPr>
          <w:rFonts w:ascii="Book Antiqua" w:eastAsia="Book Antiqua" w:hAnsi="Book Antiqua" w:cs="Book Antiqua"/>
          <w:color w:val="000000"/>
        </w:rPr>
        <w:t>(1</w:t>
      </w:r>
      <w:r w:rsidRPr="007F0B0F">
        <w:rPr>
          <w:rFonts w:ascii="Book Antiqua" w:eastAsia="Book Antiqua" w:hAnsi="Book Antiqua" w:cs="Book Antiqua"/>
          <w:color w:val="000000"/>
        </w:rPr>
        <w:t>) &gt;</w:t>
      </w:r>
      <w:r w:rsidR="00CE0E29" w:rsidRPr="007F0B0F">
        <w:rPr>
          <w:rFonts w:ascii="Book Antiqua" w:eastAsia="Book Antiqua" w:hAnsi="Book Antiqua" w:cs="Book Antiqua"/>
          <w:color w:val="000000"/>
        </w:rPr>
        <w:t xml:space="preserve"> 2 external fistula openings;</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(2</w:t>
      </w:r>
      <w:r w:rsidRPr="007F0B0F">
        <w:rPr>
          <w:rFonts w:ascii="Book Antiqua" w:eastAsia="Book Antiqua" w:hAnsi="Book Antiqua" w:cs="Book Antiqua"/>
          <w:color w:val="000000"/>
        </w:rPr>
        <w:t xml:space="preserve">) </w:t>
      </w:r>
      <w:r w:rsidR="00AF6B4B">
        <w:rPr>
          <w:rFonts w:ascii="Book Antiqua" w:eastAsia="Book Antiqua" w:hAnsi="Book Antiqua" w:cs="Book Antiqua"/>
          <w:color w:val="000000"/>
        </w:rPr>
        <w:t>A</w:t>
      </w:r>
      <w:r w:rsidRPr="007F0B0F">
        <w:rPr>
          <w:rFonts w:ascii="Book Antiqua" w:eastAsia="Book Antiqua" w:hAnsi="Book Antiqua" w:cs="Book Antiqua"/>
          <w:color w:val="000000"/>
        </w:rPr>
        <w:t xml:space="preserve"> history </w:t>
      </w:r>
      <w:r w:rsidR="00CE0E29" w:rsidRPr="007F0B0F">
        <w:rPr>
          <w:rFonts w:ascii="Book Antiqua" w:eastAsia="Book Antiqua" w:hAnsi="Book Antiqua" w:cs="Book Antiqua"/>
          <w:color w:val="000000"/>
        </w:rPr>
        <w:t>of irradiation of the anorectum;</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(3</w:t>
      </w:r>
      <w:r w:rsidRPr="007F0B0F">
        <w:rPr>
          <w:rFonts w:ascii="Book Antiqua" w:eastAsia="Book Antiqua" w:hAnsi="Book Antiqua" w:cs="Book Antiqua"/>
          <w:color w:val="000000"/>
        </w:rPr>
        <w:t xml:space="preserve">) </w:t>
      </w:r>
      <w:r w:rsidR="00AF6B4B">
        <w:rPr>
          <w:rFonts w:ascii="Book Antiqua" w:eastAsia="Book Antiqua" w:hAnsi="Book Antiqua" w:cs="Book Antiqua"/>
          <w:color w:val="000000"/>
        </w:rPr>
        <w:t>C</w:t>
      </w:r>
      <w:r w:rsidRPr="007F0B0F">
        <w:rPr>
          <w:rFonts w:ascii="Book Antiqua" w:eastAsia="Book Antiqua" w:hAnsi="Book Antiqua" w:cs="Book Antiqua"/>
          <w:color w:val="000000"/>
        </w:rPr>
        <w:t>linical signs and sympto</w:t>
      </w:r>
      <w:r w:rsidR="00CE0E29" w:rsidRPr="007F0B0F">
        <w:rPr>
          <w:rFonts w:ascii="Book Antiqua" w:eastAsia="Book Antiqua" w:hAnsi="Book Antiqua" w:cs="Book Antiqua"/>
          <w:color w:val="000000"/>
        </w:rPr>
        <w:t>ms of an acute perianal abscess;</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(4</w:t>
      </w:r>
      <w:r w:rsidRPr="007F0B0F">
        <w:rPr>
          <w:rFonts w:ascii="Book Antiqua" w:eastAsia="Book Antiqua" w:hAnsi="Book Antiqua" w:cs="Book Antiqua"/>
          <w:color w:val="000000"/>
        </w:rPr>
        <w:t xml:space="preserve">) </w:t>
      </w:r>
      <w:r w:rsidR="00AF6B4B">
        <w:rPr>
          <w:rFonts w:ascii="Book Antiqua" w:eastAsia="Book Antiqua" w:hAnsi="Book Antiqua" w:cs="Book Antiqua"/>
          <w:color w:val="000000"/>
        </w:rPr>
        <w:t>P</w:t>
      </w:r>
      <w:r w:rsidRPr="007F0B0F">
        <w:rPr>
          <w:rFonts w:ascii="Book Antiqua" w:eastAsia="Book Antiqua" w:hAnsi="Book Antiqua" w:cs="Book Antiqua"/>
          <w:color w:val="000000"/>
        </w:rPr>
        <w:t>erianal sur</w:t>
      </w:r>
      <w:r w:rsidR="00CE0E29" w:rsidRPr="007F0B0F">
        <w:rPr>
          <w:rFonts w:ascii="Book Antiqua" w:eastAsia="Book Antiqua" w:hAnsi="Book Antiqua" w:cs="Book Antiqua"/>
          <w:color w:val="000000"/>
        </w:rPr>
        <w:t>gery during the last four weeks;</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(5</w:t>
      </w:r>
      <w:r w:rsidRPr="007F0B0F">
        <w:rPr>
          <w:rFonts w:ascii="Book Antiqua" w:eastAsia="Book Antiqua" w:hAnsi="Book Antiqua" w:cs="Book Antiqua"/>
          <w:color w:val="000000"/>
        </w:rPr>
        <w:t xml:space="preserve">) </w:t>
      </w:r>
      <w:r w:rsidR="000C4ADB">
        <w:rPr>
          <w:rFonts w:ascii="Book Antiqua" w:eastAsia="Book Antiqua" w:hAnsi="Book Antiqua" w:cs="Book Antiqua"/>
          <w:color w:val="000000"/>
        </w:rPr>
        <w:t>K</w:t>
      </w:r>
      <w:r w:rsidRPr="007F0B0F">
        <w:rPr>
          <w:rFonts w:ascii="Book Antiqua" w:eastAsia="Book Antiqua" w:hAnsi="Book Antiqua" w:cs="Book Antiqua"/>
          <w:color w:val="000000"/>
        </w:rPr>
        <w:t>nown allergy or non-tolerance against one or mo</w:t>
      </w:r>
      <w:r w:rsidR="00CE0E29" w:rsidRPr="007F0B0F">
        <w:rPr>
          <w:rFonts w:ascii="Book Antiqua" w:eastAsia="Book Antiqua" w:hAnsi="Book Antiqua" w:cs="Book Antiqua"/>
          <w:color w:val="000000"/>
        </w:rPr>
        <w:t>re of the used medical products;</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 xml:space="preserve">(6) </w:t>
      </w:r>
      <w:r w:rsidR="000C4ADB">
        <w:rPr>
          <w:rFonts w:ascii="Book Antiqua" w:eastAsia="Book Antiqua" w:hAnsi="Book Antiqua" w:cs="Book Antiqua"/>
          <w:color w:val="000000"/>
        </w:rPr>
        <w:t>C</w:t>
      </w:r>
      <w:r w:rsidR="00CE0E29" w:rsidRPr="007F0B0F">
        <w:rPr>
          <w:rFonts w:ascii="Book Antiqua" w:eastAsia="Book Antiqua" w:hAnsi="Book Antiqua" w:cs="Book Antiqua"/>
          <w:color w:val="000000"/>
        </w:rPr>
        <w:t>urrent antibiotic therapy;</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(7</w:t>
      </w:r>
      <w:r w:rsidRPr="007F0B0F">
        <w:rPr>
          <w:rFonts w:ascii="Book Antiqua" w:eastAsia="Book Antiqua" w:hAnsi="Book Antiqua" w:cs="Book Antiqua"/>
          <w:color w:val="000000"/>
        </w:rPr>
        <w:t xml:space="preserve">) </w:t>
      </w:r>
      <w:r w:rsidR="000C4ADB">
        <w:rPr>
          <w:rFonts w:ascii="Book Antiqua" w:eastAsia="Book Antiqua" w:hAnsi="Book Antiqua" w:cs="Book Antiqua"/>
          <w:color w:val="000000"/>
        </w:rPr>
        <w:t>D</w:t>
      </w:r>
      <w:r w:rsidRPr="007F0B0F">
        <w:rPr>
          <w:rFonts w:ascii="Book Antiqua" w:eastAsia="Book Antiqua" w:hAnsi="Book Antiqua" w:cs="Book Antiqua"/>
          <w:color w:val="000000"/>
        </w:rPr>
        <w:t>iagnosis of another severe medical, surgical or psychiatric condit</w:t>
      </w:r>
      <w:r w:rsidR="00CE0E29" w:rsidRPr="007F0B0F">
        <w:rPr>
          <w:rFonts w:ascii="Book Antiqua" w:eastAsia="Book Antiqua" w:hAnsi="Book Antiqua" w:cs="Book Antiqua"/>
          <w:color w:val="000000"/>
        </w:rPr>
        <w:t>ion requiring active management;</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(8</w:t>
      </w:r>
      <w:r w:rsidRPr="007F0B0F">
        <w:rPr>
          <w:rFonts w:ascii="Book Antiqua" w:eastAsia="Book Antiqua" w:hAnsi="Book Antiqua" w:cs="Book Antiqua"/>
          <w:color w:val="000000"/>
        </w:rPr>
        <w:t xml:space="preserve">) </w:t>
      </w:r>
      <w:r w:rsidR="000C4ADB">
        <w:rPr>
          <w:rFonts w:ascii="Book Antiqua" w:eastAsia="Book Antiqua" w:hAnsi="Book Antiqua" w:cs="Book Antiqua"/>
          <w:color w:val="000000"/>
        </w:rPr>
        <w:t>C</w:t>
      </w:r>
      <w:r w:rsidRPr="007F0B0F">
        <w:rPr>
          <w:rFonts w:ascii="Book Antiqua" w:eastAsia="Book Antiqua" w:hAnsi="Book Antiqua" w:cs="Book Antiqua"/>
          <w:color w:val="000000"/>
        </w:rPr>
        <w:t>urrent participation in another study potentially interfering with study procedures</w:t>
      </w:r>
      <w:r w:rsidR="00CE0E29" w:rsidRPr="007F0B0F">
        <w:rPr>
          <w:rFonts w:ascii="Book Antiqua" w:eastAsia="Book Antiqua" w:hAnsi="Book Antiqua" w:cs="Book Antiqua"/>
          <w:color w:val="000000"/>
        </w:rPr>
        <w:t>;</w:t>
      </w:r>
      <w:r w:rsidRPr="007F0B0F">
        <w:rPr>
          <w:rFonts w:ascii="Book Antiqua" w:eastAsia="Book Antiqua" w:hAnsi="Book Antiqua" w:cs="Book Antiqua"/>
          <w:color w:val="000000"/>
        </w:rPr>
        <w:t xml:space="preserve"> </w:t>
      </w:r>
      <w:r w:rsidR="000C4ADB">
        <w:rPr>
          <w:rFonts w:ascii="Book Antiqua" w:eastAsia="Book Antiqua" w:hAnsi="Book Antiqua" w:cs="Book Antiqua"/>
          <w:color w:val="000000"/>
        </w:rPr>
        <w:t>A</w:t>
      </w:r>
      <w:r w:rsidRPr="007F0B0F">
        <w:rPr>
          <w:rFonts w:ascii="Book Antiqua" w:eastAsia="Book Antiqua" w:hAnsi="Book Antiqua" w:cs="Book Antiqua"/>
          <w:color w:val="000000"/>
        </w:rPr>
        <w:t xml:space="preserve">nd </w:t>
      </w:r>
      <w:r w:rsidR="00CE0E29" w:rsidRPr="007F0B0F">
        <w:rPr>
          <w:rFonts w:ascii="Book Antiqua" w:eastAsia="Book Antiqua" w:hAnsi="Book Antiqua" w:cs="Book Antiqua"/>
          <w:color w:val="000000"/>
        </w:rPr>
        <w:t>(9</w:t>
      </w:r>
      <w:r w:rsidRPr="007F0B0F">
        <w:rPr>
          <w:rFonts w:ascii="Book Antiqua" w:eastAsia="Book Antiqua" w:hAnsi="Book Antiqua" w:cs="Book Antiqua"/>
          <w:color w:val="000000"/>
        </w:rPr>
        <w:t>) inability to follow study procedures.</w:t>
      </w:r>
    </w:p>
    <w:p w14:paraId="68EEC818" w14:textId="40694395"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For CD patients, additional inclusion criteria applied: </w:t>
      </w:r>
      <w:r w:rsidR="00CE0E29" w:rsidRPr="007F0B0F">
        <w:rPr>
          <w:rFonts w:ascii="Book Antiqua" w:eastAsia="Book Antiqua" w:hAnsi="Book Antiqua" w:cs="Book Antiqua"/>
          <w:color w:val="000000"/>
        </w:rPr>
        <w:t>(1</w:t>
      </w:r>
      <w:r w:rsidRPr="007F0B0F">
        <w:rPr>
          <w:rFonts w:ascii="Book Antiqua" w:eastAsia="Book Antiqua" w:hAnsi="Book Antiqua" w:cs="Book Antiqua"/>
          <w:color w:val="000000"/>
        </w:rPr>
        <w:t xml:space="preserve">) </w:t>
      </w:r>
      <w:r w:rsidR="000C4ADB">
        <w:rPr>
          <w:rFonts w:ascii="Book Antiqua" w:eastAsia="Book Antiqua" w:hAnsi="Book Antiqua" w:cs="Book Antiqua"/>
          <w:color w:val="000000"/>
        </w:rPr>
        <w:t>D</w:t>
      </w:r>
      <w:r w:rsidRPr="007F0B0F">
        <w:rPr>
          <w:rFonts w:ascii="Book Antiqua" w:eastAsia="Book Antiqua" w:hAnsi="Book Antiqua" w:cs="Book Antiqua"/>
          <w:color w:val="000000"/>
        </w:rPr>
        <w:t>iagnosis of CD establ</w:t>
      </w:r>
      <w:r w:rsidR="00CE0E29" w:rsidRPr="007F0B0F">
        <w:rPr>
          <w:rFonts w:ascii="Book Antiqua" w:eastAsia="Book Antiqua" w:hAnsi="Book Antiqua" w:cs="Book Antiqua"/>
          <w:color w:val="000000"/>
        </w:rPr>
        <w:t>ished for at least three months;</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(2) CD in remission [</w:t>
      </w:r>
      <w:r w:rsidRPr="007F0B0F">
        <w:rPr>
          <w:rFonts w:ascii="Book Antiqua" w:eastAsia="Book Antiqua" w:hAnsi="Book Antiqua" w:cs="Book Antiqua"/>
          <w:color w:val="000000"/>
        </w:rPr>
        <w:t>defined as a Harvey-Bradshaw Index (HBI) of ≤</w:t>
      </w:r>
      <w:r w:rsidR="00CE0E29" w:rsidRPr="007F0B0F">
        <w:rPr>
          <w:rFonts w:ascii="Book Antiqua" w:eastAsia="Book Antiqua" w:hAnsi="Book Antiqua" w:cs="Book Antiqua"/>
          <w:color w:val="000000"/>
        </w:rPr>
        <w:t xml:space="preserve"> 4]</w:t>
      </w:r>
      <w:r w:rsidRPr="007F0B0F">
        <w:rPr>
          <w:rFonts w:ascii="Book Antiqua" w:eastAsia="Book Antiqua" w:hAnsi="Book Antiqua" w:cs="Book Antiqua"/>
          <w:color w:val="000000"/>
        </w:rPr>
        <w:t xml:space="preserve">. CD patients were excluded in case of </w:t>
      </w:r>
      <w:r w:rsidR="00CE0E29" w:rsidRPr="007F0B0F">
        <w:rPr>
          <w:rFonts w:ascii="Book Antiqua" w:eastAsia="Book Antiqua" w:hAnsi="Book Antiqua" w:cs="Book Antiqua"/>
          <w:color w:val="000000"/>
        </w:rPr>
        <w:t>(1</w:t>
      </w:r>
      <w:r w:rsidRPr="007F0B0F">
        <w:rPr>
          <w:rFonts w:ascii="Book Antiqua" w:eastAsia="Book Antiqua" w:hAnsi="Book Antiqua" w:cs="Book Antiqua"/>
          <w:color w:val="000000"/>
        </w:rPr>
        <w:t>) active inflammation in t</w:t>
      </w:r>
      <w:r w:rsidR="00CE0E29" w:rsidRPr="007F0B0F">
        <w:rPr>
          <w:rFonts w:ascii="Book Antiqua" w:eastAsia="Book Antiqua" w:hAnsi="Book Antiqua" w:cs="Book Antiqua"/>
          <w:color w:val="000000"/>
        </w:rPr>
        <w:t>he rectum (outside the fistula);</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(2</w:t>
      </w:r>
      <w:r w:rsidRPr="007F0B0F">
        <w:rPr>
          <w:rFonts w:ascii="Book Antiqua" w:eastAsia="Book Antiqua" w:hAnsi="Book Antiqua" w:cs="Book Antiqua"/>
          <w:color w:val="000000"/>
        </w:rPr>
        <w:t xml:space="preserve">) </w:t>
      </w:r>
      <w:r w:rsidR="000C4ADB">
        <w:rPr>
          <w:rFonts w:ascii="Book Antiqua" w:eastAsia="Book Antiqua" w:hAnsi="Book Antiqua" w:cs="Book Antiqua"/>
          <w:color w:val="000000"/>
        </w:rPr>
        <w:t>S</w:t>
      </w:r>
      <w:r w:rsidRPr="007F0B0F">
        <w:rPr>
          <w:rFonts w:ascii="Book Antiqua" w:eastAsia="Book Antiqua" w:hAnsi="Book Antiqua" w:cs="Book Antiqua"/>
          <w:color w:val="000000"/>
        </w:rPr>
        <w:t>ystemic intake of steroid-</w:t>
      </w:r>
      <w:r w:rsidRPr="007F0B0F">
        <w:rPr>
          <w:rFonts w:ascii="Book Antiqua" w:eastAsia="Book Antiqua" w:hAnsi="Book Antiqua" w:cs="Book Antiqua"/>
          <w:color w:val="000000"/>
        </w:rPr>
        <w:lastRenderedPageBreak/>
        <w:t>medication in a dose of &gt;</w:t>
      </w:r>
      <w:r w:rsidR="00CE0E29"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 xml:space="preserve">20 mg prednisone or equivalent currently or during the last four weeks or </w:t>
      </w:r>
      <w:r w:rsidR="00CE0E29" w:rsidRPr="007F0B0F">
        <w:rPr>
          <w:rFonts w:ascii="Book Antiqua" w:eastAsia="Book Antiqua" w:hAnsi="Book Antiqua" w:cs="Book Antiqua"/>
          <w:color w:val="000000"/>
        </w:rPr>
        <w:t>(3</w:t>
      </w:r>
      <w:r w:rsidRPr="007F0B0F">
        <w:rPr>
          <w:rFonts w:ascii="Book Antiqua" w:eastAsia="Book Antiqua" w:hAnsi="Book Antiqua" w:cs="Book Antiqua"/>
          <w:color w:val="000000"/>
        </w:rPr>
        <w:t>) the use of a newly prescribed immunosuppressant medication for CD including biologics within the last four weeks before inclusion into the study (changes in 5-aminosalicylic acid or rectal treatment with 5-aminosalicylic acid or budesonide were permitted).</w:t>
      </w:r>
    </w:p>
    <w:p w14:paraId="2B7F2B45" w14:textId="6C86D539" w:rsidR="00A77B3E" w:rsidRPr="007F0B0F" w:rsidRDefault="00CA658C" w:rsidP="007F0B0F">
      <w:pPr>
        <w:snapToGrid w:val="0"/>
        <w:spacing w:line="360" w:lineRule="auto"/>
        <w:ind w:firstLineChars="100" w:firstLine="240"/>
        <w:jc w:val="both"/>
        <w:rPr>
          <w:rFonts w:ascii="Book Antiqua" w:eastAsia="Book Antiqua" w:hAnsi="Book Antiqua" w:cs="Book Antiqua"/>
          <w:color w:val="000000"/>
        </w:rPr>
      </w:pPr>
      <w:r w:rsidRPr="007F0B0F">
        <w:rPr>
          <w:rFonts w:ascii="Book Antiqua" w:eastAsia="Book Antiqua" w:hAnsi="Book Antiqua" w:cs="Book Antiqua"/>
          <w:color w:val="000000"/>
        </w:rPr>
        <w:t xml:space="preserve">All patient signed a written informed consent, patients were provisionally included into our study and baseline clinical assessment was performed, followed by clinical examination and evaluation of perianal fistula under anesthesia. If necessary, clinical examination was supplemented by endosonographic ultrasound. Additional criteria to exclude patients with an abscess or complex fistula tract (and low chances of fistula healing) or patients with a superficial fistula (who would better be served by sphincterotomy) were applied during examination under anesthesia. The following intraoperative exclusion criteria were used: </w:t>
      </w:r>
      <w:r w:rsidR="005D79E5">
        <w:rPr>
          <w:rFonts w:ascii="Book Antiqua" w:eastAsia="Book Antiqua" w:hAnsi="Book Antiqua" w:cs="Book Antiqua"/>
          <w:color w:val="000000"/>
        </w:rPr>
        <w:t>F</w:t>
      </w:r>
      <w:r w:rsidRPr="007F0B0F">
        <w:rPr>
          <w:rFonts w:ascii="Book Antiqua" w:eastAsia="Book Antiqua" w:hAnsi="Book Antiqua" w:cs="Book Antiqua"/>
          <w:color w:val="000000"/>
        </w:rPr>
        <w:t xml:space="preserve">istula system </w:t>
      </w:r>
      <w:r w:rsidR="00AB46DB" w:rsidRPr="007F0B0F">
        <w:rPr>
          <w:rFonts w:ascii="Book Antiqua" w:eastAsia="Book Antiqua" w:hAnsi="Book Antiqua" w:cs="Book Antiqua"/>
          <w:color w:val="000000"/>
        </w:rPr>
        <w:t>(1</w:t>
      </w:r>
      <w:r w:rsidRPr="007F0B0F">
        <w:rPr>
          <w:rFonts w:ascii="Book Antiqua" w:eastAsia="Book Antiqua" w:hAnsi="Book Antiqua" w:cs="Book Antiqua"/>
          <w:color w:val="000000"/>
        </w:rPr>
        <w:t xml:space="preserve">) not entirely accessible by curettage or brushing due to its shape, </w:t>
      </w:r>
      <w:r w:rsidR="00AB46DB" w:rsidRPr="007F0B0F">
        <w:rPr>
          <w:rFonts w:ascii="Book Antiqua" w:eastAsia="Book Antiqua" w:hAnsi="Book Antiqua" w:cs="Book Antiqua"/>
          <w:color w:val="000000"/>
        </w:rPr>
        <w:t>(2</w:t>
      </w:r>
      <w:r w:rsidRPr="007F0B0F">
        <w:rPr>
          <w:rFonts w:ascii="Book Antiqua" w:eastAsia="Book Antiqua" w:hAnsi="Book Antiqua" w:cs="Book Antiqua"/>
          <w:color w:val="000000"/>
        </w:rPr>
        <w:t>) with large pocket ≥</w:t>
      </w:r>
      <w:r w:rsidR="00907991">
        <w:rPr>
          <w:rFonts w:ascii="Book Antiqua" w:eastAsia="Book Antiqua" w:hAnsi="Book Antiqua" w:cs="Book Antiqua"/>
          <w:color w:val="000000"/>
        </w:rPr>
        <w:t xml:space="preserve"> </w:t>
      </w:r>
      <w:r w:rsidRPr="007F0B0F">
        <w:rPr>
          <w:rFonts w:ascii="Book Antiqua" w:eastAsia="Book Antiqua" w:hAnsi="Book Antiqua" w:cs="Book Antiqua"/>
          <w:color w:val="000000"/>
        </w:rPr>
        <w:t>1</w:t>
      </w:r>
      <w:r w:rsidR="00907991">
        <w:rPr>
          <w:rFonts w:ascii="Book Antiqua" w:eastAsia="Book Antiqua" w:hAnsi="Book Antiqua" w:cs="Book Antiqua"/>
          <w:color w:val="000000"/>
        </w:rPr>
        <w:t xml:space="preserve"> </w:t>
      </w:r>
      <w:r w:rsidRPr="007F0B0F">
        <w:rPr>
          <w:rFonts w:ascii="Book Antiqua" w:eastAsia="Book Antiqua" w:hAnsi="Book Antiqua" w:cs="Book Antiqua"/>
          <w:color w:val="000000"/>
        </w:rPr>
        <w:t xml:space="preserve">cm suggestive for an abscess, </w:t>
      </w:r>
      <w:r w:rsidR="00AB46DB" w:rsidRPr="007F0B0F">
        <w:rPr>
          <w:rFonts w:ascii="Book Antiqua" w:eastAsia="Book Antiqua" w:hAnsi="Book Antiqua" w:cs="Book Antiqua"/>
          <w:color w:val="000000"/>
        </w:rPr>
        <w:t>(3</w:t>
      </w:r>
      <w:r w:rsidRPr="007F0B0F">
        <w:rPr>
          <w:rFonts w:ascii="Book Antiqua" w:eastAsia="Book Antiqua" w:hAnsi="Book Antiqua" w:cs="Book Antiqua"/>
          <w:color w:val="000000"/>
        </w:rPr>
        <w:t xml:space="preserve">) with a horseshoe-shape or </w:t>
      </w:r>
      <w:r w:rsidR="00AB46DB" w:rsidRPr="007F0B0F">
        <w:rPr>
          <w:rFonts w:ascii="Book Antiqua" w:eastAsia="Book Antiqua" w:hAnsi="Book Antiqua" w:cs="Book Antiqua"/>
          <w:color w:val="000000"/>
        </w:rPr>
        <w:t>(4</w:t>
      </w:r>
      <w:r w:rsidRPr="007F0B0F">
        <w:rPr>
          <w:rFonts w:ascii="Book Antiqua" w:eastAsia="Book Antiqua" w:hAnsi="Book Antiqua" w:cs="Book Antiqua"/>
          <w:color w:val="000000"/>
        </w:rPr>
        <w:t>) a superficial trajectory of the fistula tract involving &lt;</w:t>
      </w:r>
      <w:r w:rsidR="00AB46DB"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30% or &lt;</w:t>
      </w:r>
      <w:r w:rsidR="00AB46DB"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10% of the anal sphincter in males and females, respectively. Only if none of these exclusion criteria applied, a patient was ultimately included into our study.</w:t>
      </w:r>
    </w:p>
    <w:p w14:paraId="48ABB4C8" w14:textId="77777777" w:rsidR="00AB46DB" w:rsidRPr="007F0B0F" w:rsidRDefault="00AB46DB" w:rsidP="007F0B0F">
      <w:pPr>
        <w:snapToGrid w:val="0"/>
        <w:spacing w:line="360" w:lineRule="auto"/>
        <w:ind w:firstLineChars="100" w:firstLine="240"/>
        <w:jc w:val="both"/>
        <w:rPr>
          <w:rFonts w:ascii="Book Antiqua" w:hAnsi="Book Antiqua"/>
        </w:rPr>
      </w:pPr>
    </w:p>
    <w:p w14:paraId="7E4337C4"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iCs/>
          <w:color w:val="000000"/>
        </w:rPr>
        <w:t>Fistulodesis</w:t>
      </w:r>
    </w:p>
    <w:p w14:paraId="73BF559B"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 xml:space="preserve">If during examination under anesthesia no exclusion criterion was met, surgical fistulodesis was performed. Fistulodesis comprises the surgical removal of debris </w:t>
      </w:r>
      <w:r w:rsidRPr="007F0B0F">
        <w:rPr>
          <w:rFonts w:ascii="Book Antiqua" w:eastAsia="Book Antiqua" w:hAnsi="Book Antiqua" w:cs="Book Antiqua"/>
          <w:i/>
          <w:iCs/>
          <w:color w:val="000000"/>
        </w:rPr>
        <w:t>via</w:t>
      </w:r>
      <w:r w:rsidRPr="007F0B0F">
        <w:rPr>
          <w:rFonts w:ascii="Book Antiqua" w:eastAsia="Book Antiqua" w:hAnsi="Book Antiqua" w:cs="Book Antiqua"/>
          <w:color w:val="000000"/>
        </w:rPr>
        <w:t xml:space="preserve"> curettage or brushing and a mini-excision of the inner fistula opening, followed by flushing of the fistula trac</w:t>
      </w:r>
      <w:r w:rsidR="00AB46DB" w:rsidRPr="007F0B0F">
        <w:rPr>
          <w:rFonts w:ascii="Book Antiqua" w:eastAsia="Book Antiqua" w:hAnsi="Book Antiqua" w:cs="Book Antiqua"/>
          <w:color w:val="000000"/>
        </w:rPr>
        <w:t>t with acetylcysteine 100 mg/</w:t>
      </w:r>
      <w:r w:rsidRPr="007F0B0F">
        <w:rPr>
          <w:rFonts w:ascii="Book Antiqua" w:eastAsia="Book Antiqua" w:hAnsi="Book Antiqua" w:cs="Book Antiqua"/>
          <w:color w:val="000000"/>
        </w:rPr>
        <w:t>m</w:t>
      </w:r>
      <w:r w:rsidR="00AB46DB" w:rsidRPr="007F0B0F">
        <w:rPr>
          <w:rFonts w:ascii="Book Antiqua" w:eastAsia="Book Antiqua" w:hAnsi="Book Antiqua" w:cs="Book Antiqua"/>
          <w:color w:val="000000"/>
        </w:rPr>
        <w:t>L</w:t>
      </w:r>
      <w:r w:rsidRPr="007F0B0F">
        <w:rPr>
          <w:rFonts w:ascii="Book Antiqua" w:eastAsia="Book Antiqua" w:hAnsi="Book Antiqua" w:cs="Book Antiqua"/>
          <w:color w:val="000000"/>
        </w:rPr>
        <w:t xml:space="preserve"> (Zambon, Switzerland) and doxycycline 20 mg/mL (Pfizer, maximal dosage 200 mg per treatment). The rational for using acetylcysteine was to remove mucus and the biofilm that covers the fistula tract</w:t>
      </w:r>
      <w:r w:rsidR="00AB46DB" w:rsidRPr="007F0B0F">
        <w:rPr>
          <w:rFonts w:ascii="Book Antiqua" w:eastAsia="Book Antiqua" w:hAnsi="Book Antiqua" w:cs="Book Antiqua"/>
          <w:color w:val="000000"/>
          <w:vertAlign w:val="superscript"/>
        </w:rPr>
        <w:t>[19,</w:t>
      </w:r>
      <w:r w:rsidRPr="007F0B0F">
        <w:rPr>
          <w:rFonts w:ascii="Book Antiqua" w:eastAsia="Book Antiqua" w:hAnsi="Book Antiqua" w:cs="Book Antiqua"/>
          <w:color w:val="000000"/>
          <w:vertAlign w:val="superscript"/>
        </w:rPr>
        <w:t>20]</w:t>
      </w:r>
      <w:r w:rsidRPr="007F0B0F">
        <w:rPr>
          <w:rFonts w:ascii="Book Antiqua" w:eastAsia="Book Antiqua" w:hAnsi="Book Antiqua" w:cs="Book Antiqua"/>
          <w:color w:val="000000"/>
        </w:rPr>
        <w:t>. A single case report described cure of a gastro-pancreatic fistula due to intraductal papillary mucinous neoplasm using prolonged irrigation with acetylcysteine</w:t>
      </w:r>
      <w:r w:rsidRPr="007F0B0F">
        <w:rPr>
          <w:rFonts w:ascii="Book Antiqua" w:eastAsia="Book Antiqua" w:hAnsi="Book Antiqua" w:cs="Book Antiqua"/>
          <w:color w:val="000000"/>
          <w:vertAlign w:val="superscript"/>
        </w:rPr>
        <w:t>[21]</w:t>
      </w:r>
      <w:r w:rsidRPr="007F0B0F">
        <w:rPr>
          <w:rFonts w:ascii="Book Antiqua" w:eastAsia="Book Antiqua" w:hAnsi="Book Antiqua" w:cs="Book Antiqua"/>
          <w:color w:val="000000"/>
        </w:rPr>
        <w:t xml:space="preserve">. Doxycycline was chosen to induce </w:t>
      </w:r>
      <w:r w:rsidRPr="007F0B0F">
        <w:rPr>
          <w:rFonts w:ascii="Book Antiqua" w:eastAsia="Book Antiqua" w:hAnsi="Book Antiqua" w:cs="Book Antiqua"/>
          <w:color w:val="000000"/>
        </w:rPr>
        <w:lastRenderedPageBreak/>
        <w:t>fibrin secretion and therefore agglutination of the fistula tract similar to its use in pleurodesis</w:t>
      </w:r>
      <w:r w:rsidRPr="007F0B0F">
        <w:rPr>
          <w:rFonts w:ascii="Book Antiqua" w:eastAsia="Book Antiqua" w:hAnsi="Book Antiqua" w:cs="Book Antiqua"/>
          <w:color w:val="000000"/>
          <w:vertAlign w:val="superscript"/>
        </w:rPr>
        <w:t>[22-25]</w:t>
      </w:r>
      <w:r w:rsidRPr="007F0B0F">
        <w:rPr>
          <w:rFonts w:ascii="Book Antiqua" w:eastAsia="Book Antiqua" w:hAnsi="Book Antiqua" w:cs="Book Antiqua"/>
          <w:color w:val="000000"/>
        </w:rPr>
        <w:t xml:space="preserve"> and closure of lymphatic fistulae</w:t>
      </w:r>
      <w:r w:rsidR="00AB46DB" w:rsidRPr="007F0B0F">
        <w:rPr>
          <w:rFonts w:ascii="Book Antiqua" w:eastAsia="Book Antiqua" w:hAnsi="Book Antiqua" w:cs="Book Antiqua"/>
          <w:color w:val="000000"/>
          <w:vertAlign w:val="superscript"/>
        </w:rPr>
        <w:t>[26,</w:t>
      </w:r>
      <w:r w:rsidRPr="007F0B0F">
        <w:rPr>
          <w:rFonts w:ascii="Book Antiqua" w:eastAsia="Book Antiqua" w:hAnsi="Book Antiqua" w:cs="Book Antiqua"/>
          <w:color w:val="000000"/>
          <w:vertAlign w:val="superscript"/>
        </w:rPr>
        <w:t>27]</w:t>
      </w:r>
      <w:r w:rsidRPr="007F0B0F">
        <w:rPr>
          <w:rFonts w:ascii="Book Antiqua" w:eastAsia="Book Antiqua" w:hAnsi="Book Antiqua" w:cs="Book Antiqua"/>
          <w:color w:val="000000"/>
        </w:rPr>
        <w:t>. Surgical closure of both fistula openings was achieved by a Z-suture with multifilament absorbable suture material (Vicryl 3-0). Before completely closing the outer fistula opening the fistula tract was adhered with fibrin glue (Evicel</w:t>
      </w:r>
      <w:r w:rsidRPr="007F0B0F">
        <w:rPr>
          <w:rFonts w:ascii="Book Antiqua" w:eastAsia="Book Antiqua" w:hAnsi="Book Antiqua" w:cs="Book Antiqua"/>
          <w:color w:val="000000"/>
          <w:vertAlign w:val="superscript"/>
        </w:rPr>
        <w:t>®</w:t>
      </w:r>
      <w:r w:rsidRPr="007F0B0F">
        <w:rPr>
          <w:rFonts w:ascii="Book Antiqua" w:eastAsia="Book Antiqua" w:hAnsi="Book Antiqua" w:cs="Book Antiqua"/>
          <w:color w:val="000000"/>
        </w:rPr>
        <w:t>). Biomaterial of the fistula tract was collected intra-operatively for future analysis if an additional informed consent had been signed by the patient beforehand. Patients were given oral prophylactic metronidazole 2</w:t>
      </w:r>
      <w:r w:rsidR="00AB46DB" w:rsidRPr="007F0B0F">
        <w:rPr>
          <w:rFonts w:ascii="Book Antiqua" w:eastAsia="Book Antiqua" w:hAnsi="Book Antiqua" w:cs="Book Antiqua"/>
          <w:color w:val="000000"/>
        </w:rPr>
        <w:t xml:space="preserve"> × </w:t>
      </w:r>
      <w:r w:rsidRPr="007F0B0F">
        <w:rPr>
          <w:rFonts w:ascii="Book Antiqua" w:eastAsia="Book Antiqua" w:hAnsi="Book Antiqua" w:cs="Book Antiqua"/>
          <w:color w:val="000000"/>
        </w:rPr>
        <w:t>500 mg/d</w:t>
      </w:r>
      <w:r w:rsidR="00907991">
        <w:rPr>
          <w:rFonts w:ascii="Book Antiqua" w:eastAsia="Book Antiqua" w:hAnsi="Book Antiqua" w:cs="Book Antiqua"/>
          <w:color w:val="000000"/>
        </w:rPr>
        <w:t xml:space="preserve"> </w:t>
      </w:r>
      <w:r w:rsidRPr="007F0B0F">
        <w:rPr>
          <w:rFonts w:ascii="Book Antiqua" w:eastAsia="Book Antiqua" w:hAnsi="Book Antiqua" w:cs="Book Antiqua"/>
          <w:color w:val="000000"/>
        </w:rPr>
        <w:t>and ciprofloxacin 2</w:t>
      </w:r>
      <w:r w:rsidR="00AB46DB" w:rsidRPr="007F0B0F">
        <w:rPr>
          <w:rFonts w:ascii="Book Antiqua" w:eastAsia="Book Antiqua" w:hAnsi="Book Antiqua" w:cs="Book Antiqua"/>
          <w:color w:val="000000"/>
        </w:rPr>
        <w:t xml:space="preserve"> × </w:t>
      </w:r>
      <w:r w:rsidRPr="007F0B0F">
        <w:rPr>
          <w:rFonts w:ascii="Book Antiqua" w:eastAsia="Book Antiqua" w:hAnsi="Book Antiqua" w:cs="Book Antiqua"/>
          <w:color w:val="000000"/>
        </w:rPr>
        <w:t>500</w:t>
      </w:r>
      <w:r w:rsidR="00AB46DB"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mg per day for ten days to avoid local abscess formation.</w:t>
      </w:r>
    </w:p>
    <w:p w14:paraId="0E4421CF" w14:textId="77777777" w:rsidR="00A77B3E" w:rsidRPr="007F0B0F" w:rsidRDefault="00A77B3E" w:rsidP="007F0B0F">
      <w:pPr>
        <w:snapToGrid w:val="0"/>
        <w:spacing w:line="360" w:lineRule="auto"/>
        <w:jc w:val="both"/>
        <w:rPr>
          <w:rFonts w:ascii="Book Antiqua" w:hAnsi="Book Antiqua"/>
        </w:rPr>
      </w:pPr>
    </w:p>
    <w:p w14:paraId="66D1B779"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iCs/>
          <w:color w:val="000000"/>
        </w:rPr>
        <w:t>Follow-up and outcome measures</w:t>
      </w:r>
    </w:p>
    <w:p w14:paraId="16787C6B"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After fistulodesis, patients were examined following a pre-defined schedule to evaluate fistula healing and exclude adverse events at week 1, 2, 4, 12 and 24 after the intervention. Fistula symptoms and overall patient wellbeing after the fistulodesis procedure was assessed by phone call 1-2 years after treatment.</w:t>
      </w:r>
    </w:p>
    <w:p w14:paraId="2749D815"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Healing of all perianal fistulae at 24 wk was the primary outcome of our study. Fistula healing was defined by the presence of all the following criteria, </w:t>
      </w:r>
      <w:r w:rsidR="00AB46DB" w:rsidRPr="007F0B0F">
        <w:rPr>
          <w:rFonts w:ascii="Book Antiqua" w:eastAsia="Book Antiqua" w:hAnsi="Book Antiqua" w:cs="Book Antiqua"/>
          <w:color w:val="000000"/>
        </w:rPr>
        <w:t>(1</w:t>
      </w:r>
      <w:r w:rsidRPr="007F0B0F">
        <w:rPr>
          <w:rFonts w:ascii="Book Antiqua" w:eastAsia="Book Antiqua" w:hAnsi="Book Antiqua" w:cs="Book Antiqua"/>
          <w:color w:val="000000"/>
        </w:rPr>
        <w:t>) no secretion from any fistula during the last two w</w:t>
      </w:r>
      <w:r w:rsidR="00AB46DB" w:rsidRPr="007F0B0F">
        <w:rPr>
          <w:rFonts w:ascii="Book Antiqua" w:eastAsia="Book Antiqua" w:hAnsi="Book Antiqua" w:cs="Book Antiqua"/>
          <w:color w:val="000000"/>
        </w:rPr>
        <w:t>eeks as reported by the patient;</w:t>
      </w:r>
      <w:r w:rsidRPr="007F0B0F">
        <w:rPr>
          <w:rFonts w:ascii="Book Antiqua" w:eastAsia="Book Antiqua" w:hAnsi="Book Antiqua" w:cs="Book Antiqua"/>
          <w:color w:val="000000"/>
        </w:rPr>
        <w:t xml:space="preserve"> </w:t>
      </w:r>
      <w:r w:rsidR="00AB46DB" w:rsidRPr="007F0B0F">
        <w:rPr>
          <w:rFonts w:ascii="Book Antiqua" w:eastAsia="Book Antiqua" w:hAnsi="Book Antiqua" w:cs="Book Antiqua"/>
          <w:color w:val="000000"/>
        </w:rPr>
        <w:t>(2</w:t>
      </w:r>
      <w:r w:rsidRPr="007F0B0F">
        <w:rPr>
          <w:rFonts w:ascii="Book Antiqua" w:eastAsia="Book Antiqua" w:hAnsi="Book Antiqua" w:cs="Book Antiqua"/>
          <w:color w:val="000000"/>
        </w:rPr>
        <w:t>) no secretion upon gentle c</w:t>
      </w:r>
      <w:r w:rsidR="00AB46DB" w:rsidRPr="007F0B0F">
        <w:rPr>
          <w:rFonts w:ascii="Book Antiqua" w:eastAsia="Book Antiqua" w:hAnsi="Book Antiqua" w:cs="Book Antiqua"/>
          <w:color w:val="000000"/>
        </w:rPr>
        <w:t>ompression of the fistula tract;</w:t>
      </w:r>
      <w:r w:rsidRPr="007F0B0F">
        <w:rPr>
          <w:rFonts w:ascii="Book Antiqua" w:eastAsia="Book Antiqua" w:hAnsi="Book Antiqua" w:cs="Book Antiqua"/>
          <w:color w:val="000000"/>
        </w:rPr>
        <w:t xml:space="preserve"> </w:t>
      </w:r>
      <w:r w:rsidR="00AB46DB" w:rsidRPr="007F0B0F">
        <w:rPr>
          <w:rFonts w:ascii="Book Antiqua" w:eastAsia="Book Antiqua" w:hAnsi="Book Antiqua" w:cs="Book Antiqua"/>
          <w:color w:val="000000"/>
        </w:rPr>
        <w:t>(3</w:t>
      </w:r>
      <w:r w:rsidRPr="007F0B0F">
        <w:rPr>
          <w:rFonts w:ascii="Book Antiqua" w:eastAsia="Book Antiqua" w:hAnsi="Book Antiqua" w:cs="Book Antiqua"/>
          <w:color w:val="000000"/>
        </w:rPr>
        <w:t>) macroscopic closure of the outer opening of the fi</w:t>
      </w:r>
      <w:r w:rsidR="00AB46DB" w:rsidRPr="007F0B0F">
        <w:rPr>
          <w:rFonts w:ascii="Book Antiqua" w:eastAsia="Book Antiqua" w:hAnsi="Book Antiqua" w:cs="Book Antiqua"/>
          <w:color w:val="000000"/>
        </w:rPr>
        <w:t>stula tract upon inspection; and</w:t>
      </w:r>
      <w:r w:rsidRPr="007F0B0F">
        <w:rPr>
          <w:rFonts w:ascii="Book Antiqua" w:eastAsia="Book Antiqua" w:hAnsi="Book Antiqua" w:cs="Book Antiqua"/>
          <w:color w:val="000000"/>
        </w:rPr>
        <w:t xml:space="preserve"> </w:t>
      </w:r>
      <w:r w:rsidR="00AB46DB" w:rsidRPr="007F0B0F">
        <w:rPr>
          <w:rFonts w:ascii="Book Antiqua" w:eastAsia="Book Antiqua" w:hAnsi="Book Antiqua" w:cs="Book Antiqua"/>
          <w:color w:val="000000"/>
        </w:rPr>
        <w:t>(4</w:t>
      </w:r>
      <w:r w:rsidRPr="007F0B0F">
        <w:rPr>
          <w:rFonts w:ascii="Book Antiqua" w:eastAsia="Book Antiqua" w:hAnsi="Book Antiqua" w:cs="Book Antiqua"/>
          <w:color w:val="000000"/>
        </w:rPr>
        <w:t>) no pain at the site of the former fistula opening during gentle palpation.</w:t>
      </w:r>
    </w:p>
    <w:p w14:paraId="56F374D8"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We also assessed several secondary outcomes: </w:t>
      </w:r>
      <w:r w:rsidR="00AB46DB" w:rsidRPr="007F0B0F">
        <w:rPr>
          <w:rFonts w:ascii="Book Antiqua" w:eastAsia="Book Antiqua" w:hAnsi="Book Antiqua" w:cs="Book Antiqua"/>
          <w:color w:val="000000"/>
        </w:rPr>
        <w:t>(</w:t>
      </w:r>
      <w:r w:rsidRPr="007F0B0F">
        <w:rPr>
          <w:rFonts w:ascii="Book Antiqua" w:eastAsia="Book Antiqua" w:hAnsi="Book Antiqua" w:cs="Book Antiqua"/>
          <w:color w:val="000000"/>
        </w:rPr>
        <w:t>1) Safety of the fistulodesis procedure</w:t>
      </w:r>
      <w:r w:rsidR="00AB46DB" w:rsidRPr="007F0B0F">
        <w:rPr>
          <w:rFonts w:ascii="Book Antiqua" w:eastAsia="Book Antiqua" w:hAnsi="Book Antiqua" w:cs="Book Antiqua"/>
          <w:color w:val="000000"/>
        </w:rPr>
        <w:t>.</w:t>
      </w:r>
      <w:r w:rsidRPr="007F0B0F">
        <w:rPr>
          <w:rFonts w:ascii="Book Antiqua" w:eastAsia="Book Antiqua" w:hAnsi="Book Antiqua" w:cs="Book Antiqua"/>
          <w:color w:val="000000"/>
        </w:rPr>
        <w:t xml:space="preserve"> </w:t>
      </w:r>
      <w:r w:rsidR="00AB46DB" w:rsidRPr="007F0B0F">
        <w:rPr>
          <w:rFonts w:ascii="Book Antiqua" w:eastAsia="Book Antiqua" w:hAnsi="Book Antiqua" w:cs="Book Antiqua"/>
          <w:color w:val="000000"/>
        </w:rPr>
        <w:t>(</w:t>
      </w:r>
      <w:r w:rsidRPr="007F0B0F">
        <w:rPr>
          <w:rFonts w:ascii="Book Antiqua" w:eastAsia="Book Antiqua" w:hAnsi="Book Antiqua" w:cs="Book Antiqua"/>
          <w:color w:val="000000"/>
        </w:rPr>
        <w:t>2) Quality of life, using the patient-filled German version of the IBD-Q questionnaire at enrolment and 24 wk after intervention</w:t>
      </w:r>
      <w:r w:rsidRPr="007F0B0F">
        <w:rPr>
          <w:rFonts w:ascii="Book Antiqua" w:eastAsia="Book Antiqua" w:hAnsi="Book Antiqua" w:cs="Book Antiqua"/>
          <w:color w:val="000000"/>
          <w:vertAlign w:val="superscript"/>
        </w:rPr>
        <w:t>[28]</w:t>
      </w:r>
      <w:r w:rsidR="00AB46DB" w:rsidRPr="007F0B0F">
        <w:rPr>
          <w:rFonts w:ascii="Book Antiqua" w:eastAsia="Book Antiqua" w:hAnsi="Book Antiqua" w:cs="Book Antiqua"/>
          <w:color w:val="000000"/>
        </w:rPr>
        <w:t>. (</w:t>
      </w:r>
      <w:r w:rsidRPr="007F0B0F">
        <w:rPr>
          <w:rFonts w:ascii="Book Antiqua" w:eastAsia="Book Antiqua" w:hAnsi="Book Antiqua" w:cs="Book Antiqua"/>
          <w:color w:val="000000"/>
        </w:rPr>
        <w:t xml:space="preserve">3) Fistula activity: At every visit (screening, weeks 1, 2, 4, 12 and 24 after intervention) the fistula tract was clinically examined. The number of fistula openings with and without secretion upon palpation was recorded to assess fistula drainage. The patients were asked to quantify local pain sensation (visual analogue scale, VAS 0-10; 0: </w:t>
      </w:r>
      <w:r w:rsidRPr="00AF6B4B">
        <w:rPr>
          <w:rFonts w:ascii="Book Antiqua" w:eastAsia="Book Antiqua" w:hAnsi="Book Antiqua" w:cs="Book Antiqua"/>
          <w:color w:val="000000"/>
          <w:highlight w:val="yellow"/>
        </w:rPr>
        <w:t>n</w:t>
      </w:r>
      <w:r w:rsidRPr="007F0B0F">
        <w:rPr>
          <w:rFonts w:ascii="Book Antiqua" w:eastAsia="Book Antiqua" w:hAnsi="Book Antiqua" w:cs="Book Antiqua"/>
          <w:color w:val="000000"/>
        </w:rPr>
        <w:t xml:space="preserve">one) and secretion of the fistula, both over the course of the past two weeks (0: </w:t>
      </w:r>
      <w:r w:rsidRPr="00AF6B4B">
        <w:rPr>
          <w:rFonts w:ascii="Book Antiqua" w:eastAsia="Book Antiqua" w:hAnsi="Book Antiqua" w:cs="Book Antiqua"/>
          <w:color w:val="000000"/>
          <w:highlight w:val="yellow"/>
        </w:rPr>
        <w:lastRenderedPageBreak/>
        <w:t>n</w:t>
      </w:r>
      <w:r w:rsidRPr="007F0B0F">
        <w:rPr>
          <w:rFonts w:ascii="Book Antiqua" w:eastAsia="Book Antiqua" w:hAnsi="Book Antiqua" w:cs="Book Antiqua"/>
          <w:color w:val="000000"/>
        </w:rPr>
        <w:t xml:space="preserve">o secretion, 1: </w:t>
      </w:r>
      <w:r w:rsidRPr="00AF6B4B">
        <w:rPr>
          <w:rFonts w:ascii="Book Antiqua" w:eastAsia="Book Antiqua" w:hAnsi="Book Antiqua" w:cs="Book Antiqua"/>
          <w:color w:val="000000"/>
          <w:highlight w:val="yellow"/>
        </w:rPr>
        <w:t>l</w:t>
      </w:r>
      <w:r w:rsidRPr="007F0B0F">
        <w:rPr>
          <w:rFonts w:ascii="Book Antiqua" w:eastAsia="Book Antiqua" w:hAnsi="Book Antiqua" w:cs="Book Antiqua"/>
          <w:color w:val="000000"/>
        </w:rPr>
        <w:t xml:space="preserve">ess than once weekly, 2: </w:t>
      </w:r>
      <w:r w:rsidRPr="00AF6B4B">
        <w:rPr>
          <w:rFonts w:ascii="Book Antiqua" w:eastAsia="Book Antiqua" w:hAnsi="Book Antiqua" w:cs="Book Antiqua"/>
          <w:color w:val="000000"/>
          <w:highlight w:val="yellow"/>
        </w:rPr>
        <w:t>w</w:t>
      </w:r>
      <w:r w:rsidRPr="007F0B0F">
        <w:rPr>
          <w:rFonts w:ascii="Book Antiqua" w:eastAsia="Book Antiqua" w:hAnsi="Book Antiqua" w:cs="Book Antiqua"/>
          <w:color w:val="000000"/>
        </w:rPr>
        <w:t>e</w:t>
      </w:r>
      <w:r w:rsidR="00AB46DB" w:rsidRPr="007F0B0F">
        <w:rPr>
          <w:rFonts w:ascii="Book Antiqua" w:eastAsia="Book Antiqua" w:hAnsi="Book Antiqua" w:cs="Book Antiqua"/>
          <w:color w:val="000000"/>
        </w:rPr>
        <w:t xml:space="preserve">ekly, 3: </w:t>
      </w:r>
      <w:r w:rsidR="00AB46DB" w:rsidRPr="00AF6B4B">
        <w:rPr>
          <w:rFonts w:ascii="Book Antiqua" w:eastAsia="Book Antiqua" w:hAnsi="Book Antiqua" w:cs="Book Antiqua"/>
          <w:color w:val="000000"/>
          <w:highlight w:val="yellow"/>
        </w:rPr>
        <w:t>r</w:t>
      </w:r>
      <w:r w:rsidR="00AB46DB" w:rsidRPr="007F0B0F">
        <w:rPr>
          <w:rFonts w:ascii="Book Antiqua" w:eastAsia="Book Antiqua" w:hAnsi="Book Antiqua" w:cs="Book Antiqua"/>
          <w:color w:val="000000"/>
        </w:rPr>
        <w:t>epeatedly in one week,</w:t>
      </w:r>
      <w:r w:rsidRPr="007F0B0F">
        <w:rPr>
          <w:rFonts w:ascii="Book Antiqua" w:eastAsia="Book Antiqua" w:hAnsi="Book Antiqua" w:cs="Book Antiqua"/>
          <w:color w:val="000000"/>
        </w:rPr>
        <w:t xml:space="preserve"> 4: </w:t>
      </w:r>
      <w:r w:rsidRPr="00AF6B4B">
        <w:rPr>
          <w:rFonts w:ascii="Book Antiqua" w:eastAsia="Book Antiqua" w:hAnsi="Book Antiqua" w:cs="Book Antiqua"/>
          <w:color w:val="000000"/>
          <w:highlight w:val="yellow"/>
        </w:rPr>
        <w:t>d</w:t>
      </w:r>
      <w:r w:rsidRPr="007F0B0F">
        <w:rPr>
          <w:rFonts w:ascii="Book Antiqua" w:eastAsia="Book Antiqua" w:hAnsi="Book Antiqua" w:cs="Book Antiqua"/>
          <w:color w:val="000000"/>
        </w:rPr>
        <w:t xml:space="preserve">aily, 5: </w:t>
      </w:r>
      <w:r w:rsidRPr="00AF6B4B">
        <w:rPr>
          <w:rFonts w:ascii="Book Antiqua" w:eastAsia="Book Antiqua" w:hAnsi="Book Antiqua" w:cs="Book Antiqua"/>
          <w:color w:val="000000"/>
          <w:highlight w:val="yellow"/>
        </w:rPr>
        <w:t>s</w:t>
      </w:r>
      <w:r w:rsidRPr="007F0B0F">
        <w:rPr>
          <w:rFonts w:ascii="Book Antiqua" w:eastAsia="Book Antiqua" w:hAnsi="Book Antiqua" w:cs="Book Antiqua"/>
          <w:color w:val="000000"/>
        </w:rPr>
        <w:t xml:space="preserve">everal times per day). Fistula closure was evaluated (criteria stated above) at every visit. </w:t>
      </w:r>
      <w:r w:rsidR="00AB46DB" w:rsidRPr="007F0B0F">
        <w:rPr>
          <w:rFonts w:ascii="Book Antiqua" w:eastAsia="Book Antiqua" w:hAnsi="Book Antiqua" w:cs="Book Antiqua"/>
          <w:color w:val="000000"/>
        </w:rPr>
        <w:t>(</w:t>
      </w:r>
      <w:r w:rsidRPr="007F0B0F">
        <w:rPr>
          <w:rFonts w:ascii="Book Antiqua" w:eastAsia="Book Antiqua" w:hAnsi="Book Antiqua" w:cs="Book Antiqua"/>
          <w:color w:val="000000"/>
        </w:rPr>
        <w:t>4) Overall perianal symptoms were evaluated by the perianal disease activity index (PDAI)</w:t>
      </w:r>
      <w:r w:rsidRPr="007F0B0F">
        <w:rPr>
          <w:rFonts w:ascii="Book Antiqua" w:eastAsia="Book Antiqua" w:hAnsi="Book Antiqua" w:cs="Book Antiqua"/>
          <w:color w:val="000000"/>
          <w:vertAlign w:val="superscript"/>
        </w:rPr>
        <w:t>[29]</w:t>
      </w:r>
      <w:r w:rsidRPr="007F0B0F">
        <w:rPr>
          <w:rFonts w:ascii="Book Antiqua" w:eastAsia="Book Antiqua" w:hAnsi="Book Antiqua" w:cs="Book Antiqua"/>
          <w:color w:val="000000"/>
        </w:rPr>
        <w:t xml:space="preserve"> at weeks 4, 12 and 24. </w:t>
      </w:r>
      <w:r w:rsidR="00AB46DB" w:rsidRPr="007F0B0F">
        <w:rPr>
          <w:rFonts w:ascii="Book Antiqua" w:eastAsia="Book Antiqua" w:hAnsi="Book Antiqua" w:cs="Book Antiqua"/>
          <w:color w:val="000000"/>
        </w:rPr>
        <w:t>(</w:t>
      </w:r>
      <w:r w:rsidRPr="007F0B0F">
        <w:rPr>
          <w:rFonts w:ascii="Book Antiqua" w:eastAsia="Book Antiqua" w:hAnsi="Book Antiqua" w:cs="Book Antiqua"/>
          <w:color w:val="000000"/>
        </w:rPr>
        <w:t>5) CD disease activity was assessed by the HBI</w:t>
      </w:r>
      <w:r w:rsidRPr="007F0B0F">
        <w:rPr>
          <w:rFonts w:ascii="Book Antiqua" w:eastAsia="Book Antiqua" w:hAnsi="Book Antiqua" w:cs="Book Antiqua"/>
          <w:color w:val="000000"/>
          <w:vertAlign w:val="superscript"/>
        </w:rPr>
        <w:t>[30]</w:t>
      </w:r>
      <w:r w:rsidRPr="007F0B0F">
        <w:rPr>
          <w:rFonts w:ascii="Book Antiqua" w:eastAsia="Book Antiqua" w:hAnsi="Book Antiqua" w:cs="Book Antiqua"/>
          <w:color w:val="000000"/>
        </w:rPr>
        <w:t xml:space="preserve"> and was determined at the same time points (PDAI and HBI were filled by physicians). </w:t>
      </w:r>
      <w:r w:rsidR="00AB46DB" w:rsidRPr="007F0B0F">
        <w:rPr>
          <w:rFonts w:ascii="Book Antiqua" w:eastAsia="Book Antiqua" w:hAnsi="Book Antiqua" w:cs="Book Antiqua"/>
          <w:color w:val="000000"/>
        </w:rPr>
        <w:t>(</w:t>
      </w:r>
      <w:r w:rsidRPr="007F0B0F">
        <w:rPr>
          <w:rFonts w:ascii="Book Antiqua" w:eastAsia="Book Antiqua" w:hAnsi="Book Antiqua" w:cs="Book Antiqua"/>
          <w:color w:val="000000"/>
        </w:rPr>
        <w:t xml:space="preserve">6) We also analyzed fistula healing in a per-fistula analysis. </w:t>
      </w:r>
      <w:r w:rsidR="00AB46DB" w:rsidRPr="007F0B0F">
        <w:rPr>
          <w:rFonts w:ascii="Book Antiqua" w:eastAsia="Book Antiqua" w:hAnsi="Book Antiqua" w:cs="Book Antiqua"/>
          <w:color w:val="000000"/>
        </w:rPr>
        <w:t>(</w:t>
      </w:r>
      <w:r w:rsidRPr="007F0B0F">
        <w:rPr>
          <w:rFonts w:ascii="Book Antiqua" w:eastAsia="Book Antiqua" w:hAnsi="Book Antiqua" w:cs="Book Antiqua"/>
          <w:color w:val="000000"/>
        </w:rPr>
        <w:t xml:space="preserve">7) Healing of fistula was also assessed at 24 wk in an abbreviated procedure </w:t>
      </w:r>
      <w:r w:rsidRPr="007F0B0F">
        <w:rPr>
          <w:rFonts w:ascii="Book Antiqua" w:eastAsia="Book Antiqua" w:hAnsi="Book Antiqua" w:cs="Book Antiqua"/>
          <w:i/>
          <w:iCs/>
          <w:color w:val="000000"/>
        </w:rPr>
        <w:t>via</w:t>
      </w:r>
      <w:r w:rsidRPr="007F0B0F">
        <w:rPr>
          <w:rFonts w:ascii="Book Antiqua" w:eastAsia="Book Antiqua" w:hAnsi="Book Antiqua" w:cs="Book Antiqua"/>
          <w:color w:val="000000"/>
        </w:rPr>
        <w:t xml:space="preserve"> telephone interview. </w:t>
      </w:r>
      <w:r w:rsidR="00AB46DB" w:rsidRPr="007F0B0F">
        <w:rPr>
          <w:rFonts w:ascii="Book Antiqua" w:eastAsia="Book Antiqua" w:hAnsi="Book Antiqua" w:cs="Book Antiqua"/>
          <w:color w:val="000000"/>
        </w:rPr>
        <w:t>And (</w:t>
      </w:r>
      <w:r w:rsidRPr="007F0B0F">
        <w:rPr>
          <w:rFonts w:ascii="Book Antiqua" w:eastAsia="Book Antiqua" w:hAnsi="Book Antiqua" w:cs="Book Antiqua"/>
          <w:color w:val="000000"/>
        </w:rPr>
        <w:t>8) Primary and secondary outcomes were compared in patients with and without IBD.</w:t>
      </w:r>
    </w:p>
    <w:p w14:paraId="54D66CCB" w14:textId="77777777" w:rsidR="00A77B3E" w:rsidRPr="007F0B0F" w:rsidRDefault="00A77B3E" w:rsidP="007F0B0F">
      <w:pPr>
        <w:snapToGrid w:val="0"/>
        <w:spacing w:line="360" w:lineRule="auto"/>
        <w:jc w:val="both"/>
        <w:rPr>
          <w:rFonts w:ascii="Book Antiqua" w:hAnsi="Book Antiqua"/>
        </w:rPr>
      </w:pPr>
    </w:p>
    <w:p w14:paraId="411877EB"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color w:val="000000"/>
        </w:rPr>
        <w:t>Statistical analysis</w:t>
      </w:r>
    </w:p>
    <w:p w14:paraId="62BD59D8"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 xml:space="preserve">Statistical analyses were performed using GraphPad Prism (Version 8.2.1). Statistical comparisons were performed using non-parametric tests (Mann-Whitney or Wilcoxon test) or Fisher’s exact test, whatever appropriate. A </w:t>
      </w:r>
      <w:r w:rsidRPr="007F0B0F">
        <w:rPr>
          <w:rFonts w:ascii="Book Antiqua" w:eastAsia="Book Antiqua" w:hAnsi="Book Antiqua" w:cs="Book Antiqua"/>
          <w:i/>
          <w:caps/>
          <w:color w:val="000000"/>
        </w:rPr>
        <w:t>p</w:t>
      </w:r>
      <w:r w:rsidR="00AB46DB"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value &lt;</w:t>
      </w:r>
      <w:r w:rsidR="00AB46DB"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0.05 was considered significant.</w:t>
      </w:r>
    </w:p>
    <w:p w14:paraId="152CADC1" w14:textId="77777777" w:rsidR="00A77B3E" w:rsidRPr="007F0B0F" w:rsidRDefault="00A77B3E" w:rsidP="007F0B0F">
      <w:pPr>
        <w:snapToGrid w:val="0"/>
        <w:spacing w:line="360" w:lineRule="auto"/>
        <w:jc w:val="both"/>
        <w:rPr>
          <w:rFonts w:ascii="Book Antiqua" w:hAnsi="Book Antiqua"/>
        </w:rPr>
      </w:pPr>
    </w:p>
    <w:p w14:paraId="6E12895F"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color w:val="000000"/>
        </w:rPr>
        <w:t>Ethics</w:t>
      </w:r>
    </w:p>
    <w:p w14:paraId="582CED8F"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 xml:space="preserve">The study was approved by the local ethics committee of Zurich </w:t>
      </w:r>
      <w:r w:rsidR="00AB46DB" w:rsidRPr="007F0B0F">
        <w:rPr>
          <w:rFonts w:ascii="Book Antiqua" w:eastAsia="Book Antiqua" w:hAnsi="Book Antiqua" w:cs="Book Antiqua"/>
          <w:color w:val="000000"/>
        </w:rPr>
        <w:t xml:space="preserve">County </w:t>
      </w:r>
      <w:r w:rsidRPr="007F0B0F">
        <w:rPr>
          <w:rFonts w:ascii="Book Antiqua" w:eastAsia="Book Antiqua" w:hAnsi="Book Antiqua" w:cs="Book Antiqua"/>
          <w:color w:val="000000"/>
        </w:rPr>
        <w:t>(KEK-ZH-NR. 2016-01310) on 1</w:t>
      </w:r>
      <w:r w:rsidRPr="007F0B0F">
        <w:rPr>
          <w:rFonts w:ascii="Book Antiqua" w:eastAsia="Book Antiqua" w:hAnsi="Book Antiqua" w:cs="Book Antiqua"/>
          <w:color w:val="000000"/>
          <w:vertAlign w:val="superscript"/>
        </w:rPr>
        <w:t>st</w:t>
      </w:r>
      <w:r w:rsidRPr="007F0B0F">
        <w:rPr>
          <w:rFonts w:ascii="Book Antiqua" w:eastAsia="Book Antiqua" w:hAnsi="Book Antiqua" w:cs="Book Antiqua"/>
          <w:color w:val="000000"/>
        </w:rPr>
        <w:t xml:space="preserve"> of February 2017. Application of acetylcysteine and doxycycline into the fistula tract was approved by the Swiss Agency for Therapeutic Products (Swissmedic). The study was registered at </w:t>
      </w:r>
      <w:hyperlink r:id="rId8" w:history="1">
        <w:r w:rsidRPr="007F0B0F">
          <w:rPr>
            <w:rFonts w:ascii="Book Antiqua" w:eastAsia="Book Antiqua" w:hAnsi="Book Antiqua" w:cs="Book Antiqua"/>
            <w:color w:val="000000"/>
            <w:u w:color="0000FF"/>
          </w:rPr>
          <w:t>www.clinicaltrials.gov</w:t>
        </w:r>
      </w:hyperlink>
      <w:r w:rsidRPr="007F0B0F">
        <w:rPr>
          <w:rFonts w:ascii="Book Antiqua" w:eastAsia="Book Antiqua" w:hAnsi="Book Antiqua" w:cs="Book Antiqua"/>
          <w:color w:val="000000"/>
        </w:rPr>
        <w:t xml:space="preserve"> (</w:t>
      </w:r>
      <w:hyperlink r:id="rId9" w:history="1">
        <w:r w:rsidRPr="007F0B0F">
          <w:rPr>
            <w:rFonts w:ascii="Book Antiqua" w:eastAsia="Book Antiqua" w:hAnsi="Book Antiqua" w:cs="Book Antiqua"/>
            <w:color w:val="000000"/>
            <w:u w:color="0000FF"/>
          </w:rPr>
          <w:t>NCT03322488</w:t>
        </w:r>
      </w:hyperlink>
      <w:r w:rsidRPr="007F0B0F">
        <w:rPr>
          <w:rFonts w:ascii="Book Antiqua" w:eastAsia="Book Antiqua" w:hAnsi="Book Antiqua" w:cs="Book Antiqua"/>
          <w:color w:val="000000"/>
        </w:rPr>
        <w:t>). Study procedures were performed following principles of Good Clinical Practice and the Declaration of Helsinki 2013.</w:t>
      </w:r>
    </w:p>
    <w:bookmarkEnd w:id="36"/>
    <w:bookmarkEnd w:id="37"/>
    <w:p w14:paraId="4EA25E17" w14:textId="77777777" w:rsidR="00A77B3E" w:rsidRPr="007F0B0F" w:rsidRDefault="00A77B3E" w:rsidP="007F0B0F">
      <w:pPr>
        <w:snapToGrid w:val="0"/>
        <w:spacing w:line="360" w:lineRule="auto"/>
        <w:jc w:val="both"/>
        <w:rPr>
          <w:rFonts w:ascii="Book Antiqua" w:hAnsi="Book Antiqua"/>
        </w:rPr>
      </w:pPr>
    </w:p>
    <w:p w14:paraId="46007BB6"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aps/>
          <w:color w:val="000000"/>
          <w:u w:val="single"/>
        </w:rPr>
        <w:t>RESULTS</w:t>
      </w:r>
    </w:p>
    <w:p w14:paraId="1B96C96A" w14:textId="77777777" w:rsidR="00A77B3E" w:rsidRPr="007F0B0F" w:rsidRDefault="00CA658C" w:rsidP="007F0B0F">
      <w:pPr>
        <w:snapToGrid w:val="0"/>
        <w:spacing w:line="360" w:lineRule="auto"/>
        <w:jc w:val="both"/>
        <w:rPr>
          <w:rFonts w:ascii="Book Antiqua" w:hAnsi="Book Antiqua"/>
          <w:b/>
        </w:rPr>
      </w:pPr>
      <w:bookmarkStart w:id="38" w:name="OLE_LINK39"/>
      <w:r w:rsidRPr="007F0B0F">
        <w:rPr>
          <w:rFonts w:ascii="Book Antiqua" w:eastAsia="Book Antiqua" w:hAnsi="Book Antiqua" w:cs="Book Antiqua"/>
          <w:b/>
          <w:i/>
          <w:iCs/>
          <w:color w:val="000000"/>
        </w:rPr>
        <w:t>Study population</w:t>
      </w:r>
    </w:p>
    <w:p w14:paraId="02B9A840"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 xml:space="preserve">Overall, 29 patients with perianal fistulae were recruited, 24 non-IBD patients and five patients with CD. One patient subsequently withdrew informed consent. Upon endoanal ultrasound and fistula examination in anesthesia, 8 patients were </w:t>
      </w:r>
      <w:r w:rsidRPr="007F0B0F">
        <w:rPr>
          <w:rFonts w:ascii="Book Antiqua" w:eastAsia="Book Antiqua" w:hAnsi="Book Antiqua" w:cs="Book Antiqua"/>
          <w:color w:val="000000"/>
        </w:rPr>
        <w:lastRenderedPageBreak/>
        <w:t>excluded (2 patients with minimal involvement of anal sphincter apparatus were treated with fistulotomy, in 2 patients the internal diameter was judged to be too large for feasible fistula closure and seton drainage was performed, in 2 other patients an abscess was identified and treated with seton drainage in 1 and fistula excision in the other patient; in 1 other patient a curved and branched fistulae tract with two openings would have been inaccessible to curettage prompting treatment with ligation of intersphincteric fistula tract (LIFT) and seton drainage, respectively, in 1 patient, spontaneous fistula cleavage was observed and no treatment was performed). Overall, 20 patients were finally included into the study and treated with fistulodesis (17 non-IBD and 3 CD patients).</w:t>
      </w:r>
    </w:p>
    <w:p w14:paraId="27785054"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Our study cohort comprised a mixed population of male and female patients with mild to moderate fistula disease (range of PDAI 3-14). One CD patient was under long-term treatment with adalimumab, 1 additional patient was treated with a combination of infliximab and vedolizumab. All other patients did not use any immunomodulatory medication. In total, 18 patients had undergone previous fistula surgery, while 2 patients had had no prior fistula treatment. The number of interventions ranged from 1</w:t>
      </w:r>
      <w:r w:rsidR="00283D1F">
        <w:rPr>
          <w:rFonts w:ascii="Book Antiqua" w:eastAsia="Book Antiqua" w:hAnsi="Book Antiqua" w:cs="Book Antiqua"/>
          <w:color w:val="000000"/>
        </w:rPr>
        <w:t>-</w:t>
      </w:r>
      <w:r w:rsidRPr="007F0B0F">
        <w:rPr>
          <w:rFonts w:ascii="Book Antiqua" w:eastAsia="Book Antiqua" w:hAnsi="Book Antiqua" w:cs="Book Antiqua"/>
          <w:color w:val="000000"/>
        </w:rPr>
        <w:t>10. In 8 out of 18 patients, surgical treatment was limited to seton administration on at least one occasion. Another 10 patients had been treated with one or more procedure aiming for definitive fistula closure, such as mucosal advancement flap: 4 interventions, fistulectomy: 4, plug insertion: 4, fistulotomy: 3, LIFT: 3, over the scope clip: 1, video-assisted anal fistula treatment: 1 and an unspecified procedure: 1, with or without previous seton conditioning. CD patients reported longer duration of fistulizing disease but higher quality of life at screening than non-IBD patients (</w:t>
      </w:r>
      <w:r w:rsidRPr="007F0B0F">
        <w:rPr>
          <w:rFonts w:ascii="Book Antiqua" w:eastAsia="Book Antiqua" w:hAnsi="Book Antiqua" w:cs="Book Antiqua"/>
          <w:i/>
          <w:iCs/>
          <w:color w:val="000000"/>
        </w:rPr>
        <w:t>P</w:t>
      </w:r>
      <w:r w:rsidRPr="007F0B0F">
        <w:rPr>
          <w:rFonts w:ascii="Book Antiqua" w:eastAsia="Book Antiqua" w:hAnsi="Book Antiqua" w:cs="Book Antiqua"/>
          <w:color w:val="000000"/>
        </w:rPr>
        <w:t xml:space="preserve"> = 0.033, Table 1).</w:t>
      </w:r>
    </w:p>
    <w:p w14:paraId="4DAE7F62" w14:textId="77777777" w:rsidR="00A77B3E" w:rsidRPr="007F0B0F" w:rsidRDefault="00A77B3E" w:rsidP="007F0B0F">
      <w:pPr>
        <w:snapToGrid w:val="0"/>
        <w:spacing w:line="360" w:lineRule="auto"/>
        <w:jc w:val="both"/>
        <w:rPr>
          <w:rFonts w:ascii="Book Antiqua" w:hAnsi="Book Antiqua"/>
        </w:rPr>
      </w:pPr>
    </w:p>
    <w:p w14:paraId="3A59AD6A"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iCs/>
          <w:color w:val="000000"/>
        </w:rPr>
        <w:t>Fistula healing</w:t>
      </w:r>
    </w:p>
    <w:p w14:paraId="1D5E9B0B"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 xml:space="preserve">Fistulodesis was performed in 20 patients with a total of 22 fistulae, as two non-IBD patients initially presented with two separate fistulae. Our definition of fistula healing comprised the closure of all fistula openings, lack of fistula symptoms and </w:t>
      </w:r>
      <w:r w:rsidRPr="007F0B0F">
        <w:rPr>
          <w:rFonts w:ascii="Book Antiqua" w:eastAsia="Book Antiqua" w:hAnsi="Book Antiqua" w:cs="Book Antiqua"/>
          <w:color w:val="000000"/>
        </w:rPr>
        <w:lastRenderedPageBreak/>
        <w:t>lack of clinical signs of fistula activity (see methods). Fistula healing criteria at 24 wk were met in a total of 6 out of 20 patients, corresponding to a success rate of 30%. When all 22 treated fistulae were evaluated individually in a per-fistula analysis, a slightly higher healing rate was calculated (7 out of 22 fistulae, 36%).</w:t>
      </w:r>
    </w:p>
    <w:p w14:paraId="516EBF2D" w14:textId="77777777" w:rsidR="00A77B3E" w:rsidRPr="007F0B0F" w:rsidRDefault="005059A4"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Comparing CD </w:t>
      </w:r>
      <w:r w:rsidRPr="007F0B0F">
        <w:rPr>
          <w:rFonts w:ascii="Book Antiqua" w:eastAsia="Book Antiqua" w:hAnsi="Book Antiqua" w:cs="Book Antiqua"/>
          <w:i/>
          <w:color w:val="000000"/>
        </w:rPr>
        <w:t>vs</w:t>
      </w:r>
      <w:r w:rsidR="00CA658C" w:rsidRPr="007F0B0F">
        <w:rPr>
          <w:rFonts w:ascii="Book Antiqua" w:eastAsia="Book Antiqua" w:hAnsi="Book Antiqua" w:cs="Book Antiqua"/>
          <w:color w:val="000000"/>
        </w:rPr>
        <w:t xml:space="preserve"> non-IBD patients, fistula closure was effective in </w:t>
      </w:r>
      <w:r w:rsidRPr="007F0B0F">
        <w:rPr>
          <w:rFonts w:ascii="Book Antiqua" w:eastAsia="Book Antiqua" w:hAnsi="Book Antiqua" w:cs="Book Antiqua"/>
          <w:color w:val="000000"/>
        </w:rPr>
        <w:t xml:space="preserve">2 out of 3 CD patients (66%) </w:t>
      </w:r>
      <w:r w:rsidRPr="007F0B0F">
        <w:rPr>
          <w:rFonts w:ascii="Book Antiqua" w:eastAsia="Book Antiqua" w:hAnsi="Book Antiqua" w:cs="Book Antiqua"/>
          <w:i/>
          <w:color w:val="000000"/>
        </w:rPr>
        <w:t>vs</w:t>
      </w:r>
      <w:r w:rsidR="00CA658C" w:rsidRPr="007F0B0F">
        <w:rPr>
          <w:rFonts w:ascii="Book Antiqua" w:eastAsia="Book Antiqua" w:hAnsi="Book Antiqua" w:cs="Book Antiqua"/>
          <w:color w:val="000000"/>
        </w:rPr>
        <w:t xml:space="preserve"> 5 out of 17 non-IBD patients (29%). However, due to small numbers in the CD group, robust comparison of CD and non-IBD patients is not possible.</w:t>
      </w:r>
    </w:p>
    <w:p w14:paraId="20A8F472"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Time to fistula recurrence varied considerably, from one week up to 12 wk post intervention. Most recur</w:t>
      </w:r>
      <w:r w:rsidR="005059A4" w:rsidRPr="007F0B0F">
        <w:rPr>
          <w:rFonts w:ascii="Book Antiqua" w:eastAsia="Book Antiqua" w:hAnsi="Book Antiqua" w:cs="Book Antiqua"/>
          <w:color w:val="000000"/>
        </w:rPr>
        <w:t>ring fistulae (10 out of 14, 71</w:t>
      </w:r>
      <w:r w:rsidRPr="007F0B0F">
        <w:rPr>
          <w:rFonts w:ascii="Book Antiqua" w:eastAsia="Book Antiqua" w:hAnsi="Book Antiqua" w:cs="Book Antiqua"/>
          <w:color w:val="000000"/>
        </w:rPr>
        <w:t>%) reopened or developed a new outer fistula opening af</w:t>
      </w:r>
      <w:r w:rsidR="005059A4" w:rsidRPr="007F0B0F">
        <w:rPr>
          <w:rFonts w:ascii="Book Antiqua" w:eastAsia="Book Antiqua" w:hAnsi="Book Antiqua" w:cs="Book Antiqua"/>
          <w:color w:val="000000"/>
        </w:rPr>
        <w:t xml:space="preserve">ter 4 wk (Supplementary Figure </w:t>
      </w:r>
      <w:r w:rsidRPr="007F0B0F">
        <w:rPr>
          <w:rFonts w:ascii="Book Antiqua" w:eastAsia="Book Antiqua" w:hAnsi="Book Antiqua" w:cs="Book Antiqua"/>
          <w:color w:val="000000"/>
        </w:rPr>
        <w:t>1).</w:t>
      </w:r>
    </w:p>
    <w:p w14:paraId="0CB67DC1"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Of the 14 patients with unsuccessful fistulodesis, 9 underwent 20 additional fistula surgery with the intention of fistula closure outside of this study (mucosal advancement flap: 4, plugs: 4, fistulectomy: 4, fistulotomy: 3, LIFT: 3, </w:t>
      </w:r>
      <w:r w:rsidR="00AB46DB" w:rsidRPr="007F0B0F">
        <w:rPr>
          <w:rFonts w:ascii="Book Antiqua" w:eastAsia="Book Antiqua" w:hAnsi="Book Antiqua" w:cs="Book Antiqua"/>
          <w:color w:val="000000"/>
        </w:rPr>
        <w:t>over the scope clip</w:t>
      </w:r>
      <w:r w:rsidRPr="007F0B0F">
        <w:rPr>
          <w:rFonts w:ascii="Book Antiqua" w:eastAsia="Book Antiqua" w:hAnsi="Book Antiqua" w:cs="Book Antiqua"/>
          <w:color w:val="000000"/>
        </w:rPr>
        <w:t xml:space="preserve">: 1, </w:t>
      </w:r>
      <w:r w:rsidR="00AB46DB" w:rsidRPr="007F0B0F">
        <w:rPr>
          <w:rFonts w:ascii="Book Antiqua" w:eastAsia="Book Antiqua" w:hAnsi="Book Antiqua" w:cs="Book Antiqua"/>
          <w:color w:val="000000"/>
        </w:rPr>
        <w:t>video-assisted anal fistula treatment</w:t>
      </w:r>
      <w:r w:rsidRPr="007F0B0F">
        <w:rPr>
          <w:rFonts w:ascii="Book Antiqua" w:eastAsia="Book Antiqua" w:hAnsi="Book Antiqua" w:cs="Book Antiqua"/>
          <w:color w:val="000000"/>
        </w:rPr>
        <w:t>: 1). Out of these 9 patients, the fistula of 5 patients healed after one additional surgery following failed fistulodesis, and in 3 patients after two additional surgeries. In 1 patient results of the latest surgery is pending, another patient had a seton administered for fistula conditioning and 1 patient had no surgical intervention after participation in this study. In 4 patients, no follow-up information is available.</w:t>
      </w:r>
    </w:p>
    <w:p w14:paraId="5002FB67" w14:textId="77777777" w:rsidR="00A77B3E" w:rsidRPr="007F0B0F" w:rsidRDefault="00A77B3E" w:rsidP="007F0B0F">
      <w:pPr>
        <w:snapToGrid w:val="0"/>
        <w:spacing w:line="360" w:lineRule="auto"/>
        <w:jc w:val="both"/>
        <w:rPr>
          <w:rFonts w:ascii="Book Antiqua" w:hAnsi="Book Antiqua"/>
        </w:rPr>
      </w:pPr>
    </w:p>
    <w:p w14:paraId="1D73714B"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iCs/>
          <w:color w:val="000000"/>
        </w:rPr>
        <w:t>Changes in symptoms after fistulodesis</w:t>
      </w:r>
    </w:p>
    <w:p w14:paraId="70CDF9AC" w14:textId="00C70FDE"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 xml:space="preserve">Overall, fistulodesis did not significantly affect PDAI in our patient cohort (Figure 1). Even in patients with successful closure of at least 1 fistula opening, trends in PDAI were variable (PDAI for 5 patients available): PDAI was 0 for a single patient; </w:t>
      </w:r>
      <w:r w:rsidR="00D75759">
        <w:rPr>
          <w:rFonts w:ascii="Book Antiqua" w:eastAsia="Book Antiqua" w:hAnsi="Book Antiqua" w:cs="Book Antiqua"/>
          <w:color w:val="000000"/>
        </w:rPr>
        <w:t>I</w:t>
      </w:r>
      <w:r w:rsidRPr="007F0B0F">
        <w:rPr>
          <w:rFonts w:ascii="Book Antiqua" w:eastAsia="Book Antiqua" w:hAnsi="Book Antiqua" w:cs="Book Antiqua"/>
          <w:color w:val="000000"/>
        </w:rPr>
        <w:t xml:space="preserve">n 2 patients, PDAI was 1 with remaining minimal disease activity due to anal fissure and minimal anal mucous secretion, respectively. Two patients did not show any improvement in PDAI. This was one non-IBD patient with two fistulae </w:t>
      </w:r>
      <w:r w:rsidRPr="007F0B0F">
        <w:rPr>
          <w:rFonts w:ascii="Book Antiqua" w:eastAsia="Book Antiqua" w:hAnsi="Book Antiqua" w:cs="Book Antiqua"/>
          <w:color w:val="000000"/>
        </w:rPr>
        <w:lastRenderedPageBreak/>
        <w:t>at enrollment success for only 1 fistula and one CD patient, who, at 24 wk post-interventional, developed a new fistula (see below).</w:t>
      </w:r>
    </w:p>
    <w:p w14:paraId="28F03ADD"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Similarly, fistulodesis treatment did neither reduce patient-reported fistula secretion or loc</w:t>
      </w:r>
      <w:r w:rsidR="005059A4" w:rsidRPr="007F0B0F">
        <w:rPr>
          <w:rFonts w:ascii="Book Antiqua" w:eastAsia="Book Antiqua" w:hAnsi="Book Antiqua" w:cs="Book Antiqua"/>
          <w:color w:val="000000"/>
        </w:rPr>
        <w:t xml:space="preserve">al pain (Supplementary Figures 2 and </w:t>
      </w:r>
      <w:r w:rsidRPr="007F0B0F">
        <w:rPr>
          <w:rFonts w:ascii="Book Antiqua" w:eastAsia="Book Antiqua" w:hAnsi="Book Antiqua" w:cs="Book Antiqua"/>
          <w:color w:val="000000"/>
        </w:rPr>
        <w:t>3). However, in the subgroup of patients with closure of at least 1 fistula, patient-reported secretion significantly diminished at 24 wk (</w:t>
      </w:r>
      <w:r w:rsidRPr="007F0B0F">
        <w:rPr>
          <w:rFonts w:ascii="Book Antiqua" w:eastAsia="Book Antiqua" w:hAnsi="Book Antiqua" w:cs="Book Antiqua"/>
          <w:i/>
          <w:iCs/>
          <w:color w:val="000000"/>
        </w:rPr>
        <w:t>P</w:t>
      </w:r>
      <w:r w:rsidR="005059A4" w:rsidRPr="007F0B0F">
        <w:rPr>
          <w:rFonts w:ascii="Book Antiqua" w:eastAsia="Book Antiqua" w:hAnsi="Book Antiqua" w:cs="Book Antiqua"/>
          <w:color w:val="000000"/>
        </w:rPr>
        <w:t xml:space="preserve"> = 0.03, Supplementary Figures </w:t>
      </w:r>
      <w:r w:rsidRPr="007F0B0F">
        <w:rPr>
          <w:rFonts w:ascii="Book Antiqua" w:eastAsia="Book Antiqua" w:hAnsi="Book Antiqua" w:cs="Book Antiqua"/>
          <w:color w:val="000000"/>
        </w:rPr>
        <w:t xml:space="preserve">2B) and favorable trends for local pain in this group were </w:t>
      </w:r>
      <w:r w:rsidR="005059A4" w:rsidRPr="007F0B0F">
        <w:rPr>
          <w:rFonts w:ascii="Book Antiqua" w:eastAsia="Book Antiqua" w:hAnsi="Book Antiqua" w:cs="Book Antiqua"/>
          <w:color w:val="000000"/>
        </w:rPr>
        <w:t xml:space="preserve">observed (Supplementary Figure </w:t>
      </w:r>
      <w:r w:rsidRPr="007F0B0F">
        <w:rPr>
          <w:rFonts w:ascii="Book Antiqua" w:eastAsia="Book Antiqua" w:hAnsi="Book Antiqua" w:cs="Book Antiqua"/>
          <w:color w:val="000000"/>
        </w:rPr>
        <w:t>3B).</w:t>
      </w:r>
    </w:p>
    <w:p w14:paraId="230F0209" w14:textId="4D0DB7C3"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Quality of life was evaluated in 14/17 non-IBD patients at enrolment; </w:t>
      </w:r>
      <w:r w:rsidR="005B7E1E">
        <w:rPr>
          <w:rFonts w:ascii="Book Antiqua" w:eastAsia="Book Antiqua" w:hAnsi="Book Antiqua" w:cs="Book Antiqua"/>
          <w:color w:val="000000"/>
        </w:rPr>
        <w:t>H</w:t>
      </w:r>
      <w:r w:rsidRPr="007F0B0F">
        <w:rPr>
          <w:rFonts w:ascii="Book Antiqua" w:eastAsia="Book Antiqua" w:hAnsi="Book Antiqua" w:cs="Book Antiqua"/>
          <w:color w:val="000000"/>
        </w:rPr>
        <w:t>owever, only data from 5 patients were available at 24 wk. We note favorable trends in 2 non-IBD patients upon successful fistulodesis but no significant</w:t>
      </w:r>
      <w:r w:rsidR="005059A4" w:rsidRPr="007F0B0F">
        <w:rPr>
          <w:rFonts w:ascii="Book Antiqua" w:eastAsia="Book Antiqua" w:hAnsi="Book Antiqua" w:cs="Book Antiqua"/>
          <w:color w:val="000000"/>
        </w:rPr>
        <w:t xml:space="preserve"> effects (Supplementary Figure </w:t>
      </w:r>
      <w:r w:rsidRPr="007F0B0F">
        <w:rPr>
          <w:rFonts w:ascii="Book Antiqua" w:eastAsia="Book Antiqua" w:hAnsi="Book Antiqua" w:cs="Book Antiqua"/>
          <w:color w:val="000000"/>
        </w:rPr>
        <w:t>4).</w:t>
      </w:r>
    </w:p>
    <w:p w14:paraId="11CDCD44" w14:textId="77777777" w:rsidR="00A77B3E" w:rsidRPr="007F0B0F" w:rsidRDefault="00A77B3E" w:rsidP="007F0B0F">
      <w:pPr>
        <w:snapToGrid w:val="0"/>
        <w:spacing w:line="360" w:lineRule="auto"/>
        <w:jc w:val="both"/>
        <w:rPr>
          <w:rFonts w:ascii="Book Antiqua" w:hAnsi="Book Antiqua"/>
        </w:rPr>
      </w:pPr>
    </w:p>
    <w:p w14:paraId="1F4873CF"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iCs/>
          <w:color w:val="000000"/>
        </w:rPr>
        <w:t>Long-term data after successful fistulodesis</w:t>
      </w:r>
    </w:p>
    <w:p w14:paraId="398F9854"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All six patients with at least one successful fistula closure were contacted by phone between 12 to 30 mo after fistulodesis. Five patients were entirely free of symptoms without pain, secretion, local symptoms or limitations in sexual behavior and without further fistula interventions consistent with closure of all 6 fistulae. One patient with successful closure of 1 fistula and recurrence of the other fistula 12 wk after fistulodesis reported persistent closure of the fistula and persistent symptoms from the other (pain and secretions) and no change compared to 24 wk. One patient reported new secretion but no recurrent fistula was detected during examination under anesthesia.</w:t>
      </w:r>
    </w:p>
    <w:p w14:paraId="54D396F8" w14:textId="77777777" w:rsidR="00A77B3E" w:rsidRPr="007F0B0F" w:rsidRDefault="00A77B3E" w:rsidP="007F0B0F">
      <w:pPr>
        <w:snapToGrid w:val="0"/>
        <w:spacing w:line="360" w:lineRule="auto"/>
        <w:jc w:val="both"/>
        <w:rPr>
          <w:rFonts w:ascii="Book Antiqua" w:hAnsi="Book Antiqua"/>
        </w:rPr>
      </w:pPr>
    </w:p>
    <w:p w14:paraId="54539ABC"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iCs/>
          <w:color w:val="000000"/>
        </w:rPr>
        <w:t>Parameters associated with fistulodesis success</w:t>
      </w:r>
    </w:p>
    <w:p w14:paraId="2663F4B1" w14:textId="0DA8C6FE"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Patients with successful fistulodesis had</w:t>
      </w:r>
      <w:r w:rsidR="005059A4" w:rsidRPr="007F0B0F">
        <w:rPr>
          <w:rFonts w:ascii="Book Antiqua" w:eastAsia="Book Antiqua" w:hAnsi="Book Antiqua" w:cs="Book Antiqua"/>
          <w:color w:val="000000"/>
        </w:rPr>
        <w:t xml:space="preserve"> lower pre-operative PDAI (4 </w:t>
      </w:r>
      <w:r w:rsidR="005059A4" w:rsidRPr="007F0B0F">
        <w:rPr>
          <w:rFonts w:ascii="Book Antiqua" w:eastAsia="Book Antiqua" w:hAnsi="Book Antiqua" w:cs="Book Antiqua"/>
          <w:i/>
          <w:color w:val="000000"/>
        </w:rPr>
        <w:t>vs</w:t>
      </w:r>
      <w:r w:rsidRPr="007F0B0F">
        <w:rPr>
          <w:rFonts w:ascii="Book Antiqua" w:eastAsia="Book Antiqua" w:hAnsi="Book Antiqua" w:cs="Book Antiqua"/>
          <w:color w:val="000000"/>
        </w:rPr>
        <w:t xml:space="preserve"> 6.5, </w:t>
      </w:r>
      <w:r w:rsidRPr="007F0B0F">
        <w:rPr>
          <w:rFonts w:ascii="Book Antiqua" w:eastAsia="Book Antiqua" w:hAnsi="Book Antiqua" w:cs="Book Antiqua"/>
          <w:i/>
          <w:iCs/>
          <w:color w:val="000000"/>
        </w:rPr>
        <w:t>P</w:t>
      </w:r>
      <w:r w:rsidRPr="007F0B0F">
        <w:rPr>
          <w:rFonts w:ascii="Book Antiqua" w:eastAsia="Book Antiqua" w:hAnsi="Book Antiqua" w:cs="Book Antiqua"/>
          <w:color w:val="000000"/>
        </w:rPr>
        <w:t xml:space="preserve"> = 0.0013) than patients without treatmen</w:t>
      </w:r>
      <w:r w:rsidR="005059A4" w:rsidRPr="007F0B0F">
        <w:rPr>
          <w:rFonts w:ascii="Book Antiqua" w:eastAsia="Book Antiqua" w:hAnsi="Book Antiqua" w:cs="Book Antiqua"/>
          <w:color w:val="000000"/>
        </w:rPr>
        <w:t xml:space="preserve">t success (Supplementary Table </w:t>
      </w:r>
      <w:r w:rsidRPr="007F0B0F">
        <w:rPr>
          <w:rFonts w:ascii="Book Antiqua" w:eastAsia="Book Antiqua" w:hAnsi="Book Antiqua" w:cs="Book Antiqua"/>
          <w:color w:val="000000"/>
        </w:rPr>
        <w:t xml:space="preserve">1). When analyzed individually, the PDAI items “pain” and “secretion” also differed according to treatment success, but no significant differences were observed. Treatment success also tended to be higher in males (6/7 </w:t>
      </w:r>
      <w:r w:rsidR="005059A4" w:rsidRPr="007F0B0F">
        <w:rPr>
          <w:rFonts w:ascii="Book Antiqua" w:eastAsia="Book Antiqua" w:hAnsi="Book Antiqua" w:cs="Book Antiqua"/>
          <w:color w:val="000000"/>
        </w:rPr>
        <w:t xml:space="preserve">with successful </w:t>
      </w:r>
      <w:r w:rsidR="005059A4" w:rsidRPr="007F0B0F">
        <w:rPr>
          <w:rFonts w:ascii="Book Antiqua" w:eastAsia="Book Antiqua" w:hAnsi="Book Antiqua" w:cs="Book Antiqua"/>
          <w:color w:val="000000"/>
        </w:rPr>
        <w:lastRenderedPageBreak/>
        <w:t xml:space="preserve">fistulodesis </w:t>
      </w:r>
      <w:r w:rsidR="005059A4" w:rsidRPr="007F0B0F">
        <w:rPr>
          <w:rFonts w:ascii="Book Antiqua" w:eastAsia="Book Antiqua" w:hAnsi="Book Antiqua" w:cs="Book Antiqua"/>
          <w:i/>
          <w:color w:val="000000"/>
        </w:rPr>
        <w:t>vs</w:t>
      </w:r>
      <w:r w:rsidRPr="007F0B0F">
        <w:rPr>
          <w:rFonts w:ascii="Book Antiqua" w:eastAsia="Book Antiqua" w:hAnsi="Book Antiqua" w:cs="Book Antiqua"/>
          <w:color w:val="000000"/>
        </w:rPr>
        <w:t xml:space="preserve"> 4/13 without success, </w:t>
      </w:r>
      <w:r w:rsidRPr="007F0B0F">
        <w:rPr>
          <w:rFonts w:ascii="Book Antiqua" w:eastAsia="Book Antiqua" w:hAnsi="Book Antiqua" w:cs="Book Antiqua"/>
          <w:i/>
          <w:iCs/>
          <w:color w:val="000000"/>
        </w:rPr>
        <w:t>P</w:t>
      </w:r>
      <w:r w:rsidRPr="007F0B0F">
        <w:rPr>
          <w:rFonts w:ascii="Book Antiqua" w:eastAsia="Book Antiqua" w:hAnsi="Book Antiqua" w:cs="Book Antiqua"/>
          <w:color w:val="000000"/>
        </w:rPr>
        <w:t xml:space="preserve"> = 0.057). Patients with treatment success also tended to be younger (</w:t>
      </w:r>
      <w:r w:rsidR="004A58E2">
        <w:rPr>
          <w:rFonts w:ascii="Book Antiqua" w:eastAsia="Book Antiqua" w:hAnsi="Book Antiqua" w:cs="Book Antiqua"/>
          <w:color w:val="000000"/>
        </w:rPr>
        <w:t>NS</w:t>
      </w:r>
      <w:r w:rsidRPr="007F0B0F">
        <w:rPr>
          <w:rFonts w:ascii="Book Antiqua" w:eastAsia="Book Antiqua" w:hAnsi="Book Antiqua" w:cs="Book Antiqua"/>
          <w:color w:val="000000"/>
        </w:rPr>
        <w:t>), but with a higher number of previous surgical procedures. However, most additional patient characteristics did not differ between patients with and without treatment success, especially no anatomic predictor for success could be i</w:t>
      </w:r>
      <w:r w:rsidR="005059A4" w:rsidRPr="007F0B0F">
        <w:rPr>
          <w:rFonts w:ascii="Book Antiqua" w:eastAsia="Book Antiqua" w:hAnsi="Book Antiqua" w:cs="Book Antiqua"/>
          <w:color w:val="000000"/>
        </w:rPr>
        <w:t xml:space="preserve">dentified (Supplementary Table </w:t>
      </w:r>
      <w:r w:rsidRPr="007F0B0F">
        <w:rPr>
          <w:rFonts w:ascii="Book Antiqua" w:eastAsia="Book Antiqua" w:hAnsi="Book Antiqua" w:cs="Book Antiqua"/>
          <w:color w:val="000000"/>
        </w:rPr>
        <w:t>1).</w:t>
      </w:r>
    </w:p>
    <w:p w14:paraId="63AEEE55" w14:textId="77777777" w:rsidR="00A77B3E" w:rsidRPr="007F0B0F" w:rsidRDefault="00A77B3E" w:rsidP="007F0B0F">
      <w:pPr>
        <w:snapToGrid w:val="0"/>
        <w:spacing w:line="360" w:lineRule="auto"/>
        <w:jc w:val="both"/>
        <w:rPr>
          <w:rFonts w:ascii="Book Antiqua" w:hAnsi="Book Antiqua"/>
        </w:rPr>
      </w:pPr>
    </w:p>
    <w:p w14:paraId="48FA3062"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iCs/>
          <w:color w:val="000000"/>
        </w:rPr>
        <w:t>Safety of fistulodesis</w:t>
      </w:r>
    </w:p>
    <w:p w14:paraId="411F02F5" w14:textId="77777777" w:rsidR="005059A4" w:rsidRPr="007F0B0F" w:rsidRDefault="00CA658C" w:rsidP="007F0B0F">
      <w:pPr>
        <w:snapToGrid w:val="0"/>
        <w:spacing w:line="360" w:lineRule="auto"/>
        <w:jc w:val="both"/>
        <w:rPr>
          <w:rFonts w:ascii="Book Antiqua" w:eastAsia="Book Antiqua" w:hAnsi="Book Antiqua" w:cs="Book Antiqua"/>
          <w:color w:val="000000"/>
        </w:rPr>
      </w:pPr>
      <w:r w:rsidRPr="007F0B0F">
        <w:rPr>
          <w:rFonts w:ascii="Book Antiqua" w:eastAsia="Book Antiqua" w:hAnsi="Book Antiqua" w:cs="Book Antiqua"/>
          <w:color w:val="000000"/>
        </w:rPr>
        <w:t>Adverse events occurred in 5 patients (Table 2). One patient developed a new fistula at a distinct location and without any direct connection to the fistula tract of the first fistula at 24 wk after the intervention. The fistula was also successfully treated with fistulodesis, outside the study protocol. This fistula was considered due to progressive CD and unrelated to fistulodesis. Another patient developed an abscess at a different location from the initial fistula which was successfully treated with abscess incision. In one patient, exacerbation of pre-existing hypo-regeneratory anemia was described and treated conservatively. In one patient, an anal fissure was reported and treated conservatively. Besides the anal fissure, a relationship of the observed side effects to study procedures seems unlikely. Therefore, we regard fistulodesis as a safe and well-tolerated procedure.</w:t>
      </w:r>
    </w:p>
    <w:bookmarkEnd w:id="38"/>
    <w:p w14:paraId="5DC1454C" w14:textId="77777777" w:rsidR="005059A4" w:rsidRPr="007F0B0F" w:rsidRDefault="005059A4" w:rsidP="007F0B0F">
      <w:pPr>
        <w:snapToGrid w:val="0"/>
        <w:spacing w:line="360" w:lineRule="auto"/>
        <w:jc w:val="both"/>
        <w:rPr>
          <w:rFonts w:ascii="Book Antiqua" w:eastAsia="Book Antiqua" w:hAnsi="Book Antiqua" w:cs="Book Antiqua"/>
          <w:color w:val="000000"/>
        </w:rPr>
      </w:pPr>
    </w:p>
    <w:p w14:paraId="5A8C5BB6"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aps/>
          <w:color w:val="000000"/>
          <w:u w:val="single"/>
        </w:rPr>
        <w:t>DISCUSSION</w:t>
      </w:r>
    </w:p>
    <w:p w14:paraId="55A72C8F" w14:textId="691D8FE9" w:rsidR="00A77B3E" w:rsidRPr="007F0B0F" w:rsidRDefault="00CA658C" w:rsidP="007F0B0F">
      <w:pPr>
        <w:snapToGrid w:val="0"/>
        <w:spacing w:line="360" w:lineRule="auto"/>
        <w:jc w:val="both"/>
        <w:rPr>
          <w:rFonts w:ascii="Book Antiqua" w:hAnsi="Book Antiqua"/>
        </w:rPr>
      </w:pPr>
      <w:bookmarkStart w:id="39" w:name="OLE_LINK40"/>
      <w:bookmarkStart w:id="40" w:name="OLE_LINK41"/>
      <w:r w:rsidRPr="007F0B0F">
        <w:rPr>
          <w:rFonts w:ascii="Book Antiqua" w:eastAsia="Book Antiqua" w:hAnsi="Book Antiqua" w:cs="Book Antiqua"/>
          <w:color w:val="000000"/>
        </w:rPr>
        <w:t>In our study, we aimed to improve success rates of fibrin glue treatment by combining it with curettage and cleaning of the fistula tract, surgical closure and antibiotic treatment as a fistulodesis procedure. Previous studies with fibrin glue application had shown limited success between 25</w:t>
      </w:r>
      <w:r w:rsidR="005059A4" w:rsidRPr="007F0B0F">
        <w:rPr>
          <w:rFonts w:ascii="Book Antiqua" w:eastAsia="Book Antiqua" w:hAnsi="Book Antiqua" w:cs="Book Antiqua"/>
          <w:color w:val="000000"/>
        </w:rPr>
        <w:t>%</w:t>
      </w:r>
      <w:r w:rsidR="00E55F7C">
        <w:rPr>
          <w:rFonts w:ascii="Book Antiqua" w:eastAsia="Book Antiqua" w:hAnsi="Book Antiqua" w:cs="Book Antiqua"/>
          <w:color w:val="000000"/>
        </w:rPr>
        <w:t>-</w:t>
      </w:r>
      <w:r w:rsidRPr="007F0B0F">
        <w:rPr>
          <w:rFonts w:ascii="Book Antiqua" w:eastAsia="Book Antiqua" w:hAnsi="Book Antiqua" w:cs="Book Antiqua"/>
          <w:color w:val="000000"/>
        </w:rPr>
        <w:t>94%</w:t>
      </w:r>
      <w:r w:rsidR="005059A4" w:rsidRPr="007F0B0F">
        <w:rPr>
          <w:rFonts w:ascii="Book Antiqua" w:eastAsia="Book Antiqua" w:hAnsi="Book Antiqua" w:cs="Book Antiqua"/>
          <w:color w:val="000000"/>
          <w:vertAlign w:val="superscript"/>
        </w:rPr>
        <w:t>[18,31,</w:t>
      </w:r>
      <w:r w:rsidRPr="007F0B0F">
        <w:rPr>
          <w:rFonts w:ascii="Book Antiqua" w:eastAsia="Book Antiqua" w:hAnsi="Book Antiqua" w:cs="Book Antiqua"/>
          <w:color w:val="000000"/>
          <w:vertAlign w:val="superscript"/>
        </w:rPr>
        <w:t>32]</w:t>
      </w:r>
      <w:r w:rsidRPr="007F0B0F">
        <w:rPr>
          <w:rFonts w:ascii="Book Antiqua" w:eastAsia="Book Antiqua" w:hAnsi="Book Antiqua" w:cs="Book Antiqua"/>
          <w:color w:val="000000"/>
        </w:rPr>
        <w:t>. Despite our concept of combining minimally invasive surgical and medical treatments, our success rate remai</w:t>
      </w:r>
      <w:r w:rsidR="005059A4" w:rsidRPr="007F0B0F">
        <w:rPr>
          <w:rFonts w:ascii="Book Antiqua" w:eastAsia="Book Antiqua" w:hAnsi="Book Antiqua" w:cs="Book Antiqua"/>
          <w:color w:val="000000"/>
        </w:rPr>
        <w:t xml:space="preserve">ned modest at 30% after 24 wk. </w:t>
      </w:r>
      <w:r w:rsidRPr="007F0B0F">
        <w:rPr>
          <w:rFonts w:ascii="Book Antiqua" w:eastAsia="Book Antiqua" w:hAnsi="Book Antiqua" w:cs="Book Antiqua"/>
          <w:color w:val="000000"/>
        </w:rPr>
        <w:t xml:space="preserve">Direct comparison of studies is difficult due to different study designs; </w:t>
      </w:r>
      <w:r w:rsidR="00CF64CA">
        <w:rPr>
          <w:rFonts w:ascii="Book Antiqua" w:eastAsia="Book Antiqua" w:hAnsi="Book Antiqua" w:cs="Book Antiqua"/>
          <w:color w:val="000000"/>
        </w:rPr>
        <w:t>F</w:t>
      </w:r>
      <w:r w:rsidRPr="007F0B0F">
        <w:rPr>
          <w:rFonts w:ascii="Book Antiqua" w:eastAsia="Book Antiqua" w:hAnsi="Book Antiqua" w:cs="Book Antiqua"/>
          <w:color w:val="000000"/>
        </w:rPr>
        <w:t>or instance, repeated fibrin glue injection was performed in some but not all studies. However, in past studies, even repeated glue application was not successful in all studies with CD patients</w:t>
      </w:r>
      <w:r w:rsidRPr="007F0B0F">
        <w:rPr>
          <w:rFonts w:ascii="Book Antiqua" w:eastAsia="Book Antiqua" w:hAnsi="Book Antiqua" w:cs="Book Antiqua"/>
          <w:color w:val="000000"/>
          <w:vertAlign w:val="superscript"/>
        </w:rPr>
        <w:t>[33]</w:t>
      </w:r>
      <w:r w:rsidRPr="007F0B0F">
        <w:rPr>
          <w:rFonts w:ascii="Book Antiqua" w:eastAsia="Book Antiqua" w:hAnsi="Book Antiqua" w:cs="Book Antiqua"/>
          <w:color w:val="000000"/>
        </w:rPr>
        <w:t xml:space="preserve">. In </w:t>
      </w:r>
      <w:r w:rsidRPr="007F0B0F">
        <w:rPr>
          <w:rFonts w:ascii="Book Antiqua" w:eastAsia="Book Antiqua" w:hAnsi="Book Antiqua" w:cs="Book Antiqua"/>
          <w:color w:val="000000"/>
        </w:rPr>
        <w:lastRenderedPageBreak/>
        <w:t>the largest study so far with fibrin glue in 34 CD patients with perianal disease, a success rate of 38% could be achieved</w:t>
      </w:r>
      <w:r w:rsidRPr="007F0B0F">
        <w:rPr>
          <w:rFonts w:ascii="Book Antiqua" w:eastAsia="Book Antiqua" w:hAnsi="Book Antiqua" w:cs="Book Antiqua"/>
          <w:color w:val="000000"/>
          <w:vertAlign w:val="superscript"/>
        </w:rPr>
        <w:t>[18]</w:t>
      </w:r>
      <w:r w:rsidRPr="007F0B0F">
        <w:rPr>
          <w:rFonts w:ascii="Book Antiqua" w:eastAsia="Book Antiqua" w:hAnsi="Book Antiqua" w:cs="Book Antiqua"/>
          <w:color w:val="000000"/>
        </w:rPr>
        <w:t xml:space="preserve"> but the early primary endpoint at 8 wk has been criticized</w:t>
      </w:r>
      <w:r w:rsidRPr="007F0B0F">
        <w:rPr>
          <w:rFonts w:ascii="Book Antiqua" w:eastAsia="Book Antiqua" w:hAnsi="Book Antiqua" w:cs="Book Antiqua"/>
          <w:color w:val="000000"/>
          <w:vertAlign w:val="superscript"/>
        </w:rPr>
        <w:t>[34]</w:t>
      </w:r>
      <w:r w:rsidRPr="007F0B0F">
        <w:rPr>
          <w:rFonts w:ascii="Book Antiqua" w:eastAsia="Book Antiqua" w:hAnsi="Book Antiqua" w:cs="Book Antiqua"/>
          <w:color w:val="000000"/>
        </w:rPr>
        <w:t>.</w:t>
      </w:r>
    </w:p>
    <w:p w14:paraId="096542D1"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Despite our comprehensive approach upon fistulodesis treatment, our modest success rate of 30% remains at the lower end of success rates reported in other studies. However, local symptoms improved in patients upon successful fistulodesis, indicated by improvements in PDAI. Long-term data in patients with successful fistulodesis suggest, that therapy effects at 24 wk remains stable at least for the next 6-12 mo.</w:t>
      </w:r>
    </w:p>
    <w:p w14:paraId="0CC10FBD"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Treatment success tended to be higher in CD patients than in non-IBD patients, even though no significance was achieved due to inadequate power. Future studies are needed to show, whether high success rates in IBD patients can be reproduced. Further, success rates tended to be higher in male patients. A high PDAI was the only significant negative predictor for treatment success identified in our study, pointing to detrimental effects of local inflammation on fistula healing.</w:t>
      </w:r>
    </w:p>
    <w:p w14:paraId="658587E5" w14:textId="2E937326"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Several methods for fistula treatment have been advanced but no superior method suitable for all indications has been identified. Fistulotomy is the method of choice for very superficial fistula</w:t>
      </w:r>
      <w:r w:rsidR="005059A4" w:rsidRPr="007F0B0F">
        <w:rPr>
          <w:rFonts w:ascii="Book Antiqua" w:eastAsia="Book Antiqua" w:hAnsi="Book Antiqua" w:cs="Book Antiqua"/>
          <w:color w:val="000000"/>
          <w:vertAlign w:val="superscript"/>
        </w:rPr>
        <w:t>[35,</w:t>
      </w:r>
      <w:r w:rsidRPr="007F0B0F">
        <w:rPr>
          <w:rFonts w:ascii="Book Antiqua" w:eastAsia="Book Antiqua" w:hAnsi="Book Antiqua" w:cs="Book Antiqua"/>
          <w:color w:val="000000"/>
          <w:vertAlign w:val="superscript"/>
        </w:rPr>
        <w:t>36]</w:t>
      </w:r>
      <w:r w:rsidRPr="007F0B0F">
        <w:rPr>
          <w:rFonts w:ascii="Book Antiqua" w:eastAsia="Book Antiqua" w:hAnsi="Book Antiqua" w:cs="Book Antiqua"/>
          <w:color w:val="000000"/>
        </w:rPr>
        <w:t xml:space="preserve">; </w:t>
      </w:r>
      <w:r w:rsidR="00A3426D">
        <w:rPr>
          <w:rFonts w:ascii="Book Antiqua" w:eastAsia="Book Antiqua" w:hAnsi="Book Antiqua" w:cs="Book Antiqua"/>
          <w:color w:val="000000"/>
        </w:rPr>
        <w:t>H</w:t>
      </w:r>
      <w:r w:rsidRPr="007F0B0F">
        <w:rPr>
          <w:rFonts w:ascii="Book Antiqua" w:eastAsia="Book Antiqua" w:hAnsi="Book Antiqua" w:cs="Book Antiqua"/>
          <w:color w:val="000000"/>
        </w:rPr>
        <w:t>owever, incontinence rates would be unacceptable for fistula with profound involvement of the sphincter apparatus. Accordingly, two patients with only minor involvement of the anal sphincter (&lt;</w:t>
      </w:r>
      <w:r w:rsidR="005059A4"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30% in males, &lt;</w:t>
      </w:r>
      <w:r w:rsidR="005059A4"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10% in females) were excluded from our study and treated with fistulotomy. Sphincter sparing techniques include mucosal advancement flap and the LIFT approach are associated with success rates of 40</w:t>
      </w:r>
      <w:r w:rsidR="005059A4" w:rsidRPr="007F0B0F">
        <w:rPr>
          <w:rFonts w:ascii="Book Antiqua" w:eastAsia="Book Antiqua" w:hAnsi="Book Antiqua" w:cs="Book Antiqua"/>
          <w:color w:val="000000"/>
        </w:rPr>
        <w:t>%</w:t>
      </w:r>
      <w:r w:rsidRPr="007F0B0F">
        <w:rPr>
          <w:rFonts w:ascii="Book Antiqua" w:eastAsia="Book Antiqua" w:hAnsi="Book Antiqua" w:cs="Book Antiqua"/>
          <w:color w:val="000000"/>
        </w:rPr>
        <w:t>-95%</w:t>
      </w:r>
      <w:r w:rsidRPr="007F0B0F">
        <w:rPr>
          <w:rFonts w:ascii="Book Antiqua" w:eastAsia="Book Antiqua" w:hAnsi="Book Antiqua" w:cs="Book Antiqua"/>
          <w:color w:val="000000"/>
          <w:vertAlign w:val="superscript"/>
        </w:rPr>
        <w:t>[31]</w:t>
      </w:r>
      <w:r w:rsidRPr="007F0B0F">
        <w:rPr>
          <w:rFonts w:ascii="Book Antiqua" w:eastAsia="Book Antiqua" w:hAnsi="Book Antiqua" w:cs="Book Antiqua"/>
          <w:color w:val="000000"/>
        </w:rPr>
        <w:t>. However, even with proper application, side effects include minor disorders of continence in 5</w:t>
      </w:r>
      <w:r w:rsidR="005059A4" w:rsidRPr="007F0B0F">
        <w:rPr>
          <w:rFonts w:ascii="Book Antiqua" w:eastAsia="Book Antiqua" w:hAnsi="Book Antiqua" w:cs="Book Antiqua"/>
          <w:color w:val="000000"/>
        </w:rPr>
        <w:t>%</w:t>
      </w:r>
      <w:r w:rsidRPr="007F0B0F">
        <w:rPr>
          <w:rFonts w:ascii="Book Antiqua" w:eastAsia="Book Antiqua" w:hAnsi="Book Antiqua" w:cs="Book Antiqua"/>
          <w:color w:val="000000"/>
        </w:rPr>
        <w:t>-50% of cases</w:t>
      </w:r>
      <w:r w:rsidRPr="007F0B0F">
        <w:rPr>
          <w:rFonts w:ascii="Book Antiqua" w:eastAsia="Book Antiqua" w:hAnsi="Book Antiqua" w:cs="Book Antiqua"/>
          <w:color w:val="000000"/>
          <w:vertAlign w:val="superscript"/>
        </w:rPr>
        <w:t>[31]</w:t>
      </w:r>
      <w:r w:rsidRPr="007F0B0F">
        <w:rPr>
          <w:rFonts w:ascii="Book Antiqua" w:eastAsia="Book Antiqua" w:hAnsi="Book Antiqua" w:cs="Book Antiqua"/>
          <w:color w:val="000000"/>
        </w:rPr>
        <w:t>. In our study, fistulodesis was a well-tolerated procedure, in line with the excellent safety profile of fibrin glue treatment and these methods might be considered for patients with a low tolerance of side effects.</w:t>
      </w:r>
    </w:p>
    <w:p w14:paraId="4EBB4BE9"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lastRenderedPageBreak/>
        <w:t xml:space="preserve">Mesenchymal stem cell transplantation is a new and innovative treatment principle and potentially a shift in paradigms. In a randomized controlled </w:t>
      </w:r>
      <w:r w:rsidR="005059A4" w:rsidRPr="007F0B0F">
        <w:rPr>
          <w:rFonts w:ascii="Book Antiqua" w:eastAsia="Book Antiqua" w:hAnsi="Book Antiqua" w:cs="Book Antiqua"/>
          <w:color w:val="000000"/>
        </w:rPr>
        <w:t xml:space="preserve">trial success rates of 56.3% </w:t>
      </w:r>
      <w:r w:rsidR="005059A4" w:rsidRPr="007F0B0F">
        <w:rPr>
          <w:rFonts w:ascii="Book Antiqua" w:eastAsia="Book Antiqua" w:hAnsi="Book Antiqua" w:cs="Book Antiqua"/>
          <w:i/>
          <w:color w:val="000000"/>
        </w:rPr>
        <w:t>vs</w:t>
      </w:r>
      <w:r w:rsidRPr="007F0B0F">
        <w:rPr>
          <w:rFonts w:ascii="Book Antiqua" w:eastAsia="Book Antiqua" w:hAnsi="Book Antiqua" w:cs="Book Antiqua"/>
          <w:color w:val="000000"/>
        </w:rPr>
        <w:t xml:space="preserve"> 38.6% in controls were observed</w:t>
      </w:r>
      <w:r w:rsidR="005059A4" w:rsidRPr="007F0B0F">
        <w:rPr>
          <w:rFonts w:ascii="Book Antiqua" w:eastAsia="Book Antiqua" w:hAnsi="Book Antiqua" w:cs="Book Antiqua"/>
          <w:color w:val="000000"/>
          <w:vertAlign w:val="superscript"/>
        </w:rPr>
        <w:t>[37,</w:t>
      </w:r>
      <w:r w:rsidRPr="007F0B0F">
        <w:rPr>
          <w:rFonts w:ascii="Book Antiqua" w:eastAsia="Book Antiqua" w:hAnsi="Book Antiqua" w:cs="Book Antiqua"/>
          <w:color w:val="000000"/>
          <w:vertAlign w:val="superscript"/>
        </w:rPr>
        <w:t>38]</w:t>
      </w:r>
      <w:r w:rsidRPr="007F0B0F">
        <w:rPr>
          <w:rFonts w:ascii="Book Antiqua" w:eastAsia="Book Antiqua" w:hAnsi="Book Antiqua" w:cs="Book Antiqua"/>
          <w:color w:val="000000"/>
        </w:rPr>
        <w:t xml:space="preserve">. Garcia-Olmo </w:t>
      </w:r>
      <w:r w:rsidRPr="007F0B0F">
        <w:rPr>
          <w:rFonts w:ascii="Book Antiqua" w:eastAsia="Book Antiqua" w:hAnsi="Book Antiqua" w:cs="Book Antiqua"/>
          <w:i/>
          <w:iCs/>
          <w:color w:val="000000"/>
        </w:rPr>
        <w:t>et al</w:t>
      </w:r>
      <w:r w:rsidR="005059A4" w:rsidRPr="007F0B0F">
        <w:rPr>
          <w:rFonts w:ascii="Book Antiqua" w:eastAsia="Book Antiqua" w:hAnsi="Book Antiqua" w:cs="Book Antiqua"/>
          <w:iCs/>
          <w:color w:val="000000"/>
          <w:vertAlign w:val="superscript"/>
        </w:rPr>
        <w:t>[39]</w:t>
      </w:r>
      <w:r w:rsidRPr="007F0B0F">
        <w:rPr>
          <w:rFonts w:ascii="Book Antiqua" w:eastAsia="Book Antiqua" w:hAnsi="Book Antiqua" w:cs="Book Antiqua"/>
          <w:color w:val="000000"/>
          <w:vertAlign w:val="superscript"/>
        </w:rPr>
        <w:t xml:space="preserve"> </w:t>
      </w:r>
      <w:r w:rsidRPr="007F0B0F">
        <w:rPr>
          <w:rFonts w:ascii="Book Antiqua" w:eastAsia="Book Antiqua" w:hAnsi="Book Antiqua" w:cs="Book Antiqua"/>
          <w:color w:val="000000"/>
        </w:rPr>
        <w:t>observed high healing rates of 71% in complex fistulae when adipose-derived stem cells and fibrin glue were instilled into the fistula tract compared to 16% for simple fibrin glue administration and similar healing rates were observed in non-IBD and CD cohorts</w:t>
      </w:r>
      <w:r w:rsidRPr="007F0B0F">
        <w:rPr>
          <w:rFonts w:ascii="Book Antiqua" w:eastAsia="Book Antiqua" w:hAnsi="Book Antiqua" w:cs="Book Antiqua"/>
          <w:color w:val="000000"/>
          <w:vertAlign w:val="superscript"/>
        </w:rPr>
        <w:t>[39]</w:t>
      </w:r>
      <w:r w:rsidRPr="007F0B0F">
        <w:rPr>
          <w:rFonts w:ascii="Book Antiqua" w:eastAsia="Book Antiqua" w:hAnsi="Book Antiqua" w:cs="Book Antiqua"/>
          <w:color w:val="000000"/>
        </w:rPr>
        <w:t>. Therefore, stand-alone human mesenchymal stem cell therapy seems effective and safe in the treatment of refractory perianal fistulae in CD patients but needs further investigation</w:t>
      </w:r>
      <w:r w:rsidR="005059A4" w:rsidRPr="007F0B0F">
        <w:rPr>
          <w:rFonts w:ascii="Book Antiqua" w:eastAsia="Book Antiqua" w:hAnsi="Book Antiqua" w:cs="Book Antiqua"/>
          <w:color w:val="000000"/>
          <w:vertAlign w:val="superscript"/>
        </w:rPr>
        <w:t>[40,</w:t>
      </w:r>
      <w:r w:rsidRPr="007F0B0F">
        <w:rPr>
          <w:rFonts w:ascii="Book Antiqua" w:eastAsia="Book Antiqua" w:hAnsi="Book Antiqua" w:cs="Book Antiqua"/>
          <w:color w:val="000000"/>
          <w:vertAlign w:val="superscript"/>
        </w:rPr>
        <w:t>41]</w:t>
      </w:r>
      <w:r w:rsidRPr="007F0B0F">
        <w:rPr>
          <w:rFonts w:ascii="Book Antiqua" w:eastAsia="Book Antiqua" w:hAnsi="Book Antiqua" w:cs="Book Antiqua"/>
          <w:color w:val="000000"/>
        </w:rPr>
        <w:t>. Since long-term effects of mesenchymal stem cell transplantation remain unknown and treatment is expensive, the need for minimally invasive and economic therapies remains.</w:t>
      </w:r>
    </w:p>
    <w:p w14:paraId="025BFCD2"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Strengths of our study include a robust composite primary endpoint derived from clinical examination and patient reported outcomes which would be meaningful in clinical practice. Follow-up time was adequately long to exclude transient treatment effects. Further, our non-IBD cohort was sufficiently large, comprising 17 patients with a broad variety in epidemiological characteristics, as would be found in a real-world setting. The main limitation of our study is the small number of CD patients, limiting evaluation and statistical comparison of CD with non-IBD patients. Furthermore, data acquisition during follow-up was occasionally incomplete and a considerable amount of data for some secondary endpoints including quality of life are missing.</w:t>
      </w:r>
    </w:p>
    <w:bookmarkEnd w:id="39"/>
    <w:bookmarkEnd w:id="40"/>
    <w:p w14:paraId="1DFEA93B" w14:textId="77777777" w:rsidR="00A77B3E" w:rsidRPr="007F0B0F" w:rsidRDefault="00A77B3E" w:rsidP="007F0B0F">
      <w:pPr>
        <w:snapToGrid w:val="0"/>
        <w:spacing w:line="360" w:lineRule="auto"/>
        <w:jc w:val="both"/>
        <w:rPr>
          <w:rFonts w:ascii="Book Antiqua" w:hAnsi="Book Antiqua"/>
        </w:rPr>
      </w:pPr>
    </w:p>
    <w:p w14:paraId="4DAF04F7"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aps/>
          <w:color w:val="000000"/>
          <w:u w:val="single"/>
        </w:rPr>
        <w:t>CONCLUSION</w:t>
      </w:r>
    </w:p>
    <w:p w14:paraId="4E5E61FA" w14:textId="1ABB86B3" w:rsidR="00A77B3E" w:rsidRPr="007F0B0F" w:rsidRDefault="00CA658C" w:rsidP="007F0B0F">
      <w:pPr>
        <w:snapToGrid w:val="0"/>
        <w:spacing w:line="360" w:lineRule="auto"/>
        <w:jc w:val="both"/>
        <w:rPr>
          <w:rFonts w:ascii="Book Antiqua" w:hAnsi="Book Antiqua"/>
        </w:rPr>
      </w:pPr>
      <w:bookmarkStart w:id="41" w:name="OLE_LINK42"/>
      <w:r w:rsidRPr="007F0B0F">
        <w:rPr>
          <w:rFonts w:ascii="Book Antiqua" w:eastAsia="Book Antiqua" w:hAnsi="Book Antiqua" w:cs="Book Antiqua"/>
          <w:color w:val="000000"/>
        </w:rPr>
        <w:t xml:space="preserve">In summary, our study suggests fistulodesis to be a minimally invasive method with a low risk for complications but modest overall success rates. Selected patients with low tolerance for side effects might benefit from this therapeutic approach after individual assessment and discussion. According to our results, CD patients with mild symptoms (low PDAI) might benefit from fistulodesis; </w:t>
      </w:r>
      <w:r w:rsidR="005A69C5">
        <w:rPr>
          <w:rFonts w:ascii="Book Antiqua" w:eastAsia="Book Antiqua" w:hAnsi="Book Antiqua" w:cs="Book Antiqua"/>
          <w:color w:val="000000"/>
        </w:rPr>
        <w:t>H</w:t>
      </w:r>
      <w:r w:rsidRPr="007F0B0F">
        <w:rPr>
          <w:rFonts w:ascii="Book Antiqua" w:eastAsia="Book Antiqua" w:hAnsi="Book Antiqua" w:cs="Book Antiqua"/>
          <w:color w:val="000000"/>
        </w:rPr>
        <w:t>owever, this needs to be confirmed by future studies.</w:t>
      </w:r>
    </w:p>
    <w:bookmarkEnd w:id="41"/>
    <w:p w14:paraId="15E1A364" w14:textId="77777777" w:rsidR="00A77B3E" w:rsidRPr="007F0B0F" w:rsidRDefault="00A77B3E" w:rsidP="007F0B0F">
      <w:pPr>
        <w:snapToGrid w:val="0"/>
        <w:spacing w:line="360" w:lineRule="auto"/>
        <w:jc w:val="both"/>
        <w:rPr>
          <w:rFonts w:ascii="Book Antiqua" w:hAnsi="Book Antiqua"/>
        </w:rPr>
      </w:pPr>
    </w:p>
    <w:p w14:paraId="0C45F891"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aps/>
          <w:color w:val="000000"/>
          <w:u w:val="single"/>
        </w:rPr>
        <w:t>ARTICLE HIGHLIGHTS</w:t>
      </w:r>
    </w:p>
    <w:p w14:paraId="735D7FDB"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i/>
          <w:color w:val="000000"/>
        </w:rPr>
        <w:t>Research background</w:t>
      </w:r>
    </w:p>
    <w:p w14:paraId="64FEE2B4" w14:textId="77777777" w:rsidR="00A77B3E" w:rsidRPr="007F0B0F" w:rsidRDefault="00CA658C" w:rsidP="007F0B0F">
      <w:pPr>
        <w:snapToGrid w:val="0"/>
        <w:spacing w:line="360" w:lineRule="auto"/>
        <w:jc w:val="both"/>
        <w:rPr>
          <w:rFonts w:ascii="Book Antiqua" w:hAnsi="Book Antiqua"/>
        </w:rPr>
      </w:pPr>
      <w:bookmarkStart w:id="42" w:name="OLE_LINK43"/>
      <w:bookmarkStart w:id="43" w:name="OLE_LINK44"/>
      <w:r w:rsidRPr="007F0B0F">
        <w:rPr>
          <w:rFonts w:ascii="Book Antiqua" w:eastAsia="Book Antiqua" w:hAnsi="Book Antiqua" w:cs="Book Antiqua"/>
          <w:color w:val="000000"/>
        </w:rPr>
        <w:t>Perianal fistulae are frequent, yet poorly understood conditions occurring in otherwise healthy individuals, as well as in patients with Crohn’s disease (CD). A wide range of surgical treatment options including fibrin glue instillation exist, nevertheless, healing rates vary largely and are unsatisfying especially in patients with CD. There is an ongoing need to establish safe, economic and well-tolerated but highly effective treatment options for perianal fistulae.</w:t>
      </w:r>
    </w:p>
    <w:bookmarkEnd w:id="42"/>
    <w:bookmarkEnd w:id="43"/>
    <w:p w14:paraId="214BEDD5" w14:textId="77777777" w:rsidR="00A77B3E" w:rsidRPr="007F0B0F" w:rsidRDefault="00A77B3E" w:rsidP="007F0B0F">
      <w:pPr>
        <w:snapToGrid w:val="0"/>
        <w:spacing w:line="360" w:lineRule="auto"/>
        <w:jc w:val="both"/>
        <w:rPr>
          <w:rFonts w:ascii="Book Antiqua" w:hAnsi="Book Antiqua"/>
        </w:rPr>
      </w:pPr>
    </w:p>
    <w:p w14:paraId="78EFC111"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i/>
          <w:color w:val="000000"/>
        </w:rPr>
        <w:t>Research motivation</w:t>
      </w:r>
    </w:p>
    <w:p w14:paraId="20CEAE53" w14:textId="77777777" w:rsidR="00A77B3E" w:rsidRPr="007F0B0F" w:rsidRDefault="00CA658C" w:rsidP="007F0B0F">
      <w:pPr>
        <w:snapToGrid w:val="0"/>
        <w:spacing w:line="360" w:lineRule="auto"/>
        <w:jc w:val="both"/>
        <w:rPr>
          <w:rFonts w:ascii="Book Antiqua" w:hAnsi="Book Antiqua"/>
        </w:rPr>
      </w:pPr>
      <w:bookmarkStart w:id="44" w:name="OLE_LINK45"/>
      <w:bookmarkStart w:id="45" w:name="OLE_LINK46"/>
      <w:r w:rsidRPr="007F0B0F">
        <w:rPr>
          <w:rFonts w:ascii="Book Antiqua" w:eastAsia="Book Antiqua" w:hAnsi="Book Antiqua" w:cs="Book Antiqua"/>
          <w:color w:val="000000"/>
        </w:rPr>
        <w:t>To develop an effective minimally invasive fistula treatment.</w:t>
      </w:r>
    </w:p>
    <w:bookmarkEnd w:id="44"/>
    <w:bookmarkEnd w:id="45"/>
    <w:p w14:paraId="34027773" w14:textId="77777777" w:rsidR="00A77B3E" w:rsidRPr="007F0B0F" w:rsidRDefault="00A77B3E" w:rsidP="007F0B0F">
      <w:pPr>
        <w:snapToGrid w:val="0"/>
        <w:spacing w:line="360" w:lineRule="auto"/>
        <w:jc w:val="both"/>
        <w:rPr>
          <w:rFonts w:ascii="Book Antiqua" w:hAnsi="Book Antiqua"/>
        </w:rPr>
      </w:pPr>
    </w:p>
    <w:p w14:paraId="5DAD53B0"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i/>
          <w:color w:val="000000"/>
        </w:rPr>
        <w:t>Research objectives</w:t>
      </w:r>
    </w:p>
    <w:p w14:paraId="5D7069C4" w14:textId="77777777" w:rsidR="00A77B3E" w:rsidRPr="007F0B0F" w:rsidRDefault="00CA658C" w:rsidP="007F0B0F">
      <w:pPr>
        <w:snapToGrid w:val="0"/>
        <w:spacing w:line="360" w:lineRule="auto"/>
        <w:jc w:val="both"/>
        <w:rPr>
          <w:rFonts w:ascii="Book Antiqua" w:hAnsi="Book Antiqua"/>
        </w:rPr>
      </w:pPr>
      <w:bookmarkStart w:id="46" w:name="OLE_LINK47"/>
      <w:bookmarkStart w:id="47" w:name="OLE_LINK48"/>
      <w:r w:rsidRPr="007F0B0F">
        <w:rPr>
          <w:rFonts w:ascii="Book Antiqua" w:eastAsia="Book Antiqua" w:hAnsi="Book Antiqua" w:cs="Book Antiqua"/>
          <w:color w:val="000000"/>
        </w:rPr>
        <w:t>To establish safety and effectiveness of fistulodesis, a combined medical-surgical treatment option for perianal fistulae.</w:t>
      </w:r>
    </w:p>
    <w:bookmarkEnd w:id="46"/>
    <w:bookmarkEnd w:id="47"/>
    <w:p w14:paraId="3C967472" w14:textId="77777777" w:rsidR="00A77B3E" w:rsidRPr="007F0B0F" w:rsidRDefault="00A77B3E" w:rsidP="007F0B0F">
      <w:pPr>
        <w:snapToGrid w:val="0"/>
        <w:spacing w:line="360" w:lineRule="auto"/>
        <w:jc w:val="both"/>
        <w:rPr>
          <w:rFonts w:ascii="Book Antiqua" w:hAnsi="Book Antiqua"/>
        </w:rPr>
      </w:pPr>
    </w:p>
    <w:p w14:paraId="72FE16FF"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i/>
          <w:color w:val="000000"/>
        </w:rPr>
        <w:t>Research methods</w:t>
      </w:r>
    </w:p>
    <w:p w14:paraId="18C52FD2" w14:textId="77777777" w:rsidR="00A77B3E" w:rsidRPr="007F0B0F" w:rsidRDefault="00CA658C" w:rsidP="007F0B0F">
      <w:pPr>
        <w:snapToGrid w:val="0"/>
        <w:spacing w:line="360" w:lineRule="auto"/>
        <w:jc w:val="both"/>
        <w:rPr>
          <w:rFonts w:ascii="Book Antiqua" w:hAnsi="Book Antiqua"/>
        </w:rPr>
      </w:pPr>
      <w:bookmarkStart w:id="48" w:name="OLE_LINK49"/>
      <w:bookmarkStart w:id="49" w:name="OLE_LINK50"/>
      <w:r w:rsidRPr="007F0B0F">
        <w:rPr>
          <w:rFonts w:ascii="Book Antiqua" w:eastAsia="Book Antiqua" w:hAnsi="Book Antiqua" w:cs="Book Antiqua"/>
          <w:color w:val="000000"/>
        </w:rPr>
        <w:t>Non-CD and CD patients with perianal fistula were treated with fistulodesis in an open label uncontrolled study. Patients with complex fistula, &gt;</w:t>
      </w:r>
      <w:r w:rsidR="005059A4"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2 fistula openings and active CD were excluded. Fistulodesis comprises flushing of the fistula tract with acetylcysteine and doxycycline, instillation of fibrin glue into the fistula tract and surgical closure of the internal opening. The primary endpoint of our study was fistula healing, defined as macroscopic and clinical fistula closure and lack of patient reported fistula symptoms at 24 wk.</w:t>
      </w:r>
    </w:p>
    <w:bookmarkEnd w:id="48"/>
    <w:bookmarkEnd w:id="49"/>
    <w:p w14:paraId="5FC85671" w14:textId="77777777" w:rsidR="00A77B3E" w:rsidRPr="007F0B0F" w:rsidRDefault="00A77B3E" w:rsidP="007F0B0F">
      <w:pPr>
        <w:snapToGrid w:val="0"/>
        <w:spacing w:line="360" w:lineRule="auto"/>
        <w:jc w:val="both"/>
        <w:rPr>
          <w:rFonts w:ascii="Book Antiqua" w:hAnsi="Book Antiqua"/>
        </w:rPr>
      </w:pPr>
    </w:p>
    <w:p w14:paraId="23A90E03"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i/>
          <w:color w:val="000000"/>
        </w:rPr>
        <w:t>Research results</w:t>
      </w:r>
    </w:p>
    <w:p w14:paraId="278B3E37" w14:textId="77777777" w:rsidR="00A77B3E" w:rsidRPr="007F0B0F" w:rsidRDefault="00CA658C" w:rsidP="007F0B0F">
      <w:pPr>
        <w:snapToGrid w:val="0"/>
        <w:spacing w:line="360" w:lineRule="auto"/>
        <w:jc w:val="both"/>
        <w:rPr>
          <w:rFonts w:ascii="Book Antiqua" w:hAnsi="Book Antiqua"/>
        </w:rPr>
      </w:pPr>
      <w:bookmarkStart w:id="50" w:name="OLE_LINK51"/>
      <w:bookmarkStart w:id="51" w:name="OLE_LINK52"/>
      <w:r w:rsidRPr="007F0B0F">
        <w:rPr>
          <w:rFonts w:ascii="Book Antiqua" w:eastAsia="Book Antiqua" w:hAnsi="Book Antiqua" w:cs="Book Antiqua"/>
          <w:color w:val="000000"/>
        </w:rPr>
        <w:t xml:space="preserve">Fistulodesis was tested in 17 non-CD and 3 CD patients. Fistula healing was observed in 30% of patients after 24 wk and healed fistulae remained closed for </w:t>
      </w:r>
      <w:r w:rsidRPr="007F0B0F">
        <w:rPr>
          <w:rFonts w:ascii="Book Antiqua" w:eastAsia="Book Antiqua" w:hAnsi="Book Antiqua" w:cs="Book Antiqua"/>
          <w:color w:val="000000"/>
        </w:rPr>
        <w:lastRenderedPageBreak/>
        <w:t>more than one year after treatment. No severe side effects were observed. Low clinical fistula activity with a low perianal disease activity index was associated with fistula healing.</w:t>
      </w:r>
    </w:p>
    <w:bookmarkEnd w:id="50"/>
    <w:bookmarkEnd w:id="51"/>
    <w:p w14:paraId="23DE9581" w14:textId="77777777" w:rsidR="00A77B3E" w:rsidRPr="007F0B0F" w:rsidRDefault="00A77B3E" w:rsidP="007F0B0F">
      <w:pPr>
        <w:snapToGrid w:val="0"/>
        <w:spacing w:line="360" w:lineRule="auto"/>
        <w:jc w:val="both"/>
        <w:rPr>
          <w:rFonts w:ascii="Book Antiqua" w:hAnsi="Book Antiqua"/>
        </w:rPr>
      </w:pPr>
    </w:p>
    <w:p w14:paraId="2D1A4151"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i/>
          <w:color w:val="000000"/>
        </w:rPr>
        <w:t>Research conclusions</w:t>
      </w:r>
    </w:p>
    <w:p w14:paraId="634896E4" w14:textId="77777777" w:rsidR="00A77B3E" w:rsidRPr="007F0B0F" w:rsidRDefault="00CA658C" w:rsidP="007F0B0F">
      <w:pPr>
        <w:snapToGrid w:val="0"/>
        <w:spacing w:line="360" w:lineRule="auto"/>
        <w:jc w:val="both"/>
        <w:rPr>
          <w:rFonts w:ascii="Book Antiqua" w:hAnsi="Book Antiqua"/>
        </w:rPr>
      </w:pPr>
      <w:bookmarkStart w:id="52" w:name="OLE_LINK53"/>
      <w:bookmarkStart w:id="53" w:name="OLE_LINK54"/>
      <w:r w:rsidRPr="007F0B0F">
        <w:rPr>
          <w:rFonts w:ascii="Book Antiqua" w:eastAsia="Book Antiqua" w:hAnsi="Book Antiqua" w:cs="Book Antiqua"/>
          <w:color w:val="000000"/>
        </w:rPr>
        <w:t>Fistulodesis is a minimally invasive and safe treatment option for perianal fistulae with limited effectiveness, comparable to other minimally invasive treatment options.</w:t>
      </w:r>
    </w:p>
    <w:bookmarkEnd w:id="52"/>
    <w:bookmarkEnd w:id="53"/>
    <w:p w14:paraId="72D19A31" w14:textId="77777777" w:rsidR="00A77B3E" w:rsidRPr="007F0B0F" w:rsidRDefault="00A77B3E" w:rsidP="007F0B0F">
      <w:pPr>
        <w:snapToGrid w:val="0"/>
        <w:spacing w:line="360" w:lineRule="auto"/>
        <w:jc w:val="both"/>
        <w:rPr>
          <w:rFonts w:ascii="Book Antiqua" w:hAnsi="Book Antiqua"/>
        </w:rPr>
      </w:pPr>
    </w:p>
    <w:p w14:paraId="6E15432F"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i/>
          <w:color w:val="000000"/>
        </w:rPr>
        <w:t>Research perspectives</w:t>
      </w:r>
    </w:p>
    <w:p w14:paraId="40BF45CE" w14:textId="77777777" w:rsidR="00A77B3E" w:rsidRPr="007F0B0F" w:rsidRDefault="00CA658C" w:rsidP="007F0B0F">
      <w:pPr>
        <w:snapToGrid w:val="0"/>
        <w:spacing w:line="360" w:lineRule="auto"/>
        <w:jc w:val="both"/>
        <w:rPr>
          <w:rFonts w:ascii="Book Antiqua" w:hAnsi="Book Antiqua"/>
        </w:rPr>
      </w:pPr>
      <w:bookmarkStart w:id="54" w:name="OLE_LINK55"/>
      <w:bookmarkStart w:id="55" w:name="OLE_LINK56"/>
      <w:r w:rsidRPr="007F0B0F">
        <w:rPr>
          <w:rFonts w:ascii="Book Antiqua" w:eastAsia="Book Antiqua" w:hAnsi="Book Antiqua" w:cs="Book Antiqua"/>
          <w:color w:val="000000"/>
        </w:rPr>
        <w:t>Effectiveness of fistulodesis in CD patients could be tested in a future dedicated clinical trial. Our stringent composite primary endpoint of fistula healing, could be useful in future clinical studies for fistula treatment.</w:t>
      </w:r>
    </w:p>
    <w:bookmarkEnd w:id="54"/>
    <w:bookmarkEnd w:id="55"/>
    <w:p w14:paraId="04E5C0B0" w14:textId="77777777" w:rsidR="00A77B3E" w:rsidRPr="007F0B0F" w:rsidRDefault="00A77B3E" w:rsidP="007F0B0F">
      <w:pPr>
        <w:snapToGrid w:val="0"/>
        <w:spacing w:line="360" w:lineRule="auto"/>
        <w:jc w:val="both"/>
        <w:rPr>
          <w:rFonts w:ascii="Book Antiqua" w:hAnsi="Book Antiqua"/>
        </w:rPr>
      </w:pPr>
    </w:p>
    <w:p w14:paraId="7D1DD309"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REFERENCES</w:t>
      </w:r>
    </w:p>
    <w:p w14:paraId="7C35FBD3"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 </w:t>
      </w:r>
      <w:r w:rsidRPr="007F0B0F">
        <w:rPr>
          <w:rFonts w:ascii="Book Antiqua" w:hAnsi="Book Antiqua"/>
          <w:b/>
          <w:bCs/>
        </w:rPr>
        <w:t>Leenhardt R</w:t>
      </w:r>
      <w:r w:rsidRPr="007F0B0F">
        <w:rPr>
          <w:rFonts w:ascii="Book Antiqua" w:hAnsi="Book Antiqua"/>
        </w:rPr>
        <w:t xml:space="preserve">, Rivière P, Papazian P, Nion-Larmurier I, Girard G, Laharie D, Marteau P. Sexual health and fertility for individuals with inflammatory bowel disease. </w:t>
      </w:r>
      <w:r w:rsidRPr="007F0B0F">
        <w:rPr>
          <w:rFonts w:ascii="Book Antiqua" w:hAnsi="Book Antiqua"/>
          <w:i/>
          <w:iCs/>
        </w:rPr>
        <w:t>World J Gastroenterol</w:t>
      </w:r>
      <w:r w:rsidRPr="007F0B0F">
        <w:rPr>
          <w:rFonts w:ascii="Book Antiqua" w:hAnsi="Book Antiqua"/>
        </w:rPr>
        <w:t xml:space="preserve"> 2019; </w:t>
      </w:r>
      <w:r w:rsidRPr="007F0B0F">
        <w:rPr>
          <w:rFonts w:ascii="Book Antiqua" w:hAnsi="Book Antiqua"/>
          <w:b/>
          <w:bCs/>
        </w:rPr>
        <w:t>25</w:t>
      </w:r>
      <w:r w:rsidRPr="007F0B0F">
        <w:rPr>
          <w:rFonts w:ascii="Book Antiqua" w:hAnsi="Book Antiqua"/>
        </w:rPr>
        <w:t>: 5423-5433 [PMID: 31576090 DOI: 10.3748/wjg.v25.i36.5423]</w:t>
      </w:r>
    </w:p>
    <w:p w14:paraId="3E0ABBB9"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 </w:t>
      </w:r>
      <w:r w:rsidRPr="007F0B0F">
        <w:rPr>
          <w:rFonts w:ascii="Book Antiqua" w:hAnsi="Book Antiqua"/>
          <w:b/>
          <w:bCs/>
        </w:rPr>
        <w:t>Owen HA</w:t>
      </w:r>
      <w:r w:rsidRPr="007F0B0F">
        <w:rPr>
          <w:rFonts w:ascii="Book Antiqua" w:hAnsi="Book Antiqua"/>
        </w:rPr>
        <w:t xml:space="preserve">, Buchanan GN, Schizas A, Cohen R, Williams AB. Quality of life with anal fistula. </w:t>
      </w:r>
      <w:r w:rsidRPr="007F0B0F">
        <w:rPr>
          <w:rFonts w:ascii="Book Antiqua" w:hAnsi="Book Antiqua"/>
          <w:i/>
          <w:iCs/>
        </w:rPr>
        <w:t>Ann R Coll Surg Engl</w:t>
      </w:r>
      <w:r w:rsidRPr="007F0B0F">
        <w:rPr>
          <w:rFonts w:ascii="Book Antiqua" w:hAnsi="Book Antiqua"/>
        </w:rPr>
        <w:t xml:space="preserve"> 2016; </w:t>
      </w:r>
      <w:r w:rsidRPr="007F0B0F">
        <w:rPr>
          <w:rFonts w:ascii="Book Antiqua" w:hAnsi="Book Antiqua"/>
          <w:b/>
          <w:bCs/>
        </w:rPr>
        <w:t>98</w:t>
      </w:r>
      <w:r w:rsidRPr="007F0B0F">
        <w:rPr>
          <w:rFonts w:ascii="Book Antiqua" w:hAnsi="Book Antiqua"/>
        </w:rPr>
        <w:t>: 334-338 [PMID: 27087327 DOI: 10.1308/rcsann.2016.0136]</w:t>
      </w:r>
    </w:p>
    <w:p w14:paraId="3CD07B9A"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 </w:t>
      </w:r>
      <w:r w:rsidRPr="007F0B0F">
        <w:rPr>
          <w:rFonts w:ascii="Book Antiqua" w:hAnsi="Book Antiqua"/>
          <w:b/>
          <w:bCs/>
        </w:rPr>
        <w:t>Dudukgian H</w:t>
      </w:r>
      <w:r w:rsidRPr="007F0B0F">
        <w:rPr>
          <w:rFonts w:ascii="Book Antiqua" w:hAnsi="Book Antiqua"/>
        </w:rPr>
        <w:t xml:space="preserve">, Abcarian H. Why do we have so much trouble treating anal fistula? </w:t>
      </w:r>
      <w:r w:rsidRPr="007F0B0F">
        <w:rPr>
          <w:rFonts w:ascii="Book Antiqua" w:hAnsi="Book Antiqua"/>
          <w:i/>
          <w:iCs/>
        </w:rPr>
        <w:t>World J Gastroenterol</w:t>
      </w:r>
      <w:r w:rsidRPr="007F0B0F">
        <w:rPr>
          <w:rFonts w:ascii="Book Antiqua" w:hAnsi="Book Antiqua"/>
        </w:rPr>
        <w:t xml:space="preserve"> 2011; </w:t>
      </w:r>
      <w:r w:rsidRPr="007F0B0F">
        <w:rPr>
          <w:rFonts w:ascii="Book Antiqua" w:hAnsi="Book Antiqua"/>
          <w:b/>
          <w:bCs/>
        </w:rPr>
        <w:t>17</w:t>
      </w:r>
      <w:r w:rsidRPr="007F0B0F">
        <w:rPr>
          <w:rFonts w:ascii="Book Antiqua" w:hAnsi="Book Antiqua"/>
        </w:rPr>
        <w:t>: 3292-3296 [PMID: 21876616 DOI: 10.3748/wjg.v17.i28.3292]</w:t>
      </w:r>
    </w:p>
    <w:p w14:paraId="2522A328"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4 </w:t>
      </w:r>
      <w:r w:rsidRPr="007F0B0F">
        <w:rPr>
          <w:rFonts w:ascii="Book Antiqua" w:hAnsi="Book Antiqua"/>
          <w:b/>
          <w:bCs/>
        </w:rPr>
        <w:t>de Groof EJ</w:t>
      </w:r>
      <w:r w:rsidRPr="007F0B0F">
        <w:rPr>
          <w:rFonts w:ascii="Book Antiqua" w:hAnsi="Book Antiqua"/>
        </w:rPr>
        <w:t xml:space="preserve">, Cabral VN, Buskens CJ, Morton DG, Hahnloser D, Bemelman WA; research committee of the European Society of Coloproctology. Systematic review of evidence and consensus on perianal fistula: an analysis of national and </w:t>
      </w:r>
      <w:r w:rsidRPr="007F0B0F">
        <w:rPr>
          <w:rFonts w:ascii="Book Antiqua" w:hAnsi="Book Antiqua"/>
        </w:rPr>
        <w:lastRenderedPageBreak/>
        <w:t xml:space="preserve">international guidelines. </w:t>
      </w:r>
      <w:r w:rsidRPr="007F0B0F">
        <w:rPr>
          <w:rFonts w:ascii="Book Antiqua" w:hAnsi="Book Antiqua"/>
          <w:i/>
          <w:iCs/>
        </w:rPr>
        <w:t>Colorectal Dis</w:t>
      </w:r>
      <w:r w:rsidRPr="007F0B0F">
        <w:rPr>
          <w:rFonts w:ascii="Book Antiqua" w:hAnsi="Book Antiqua"/>
        </w:rPr>
        <w:t xml:space="preserve"> 2016; </w:t>
      </w:r>
      <w:r w:rsidRPr="007F0B0F">
        <w:rPr>
          <w:rFonts w:ascii="Book Antiqua" w:hAnsi="Book Antiqua"/>
          <w:b/>
          <w:bCs/>
        </w:rPr>
        <w:t>18</w:t>
      </w:r>
      <w:r w:rsidRPr="007F0B0F">
        <w:rPr>
          <w:rFonts w:ascii="Book Antiqua" w:hAnsi="Book Antiqua"/>
        </w:rPr>
        <w:t>: O119-O134 [PMID: 26847796 DOI: 10.1111/codi.13286]</w:t>
      </w:r>
    </w:p>
    <w:p w14:paraId="3CD9F1B3"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5 </w:t>
      </w:r>
      <w:r w:rsidRPr="007F0B0F">
        <w:rPr>
          <w:rFonts w:ascii="Book Antiqua" w:hAnsi="Book Antiqua"/>
          <w:b/>
          <w:bCs/>
        </w:rPr>
        <w:t>Ommer A</w:t>
      </w:r>
      <w:r w:rsidRPr="007F0B0F">
        <w:rPr>
          <w:rFonts w:ascii="Book Antiqua" w:hAnsi="Book Antiqua"/>
        </w:rPr>
        <w:t xml:space="preserve">, Herold A, Berg E, Fürst A, Sailer M, Schiedeck T. German S3 guideline: anal abscess. </w:t>
      </w:r>
      <w:r w:rsidRPr="007F0B0F">
        <w:rPr>
          <w:rFonts w:ascii="Book Antiqua" w:hAnsi="Book Antiqua"/>
          <w:i/>
          <w:iCs/>
        </w:rPr>
        <w:t>Int J Colorectal Dis</w:t>
      </w:r>
      <w:r w:rsidRPr="007F0B0F">
        <w:rPr>
          <w:rFonts w:ascii="Book Antiqua" w:hAnsi="Book Antiqua"/>
        </w:rPr>
        <w:t xml:space="preserve"> 2012; </w:t>
      </w:r>
      <w:r w:rsidRPr="007F0B0F">
        <w:rPr>
          <w:rFonts w:ascii="Book Antiqua" w:hAnsi="Book Antiqua"/>
          <w:b/>
          <w:bCs/>
        </w:rPr>
        <w:t>27</w:t>
      </w:r>
      <w:r w:rsidRPr="007F0B0F">
        <w:rPr>
          <w:rFonts w:ascii="Book Antiqua" w:hAnsi="Book Antiqua"/>
        </w:rPr>
        <w:t>: 831-837 [PMID: 22362468 DOI: 10.1007/s00384-012-1430-x]</w:t>
      </w:r>
    </w:p>
    <w:p w14:paraId="101A3466"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6 </w:t>
      </w:r>
      <w:r w:rsidRPr="007F0B0F">
        <w:rPr>
          <w:rFonts w:ascii="Book Antiqua" w:hAnsi="Book Antiqua"/>
          <w:b/>
          <w:bCs/>
        </w:rPr>
        <w:t>Lee MJ</w:t>
      </w:r>
      <w:r w:rsidRPr="007F0B0F">
        <w:rPr>
          <w:rFonts w:ascii="Book Antiqua" w:hAnsi="Book Antiqua"/>
        </w:rPr>
        <w:t xml:space="preserve">, Parker CE, Taylor SR, Guizzetti L, Feagan BG, Lobo AJ, Jairath V. Efficacy of Medical Therapies for Fistulizing Crohn's Disease: Systematic Review and Meta-analysis. </w:t>
      </w:r>
      <w:r w:rsidRPr="007F0B0F">
        <w:rPr>
          <w:rFonts w:ascii="Book Antiqua" w:hAnsi="Book Antiqua"/>
          <w:i/>
          <w:iCs/>
        </w:rPr>
        <w:t>Clin Gastroenterol Hepatol</w:t>
      </w:r>
      <w:r w:rsidRPr="007F0B0F">
        <w:rPr>
          <w:rFonts w:ascii="Book Antiqua" w:hAnsi="Book Antiqua"/>
        </w:rPr>
        <w:t xml:space="preserve"> 2018; </w:t>
      </w:r>
      <w:r w:rsidRPr="007F0B0F">
        <w:rPr>
          <w:rFonts w:ascii="Book Antiqua" w:hAnsi="Book Antiqua"/>
          <w:b/>
          <w:bCs/>
        </w:rPr>
        <w:t>16</w:t>
      </w:r>
      <w:r w:rsidRPr="007F0B0F">
        <w:rPr>
          <w:rFonts w:ascii="Book Antiqua" w:hAnsi="Book Antiqua"/>
        </w:rPr>
        <w:t>: 1879-1892 [PMID: 29374617 DOI: 10.1016/j.cgh.2018.01.030]</w:t>
      </w:r>
    </w:p>
    <w:p w14:paraId="5858F4C3"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7 </w:t>
      </w:r>
      <w:r w:rsidRPr="007F0B0F">
        <w:rPr>
          <w:rFonts w:ascii="Book Antiqua" w:hAnsi="Book Antiqua"/>
          <w:b/>
          <w:bCs/>
        </w:rPr>
        <w:t>Panes J</w:t>
      </w:r>
      <w:r w:rsidRPr="007F0B0F">
        <w:rPr>
          <w:rFonts w:ascii="Book Antiqua" w:hAnsi="Book Antiqua"/>
        </w:rPr>
        <w:t xml:space="preserve">, Reinisch W, Rupniewska E, Khan S, Forns J, Khalid JM, Bojic D, Patel H. Burden and outcomes for complex perianal fistulas in Crohn's disease: Systematic review. </w:t>
      </w:r>
      <w:r w:rsidRPr="007F0B0F">
        <w:rPr>
          <w:rFonts w:ascii="Book Antiqua" w:hAnsi="Book Antiqua"/>
          <w:i/>
          <w:iCs/>
        </w:rPr>
        <w:t>World J Gastroenterol</w:t>
      </w:r>
      <w:r w:rsidRPr="007F0B0F">
        <w:rPr>
          <w:rFonts w:ascii="Book Antiqua" w:hAnsi="Book Antiqua"/>
        </w:rPr>
        <w:t xml:space="preserve"> 2018; </w:t>
      </w:r>
      <w:r w:rsidRPr="007F0B0F">
        <w:rPr>
          <w:rFonts w:ascii="Book Antiqua" w:hAnsi="Book Antiqua"/>
          <w:b/>
          <w:bCs/>
        </w:rPr>
        <w:t>24</w:t>
      </w:r>
      <w:r w:rsidRPr="007F0B0F">
        <w:rPr>
          <w:rFonts w:ascii="Book Antiqua" w:hAnsi="Book Antiqua"/>
        </w:rPr>
        <w:t>: 4821-4834 [PMID: 30479468 DOI: 10.3748/wjg.v24.i42.4821]</w:t>
      </w:r>
    </w:p>
    <w:p w14:paraId="67B2B028"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8 </w:t>
      </w:r>
      <w:r w:rsidRPr="007F0B0F">
        <w:rPr>
          <w:rFonts w:ascii="Book Antiqua" w:hAnsi="Book Antiqua"/>
          <w:b/>
          <w:bCs/>
        </w:rPr>
        <w:t>Yassin NA</w:t>
      </w:r>
      <w:r w:rsidRPr="007F0B0F">
        <w:rPr>
          <w:rFonts w:ascii="Book Antiqua" w:hAnsi="Book Antiqua"/>
        </w:rPr>
        <w:t xml:space="preserve">, Askari A, Warusavitarne J, Faiz OD, Athanasiou T, Phillips RK, Hart AL. Systematic review: the combined surgical and medical treatment of fistulising perianal Crohn's disease. </w:t>
      </w:r>
      <w:r w:rsidRPr="007F0B0F">
        <w:rPr>
          <w:rFonts w:ascii="Book Antiqua" w:hAnsi="Book Antiqua"/>
          <w:i/>
          <w:iCs/>
        </w:rPr>
        <w:t>Aliment Pharmacol Ther</w:t>
      </w:r>
      <w:r w:rsidRPr="007F0B0F">
        <w:rPr>
          <w:rFonts w:ascii="Book Antiqua" w:hAnsi="Book Antiqua"/>
        </w:rPr>
        <w:t xml:space="preserve"> 2014; </w:t>
      </w:r>
      <w:r w:rsidRPr="007F0B0F">
        <w:rPr>
          <w:rFonts w:ascii="Book Antiqua" w:hAnsi="Book Antiqua"/>
          <w:b/>
          <w:bCs/>
        </w:rPr>
        <w:t>40</w:t>
      </w:r>
      <w:r w:rsidRPr="007F0B0F">
        <w:rPr>
          <w:rFonts w:ascii="Book Antiqua" w:hAnsi="Book Antiqua"/>
        </w:rPr>
        <w:t>: 741-749 [PMID: 25115149 DOI: 10.1111/apt.12906]</w:t>
      </w:r>
    </w:p>
    <w:p w14:paraId="4D1CEE22"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9 </w:t>
      </w:r>
      <w:r w:rsidRPr="007F0B0F">
        <w:rPr>
          <w:rFonts w:ascii="Book Antiqua" w:hAnsi="Book Antiqua"/>
          <w:b/>
          <w:bCs/>
        </w:rPr>
        <w:t>Lee MJ</w:t>
      </w:r>
      <w:r w:rsidRPr="007F0B0F">
        <w:rPr>
          <w:rFonts w:ascii="Book Antiqua" w:hAnsi="Book Antiqua"/>
        </w:rPr>
        <w:t xml:space="preserve">, Brown SR, Fearnhead NS, Hart A, Lobo AJ; PCD Collaborators. How are we managing fistulating perianal Crohn's disease? Results of a national survey of consultant gastroenterologists. </w:t>
      </w:r>
      <w:r w:rsidRPr="007F0B0F">
        <w:rPr>
          <w:rFonts w:ascii="Book Antiqua" w:hAnsi="Book Antiqua"/>
          <w:i/>
          <w:iCs/>
        </w:rPr>
        <w:t>Frontline Gastroenterol</w:t>
      </w:r>
      <w:r w:rsidRPr="007F0B0F">
        <w:rPr>
          <w:rFonts w:ascii="Book Antiqua" w:hAnsi="Book Antiqua"/>
        </w:rPr>
        <w:t xml:space="preserve"> 2018; </w:t>
      </w:r>
      <w:r w:rsidRPr="007F0B0F">
        <w:rPr>
          <w:rFonts w:ascii="Book Antiqua" w:hAnsi="Book Antiqua"/>
          <w:b/>
          <w:bCs/>
        </w:rPr>
        <w:t>9</w:t>
      </w:r>
      <w:r w:rsidRPr="007F0B0F">
        <w:rPr>
          <w:rFonts w:ascii="Book Antiqua" w:hAnsi="Book Antiqua"/>
        </w:rPr>
        <w:t>: 16-22 [PMID: 29484156 DOI: 10.1136/flgastro-2017-100866]</w:t>
      </w:r>
    </w:p>
    <w:p w14:paraId="69E87500"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10 </w:t>
      </w:r>
      <w:r w:rsidRPr="007F0B0F">
        <w:rPr>
          <w:rFonts w:ascii="Book Antiqua" w:hAnsi="Book Antiqua"/>
          <w:b/>
          <w:bCs/>
        </w:rPr>
        <w:t>Gecse KB</w:t>
      </w:r>
      <w:r w:rsidRPr="007F0B0F">
        <w:rPr>
          <w:rFonts w:ascii="Book Antiqua" w:hAnsi="Book Antiqua"/>
        </w:rPr>
        <w:t xml:space="preserve">, Sebastian S, Hertogh Gd, Yassin NA, Kotze PG, Reinisch W, Spinelli A, Koutroubakis IE, Katsanos KH, Hart A, van den Brink GR, Rogler G, Bemelman WA. Results of the Fifth Scientific Workshop of the ECCO [II]: Clinical Aspects of Perianal Fistulising Crohn's Disease-the Unmet Needs. </w:t>
      </w:r>
      <w:r w:rsidRPr="007F0B0F">
        <w:rPr>
          <w:rFonts w:ascii="Book Antiqua" w:hAnsi="Book Antiqua"/>
          <w:i/>
          <w:iCs/>
        </w:rPr>
        <w:t>J Crohns Colitis</w:t>
      </w:r>
      <w:r w:rsidRPr="007F0B0F">
        <w:rPr>
          <w:rFonts w:ascii="Book Antiqua" w:hAnsi="Book Antiqua"/>
        </w:rPr>
        <w:t xml:space="preserve"> 2016; </w:t>
      </w:r>
      <w:r w:rsidRPr="007F0B0F">
        <w:rPr>
          <w:rFonts w:ascii="Book Antiqua" w:hAnsi="Book Antiqua"/>
          <w:b/>
          <w:bCs/>
        </w:rPr>
        <w:t>10</w:t>
      </w:r>
      <w:r w:rsidRPr="007F0B0F">
        <w:rPr>
          <w:rFonts w:ascii="Book Antiqua" w:hAnsi="Book Antiqua"/>
        </w:rPr>
        <w:t>: 758-765 [PMID: 26826183 DOI: 10.1093/ecco-jcc/jjw039]</w:t>
      </w:r>
    </w:p>
    <w:p w14:paraId="15DD7B5C"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11 </w:t>
      </w:r>
      <w:r w:rsidRPr="007F0B0F">
        <w:rPr>
          <w:rFonts w:ascii="Book Antiqua" w:hAnsi="Book Antiqua"/>
          <w:b/>
          <w:bCs/>
        </w:rPr>
        <w:t>Lopez N</w:t>
      </w:r>
      <w:r w:rsidRPr="007F0B0F">
        <w:rPr>
          <w:rFonts w:ascii="Book Antiqua" w:hAnsi="Book Antiqua"/>
        </w:rPr>
        <w:t xml:space="preserve">, Ramamoorthy S, Sandborn WJ. Recent advances in the management of perianal fistulizing Crohn's disease: lessons for the clinic. </w:t>
      </w:r>
      <w:r w:rsidRPr="007F0B0F">
        <w:rPr>
          <w:rFonts w:ascii="Book Antiqua" w:hAnsi="Book Antiqua"/>
          <w:i/>
          <w:iCs/>
        </w:rPr>
        <w:t xml:space="preserve">Expert Rev </w:t>
      </w:r>
      <w:r w:rsidRPr="007F0B0F">
        <w:rPr>
          <w:rFonts w:ascii="Book Antiqua" w:hAnsi="Book Antiqua"/>
          <w:i/>
          <w:iCs/>
        </w:rPr>
        <w:lastRenderedPageBreak/>
        <w:t>Gastroenterol Hepatol</w:t>
      </w:r>
      <w:r w:rsidRPr="007F0B0F">
        <w:rPr>
          <w:rFonts w:ascii="Book Antiqua" w:hAnsi="Book Antiqua"/>
        </w:rPr>
        <w:t xml:space="preserve"> 2019; </w:t>
      </w:r>
      <w:r w:rsidRPr="007F0B0F">
        <w:rPr>
          <w:rFonts w:ascii="Book Antiqua" w:hAnsi="Book Antiqua"/>
          <w:b/>
          <w:bCs/>
        </w:rPr>
        <w:t>13</w:t>
      </w:r>
      <w:r w:rsidRPr="007F0B0F">
        <w:rPr>
          <w:rFonts w:ascii="Book Antiqua" w:hAnsi="Book Antiqua"/>
        </w:rPr>
        <w:t>: 563-577 [PMID: 31023087 DOI: 10.1080/17474124.2019.1608818]</w:t>
      </w:r>
    </w:p>
    <w:p w14:paraId="6CD243A6"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12 </w:t>
      </w:r>
      <w:r w:rsidRPr="007F0B0F">
        <w:rPr>
          <w:rFonts w:ascii="Book Antiqua" w:hAnsi="Book Antiqua"/>
          <w:b/>
          <w:bCs/>
        </w:rPr>
        <w:t>Kotze PG</w:t>
      </w:r>
      <w:r w:rsidRPr="007F0B0F">
        <w:rPr>
          <w:rFonts w:ascii="Book Antiqua" w:hAnsi="Book Antiqua"/>
        </w:rPr>
        <w:t xml:space="preserve">, Shen B, Lightner A, Yamamoto T, Spinelli A, Ghosh S, Panaccione R. Modern management of perianal fistulas in Crohn's disease: future directions. </w:t>
      </w:r>
      <w:r w:rsidRPr="007F0B0F">
        <w:rPr>
          <w:rFonts w:ascii="Book Antiqua" w:hAnsi="Book Antiqua"/>
          <w:i/>
          <w:iCs/>
        </w:rPr>
        <w:t>Gut</w:t>
      </w:r>
      <w:r w:rsidRPr="007F0B0F">
        <w:rPr>
          <w:rFonts w:ascii="Book Antiqua" w:hAnsi="Book Antiqua"/>
        </w:rPr>
        <w:t xml:space="preserve"> 2018; </w:t>
      </w:r>
      <w:r w:rsidRPr="007F0B0F">
        <w:rPr>
          <w:rFonts w:ascii="Book Antiqua" w:hAnsi="Book Antiqua"/>
          <w:b/>
          <w:bCs/>
        </w:rPr>
        <w:t>67</w:t>
      </w:r>
      <w:r w:rsidRPr="007F0B0F">
        <w:rPr>
          <w:rFonts w:ascii="Book Antiqua" w:hAnsi="Book Antiqua"/>
        </w:rPr>
        <w:t>: 1181-1194 [PMID: 29331943 DOI: 10.1136/gutjnl-2017-314918]</w:t>
      </w:r>
    </w:p>
    <w:p w14:paraId="597A1F3B"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13 </w:t>
      </w:r>
      <w:r w:rsidRPr="007F0B0F">
        <w:rPr>
          <w:rFonts w:ascii="Book Antiqua" w:hAnsi="Book Antiqua"/>
          <w:b/>
          <w:bCs/>
        </w:rPr>
        <w:t>Ciccocioppo R</w:t>
      </w:r>
      <w:r w:rsidRPr="007F0B0F">
        <w:rPr>
          <w:rFonts w:ascii="Book Antiqua" w:hAnsi="Book Antiqua"/>
        </w:rPr>
        <w:t xml:space="preserve">, Klersy C, Leffler DA, Rogers R, Bennett D, Corazza GR. Systematic review with meta-analysis: Safety and efficacy of local injections of mesenchymal stem cells in perianal fistulas. </w:t>
      </w:r>
      <w:r w:rsidRPr="007F0B0F">
        <w:rPr>
          <w:rFonts w:ascii="Book Antiqua" w:hAnsi="Book Antiqua"/>
          <w:i/>
          <w:iCs/>
        </w:rPr>
        <w:t>JGH Open</w:t>
      </w:r>
      <w:r w:rsidRPr="007F0B0F">
        <w:rPr>
          <w:rFonts w:ascii="Book Antiqua" w:hAnsi="Book Antiqua"/>
        </w:rPr>
        <w:t xml:space="preserve"> 2019; </w:t>
      </w:r>
      <w:r w:rsidRPr="007F0B0F">
        <w:rPr>
          <w:rFonts w:ascii="Book Antiqua" w:hAnsi="Book Antiqua"/>
          <w:b/>
          <w:bCs/>
        </w:rPr>
        <w:t>3</w:t>
      </w:r>
      <w:r w:rsidRPr="007F0B0F">
        <w:rPr>
          <w:rFonts w:ascii="Book Antiqua" w:hAnsi="Book Antiqua"/>
        </w:rPr>
        <w:t>: 249-260 [PMID: 31276044 DOI: 10.1002/jgh3.12141]</w:t>
      </w:r>
    </w:p>
    <w:p w14:paraId="3D0CF1E0"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14 </w:t>
      </w:r>
      <w:r w:rsidRPr="007F0B0F">
        <w:rPr>
          <w:rFonts w:ascii="Book Antiqua" w:hAnsi="Book Antiqua"/>
          <w:b/>
          <w:bCs/>
        </w:rPr>
        <w:t>Abel ME</w:t>
      </w:r>
      <w:r w:rsidRPr="007F0B0F">
        <w:rPr>
          <w:rFonts w:ascii="Book Antiqua" w:hAnsi="Book Antiqua"/>
        </w:rPr>
        <w:t xml:space="preserve">, Chiu YS, Russell TR, Volpe PA. Autologous fibrin glue in the treatment of rectovaginal and complex fistulas. </w:t>
      </w:r>
      <w:r w:rsidRPr="007F0B0F">
        <w:rPr>
          <w:rFonts w:ascii="Book Antiqua" w:hAnsi="Book Antiqua"/>
          <w:i/>
          <w:iCs/>
        </w:rPr>
        <w:t>Dis Colon Rectum</w:t>
      </w:r>
      <w:r w:rsidRPr="007F0B0F">
        <w:rPr>
          <w:rFonts w:ascii="Book Antiqua" w:hAnsi="Book Antiqua"/>
        </w:rPr>
        <w:t xml:space="preserve"> 1993; </w:t>
      </w:r>
      <w:r w:rsidRPr="007F0B0F">
        <w:rPr>
          <w:rFonts w:ascii="Book Antiqua" w:hAnsi="Book Antiqua"/>
          <w:b/>
          <w:bCs/>
        </w:rPr>
        <w:t>36</w:t>
      </w:r>
      <w:r w:rsidRPr="007F0B0F">
        <w:rPr>
          <w:rFonts w:ascii="Book Antiqua" w:hAnsi="Book Antiqua"/>
        </w:rPr>
        <w:t>: 447-449 [PMID: 8482163 DOI: 10.1007/bf02050009]</w:t>
      </w:r>
    </w:p>
    <w:p w14:paraId="34A7F73E"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15 </w:t>
      </w:r>
      <w:r w:rsidRPr="007F0B0F">
        <w:rPr>
          <w:rFonts w:ascii="Book Antiqua" w:hAnsi="Book Antiqua"/>
          <w:b/>
          <w:bCs/>
        </w:rPr>
        <w:t>Hjortrup A</w:t>
      </w:r>
      <w:r w:rsidRPr="007F0B0F">
        <w:rPr>
          <w:rFonts w:ascii="Book Antiqua" w:hAnsi="Book Antiqua"/>
        </w:rPr>
        <w:t xml:space="preserve">, Moesgaard F, Kjaergård J. Fibrin adhesive in the treatment of perineal fistulas. </w:t>
      </w:r>
      <w:r w:rsidRPr="007F0B0F">
        <w:rPr>
          <w:rFonts w:ascii="Book Antiqua" w:hAnsi="Book Antiqua"/>
          <w:i/>
          <w:iCs/>
        </w:rPr>
        <w:t>Dis Colon Rectum</w:t>
      </w:r>
      <w:r w:rsidRPr="007F0B0F">
        <w:rPr>
          <w:rFonts w:ascii="Book Antiqua" w:hAnsi="Book Antiqua"/>
        </w:rPr>
        <w:t xml:space="preserve"> 1991; </w:t>
      </w:r>
      <w:r w:rsidRPr="007F0B0F">
        <w:rPr>
          <w:rFonts w:ascii="Book Antiqua" w:hAnsi="Book Antiqua"/>
          <w:b/>
          <w:bCs/>
        </w:rPr>
        <w:t>34</w:t>
      </w:r>
      <w:r w:rsidRPr="007F0B0F">
        <w:rPr>
          <w:rFonts w:ascii="Book Antiqua" w:hAnsi="Book Antiqua"/>
        </w:rPr>
        <w:t>: 752-754 [PMID: 1914738 DOI: 10.1007/bf02051064]</w:t>
      </w:r>
    </w:p>
    <w:p w14:paraId="2AC4C956"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16 </w:t>
      </w:r>
      <w:r w:rsidRPr="007F0B0F">
        <w:rPr>
          <w:rFonts w:ascii="Book Antiqua" w:hAnsi="Book Antiqua"/>
          <w:b/>
          <w:bCs/>
        </w:rPr>
        <w:t>Jacob TJ</w:t>
      </w:r>
      <w:r w:rsidRPr="007F0B0F">
        <w:rPr>
          <w:rFonts w:ascii="Book Antiqua" w:hAnsi="Book Antiqua"/>
        </w:rPr>
        <w:t xml:space="preserve">, Perakath B, Keighley MR. Surgical intervention for anorectal fistula. </w:t>
      </w:r>
      <w:r w:rsidRPr="007F0B0F">
        <w:rPr>
          <w:rFonts w:ascii="Book Antiqua" w:hAnsi="Book Antiqua"/>
          <w:i/>
          <w:iCs/>
        </w:rPr>
        <w:t>Cochrane Database Syst Rev</w:t>
      </w:r>
      <w:r w:rsidRPr="007F0B0F">
        <w:rPr>
          <w:rFonts w:ascii="Book Antiqua" w:hAnsi="Book Antiqua"/>
        </w:rPr>
        <w:t xml:space="preserve"> 2010: CD006319 [PMID: 20464741 DOI: 10.1002/14651858.CD006319.pub2]</w:t>
      </w:r>
    </w:p>
    <w:p w14:paraId="5A6CAA7A"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17 </w:t>
      </w:r>
      <w:r w:rsidRPr="007F0B0F">
        <w:rPr>
          <w:rFonts w:ascii="Book Antiqua" w:hAnsi="Book Antiqua"/>
          <w:b/>
          <w:bCs/>
        </w:rPr>
        <w:t>Hammond TM</w:t>
      </w:r>
      <w:r w:rsidRPr="007F0B0F">
        <w:rPr>
          <w:rFonts w:ascii="Book Antiqua" w:hAnsi="Book Antiqua"/>
        </w:rPr>
        <w:t xml:space="preserve">, Grahn MF, Lunniss PJ. Fibrin glue in the management of anal fistulae. </w:t>
      </w:r>
      <w:r w:rsidRPr="007F0B0F">
        <w:rPr>
          <w:rFonts w:ascii="Book Antiqua" w:hAnsi="Book Antiqua"/>
          <w:i/>
          <w:iCs/>
        </w:rPr>
        <w:t>Colorectal Dis</w:t>
      </w:r>
      <w:r w:rsidRPr="007F0B0F">
        <w:rPr>
          <w:rFonts w:ascii="Book Antiqua" w:hAnsi="Book Antiqua"/>
        </w:rPr>
        <w:t xml:space="preserve"> 2004; </w:t>
      </w:r>
      <w:r w:rsidRPr="007F0B0F">
        <w:rPr>
          <w:rFonts w:ascii="Book Antiqua" w:hAnsi="Book Antiqua"/>
          <w:b/>
          <w:bCs/>
        </w:rPr>
        <w:t>6</w:t>
      </w:r>
      <w:r w:rsidRPr="007F0B0F">
        <w:rPr>
          <w:rFonts w:ascii="Book Antiqua" w:hAnsi="Book Antiqua"/>
        </w:rPr>
        <w:t>: 308-319 [PMID: 15335361 DOI: 10.1111/j.1463-1318.2004.00676.x]</w:t>
      </w:r>
    </w:p>
    <w:p w14:paraId="15D4FA0B"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18 </w:t>
      </w:r>
      <w:r w:rsidRPr="007F0B0F">
        <w:rPr>
          <w:rFonts w:ascii="Book Antiqua" w:hAnsi="Book Antiqua"/>
          <w:b/>
          <w:bCs/>
        </w:rPr>
        <w:t>Grimaud JC</w:t>
      </w:r>
      <w:r w:rsidRPr="007F0B0F">
        <w:rPr>
          <w:rFonts w:ascii="Book Antiqua" w:hAnsi="Book Antiqua"/>
        </w:rPr>
        <w:t xml:space="preserve">, Munoz-Bongrand N, Siproudhis L, Abramowitz L, Sénéjoux A, Vitton V, Gambiez L, Flourié B, Hébuterne X, Louis E, Coffin B, De Parades V, Savoye G, Soulé JC, Bouhnik Y, Colombel JF, Contou JF, François Y, Mary JY, Lémann M; Groupe d'Etude Thérapeutique des Affections Inflammatoires du Tube Digestif. Fibrin glue is effective healing perianal fistulas in patients with Crohn's disease. </w:t>
      </w:r>
      <w:r w:rsidRPr="007F0B0F">
        <w:rPr>
          <w:rFonts w:ascii="Book Antiqua" w:hAnsi="Book Antiqua"/>
          <w:i/>
          <w:iCs/>
        </w:rPr>
        <w:t>Gastroenterology</w:t>
      </w:r>
      <w:r w:rsidRPr="007F0B0F">
        <w:rPr>
          <w:rFonts w:ascii="Book Antiqua" w:hAnsi="Book Antiqua"/>
        </w:rPr>
        <w:t xml:space="preserve"> 2010; </w:t>
      </w:r>
      <w:r w:rsidRPr="007F0B0F">
        <w:rPr>
          <w:rFonts w:ascii="Book Antiqua" w:hAnsi="Book Antiqua"/>
          <w:b/>
          <w:bCs/>
        </w:rPr>
        <w:t>138</w:t>
      </w:r>
      <w:r w:rsidRPr="007F0B0F">
        <w:rPr>
          <w:rFonts w:ascii="Book Antiqua" w:hAnsi="Book Antiqua"/>
        </w:rPr>
        <w:t>: 2275-2281, 2281.e1 [PMID: 20178792 DOI: 10.1053/j.gastro.2010.02.013]</w:t>
      </w:r>
    </w:p>
    <w:p w14:paraId="268924CE"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19 </w:t>
      </w:r>
      <w:r w:rsidRPr="007F0B0F">
        <w:rPr>
          <w:rFonts w:ascii="Book Antiqua" w:hAnsi="Book Antiqua"/>
          <w:b/>
          <w:bCs/>
        </w:rPr>
        <w:t>Banerjee S</w:t>
      </w:r>
      <w:r w:rsidRPr="007F0B0F">
        <w:rPr>
          <w:rFonts w:ascii="Book Antiqua" w:hAnsi="Book Antiqua"/>
        </w:rPr>
        <w:t>, McCormack S. 2019 [PMID: 31503431]</w:t>
      </w:r>
    </w:p>
    <w:p w14:paraId="7655BE23"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lastRenderedPageBreak/>
        <w:t xml:space="preserve">20 </w:t>
      </w:r>
      <w:r w:rsidRPr="007F0B0F">
        <w:rPr>
          <w:rFonts w:ascii="Book Antiqua" w:hAnsi="Book Antiqua"/>
          <w:b/>
          <w:bCs/>
        </w:rPr>
        <w:t>Rubin BK</w:t>
      </w:r>
      <w:r w:rsidRPr="007F0B0F">
        <w:rPr>
          <w:rFonts w:ascii="Book Antiqua" w:hAnsi="Book Antiqua"/>
        </w:rPr>
        <w:t xml:space="preserve">. Mucolytics, expectorants, and mucokinetic medications. </w:t>
      </w:r>
      <w:r w:rsidRPr="007F0B0F">
        <w:rPr>
          <w:rFonts w:ascii="Book Antiqua" w:hAnsi="Book Antiqua"/>
          <w:i/>
          <w:iCs/>
        </w:rPr>
        <w:t>Respir Care</w:t>
      </w:r>
      <w:r w:rsidRPr="007F0B0F">
        <w:rPr>
          <w:rFonts w:ascii="Book Antiqua" w:hAnsi="Book Antiqua"/>
        </w:rPr>
        <w:t xml:space="preserve"> 2007; </w:t>
      </w:r>
      <w:r w:rsidRPr="007F0B0F">
        <w:rPr>
          <w:rFonts w:ascii="Book Antiqua" w:hAnsi="Book Antiqua"/>
          <w:b/>
          <w:bCs/>
        </w:rPr>
        <w:t>52</w:t>
      </w:r>
      <w:r w:rsidRPr="007F0B0F">
        <w:rPr>
          <w:rFonts w:ascii="Book Antiqua" w:hAnsi="Book Antiqua"/>
        </w:rPr>
        <w:t>: 859-865 [PMID: 17594730]</w:t>
      </w:r>
    </w:p>
    <w:p w14:paraId="526C339C"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21 </w:t>
      </w:r>
      <w:r w:rsidRPr="007F0B0F">
        <w:rPr>
          <w:rFonts w:ascii="Book Antiqua" w:hAnsi="Book Antiqua"/>
          <w:b/>
          <w:bCs/>
        </w:rPr>
        <w:t>Hong MY</w:t>
      </w:r>
      <w:r w:rsidRPr="007F0B0F">
        <w:rPr>
          <w:rFonts w:ascii="Book Antiqua" w:hAnsi="Book Antiqua"/>
        </w:rPr>
        <w:t xml:space="preserve">, Yu DW, Hong SG. Intraductal papillary mucinous neoplasm of the bile duct with gastric and duodenal fistulas. </w:t>
      </w:r>
      <w:r w:rsidRPr="007F0B0F">
        <w:rPr>
          <w:rFonts w:ascii="Book Antiqua" w:hAnsi="Book Antiqua"/>
          <w:i/>
          <w:iCs/>
        </w:rPr>
        <w:t>World J Gastrointest Endosc</w:t>
      </w:r>
      <w:r w:rsidRPr="007F0B0F">
        <w:rPr>
          <w:rFonts w:ascii="Book Antiqua" w:hAnsi="Book Antiqua"/>
        </w:rPr>
        <w:t xml:space="preserve"> 2014; </w:t>
      </w:r>
      <w:r w:rsidRPr="007F0B0F">
        <w:rPr>
          <w:rFonts w:ascii="Book Antiqua" w:hAnsi="Book Antiqua"/>
          <w:b/>
          <w:bCs/>
        </w:rPr>
        <w:t>6</w:t>
      </w:r>
      <w:r w:rsidRPr="007F0B0F">
        <w:rPr>
          <w:rFonts w:ascii="Book Antiqua" w:hAnsi="Book Antiqua"/>
        </w:rPr>
        <w:t>: 328-333 [PMID: 25031793 DOI: 10.4253/wjge.v6.i7.328]</w:t>
      </w:r>
    </w:p>
    <w:p w14:paraId="1C04BAEB"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22 </w:t>
      </w:r>
      <w:r w:rsidRPr="007F0B0F">
        <w:rPr>
          <w:rFonts w:ascii="Book Antiqua" w:hAnsi="Book Antiqua"/>
          <w:b/>
          <w:bCs/>
        </w:rPr>
        <w:t>Park EH</w:t>
      </w:r>
      <w:r w:rsidRPr="007F0B0F">
        <w:rPr>
          <w:rFonts w:ascii="Book Antiqua" w:hAnsi="Book Antiqua"/>
        </w:rPr>
        <w:t xml:space="preserve">, Kim JH, Yee J, Chung JE, Seong JM, La HO, Gwak HS. Comparisons of doxycycline solution with talc slurry for chemical pleurodesis and risk factors for recurrence in South Korean patients with spontaneous pneumothorax. </w:t>
      </w:r>
      <w:r w:rsidRPr="007F0B0F">
        <w:rPr>
          <w:rFonts w:ascii="Book Antiqua" w:hAnsi="Book Antiqua"/>
          <w:i/>
          <w:iCs/>
        </w:rPr>
        <w:t>Eur J Hosp Pharm</w:t>
      </w:r>
      <w:r w:rsidRPr="007F0B0F">
        <w:rPr>
          <w:rFonts w:ascii="Book Antiqua" w:hAnsi="Book Antiqua"/>
        </w:rPr>
        <w:t xml:space="preserve"> 2019; </w:t>
      </w:r>
      <w:r w:rsidRPr="007F0B0F">
        <w:rPr>
          <w:rFonts w:ascii="Book Antiqua" w:hAnsi="Book Antiqua"/>
          <w:b/>
          <w:bCs/>
        </w:rPr>
        <w:t>26</w:t>
      </w:r>
      <w:r w:rsidRPr="007F0B0F">
        <w:rPr>
          <w:rFonts w:ascii="Book Antiqua" w:hAnsi="Book Antiqua"/>
        </w:rPr>
        <w:t>: 275-279 [PMID: 31656615 DOI: 10.1136/ejhpharm-2017-001465]</w:t>
      </w:r>
    </w:p>
    <w:p w14:paraId="7C839BA4"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23 </w:t>
      </w:r>
      <w:r w:rsidRPr="007F0B0F">
        <w:rPr>
          <w:rFonts w:ascii="Book Antiqua" w:hAnsi="Book Antiqua"/>
          <w:b/>
          <w:bCs/>
        </w:rPr>
        <w:t>Rafiei R</w:t>
      </w:r>
      <w:r w:rsidRPr="007F0B0F">
        <w:rPr>
          <w:rFonts w:ascii="Book Antiqua" w:hAnsi="Book Antiqua"/>
        </w:rPr>
        <w:t xml:space="preserve">, Yazdani B, Ranjbar SM, Torabi Z, Asgary S, Najafi S, Keshvari M. Long-term results of pleurodesis in malignant pleural effusions: Doxycycline vs Bleomycin. </w:t>
      </w:r>
      <w:r w:rsidRPr="007F0B0F">
        <w:rPr>
          <w:rFonts w:ascii="Book Antiqua" w:hAnsi="Book Antiqua"/>
          <w:i/>
          <w:iCs/>
        </w:rPr>
        <w:t>Adv Biomed Res</w:t>
      </w:r>
      <w:r w:rsidRPr="007F0B0F">
        <w:rPr>
          <w:rFonts w:ascii="Book Antiqua" w:hAnsi="Book Antiqua"/>
        </w:rPr>
        <w:t xml:space="preserve"> 2014; </w:t>
      </w:r>
      <w:r w:rsidRPr="007F0B0F">
        <w:rPr>
          <w:rFonts w:ascii="Book Antiqua" w:hAnsi="Book Antiqua"/>
          <w:b/>
          <w:bCs/>
        </w:rPr>
        <w:t>3</w:t>
      </w:r>
      <w:r w:rsidRPr="007F0B0F">
        <w:rPr>
          <w:rFonts w:ascii="Book Antiqua" w:hAnsi="Book Antiqua"/>
        </w:rPr>
        <w:t>: 149 [PMID: 25221752 DOI: 10.4103/2277-9175.137831]</w:t>
      </w:r>
    </w:p>
    <w:p w14:paraId="5FF6CD59"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24 </w:t>
      </w:r>
      <w:r w:rsidRPr="007F0B0F">
        <w:rPr>
          <w:rFonts w:ascii="Book Antiqua" w:hAnsi="Book Antiqua"/>
          <w:b/>
          <w:bCs/>
        </w:rPr>
        <w:t>Porcel JM</w:t>
      </w:r>
      <w:r w:rsidRPr="007F0B0F">
        <w:rPr>
          <w:rFonts w:ascii="Book Antiqua" w:hAnsi="Book Antiqua"/>
        </w:rPr>
        <w:t xml:space="preserve">, Salud A, Nabal M, Vives M, Esquerda A, Rodríguez-Panadero F. Rapid pleurodesis with doxycycline through a small-bore catheter for the treatment of metastatic malignant effusions. </w:t>
      </w:r>
      <w:r w:rsidRPr="007F0B0F">
        <w:rPr>
          <w:rFonts w:ascii="Book Antiqua" w:hAnsi="Book Antiqua"/>
          <w:i/>
          <w:iCs/>
        </w:rPr>
        <w:t>Support Care Cancer</w:t>
      </w:r>
      <w:r w:rsidRPr="007F0B0F">
        <w:rPr>
          <w:rFonts w:ascii="Book Antiqua" w:hAnsi="Book Antiqua"/>
        </w:rPr>
        <w:t xml:space="preserve"> 2006; </w:t>
      </w:r>
      <w:r w:rsidRPr="007F0B0F">
        <w:rPr>
          <w:rFonts w:ascii="Book Antiqua" w:hAnsi="Book Antiqua"/>
          <w:b/>
          <w:bCs/>
        </w:rPr>
        <w:t>14</w:t>
      </w:r>
      <w:r w:rsidRPr="007F0B0F">
        <w:rPr>
          <w:rFonts w:ascii="Book Antiqua" w:hAnsi="Book Antiqua"/>
        </w:rPr>
        <w:t>: 475-478 [PMID: 16404570 DOI: 10.1007/s00520-005-0001-x]</w:t>
      </w:r>
    </w:p>
    <w:p w14:paraId="1A30C965"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25 </w:t>
      </w:r>
      <w:r w:rsidRPr="007F0B0F">
        <w:rPr>
          <w:rFonts w:ascii="Book Antiqua" w:hAnsi="Book Antiqua"/>
          <w:b/>
          <w:bCs/>
        </w:rPr>
        <w:t>Tan C</w:t>
      </w:r>
      <w:r w:rsidRPr="007F0B0F">
        <w:rPr>
          <w:rFonts w:ascii="Book Antiqua" w:hAnsi="Book Antiqua"/>
        </w:rPr>
        <w:t xml:space="preserve">, Sedrakyan A, Browne J, Swift S, Treasure T. The evidence on the effectiveness of management for malignant pleural effusion: a systematic review. </w:t>
      </w:r>
      <w:r w:rsidRPr="007F0B0F">
        <w:rPr>
          <w:rFonts w:ascii="Book Antiqua" w:hAnsi="Book Antiqua"/>
          <w:i/>
          <w:iCs/>
        </w:rPr>
        <w:t>Eur J Cardiothorac Surg</w:t>
      </w:r>
      <w:r w:rsidRPr="007F0B0F">
        <w:rPr>
          <w:rFonts w:ascii="Book Antiqua" w:hAnsi="Book Antiqua"/>
        </w:rPr>
        <w:t xml:space="preserve"> 2006; </w:t>
      </w:r>
      <w:r w:rsidRPr="007F0B0F">
        <w:rPr>
          <w:rFonts w:ascii="Book Antiqua" w:hAnsi="Book Antiqua"/>
          <w:b/>
          <w:bCs/>
        </w:rPr>
        <w:t>29</w:t>
      </w:r>
      <w:r w:rsidRPr="007F0B0F">
        <w:rPr>
          <w:rFonts w:ascii="Book Antiqua" w:hAnsi="Book Antiqua"/>
        </w:rPr>
        <w:t>: 829-838 [PMID: 16626967 DOI: 10.1016/j.ejcts.2005.12.025]</w:t>
      </w:r>
    </w:p>
    <w:p w14:paraId="5CAAD70B"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26 </w:t>
      </w:r>
      <w:r w:rsidRPr="007F0B0F">
        <w:rPr>
          <w:rFonts w:ascii="Book Antiqua" w:hAnsi="Book Antiqua"/>
          <w:b/>
          <w:bCs/>
        </w:rPr>
        <w:t>Hackert T</w:t>
      </w:r>
      <w:r w:rsidRPr="007F0B0F">
        <w:rPr>
          <w:rFonts w:ascii="Book Antiqua" w:hAnsi="Book Antiqua"/>
        </w:rPr>
        <w:t xml:space="preserve">, Werner J, Loos M, Büchler MW, Weitz J. Successful doxycycline treatment of lymphatic fistulas: report of five cases and review of the literature. </w:t>
      </w:r>
      <w:r w:rsidRPr="007F0B0F">
        <w:rPr>
          <w:rFonts w:ascii="Book Antiqua" w:hAnsi="Book Antiqua"/>
          <w:i/>
          <w:iCs/>
        </w:rPr>
        <w:t>Langenbecks Arch Surg</w:t>
      </w:r>
      <w:r w:rsidRPr="007F0B0F">
        <w:rPr>
          <w:rFonts w:ascii="Book Antiqua" w:hAnsi="Book Antiqua"/>
        </w:rPr>
        <w:t xml:space="preserve"> 2006; </w:t>
      </w:r>
      <w:r w:rsidRPr="007F0B0F">
        <w:rPr>
          <w:rFonts w:ascii="Book Antiqua" w:hAnsi="Book Antiqua"/>
          <w:b/>
          <w:bCs/>
        </w:rPr>
        <w:t>391</w:t>
      </w:r>
      <w:r w:rsidRPr="007F0B0F">
        <w:rPr>
          <w:rFonts w:ascii="Book Antiqua" w:hAnsi="Book Antiqua"/>
        </w:rPr>
        <w:t>: 435-438 [PMID: 16683147 DOI: 10.1007/s00423-006-0050-8]</w:t>
      </w:r>
    </w:p>
    <w:p w14:paraId="2108B968"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27 </w:t>
      </w:r>
      <w:r w:rsidRPr="007F0B0F">
        <w:rPr>
          <w:rFonts w:ascii="Book Antiqua" w:hAnsi="Book Antiqua"/>
          <w:b/>
          <w:bCs/>
        </w:rPr>
        <w:t>Cnotliwy M</w:t>
      </w:r>
      <w:r w:rsidRPr="007F0B0F">
        <w:rPr>
          <w:rFonts w:ascii="Book Antiqua" w:hAnsi="Book Antiqua"/>
        </w:rPr>
        <w:t xml:space="preserve">, Gutowski P, Petriczko W, Turowski R. Doxycycline treatment of groin lymphatic fistulae following arterial reconstruction procedures. </w:t>
      </w:r>
      <w:r w:rsidRPr="007F0B0F">
        <w:rPr>
          <w:rFonts w:ascii="Book Antiqua" w:hAnsi="Book Antiqua"/>
          <w:i/>
          <w:iCs/>
        </w:rPr>
        <w:t>Eur J Vasc Endovasc Surg</w:t>
      </w:r>
      <w:r w:rsidRPr="007F0B0F">
        <w:rPr>
          <w:rFonts w:ascii="Book Antiqua" w:hAnsi="Book Antiqua"/>
        </w:rPr>
        <w:t xml:space="preserve"> 2001; </w:t>
      </w:r>
      <w:r w:rsidRPr="007F0B0F">
        <w:rPr>
          <w:rFonts w:ascii="Book Antiqua" w:hAnsi="Book Antiqua"/>
          <w:b/>
          <w:bCs/>
        </w:rPr>
        <w:t>21</w:t>
      </w:r>
      <w:r w:rsidRPr="007F0B0F">
        <w:rPr>
          <w:rFonts w:ascii="Book Antiqua" w:hAnsi="Book Antiqua"/>
        </w:rPr>
        <w:t>: 469-470 [PMID: 11352526 DOI: 10.1053/ejvs.2001.1327]</w:t>
      </w:r>
    </w:p>
    <w:p w14:paraId="66BDA0A6"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lastRenderedPageBreak/>
        <w:t xml:space="preserve">28 </w:t>
      </w:r>
      <w:r w:rsidRPr="007F0B0F">
        <w:rPr>
          <w:rFonts w:ascii="Book Antiqua" w:hAnsi="Book Antiqua"/>
          <w:b/>
          <w:bCs/>
        </w:rPr>
        <w:t>Janke KH</w:t>
      </w:r>
      <w:r w:rsidRPr="007F0B0F">
        <w:rPr>
          <w:rFonts w:ascii="Book Antiqua" w:hAnsi="Book Antiqua"/>
        </w:rPr>
        <w:t xml:space="preserve">, Klump B, Steder-Neukamm U, Hoffmann J, Häuser W. [Validation of the German version of the Inflammatory Bowel Disease Questionnaire (Competence Network IBD, IBDQ-D)]. </w:t>
      </w:r>
      <w:r w:rsidRPr="007F0B0F">
        <w:rPr>
          <w:rFonts w:ascii="Book Antiqua" w:hAnsi="Book Antiqua"/>
          <w:i/>
          <w:iCs/>
        </w:rPr>
        <w:t>Psychother Psychosom Med Psychol</w:t>
      </w:r>
      <w:r w:rsidRPr="007F0B0F">
        <w:rPr>
          <w:rFonts w:ascii="Book Antiqua" w:hAnsi="Book Antiqua"/>
        </w:rPr>
        <w:t xml:space="preserve"> 2006; </w:t>
      </w:r>
      <w:r w:rsidRPr="007F0B0F">
        <w:rPr>
          <w:rFonts w:ascii="Book Antiqua" w:hAnsi="Book Antiqua"/>
          <w:b/>
          <w:bCs/>
        </w:rPr>
        <w:t>56</w:t>
      </w:r>
      <w:r w:rsidRPr="007F0B0F">
        <w:rPr>
          <w:rFonts w:ascii="Book Antiqua" w:hAnsi="Book Antiqua"/>
        </w:rPr>
        <w:t>: 291-298 [PMID: 16715461 DOI: 10.1055/s-2006-932661]</w:t>
      </w:r>
    </w:p>
    <w:p w14:paraId="13C8E04A"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29 </w:t>
      </w:r>
      <w:r w:rsidRPr="007F0B0F">
        <w:rPr>
          <w:rFonts w:ascii="Book Antiqua" w:hAnsi="Book Antiqua"/>
          <w:b/>
          <w:bCs/>
        </w:rPr>
        <w:t>Irvine EJ</w:t>
      </w:r>
      <w:r w:rsidRPr="007F0B0F">
        <w:rPr>
          <w:rFonts w:ascii="Book Antiqua" w:hAnsi="Book Antiqua"/>
        </w:rPr>
        <w:t xml:space="preserve">. Usual therapy improves perianal Crohn's disease as measured by a new disease activity index. McMaster IBD Study Group. </w:t>
      </w:r>
      <w:r w:rsidRPr="007F0B0F">
        <w:rPr>
          <w:rFonts w:ascii="Book Antiqua" w:hAnsi="Book Antiqua"/>
          <w:i/>
          <w:iCs/>
        </w:rPr>
        <w:t>J Clin Gastroenterol</w:t>
      </w:r>
      <w:r w:rsidRPr="007F0B0F">
        <w:rPr>
          <w:rFonts w:ascii="Book Antiqua" w:hAnsi="Book Antiqua"/>
        </w:rPr>
        <w:t xml:space="preserve"> 1995; </w:t>
      </w:r>
      <w:r w:rsidRPr="007F0B0F">
        <w:rPr>
          <w:rFonts w:ascii="Book Antiqua" w:hAnsi="Book Antiqua"/>
          <w:b/>
          <w:bCs/>
        </w:rPr>
        <w:t>20</w:t>
      </w:r>
      <w:r w:rsidRPr="007F0B0F">
        <w:rPr>
          <w:rFonts w:ascii="Book Antiqua" w:hAnsi="Book Antiqua"/>
        </w:rPr>
        <w:t>: 27-32 [PMID: 7884173]</w:t>
      </w:r>
    </w:p>
    <w:p w14:paraId="1C514483"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30 </w:t>
      </w:r>
      <w:r w:rsidRPr="007F0B0F">
        <w:rPr>
          <w:rFonts w:ascii="Book Antiqua" w:hAnsi="Book Antiqua"/>
          <w:b/>
          <w:bCs/>
        </w:rPr>
        <w:t>Harvey RF</w:t>
      </w:r>
      <w:r w:rsidRPr="007F0B0F">
        <w:rPr>
          <w:rFonts w:ascii="Book Antiqua" w:hAnsi="Book Antiqua"/>
        </w:rPr>
        <w:t xml:space="preserve">, Bradshaw JM. A simple index of Crohn's-disease activity. </w:t>
      </w:r>
      <w:r w:rsidRPr="007F0B0F">
        <w:rPr>
          <w:rFonts w:ascii="Book Antiqua" w:hAnsi="Book Antiqua"/>
          <w:i/>
          <w:iCs/>
        </w:rPr>
        <w:t>Lancet</w:t>
      </w:r>
      <w:r w:rsidRPr="007F0B0F">
        <w:rPr>
          <w:rFonts w:ascii="Book Antiqua" w:hAnsi="Book Antiqua"/>
        </w:rPr>
        <w:t xml:space="preserve"> 1980; </w:t>
      </w:r>
      <w:r w:rsidRPr="007F0B0F">
        <w:rPr>
          <w:rFonts w:ascii="Book Antiqua" w:hAnsi="Book Antiqua"/>
          <w:b/>
          <w:bCs/>
        </w:rPr>
        <w:t>1</w:t>
      </w:r>
      <w:r w:rsidRPr="007F0B0F">
        <w:rPr>
          <w:rFonts w:ascii="Book Antiqua" w:hAnsi="Book Antiqua"/>
        </w:rPr>
        <w:t>: 514 [PMID: 6102236 DOI: 10.1016/s0140-6736(80)92767-1]</w:t>
      </w:r>
    </w:p>
    <w:p w14:paraId="74BE0FF5"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31 </w:t>
      </w:r>
      <w:r w:rsidRPr="007F0B0F">
        <w:rPr>
          <w:rFonts w:ascii="Book Antiqua" w:hAnsi="Book Antiqua"/>
          <w:b/>
          <w:bCs/>
        </w:rPr>
        <w:t>Pommaret E</w:t>
      </w:r>
      <w:r w:rsidRPr="007F0B0F">
        <w:rPr>
          <w:rFonts w:ascii="Book Antiqua" w:hAnsi="Book Antiqua"/>
        </w:rPr>
        <w:t xml:space="preserve">, Benfredj P, Soudan D, de Parades V. Sphincter-sparing techniques for fistulas-in-ano. </w:t>
      </w:r>
      <w:r w:rsidRPr="007F0B0F">
        <w:rPr>
          <w:rFonts w:ascii="Book Antiqua" w:hAnsi="Book Antiqua"/>
          <w:i/>
          <w:iCs/>
        </w:rPr>
        <w:t>J Visc Surg</w:t>
      </w:r>
      <w:r w:rsidRPr="007F0B0F">
        <w:rPr>
          <w:rFonts w:ascii="Book Antiqua" w:hAnsi="Book Antiqua"/>
        </w:rPr>
        <w:t xml:space="preserve"> 2015; </w:t>
      </w:r>
      <w:r w:rsidRPr="007F0B0F">
        <w:rPr>
          <w:rFonts w:ascii="Book Antiqua" w:hAnsi="Book Antiqua"/>
          <w:b/>
          <w:bCs/>
        </w:rPr>
        <w:t>152</w:t>
      </w:r>
      <w:r w:rsidRPr="007F0B0F">
        <w:rPr>
          <w:rFonts w:ascii="Book Antiqua" w:hAnsi="Book Antiqua"/>
        </w:rPr>
        <w:t>: S31-S36 [PMID: 25280598 DOI: 10.1016/j.jviscsurg.2014.08.002]</w:t>
      </w:r>
    </w:p>
    <w:p w14:paraId="3A7716F3"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32 </w:t>
      </w:r>
      <w:r w:rsidRPr="007F0B0F">
        <w:rPr>
          <w:rFonts w:ascii="Book Antiqua" w:hAnsi="Book Antiqua"/>
          <w:b/>
          <w:bCs/>
        </w:rPr>
        <w:t>Cestaro G</w:t>
      </w:r>
      <w:r w:rsidRPr="007F0B0F">
        <w:rPr>
          <w:rFonts w:ascii="Book Antiqua" w:hAnsi="Book Antiqua"/>
        </w:rPr>
        <w:t xml:space="preserve">, De Rosa M, Gentile M. Treatment of fistula in ano with fibrin glue: preliminary results from a prospective study. </w:t>
      </w:r>
      <w:r w:rsidRPr="007F0B0F">
        <w:rPr>
          <w:rFonts w:ascii="Book Antiqua" w:hAnsi="Book Antiqua"/>
          <w:i/>
          <w:iCs/>
        </w:rPr>
        <w:t>Minerva Chir</w:t>
      </w:r>
      <w:r w:rsidRPr="007F0B0F">
        <w:rPr>
          <w:rFonts w:ascii="Book Antiqua" w:hAnsi="Book Antiqua"/>
        </w:rPr>
        <w:t xml:space="preserve"> 2014; </w:t>
      </w:r>
      <w:r w:rsidRPr="007F0B0F">
        <w:rPr>
          <w:rFonts w:ascii="Book Antiqua" w:hAnsi="Book Antiqua"/>
          <w:b/>
          <w:bCs/>
        </w:rPr>
        <w:t>69</w:t>
      </w:r>
      <w:r w:rsidRPr="007F0B0F">
        <w:rPr>
          <w:rFonts w:ascii="Book Antiqua" w:hAnsi="Book Antiqua"/>
        </w:rPr>
        <w:t>: 225-228 [PMID: 24987970]</w:t>
      </w:r>
    </w:p>
    <w:p w14:paraId="05B84651" w14:textId="77777777" w:rsidR="00915A8C" w:rsidRPr="00B072B3" w:rsidRDefault="00915A8C" w:rsidP="007F0B0F">
      <w:pPr>
        <w:snapToGrid w:val="0"/>
        <w:spacing w:line="360" w:lineRule="auto"/>
        <w:jc w:val="both"/>
        <w:rPr>
          <w:rFonts w:ascii="Book Antiqua" w:hAnsi="Book Antiqua"/>
          <w:lang w:val="pt-BR"/>
        </w:rPr>
      </w:pPr>
      <w:r w:rsidRPr="007F0B0F">
        <w:rPr>
          <w:rFonts w:ascii="Book Antiqua" w:hAnsi="Book Antiqua"/>
        </w:rPr>
        <w:t xml:space="preserve">33 </w:t>
      </w:r>
      <w:r w:rsidRPr="007F0B0F">
        <w:rPr>
          <w:rFonts w:ascii="Book Antiqua" w:hAnsi="Book Antiqua"/>
          <w:b/>
          <w:bCs/>
        </w:rPr>
        <w:t>Yeung JM</w:t>
      </w:r>
      <w:r w:rsidRPr="007F0B0F">
        <w:rPr>
          <w:rFonts w:ascii="Book Antiqua" w:hAnsi="Book Antiqua"/>
        </w:rPr>
        <w:t xml:space="preserve">, Simpson JA, Tang SW, Armitage NC, Maxwell-Armstrong C. Fibrin glue for the treatment of fistulae in ano--a method worth sticking to? </w:t>
      </w:r>
      <w:r w:rsidRPr="00B072B3">
        <w:rPr>
          <w:rFonts w:ascii="Book Antiqua" w:hAnsi="Book Antiqua"/>
          <w:i/>
          <w:iCs/>
          <w:lang w:val="pt-BR"/>
        </w:rPr>
        <w:t>Colorectal Dis</w:t>
      </w:r>
      <w:r w:rsidRPr="00B072B3">
        <w:rPr>
          <w:rFonts w:ascii="Book Antiqua" w:hAnsi="Book Antiqua"/>
          <w:lang w:val="pt-BR"/>
        </w:rPr>
        <w:t xml:space="preserve"> 2010; </w:t>
      </w:r>
      <w:r w:rsidRPr="00B072B3">
        <w:rPr>
          <w:rFonts w:ascii="Book Antiqua" w:hAnsi="Book Antiqua"/>
          <w:b/>
          <w:bCs/>
          <w:lang w:val="pt-BR"/>
        </w:rPr>
        <w:t>12</w:t>
      </w:r>
      <w:r w:rsidRPr="00B072B3">
        <w:rPr>
          <w:rFonts w:ascii="Book Antiqua" w:hAnsi="Book Antiqua"/>
          <w:lang w:val="pt-BR"/>
        </w:rPr>
        <w:t>: 363-366 [PMID: 19220380 DOI: 10.1111/j.1463-1318.2009.01801.x]</w:t>
      </w:r>
    </w:p>
    <w:p w14:paraId="096E4355" w14:textId="77777777" w:rsidR="00915A8C" w:rsidRPr="007F0B0F" w:rsidRDefault="00915A8C" w:rsidP="007F0B0F">
      <w:pPr>
        <w:snapToGrid w:val="0"/>
        <w:spacing w:line="360" w:lineRule="auto"/>
        <w:jc w:val="both"/>
        <w:rPr>
          <w:rFonts w:ascii="Book Antiqua" w:hAnsi="Book Antiqua"/>
        </w:rPr>
      </w:pPr>
      <w:r w:rsidRPr="00B072B3">
        <w:rPr>
          <w:rFonts w:ascii="Book Antiqua" w:hAnsi="Book Antiqua"/>
          <w:lang w:val="pt-BR"/>
        </w:rPr>
        <w:t xml:space="preserve">34 </w:t>
      </w:r>
      <w:r w:rsidRPr="00B072B3">
        <w:rPr>
          <w:rFonts w:ascii="Book Antiqua" w:hAnsi="Book Antiqua"/>
          <w:b/>
          <w:bCs/>
          <w:lang w:val="pt-BR"/>
        </w:rPr>
        <w:t>Sehgal R</w:t>
      </w:r>
      <w:r w:rsidRPr="00B072B3">
        <w:rPr>
          <w:rFonts w:ascii="Book Antiqua" w:hAnsi="Book Antiqua"/>
          <w:lang w:val="pt-BR"/>
        </w:rPr>
        <w:t xml:space="preserve">, Koltun WA. </w:t>
      </w:r>
      <w:r w:rsidRPr="007F0B0F">
        <w:rPr>
          <w:rFonts w:ascii="Book Antiqua" w:hAnsi="Book Antiqua"/>
        </w:rPr>
        <w:t xml:space="preserve">Fibrin glue for the treatment of perineal fistulous Crohn's disease. </w:t>
      </w:r>
      <w:r w:rsidRPr="007F0B0F">
        <w:rPr>
          <w:rFonts w:ascii="Book Antiqua" w:hAnsi="Book Antiqua"/>
          <w:i/>
          <w:iCs/>
        </w:rPr>
        <w:t>Gastroenterology</w:t>
      </w:r>
      <w:r w:rsidRPr="007F0B0F">
        <w:rPr>
          <w:rFonts w:ascii="Book Antiqua" w:hAnsi="Book Antiqua"/>
        </w:rPr>
        <w:t xml:space="preserve"> 2010; </w:t>
      </w:r>
      <w:r w:rsidRPr="007F0B0F">
        <w:rPr>
          <w:rFonts w:ascii="Book Antiqua" w:hAnsi="Book Antiqua"/>
          <w:b/>
          <w:bCs/>
        </w:rPr>
        <w:t>138</w:t>
      </w:r>
      <w:r w:rsidRPr="007F0B0F">
        <w:rPr>
          <w:rFonts w:ascii="Book Antiqua" w:hAnsi="Book Antiqua"/>
        </w:rPr>
        <w:t>: 2216-2219 [PMID: 20434504 DOI: 10.1053/j.gastro.2010.04.029]</w:t>
      </w:r>
    </w:p>
    <w:p w14:paraId="6619C64E"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35 </w:t>
      </w:r>
      <w:r w:rsidRPr="007F0B0F">
        <w:rPr>
          <w:rFonts w:ascii="Book Antiqua" w:hAnsi="Book Antiqua"/>
          <w:b/>
          <w:bCs/>
        </w:rPr>
        <w:t>Garg P</w:t>
      </w:r>
      <w:r w:rsidRPr="007F0B0F">
        <w:rPr>
          <w:rFonts w:ascii="Book Antiqua" w:hAnsi="Book Antiqua"/>
        </w:rPr>
        <w:t xml:space="preserve">. Is fistulotomy still the gold standard in present era and is it highly underutilized?: An audit of 675 operated cases. </w:t>
      </w:r>
      <w:r w:rsidRPr="007F0B0F">
        <w:rPr>
          <w:rFonts w:ascii="Book Antiqua" w:hAnsi="Book Antiqua"/>
          <w:i/>
          <w:iCs/>
        </w:rPr>
        <w:t>Int J Surg</w:t>
      </w:r>
      <w:r w:rsidRPr="007F0B0F">
        <w:rPr>
          <w:rFonts w:ascii="Book Antiqua" w:hAnsi="Book Antiqua"/>
        </w:rPr>
        <w:t xml:space="preserve"> 2018; </w:t>
      </w:r>
      <w:r w:rsidRPr="007F0B0F">
        <w:rPr>
          <w:rFonts w:ascii="Book Antiqua" w:hAnsi="Book Antiqua"/>
          <w:b/>
          <w:bCs/>
        </w:rPr>
        <w:t>56</w:t>
      </w:r>
      <w:r w:rsidRPr="007F0B0F">
        <w:rPr>
          <w:rFonts w:ascii="Book Antiqua" w:hAnsi="Book Antiqua"/>
        </w:rPr>
        <w:t>: 26-30 [PMID: 29886281 DOI: 10.1016/j.ijsu.2018.06.009]</w:t>
      </w:r>
    </w:p>
    <w:p w14:paraId="05D9818B"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36 </w:t>
      </w:r>
      <w:r w:rsidRPr="007F0B0F">
        <w:rPr>
          <w:rFonts w:ascii="Book Antiqua" w:hAnsi="Book Antiqua"/>
          <w:b/>
          <w:bCs/>
        </w:rPr>
        <w:t>Hyman N</w:t>
      </w:r>
      <w:r w:rsidRPr="007F0B0F">
        <w:rPr>
          <w:rFonts w:ascii="Book Antiqua" w:hAnsi="Book Antiqua"/>
        </w:rPr>
        <w:t xml:space="preserve">, O'Brien S, Osler T. Outcomes after fistulotomy: results of a prospective, multicenter regional study. </w:t>
      </w:r>
      <w:r w:rsidRPr="007F0B0F">
        <w:rPr>
          <w:rFonts w:ascii="Book Antiqua" w:hAnsi="Book Antiqua"/>
          <w:i/>
          <w:iCs/>
        </w:rPr>
        <w:t>Dis Colon Rectum</w:t>
      </w:r>
      <w:r w:rsidRPr="007F0B0F">
        <w:rPr>
          <w:rFonts w:ascii="Book Antiqua" w:hAnsi="Book Antiqua"/>
        </w:rPr>
        <w:t xml:space="preserve"> 2009; </w:t>
      </w:r>
      <w:r w:rsidRPr="007F0B0F">
        <w:rPr>
          <w:rFonts w:ascii="Book Antiqua" w:hAnsi="Book Antiqua"/>
          <w:b/>
          <w:bCs/>
        </w:rPr>
        <w:t>52</w:t>
      </w:r>
      <w:r w:rsidRPr="007F0B0F">
        <w:rPr>
          <w:rFonts w:ascii="Book Antiqua" w:hAnsi="Book Antiqua"/>
        </w:rPr>
        <w:t>: 2022-2027 [PMID: 19934925 DOI: 10.1007/DCR.0b013e3181b72378]</w:t>
      </w:r>
    </w:p>
    <w:p w14:paraId="044B77DC"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37 </w:t>
      </w:r>
      <w:r w:rsidRPr="007F0B0F">
        <w:rPr>
          <w:rFonts w:ascii="Book Antiqua" w:hAnsi="Book Antiqua"/>
          <w:b/>
          <w:bCs/>
        </w:rPr>
        <w:t>Panés J</w:t>
      </w:r>
      <w:r w:rsidRPr="007F0B0F">
        <w:rPr>
          <w:rFonts w:ascii="Book Antiqua" w:hAnsi="Book Antiqua"/>
        </w:rPr>
        <w:t xml:space="preserve">, García-Olmo D, Van Assche G, Colombel JF, Reinisch W, Baumgart DC, Dignass A, Nachury M, Ferrante M, Kazemi-Shirazi L, Grimaud JC, de la Portilla </w:t>
      </w:r>
      <w:r w:rsidRPr="007F0B0F">
        <w:rPr>
          <w:rFonts w:ascii="Book Antiqua" w:hAnsi="Book Antiqua"/>
        </w:rPr>
        <w:lastRenderedPageBreak/>
        <w:t xml:space="preserve">F, Goldin E, Richard MP, Leselbaum A, Danese S; ADMIRE CD Study Group Collaborators. Expanded allogeneic adipose-derived mesenchymal stem cells (Cx601) for complex perianal fistulas in Crohn's disease: a phase 3 randomised, double-blind controlled trial. </w:t>
      </w:r>
      <w:r w:rsidRPr="007F0B0F">
        <w:rPr>
          <w:rFonts w:ascii="Book Antiqua" w:hAnsi="Book Antiqua"/>
          <w:i/>
          <w:iCs/>
        </w:rPr>
        <w:t>Lancet</w:t>
      </w:r>
      <w:r w:rsidRPr="007F0B0F">
        <w:rPr>
          <w:rFonts w:ascii="Book Antiqua" w:hAnsi="Book Antiqua"/>
        </w:rPr>
        <w:t xml:space="preserve"> 2016; </w:t>
      </w:r>
      <w:r w:rsidRPr="007F0B0F">
        <w:rPr>
          <w:rFonts w:ascii="Book Antiqua" w:hAnsi="Book Antiqua"/>
          <w:b/>
          <w:bCs/>
        </w:rPr>
        <w:t>388</w:t>
      </w:r>
      <w:r w:rsidRPr="007F0B0F">
        <w:rPr>
          <w:rFonts w:ascii="Book Antiqua" w:hAnsi="Book Antiqua"/>
        </w:rPr>
        <w:t>: 1281-1290 [PMID: 27477896 DOI: 10.1016/S0140-6736(16)31203-X]</w:t>
      </w:r>
    </w:p>
    <w:p w14:paraId="5E41D58A"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38 </w:t>
      </w:r>
      <w:r w:rsidRPr="007F0B0F">
        <w:rPr>
          <w:rFonts w:ascii="Book Antiqua" w:hAnsi="Book Antiqua"/>
          <w:b/>
          <w:bCs/>
        </w:rPr>
        <w:t>Panés J</w:t>
      </w:r>
      <w:r w:rsidRPr="007F0B0F">
        <w:rPr>
          <w:rFonts w:ascii="Book Antiqua" w:hAnsi="Book Antiqua"/>
        </w:rPr>
        <w:t xml:space="preserve">, García-Olmo D, Van Assche G, Colombel JF, Reinisch W, Baumgart DC, Dignass A, Nachury M, Ferrante M, Kazemi-Shirazi L, Grimaud JC, de la Portilla F, Goldin E, Richard MP, Diez MC, Tagarro I, Leselbaum A, Danese S; ADMIRE CD Study Group Collaborators. Long-term Efficacy and Safety of Stem Cell Therapy (Cx601) for Complex Perianal Fistulas in Patients With Crohn's Disease. </w:t>
      </w:r>
      <w:r w:rsidRPr="007F0B0F">
        <w:rPr>
          <w:rFonts w:ascii="Book Antiqua" w:hAnsi="Book Antiqua"/>
          <w:i/>
          <w:iCs/>
        </w:rPr>
        <w:t>Gastroenterology</w:t>
      </w:r>
      <w:r w:rsidRPr="007F0B0F">
        <w:rPr>
          <w:rFonts w:ascii="Book Antiqua" w:hAnsi="Book Antiqua"/>
        </w:rPr>
        <w:t xml:space="preserve"> 2018; </w:t>
      </w:r>
      <w:r w:rsidRPr="007F0B0F">
        <w:rPr>
          <w:rFonts w:ascii="Book Antiqua" w:hAnsi="Book Antiqua"/>
          <w:b/>
          <w:bCs/>
        </w:rPr>
        <w:t>154</w:t>
      </w:r>
      <w:r w:rsidRPr="007F0B0F">
        <w:rPr>
          <w:rFonts w:ascii="Book Antiqua" w:hAnsi="Book Antiqua"/>
        </w:rPr>
        <w:t>: 1334-1342.e4 [PMID: 29277560 DOI: 10.1053/j.gastro.2017.12.020]</w:t>
      </w:r>
    </w:p>
    <w:p w14:paraId="1EA9E5D4"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39 </w:t>
      </w:r>
      <w:r w:rsidRPr="007F0B0F">
        <w:rPr>
          <w:rFonts w:ascii="Book Antiqua" w:hAnsi="Book Antiqua"/>
          <w:b/>
          <w:bCs/>
        </w:rPr>
        <w:t>Garcia-Olmo D</w:t>
      </w:r>
      <w:r w:rsidRPr="007F0B0F">
        <w:rPr>
          <w:rFonts w:ascii="Book Antiqua" w:hAnsi="Book Antiqua"/>
        </w:rPr>
        <w:t xml:space="preserve">, Herreros D, Pascual I, Pascual JA, Del-Valle E, Zorrilla J, De-La-Quintana P, Garcia-Arranz M, Pascual M. Expanded adipose-derived stem cells for the treatment of complex perianal fistula: a phase II clinical trial. </w:t>
      </w:r>
      <w:r w:rsidRPr="007F0B0F">
        <w:rPr>
          <w:rFonts w:ascii="Book Antiqua" w:hAnsi="Book Antiqua"/>
          <w:i/>
          <w:iCs/>
        </w:rPr>
        <w:t>Dis Colon Rectum</w:t>
      </w:r>
      <w:r w:rsidRPr="007F0B0F">
        <w:rPr>
          <w:rFonts w:ascii="Book Antiqua" w:hAnsi="Book Antiqua"/>
        </w:rPr>
        <w:t xml:space="preserve"> 2009; </w:t>
      </w:r>
      <w:r w:rsidRPr="007F0B0F">
        <w:rPr>
          <w:rFonts w:ascii="Book Antiqua" w:hAnsi="Book Antiqua"/>
          <w:b/>
          <w:bCs/>
        </w:rPr>
        <w:t>52</w:t>
      </w:r>
      <w:r w:rsidRPr="007F0B0F">
        <w:rPr>
          <w:rFonts w:ascii="Book Antiqua" w:hAnsi="Book Antiqua"/>
        </w:rPr>
        <w:t>: 79-86 [PMID: 19273960 DOI: 10.1007/DCR.0b013e3181973487]</w:t>
      </w:r>
    </w:p>
    <w:p w14:paraId="76E2AF8F"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40 </w:t>
      </w:r>
      <w:r w:rsidRPr="007F0B0F">
        <w:rPr>
          <w:rFonts w:ascii="Book Antiqua" w:hAnsi="Book Antiqua"/>
          <w:b/>
          <w:bCs/>
        </w:rPr>
        <w:t>Cheng F</w:t>
      </w:r>
      <w:r w:rsidRPr="007F0B0F">
        <w:rPr>
          <w:rFonts w:ascii="Book Antiqua" w:hAnsi="Book Antiqua"/>
        </w:rPr>
        <w:t xml:space="preserve">, Huang Z, Li Z. Mesenchymal stem-cell therapy for perianal fistulas in Crohn's disease: a systematic review and meta-analysis. </w:t>
      </w:r>
      <w:r w:rsidRPr="007F0B0F">
        <w:rPr>
          <w:rFonts w:ascii="Book Antiqua" w:hAnsi="Book Antiqua"/>
          <w:i/>
          <w:iCs/>
        </w:rPr>
        <w:t>Tech Coloproctol</w:t>
      </w:r>
      <w:r w:rsidRPr="007F0B0F">
        <w:rPr>
          <w:rFonts w:ascii="Book Antiqua" w:hAnsi="Book Antiqua"/>
        </w:rPr>
        <w:t xml:space="preserve"> 2019; </w:t>
      </w:r>
      <w:r w:rsidRPr="007F0B0F">
        <w:rPr>
          <w:rFonts w:ascii="Book Antiqua" w:hAnsi="Book Antiqua"/>
          <w:b/>
          <w:bCs/>
        </w:rPr>
        <w:t>23</w:t>
      </w:r>
      <w:r w:rsidRPr="007F0B0F">
        <w:rPr>
          <w:rFonts w:ascii="Book Antiqua" w:hAnsi="Book Antiqua"/>
        </w:rPr>
        <w:t>: 613-623 [PMID: 31286287 DOI: 10.1007/s10151-019-02024-8]</w:t>
      </w:r>
    </w:p>
    <w:p w14:paraId="7175EDF8"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41 </w:t>
      </w:r>
      <w:r w:rsidRPr="007F0B0F">
        <w:rPr>
          <w:rFonts w:ascii="Book Antiqua" w:hAnsi="Book Antiqua"/>
          <w:b/>
          <w:bCs/>
        </w:rPr>
        <w:t>Bor R</w:t>
      </w:r>
      <w:r w:rsidRPr="007F0B0F">
        <w:rPr>
          <w:rFonts w:ascii="Book Antiqua" w:hAnsi="Book Antiqua"/>
        </w:rPr>
        <w:t xml:space="preserve">, Fábián A, Farkas K, Molnár T, Szepes Z. Human mesenchymal stem cell therapy in the management of luminal and perianal fistulizing Crohn's disease - review of pathomechanism and existing clinical data. </w:t>
      </w:r>
      <w:r w:rsidRPr="007F0B0F">
        <w:rPr>
          <w:rFonts w:ascii="Book Antiqua" w:hAnsi="Book Antiqua"/>
          <w:i/>
          <w:iCs/>
        </w:rPr>
        <w:t>Expert Opin Biol Ther</w:t>
      </w:r>
      <w:r w:rsidRPr="007F0B0F">
        <w:rPr>
          <w:rFonts w:ascii="Book Antiqua" w:hAnsi="Book Antiqua"/>
        </w:rPr>
        <w:t xml:space="preserve"> 2018; </w:t>
      </w:r>
      <w:r w:rsidRPr="007F0B0F">
        <w:rPr>
          <w:rFonts w:ascii="Book Antiqua" w:hAnsi="Book Antiqua"/>
          <w:b/>
          <w:bCs/>
        </w:rPr>
        <w:t>18</w:t>
      </w:r>
      <w:r w:rsidRPr="007F0B0F">
        <w:rPr>
          <w:rFonts w:ascii="Book Antiqua" w:hAnsi="Book Antiqua"/>
        </w:rPr>
        <w:t>: 737-745 [PMID: 29939815 DOI: 10.1080/14712598.2018.1492543]</w:t>
      </w:r>
    </w:p>
    <w:p w14:paraId="54372805" w14:textId="77777777" w:rsidR="00915A8C" w:rsidRPr="007F0B0F" w:rsidRDefault="00915A8C" w:rsidP="007F0B0F">
      <w:pPr>
        <w:snapToGrid w:val="0"/>
        <w:spacing w:line="360" w:lineRule="auto"/>
        <w:jc w:val="both"/>
        <w:rPr>
          <w:rFonts w:ascii="Book Antiqua" w:hAnsi="Book Antiqua"/>
        </w:rPr>
        <w:sectPr w:rsidR="00915A8C" w:rsidRPr="007F0B0F" w:rsidSect="00094AEF">
          <w:pgSz w:w="12240" w:h="15840"/>
          <w:pgMar w:top="1440" w:right="1800" w:bottom="1440" w:left="1800" w:header="720" w:footer="720" w:gutter="0"/>
          <w:cols w:space="720"/>
          <w:docGrid w:linePitch="360"/>
        </w:sectPr>
      </w:pPr>
    </w:p>
    <w:p w14:paraId="63073B6E"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lastRenderedPageBreak/>
        <w:t>Footnotes</w:t>
      </w:r>
    </w:p>
    <w:p w14:paraId="277FCF38"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Institutional review board statement: </w:t>
      </w:r>
      <w:bookmarkStart w:id="56" w:name="OLE_LINK57"/>
      <w:bookmarkStart w:id="57" w:name="OLE_LINK58"/>
      <w:r w:rsidRPr="007F0B0F">
        <w:rPr>
          <w:rFonts w:ascii="Book Antiqua" w:eastAsia="Book Antiqua" w:hAnsi="Book Antiqua" w:cs="Book Antiqua"/>
          <w:color w:val="000000"/>
          <w:shd w:val="clear" w:color="auto" w:fill="FFFFFF"/>
        </w:rPr>
        <w:t>The study was reviewed and approved by the kantonalen Ethikkomission Zürich (Approval No. 2019-00208).</w:t>
      </w:r>
    </w:p>
    <w:bookmarkEnd w:id="56"/>
    <w:bookmarkEnd w:id="57"/>
    <w:p w14:paraId="6D3D4C2A" w14:textId="77777777" w:rsidR="00A77B3E" w:rsidRPr="007F0B0F" w:rsidRDefault="00A77B3E" w:rsidP="007F0B0F">
      <w:pPr>
        <w:snapToGrid w:val="0"/>
        <w:spacing w:line="360" w:lineRule="auto"/>
        <w:jc w:val="both"/>
        <w:rPr>
          <w:rFonts w:ascii="Book Antiqua" w:hAnsi="Book Antiqua"/>
        </w:rPr>
      </w:pPr>
    </w:p>
    <w:p w14:paraId="639FE9A2" w14:textId="77777777" w:rsidR="00AC69DD" w:rsidRPr="007F0B0F" w:rsidRDefault="00AC69DD" w:rsidP="007F0B0F">
      <w:pPr>
        <w:autoSpaceDE w:val="0"/>
        <w:autoSpaceDN w:val="0"/>
        <w:adjustRightInd w:val="0"/>
        <w:snapToGrid w:val="0"/>
        <w:spacing w:line="360" w:lineRule="auto"/>
        <w:jc w:val="both"/>
        <w:rPr>
          <w:rFonts w:ascii="Book Antiqua" w:hAnsi="Book Antiqua" w:cs="TimesNewRomanPSMT"/>
          <w:lang w:val="en-GB"/>
        </w:rPr>
      </w:pPr>
      <w:r w:rsidRPr="007F0B0F">
        <w:rPr>
          <w:rFonts w:ascii="Book Antiqua" w:hAnsi="Book Antiqua" w:cs="Tahoma"/>
          <w:b/>
          <w:lang w:val="en-GB"/>
        </w:rPr>
        <w:t>Conflict-of-interest statement:</w:t>
      </w:r>
      <w:r w:rsidRPr="007F0B0F">
        <w:rPr>
          <w:rFonts w:ascii="Book Antiqua" w:hAnsi="Book Antiqua" w:cs="Tahoma"/>
          <w:lang w:val="en-GB"/>
        </w:rPr>
        <w:t xml:space="preserve"> </w:t>
      </w:r>
      <w:bookmarkStart w:id="58" w:name="OLE_LINK59"/>
      <w:bookmarkStart w:id="59" w:name="OLE_LINK60"/>
      <w:r w:rsidRPr="007F0B0F">
        <w:rPr>
          <w:rFonts w:ascii="Book Antiqua" w:hAnsi="Book Antiqua" w:cs="TimesNewRomanPSMT"/>
          <w:lang w:val="en-GB"/>
        </w:rPr>
        <w:t>The authors declare that they have no conflict of interest.</w:t>
      </w:r>
    </w:p>
    <w:bookmarkEnd w:id="58"/>
    <w:bookmarkEnd w:id="59"/>
    <w:p w14:paraId="08D2C7CB" w14:textId="77777777" w:rsidR="00A77B3E" w:rsidRPr="007F0B0F" w:rsidRDefault="00A77B3E" w:rsidP="007F0B0F">
      <w:pPr>
        <w:snapToGrid w:val="0"/>
        <w:spacing w:line="360" w:lineRule="auto"/>
        <w:jc w:val="both"/>
        <w:rPr>
          <w:rFonts w:ascii="Book Antiqua" w:hAnsi="Book Antiqua"/>
          <w:lang w:val="en-GB"/>
        </w:rPr>
      </w:pPr>
    </w:p>
    <w:p w14:paraId="1947655B"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Data sharing statement: </w:t>
      </w:r>
      <w:bookmarkStart w:id="60" w:name="OLE_LINK61"/>
      <w:bookmarkStart w:id="61" w:name="OLE_LINK62"/>
      <w:r w:rsidRPr="007F0B0F">
        <w:rPr>
          <w:rFonts w:ascii="Book Antiqua" w:eastAsia="Book Antiqua" w:hAnsi="Book Antiqua" w:cs="Book Antiqua"/>
          <w:color w:val="000000"/>
          <w:shd w:val="clear" w:color="auto" w:fill="FFFFFF"/>
        </w:rPr>
        <w:t>No additional data are available.</w:t>
      </w:r>
    </w:p>
    <w:bookmarkEnd w:id="60"/>
    <w:bookmarkEnd w:id="61"/>
    <w:p w14:paraId="630806C9" w14:textId="77777777" w:rsidR="00A77B3E" w:rsidRPr="007F0B0F" w:rsidRDefault="00A77B3E" w:rsidP="007F0B0F">
      <w:pPr>
        <w:snapToGrid w:val="0"/>
        <w:spacing w:line="360" w:lineRule="auto"/>
        <w:jc w:val="both"/>
        <w:rPr>
          <w:rFonts w:ascii="Book Antiqua" w:hAnsi="Book Antiqua"/>
        </w:rPr>
      </w:pPr>
    </w:p>
    <w:p w14:paraId="45F925BC"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Open-Access: </w:t>
      </w:r>
      <w:r w:rsidRPr="007F0B0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29798A" w14:textId="77777777" w:rsidR="00A77B3E" w:rsidRPr="007F0B0F" w:rsidRDefault="00A77B3E" w:rsidP="007F0B0F">
      <w:pPr>
        <w:snapToGrid w:val="0"/>
        <w:spacing w:line="360" w:lineRule="auto"/>
        <w:jc w:val="both"/>
        <w:rPr>
          <w:rFonts w:ascii="Book Antiqua" w:hAnsi="Book Antiqua"/>
        </w:rPr>
      </w:pPr>
    </w:p>
    <w:p w14:paraId="0C284740"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Manuscript source: </w:t>
      </w:r>
      <w:r w:rsidRPr="007F0B0F">
        <w:rPr>
          <w:rFonts w:ascii="Book Antiqua" w:eastAsia="Book Antiqua" w:hAnsi="Book Antiqua" w:cs="Book Antiqua"/>
          <w:color w:val="000000"/>
        </w:rPr>
        <w:t xml:space="preserve">Unsolicited </w:t>
      </w:r>
      <w:r w:rsidR="00915A8C" w:rsidRPr="007F0B0F">
        <w:rPr>
          <w:rFonts w:ascii="Book Antiqua" w:eastAsia="Book Antiqua" w:hAnsi="Book Antiqua" w:cs="Book Antiqua"/>
          <w:color w:val="000000"/>
        </w:rPr>
        <w:t>manuscript</w:t>
      </w:r>
    </w:p>
    <w:p w14:paraId="00422ADD" w14:textId="77777777" w:rsidR="00A77B3E" w:rsidRPr="007F0B0F" w:rsidRDefault="00A77B3E" w:rsidP="007F0B0F">
      <w:pPr>
        <w:snapToGrid w:val="0"/>
        <w:spacing w:line="360" w:lineRule="auto"/>
        <w:jc w:val="both"/>
        <w:rPr>
          <w:rFonts w:ascii="Book Antiqua" w:hAnsi="Book Antiqua"/>
        </w:rPr>
      </w:pPr>
    </w:p>
    <w:p w14:paraId="057304C5"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Peer-review started: </w:t>
      </w:r>
      <w:r w:rsidRPr="007F0B0F">
        <w:rPr>
          <w:rFonts w:ascii="Book Antiqua" w:eastAsia="Book Antiqua" w:hAnsi="Book Antiqua" w:cs="Book Antiqua"/>
          <w:color w:val="000000"/>
        </w:rPr>
        <w:t>September 1, 2020</w:t>
      </w:r>
    </w:p>
    <w:p w14:paraId="288AAF65"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First decision: </w:t>
      </w:r>
      <w:r w:rsidRPr="007F0B0F">
        <w:rPr>
          <w:rFonts w:ascii="Book Antiqua" w:eastAsia="Book Antiqua" w:hAnsi="Book Antiqua" w:cs="Book Antiqua"/>
          <w:color w:val="000000"/>
        </w:rPr>
        <w:t>October 23, 2020</w:t>
      </w:r>
    </w:p>
    <w:p w14:paraId="6B778EFB" w14:textId="15AD15D4"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Article in press: </w:t>
      </w:r>
      <w:r w:rsidR="008B5DE1" w:rsidRPr="00B57D49">
        <w:rPr>
          <w:rFonts w:ascii="Book Antiqua" w:eastAsia="Book Antiqua" w:hAnsi="Book Antiqua" w:cs="Book Antiqua"/>
          <w:color w:val="000000"/>
        </w:rPr>
        <w:t>December 23, 2020</w:t>
      </w:r>
    </w:p>
    <w:p w14:paraId="64B52107" w14:textId="77777777" w:rsidR="00A77B3E" w:rsidRPr="007F0B0F" w:rsidRDefault="00A77B3E" w:rsidP="007F0B0F">
      <w:pPr>
        <w:snapToGrid w:val="0"/>
        <w:spacing w:line="360" w:lineRule="auto"/>
        <w:jc w:val="both"/>
        <w:rPr>
          <w:rFonts w:ascii="Book Antiqua" w:hAnsi="Book Antiqua"/>
        </w:rPr>
      </w:pPr>
    </w:p>
    <w:p w14:paraId="13C0EE79"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Specialty type: </w:t>
      </w:r>
      <w:r w:rsidR="007350A3" w:rsidRPr="007F0B0F">
        <w:rPr>
          <w:rFonts w:ascii="Book Antiqua" w:eastAsia="Book Antiqua" w:hAnsi="Book Antiqua" w:cs="Book Antiqua"/>
          <w:color w:val="000000"/>
        </w:rPr>
        <w:t>Gastroenterology and hepatology</w:t>
      </w:r>
    </w:p>
    <w:p w14:paraId="6B896521"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Country/Territory of origin: </w:t>
      </w:r>
      <w:r w:rsidRPr="007F0B0F">
        <w:rPr>
          <w:rFonts w:ascii="Book Antiqua" w:eastAsia="Book Antiqua" w:hAnsi="Book Antiqua" w:cs="Book Antiqua"/>
          <w:color w:val="000000"/>
        </w:rPr>
        <w:t>Switzerland</w:t>
      </w:r>
    </w:p>
    <w:p w14:paraId="10F9A6A4"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Peer-review report’s scientific quality classification</w:t>
      </w:r>
    </w:p>
    <w:p w14:paraId="547A9A99"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Grade A (Excellent): 0</w:t>
      </w:r>
    </w:p>
    <w:p w14:paraId="7E89C22F"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Grade B (Very good): 0</w:t>
      </w:r>
    </w:p>
    <w:p w14:paraId="05EB86C7"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Grade C (Good): C</w:t>
      </w:r>
    </w:p>
    <w:p w14:paraId="379E43F4"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lastRenderedPageBreak/>
        <w:t>Grade D (Fair): 0</w:t>
      </w:r>
    </w:p>
    <w:p w14:paraId="4DA1C24E"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Grade E (Poor): 0</w:t>
      </w:r>
    </w:p>
    <w:p w14:paraId="51A7FBEF" w14:textId="77777777" w:rsidR="00A77B3E" w:rsidRPr="007F0B0F" w:rsidRDefault="00A77B3E" w:rsidP="007F0B0F">
      <w:pPr>
        <w:snapToGrid w:val="0"/>
        <w:spacing w:line="360" w:lineRule="auto"/>
        <w:jc w:val="both"/>
        <w:rPr>
          <w:rFonts w:ascii="Book Antiqua" w:hAnsi="Book Antiqua"/>
        </w:rPr>
      </w:pPr>
    </w:p>
    <w:p w14:paraId="3478D23F" w14:textId="7D46232A" w:rsidR="00CA658C" w:rsidRPr="008B5DE1" w:rsidRDefault="00CA658C" w:rsidP="007F0B0F">
      <w:pPr>
        <w:snapToGrid w:val="0"/>
        <w:spacing w:line="360" w:lineRule="auto"/>
        <w:jc w:val="both"/>
        <w:rPr>
          <w:rFonts w:ascii="Book Antiqua" w:eastAsia="Book Antiqua" w:hAnsi="Book Antiqua" w:cs="Book Antiqua"/>
          <w:bCs/>
          <w:color w:val="000000"/>
        </w:rPr>
      </w:pPr>
      <w:r w:rsidRPr="007F0B0F">
        <w:rPr>
          <w:rFonts w:ascii="Book Antiqua" w:eastAsia="Book Antiqua" w:hAnsi="Book Antiqua" w:cs="Book Antiqua"/>
          <w:b/>
          <w:color w:val="000000"/>
        </w:rPr>
        <w:t xml:space="preserve">P-Reviewer: </w:t>
      </w:r>
      <w:r w:rsidRPr="007F0B0F">
        <w:rPr>
          <w:rFonts w:ascii="Book Antiqua" w:eastAsia="Book Antiqua" w:hAnsi="Book Antiqua" w:cs="Book Antiqua"/>
          <w:color w:val="000000"/>
        </w:rPr>
        <w:t>Chapman BC</w:t>
      </w:r>
      <w:r w:rsidRPr="007F0B0F">
        <w:rPr>
          <w:rFonts w:ascii="Book Antiqua" w:eastAsia="Book Antiqua" w:hAnsi="Book Antiqua" w:cs="Book Antiqua"/>
          <w:b/>
          <w:color w:val="000000"/>
        </w:rPr>
        <w:t xml:space="preserve"> S-Editor: </w:t>
      </w:r>
      <w:r w:rsidRPr="007F0B0F">
        <w:rPr>
          <w:rFonts w:ascii="Book Antiqua" w:eastAsia="Book Antiqua" w:hAnsi="Book Antiqua" w:cs="Book Antiqua"/>
          <w:color w:val="000000"/>
        </w:rPr>
        <w:t>Zhang L</w:t>
      </w:r>
      <w:r w:rsidR="00094AEF" w:rsidRPr="007F0B0F">
        <w:rPr>
          <w:rFonts w:ascii="Book Antiqua" w:eastAsia="Book Antiqua" w:hAnsi="Book Antiqua" w:cs="Book Antiqua"/>
          <w:b/>
          <w:color w:val="000000"/>
        </w:rPr>
        <w:t xml:space="preserve"> L-Editor: </w:t>
      </w:r>
      <w:r w:rsidR="008B5DE1">
        <w:rPr>
          <w:rFonts w:ascii="Book Antiqua" w:eastAsia="Book Antiqua" w:hAnsi="Book Antiqua" w:cs="Book Antiqua"/>
          <w:bCs/>
          <w:color w:val="000000"/>
        </w:rPr>
        <w:t xml:space="preserve">A </w:t>
      </w:r>
      <w:r w:rsidRPr="007F0B0F">
        <w:rPr>
          <w:rFonts w:ascii="Book Antiqua" w:eastAsia="Book Antiqua" w:hAnsi="Book Antiqua" w:cs="Book Antiqua"/>
          <w:b/>
          <w:color w:val="000000"/>
        </w:rPr>
        <w:t xml:space="preserve">P-Editor: </w:t>
      </w:r>
      <w:r w:rsidR="008B5DE1">
        <w:rPr>
          <w:rFonts w:ascii="Book Antiqua" w:eastAsia="Book Antiqua" w:hAnsi="Book Antiqua" w:cs="Book Antiqua"/>
          <w:bCs/>
          <w:color w:val="000000"/>
        </w:rPr>
        <w:t>Wang LYT</w:t>
      </w:r>
    </w:p>
    <w:p w14:paraId="1A268D3C" w14:textId="77777777" w:rsidR="00A77B3E" w:rsidRPr="007F0B0F" w:rsidRDefault="00CA658C" w:rsidP="007F0B0F">
      <w:pPr>
        <w:snapToGrid w:val="0"/>
        <w:spacing w:line="360" w:lineRule="auto"/>
        <w:jc w:val="both"/>
        <w:rPr>
          <w:rFonts w:ascii="Book Antiqua" w:eastAsia="Book Antiqua" w:hAnsi="Book Antiqua" w:cs="Book Antiqua"/>
          <w:b/>
          <w:color w:val="000000"/>
        </w:rPr>
      </w:pPr>
      <w:r w:rsidRPr="007F0B0F">
        <w:rPr>
          <w:rFonts w:ascii="Book Antiqua" w:eastAsia="Book Antiqua" w:hAnsi="Book Antiqua" w:cs="Book Antiqua"/>
          <w:b/>
          <w:color w:val="000000"/>
        </w:rPr>
        <w:br w:type="page"/>
      </w:r>
      <w:r w:rsidRPr="007F0B0F">
        <w:rPr>
          <w:rFonts w:ascii="Book Antiqua" w:eastAsia="Book Antiqua" w:hAnsi="Book Antiqua" w:cs="Book Antiqua"/>
          <w:b/>
          <w:color w:val="000000"/>
        </w:rPr>
        <w:lastRenderedPageBreak/>
        <w:t>Figure Legends</w:t>
      </w:r>
    </w:p>
    <w:p w14:paraId="5405022D" w14:textId="77777777" w:rsidR="00CA658C" w:rsidRPr="007F0B0F" w:rsidRDefault="00CA658C" w:rsidP="007F0B0F">
      <w:pPr>
        <w:snapToGrid w:val="0"/>
        <w:spacing w:line="360" w:lineRule="auto"/>
        <w:jc w:val="both"/>
        <w:rPr>
          <w:rFonts w:ascii="Book Antiqua" w:hAnsi="Book Antiqua"/>
        </w:rPr>
      </w:pPr>
      <w:r w:rsidRPr="007F0B0F">
        <w:rPr>
          <w:rFonts w:ascii="Book Antiqua" w:hAnsi="Book Antiqua"/>
          <w:noProof/>
          <w:lang w:eastAsia="zh-CN"/>
        </w:rPr>
        <w:drawing>
          <wp:inline distT="0" distB="0" distL="0" distR="0" wp14:anchorId="4388DECC" wp14:editId="74D808F4">
            <wp:extent cx="5486400" cy="4429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4429125"/>
                    </a:xfrm>
                    <a:prstGeom prst="rect">
                      <a:avLst/>
                    </a:prstGeom>
                  </pic:spPr>
                </pic:pic>
              </a:graphicData>
            </a:graphic>
          </wp:inline>
        </w:drawing>
      </w:r>
    </w:p>
    <w:p w14:paraId="5F3147D8" w14:textId="77777777" w:rsidR="00574BEF" w:rsidRPr="007F0B0F" w:rsidRDefault="00574BEF" w:rsidP="007F0B0F">
      <w:pPr>
        <w:snapToGrid w:val="0"/>
        <w:spacing w:line="360" w:lineRule="auto"/>
        <w:jc w:val="both"/>
        <w:rPr>
          <w:rFonts w:ascii="Book Antiqua" w:hAnsi="Book Antiqua"/>
        </w:rPr>
      </w:pPr>
      <w:r w:rsidRPr="007F0B0F">
        <w:rPr>
          <w:rFonts w:ascii="Book Antiqua" w:hAnsi="Book Antiqua"/>
          <w:b/>
          <w:bCs/>
        </w:rPr>
        <w:t>Figure 1</w:t>
      </w:r>
      <w:r w:rsidR="00CA658C" w:rsidRPr="007F0B0F">
        <w:rPr>
          <w:rFonts w:ascii="Book Antiqua" w:hAnsi="Book Antiqua"/>
          <w:b/>
          <w:bCs/>
        </w:rPr>
        <w:t xml:space="preserve"> Effects of fistulodesis</w:t>
      </w:r>
      <w:r w:rsidRPr="007F0B0F">
        <w:rPr>
          <w:rFonts w:ascii="Book Antiqua" w:hAnsi="Book Antiqua"/>
          <w:b/>
          <w:bCs/>
        </w:rPr>
        <w:t xml:space="preserve"> on perianal disease activity. </w:t>
      </w:r>
      <w:r w:rsidRPr="007F0B0F">
        <w:rPr>
          <w:rFonts w:ascii="Book Antiqua" w:hAnsi="Book Antiqua"/>
          <w:bCs/>
        </w:rPr>
        <w:t>A:</w:t>
      </w:r>
      <w:r w:rsidR="00CA658C" w:rsidRPr="007F0B0F">
        <w:rPr>
          <w:rFonts w:ascii="Book Antiqua" w:hAnsi="Book Antiqua"/>
          <w:bCs/>
        </w:rPr>
        <w:t xml:space="preserve"> </w:t>
      </w:r>
      <w:r w:rsidRPr="007F0B0F">
        <w:rPr>
          <w:rFonts w:ascii="Book Antiqua" w:hAnsi="Book Antiqua"/>
        </w:rPr>
        <w:t>Perianal disease activity index over time in all patients;</w:t>
      </w:r>
      <w:r w:rsidRPr="007F0B0F">
        <w:rPr>
          <w:rFonts w:ascii="Book Antiqua" w:hAnsi="Book Antiqua"/>
          <w:bCs/>
        </w:rPr>
        <w:t xml:space="preserve"> B:</w:t>
      </w:r>
      <w:r w:rsidR="00CA658C" w:rsidRPr="007F0B0F">
        <w:rPr>
          <w:rFonts w:ascii="Book Antiqua" w:hAnsi="Book Antiqua"/>
        </w:rPr>
        <w:t xml:space="preserve"> </w:t>
      </w:r>
      <w:r w:rsidRPr="007F0B0F">
        <w:rPr>
          <w:rFonts w:ascii="Book Antiqua" w:hAnsi="Book Antiqua"/>
        </w:rPr>
        <w:t>Perianal disease activity index</w:t>
      </w:r>
      <w:r w:rsidR="00CA658C" w:rsidRPr="007F0B0F">
        <w:rPr>
          <w:rFonts w:ascii="Book Antiqua" w:hAnsi="Book Antiqua"/>
        </w:rPr>
        <w:t xml:space="preserve"> over time in seven patients with healing of at least one fistula upon fistulodesis.</w:t>
      </w:r>
      <w:r w:rsidRPr="007F0B0F">
        <w:rPr>
          <w:rFonts w:ascii="Book Antiqua" w:hAnsi="Book Antiqua"/>
          <w:lang w:eastAsia="zh-CN"/>
        </w:rPr>
        <w:t xml:space="preserve"> </w:t>
      </w:r>
      <w:r w:rsidR="00CA658C" w:rsidRPr="007F0B0F">
        <w:rPr>
          <w:rFonts w:ascii="Book Antiqua" w:hAnsi="Book Antiqua"/>
        </w:rPr>
        <w:t xml:space="preserve">No statistical differences were observed when </w:t>
      </w:r>
      <w:r w:rsidRPr="007F0B0F">
        <w:rPr>
          <w:rFonts w:ascii="Book Antiqua" w:hAnsi="Book Antiqua"/>
        </w:rPr>
        <w:t>perianal disease activity index</w:t>
      </w:r>
      <w:r w:rsidR="00CA658C" w:rsidRPr="007F0B0F">
        <w:rPr>
          <w:rFonts w:ascii="Book Antiqua" w:hAnsi="Book Antiqua"/>
        </w:rPr>
        <w:t xml:space="preserve"> at screening and week 24 post-operative was compared (Wilcoxon test). PDAI: Perianal disease activity index; non-IBD: Non-inflammatory bowel disease; CD: Crohn’s disease.</w:t>
      </w:r>
    </w:p>
    <w:p w14:paraId="009E1EF6" w14:textId="77777777" w:rsidR="00574BEF" w:rsidRPr="007F0B0F" w:rsidRDefault="00574BEF" w:rsidP="007F0B0F">
      <w:pPr>
        <w:snapToGrid w:val="0"/>
        <w:spacing w:line="360" w:lineRule="auto"/>
        <w:jc w:val="both"/>
        <w:rPr>
          <w:rFonts w:ascii="Book Antiqua" w:hAnsi="Book Antiqua"/>
          <w:b/>
          <w:bCs/>
        </w:rPr>
      </w:pPr>
      <w:r w:rsidRPr="007F0B0F">
        <w:rPr>
          <w:rFonts w:ascii="Book Antiqua" w:hAnsi="Book Antiqua"/>
        </w:rPr>
        <w:br w:type="page"/>
      </w:r>
      <w:r w:rsidRPr="007F0B0F">
        <w:rPr>
          <w:rFonts w:ascii="Book Antiqua" w:hAnsi="Book Antiqua"/>
          <w:b/>
          <w:bCs/>
        </w:rPr>
        <w:lastRenderedPageBreak/>
        <w:t>Table 1 Comparison of clinical and epidemiological characteristics of patient cohorts</w:t>
      </w:r>
    </w:p>
    <w:tbl>
      <w:tblPr>
        <w:tblW w:w="9286" w:type="dxa"/>
        <w:tblBorders>
          <w:top w:val="single" w:sz="4" w:space="0" w:color="BFBFBF"/>
          <w:bottom w:val="single" w:sz="4" w:space="0" w:color="BFBFBF"/>
        </w:tblBorders>
        <w:tblLayout w:type="fixed"/>
        <w:tblCellMar>
          <w:left w:w="10" w:type="dxa"/>
          <w:right w:w="10" w:type="dxa"/>
        </w:tblCellMar>
        <w:tblLook w:val="04A0" w:firstRow="1" w:lastRow="0" w:firstColumn="1" w:lastColumn="0" w:noHBand="0" w:noVBand="1"/>
      </w:tblPr>
      <w:tblGrid>
        <w:gridCol w:w="2704"/>
        <w:gridCol w:w="2693"/>
        <w:gridCol w:w="2791"/>
        <w:gridCol w:w="1098"/>
      </w:tblGrid>
      <w:tr w:rsidR="00094AEF" w:rsidRPr="007F0B0F" w14:paraId="0C4682B6" w14:textId="77777777" w:rsidTr="00921D53">
        <w:tc>
          <w:tcPr>
            <w:tcW w:w="2704" w:type="dxa"/>
            <w:tcBorders>
              <w:top w:val="single" w:sz="4" w:space="0" w:color="000000" w:themeColor="text1"/>
              <w:bottom w:val="single" w:sz="4" w:space="0" w:color="000000" w:themeColor="text1"/>
            </w:tcBorders>
            <w:shd w:val="clear" w:color="auto" w:fill="auto"/>
            <w:vAlign w:val="center"/>
          </w:tcPr>
          <w:p w14:paraId="4D166FA6" w14:textId="77777777" w:rsidR="00574BEF" w:rsidRPr="007F0B0F" w:rsidRDefault="00574BEF" w:rsidP="007F0B0F">
            <w:pPr>
              <w:snapToGrid w:val="0"/>
              <w:spacing w:line="360" w:lineRule="auto"/>
              <w:jc w:val="both"/>
              <w:rPr>
                <w:rFonts w:ascii="Book Antiqua" w:eastAsia="等线" w:hAnsi="Book Antiqua" w:cs="Arial"/>
                <w:b/>
                <w:bCs/>
              </w:rPr>
            </w:pPr>
            <w:r w:rsidRPr="007F0B0F">
              <w:rPr>
                <w:rFonts w:ascii="Book Antiqua" w:eastAsia="等线" w:hAnsi="Book Antiqua" w:cs="Arial"/>
                <w:b/>
                <w:bCs/>
              </w:rPr>
              <w:t>Characteristics</w:t>
            </w:r>
          </w:p>
        </w:tc>
        <w:tc>
          <w:tcPr>
            <w:tcW w:w="2693" w:type="dxa"/>
            <w:tcBorders>
              <w:top w:val="single" w:sz="4" w:space="0" w:color="000000" w:themeColor="text1"/>
              <w:bottom w:val="single" w:sz="4" w:space="0" w:color="000000" w:themeColor="text1"/>
            </w:tcBorders>
            <w:shd w:val="clear" w:color="auto" w:fill="auto"/>
            <w:vAlign w:val="center"/>
          </w:tcPr>
          <w:p w14:paraId="70C61A8E" w14:textId="77777777" w:rsidR="00574BEF" w:rsidRPr="007F0B0F" w:rsidRDefault="00574BEF" w:rsidP="007F0B0F">
            <w:pPr>
              <w:snapToGrid w:val="0"/>
              <w:spacing w:line="360" w:lineRule="auto"/>
              <w:jc w:val="both"/>
              <w:rPr>
                <w:rFonts w:ascii="Book Antiqua" w:eastAsia="等线" w:hAnsi="Book Antiqua" w:cs="Arial"/>
                <w:b/>
                <w:bCs/>
              </w:rPr>
            </w:pPr>
            <w:r w:rsidRPr="007F0B0F">
              <w:rPr>
                <w:rFonts w:ascii="Book Antiqua" w:eastAsia="等线" w:hAnsi="Book Antiqua" w:cs="Arial"/>
                <w:b/>
                <w:bCs/>
              </w:rPr>
              <w:t>Non-IBD patients,</w:t>
            </w:r>
            <w:r w:rsidRPr="007F0B0F">
              <w:rPr>
                <w:rFonts w:ascii="Book Antiqua" w:eastAsia="等线" w:hAnsi="Book Antiqua" w:cs="Arial"/>
                <w:b/>
                <w:bCs/>
                <w:lang w:eastAsia="zh-CN"/>
              </w:rPr>
              <w:t xml:space="preserve"> </w:t>
            </w:r>
            <w:r w:rsidRPr="007F0B0F">
              <w:rPr>
                <w:rFonts w:ascii="Book Antiqua" w:eastAsia="等线" w:hAnsi="Book Antiqua" w:cs="Arial"/>
                <w:b/>
                <w:bCs/>
                <w:i/>
              </w:rPr>
              <w:t>n</w:t>
            </w:r>
            <w:r w:rsidRPr="007F0B0F">
              <w:rPr>
                <w:rFonts w:ascii="Book Antiqua" w:eastAsia="等线" w:hAnsi="Book Antiqua" w:cs="Arial"/>
                <w:b/>
                <w:bCs/>
              </w:rPr>
              <w:t xml:space="preserve"> = 17</w:t>
            </w:r>
          </w:p>
        </w:tc>
        <w:tc>
          <w:tcPr>
            <w:tcW w:w="2791" w:type="dxa"/>
            <w:tcBorders>
              <w:top w:val="single" w:sz="4" w:space="0" w:color="000000" w:themeColor="text1"/>
              <w:bottom w:val="single" w:sz="4" w:space="0" w:color="000000" w:themeColor="text1"/>
            </w:tcBorders>
            <w:shd w:val="clear" w:color="auto" w:fill="auto"/>
            <w:vAlign w:val="center"/>
          </w:tcPr>
          <w:p w14:paraId="7AF5AA6D"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
                <w:bCs/>
              </w:rPr>
              <w:t>Patients with CD,</w:t>
            </w:r>
            <w:r w:rsidRPr="007F0B0F">
              <w:rPr>
                <w:rFonts w:ascii="Book Antiqua" w:eastAsia="等线" w:hAnsi="Book Antiqua" w:cs="Arial"/>
                <w:bCs/>
                <w:lang w:eastAsia="zh-CN"/>
              </w:rPr>
              <w:t xml:space="preserve"> </w:t>
            </w:r>
            <w:r w:rsidRPr="007F0B0F">
              <w:rPr>
                <w:rFonts w:ascii="Book Antiqua" w:eastAsia="等线" w:hAnsi="Book Antiqua" w:cs="Arial"/>
                <w:b/>
                <w:bCs/>
                <w:i/>
              </w:rPr>
              <w:t>n</w:t>
            </w:r>
            <w:r w:rsidRPr="007F0B0F">
              <w:rPr>
                <w:rFonts w:ascii="Book Antiqua" w:eastAsia="等线" w:hAnsi="Book Antiqua" w:cs="Arial"/>
                <w:b/>
                <w:bCs/>
              </w:rPr>
              <w:t xml:space="preserve"> = 3</w:t>
            </w:r>
          </w:p>
        </w:tc>
        <w:tc>
          <w:tcPr>
            <w:tcW w:w="1098" w:type="dxa"/>
            <w:tcBorders>
              <w:top w:val="single" w:sz="4" w:space="0" w:color="000000" w:themeColor="text1"/>
              <w:bottom w:val="single" w:sz="4" w:space="0" w:color="000000" w:themeColor="text1"/>
            </w:tcBorders>
            <w:shd w:val="clear" w:color="auto" w:fill="auto"/>
            <w:vAlign w:val="center"/>
          </w:tcPr>
          <w:p w14:paraId="3D9806B7" w14:textId="77777777" w:rsidR="00574BEF" w:rsidRPr="007F0B0F" w:rsidRDefault="00574BEF" w:rsidP="007F0B0F">
            <w:pPr>
              <w:snapToGrid w:val="0"/>
              <w:spacing w:line="360" w:lineRule="auto"/>
              <w:jc w:val="both"/>
              <w:rPr>
                <w:rFonts w:ascii="Book Antiqua" w:eastAsia="等线" w:hAnsi="Book Antiqua" w:cs="Arial"/>
                <w:b/>
                <w:bCs/>
                <w:highlight w:val="yellow"/>
              </w:rPr>
            </w:pPr>
            <w:r w:rsidRPr="007F0B0F">
              <w:rPr>
                <w:rFonts w:ascii="Book Antiqua" w:eastAsia="等线" w:hAnsi="Book Antiqua" w:cs="Arial"/>
                <w:b/>
                <w:bCs/>
                <w:i/>
              </w:rPr>
              <w:t>P</w:t>
            </w:r>
            <w:r w:rsidRPr="007F0B0F">
              <w:rPr>
                <w:rFonts w:ascii="Book Antiqua" w:eastAsia="等线" w:hAnsi="Book Antiqua" w:cs="Arial"/>
                <w:b/>
                <w:bCs/>
              </w:rPr>
              <w:t xml:space="preserve"> value</w:t>
            </w:r>
          </w:p>
        </w:tc>
      </w:tr>
      <w:tr w:rsidR="00094AEF" w:rsidRPr="007F0B0F" w14:paraId="26700AF5" w14:textId="77777777" w:rsidTr="00921D53">
        <w:tc>
          <w:tcPr>
            <w:tcW w:w="2704" w:type="dxa"/>
            <w:tcBorders>
              <w:top w:val="single" w:sz="4" w:space="0" w:color="000000" w:themeColor="text1"/>
            </w:tcBorders>
            <w:shd w:val="clear" w:color="auto" w:fill="auto"/>
          </w:tcPr>
          <w:p w14:paraId="081126A2"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 xml:space="preserve">Female: </w:t>
            </w:r>
            <w:r w:rsidRPr="007F0B0F">
              <w:rPr>
                <w:rFonts w:ascii="Book Antiqua" w:eastAsia="等线" w:hAnsi="Book Antiqua" w:cs="Arial"/>
                <w:bCs/>
                <w:i/>
              </w:rPr>
              <w:t>n</w:t>
            </w:r>
            <w:r w:rsidRPr="007F0B0F">
              <w:rPr>
                <w:rFonts w:ascii="Book Antiqua" w:eastAsia="等线" w:hAnsi="Book Antiqua" w:cs="Arial"/>
                <w:bCs/>
              </w:rPr>
              <w:t xml:space="preserve"> (%);</w:t>
            </w:r>
            <w:r w:rsidRPr="007F0B0F">
              <w:rPr>
                <w:rFonts w:ascii="Book Antiqua" w:eastAsia="等线" w:hAnsi="Book Antiqua" w:cs="Arial"/>
                <w:bCs/>
                <w:lang w:eastAsia="zh-CN"/>
              </w:rPr>
              <w:t xml:space="preserve"> </w:t>
            </w:r>
            <w:r w:rsidRPr="007F0B0F">
              <w:rPr>
                <w:rFonts w:ascii="Book Antiqua" w:eastAsia="等线" w:hAnsi="Book Antiqua" w:cs="Arial"/>
                <w:bCs/>
              </w:rPr>
              <w:t xml:space="preserve">Male: </w:t>
            </w:r>
            <w:r w:rsidRPr="007F0B0F">
              <w:rPr>
                <w:rFonts w:ascii="Book Antiqua" w:eastAsia="等线" w:hAnsi="Book Antiqua" w:cs="Arial"/>
                <w:bCs/>
                <w:i/>
              </w:rPr>
              <w:t>n</w:t>
            </w:r>
            <w:r w:rsidRPr="007F0B0F">
              <w:rPr>
                <w:rFonts w:ascii="Book Antiqua" w:eastAsia="等线" w:hAnsi="Book Antiqua" w:cs="Arial"/>
                <w:bCs/>
              </w:rPr>
              <w:t xml:space="preserve"> (%)</w:t>
            </w:r>
          </w:p>
        </w:tc>
        <w:tc>
          <w:tcPr>
            <w:tcW w:w="2693" w:type="dxa"/>
            <w:tcBorders>
              <w:top w:val="single" w:sz="4" w:space="0" w:color="000000" w:themeColor="text1"/>
            </w:tcBorders>
            <w:shd w:val="clear" w:color="auto" w:fill="auto"/>
          </w:tcPr>
          <w:p w14:paraId="1503D644"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8 (47%);</w:t>
            </w:r>
            <w:r w:rsidRPr="007F0B0F">
              <w:rPr>
                <w:rFonts w:ascii="Book Antiqua" w:eastAsia="等线" w:hAnsi="Book Antiqua" w:cs="Arial"/>
                <w:lang w:eastAsia="zh-CN"/>
              </w:rPr>
              <w:t xml:space="preserve"> </w:t>
            </w:r>
            <w:r w:rsidRPr="007F0B0F">
              <w:rPr>
                <w:rFonts w:ascii="Book Antiqua" w:eastAsia="等线" w:hAnsi="Book Antiqua" w:cs="Arial"/>
              </w:rPr>
              <w:t>9 (53%)</w:t>
            </w:r>
          </w:p>
        </w:tc>
        <w:tc>
          <w:tcPr>
            <w:tcW w:w="2791" w:type="dxa"/>
            <w:tcBorders>
              <w:top w:val="single" w:sz="4" w:space="0" w:color="000000" w:themeColor="text1"/>
            </w:tcBorders>
            <w:shd w:val="clear" w:color="auto" w:fill="auto"/>
          </w:tcPr>
          <w:p w14:paraId="4F3FB822"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2 (66%);</w:t>
            </w:r>
            <w:r w:rsidRPr="007F0B0F">
              <w:rPr>
                <w:rFonts w:ascii="Book Antiqua" w:eastAsia="等线" w:hAnsi="Book Antiqua" w:cs="Arial"/>
                <w:lang w:eastAsia="zh-CN"/>
              </w:rPr>
              <w:t xml:space="preserve"> </w:t>
            </w:r>
            <w:r w:rsidRPr="007F0B0F">
              <w:rPr>
                <w:rFonts w:ascii="Book Antiqua" w:eastAsia="等线" w:hAnsi="Book Antiqua" w:cs="Arial"/>
              </w:rPr>
              <w:t>1 (33%)</w:t>
            </w:r>
          </w:p>
        </w:tc>
        <w:tc>
          <w:tcPr>
            <w:tcW w:w="1098" w:type="dxa"/>
            <w:tcBorders>
              <w:top w:val="single" w:sz="4" w:space="0" w:color="000000" w:themeColor="text1"/>
            </w:tcBorders>
            <w:shd w:val="clear" w:color="auto" w:fill="auto"/>
          </w:tcPr>
          <w:p w14:paraId="5A87CA7D" w14:textId="5B96850D"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&gt; 0.9999 (</w:t>
            </w:r>
            <w:r w:rsidR="004A58E2">
              <w:rPr>
                <w:rFonts w:ascii="Book Antiqua" w:eastAsia="等线" w:hAnsi="Book Antiqua" w:cs="Arial"/>
                <w:caps/>
              </w:rPr>
              <w:t>NS</w:t>
            </w:r>
            <w:r w:rsidRPr="007F0B0F">
              <w:rPr>
                <w:rFonts w:ascii="Book Antiqua" w:eastAsia="等线" w:hAnsi="Book Antiqua" w:cs="Arial"/>
              </w:rPr>
              <w:t>)</w:t>
            </w:r>
          </w:p>
        </w:tc>
      </w:tr>
      <w:tr w:rsidR="00574BEF" w:rsidRPr="007F0B0F" w14:paraId="5B2597A6" w14:textId="77777777" w:rsidTr="00094AEF">
        <w:tc>
          <w:tcPr>
            <w:tcW w:w="2704" w:type="dxa"/>
            <w:shd w:val="clear" w:color="auto" w:fill="auto"/>
          </w:tcPr>
          <w:p w14:paraId="336121E9"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BMI (kg/m</w:t>
            </w:r>
            <w:r w:rsidRPr="007F0B0F">
              <w:rPr>
                <w:rFonts w:ascii="Book Antiqua" w:eastAsia="等线" w:hAnsi="Book Antiqua" w:cs="Arial"/>
                <w:bCs/>
                <w:vertAlign w:val="superscript"/>
              </w:rPr>
              <w:t>2</w:t>
            </w:r>
            <w:r w:rsidRPr="007F0B0F">
              <w:rPr>
                <w:rFonts w:ascii="Book Antiqua" w:eastAsia="等线" w:hAnsi="Book Antiqua" w:cs="Arial"/>
                <w:bCs/>
              </w:rPr>
              <w:t>),</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305EB75F"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26 (21</w:t>
            </w:r>
            <w:r w:rsidR="00283D1F">
              <w:rPr>
                <w:rFonts w:ascii="Book Antiqua" w:eastAsia="等线" w:hAnsi="Book Antiqua" w:cs="Arial"/>
              </w:rPr>
              <w:t>-</w:t>
            </w:r>
            <w:r w:rsidRPr="007F0B0F">
              <w:rPr>
                <w:rFonts w:ascii="Book Antiqua" w:eastAsia="等线" w:hAnsi="Book Antiqua" w:cs="Arial"/>
              </w:rPr>
              <w:t>30);</w:t>
            </w:r>
            <w:r w:rsidRPr="007F0B0F">
              <w:rPr>
                <w:rFonts w:ascii="Book Antiqua" w:eastAsia="等线" w:hAnsi="Book Antiqua" w:cs="Arial"/>
                <w:lang w:eastAsia="zh-CN"/>
              </w:rPr>
              <w:t xml:space="preserve"> </w:t>
            </w:r>
            <w:r w:rsidR="00525DFD" w:rsidRPr="007F0B0F">
              <w:rPr>
                <w:rFonts w:ascii="Book Antiqua" w:eastAsia="等线" w:hAnsi="Book Antiqua" w:cs="Arial"/>
              </w:rPr>
              <w:t>Range: 20-</w:t>
            </w:r>
            <w:r w:rsidRPr="007F0B0F">
              <w:rPr>
                <w:rFonts w:ascii="Book Antiqua" w:eastAsia="等线" w:hAnsi="Book Antiqua" w:cs="Arial"/>
              </w:rPr>
              <w:t>38</w:t>
            </w:r>
          </w:p>
        </w:tc>
        <w:tc>
          <w:tcPr>
            <w:tcW w:w="2791" w:type="dxa"/>
            <w:shd w:val="clear" w:color="auto" w:fill="auto"/>
          </w:tcPr>
          <w:p w14:paraId="3CAD752E" w14:textId="77777777" w:rsidR="00574BEF" w:rsidRPr="007F0B0F" w:rsidRDefault="00525DFD" w:rsidP="00283D1F">
            <w:pPr>
              <w:snapToGrid w:val="0"/>
              <w:spacing w:line="360" w:lineRule="auto"/>
              <w:jc w:val="both"/>
              <w:rPr>
                <w:rFonts w:ascii="Book Antiqua" w:eastAsia="等线" w:hAnsi="Book Antiqua" w:cs="Arial"/>
              </w:rPr>
            </w:pPr>
            <w:r w:rsidRPr="007F0B0F">
              <w:rPr>
                <w:rFonts w:ascii="Book Antiqua" w:eastAsia="等线" w:hAnsi="Book Antiqua" w:cs="Arial"/>
              </w:rPr>
              <w:t>23 (20</w:t>
            </w:r>
            <w:r w:rsidR="00283D1F">
              <w:rPr>
                <w:rFonts w:ascii="Book Antiqua" w:eastAsia="等线" w:hAnsi="Book Antiqua" w:cs="Arial"/>
              </w:rPr>
              <w:t>h</w:t>
            </w:r>
            <w:r w:rsidR="00574BEF" w:rsidRPr="007F0B0F">
              <w:rPr>
                <w:rFonts w:ascii="Book Antiqua" w:eastAsia="等线" w:hAnsi="Book Antiqua" w:cs="Arial"/>
              </w:rPr>
              <w:t>28)</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20-</w:t>
            </w:r>
            <w:r w:rsidR="00574BEF" w:rsidRPr="007F0B0F">
              <w:rPr>
                <w:rFonts w:ascii="Book Antiqua" w:eastAsia="等线" w:hAnsi="Book Antiqua" w:cs="Arial"/>
              </w:rPr>
              <w:t>28</w:t>
            </w:r>
          </w:p>
        </w:tc>
        <w:tc>
          <w:tcPr>
            <w:tcW w:w="1098" w:type="dxa"/>
            <w:shd w:val="clear" w:color="auto" w:fill="auto"/>
          </w:tcPr>
          <w:p w14:paraId="65752BFE" w14:textId="6909CDE0"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0.5632 (</w:t>
            </w:r>
            <w:r w:rsidR="004A58E2">
              <w:rPr>
                <w:rFonts w:ascii="Book Antiqua" w:eastAsia="等线" w:hAnsi="Book Antiqua" w:cs="Arial"/>
                <w:caps/>
              </w:rPr>
              <w:t>NS</w:t>
            </w:r>
            <w:r w:rsidRPr="007F0B0F">
              <w:rPr>
                <w:rFonts w:ascii="Book Antiqua" w:eastAsia="等线" w:hAnsi="Book Antiqua" w:cs="Arial"/>
              </w:rPr>
              <w:t>)</w:t>
            </w:r>
          </w:p>
        </w:tc>
      </w:tr>
      <w:tr w:rsidR="00094AEF" w:rsidRPr="007F0B0F" w14:paraId="3C01E4B4" w14:textId="77777777" w:rsidTr="00094AEF">
        <w:tc>
          <w:tcPr>
            <w:tcW w:w="2704" w:type="dxa"/>
            <w:shd w:val="clear" w:color="auto" w:fill="auto"/>
          </w:tcPr>
          <w:p w14:paraId="4C37961E"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Age (yr),</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0B86DC6F"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45 (39</w:t>
            </w:r>
            <w:r w:rsidR="00283D1F">
              <w:rPr>
                <w:rFonts w:ascii="Book Antiqua" w:eastAsia="等线" w:hAnsi="Book Antiqua" w:cs="Arial"/>
              </w:rPr>
              <w:t>-</w:t>
            </w:r>
            <w:r w:rsidRPr="007F0B0F">
              <w:rPr>
                <w:rFonts w:ascii="Book Antiqua" w:eastAsia="等线" w:hAnsi="Book Antiqua" w:cs="Arial"/>
              </w:rPr>
              <w:t>52.2);</w:t>
            </w:r>
            <w:r w:rsidRPr="007F0B0F">
              <w:rPr>
                <w:rFonts w:ascii="Book Antiqua" w:eastAsia="等线" w:hAnsi="Book Antiqua" w:cs="Arial"/>
                <w:lang w:eastAsia="zh-CN"/>
              </w:rPr>
              <w:t xml:space="preserve"> </w:t>
            </w:r>
            <w:r w:rsidRPr="007F0B0F">
              <w:rPr>
                <w:rFonts w:ascii="Book Antiqua" w:eastAsia="等线" w:hAnsi="Book Antiqua" w:cs="Arial"/>
              </w:rPr>
              <w:t>Range: 32</w:t>
            </w:r>
            <w:r w:rsidR="00283D1F">
              <w:rPr>
                <w:rFonts w:ascii="Book Antiqua" w:eastAsia="等线" w:hAnsi="Book Antiqua" w:cs="Arial"/>
              </w:rPr>
              <w:t>-</w:t>
            </w:r>
            <w:r w:rsidRPr="007F0B0F">
              <w:rPr>
                <w:rFonts w:ascii="Book Antiqua" w:eastAsia="等线" w:hAnsi="Book Antiqua" w:cs="Arial"/>
              </w:rPr>
              <w:t>76</w:t>
            </w:r>
          </w:p>
        </w:tc>
        <w:tc>
          <w:tcPr>
            <w:tcW w:w="2791" w:type="dxa"/>
            <w:shd w:val="clear" w:color="auto" w:fill="auto"/>
          </w:tcPr>
          <w:p w14:paraId="4FC35881"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34 (25</w:t>
            </w:r>
            <w:r w:rsidR="00283D1F">
              <w:rPr>
                <w:rFonts w:ascii="Book Antiqua" w:eastAsia="等线" w:hAnsi="Book Antiqua" w:cs="Arial"/>
              </w:rPr>
              <w:t>-</w:t>
            </w:r>
            <w:r w:rsidR="00574BEF" w:rsidRPr="007F0B0F">
              <w:rPr>
                <w:rFonts w:ascii="Book Antiqua" w:eastAsia="等线" w:hAnsi="Book Antiqua" w:cs="Arial"/>
              </w:rPr>
              <w:t>52)</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25</w:t>
            </w:r>
            <w:r w:rsidR="00283D1F">
              <w:rPr>
                <w:rFonts w:ascii="Book Antiqua" w:eastAsia="等线" w:hAnsi="Book Antiqua" w:cs="Arial"/>
              </w:rPr>
              <w:t>-</w:t>
            </w:r>
            <w:r w:rsidR="00574BEF" w:rsidRPr="007F0B0F">
              <w:rPr>
                <w:rFonts w:ascii="Book Antiqua" w:eastAsia="等线" w:hAnsi="Book Antiqua" w:cs="Arial"/>
              </w:rPr>
              <w:t>52</w:t>
            </w:r>
          </w:p>
        </w:tc>
        <w:tc>
          <w:tcPr>
            <w:tcW w:w="1098" w:type="dxa"/>
            <w:shd w:val="clear" w:color="auto" w:fill="auto"/>
          </w:tcPr>
          <w:p w14:paraId="14271FF6" w14:textId="09AD8353"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0.3114 (</w:t>
            </w:r>
            <w:r w:rsidR="004A58E2">
              <w:rPr>
                <w:rFonts w:ascii="Book Antiqua" w:eastAsia="等线" w:hAnsi="Book Antiqua" w:cs="Arial"/>
                <w:caps/>
              </w:rPr>
              <w:t>NS</w:t>
            </w:r>
            <w:r w:rsidRPr="007F0B0F">
              <w:rPr>
                <w:rFonts w:ascii="Book Antiqua" w:eastAsia="等线" w:hAnsi="Book Antiqua" w:cs="Arial"/>
              </w:rPr>
              <w:t>)</w:t>
            </w:r>
          </w:p>
        </w:tc>
      </w:tr>
      <w:tr w:rsidR="00574BEF" w:rsidRPr="007F0B0F" w14:paraId="395361CB" w14:textId="77777777" w:rsidTr="00094AEF">
        <w:tc>
          <w:tcPr>
            <w:tcW w:w="2704" w:type="dxa"/>
            <w:shd w:val="clear" w:color="auto" w:fill="auto"/>
          </w:tcPr>
          <w:p w14:paraId="2FAF9A0B"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 xml:space="preserve">Smokers: </w:t>
            </w:r>
            <w:r w:rsidRPr="007F0B0F">
              <w:rPr>
                <w:rFonts w:ascii="Book Antiqua" w:eastAsia="等线" w:hAnsi="Book Antiqua" w:cs="Arial"/>
                <w:bCs/>
                <w:i/>
              </w:rPr>
              <w:t>n</w:t>
            </w:r>
            <w:r w:rsidRPr="007F0B0F">
              <w:rPr>
                <w:rFonts w:ascii="Book Antiqua" w:eastAsia="等线" w:hAnsi="Book Antiqua" w:cs="Arial"/>
                <w:bCs/>
              </w:rPr>
              <w:t xml:space="preserve"> (%);</w:t>
            </w:r>
            <w:r w:rsidRPr="007F0B0F">
              <w:rPr>
                <w:rFonts w:ascii="Book Antiqua" w:eastAsia="等线" w:hAnsi="Book Antiqua" w:cs="Arial"/>
                <w:bCs/>
                <w:lang w:eastAsia="zh-CN"/>
              </w:rPr>
              <w:t xml:space="preserve"> </w:t>
            </w:r>
            <w:r w:rsidRPr="007F0B0F">
              <w:rPr>
                <w:rFonts w:ascii="Book Antiqua" w:eastAsia="等线" w:hAnsi="Book Antiqua" w:cs="Arial"/>
                <w:bCs/>
              </w:rPr>
              <w:t>Pack years;</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7EB56ADD"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4 (24%)</w:t>
            </w:r>
            <w:r w:rsidR="00525DFD" w:rsidRPr="007F0B0F">
              <w:rPr>
                <w:rFonts w:ascii="Book Antiqua" w:eastAsia="等线" w:hAnsi="Book Antiqua" w:cs="Arial"/>
                <w:vertAlign w:val="superscript"/>
              </w:rPr>
              <w:t>1</w:t>
            </w:r>
            <w:r w:rsidR="00525DFD" w:rsidRPr="007F0B0F">
              <w:rPr>
                <w:rFonts w:ascii="Book Antiqua" w:eastAsia="等线" w:hAnsi="Book Antiqua" w:cs="Arial"/>
              </w:rPr>
              <w:t>;</w:t>
            </w:r>
            <w:r w:rsidR="00525DFD" w:rsidRPr="007F0B0F">
              <w:rPr>
                <w:rFonts w:ascii="Book Antiqua" w:eastAsia="等线" w:hAnsi="Book Antiqua" w:cs="Arial"/>
                <w:lang w:eastAsia="zh-CN"/>
              </w:rPr>
              <w:t xml:space="preserve"> </w:t>
            </w:r>
            <w:r w:rsidR="00525DFD" w:rsidRPr="007F0B0F">
              <w:rPr>
                <w:rFonts w:ascii="Book Antiqua" w:eastAsia="等线" w:hAnsi="Book Antiqua" w:cs="Arial"/>
              </w:rPr>
              <w:t>0 (0</w:t>
            </w:r>
            <w:r w:rsidR="00283D1F">
              <w:rPr>
                <w:rFonts w:ascii="Book Antiqua" w:eastAsia="等线" w:hAnsi="Book Antiqua" w:cs="Arial"/>
              </w:rPr>
              <w:t>-</w:t>
            </w:r>
            <w:r w:rsidRPr="007F0B0F">
              <w:rPr>
                <w:rFonts w:ascii="Book Antiqua" w:eastAsia="等线" w:hAnsi="Book Antiqua" w:cs="Arial"/>
              </w:rPr>
              <w:t>12.5)</w:t>
            </w:r>
            <w:r w:rsidRPr="007F0B0F">
              <w:rPr>
                <w:rFonts w:ascii="Book Antiqua" w:eastAsia="等线" w:hAnsi="Book Antiqua" w:cs="Arial"/>
                <w:vertAlign w:val="superscript"/>
              </w:rPr>
              <w:t>2</w:t>
            </w:r>
            <w:r w:rsidR="00525DFD" w:rsidRPr="007F0B0F">
              <w:rPr>
                <w:rFonts w:ascii="Book Antiqua" w:eastAsia="等线" w:hAnsi="Book Antiqua" w:cs="Arial"/>
              </w:rPr>
              <w:t>;</w:t>
            </w:r>
            <w:r w:rsidR="00525DFD" w:rsidRPr="007F0B0F">
              <w:rPr>
                <w:rFonts w:ascii="Book Antiqua" w:eastAsia="等线" w:hAnsi="Book Antiqua" w:cs="Arial"/>
                <w:lang w:eastAsia="zh-CN"/>
              </w:rPr>
              <w:t xml:space="preserve"> </w:t>
            </w:r>
            <w:r w:rsidR="00525DFD" w:rsidRPr="007F0B0F">
              <w:rPr>
                <w:rFonts w:ascii="Book Antiqua" w:eastAsia="等线" w:hAnsi="Book Antiqua" w:cs="Arial"/>
              </w:rPr>
              <w:t>Range: 0</w:t>
            </w:r>
            <w:r w:rsidR="00283D1F">
              <w:rPr>
                <w:rFonts w:ascii="Book Antiqua" w:eastAsia="等线" w:hAnsi="Book Antiqua" w:cs="Arial"/>
              </w:rPr>
              <w:t>-</w:t>
            </w:r>
            <w:r w:rsidRPr="007F0B0F">
              <w:rPr>
                <w:rFonts w:ascii="Book Antiqua" w:eastAsia="等线" w:hAnsi="Book Antiqua" w:cs="Arial"/>
              </w:rPr>
              <w:t>30</w:t>
            </w:r>
          </w:p>
        </w:tc>
        <w:tc>
          <w:tcPr>
            <w:tcW w:w="2791" w:type="dxa"/>
            <w:shd w:val="clear" w:color="auto" w:fill="auto"/>
          </w:tcPr>
          <w:p w14:paraId="10D19C72"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1 (33%)</w:t>
            </w:r>
            <w:r w:rsidR="00525DFD" w:rsidRPr="007F0B0F">
              <w:rPr>
                <w:rFonts w:ascii="Book Antiqua" w:eastAsia="等线" w:hAnsi="Book Antiqua" w:cs="Arial"/>
              </w:rPr>
              <w:t>;</w:t>
            </w:r>
            <w:r w:rsidR="00525DFD" w:rsidRPr="007F0B0F">
              <w:rPr>
                <w:rFonts w:ascii="Book Antiqua" w:eastAsia="等线" w:hAnsi="Book Antiqua" w:cs="Arial"/>
                <w:lang w:eastAsia="zh-CN"/>
              </w:rPr>
              <w:t xml:space="preserve"> </w:t>
            </w:r>
            <w:r w:rsidR="00525DFD" w:rsidRPr="007F0B0F">
              <w:rPr>
                <w:rFonts w:ascii="Book Antiqua" w:eastAsia="等线" w:hAnsi="Book Antiqua" w:cs="Arial"/>
              </w:rPr>
              <w:t>0.25 (0</w:t>
            </w:r>
            <w:r w:rsidR="00283D1F">
              <w:rPr>
                <w:rFonts w:ascii="Book Antiqua" w:eastAsia="等线" w:hAnsi="Book Antiqua" w:cs="Arial"/>
              </w:rPr>
              <w:t>-</w:t>
            </w:r>
            <w:r w:rsidRPr="007F0B0F">
              <w:rPr>
                <w:rFonts w:ascii="Book Antiqua" w:eastAsia="等线" w:hAnsi="Book Antiqua" w:cs="Arial"/>
              </w:rPr>
              <w:t>10)</w:t>
            </w:r>
            <w:r w:rsidR="00525DFD" w:rsidRPr="007F0B0F">
              <w:rPr>
                <w:rFonts w:ascii="Book Antiqua" w:eastAsia="等线" w:hAnsi="Book Antiqua" w:cs="Arial"/>
              </w:rPr>
              <w:t>;</w:t>
            </w:r>
            <w:r w:rsidR="00525DFD" w:rsidRPr="007F0B0F">
              <w:rPr>
                <w:rFonts w:ascii="Book Antiqua" w:eastAsia="等线" w:hAnsi="Book Antiqua" w:cs="Arial"/>
                <w:lang w:eastAsia="zh-CN"/>
              </w:rPr>
              <w:t xml:space="preserve"> </w:t>
            </w:r>
            <w:r w:rsidR="00525DFD" w:rsidRPr="007F0B0F">
              <w:rPr>
                <w:rFonts w:ascii="Book Antiqua" w:eastAsia="等线" w:hAnsi="Book Antiqua" w:cs="Arial"/>
              </w:rPr>
              <w:t>Range: 0</w:t>
            </w:r>
            <w:r w:rsidR="00283D1F">
              <w:rPr>
                <w:rFonts w:ascii="Book Antiqua" w:eastAsia="等线" w:hAnsi="Book Antiqua" w:cs="Arial"/>
              </w:rPr>
              <w:t>-</w:t>
            </w:r>
            <w:r w:rsidRPr="007F0B0F">
              <w:rPr>
                <w:rFonts w:ascii="Book Antiqua" w:eastAsia="等线" w:hAnsi="Book Antiqua" w:cs="Arial"/>
              </w:rPr>
              <w:t>10</w:t>
            </w:r>
          </w:p>
        </w:tc>
        <w:tc>
          <w:tcPr>
            <w:tcW w:w="1098" w:type="dxa"/>
            <w:shd w:val="clear" w:color="auto" w:fill="auto"/>
          </w:tcPr>
          <w:p w14:paraId="546B7424" w14:textId="61D5F688"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0.3333 (</w:t>
            </w:r>
            <w:r w:rsidR="004A58E2">
              <w:rPr>
                <w:rFonts w:ascii="Book Antiqua" w:eastAsia="等线" w:hAnsi="Book Antiqua" w:cs="Arial"/>
                <w:caps/>
              </w:rPr>
              <w:t>NS</w:t>
            </w:r>
            <w:r w:rsidRPr="007F0B0F">
              <w:rPr>
                <w:rFonts w:ascii="Book Antiqua" w:eastAsia="等线" w:hAnsi="Book Antiqua" w:cs="Arial"/>
              </w:rPr>
              <w:t>)</w:t>
            </w:r>
            <w:r w:rsidR="00525DFD" w:rsidRPr="007F0B0F">
              <w:rPr>
                <w:rFonts w:ascii="Book Antiqua" w:eastAsia="等线" w:hAnsi="Book Antiqua" w:cs="Arial"/>
              </w:rPr>
              <w:t>;</w:t>
            </w:r>
            <w:r w:rsidR="00525DFD" w:rsidRPr="007F0B0F">
              <w:rPr>
                <w:rFonts w:ascii="Book Antiqua" w:eastAsia="等线" w:hAnsi="Book Antiqua" w:cs="Arial"/>
                <w:lang w:eastAsia="zh-CN"/>
              </w:rPr>
              <w:t xml:space="preserve"> </w:t>
            </w:r>
            <w:r w:rsidRPr="007F0B0F">
              <w:rPr>
                <w:rFonts w:ascii="Book Antiqua" w:eastAsia="等线" w:hAnsi="Book Antiqua" w:cs="Arial"/>
              </w:rPr>
              <w:t>0.7911 (</w:t>
            </w:r>
            <w:r w:rsidR="004A58E2">
              <w:rPr>
                <w:rFonts w:ascii="Book Antiqua" w:eastAsia="等线" w:hAnsi="Book Antiqua" w:cs="Arial"/>
                <w:caps/>
              </w:rPr>
              <w:t>NS</w:t>
            </w:r>
            <w:r w:rsidRPr="007F0B0F">
              <w:rPr>
                <w:rFonts w:ascii="Book Antiqua" w:eastAsia="等线" w:hAnsi="Book Antiqua" w:cs="Arial"/>
              </w:rPr>
              <w:t>)</w:t>
            </w:r>
          </w:p>
        </w:tc>
      </w:tr>
      <w:tr w:rsidR="00094AEF" w:rsidRPr="007F0B0F" w14:paraId="54EF30F7" w14:textId="77777777" w:rsidTr="00094AEF">
        <w:tc>
          <w:tcPr>
            <w:tcW w:w="2704" w:type="dxa"/>
            <w:shd w:val="clear" w:color="auto" w:fill="auto"/>
          </w:tcPr>
          <w:p w14:paraId="4EDB84FB"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Years from fistula onset until fistulodesis</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56898206"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1 (0</w:t>
            </w:r>
            <w:r w:rsidR="00283D1F">
              <w:rPr>
                <w:rFonts w:ascii="Book Antiqua" w:eastAsia="等线" w:hAnsi="Book Antiqua" w:cs="Arial"/>
              </w:rPr>
              <w:t>-</w:t>
            </w:r>
            <w:r w:rsidR="00574BEF" w:rsidRPr="007F0B0F">
              <w:rPr>
                <w:rFonts w:ascii="Book Antiqua" w:eastAsia="等线" w:hAnsi="Book Antiqua" w:cs="Arial"/>
              </w:rPr>
              <w:t>2)</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0</w:t>
            </w:r>
            <w:r w:rsidR="00283D1F">
              <w:rPr>
                <w:rFonts w:ascii="Book Antiqua" w:eastAsia="等线" w:hAnsi="Book Antiqua" w:cs="Arial"/>
              </w:rPr>
              <w:t>-</w:t>
            </w:r>
            <w:r w:rsidR="00574BEF" w:rsidRPr="007F0B0F">
              <w:rPr>
                <w:rFonts w:ascii="Book Antiqua" w:eastAsia="等线" w:hAnsi="Book Antiqua" w:cs="Arial"/>
              </w:rPr>
              <w:t>12</w:t>
            </w:r>
          </w:p>
        </w:tc>
        <w:tc>
          <w:tcPr>
            <w:tcW w:w="2791" w:type="dxa"/>
            <w:shd w:val="clear" w:color="auto" w:fill="auto"/>
          </w:tcPr>
          <w:p w14:paraId="744E0F25"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3 (2</w:t>
            </w:r>
            <w:r w:rsidR="00283D1F">
              <w:rPr>
                <w:rFonts w:ascii="Book Antiqua" w:eastAsia="等线" w:hAnsi="Book Antiqua" w:cs="Arial"/>
              </w:rPr>
              <w:t>-</w:t>
            </w:r>
            <w:r w:rsidR="00574BEF" w:rsidRPr="007F0B0F">
              <w:rPr>
                <w:rFonts w:ascii="Book Antiqua" w:eastAsia="等线" w:hAnsi="Book Antiqua" w:cs="Arial"/>
              </w:rPr>
              <w:t>7)</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2</w:t>
            </w:r>
            <w:r w:rsidR="00283D1F">
              <w:rPr>
                <w:rFonts w:ascii="Book Antiqua" w:eastAsia="等线" w:hAnsi="Book Antiqua" w:cs="Arial"/>
              </w:rPr>
              <w:t>-</w:t>
            </w:r>
            <w:r w:rsidR="00574BEF" w:rsidRPr="007F0B0F">
              <w:rPr>
                <w:rFonts w:ascii="Book Antiqua" w:eastAsia="等线" w:hAnsi="Book Antiqua" w:cs="Arial"/>
              </w:rPr>
              <w:t>7</w:t>
            </w:r>
          </w:p>
        </w:tc>
        <w:tc>
          <w:tcPr>
            <w:tcW w:w="1098" w:type="dxa"/>
            <w:shd w:val="clear" w:color="auto" w:fill="auto"/>
          </w:tcPr>
          <w:p w14:paraId="71A7FF04"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0.0386</w:t>
            </w:r>
          </w:p>
        </w:tc>
      </w:tr>
      <w:tr w:rsidR="00574BEF" w:rsidRPr="007F0B0F" w14:paraId="56724227" w14:textId="77777777" w:rsidTr="00094AEF">
        <w:tc>
          <w:tcPr>
            <w:tcW w:w="2704" w:type="dxa"/>
            <w:shd w:val="clear" w:color="auto" w:fill="auto"/>
          </w:tcPr>
          <w:p w14:paraId="77365EF3"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Previous fistula operations median (IQR), range</w:t>
            </w:r>
          </w:p>
        </w:tc>
        <w:tc>
          <w:tcPr>
            <w:tcW w:w="2693" w:type="dxa"/>
            <w:shd w:val="clear" w:color="auto" w:fill="auto"/>
          </w:tcPr>
          <w:p w14:paraId="7BE58DB4"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1 (1</w:t>
            </w:r>
            <w:r w:rsidR="00283D1F">
              <w:rPr>
                <w:rFonts w:ascii="Book Antiqua" w:eastAsia="等线" w:hAnsi="Book Antiqua" w:cs="Arial"/>
              </w:rPr>
              <w:t>-</w:t>
            </w:r>
            <w:r w:rsidR="00574BEF" w:rsidRPr="007F0B0F">
              <w:rPr>
                <w:rFonts w:ascii="Book Antiqua" w:eastAsia="等线" w:hAnsi="Book Antiqua" w:cs="Arial"/>
              </w:rPr>
              <w:t>3)</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0</w:t>
            </w:r>
            <w:r w:rsidR="00283D1F">
              <w:rPr>
                <w:rFonts w:ascii="Book Antiqua" w:eastAsia="等线" w:hAnsi="Book Antiqua" w:cs="Arial"/>
              </w:rPr>
              <w:t>-</w:t>
            </w:r>
            <w:r w:rsidR="00574BEF" w:rsidRPr="007F0B0F">
              <w:rPr>
                <w:rFonts w:ascii="Book Antiqua" w:eastAsia="等线" w:hAnsi="Book Antiqua" w:cs="Arial"/>
              </w:rPr>
              <w:t>10</w:t>
            </w:r>
          </w:p>
        </w:tc>
        <w:tc>
          <w:tcPr>
            <w:tcW w:w="2791" w:type="dxa"/>
            <w:shd w:val="clear" w:color="auto" w:fill="auto"/>
          </w:tcPr>
          <w:p w14:paraId="307A354B"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4 (2</w:t>
            </w:r>
            <w:r w:rsidR="00283D1F">
              <w:rPr>
                <w:rFonts w:ascii="Book Antiqua" w:eastAsia="等线" w:hAnsi="Book Antiqua" w:cs="Arial"/>
              </w:rPr>
              <w:t>-</w:t>
            </w:r>
            <w:r w:rsidR="00574BEF" w:rsidRPr="007F0B0F">
              <w:rPr>
                <w:rFonts w:ascii="Book Antiqua" w:eastAsia="等线" w:hAnsi="Book Antiqua" w:cs="Arial"/>
              </w:rPr>
              <w:t>8)</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2</w:t>
            </w:r>
            <w:r w:rsidR="00283D1F">
              <w:rPr>
                <w:rFonts w:ascii="Book Antiqua" w:eastAsia="等线" w:hAnsi="Book Antiqua" w:cs="Arial"/>
              </w:rPr>
              <w:t>-</w:t>
            </w:r>
            <w:r w:rsidR="00574BEF" w:rsidRPr="007F0B0F">
              <w:rPr>
                <w:rFonts w:ascii="Book Antiqua" w:eastAsia="等线" w:hAnsi="Book Antiqua" w:cs="Arial"/>
              </w:rPr>
              <w:t>8</w:t>
            </w:r>
          </w:p>
        </w:tc>
        <w:tc>
          <w:tcPr>
            <w:tcW w:w="1098" w:type="dxa"/>
            <w:shd w:val="clear" w:color="auto" w:fill="auto"/>
          </w:tcPr>
          <w:p w14:paraId="5B5B3E4F" w14:textId="38C5BDB2"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0.1219 (</w:t>
            </w:r>
            <w:r w:rsidR="004A58E2">
              <w:rPr>
                <w:rFonts w:ascii="Book Antiqua" w:eastAsia="等线" w:hAnsi="Book Antiqua" w:cs="Arial"/>
                <w:caps/>
              </w:rPr>
              <w:t>NS</w:t>
            </w:r>
            <w:r w:rsidRPr="007F0B0F">
              <w:rPr>
                <w:rFonts w:ascii="Book Antiqua" w:eastAsia="等线" w:hAnsi="Book Antiqua" w:cs="Arial"/>
              </w:rPr>
              <w:t>)</w:t>
            </w:r>
          </w:p>
        </w:tc>
      </w:tr>
      <w:tr w:rsidR="00094AEF" w:rsidRPr="007F0B0F" w14:paraId="36DC4D43" w14:textId="77777777" w:rsidTr="00094AEF">
        <w:tc>
          <w:tcPr>
            <w:tcW w:w="2704" w:type="dxa"/>
            <w:shd w:val="clear" w:color="auto" w:fill="auto"/>
          </w:tcPr>
          <w:p w14:paraId="7860A9C2"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IBD-Q score at screening</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2F5D5E48"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167.5 (144.5</w:t>
            </w:r>
            <w:r w:rsidR="00283D1F">
              <w:rPr>
                <w:rFonts w:ascii="Book Antiqua" w:eastAsia="等线" w:hAnsi="Book Antiqua" w:cs="Arial"/>
              </w:rPr>
              <w:t>-</w:t>
            </w:r>
            <w:r w:rsidR="00574BEF" w:rsidRPr="007F0B0F">
              <w:rPr>
                <w:rFonts w:ascii="Book Antiqua" w:eastAsia="等线" w:hAnsi="Book Antiqua" w:cs="Arial"/>
              </w:rPr>
              <w:t>199.3)</w:t>
            </w:r>
            <w:r w:rsidR="00574BEF" w:rsidRPr="007F0B0F">
              <w:rPr>
                <w:rFonts w:ascii="Book Antiqua" w:eastAsia="等线" w:hAnsi="Book Antiqua" w:cs="Arial"/>
                <w:vertAlign w:val="superscript"/>
              </w:rPr>
              <w:t>3</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110.5</w:t>
            </w:r>
            <w:r w:rsidR="00283D1F">
              <w:rPr>
                <w:rFonts w:ascii="Book Antiqua" w:eastAsia="等线" w:hAnsi="Book Antiqua" w:cs="Arial"/>
              </w:rPr>
              <w:t>-</w:t>
            </w:r>
            <w:r w:rsidR="00574BEF" w:rsidRPr="007F0B0F">
              <w:rPr>
                <w:rFonts w:ascii="Book Antiqua" w:eastAsia="等线" w:hAnsi="Book Antiqua" w:cs="Arial"/>
              </w:rPr>
              <w:t>217</w:t>
            </w:r>
          </w:p>
        </w:tc>
        <w:tc>
          <w:tcPr>
            <w:tcW w:w="2791" w:type="dxa"/>
            <w:shd w:val="clear" w:color="auto" w:fill="auto"/>
          </w:tcPr>
          <w:p w14:paraId="2BF6ABBA"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215.5 (213</w:t>
            </w:r>
            <w:r w:rsidR="00283D1F">
              <w:rPr>
                <w:rFonts w:ascii="Book Antiqua" w:eastAsia="等线" w:hAnsi="Book Antiqua" w:cs="Arial"/>
              </w:rPr>
              <w:t>-</w:t>
            </w:r>
            <w:r w:rsidR="00574BEF" w:rsidRPr="007F0B0F">
              <w:rPr>
                <w:rFonts w:ascii="Book Antiqua" w:eastAsia="等线" w:hAnsi="Book Antiqua" w:cs="Arial"/>
              </w:rPr>
              <w:t>218)</w:t>
            </w:r>
            <w:r w:rsidR="00574BEF" w:rsidRPr="007F0B0F">
              <w:rPr>
                <w:rFonts w:ascii="Book Antiqua" w:eastAsia="等线" w:hAnsi="Book Antiqua" w:cs="Arial"/>
                <w:vertAlign w:val="superscript"/>
              </w:rPr>
              <w:t>4</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213</w:t>
            </w:r>
            <w:r w:rsidR="00283D1F">
              <w:rPr>
                <w:rFonts w:ascii="Book Antiqua" w:eastAsia="等线" w:hAnsi="Book Antiqua" w:cs="Arial"/>
              </w:rPr>
              <w:t>-</w:t>
            </w:r>
            <w:r w:rsidR="00574BEF" w:rsidRPr="007F0B0F">
              <w:rPr>
                <w:rFonts w:ascii="Book Antiqua" w:eastAsia="等线" w:hAnsi="Book Antiqua" w:cs="Arial"/>
              </w:rPr>
              <w:t>218</w:t>
            </w:r>
          </w:p>
        </w:tc>
        <w:tc>
          <w:tcPr>
            <w:tcW w:w="1098" w:type="dxa"/>
            <w:shd w:val="clear" w:color="auto" w:fill="auto"/>
          </w:tcPr>
          <w:p w14:paraId="3126C18F"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0.0333</w:t>
            </w:r>
          </w:p>
        </w:tc>
      </w:tr>
      <w:tr w:rsidR="00574BEF" w:rsidRPr="007F0B0F" w14:paraId="7F4796E3" w14:textId="77777777" w:rsidTr="00094AEF">
        <w:tc>
          <w:tcPr>
            <w:tcW w:w="2704" w:type="dxa"/>
            <w:shd w:val="clear" w:color="auto" w:fill="auto"/>
          </w:tcPr>
          <w:p w14:paraId="3C8CD3AA"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PDAI at screening</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01A0EFD0"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6 (5-</w:t>
            </w:r>
            <w:r w:rsidR="00574BEF" w:rsidRPr="007F0B0F">
              <w:rPr>
                <w:rFonts w:ascii="Book Antiqua" w:eastAsia="等线" w:hAnsi="Book Antiqua" w:cs="Arial"/>
              </w:rPr>
              <w:t>8)</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3</w:t>
            </w:r>
            <w:r w:rsidR="00283D1F">
              <w:rPr>
                <w:rFonts w:ascii="Book Antiqua" w:eastAsia="等线" w:hAnsi="Book Antiqua" w:cs="Arial"/>
              </w:rPr>
              <w:t>-</w:t>
            </w:r>
            <w:r w:rsidR="00574BEF" w:rsidRPr="007F0B0F">
              <w:rPr>
                <w:rFonts w:ascii="Book Antiqua" w:eastAsia="等线" w:hAnsi="Book Antiqua" w:cs="Arial"/>
              </w:rPr>
              <w:t>14</w:t>
            </w:r>
            <w:r w:rsidR="00574BEF" w:rsidRPr="007F0B0F">
              <w:rPr>
                <w:rFonts w:ascii="Book Antiqua" w:eastAsia="等线" w:hAnsi="Book Antiqua" w:cs="Arial"/>
                <w:vertAlign w:val="superscript"/>
              </w:rPr>
              <w:t>1</w:t>
            </w:r>
          </w:p>
        </w:tc>
        <w:tc>
          <w:tcPr>
            <w:tcW w:w="2791" w:type="dxa"/>
            <w:shd w:val="clear" w:color="auto" w:fill="auto"/>
          </w:tcPr>
          <w:p w14:paraId="161CA3E1"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5 (4-</w:t>
            </w:r>
            <w:r w:rsidR="00574BEF" w:rsidRPr="007F0B0F">
              <w:rPr>
                <w:rFonts w:ascii="Book Antiqua" w:eastAsia="等线" w:hAnsi="Book Antiqua" w:cs="Arial"/>
              </w:rPr>
              <w:t>7)</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4</w:t>
            </w:r>
            <w:r w:rsidR="00283D1F">
              <w:rPr>
                <w:rFonts w:ascii="Book Antiqua" w:eastAsia="等线" w:hAnsi="Book Antiqua" w:cs="Arial"/>
              </w:rPr>
              <w:t>-</w:t>
            </w:r>
            <w:r w:rsidR="00574BEF" w:rsidRPr="007F0B0F">
              <w:rPr>
                <w:rFonts w:ascii="Book Antiqua" w:eastAsia="等线" w:hAnsi="Book Antiqua" w:cs="Arial"/>
              </w:rPr>
              <w:t>7</w:t>
            </w:r>
          </w:p>
        </w:tc>
        <w:tc>
          <w:tcPr>
            <w:tcW w:w="1098" w:type="dxa"/>
            <w:shd w:val="clear" w:color="auto" w:fill="auto"/>
          </w:tcPr>
          <w:p w14:paraId="63C7B3BF" w14:textId="66501A62"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0.4334 (</w:t>
            </w:r>
            <w:r w:rsidR="004A58E2">
              <w:rPr>
                <w:rFonts w:ascii="Book Antiqua" w:eastAsia="等线" w:hAnsi="Book Antiqua" w:cs="Arial"/>
                <w:caps/>
              </w:rPr>
              <w:t>NS</w:t>
            </w:r>
            <w:r w:rsidRPr="007F0B0F">
              <w:rPr>
                <w:rFonts w:ascii="Book Antiqua" w:eastAsia="等线" w:hAnsi="Book Antiqua" w:cs="Arial"/>
              </w:rPr>
              <w:t>)</w:t>
            </w:r>
          </w:p>
        </w:tc>
      </w:tr>
      <w:tr w:rsidR="00094AEF" w:rsidRPr="007F0B0F" w14:paraId="1488F083" w14:textId="77777777" w:rsidTr="00094AEF">
        <w:tc>
          <w:tcPr>
            <w:tcW w:w="2704" w:type="dxa"/>
            <w:shd w:val="clear" w:color="auto" w:fill="auto"/>
          </w:tcPr>
          <w:p w14:paraId="78748B95"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HBI at screening</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2A1BBC8E"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 xml:space="preserve">Not </w:t>
            </w:r>
            <w:r w:rsidR="00574BEF" w:rsidRPr="007F0B0F">
              <w:rPr>
                <w:rFonts w:ascii="Book Antiqua" w:eastAsia="等线" w:hAnsi="Book Antiqua" w:cs="Arial"/>
              </w:rPr>
              <w:t>determined</w:t>
            </w:r>
          </w:p>
        </w:tc>
        <w:tc>
          <w:tcPr>
            <w:tcW w:w="2791" w:type="dxa"/>
            <w:shd w:val="clear" w:color="auto" w:fill="auto"/>
          </w:tcPr>
          <w:p w14:paraId="051D5CF2"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0 (0</w:t>
            </w:r>
            <w:r w:rsidR="00283D1F">
              <w:rPr>
                <w:rFonts w:ascii="Book Antiqua" w:eastAsia="等线" w:hAnsi="Book Antiqua" w:cs="Arial"/>
              </w:rPr>
              <w:t>-</w:t>
            </w:r>
            <w:r w:rsidR="00574BEF" w:rsidRPr="007F0B0F">
              <w:rPr>
                <w:rFonts w:ascii="Book Antiqua" w:eastAsia="等线" w:hAnsi="Book Antiqua" w:cs="Arial"/>
              </w:rPr>
              <w:t>2)</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0</w:t>
            </w:r>
            <w:r w:rsidR="00283D1F">
              <w:rPr>
                <w:rFonts w:ascii="Book Antiqua" w:eastAsia="等线" w:hAnsi="Book Antiqua" w:cs="Arial"/>
              </w:rPr>
              <w:t>-</w:t>
            </w:r>
            <w:r w:rsidR="00574BEF" w:rsidRPr="007F0B0F">
              <w:rPr>
                <w:rFonts w:ascii="Book Antiqua" w:eastAsia="等线" w:hAnsi="Book Antiqua" w:cs="Arial"/>
              </w:rPr>
              <w:t>2</w:t>
            </w:r>
          </w:p>
        </w:tc>
        <w:tc>
          <w:tcPr>
            <w:tcW w:w="1098" w:type="dxa"/>
            <w:shd w:val="clear" w:color="auto" w:fill="auto"/>
          </w:tcPr>
          <w:p w14:paraId="52835CB8" w14:textId="77777777" w:rsidR="00574BEF" w:rsidRPr="007F0B0F" w:rsidRDefault="00574BEF" w:rsidP="007F0B0F">
            <w:pPr>
              <w:snapToGrid w:val="0"/>
              <w:spacing w:line="360" w:lineRule="auto"/>
              <w:jc w:val="both"/>
              <w:rPr>
                <w:rFonts w:ascii="Book Antiqua" w:eastAsia="等线" w:hAnsi="Book Antiqua" w:cs="Arial"/>
              </w:rPr>
            </w:pPr>
          </w:p>
        </w:tc>
      </w:tr>
      <w:tr w:rsidR="00574BEF" w:rsidRPr="007F0B0F" w14:paraId="04262F45" w14:textId="77777777" w:rsidTr="00094AEF">
        <w:tc>
          <w:tcPr>
            <w:tcW w:w="2704" w:type="dxa"/>
            <w:shd w:val="clear" w:color="auto" w:fill="auto"/>
          </w:tcPr>
          <w:p w14:paraId="647F9A1E"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Pre-operative local pain median (IQR), range</w:t>
            </w:r>
          </w:p>
        </w:tc>
        <w:tc>
          <w:tcPr>
            <w:tcW w:w="2693" w:type="dxa"/>
            <w:shd w:val="clear" w:color="auto" w:fill="auto"/>
          </w:tcPr>
          <w:p w14:paraId="0E486A83"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1 (1</w:t>
            </w:r>
            <w:r w:rsidR="00283D1F">
              <w:rPr>
                <w:rFonts w:ascii="Book Antiqua" w:eastAsia="等线" w:hAnsi="Book Antiqua" w:cs="Arial"/>
              </w:rPr>
              <w:t>-</w:t>
            </w:r>
            <w:r w:rsidR="00574BEF" w:rsidRPr="007F0B0F">
              <w:rPr>
                <w:rFonts w:ascii="Book Antiqua" w:eastAsia="等线" w:hAnsi="Book Antiqua" w:cs="Arial"/>
              </w:rPr>
              <w:t>2.8)</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0</w:t>
            </w:r>
            <w:r w:rsidR="00283D1F">
              <w:rPr>
                <w:rFonts w:ascii="Book Antiqua" w:eastAsia="等线" w:hAnsi="Book Antiqua" w:cs="Arial"/>
              </w:rPr>
              <w:t>-</w:t>
            </w:r>
            <w:r w:rsidR="00574BEF" w:rsidRPr="007F0B0F">
              <w:rPr>
                <w:rFonts w:ascii="Book Antiqua" w:eastAsia="等线" w:hAnsi="Book Antiqua" w:cs="Arial"/>
              </w:rPr>
              <w:t>10</w:t>
            </w:r>
            <w:r w:rsidR="00574BEF" w:rsidRPr="007F0B0F">
              <w:rPr>
                <w:rFonts w:ascii="Book Antiqua" w:eastAsia="等线" w:hAnsi="Book Antiqua" w:cs="Arial"/>
                <w:vertAlign w:val="superscript"/>
              </w:rPr>
              <w:t>1</w:t>
            </w:r>
          </w:p>
        </w:tc>
        <w:tc>
          <w:tcPr>
            <w:tcW w:w="2791" w:type="dxa"/>
            <w:shd w:val="clear" w:color="auto" w:fill="auto"/>
          </w:tcPr>
          <w:p w14:paraId="0B2ACF80"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2 (1</w:t>
            </w:r>
            <w:r w:rsidR="00283D1F">
              <w:rPr>
                <w:rFonts w:ascii="Book Antiqua" w:eastAsia="等线" w:hAnsi="Book Antiqua" w:cs="Arial"/>
              </w:rPr>
              <w:t>-</w:t>
            </w:r>
            <w:r w:rsidR="00574BEF" w:rsidRPr="007F0B0F">
              <w:rPr>
                <w:rFonts w:ascii="Book Antiqua" w:eastAsia="等线" w:hAnsi="Book Antiqua" w:cs="Arial"/>
              </w:rPr>
              <w:t>5)</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1</w:t>
            </w:r>
            <w:r w:rsidR="00283D1F">
              <w:rPr>
                <w:rFonts w:ascii="Book Antiqua" w:eastAsia="等线" w:hAnsi="Book Antiqua" w:cs="Arial"/>
              </w:rPr>
              <w:t>-</w:t>
            </w:r>
            <w:r w:rsidR="00574BEF" w:rsidRPr="007F0B0F">
              <w:rPr>
                <w:rFonts w:ascii="Book Antiqua" w:eastAsia="等线" w:hAnsi="Book Antiqua" w:cs="Arial"/>
              </w:rPr>
              <w:t>5</w:t>
            </w:r>
          </w:p>
        </w:tc>
        <w:tc>
          <w:tcPr>
            <w:tcW w:w="1098" w:type="dxa"/>
            <w:shd w:val="clear" w:color="auto" w:fill="auto"/>
          </w:tcPr>
          <w:p w14:paraId="046725EA" w14:textId="6A1D5D9D"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0.4964 (</w:t>
            </w:r>
            <w:r w:rsidR="004A58E2">
              <w:rPr>
                <w:rFonts w:ascii="Book Antiqua" w:eastAsia="等线" w:hAnsi="Book Antiqua" w:cs="Arial"/>
                <w:caps/>
              </w:rPr>
              <w:t>NS</w:t>
            </w:r>
            <w:r w:rsidRPr="007F0B0F">
              <w:rPr>
                <w:rFonts w:ascii="Book Antiqua" w:eastAsia="等线" w:hAnsi="Book Antiqua" w:cs="Arial"/>
              </w:rPr>
              <w:t>)</w:t>
            </w:r>
          </w:p>
        </w:tc>
      </w:tr>
      <w:tr w:rsidR="00094AEF" w:rsidRPr="007F0B0F" w14:paraId="2122D792" w14:textId="77777777" w:rsidTr="00094AEF">
        <w:trPr>
          <w:trHeight w:val="334"/>
        </w:trPr>
        <w:tc>
          <w:tcPr>
            <w:tcW w:w="2704" w:type="dxa"/>
            <w:shd w:val="clear" w:color="auto" w:fill="auto"/>
          </w:tcPr>
          <w:p w14:paraId="47F01274"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lastRenderedPageBreak/>
              <w:t>Pre-operative secretions median (IQR), range</w:t>
            </w:r>
          </w:p>
        </w:tc>
        <w:tc>
          <w:tcPr>
            <w:tcW w:w="2693" w:type="dxa"/>
            <w:shd w:val="clear" w:color="auto" w:fill="auto"/>
          </w:tcPr>
          <w:p w14:paraId="6000C24E"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4 (3</w:t>
            </w:r>
            <w:r w:rsidR="00283D1F">
              <w:rPr>
                <w:rFonts w:ascii="Book Antiqua" w:eastAsia="等线" w:hAnsi="Book Antiqua" w:cs="Arial"/>
              </w:rPr>
              <w:t>-</w:t>
            </w:r>
            <w:r w:rsidR="00574BEF" w:rsidRPr="007F0B0F">
              <w:rPr>
                <w:rFonts w:ascii="Book Antiqua" w:eastAsia="等线" w:hAnsi="Book Antiqua" w:cs="Arial"/>
              </w:rPr>
              <w:t>5)</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0</w:t>
            </w:r>
            <w:r w:rsidR="00283D1F">
              <w:rPr>
                <w:rFonts w:ascii="Book Antiqua" w:eastAsia="等线" w:hAnsi="Book Antiqua" w:cs="Arial"/>
              </w:rPr>
              <w:t>-</w:t>
            </w:r>
            <w:r w:rsidR="00574BEF" w:rsidRPr="007F0B0F">
              <w:rPr>
                <w:rFonts w:ascii="Book Antiqua" w:eastAsia="等线" w:hAnsi="Book Antiqua" w:cs="Arial"/>
              </w:rPr>
              <w:t>5</w:t>
            </w:r>
            <w:r w:rsidR="00574BEF" w:rsidRPr="007F0B0F">
              <w:rPr>
                <w:rFonts w:ascii="Book Antiqua" w:eastAsia="等线" w:hAnsi="Book Antiqua" w:cs="Arial"/>
                <w:vertAlign w:val="superscript"/>
              </w:rPr>
              <w:t>1</w:t>
            </w:r>
          </w:p>
        </w:tc>
        <w:tc>
          <w:tcPr>
            <w:tcW w:w="2791" w:type="dxa"/>
            <w:shd w:val="clear" w:color="auto" w:fill="auto"/>
          </w:tcPr>
          <w:p w14:paraId="182B2632"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4 (4</w:t>
            </w:r>
            <w:r w:rsidR="00283D1F">
              <w:rPr>
                <w:rFonts w:ascii="Book Antiqua" w:eastAsia="等线" w:hAnsi="Book Antiqua" w:cs="Arial"/>
              </w:rPr>
              <w:t>-</w:t>
            </w:r>
            <w:r w:rsidR="00574BEF" w:rsidRPr="007F0B0F">
              <w:rPr>
                <w:rFonts w:ascii="Book Antiqua" w:eastAsia="等线" w:hAnsi="Book Antiqua" w:cs="Arial"/>
              </w:rPr>
              <w:t>5)</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4</w:t>
            </w:r>
            <w:r w:rsidR="00283D1F">
              <w:rPr>
                <w:rFonts w:ascii="Book Antiqua" w:eastAsia="等线" w:hAnsi="Book Antiqua" w:cs="Arial"/>
              </w:rPr>
              <w:t>-</w:t>
            </w:r>
            <w:r w:rsidR="00574BEF" w:rsidRPr="007F0B0F">
              <w:rPr>
                <w:rFonts w:ascii="Book Antiqua" w:eastAsia="等线" w:hAnsi="Book Antiqua" w:cs="Arial"/>
              </w:rPr>
              <w:t>5</w:t>
            </w:r>
          </w:p>
        </w:tc>
        <w:tc>
          <w:tcPr>
            <w:tcW w:w="1098" w:type="dxa"/>
            <w:shd w:val="clear" w:color="auto" w:fill="auto"/>
          </w:tcPr>
          <w:p w14:paraId="4A65094E" w14:textId="44D14932"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0.8720 (</w:t>
            </w:r>
            <w:r w:rsidR="004A58E2">
              <w:rPr>
                <w:rFonts w:ascii="Book Antiqua" w:eastAsia="等线" w:hAnsi="Book Antiqua" w:cs="Arial"/>
                <w:caps/>
              </w:rPr>
              <w:t>NS</w:t>
            </w:r>
            <w:r w:rsidRPr="007F0B0F">
              <w:rPr>
                <w:rFonts w:ascii="Book Antiqua" w:eastAsia="等线" w:hAnsi="Book Antiqua" w:cs="Arial"/>
              </w:rPr>
              <w:t>)</w:t>
            </w:r>
          </w:p>
        </w:tc>
      </w:tr>
      <w:tr w:rsidR="00574BEF" w:rsidRPr="007F0B0F" w14:paraId="050E1344" w14:textId="77777777" w:rsidTr="00094AEF">
        <w:trPr>
          <w:trHeight w:val="553"/>
        </w:trPr>
        <w:tc>
          <w:tcPr>
            <w:tcW w:w="2704" w:type="dxa"/>
            <w:shd w:val="clear" w:color="auto" w:fill="auto"/>
          </w:tcPr>
          <w:p w14:paraId="50B4B489"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Distance outer lumen to dentate line (cm)</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3F7EC3F6"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2 (1.4</w:t>
            </w:r>
            <w:r w:rsidR="00283D1F">
              <w:rPr>
                <w:rFonts w:ascii="Book Antiqua" w:eastAsia="等线" w:hAnsi="Book Antiqua" w:cs="Arial"/>
              </w:rPr>
              <w:t>-</w:t>
            </w:r>
            <w:r w:rsidRPr="007F0B0F">
              <w:rPr>
                <w:rFonts w:ascii="Book Antiqua" w:eastAsia="等线" w:hAnsi="Book Antiqua" w:cs="Arial"/>
              </w:rPr>
              <w:t>3.1)</w:t>
            </w:r>
            <w:r w:rsidR="00525DFD" w:rsidRPr="007F0B0F">
              <w:rPr>
                <w:rFonts w:ascii="Book Antiqua" w:eastAsia="等线" w:hAnsi="Book Antiqua" w:cs="Arial"/>
              </w:rPr>
              <w:t>;</w:t>
            </w:r>
            <w:r w:rsidR="00525DFD" w:rsidRPr="007F0B0F">
              <w:rPr>
                <w:rFonts w:ascii="Book Antiqua" w:eastAsia="等线" w:hAnsi="Book Antiqua" w:cs="Arial"/>
                <w:lang w:eastAsia="zh-CN"/>
              </w:rPr>
              <w:t xml:space="preserve"> </w:t>
            </w:r>
            <w:r w:rsidR="00525DFD" w:rsidRPr="007F0B0F">
              <w:rPr>
                <w:rFonts w:ascii="Book Antiqua" w:eastAsia="等线" w:hAnsi="Book Antiqua" w:cs="Arial"/>
              </w:rPr>
              <w:t>Range: 1</w:t>
            </w:r>
            <w:r w:rsidR="00283D1F">
              <w:rPr>
                <w:rFonts w:ascii="Book Antiqua" w:eastAsia="等线" w:hAnsi="Book Antiqua" w:cs="Arial"/>
              </w:rPr>
              <w:t>-</w:t>
            </w:r>
            <w:r w:rsidRPr="007F0B0F">
              <w:rPr>
                <w:rFonts w:ascii="Book Antiqua" w:eastAsia="等线" w:hAnsi="Book Antiqua" w:cs="Arial"/>
              </w:rPr>
              <w:t>4</w:t>
            </w:r>
            <w:r w:rsidRPr="007F0B0F">
              <w:rPr>
                <w:rFonts w:ascii="Book Antiqua" w:eastAsia="等线" w:hAnsi="Book Antiqua" w:cs="Arial"/>
                <w:vertAlign w:val="superscript"/>
              </w:rPr>
              <w:t>1</w:t>
            </w:r>
          </w:p>
        </w:tc>
        <w:tc>
          <w:tcPr>
            <w:tcW w:w="2791" w:type="dxa"/>
            <w:shd w:val="clear" w:color="auto" w:fill="auto"/>
          </w:tcPr>
          <w:p w14:paraId="7D30862F"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1 (1</w:t>
            </w:r>
            <w:r w:rsidR="00283D1F">
              <w:rPr>
                <w:rFonts w:ascii="Book Antiqua" w:eastAsia="等线" w:hAnsi="Book Antiqua" w:cs="Arial"/>
              </w:rPr>
              <w:t>-</w:t>
            </w:r>
            <w:r w:rsidR="00574BEF" w:rsidRPr="007F0B0F">
              <w:rPr>
                <w:rFonts w:ascii="Book Antiqua" w:eastAsia="等线" w:hAnsi="Book Antiqua" w:cs="Arial"/>
              </w:rPr>
              <w:t>2)</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1</w:t>
            </w:r>
            <w:r w:rsidR="00283D1F">
              <w:rPr>
                <w:rFonts w:ascii="Book Antiqua" w:eastAsia="等线" w:hAnsi="Book Antiqua" w:cs="Arial"/>
              </w:rPr>
              <w:t>-</w:t>
            </w:r>
            <w:r w:rsidR="00574BEF" w:rsidRPr="007F0B0F">
              <w:rPr>
                <w:rFonts w:ascii="Book Antiqua" w:eastAsia="等线" w:hAnsi="Book Antiqua" w:cs="Arial"/>
              </w:rPr>
              <w:t>2</w:t>
            </w:r>
          </w:p>
        </w:tc>
        <w:tc>
          <w:tcPr>
            <w:tcW w:w="1098" w:type="dxa"/>
            <w:shd w:val="clear" w:color="auto" w:fill="auto"/>
          </w:tcPr>
          <w:p w14:paraId="4998C6C3" w14:textId="77764F84"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0.1714 (</w:t>
            </w:r>
            <w:r w:rsidR="004A58E2">
              <w:rPr>
                <w:rFonts w:ascii="Book Antiqua" w:eastAsia="等线" w:hAnsi="Book Antiqua" w:cs="Arial"/>
                <w:caps/>
              </w:rPr>
              <w:t>NS</w:t>
            </w:r>
            <w:r w:rsidRPr="007F0B0F">
              <w:rPr>
                <w:rFonts w:ascii="Book Antiqua" w:eastAsia="等线" w:hAnsi="Book Antiqua" w:cs="Arial"/>
              </w:rPr>
              <w:t>)</w:t>
            </w:r>
          </w:p>
        </w:tc>
      </w:tr>
      <w:tr w:rsidR="00094AEF" w:rsidRPr="007F0B0F" w14:paraId="1B272EE4" w14:textId="77777777" w:rsidTr="00094AEF">
        <w:trPr>
          <w:trHeight w:val="553"/>
        </w:trPr>
        <w:tc>
          <w:tcPr>
            <w:tcW w:w="2704" w:type="dxa"/>
            <w:shd w:val="clear" w:color="auto" w:fill="auto"/>
          </w:tcPr>
          <w:p w14:paraId="0805C4D0"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Distance inner lumen to dentate line (cm)</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605C2060"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0 (0</w:t>
            </w:r>
            <w:r w:rsidR="00283D1F">
              <w:rPr>
                <w:rFonts w:ascii="Book Antiqua" w:eastAsia="等线" w:hAnsi="Book Antiqua" w:cs="Arial"/>
              </w:rPr>
              <w:t>-</w:t>
            </w:r>
            <w:r w:rsidR="00574BEF" w:rsidRPr="007F0B0F">
              <w:rPr>
                <w:rFonts w:ascii="Book Antiqua" w:eastAsia="等线" w:hAnsi="Book Antiqua" w:cs="Arial"/>
              </w:rPr>
              <w:t>0.5)</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0</w:t>
            </w:r>
            <w:r w:rsidR="00283D1F">
              <w:rPr>
                <w:rFonts w:ascii="Book Antiqua" w:eastAsia="等线" w:hAnsi="Book Antiqua" w:cs="Arial"/>
              </w:rPr>
              <w:t>-</w:t>
            </w:r>
            <w:r w:rsidR="00574BEF" w:rsidRPr="007F0B0F">
              <w:rPr>
                <w:rFonts w:ascii="Book Antiqua" w:eastAsia="等线" w:hAnsi="Book Antiqua" w:cs="Arial"/>
              </w:rPr>
              <w:t>2</w:t>
            </w:r>
            <w:r w:rsidR="00574BEF" w:rsidRPr="007F0B0F">
              <w:rPr>
                <w:rFonts w:ascii="Book Antiqua" w:eastAsia="等线" w:hAnsi="Book Antiqua" w:cs="Arial"/>
                <w:vertAlign w:val="superscript"/>
              </w:rPr>
              <w:t>1</w:t>
            </w:r>
          </w:p>
        </w:tc>
        <w:tc>
          <w:tcPr>
            <w:tcW w:w="2791" w:type="dxa"/>
            <w:shd w:val="clear" w:color="auto" w:fill="auto"/>
          </w:tcPr>
          <w:p w14:paraId="4952E149"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0.5 (0</w:t>
            </w:r>
            <w:r w:rsidR="00283D1F">
              <w:rPr>
                <w:rFonts w:ascii="Book Antiqua" w:eastAsia="等线" w:hAnsi="Book Antiqua" w:cs="Arial"/>
              </w:rPr>
              <w:t>-</w:t>
            </w:r>
            <w:r w:rsidR="00574BEF" w:rsidRPr="007F0B0F">
              <w:rPr>
                <w:rFonts w:ascii="Book Antiqua" w:eastAsia="等线" w:hAnsi="Book Antiqua" w:cs="Arial"/>
              </w:rPr>
              <w:t>1.5)</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0</w:t>
            </w:r>
            <w:r w:rsidR="00283D1F">
              <w:rPr>
                <w:rFonts w:ascii="Book Antiqua" w:eastAsia="等线" w:hAnsi="Book Antiqua" w:cs="Arial"/>
              </w:rPr>
              <w:t>-</w:t>
            </w:r>
            <w:r w:rsidR="00574BEF" w:rsidRPr="007F0B0F">
              <w:rPr>
                <w:rFonts w:ascii="Book Antiqua" w:eastAsia="等线" w:hAnsi="Book Antiqua" w:cs="Arial"/>
              </w:rPr>
              <w:t>1.5</w:t>
            </w:r>
          </w:p>
        </w:tc>
        <w:tc>
          <w:tcPr>
            <w:tcW w:w="1098" w:type="dxa"/>
            <w:shd w:val="clear" w:color="auto" w:fill="auto"/>
          </w:tcPr>
          <w:p w14:paraId="0B998244" w14:textId="68FF3DFC"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0.3842 (</w:t>
            </w:r>
            <w:r w:rsidR="004A58E2">
              <w:rPr>
                <w:rFonts w:ascii="Book Antiqua" w:eastAsia="等线" w:hAnsi="Book Antiqua" w:cs="Arial"/>
                <w:caps/>
              </w:rPr>
              <w:t>NS</w:t>
            </w:r>
            <w:r w:rsidRPr="007F0B0F">
              <w:rPr>
                <w:rFonts w:ascii="Book Antiqua" w:eastAsia="等线" w:hAnsi="Book Antiqua" w:cs="Arial"/>
              </w:rPr>
              <w:t>)</w:t>
            </w:r>
          </w:p>
        </w:tc>
      </w:tr>
      <w:tr w:rsidR="00574BEF" w:rsidRPr="007F0B0F" w14:paraId="7D150CBA" w14:textId="77777777" w:rsidTr="00094AEF">
        <w:trPr>
          <w:trHeight w:val="553"/>
        </w:trPr>
        <w:tc>
          <w:tcPr>
            <w:tcW w:w="2704" w:type="dxa"/>
            <w:shd w:val="clear" w:color="auto" w:fill="auto"/>
          </w:tcPr>
          <w:p w14:paraId="493E9F8B"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Length of fistula tract (cm)</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027B729D"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3.8 (2.7</w:t>
            </w:r>
            <w:r w:rsidR="00283D1F">
              <w:rPr>
                <w:rFonts w:ascii="Book Antiqua" w:eastAsia="等线" w:hAnsi="Book Antiqua" w:cs="Arial"/>
              </w:rPr>
              <w:t>-</w:t>
            </w:r>
            <w:r w:rsidR="00574BEF" w:rsidRPr="007F0B0F">
              <w:rPr>
                <w:rFonts w:ascii="Book Antiqua" w:eastAsia="等线" w:hAnsi="Book Antiqua" w:cs="Arial"/>
              </w:rPr>
              <w:t>4.9)</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1.5</w:t>
            </w:r>
            <w:r w:rsidR="00283D1F">
              <w:rPr>
                <w:rFonts w:ascii="Book Antiqua" w:eastAsia="等线" w:hAnsi="Book Antiqua" w:cs="Arial"/>
              </w:rPr>
              <w:t>-</w:t>
            </w:r>
            <w:r w:rsidR="00574BEF" w:rsidRPr="007F0B0F">
              <w:rPr>
                <w:rFonts w:ascii="Book Antiqua" w:eastAsia="等线" w:hAnsi="Book Antiqua" w:cs="Arial"/>
              </w:rPr>
              <w:t>6</w:t>
            </w:r>
            <w:r w:rsidR="00574BEF" w:rsidRPr="007F0B0F">
              <w:rPr>
                <w:rFonts w:ascii="Book Antiqua" w:eastAsia="等线" w:hAnsi="Book Antiqua" w:cs="Arial"/>
                <w:vertAlign w:val="superscript"/>
              </w:rPr>
              <w:t>1</w:t>
            </w:r>
          </w:p>
        </w:tc>
        <w:tc>
          <w:tcPr>
            <w:tcW w:w="2791" w:type="dxa"/>
            <w:shd w:val="clear" w:color="auto" w:fill="auto"/>
          </w:tcPr>
          <w:p w14:paraId="54E89FB7"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2.5 (2</w:t>
            </w:r>
            <w:r w:rsidR="00283D1F">
              <w:rPr>
                <w:rFonts w:ascii="Book Antiqua" w:eastAsia="等线" w:hAnsi="Book Antiqua" w:cs="Arial"/>
              </w:rPr>
              <w:t>-</w:t>
            </w:r>
            <w:r w:rsidR="00574BEF" w:rsidRPr="007F0B0F">
              <w:rPr>
                <w:rFonts w:ascii="Book Antiqua" w:eastAsia="等线" w:hAnsi="Book Antiqua" w:cs="Arial"/>
              </w:rPr>
              <w:t>5)</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2</w:t>
            </w:r>
            <w:r w:rsidR="00283D1F">
              <w:rPr>
                <w:rFonts w:ascii="Book Antiqua" w:eastAsia="等线" w:hAnsi="Book Antiqua" w:cs="Arial"/>
              </w:rPr>
              <w:t>-</w:t>
            </w:r>
            <w:r w:rsidR="00574BEF" w:rsidRPr="007F0B0F">
              <w:rPr>
                <w:rFonts w:ascii="Book Antiqua" w:eastAsia="等线" w:hAnsi="Book Antiqua" w:cs="Arial"/>
              </w:rPr>
              <w:t>5</w:t>
            </w:r>
          </w:p>
        </w:tc>
        <w:tc>
          <w:tcPr>
            <w:tcW w:w="1098" w:type="dxa"/>
            <w:shd w:val="clear" w:color="auto" w:fill="auto"/>
          </w:tcPr>
          <w:p w14:paraId="7B440F8A" w14:textId="63C96F4C"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0.5549 (</w:t>
            </w:r>
            <w:r w:rsidR="004A58E2">
              <w:rPr>
                <w:rFonts w:ascii="Book Antiqua" w:eastAsia="等线" w:hAnsi="Book Antiqua" w:cs="Arial"/>
                <w:caps/>
              </w:rPr>
              <w:t>NS</w:t>
            </w:r>
            <w:r w:rsidRPr="007F0B0F">
              <w:rPr>
                <w:rFonts w:ascii="Book Antiqua" w:eastAsia="等线" w:hAnsi="Book Antiqua" w:cs="Arial"/>
              </w:rPr>
              <w:t>)</w:t>
            </w:r>
          </w:p>
        </w:tc>
      </w:tr>
      <w:tr w:rsidR="00094AEF" w:rsidRPr="007F0B0F" w14:paraId="6A4D6A8D" w14:textId="77777777" w:rsidTr="00094AEF">
        <w:trPr>
          <w:trHeight w:val="553"/>
        </w:trPr>
        <w:tc>
          <w:tcPr>
            <w:tcW w:w="2704" w:type="dxa"/>
            <w:shd w:val="clear" w:color="auto" w:fill="auto"/>
          </w:tcPr>
          <w:p w14:paraId="2B96357B"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Sphincter involvement (%)</w:t>
            </w:r>
            <w:r w:rsidRPr="007F0B0F">
              <w:rPr>
                <w:rFonts w:ascii="Book Antiqua" w:eastAsia="等线" w:hAnsi="Book Antiqua" w:cs="Arial"/>
                <w:bCs/>
                <w:lang w:eastAsia="zh-CN"/>
              </w:rPr>
              <w:t xml:space="preserve"> </w:t>
            </w:r>
            <w:r w:rsidRPr="007F0B0F">
              <w:rPr>
                <w:rFonts w:ascii="Book Antiqua" w:eastAsia="等线" w:hAnsi="Book Antiqua" w:cs="Arial"/>
                <w:bCs/>
              </w:rPr>
              <w:t>mean (IQR), range</w:t>
            </w:r>
          </w:p>
        </w:tc>
        <w:tc>
          <w:tcPr>
            <w:tcW w:w="2693" w:type="dxa"/>
            <w:shd w:val="clear" w:color="auto" w:fill="auto"/>
          </w:tcPr>
          <w:p w14:paraId="3C8E778A"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50 (40</w:t>
            </w:r>
            <w:r w:rsidR="00283D1F">
              <w:rPr>
                <w:rFonts w:ascii="Book Antiqua" w:eastAsia="等线" w:hAnsi="Book Antiqua" w:cs="Arial"/>
              </w:rPr>
              <w:t>-</w:t>
            </w:r>
            <w:r w:rsidR="00574BEF" w:rsidRPr="007F0B0F">
              <w:rPr>
                <w:rFonts w:ascii="Book Antiqua" w:eastAsia="等线" w:hAnsi="Book Antiqua" w:cs="Arial"/>
              </w:rPr>
              <w:t>68.3)</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25</w:t>
            </w:r>
            <w:r w:rsidR="00283D1F">
              <w:rPr>
                <w:rFonts w:ascii="Book Antiqua" w:eastAsia="等线" w:hAnsi="Book Antiqua" w:cs="Arial"/>
              </w:rPr>
              <w:t>-</w:t>
            </w:r>
            <w:r w:rsidR="00574BEF" w:rsidRPr="007F0B0F">
              <w:rPr>
                <w:rFonts w:ascii="Book Antiqua" w:eastAsia="等线" w:hAnsi="Book Antiqua" w:cs="Arial"/>
              </w:rPr>
              <w:t>80</w:t>
            </w:r>
            <w:r w:rsidR="00574BEF" w:rsidRPr="007F0B0F">
              <w:rPr>
                <w:rFonts w:ascii="Book Antiqua" w:eastAsia="等线" w:hAnsi="Book Antiqua" w:cs="Arial"/>
                <w:vertAlign w:val="superscript"/>
              </w:rPr>
              <w:t>1</w:t>
            </w:r>
          </w:p>
        </w:tc>
        <w:tc>
          <w:tcPr>
            <w:tcW w:w="2791" w:type="dxa"/>
            <w:shd w:val="clear" w:color="auto" w:fill="auto"/>
          </w:tcPr>
          <w:p w14:paraId="408CCA64"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55 (20</w:t>
            </w:r>
            <w:r w:rsidR="00283D1F">
              <w:rPr>
                <w:rFonts w:ascii="Book Antiqua" w:eastAsia="等线" w:hAnsi="Book Antiqua" w:cs="Arial"/>
              </w:rPr>
              <w:t>-</w:t>
            </w:r>
            <w:r w:rsidR="00574BEF" w:rsidRPr="007F0B0F">
              <w:rPr>
                <w:rFonts w:ascii="Book Antiqua" w:eastAsia="等线" w:hAnsi="Book Antiqua" w:cs="Arial"/>
              </w:rPr>
              <w:t>90)</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20</w:t>
            </w:r>
            <w:r w:rsidR="00283D1F">
              <w:rPr>
                <w:rFonts w:ascii="Book Antiqua" w:eastAsia="等线" w:hAnsi="Book Antiqua" w:cs="Arial"/>
              </w:rPr>
              <w:t>-</w:t>
            </w:r>
            <w:r w:rsidR="00574BEF" w:rsidRPr="007F0B0F">
              <w:rPr>
                <w:rFonts w:ascii="Book Antiqua" w:eastAsia="等线" w:hAnsi="Book Antiqua" w:cs="Arial"/>
              </w:rPr>
              <w:t>90</w:t>
            </w:r>
          </w:p>
        </w:tc>
        <w:tc>
          <w:tcPr>
            <w:tcW w:w="1098" w:type="dxa"/>
            <w:shd w:val="clear" w:color="auto" w:fill="auto"/>
          </w:tcPr>
          <w:p w14:paraId="743D2F53" w14:textId="713FCD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&gt;</w:t>
            </w:r>
            <w:r w:rsidR="00525DFD" w:rsidRPr="007F0B0F">
              <w:rPr>
                <w:rFonts w:ascii="Book Antiqua" w:eastAsia="等线" w:hAnsi="Book Antiqua" w:cs="Arial"/>
              </w:rPr>
              <w:t xml:space="preserve"> </w:t>
            </w:r>
            <w:r w:rsidRPr="007F0B0F">
              <w:rPr>
                <w:rFonts w:ascii="Book Antiqua" w:eastAsia="等线" w:hAnsi="Book Antiqua" w:cs="Arial"/>
              </w:rPr>
              <w:t>0.9999 (</w:t>
            </w:r>
            <w:r w:rsidR="004A58E2">
              <w:rPr>
                <w:rFonts w:ascii="Book Antiqua" w:eastAsia="等线" w:hAnsi="Book Antiqua" w:cs="Arial"/>
                <w:caps/>
              </w:rPr>
              <w:t>NS</w:t>
            </w:r>
            <w:r w:rsidRPr="007F0B0F">
              <w:rPr>
                <w:rFonts w:ascii="Book Antiqua" w:eastAsia="等线" w:hAnsi="Book Antiqua" w:cs="Arial"/>
              </w:rPr>
              <w:t>)</w:t>
            </w:r>
          </w:p>
        </w:tc>
      </w:tr>
      <w:tr w:rsidR="00574BEF" w:rsidRPr="007F0B0F" w14:paraId="7A36E237" w14:textId="77777777" w:rsidTr="00921D53">
        <w:trPr>
          <w:trHeight w:val="553"/>
        </w:trPr>
        <w:tc>
          <w:tcPr>
            <w:tcW w:w="2704" w:type="dxa"/>
            <w:tcBorders>
              <w:bottom w:val="single" w:sz="4" w:space="0" w:color="BFBFBF"/>
            </w:tcBorders>
            <w:shd w:val="clear" w:color="auto" w:fill="auto"/>
          </w:tcPr>
          <w:p w14:paraId="36FD968A"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 xml:space="preserve">Fistula closure 24 wk after fistulodesis; </w:t>
            </w:r>
            <w:r w:rsidRPr="007F0B0F">
              <w:rPr>
                <w:rFonts w:ascii="Book Antiqua" w:eastAsia="等线" w:hAnsi="Book Antiqua" w:cs="Arial"/>
                <w:bCs/>
                <w:i/>
              </w:rPr>
              <w:t>n</w:t>
            </w:r>
            <w:r w:rsidRPr="007F0B0F">
              <w:rPr>
                <w:rFonts w:ascii="Book Antiqua" w:eastAsia="等线" w:hAnsi="Book Antiqua" w:cs="Arial"/>
                <w:bCs/>
              </w:rPr>
              <w:t xml:space="preserve"> (%)</w:t>
            </w:r>
          </w:p>
        </w:tc>
        <w:tc>
          <w:tcPr>
            <w:tcW w:w="2693" w:type="dxa"/>
            <w:tcBorders>
              <w:bottom w:val="single" w:sz="4" w:space="0" w:color="BFBFBF"/>
            </w:tcBorders>
            <w:shd w:val="clear" w:color="auto" w:fill="auto"/>
          </w:tcPr>
          <w:p w14:paraId="3984F484"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5</w:t>
            </w:r>
            <w:r w:rsidRPr="007F0B0F">
              <w:rPr>
                <w:rFonts w:ascii="Book Antiqua" w:eastAsia="等线" w:hAnsi="Book Antiqua" w:cs="Arial"/>
                <w:vertAlign w:val="superscript"/>
              </w:rPr>
              <w:t xml:space="preserve"> </w:t>
            </w:r>
            <w:r w:rsidRPr="007F0B0F">
              <w:rPr>
                <w:rFonts w:ascii="Book Antiqua" w:eastAsia="等线" w:hAnsi="Book Antiqua" w:cs="Arial"/>
              </w:rPr>
              <w:t>(26%)</w:t>
            </w:r>
            <w:r w:rsidRPr="007F0B0F">
              <w:rPr>
                <w:rFonts w:ascii="Book Antiqua" w:eastAsia="等线" w:hAnsi="Book Antiqua" w:cs="Arial"/>
                <w:vertAlign w:val="superscript"/>
              </w:rPr>
              <w:t>5</w:t>
            </w:r>
          </w:p>
        </w:tc>
        <w:tc>
          <w:tcPr>
            <w:tcW w:w="2791" w:type="dxa"/>
            <w:tcBorders>
              <w:bottom w:val="single" w:sz="4" w:space="0" w:color="BFBFBF"/>
            </w:tcBorders>
            <w:shd w:val="clear" w:color="auto" w:fill="auto"/>
          </w:tcPr>
          <w:p w14:paraId="3CA53143"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2 (66</w:t>
            </w:r>
            <w:r w:rsidR="00574BEF" w:rsidRPr="007F0B0F">
              <w:rPr>
                <w:rFonts w:ascii="Book Antiqua" w:eastAsia="等线" w:hAnsi="Book Antiqua" w:cs="Arial"/>
              </w:rPr>
              <w:t>%)</w:t>
            </w:r>
          </w:p>
        </w:tc>
        <w:tc>
          <w:tcPr>
            <w:tcW w:w="1098" w:type="dxa"/>
            <w:tcBorders>
              <w:bottom w:val="single" w:sz="4" w:space="0" w:color="BFBFBF"/>
            </w:tcBorders>
            <w:shd w:val="clear" w:color="auto" w:fill="auto"/>
          </w:tcPr>
          <w:p w14:paraId="285FB1DB" w14:textId="02262114"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0.3333 (</w:t>
            </w:r>
            <w:r w:rsidR="004A58E2">
              <w:rPr>
                <w:rFonts w:ascii="Book Antiqua" w:eastAsia="等线" w:hAnsi="Book Antiqua" w:cs="Arial"/>
                <w:caps/>
              </w:rPr>
              <w:t>NS</w:t>
            </w:r>
            <w:r w:rsidRPr="007F0B0F">
              <w:rPr>
                <w:rFonts w:ascii="Book Antiqua" w:eastAsia="等线" w:hAnsi="Book Antiqua" w:cs="Arial"/>
              </w:rPr>
              <w:t>)</w:t>
            </w:r>
          </w:p>
        </w:tc>
      </w:tr>
    </w:tbl>
    <w:p w14:paraId="4816D314" w14:textId="77777777" w:rsidR="00251E5F" w:rsidRDefault="00574BEF" w:rsidP="007F0B0F">
      <w:pPr>
        <w:snapToGrid w:val="0"/>
        <w:spacing w:line="360" w:lineRule="auto"/>
        <w:jc w:val="both"/>
        <w:rPr>
          <w:rFonts w:ascii="Book Antiqua" w:hAnsi="Book Antiqua" w:cs="Arial"/>
        </w:rPr>
      </w:pPr>
      <w:r w:rsidRPr="007F0B0F">
        <w:rPr>
          <w:rFonts w:ascii="Book Antiqua" w:hAnsi="Book Antiqua" w:cs="Arial"/>
          <w:vertAlign w:val="superscript"/>
        </w:rPr>
        <w:t>1</w:t>
      </w:r>
      <w:r w:rsidRPr="007F0B0F">
        <w:rPr>
          <w:rFonts w:ascii="Book Antiqua" w:hAnsi="Book Antiqua" w:cs="Arial"/>
        </w:rPr>
        <w:t>Data not available for 1 non-</w:t>
      </w:r>
      <w:r w:rsidR="00525DFD" w:rsidRPr="007F0B0F">
        <w:rPr>
          <w:rFonts w:ascii="Book Antiqua" w:hAnsi="Book Antiqua" w:cs="Arial"/>
        </w:rPr>
        <w:t>inflammatory bowel disease (IBD)</w:t>
      </w:r>
      <w:r w:rsidRPr="007F0B0F">
        <w:rPr>
          <w:rFonts w:ascii="Book Antiqua" w:hAnsi="Book Antiqua" w:cs="Arial"/>
        </w:rPr>
        <w:t xml:space="preserve"> patient. </w:t>
      </w:r>
    </w:p>
    <w:p w14:paraId="2D957CA2" w14:textId="77777777" w:rsidR="00251E5F" w:rsidRDefault="00574BEF" w:rsidP="007F0B0F">
      <w:pPr>
        <w:snapToGrid w:val="0"/>
        <w:spacing w:line="360" w:lineRule="auto"/>
        <w:jc w:val="both"/>
        <w:rPr>
          <w:rFonts w:ascii="Book Antiqua" w:hAnsi="Book Antiqua" w:cs="Arial"/>
        </w:rPr>
      </w:pPr>
      <w:r w:rsidRPr="007F0B0F">
        <w:rPr>
          <w:rFonts w:ascii="Book Antiqua" w:hAnsi="Book Antiqua" w:cs="Arial"/>
          <w:vertAlign w:val="superscript"/>
        </w:rPr>
        <w:t>2</w:t>
      </w:r>
      <w:r w:rsidRPr="007F0B0F">
        <w:rPr>
          <w:rFonts w:ascii="Book Antiqua" w:hAnsi="Book Antiqua" w:cs="Arial"/>
        </w:rPr>
        <w:t xml:space="preserve">Data not available of 4 non-IBD patients. </w:t>
      </w:r>
    </w:p>
    <w:p w14:paraId="239967A2" w14:textId="77777777" w:rsidR="00251E5F" w:rsidRDefault="00574BEF" w:rsidP="007F0B0F">
      <w:pPr>
        <w:snapToGrid w:val="0"/>
        <w:spacing w:line="360" w:lineRule="auto"/>
        <w:jc w:val="both"/>
        <w:rPr>
          <w:rFonts w:ascii="Book Antiqua" w:hAnsi="Book Antiqua" w:cs="Arial"/>
        </w:rPr>
      </w:pPr>
      <w:r w:rsidRPr="007F0B0F">
        <w:rPr>
          <w:rFonts w:ascii="Book Antiqua" w:hAnsi="Book Antiqua" w:cs="Arial"/>
          <w:vertAlign w:val="superscript"/>
        </w:rPr>
        <w:t>3</w:t>
      </w:r>
      <w:r w:rsidRPr="007F0B0F">
        <w:rPr>
          <w:rFonts w:ascii="Book Antiqua" w:hAnsi="Book Antiqua" w:cs="Arial"/>
        </w:rPr>
        <w:t xml:space="preserve">IBD-Q at screening of 3 non-IBD patients not available. </w:t>
      </w:r>
    </w:p>
    <w:p w14:paraId="03F2C43E" w14:textId="77777777" w:rsidR="00251E5F" w:rsidRDefault="00574BEF" w:rsidP="007F0B0F">
      <w:pPr>
        <w:snapToGrid w:val="0"/>
        <w:spacing w:line="360" w:lineRule="auto"/>
        <w:jc w:val="both"/>
        <w:rPr>
          <w:rFonts w:ascii="Book Antiqua" w:hAnsi="Book Antiqua" w:cs="Arial"/>
        </w:rPr>
      </w:pPr>
      <w:r w:rsidRPr="007F0B0F">
        <w:rPr>
          <w:rFonts w:ascii="Book Antiqua" w:hAnsi="Book Antiqua" w:cs="Arial"/>
          <w:vertAlign w:val="superscript"/>
        </w:rPr>
        <w:t>4</w:t>
      </w:r>
      <w:r w:rsidRPr="007F0B0F">
        <w:rPr>
          <w:rFonts w:ascii="Book Antiqua" w:hAnsi="Book Antiqua" w:cs="Arial"/>
        </w:rPr>
        <w:t xml:space="preserve">IBD-Q at screening of on 1 CD patient was available. </w:t>
      </w:r>
    </w:p>
    <w:p w14:paraId="43AC9717" w14:textId="77777777" w:rsidR="00251E5F" w:rsidRDefault="00094AEF" w:rsidP="007F0B0F">
      <w:pPr>
        <w:snapToGrid w:val="0"/>
        <w:spacing w:line="360" w:lineRule="auto"/>
        <w:jc w:val="both"/>
        <w:rPr>
          <w:rFonts w:ascii="Book Antiqua" w:hAnsi="Book Antiqua" w:cs="Arial"/>
        </w:rPr>
      </w:pPr>
      <w:r w:rsidRPr="007F0B0F">
        <w:rPr>
          <w:rFonts w:ascii="Book Antiqua" w:hAnsi="Book Antiqua" w:cs="Arial"/>
          <w:vertAlign w:val="superscript"/>
        </w:rPr>
        <w:t>5</w:t>
      </w:r>
      <w:r w:rsidR="00574BEF" w:rsidRPr="007F0B0F">
        <w:rPr>
          <w:rFonts w:ascii="Book Antiqua" w:hAnsi="Book Antiqua" w:cs="Arial"/>
        </w:rPr>
        <w:t>From a total of 19 operated fistulae in 17 non-IBD patients.</w:t>
      </w:r>
      <w:r w:rsidRPr="007F0B0F">
        <w:rPr>
          <w:rFonts w:ascii="Book Antiqua" w:hAnsi="Book Antiqua" w:cs="Arial"/>
        </w:rPr>
        <w:t xml:space="preserve"> Statistical analysis was performed using the Mann-Whitney and Fisher’s exact test. </w:t>
      </w:r>
    </w:p>
    <w:p w14:paraId="26915902" w14:textId="372619C3" w:rsidR="00574BEF" w:rsidRPr="007F0B0F" w:rsidRDefault="00094AEF" w:rsidP="007F0B0F">
      <w:pPr>
        <w:snapToGrid w:val="0"/>
        <w:spacing w:line="360" w:lineRule="auto"/>
        <w:jc w:val="both"/>
        <w:rPr>
          <w:rFonts w:ascii="Book Antiqua" w:hAnsi="Book Antiqua" w:cs="Arial"/>
        </w:rPr>
      </w:pPr>
      <w:r w:rsidRPr="007F0B0F">
        <w:rPr>
          <w:rFonts w:ascii="Book Antiqua" w:hAnsi="Book Antiqua" w:cs="Arial"/>
        </w:rPr>
        <w:t xml:space="preserve">BMI: Body-Mass-Index; IQR: Interquartile range; IBD-Q: Inflammatory bowel disease questionnaire; PDAI: Perianal disease activity index; HBI: Harvey-Bradshaw Index; </w:t>
      </w:r>
      <w:r w:rsidR="004A58E2">
        <w:rPr>
          <w:rFonts w:ascii="Book Antiqua" w:hAnsi="Book Antiqua" w:cs="Arial"/>
          <w:caps/>
        </w:rPr>
        <w:t>NS</w:t>
      </w:r>
      <w:r w:rsidRPr="007F0B0F">
        <w:rPr>
          <w:rFonts w:ascii="Book Antiqua" w:hAnsi="Book Antiqua" w:cs="Arial"/>
        </w:rPr>
        <w:t>: Not significant.</w:t>
      </w:r>
    </w:p>
    <w:p w14:paraId="31107379" w14:textId="77777777" w:rsidR="00574BEF" w:rsidRPr="007F0B0F" w:rsidRDefault="00574BEF" w:rsidP="007F0B0F">
      <w:pPr>
        <w:snapToGrid w:val="0"/>
        <w:spacing w:line="360" w:lineRule="auto"/>
        <w:jc w:val="both"/>
        <w:rPr>
          <w:rFonts w:ascii="Book Antiqua" w:hAnsi="Book Antiqua" w:cs="Arial"/>
        </w:rPr>
      </w:pPr>
      <w:r w:rsidRPr="007F0B0F">
        <w:rPr>
          <w:rFonts w:ascii="Book Antiqua" w:hAnsi="Book Antiqua"/>
          <w:b/>
          <w:bCs/>
        </w:rPr>
        <w:br w:type="page"/>
      </w:r>
      <w:r w:rsidRPr="007F0B0F">
        <w:rPr>
          <w:rFonts w:ascii="Book Antiqua" w:hAnsi="Book Antiqua"/>
          <w:b/>
          <w:bCs/>
        </w:rPr>
        <w:lastRenderedPageBreak/>
        <w:t>Table 2 Adverse effects of fistulodesis</w:t>
      </w:r>
    </w:p>
    <w:tbl>
      <w:tblPr>
        <w:tblW w:w="8897" w:type="dxa"/>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3085"/>
        <w:gridCol w:w="1872"/>
        <w:gridCol w:w="1842"/>
        <w:gridCol w:w="2098"/>
      </w:tblGrid>
      <w:tr w:rsidR="00094AEF" w:rsidRPr="007F0B0F" w14:paraId="26C69C6D" w14:textId="77777777" w:rsidTr="00427F35">
        <w:tc>
          <w:tcPr>
            <w:tcW w:w="3085" w:type="dxa"/>
            <w:tcBorders>
              <w:top w:val="single" w:sz="4" w:space="0" w:color="000000" w:themeColor="text1"/>
              <w:bottom w:val="single" w:sz="4" w:space="0" w:color="000000" w:themeColor="text1"/>
            </w:tcBorders>
            <w:shd w:val="clear" w:color="auto" w:fill="auto"/>
            <w:vAlign w:val="center"/>
          </w:tcPr>
          <w:p w14:paraId="5F2AC950" w14:textId="77777777" w:rsidR="00574BEF" w:rsidRPr="007F0B0F" w:rsidRDefault="00574BEF" w:rsidP="007F0B0F">
            <w:pPr>
              <w:snapToGrid w:val="0"/>
              <w:spacing w:line="360" w:lineRule="auto"/>
              <w:jc w:val="both"/>
              <w:rPr>
                <w:rFonts w:ascii="Book Antiqua" w:eastAsia="等线" w:hAnsi="Book Antiqua" w:cs="Arial"/>
                <w:b/>
                <w:bCs/>
              </w:rPr>
            </w:pPr>
            <w:r w:rsidRPr="007F0B0F">
              <w:rPr>
                <w:rFonts w:ascii="Book Antiqua" w:eastAsia="等线" w:hAnsi="Book Antiqua" w:cs="Arial"/>
                <w:b/>
                <w:bCs/>
              </w:rPr>
              <w:t>Side effects of treatment</w:t>
            </w:r>
          </w:p>
        </w:tc>
        <w:tc>
          <w:tcPr>
            <w:tcW w:w="1872" w:type="dxa"/>
            <w:tcBorders>
              <w:top w:val="single" w:sz="4" w:space="0" w:color="000000" w:themeColor="text1"/>
              <w:bottom w:val="single" w:sz="4" w:space="0" w:color="000000" w:themeColor="text1"/>
            </w:tcBorders>
            <w:shd w:val="clear" w:color="auto" w:fill="auto"/>
            <w:vAlign w:val="center"/>
          </w:tcPr>
          <w:p w14:paraId="0779F289" w14:textId="77777777" w:rsidR="00574BEF" w:rsidRPr="007F0B0F" w:rsidRDefault="00574BEF" w:rsidP="007F0B0F">
            <w:pPr>
              <w:snapToGrid w:val="0"/>
              <w:spacing w:line="360" w:lineRule="auto"/>
              <w:jc w:val="both"/>
              <w:rPr>
                <w:rFonts w:ascii="Book Antiqua" w:eastAsia="等线" w:hAnsi="Book Antiqua" w:cs="Arial"/>
                <w:b/>
                <w:bCs/>
                <w:lang w:val="fr-CH"/>
              </w:rPr>
            </w:pPr>
            <w:r w:rsidRPr="007F0B0F">
              <w:rPr>
                <w:rFonts w:ascii="Book Antiqua" w:eastAsia="等线" w:hAnsi="Book Antiqua" w:cs="Arial"/>
                <w:b/>
                <w:bCs/>
                <w:lang w:val="fr-CH"/>
              </w:rPr>
              <w:t>N</w:t>
            </w:r>
            <w:r w:rsidR="00094AEF" w:rsidRPr="007F0B0F">
              <w:rPr>
                <w:rFonts w:ascii="Book Antiqua" w:eastAsia="等线" w:hAnsi="Book Antiqua" w:cs="Arial"/>
                <w:b/>
                <w:bCs/>
                <w:lang w:val="fr-CH"/>
              </w:rPr>
              <w:t>on-IBD patients,</w:t>
            </w:r>
            <w:r w:rsidR="00094AEF" w:rsidRPr="007F0B0F">
              <w:rPr>
                <w:rFonts w:ascii="Book Antiqua" w:eastAsia="等线" w:hAnsi="Book Antiqua" w:cs="Arial"/>
                <w:b/>
                <w:bCs/>
                <w:lang w:val="fr-CH" w:eastAsia="zh-CN"/>
              </w:rPr>
              <w:t xml:space="preserve"> </w:t>
            </w:r>
            <w:r w:rsidRPr="007F0B0F">
              <w:rPr>
                <w:rFonts w:ascii="Book Antiqua" w:eastAsia="等线" w:hAnsi="Book Antiqua" w:cs="Arial"/>
                <w:b/>
                <w:bCs/>
                <w:i/>
                <w:lang w:val="fr-CH"/>
              </w:rPr>
              <w:t>n</w:t>
            </w:r>
            <w:r w:rsidR="00094AEF" w:rsidRPr="007F0B0F">
              <w:rPr>
                <w:rFonts w:ascii="Book Antiqua" w:eastAsia="等线" w:hAnsi="Book Antiqua" w:cs="Arial"/>
                <w:b/>
                <w:bCs/>
                <w:lang w:val="fr-CH"/>
              </w:rPr>
              <w:t xml:space="preserve"> </w:t>
            </w:r>
            <w:r w:rsidRPr="007F0B0F">
              <w:rPr>
                <w:rFonts w:ascii="Book Antiqua" w:eastAsia="等线" w:hAnsi="Book Antiqua" w:cs="Arial"/>
                <w:b/>
                <w:bCs/>
                <w:lang w:val="fr-CH"/>
              </w:rPr>
              <w:t>=</w:t>
            </w:r>
            <w:r w:rsidR="00094AEF" w:rsidRPr="007F0B0F">
              <w:rPr>
                <w:rFonts w:ascii="Book Antiqua" w:eastAsia="等线" w:hAnsi="Book Antiqua" w:cs="Arial"/>
                <w:b/>
                <w:bCs/>
                <w:lang w:val="fr-CH"/>
              </w:rPr>
              <w:t xml:space="preserve"> </w:t>
            </w:r>
            <w:r w:rsidRPr="007F0B0F">
              <w:rPr>
                <w:rFonts w:ascii="Book Antiqua" w:eastAsia="等线" w:hAnsi="Book Antiqua" w:cs="Arial"/>
                <w:b/>
                <w:bCs/>
                <w:lang w:val="fr-CH"/>
              </w:rPr>
              <w:t>17</w:t>
            </w:r>
          </w:p>
        </w:tc>
        <w:tc>
          <w:tcPr>
            <w:tcW w:w="1842" w:type="dxa"/>
            <w:tcBorders>
              <w:top w:val="single" w:sz="4" w:space="0" w:color="000000" w:themeColor="text1"/>
              <w:bottom w:val="single" w:sz="4" w:space="0" w:color="000000" w:themeColor="text1"/>
            </w:tcBorders>
            <w:shd w:val="clear" w:color="auto" w:fill="auto"/>
            <w:vAlign w:val="center"/>
          </w:tcPr>
          <w:p w14:paraId="6C5A1788"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
                <w:bCs/>
              </w:rPr>
              <w:t>Patients with CD</w:t>
            </w:r>
            <w:r w:rsidR="00094AEF" w:rsidRPr="007F0B0F">
              <w:rPr>
                <w:rFonts w:ascii="Book Antiqua" w:eastAsia="等线" w:hAnsi="Book Antiqua" w:cs="Arial"/>
                <w:b/>
                <w:bCs/>
              </w:rPr>
              <w:t>,</w:t>
            </w:r>
            <w:r w:rsidR="00094AEF" w:rsidRPr="007F0B0F">
              <w:rPr>
                <w:rFonts w:ascii="Book Antiqua" w:eastAsia="等线" w:hAnsi="Book Antiqua" w:cs="Arial"/>
                <w:bCs/>
                <w:lang w:eastAsia="zh-CN"/>
              </w:rPr>
              <w:t xml:space="preserve"> </w:t>
            </w:r>
            <w:r w:rsidRPr="007F0B0F">
              <w:rPr>
                <w:rFonts w:ascii="Book Antiqua" w:eastAsia="等线" w:hAnsi="Book Antiqua" w:cs="Arial"/>
                <w:b/>
                <w:bCs/>
                <w:i/>
              </w:rPr>
              <w:t>n</w:t>
            </w:r>
            <w:r w:rsidR="00094AEF" w:rsidRPr="007F0B0F">
              <w:rPr>
                <w:rFonts w:ascii="Book Antiqua" w:eastAsia="等线" w:hAnsi="Book Antiqua" w:cs="Arial"/>
                <w:b/>
                <w:bCs/>
              </w:rPr>
              <w:t xml:space="preserve"> </w:t>
            </w:r>
            <w:r w:rsidRPr="007F0B0F">
              <w:rPr>
                <w:rFonts w:ascii="Book Antiqua" w:eastAsia="等线" w:hAnsi="Book Antiqua" w:cs="Arial"/>
                <w:b/>
                <w:bCs/>
              </w:rPr>
              <w:t>=</w:t>
            </w:r>
            <w:r w:rsidR="00094AEF" w:rsidRPr="007F0B0F">
              <w:rPr>
                <w:rFonts w:ascii="Book Antiqua" w:eastAsia="等线" w:hAnsi="Book Antiqua" w:cs="Arial"/>
                <w:b/>
                <w:bCs/>
              </w:rPr>
              <w:t xml:space="preserve"> </w:t>
            </w:r>
            <w:r w:rsidRPr="007F0B0F">
              <w:rPr>
                <w:rFonts w:ascii="Book Antiqua" w:eastAsia="等线" w:hAnsi="Book Antiqua" w:cs="Arial"/>
                <w:b/>
                <w:bCs/>
              </w:rPr>
              <w:t>3</w:t>
            </w:r>
          </w:p>
        </w:tc>
        <w:tc>
          <w:tcPr>
            <w:tcW w:w="2098" w:type="dxa"/>
            <w:tcBorders>
              <w:top w:val="single" w:sz="4" w:space="0" w:color="000000" w:themeColor="text1"/>
              <w:bottom w:val="single" w:sz="4" w:space="0" w:color="000000" w:themeColor="text1"/>
            </w:tcBorders>
            <w:shd w:val="clear" w:color="auto" w:fill="auto"/>
            <w:vAlign w:val="center"/>
          </w:tcPr>
          <w:p w14:paraId="5745AB39" w14:textId="77777777" w:rsidR="00574BEF" w:rsidRPr="007F0B0F" w:rsidRDefault="00574BEF" w:rsidP="007F0B0F">
            <w:pPr>
              <w:snapToGrid w:val="0"/>
              <w:spacing w:line="360" w:lineRule="auto"/>
              <w:jc w:val="both"/>
              <w:rPr>
                <w:rFonts w:ascii="Book Antiqua" w:eastAsia="等线" w:hAnsi="Book Antiqua" w:cs="Arial"/>
                <w:b/>
                <w:bCs/>
                <w:highlight w:val="yellow"/>
              </w:rPr>
            </w:pPr>
            <w:r w:rsidRPr="007F0B0F">
              <w:rPr>
                <w:rFonts w:ascii="Book Antiqua" w:eastAsia="等线" w:hAnsi="Book Antiqua" w:cs="Arial"/>
                <w:b/>
                <w:bCs/>
              </w:rPr>
              <w:t>Related to study procedures</w:t>
            </w:r>
          </w:p>
        </w:tc>
      </w:tr>
      <w:tr w:rsidR="00574BEF" w:rsidRPr="007F0B0F" w14:paraId="658552A0" w14:textId="77777777" w:rsidTr="00427F35">
        <w:tc>
          <w:tcPr>
            <w:tcW w:w="3085" w:type="dxa"/>
            <w:tcBorders>
              <w:top w:val="single" w:sz="4" w:space="0" w:color="000000" w:themeColor="text1"/>
            </w:tcBorders>
            <w:shd w:val="clear" w:color="auto" w:fill="auto"/>
          </w:tcPr>
          <w:p w14:paraId="2C6BB899"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bCs/>
              </w:rPr>
              <w:t>Fistula recurrence</w:t>
            </w:r>
          </w:p>
        </w:tc>
        <w:tc>
          <w:tcPr>
            <w:tcW w:w="1872" w:type="dxa"/>
            <w:tcBorders>
              <w:top w:val="single" w:sz="4" w:space="0" w:color="000000" w:themeColor="text1"/>
            </w:tcBorders>
            <w:shd w:val="clear" w:color="auto" w:fill="auto"/>
          </w:tcPr>
          <w:p w14:paraId="3B95857F"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13</w:t>
            </w:r>
          </w:p>
        </w:tc>
        <w:tc>
          <w:tcPr>
            <w:tcW w:w="1842" w:type="dxa"/>
            <w:tcBorders>
              <w:top w:val="single" w:sz="4" w:space="0" w:color="000000" w:themeColor="text1"/>
            </w:tcBorders>
            <w:shd w:val="clear" w:color="auto" w:fill="auto"/>
          </w:tcPr>
          <w:p w14:paraId="722F30A6"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1</w:t>
            </w:r>
          </w:p>
        </w:tc>
        <w:tc>
          <w:tcPr>
            <w:tcW w:w="2098" w:type="dxa"/>
            <w:tcBorders>
              <w:top w:val="single" w:sz="4" w:space="0" w:color="000000" w:themeColor="text1"/>
            </w:tcBorders>
            <w:shd w:val="clear" w:color="auto" w:fill="auto"/>
          </w:tcPr>
          <w:p w14:paraId="176A5681"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Yes</w:t>
            </w:r>
          </w:p>
        </w:tc>
      </w:tr>
      <w:tr w:rsidR="00574BEF" w:rsidRPr="007F0B0F" w14:paraId="010AD435" w14:textId="77777777" w:rsidTr="00427F35">
        <w:tc>
          <w:tcPr>
            <w:tcW w:w="3085" w:type="dxa"/>
            <w:shd w:val="clear" w:color="auto" w:fill="auto"/>
          </w:tcPr>
          <w:p w14:paraId="46BFB411"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 xml:space="preserve">New fistula </w:t>
            </w:r>
            <w:r w:rsidRPr="007F0B0F">
              <w:rPr>
                <w:rFonts w:ascii="Book Antiqua" w:eastAsia="等线" w:hAnsi="Book Antiqua" w:cs="Arial"/>
              </w:rPr>
              <w:br/>
              <w:t>(at a separate site from initial fistula)</w:t>
            </w:r>
          </w:p>
        </w:tc>
        <w:tc>
          <w:tcPr>
            <w:tcW w:w="1872" w:type="dxa"/>
            <w:shd w:val="clear" w:color="auto" w:fill="auto"/>
          </w:tcPr>
          <w:p w14:paraId="436BD840"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0</w:t>
            </w:r>
          </w:p>
        </w:tc>
        <w:tc>
          <w:tcPr>
            <w:tcW w:w="1842" w:type="dxa"/>
            <w:shd w:val="clear" w:color="auto" w:fill="auto"/>
          </w:tcPr>
          <w:p w14:paraId="1B53F48E"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1</w:t>
            </w:r>
          </w:p>
        </w:tc>
        <w:tc>
          <w:tcPr>
            <w:tcW w:w="2098" w:type="dxa"/>
            <w:shd w:val="clear" w:color="auto" w:fill="auto"/>
          </w:tcPr>
          <w:p w14:paraId="7ED9B53D"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Unlikely</w:t>
            </w:r>
          </w:p>
        </w:tc>
      </w:tr>
      <w:tr w:rsidR="00574BEF" w:rsidRPr="007F0B0F" w14:paraId="401D3B4A" w14:textId="77777777" w:rsidTr="00427F35">
        <w:tc>
          <w:tcPr>
            <w:tcW w:w="3085" w:type="dxa"/>
            <w:shd w:val="clear" w:color="auto" w:fill="auto"/>
          </w:tcPr>
          <w:p w14:paraId="177BB03A"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 xml:space="preserve">Perianal abscess </w:t>
            </w:r>
            <w:r w:rsidRPr="007F0B0F">
              <w:rPr>
                <w:rFonts w:ascii="Book Antiqua" w:eastAsia="等线" w:hAnsi="Book Antiqua" w:cs="Arial"/>
              </w:rPr>
              <w:t>(at a separate site from initial fistula)</w:t>
            </w:r>
          </w:p>
        </w:tc>
        <w:tc>
          <w:tcPr>
            <w:tcW w:w="1872" w:type="dxa"/>
            <w:shd w:val="clear" w:color="auto" w:fill="auto"/>
          </w:tcPr>
          <w:p w14:paraId="7F2452AC"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1</w:t>
            </w:r>
          </w:p>
        </w:tc>
        <w:tc>
          <w:tcPr>
            <w:tcW w:w="1842" w:type="dxa"/>
            <w:shd w:val="clear" w:color="auto" w:fill="auto"/>
          </w:tcPr>
          <w:p w14:paraId="2F847F44"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0</w:t>
            </w:r>
          </w:p>
        </w:tc>
        <w:tc>
          <w:tcPr>
            <w:tcW w:w="2098" w:type="dxa"/>
            <w:shd w:val="clear" w:color="auto" w:fill="auto"/>
          </w:tcPr>
          <w:p w14:paraId="09132FCB"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Unlikely</w:t>
            </w:r>
          </w:p>
        </w:tc>
      </w:tr>
      <w:tr w:rsidR="00574BEF" w:rsidRPr="007F0B0F" w14:paraId="7D5BCF52" w14:textId="77777777" w:rsidTr="00427F35">
        <w:tc>
          <w:tcPr>
            <w:tcW w:w="3085" w:type="dxa"/>
            <w:shd w:val="clear" w:color="auto" w:fill="auto"/>
          </w:tcPr>
          <w:p w14:paraId="3C7856BB"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Anemia</w:t>
            </w:r>
          </w:p>
        </w:tc>
        <w:tc>
          <w:tcPr>
            <w:tcW w:w="1872" w:type="dxa"/>
            <w:shd w:val="clear" w:color="auto" w:fill="auto"/>
          </w:tcPr>
          <w:p w14:paraId="6FA41D65"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1</w:t>
            </w:r>
          </w:p>
        </w:tc>
        <w:tc>
          <w:tcPr>
            <w:tcW w:w="1842" w:type="dxa"/>
            <w:shd w:val="clear" w:color="auto" w:fill="auto"/>
          </w:tcPr>
          <w:p w14:paraId="0608A741"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0</w:t>
            </w:r>
          </w:p>
        </w:tc>
        <w:tc>
          <w:tcPr>
            <w:tcW w:w="2098" w:type="dxa"/>
            <w:shd w:val="clear" w:color="auto" w:fill="auto"/>
          </w:tcPr>
          <w:p w14:paraId="150509F6"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Highly unlikely</w:t>
            </w:r>
          </w:p>
        </w:tc>
      </w:tr>
      <w:tr w:rsidR="00574BEF" w:rsidRPr="007F0B0F" w14:paraId="75C72150" w14:textId="77777777" w:rsidTr="00427F35">
        <w:tc>
          <w:tcPr>
            <w:tcW w:w="3085" w:type="dxa"/>
            <w:shd w:val="clear" w:color="auto" w:fill="auto"/>
          </w:tcPr>
          <w:p w14:paraId="462D7C64"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Anal fissure</w:t>
            </w:r>
          </w:p>
        </w:tc>
        <w:tc>
          <w:tcPr>
            <w:tcW w:w="1872" w:type="dxa"/>
            <w:shd w:val="clear" w:color="auto" w:fill="auto"/>
          </w:tcPr>
          <w:p w14:paraId="5A09EF0E"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x</w:t>
            </w:r>
          </w:p>
        </w:tc>
        <w:tc>
          <w:tcPr>
            <w:tcW w:w="1842" w:type="dxa"/>
            <w:shd w:val="clear" w:color="auto" w:fill="auto"/>
          </w:tcPr>
          <w:p w14:paraId="4A24C70C"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x</w:t>
            </w:r>
          </w:p>
        </w:tc>
        <w:tc>
          <w:tcPr>
            <w:tcW w:w="2098" w:type="dxa"/>
            <w:shd w:val="clear" w:color="auto" w:fill="auto"/>
          </w:tcPr>
          <w:p w14:paraId="7FF504D3"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Possible</w:t>
            </w:r>
          </w:p>
        </w:tc>
      </w:tr>
    </w:tbl>
    <w:p w14:paraId="7355F445" w14:textId="50CCCA4F" w:rsidR="00934F4D" w:rsidRDefault="00574BEF" w:rsidP="007F0B0F">
      <w:pPr>
        <w:snapToGrid w:val="0"/>
        <w:spacing w:line="360" w:lineRule="auto"/>
        <w:jc w:val="both"/>
        <w:rPr>
          <w:rFonts w:ascii="Book Antiqua" w:hAnsi="Book Antiqua"/>
          <w:lang w:val="it-CH"/>
        </w:rPr>
      </w:pPr>
      <w:r w:rsidRPr="007F0B0F">
        <w:rPr>
          <w:rFonts w:ascii="Book Antiqua" w:hAnsi="Book Antiqua"/>
          <w:lang w:val="it-CH"/>
        </w:rPr>
        <w:t>non-IBD: Non-inflammatory bowel disease; CD: Crohn’s disease.</w:t>
      </w:r>
    </w:p>
    <w:p w14:paraId="5B7A1B14" w14:textId="77777777" w:rsidR="00934F4D" w:rsidRDefault="00934F4D">
      <w:pPr>
        <w:rPr>
          <w:rFonts w:ascii="Book Antiqua" w:hAnsi="Book Antiqua"/>
          <w:lang w:val="it-CH"/>
        </w:rPr>
      </w:pPr>
      <w:r>
        <w:rPr>
          <w:rFonts w:ascii="Book Antiqua" w:hAnsi="Book Antiqua"/>
          <w:lang w:val="it-CH"/>
        </w:rPr>
        <w:br w:type="page"/>
      </w:r>
    </w:p>
    <w:p w14:paraId="64653FF2" w14:textId="77777777" w:rsidR="00934F4D" w:rsidRDefault="00934F4D" w:rsidP="00934F4D">
      <w:pPr>
        <w:jc w:val="center"/>
        <w:rPr>
          <w:rFonts w:ascii="Book Antiqua" w:hAnsi="Book Antiqua"/>
          <w:lang w:eastAsia="zh-CN"/>
        </w:rPr>
      </w:pPr>
    </w:p>
    <w:p w14:paraId="1B530F4B" w14:textId="77777777" w:rsidR="00934F4D" w:rsidRDefault="00934F4D" w:rsidP="00934F4D">
      <w:pPr>
        <w:jc w:val="center"/>
        <w:rPr>
          <w:rFonts w:ascii="Book Antiqua" w:hAnsi="Book Antiqua"/>
          <w:lang w:eastAsia="zh-CN"/>
        </w:rPr>
      </w:pPr>
    </w:p>
    <w:p w14:paraId="5C7E64B2" w14:textId="77777777" w:rsidR="00934F4D" w:rsidRDefault="00934F4D" w:rsidP="00934F4D">
      <w:pPr>
        <w:jc w:val="center"/>
        <w:rPr>
          <w:rFonts w:ascii="Book Antiqua" w:hAnsi="Book Antiqua"/>
          <w:lang w:eastAsia="zh-CN"/>
        </w:rPr>
      </w:pPr>
    </w:p>
    <w:p w14:paraId="77E9E032" w14:textId="77777777" w:rsidR="00934F4D" w:rsidRDefault="00934F4D" w:rsidP="00934F4D">
      <w:pPr>
        <w:jc w:val="center"/>
        <w:rPr>
          <w:rFonts w:ascii="Book Antiqua" w:hAnsi="Book Antiqua"/>
          <w:lang w:eastAsia="zh-CN"/>
        </w:rPr>
      </w:pPr>
    </w:p>
    <w:p w14:paraId="624ACEB4" w14:textId="77777777" w:rsidR="00934F4D" w:rsidRDefault="00934F4D" w:rsidP="00934F4D">
      <w:pPr>
        <w:jc w:val="center"/>
        <w:rPr>
          <w:rFonts w:ascii="Book Antiqua" w:hAnsi="Book Antiqua"/>
          <w:lang w:eastAsia="zh-CN"/>
        </w:rPr>
      </w:pPr>
    </w:p>
    <w:p w14:paraId="6AE8C8FF" w14:textId="2C694CEF" w:rsidR="00934F4D" w:rsidRDefault="00934F4D" w:rsidP="00934F4D">
      <w:pPr>
        <w:jc w:val="center"/>
        <w:rPr>
          <w:rFonts w:ascii="Book Antiqua" w:hAnsi="Book Antiqua"/>
          <w:lang w:eastAsia="zh-CN"/>
        </w:rPr>
      </w:pPr>
      <w:r>
        <w:rPr>
          <w:rFonts w:ascii="Book Antiqua" w:hAnsi="Book Antiqua"/>
          <w:noProof/>
          <w:lang w:eastAsia="zh-CN"/>
        </w:rPr>
        <w:drawing>
          <wp:inline distT="0" distB="0" distL="0" distR="0" wp14:anchorId="350515B3" wp14:editId="087FDDB6">
            <wp:extent cx="2494280" cy="1440815"/>
            <wp:effectExtent l="0" t="0" r="12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7F73D745" w14:textId="77777777" w:rsidR="00934F4D" w:rsidRDefault="00934F4D" w:rsidP="00934F4D">
      <w:pPr>
        <w:jc w:val="center"/>
        <w:rPr>
          <w:rFonts w:ascii="Book Antiqua" w:hAnsi="Book Antiqua"/>
          <w:lang w:eastAsia="zh-CN"/>
        </w:rPr>
      </w:pPr>
    </w:p>
    <w:p w14:paraId="1A165CFE" w14:textId="77777777" w:rsidR="00934F4D" w:rsidRDefault="00934F4D" w:rsidP="00934F4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6FA378A" w14:textId="77777777" w:rsidR="00934F4D" w:rsidRDefault="00934F4D" w:rsidP="00934F4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8319CF9" w14:textId="77777777" w:rsidR="00934F4D" w:rsidRDefault="00934F4D" w:rsidP="00934F4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25FCF42" w14:textId="77777777" w:rsidR="00934F4D" w:rsidRDefault="00934F4D" w:rsidP="00934F4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09EBF71" w14:textId="77777777" w:rsidR="00934F4D" w:rsidRDefault="00934F4D" w:rsidP="00934F4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52308D2" w14:textId="77777777" w:rsidR="00934F4D" w:rsidRDefault="00934F4D" w:rsidP="00934F4D">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C165807" w14:textId="77777777" w:rsidR="00934F4D" w:rsidRDefault="00934F4D" w:rsidP="00934F4D">
      <w:pPr>
        <w:jc w:val="center"/>
        <w:rPr>
          <w:rFonts w:ascii="Book Antiqua" w:hAnsi="Book Antiqua"/>
          <w:lang w:eastAsia="zh-CN"/>
        </w:rPr>
      </w:pPr>
    </w:p>
    <w:p w14:paraId="503BCD86" w14:textId="77777777" w:rsidR="00934F4D" w:rsidRDefault="00934F4D" w:rsidP="00934F4D">
      <w:pPr>
        <w:jc w:val="center"/>
        <w:rPr>
          <w:rFonts w:ascii="Book Antiqua" w:hAnsi="Book Antiqua"/>
          <w:lang w:eastAsia="zh-CN"/>
        </w:rPr>
      </w:pPr>
    </w:p>
    <w:p w14:paraId="21486460" w14:textId="77777777" w:rsidR="00934F4D" w:rsidRDefault="00934F4D" w:rsidP="00934F4D">
      <w:pPr>
        <w:jc w:val="center"/>
        <w:rPr>
          <w:rFonts w:ascii="Book Antiqua" w:hAnsi="Book Antiqua"/>
          <w:lang w:eastAsia="zh-CN"/>
        </w:rPr>
      </w:pPr>
    </w:p>
    <w:p w14:paraId="713F706B" w14:textId="4DBF991A" w:rsidR="00934F4D" w:rsidRDefault="00934F4D" w:rsidP="00934F4D">
      <w:pPr>
        <w:jc w:val="center"/>
        <w:rPr>
          <w:rFonts w:ascii="Book Antiqua" w:hAnsi="Book Antiqua"/>
          <w:lang w:eastAsia="zh-CN"/>
        </w:rPr>
      </w:pPr>
      <w:r>
        <w:rPr>
          <w:rFonts w:ascii="Book Antiqua" w:hAnsi="Book Antiqua"/>
          <w:noProof/>
          <w:lang w:eastAsia="zh-CN"/>
        </w:rPr>
        <w:drawing>
          <wp:inline distT="0" distB="0" distL="0" distR="0" wp14:anchorId="1F1E31B2" wp14:editId="22A27718">
            <wp:extent cx="1448435"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29C8A5E5" w14:textId="77777777" w:rsidR="00934F4D" w:rsidRDefault="00934F4D" w:rsidP="00934F4D">
      <w:pPr>
        <w:jc w:val="center"/>
        <w:rPr>
          <w:rFonts w:ascii="Book Antiqua" w:hAnsi="Book Antiqua"/>
          <w:lang w:eastAsia="zh-CN"/>
        </w:rPr>
      </w:pPr>
    </w:p>
    <w:p w14:paraId="119100C2" w14:textId="77777777" w:rsidR="00934F4D" w:rsidRDefault="00934F4D" w:rsidP="00934F4D">
      <w:pPr>
        <w:jc w:val="center"/>
        <w:rPr>
          <w:rFonts w:ascii="Book Antiqua" w:hAnsi="Book Antiqua"/>
          <w:lang w:eastAsia="zh-CN"/>
        </w:rPr>
      </w:pPr>
    </w:p>
    <w:p w14:paraId="02D6DFA8" w14:textId="77777777" w:rsidR="00934F4D" w:rsidRDefault="00934F4D" w:rsidP="00934F4D">
      <w:pPr>
        <w:jc w:val="center"/>
        <w:rPr>
          <w:rFonts w:ascii="Book Antiqua" w:hAnsi="Book Antiqua"/>
          <w:lang w:eastAsia="zh-CN"/>
        </w:rPr>
      </w:pPr>
    </w:p>
    <w:p w14:paraId="084EE6F5" w14:textId="77777777" w:rsidR="00934F4D" w:rsidRDefault="00934F4D" w:rsidP="00934F4D">
      <w:pPr>
        <w:jc w:val="center"/>
        <w:rPr>
          <w:rFonts w:ascii="Book Antiqua" w:hAnsi="Book Antiqua"/>
          <w:lang w:eastAsia="zh-CN"/>
        </w:rPr>
      </w:pPr>
    </w:p>
    <w:p w14:paraId="55FEFDF3" w14:textId="77777777" w:rsidR="00934F4D" w:rsidRDefault="00934F4D" w:rsidP="00934F4D">
      <w:pPr>
        <w:jc w:val="center"/>
        <w:rPr>
          <w:rFonts w:ascii="Book Antiqua" w:hAnsi="Book Antiqua"/>
          <w:lang w:eastAsia="zh-CN"/>
        </w:rPr>
      </w:pPr>
    </w:p>
    <w:p w14:paraId="326145E9" w14:textId="77777777" w:rsidR="00934F4D" w:rsidRDefault="00934F4D" w:rsidP="00934F4D">
      <w:pPr>
        <w:jc w:val="center"/>
        <w:rPr>
          <w:rFonts w:ascii="Book Antiqua" w:hAnsi="Book Antiqua"/>
          <w:lang w:eastAsia="zh-CN"/>
        </w:rPr>
      </w:pPr>
    </w:p>
    <w:p w14:paraId="58C3C2C0" w14:textId="77777777" w:rsidR="00934F4D" w:rsidRDefault="00934F4D" w:rsidP="00934F4D">
      <w:pPr>
        <w:jc w:val="center"/>
        <w:rPr>
          <w:rFonts w:ascii="Book Antiqua" w:hAnsi="Book Antiqua"/>
          <w:lang w:eastAsia="zh-CN"/>
        </w:rPr>
      </w:pPr>
    </w:p>
    <w:p w14:paraId="6913280C" w14:textId="77777777" w:rsidR="00934F4D" w:rsidRDefault="00934F4D" w:rsidP="00934F4D">
      <w:pPr>
        <w:jc w:val="center"/>
        <w:rPr>
          <w:rFonts w:ascii="Book Antiqua" w:hAnsi="Book Antiqua"/>
          <w:lang w:eastAsia="zh-CN"/>
        </w:rPr>
      </w:pPr>
    </w:p>
    <w:p w14:paraId="1EF44E92" w14:textId="77777777" w:rsidR="00934F4D" w:rsidRDefault="00934F4D" w:rsidP="00934F4D">
      <w:pPr>
        <w:jc w:val="center"/>
        <w:rPr>
          <w:rFonts w:ascii="Book Antiqua" w:hAnsi="Book Antiqua"/>
          <w:lang w:eastAsia="zh-CN"/>
        </w:rPr>
      </w:pPr>
    </w:p>
    <w:p w14:paraId="1D76F455" w14:textId="77777777" w:rsidR="00934F4D" w:rsidRDefault="00934F4D" w:rsidP="00934F4D">
      <w:pPr>
        <w:jc w:val="right"/>
        <w:rPr>
          <w:rFonts w:ascii="Book Antiqua" w:hAnsi="Book Antiqua"/>
          <w:color w:val="000000" w:themeColor="text1"/>
          <w:lang w:eastAsia="zh-CN"/>
        </w:rPr>
      </w:pPr>
    </w:p>
    <w:p w14:paraId="77882AAE" w14:textId="77777777" w:rsidR="00934F4D" w:rsidRDefault="00934F4D" w:rsidP="00934F4D">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6499B05" w14:textId="77777777" w:rsidR="00CA658C" w:rsidRPr="007F0B0F" w:rsidRDefault="00CA658C" w:rsidP="007F0B0F">
      <w:pPr>
        <w:snapToGrid w:val="0"/>
        <w:spacing w:line="360" w:lineRule="auto"/>
        <w:jc w:val="both"/>
        <w:rPr>
          <w:rFonts w:ascii="Book Antiqua" w:hAnsi="Book Antiqua"/>
        </w:rPr>
      </w:pPr>
    </w:p>
    <w:sectPr w:rsidR="00CA658C" w:rsidRPr="007F0B0F" w:rsidSect="00094AE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06DB3" w14:textId="77777777" w:rsidR="00D97992" w:rsidRDefault="00D97992" w:rsidP="00835AF0">
      <w:r>
        <w:separator/>
      </w:r>
    </w:p>
  </w:endnote>
  <w:endnote w:type="continuationSeparator" w:id="0">
    <w:p w14:paraId="7E976584" w14:textId="77777777" w:rsidR="00D97992" w:rsidRDefault="00D97992" w:rsidP="0083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10293"/>
      <w:docPartObj>
        <w:docPartGallery w:val="Page Numbers (Bottom of Page)"/>
        <w:docPartUnique/>
      </w:docPartObj>
    </w:sdtPr>
    <w:sdtEndPr/>
    <w:sdtContent>
      <w:sdt>
        <w:sdtPr>
          <w:id w:val="-1769616900"/>
          <w:docPartObj>
            <w:docPartGallery w:val="Page Numbers (Top of Page)"/>
            <w:docPartUnique/>
          </w:docPartObj>
        </w:sdtPr>
        <w:sdtEndPr/>
        <w:sdtContent>
          <w:p w14:paraId="2415A0DE" w14:textId="77777777" w:rsidR="00CA658C" w:rsidRDefault="00CA658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36C53">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36C53">
              <w:rPr>
                <w:b/>
                <w:bCs/>
                <w:noProof/>
              </w:rPr>
              <w:t>29</w:t>
            </w:r>
            <w:r>
              <w:rPr>
                <w:b/>
                <w:bCs/>
                <w:sz w:val="24"/>
                <w:szCs w:val="24"/>
              </w:rPr>
              <w:fldChar w:fldCharType="end"/>
            </w:r>
          </w:p>
        </w:sdtContent>
      </w:sdt>
    </w:sdtContent>
  </w:sdt>
  <w:p w14:paraId="6CC9374B" w14:textId="77777777" w:rsidR="00CA658C" w:rsidRDefault="00CA65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817AD" w14:textId="77777777" w:rsidR="00D97992" w:rsidRDefault="00D97992" w:rsidP="00835AF0">
      <w:r>
        <w:separator/>
      </w:r>
    </w:p>
  </w:footnote>
  <w:footnote w:type="continuationSeparator" w:id="0">
    <w:p w14:paraId="4E53D145" w14:textId="77777777" w:rsidR="00D97992" w:rsidRDefault="00D97992" w:rsidP="00835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A1A61"/>
    <w:multiLevelType w:val="hybridMultilevel"/>
    <w:tmpl w:val="99E094CA"/>
    <w:lvl w:ilvl="0" w:tplc="BF7EB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CC4"/>
    <w:rsid w:val="00094AEF"/>
    <w:rsid w:val="00095C3B"/>
    <w:rsid w:val="00096E92"/>
    <w:rsid w:val="000C4ADB"/>
    <w:rsid w:val="000E3D84"/>
    <w:rsid w:val="001528B4"/>
    <w:rsid w:val="001A7977"/>
    <w:rsid w:val="001B06FD"/>
    <w:rsid w:val="001F6BD6"/>
    <w:rsid w:val="00251E5F"/>
    <w:rsid w:val="00283D1F"/>
    <w:rsid w:val="002B48B1"/>
    <w:rsid w:val="003211C5"/>
    <w:rsid w:val="00345909"/>
    <w:rsid w:val="00346B49"/>
    <w:rsid w:val="003A089C"/>
    <w:rsid w:val="00427F35"/>
    <w:rsid w:val="00445981"/>
    <w:rsid w:val="004A58E2"/>
    <w:rsid w:val="005059A4"/>
    <w:rsid w:val="00525DFD"/>
    <w:rsid w:val="00536C53"/>
    <w:rsid w:val="00574BEF"/>
    <w:rsid w:val="005A69C5"/>
    <w:rsid w:val="005B7E1E"/>
    <w:rsid w:val="005D79E5"/>
    <w:rsid w:val="00636F90"/>
    <w:rsid w:val="00637423"/>
    <w:rsid w:val="006676FF"/>
    <w:rsid w:val="006C188E"/>
    <w:rsid w:val="007350A3"/>
    <w:rsid w:val="007C1314"/>
    <w:rsid w:val="007F0B0F"/>
    <w:rsid w:val="00835AF0"/>
    <w:rsid w:val="008B5DE1"/>
    <w:rsid w:val="008E2831"/>
    <w:rsid w:val="008F3B7D"/>
    <w:rsid w:val="00907991"/>
    <w:rsid w:val="00915A8C"/>
    <w:rsid w:val="00921D53"/>
    <w:rsid w:val="00934F4D"/>
    <w:rsid w:val="00956127"/>
    <w:rsid w:val="00A3426D"/>
    <w:rsid w:val="00A77B3E"/>
    <w:rsid w:val="00AB46DB"/>
    <w:rsid w:val="00AC69DD"/>
    <w:rsid w:val="00AF6B4B"/>
    <w:rsid w:val="00B072B3"/>
    <w:rsid w:val="00B54B6A"/>
    <w:rsid w:val="00B57D49"/>
    <w:rsid w:val="00B71370"/>
    <w:rsid w:val="00B959ED"/>
    <w:rsid w:val="00BE2DA6"/>
    <w:rsid w:val="00C0179A"/>
    <w:rsid w:val="00C124C9"/>
    <w:rsid w:val="00C31800"/>
    <w:rsid w:val="00CA2A55"/>
    <w:rsid w:val="00CA658C"/>
    <w:rsid w:val="00CE0E29"/>
    <w:rsid w:val="00CF64CA"/>
    <w:rsid w:val="00D75759"/>
    <w:rsid w:val="00D93669"/>
    <w:rsid w:val="00D97992"/>
    <w:rsid w:val="00DC665A"/>
    <w:rsid w:val="00E55F7C"/>
    <w:rsid w:val="00EE31F9"/>
    <w:rsid w:val="00FE1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38DFB"/>
  <w15:docId w15:val="{B2EFFD24-FAAB-407E-A262-47E4D1FB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35A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35AF0"/>
    <w:rPr>
      <w:sz w:val="18"/>
      <w:szCs w:val="18"/>
    </w:rPr>
  </w:style>
  <w:style w:type="paragraph" w:styleId="a5">
    <w:name w:val="footer"/>
    <w:basedOn w:val="a"/>
    <w:link w:val="a6"/>
    <w:uiPriority w:val="99"/>
    <w:unhideWhenUsed/>
    <w:rsid w:val="00835AF0"/>
    <w:pPr>
      <w:tabs>
        <w:tab w:val="center" w:pos="4153"/>
        <w:tab w:val="right" w:pos="8306"/>
      </w:tabs>
      <w:snapToGrid w:val="0"/>
    </w:pPr>
    <w:rPr>
      <w:sz w:val="18"/>
      <w:szCs w:val="18"/>
    </w:rPr>
  </w:style>
  <w:style w:type="character" w:customStyle="1" w:styleId="a6">
    <w:name w:val="页脚 字符"/>
    <w:basedOn w:val="a0"/>
    <w:link w:val="a5"/>
    <w:uiPriority w:val="99"/>
    <w:rsid w:val="00835A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4248">
      <w:bodyDiv w:val="1"/>
      <w:marLeft w:val="0"/>
      <w:marRight w:val="0"/>
      <w:marTop w:val="0"/>
      <w:marBottom w:val="0"/>
      <w:divBdr>
        <w:top w:val="none" w:sz="0" w:space="0" w:color="auto"/>
        <w:left w:val="none" w:sz="0" w:space="0" w:color="auto"/>
        <w:bottom w:val="none" w:sz="0" w:space="0" w:color="auto"/>
        <w:right w:val="none" w:sz="0" w:space="0" w:color="auto"/>
      </w:divBdr>
    </w:div>
    <w:div w:id="867723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linicaltrials.gov/show/NCT033224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6692</Words>
  <Characters>38147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22</cp:revision>
  <dcterms:created xsi:type="dcterms:W3CDTF">2020-12-22T20:12:00Z</dcterms:created>
  <dcterms:modified xsi:type="dcterms:W3CDTF">2021-02-04T02:59:00Z</dcterms:modified>
</cp:coreProperties>
</file>