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E99ED9"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noProof/>
        </w:rPr>
        <w:t xml:space="preserve">Name of Journal: </w:t>
      </w:r>
      <w:r w:rsidRPr="00244CD2">
        <w:rPr>
          <w:rFonts w:ascii="Book Antiqua" w:eastAsia="Book Antiqua" w:hAnsi="Book Antiqua" w:cs="Book Antiqua"/>
          <w:i/>
          <w:noProof/>
        </w:rPr>
        <w:t>World Journal of Gastroenterology</w:t>
      </w:r>
    </w:p>
    <w:p w14:paraId="7D7FDCA5"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noProof/>
        </w:rPr>
        <w:t xml:space="preserve">Manuscript NO: </w:t>
      </w:r>
      <w:r w:rsidRPr="00244CD2">
        <w:rPr>
          <w:rFonts w:ascii="Book Antiqua" w:eastAsia="Book Antiqua" w:hAnsi="Book Antiqua" w:cs="Book Antiqua"/>
          <w:noProof/>
        </w:rPr>
        <w:t>58973</w:t>
      </w:r>
    </w:p>
    <w:p w14:paraId="2D40A2C6"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noProof/>
        </w:rPr>
        <w:t xml:space="preserve">Manuscript Type: </w:t>
      </w:r>
      <w:r w:rsidRPr="00244CD2">
        <w:rPr>
          <w:rFonts w:ascii="Book Antiqua" w:eastAsia="Book Antiqua" w:hAnsi="Book Antiqua" w:cs="Book Antiqua"/>
          <w:noProof/>
        </w:rPr>
        <w:t>ORIGINAL ARTICLE</w:t>
      </w:r>
    </w:p>
    <w:p w14:paraId="23B15116" w14:textId="77777777" w:rsidR="00A77B3E" w:rsidRPr="00244CD2" w:rsidRDefault="00A77B3E" w:rsidP="00244CD2">
      <w:pPr>
        <w:snapToGrid w:val="0"/>
        <w:spacing w:line="360" w:lineRule="auto"/>
        <w:jc w:val="both"/>
        <w:rPr>
          <w:noProof/>
        </w:rPr>
      </w:pPr>
    </w:p>
    <w:p w14:paraId="64807396"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i/>
          <w:noProof/>
        </w:rPr>
        <w:t>Case Control Study</w:t>
      </w:r>
    </w:p>
    <w:p w14:paraId="2EDF1CFB"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noProof/>
        </w:rPr>
        <w:t>Altered metabolism of bile acids correlates with clinical parameters and the gut microbiota in patients with diarrhea-predominant irritable bowel syndrome</w:t>
      </w:r>
    </w:p>
    <w:p w14:paraId="40679AB5" w14:textId="77777777" w:rsidR="00A77B3E" w:rsidRPr="00244CD2" w:rsidRDefault="00A77B3E" w:rsidP="00244CD2">
      <w:pPr>
        <w:snapToGrid w:val="0"/>
        <w:spacing w:line="360" w:lineRule="auto"/>
        <w:jc w:val="both"/>
        <w:rPr>
          <w:noProof/>
        </w:rPr>
      </w:pPr>
    </w:p>
    <w:p w14:paraId="61A6DD34" w14:textId="77777777" w:rsidR="00A77B3E" w:rsidRPr="00244CD2" w:rsidRDefault="00FE041B" w:rsidP="00244CD2">
      <w:pPr>
        <w:snapToGrid w:val="0"/>
        <w:spacing w:line="360" w:lineRule="auto"/>
        <w:jc w:val="both"/>
        <w:rPr>
          <w:noProof/>
        </w:rPr>
      </w:pPr>
      <w:r w:rsidRPr="00244CD2">
        <w:rPr>
          <w:rFonts w:ascii="Book Antiqua" w:eastAsia="Book Antiqua" w:hAnsi="Book Antiqua" w:cs="Book Antiqua"/>
          <w:noProof/>
        </w:rPr>
        <w:t xml:space="preserve">Wei </w:t>
      </w:r>
      <w:r w:rsidRPr="00244CD2">
        <w:rPr>
          <w:rFonts w:ascii="Book Antiqua" w:hAnsi="Book Antiqua" w:cs="Book Antiqua"/>
          <w:noProof/>
          <w:lang w:eastAsia="zh-CN"/>
        </w:rPr>
        <w:t xml:space="preserve">W </w:t>
      </w:r>
      <w:r w:rsidRPr="00244CD2">
        <w:rPr>
          <w:rFonts w:ascii="Book Antiqua" w:hAnsi="Book Antiqua" w:cs="Book Antiqua"/>
          <w:i/>
          <w:noProof/>
          <w:lang w:eastAsia="zh-CN"/>
        </w:rPr>
        <w:t>et al.</w:t>
      </w:r>
      <w:r w:rsidRPr="00244CD2">
        <w:rPr>
          <w:rFonts w:ascii="Book Antiqua" w:hAnsi="Book Antiqua" w:cs="Book Antiqua"/>
          <w:noProof/>
          <w:lang w:eastAsia="zh-CN"/>
        </w:rPr>
        <w:t xml:space="preserve"> </w:t>
      </w:r>
      <w:r w:rsidR="007356D0" w:rsidRPr="00244CD2">
        <w:rPr>
          <w:rFonts w:ascii="Book Antiqua" w:eastAsia="Book Antiqua" w:hAnsi="Book Antiqua" w:cs="Book Antiqua"/>
          <w:noProof/>
        </w:rPr>
        <w:t>Altered fecal bile acids in IBS-D</w:t>
      </w:r>
    </w:p>
    <w:p w14:paraId="598110B8" w14:textId="77777777" w:rsidR="00A77B3E" w:rsidRPr="00244CD2" w:rsidRDefault="00A77B3E" w:rsidP="00244CD2">
      <w:pPr>
        <w:snapToGrid w:val="0"/>
        <w:spacing w:line="360" w:lineRule="auto"/>
        <w:jc w:val="both"/>
        <w:rPr>
          <w:noProof/>
        </w:rPr>
      </w:pPr>
    </w:p>
    <w:p w14:paraId="476B5436"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noProof/>
        </w:rPr>
        <w:t xml:space="preserve">Wei </w:t>
      </w:r>
      <w:bookmarkStart w:id="0" w:name="OLE_LINK1"/>
      <w:bookmarkStart w:id="1" w:name="OLE_LINK2"/>
      <w:r w:rsidRPr="00244CD2">
        <w:rPr>
          <w:rFonts w:ascii="Book Antiqua" w:eastAsia="Book Antiqua" w:hAnsi="Book Antiqua" w:cs="Book Antiqua"/>
          <w:noProof/>
        </w:rPr>
        <w:t>Wei</w:t>
      </w:r>
      <w:bookmarkEnd w:id="0"/>
      <w:bookmarkEnd w:id="1"/>
      <w:r w:rsidRPr="00244CD2">
        <w:rPr>
          <w:rFonts w:ascii="Book Antiqua" w:eastAsia="Book Antiqua" w:hAnsi="Book Antiqua" w:cs="Book Antiqua"/>
          <w:noProof/>
        </w:rPr>
        <w:t>, Hui-Fen Wang, Yu Zhang, Yan-Li Zhang, Bing-Yu Niu, Shu-Kun Yao</w:t>
      </w:r>
    </w:p>
    <w:p w14:paraId="7B8A6EA2" w14:textId="77777777" w:rsidR="00A77B3E" w:rsidRPr="00244CD2" w:rsidRDefault="00A77B3E" w:rsidP="00244CD2">
      <w:pPr>
        <w:snapToGrid w:val="0"/>
        <w:spacing w:line="360" w:lineRule="auto"/>
        <w:jc w:val="both"/>
        <w:rPr>
          <w:noProof/>
          <w:lang w:eastAsia="zh-CN"/>
        </w:rPr>
      </w:pPr>
    </w:p>
    <w:p w14:paraId="08C346F3"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bCs/>
          <w:noProof/>
        </w:rPr>
        <w:t xml:space="preserve">Wei Wei, Yu Zhang, </w:t>
      </w:r>
      <w:r w:rsidRPr="00244CD2">
        <w:rPr>
          <w:rFonts w:ascii="Book Antiqua" w:eastAsia="Book Antiqua" w:hAnsi="Book Antiqua" w:cs="Book Antiqua"/>
          <w:noProof/>
        </w:rPr>
        <w:t>Graduate School, Peking Union Medical College and Chinese Academy of Medical Sciences, Beijing 100730, China</w:t>
      </w:r>
    </w:p>
    <w:p w14:paraId="468582C3" w14:textId="77777777" w:rsidR="00A77B3E" w:rsidRPr="00244CD2" w:rsidRDefault="00A77B3E" w:rsidP="00244CD2">
      <w:pPr>
        <w:snapToGrid w:val="0"/>
        <w:spacing w:line="360" w:lineRule="auto"/>
        <w:jc w:val="both"/>
        <w:rPr>
          <w:noProof/>
          <w:lang w:eastAsia="zh-CN"/>
        </w:rPr>
      </w:pPr>
    </w:p>
    <w:p w14:paraId="0AF64C4F"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bCs/>
          <w:noProof/>
        </w:rPr>
        <w:t>Wei Wei, Hui-Fen Wang, Yu Zhang, Yan-Li Zhang, Bing-Yu Niu,</w:t>
      </w:r>
      <w:r w:rsidR="000D79F8" w:rsidRPr="00244CD2">
        <w:rPr>
          <w:rFonts w:ascii="Book Antiqua" w:eastAsia="Book Antiqua" w:hAnsi="Book Antiqua" w:cs="Book Antiqua"/>
          <w:b/>
          <w:bCs/>
          <w:noProof/>
        </w:rPr>
        <w:t xml:space="preserve"> Shu-Kun Yao,</w:t>
      </w:r>
      <w:r w:rsidRPr="00244CD2">
        <w:rPr>
          <w:rFonts w:ascii="Book Antiqua" w:eastAsia="Book Antiqua" w:hAnsi="Book Antiqua" w:cs="Book Antiqua"/>
          <w:b/>
          <w:bCs/>
          <w:noProof/>
        </w:rPr>
        <w:t xml:space="preserve"> </w:t>
      </w:r>
      <w:r w:rsidRPr="00244CD2">
        <w:rPr>
          <w:rFonts w:ascii="Book Antiqua" w:eastAsia="Book Antiqua" w:hAnsi="Book Antiqua" w:cs="Book Antiqua"/>
          <w:noProof/>
        </w:rPr>
        <w:t>Department of Gastroenterology, China-Japan Friendship Hospital, Beijing 100029, China</w:t>
      </w:r>
    </w:p>
    <w:p w14:paraId="25DA2188" w14:textId="77777777" w:rsidR="00A77B3E" w:rsidRPr="00244CD2" w:rsidRDefault="00A77B3E" w:rsidP="00244CD2">
      <w:pPr>
        <w:snapToGrid w:val="0"/>
        <w:spacing w:line="360" w:lineRule="auto"/>
        <w:jc w:val="both"/>
        <w:rPr>
          <w:noProof/>
        </w:rPr>
      </w:pPr>
    </w:p>
    <w:p w14:paraId="3C45260A"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bCs/>
          <w:noProof/>
        </w:rPr>
        <w:t xml:space="preserve">Bing-Yu Niu, </w:t>
      </w:r>
      <w:r w:rsidRPr="00244CD2">
        <w:rPr>
          <w:rFonts w:ascii="Book Antiqua" w:eastAsia="Book Antiqua" w:hAnsi="Book Antiqua" w:cs="Book Antiqua"/>
          <w:noProof/>
        </w:rPr>
        <w:t>Graduate School, Beijing University of Chinese Medicine, Beijing 100029, China</w:t>
      </w:r>
    </w:p>
    <w:p w14:paraId="43D119FC" w14:textId="77777777" w:rsidR="00A77B3E" w:rsidRPr="00244CD2" w:rsidRDefault="00A77B3E" w:rsidP="00244CD2">
      <w:pPr>
        <w:snapToGrid w:val="0"/>
        <w:spacing w:line="360" w:lineRule="auto"/>
        <w:jc w:val="both"/>
        <w:rPr>
          <w:noProof/>
        </w:rPr>
      </w:pPr>
    </w:p>
    <w:p w14:paraId="47DEB5E8" w14:textId="4BEDC936" w:rsidR="00A77B3E" w:rsidRPr="00244CD2" w:rsidRDefault="007356D0" w:rsidP="00244CD2">
      <w:pPr>
        <w:snapToGrid w:val="0"/>
        <w:spacing w:line="360" w:lineRule="auto"/>
        <w:jc w:val="both"/>
        <w:rPr>
          <w:noProof/>
        </w:rPr>
      </w:pPr>
      <w:r w:rsidRPr="00244CD2">
        <w:rPr>
          <w:rFonts w:ascii="Book Antiqua" w:eastAsia="Book Antiqua" w:hAnsi="Book Antiqua" w:cs="Book Antiqua"/>
          <w:b/>
          <w:bCs/>
          <w:noProof/>
        </w:rPr>
        <w:t xml:space="preserve">Author contributions: </w:t>
      </w:r>
      <w:r w:rsidRPr="00244CD2">
        <w:rPr>
          <w:rFonts w:ascii="Book Antiqua" w:eastAsia="Book Antiqua" w:hAnsi="Book Antiqua" w:cs="Book Antiqua"/>
          <w:noProof/>
        </w:rPr>
        <w:t>Wei W designed and performed the study, analyzed the data</w:t>
      </w:r>
      <w:r w:rsidR="00A86299" w:rsidRPr="00244CD2">
        <w:rPr>
          <w:rFonts w:ascii="Book Antiqua" w:eastAsia="Book Antiqua" w:hAnsi="Book Antiqua" w:cs="Book Antiqua"/>
          <w:noProof/>
        </w:rPr>
        <w:t>,</w:t>
      </w:r>
      <w:r w:rsidRPr="00244CD2">
        <w:rPr>
          <w:rFonts w:ascii="Book Antiqua" w:eastAsia="Book Antiqua" w:hAnsi="Book Antiqua" w:cs="Book Antiqua"/>
          <w:noProof/>
        </w:rPr>
        <w:t xml:space="preserve"> and drafted the manuscript; Wei W, Wang HF, Zhang YL</w:t>
      </w:r>
      <w:r w:rsidR="00A86299" w:rsidRPr="00244CD2">
        <w:rPr>
          <w:rFonts w:ascii="Book Antiqua" w:eastAsia="Book Antiqua" w:hAnsi="Book Antiqua" w:cs="Book Antiqua"/>
          <w:noProof/>
        </w:rPr>
        <w:t>,</w:t>
      </w:r>
      <w:r w:rsidRPr="00244CD2">
        <w:rPr>
          <w:rFonts w:ascii="Book Antiqua" w:eastAsia="Book Antiqua" w:hAnsi="Book Antiqua" w:cs="Book Antiqua"/>
          <w:noProof/>
        </w:rPr>
        <w:t xml:space="preserve"> and Niu BY collected the clinical data and fecal samples from subjects; Zhang Y gave guidance on experiment operation and data interpretation, and contributed to manuscript revision; Yao SK </w:t>
      </w:r>
      <w:r w:rsidRPr="00244CD2">
        <w:rPr>
          <w:rFonts w:ascii="Book Antiqua" w:eastAsia="Book Antiqua" w:hAnsi="Book Antiqua" w:cs="Book Antiqua"/>
          <w:noProof/>
          <w:lang w:eastAsia="en"/>
        </w:rPr>
        <w:t>designed</w:t>
      </w:r>
      <w:r w:rsidRPr="00244CD2">
        <w:rPr>
          <w:rFonts w:ascii="Book Antiqua" w:eastAsia="Book Antiqua" w:hAnsi="Book Antiqua" w:cs="Book Antiqua"/>
          <w:noProof/>
        </w:rPr>
        <w:t xml:space="preserve"> the study, supervised the study performance, revised the manuscript, and obtained the funding.</w:t>
      </w:r>
    </w:p>
    <w:p w14:paraId="45F56B8F" w14:textId="77777777" w:rsidR="00A77B3E" w:rsidRPr="00244CD2" w:rsidRDefault="00A77B3E" w:rsidP="00244CD2">
      <w:pPr>
        <w:snapToGrid w:val="0"/>
        <w:spacing w:line="360" w:lineRule="auto"/>
        <w:jc w:val="both"/>
        <w:rPr>
          <w:noProof/>
        </w:rPr>
      </w:pPr>
    </w:p>
    <w:p w14:paraId="732C2476" w14:textId="1720EC7D" w:rsidR="00A77B3E" w:rsidRPr="00244CD2" w:rsidRDefault="007356D0" w:rsidP="00244CD2">
      <w:pPr>
        <w:snapToGrid w:val="0"/>
        <w:spacing w:line="360" w:lineRule="auto"/>
        <w:jc w:val="both"/>
        <w:rPr>
          <w:noProof/>
        </w:rPr>
      </w:pPr>
      <w:r w:rsidRPr="00244CD2">
        <w:rPr>
          <w:rFonts w:ascii="Book Antiqua" w:eastAsia="Book Antiqua" w:hAnsi="Book Antiqua" w:cs="Book Antiqua"/>
          <w:b/>
          <w:bCs/>
          <w:noProof/>
        </w:rPr>
        <w:lastRenderedPageBreak/>
        <w:t xml:space="preserve">Supported by </w:t>
      </w:r>
      <w:r w:rsidRPr="00244CD2">
        <w:rPr>
          <w:rFonts w:ascii="Book Antiqua" w:eastAsia="Book Antiqua" w:hAnsi="Book Antiqua" w:cs="Book Antiqua"/>
          <w:noProof/>
        </w:rPr>
        <w:t>the National Key Technology Support Program during “12</w:t>
      </w:r>
      <w:r w:rsidRPr="00244CD2">
        <w:rPr>
          <w:rFonts w:ascii="Book Antiqua" w:eastAsia="Book Antiqua" w:hAnsi="Book Antiqua" w:cs="Book Antiqua"/>
          <w:noProof/>
          <w:vertAlign w:val="superscript"/>
        </w:rPr>
        <w:t>th</w:t>
      </w:r>
      <w:r w:rsidRPr="00244CD2">
        <w:rPr>
          <w:rFonts w:ascii="Book Antiqua" w:eastAsia="Book Antiqua" w:hAnsi="Book Antiqua" w:cs="Book Antiqua"/>
          <w:noProof/>
        </w:rPr>
        <w:t xml:space="preserve"> Five-Year Plan” Period of China, No.</w:t>
      </w:r>
      <w:r w:rsidR="00E14739" w:rsidRPr="00244CD2">
        <w:rPr>
          <w:rFonts w:ascii="Book Antiqua" w:hAnsi="Book Antiqua" w:cs="Book Antiqua"/>
          <w:noProof/>
          <w:lang w:eastAsia="zh-CN"/>
        </w:rPr>
        <w:t xml:space="preserve"> </w:t>
      </w:r>
      <w:r w:rsidRPr="00244CD2">
        <w:rPr>
          <w:rFonts w:ascii="Book Antiqua" w:eastAsia="Book Antiqua" w:hAnsi="Book Antiqua" w:cs="Book Antiqua"/>
          <w:noProof/>
        </w:rPr>
        <w:t>2014BAI08B00; the Leap-forward Development Program for Beijing Biopharmaceutical Industry (G20), No. Z171100001717008</w:t>
      </w:r>
      <w:r w:rsidR="00130D6E" w:rsidRPr="00244CD2">
        <w:rPr>
          <w:rFonts w:ascii="Book Antiqua" w:eastAsia="Book Antiqua" w:hAnsi="Book Antiqua" w:cs="Book Antiqua"/>
          <w:noProof/>
        </w:rPr>
        <w:t>;</w:t>
      </w:r>
      <w:r w:rsidR="007E1F73" w:rsidRPr="00244CD2">
        <w:rPr>
          <w:rFonts w:ascii="Book Antiqua" w:hAnsi="Book Antiqua" w:cs="Book Antiqua"/>
          <w:noProof/>
          <w:lang w:eastAsia="zh-CN"/>
        </w:rPr>
        <w:t xml:space="preserve"> and</w:t>
      </w:r>
      <w:r w:rsidRPr="00244CD2">
        <w:rPr>
          <w:rFonts w:ascii="Book Antiqua" w:eastAsia="Book Antiqua" w:hAnsi="Book Antiqua" w:cs="Book Antiqua"/>
          <w:noProof/>
        </w:rPr>
        <w:t xml:space="preserve"> the </w:t>
      </w:r>
      <w:r w:rsidR="007E1F73" w:rsidRPr="00244CD2">
        <w:rPr>
          <w:rFonts w:ascii="Book Antiqua" w:eastAsia="Book Antiqua" w:hAnsi="Book Antiqua" w:cs="Book Antiqua"/>
          <w:noProof/>
        </w:rPr>
        <w:t>Pr</w:t>
      </w:r>
      <w:r w:rsidRPr="00244CD2">
        <w:rPr>
          <w:rFonts w:ascii="Book Antiqua" w:eastAsia="Book Antiqua" w:hAnsi="Book Antiqua" w:cs="Book Antiqua"/>
          <w:noProof/>
        </w:rPr>
        <w:t xml:space="preserve">oject </w:t>
      </w:r>
      <w:bookmarkStart w:id="2" w:name="OLE_LINK3"/>
      <w:r w:rsidR="007E1F73" w:rsidRPr="00244CD2">
        <w:rPr>
          <w:rFonts w:ascii="Book Antiqua" w:hAnsi="Book Antiqua" w:cs="Book Antiqua"/>
          <w:noProof/>
          <w:lang w:eastAsia="zh-CN"/>
        </w:rPr>
        <w:t>“</w:t>
      </w:r>
      <w:r w:rsidRPr="00244CD2">
        <w:rPr>
          <w:rFonts w:ascii="Book Antiqua" w:eastAsia="Book Antiqua" w:hAnsi="Book Antiqua" w:cs="Book Antiqua"/>
          <w:iCs/>
          <w:noProof/>
        </w:rPr>
        <w:t>The role of the gut microbiota and metabolites in the pathogenesis of diarrhea-predominant irritable bowel syndrome</w:t>
      </w:r>
      <w:r w:rsidR="007E1F73" w:rsidRPr="00244CD2">
        <w:rPr>
          <w:rFonts w:ascii="Book Antiqua" w:hAnsi="Book Antiqua" w:cs="Book Antiqua"/>
          <w:iCs/>
          <w:noProof/>
          <w:lang w:eastAsia="zh-CN"/>
        </w:rPr>
        <w:t>”</w:t>
      </w:r>
      <w:r w:rsidRPr="00244CD2">
        <w:rPr>
          <w:rFonts w:ascii="Book Antiqua" w:eastAsia="Book Antiqua" w:hAnsi="Book Antiqua" w:cs="Book Antiqua"/>
          <w:noProof/>
        </w:rPr>
        <w:t xml:space="preserve"> </w:t>
      </w:r>
      <w:bookmarkEnd w:id="2"/>
      <w:r w:rsidRPr="00244CD2">
        <w:rPr>
          <w:rFonts w:ascii="Book Antiqua" w:eastAsia="Book Antiqua" w:hAnsi="Book Antiqua" w:cs="Book Antiqua"/>
          <w:noProof/>
        </w:rPr>
        <w:t>of China-Japan Friendship Hospital, No.</w:t>
      </w:r>
      <w:r w:rsidR="007E1F73" w:rsidRPr="00244CD2">
        <w:rPr>
          <w:rFonts w:ascii="Book Antiqua" w:hAnsi="Book Antiqua" w:cs="Book Antiqua"/>
          <w:noProof/>
          <w:lang w:eastAsia="zh-CN"/>
        </w:rPr>
        <w:t xml:space="preserve"> </w:t>
      </w:r>
      <w:r w:rsidRPr="00244CD2">
        <w:rPr>
          <w:rFonts w:ascii="Book Antiqua" w:eastAsia="Book Antiqua" w:hAnsi="Book Antiqua" w:cs="Book Antiqua"/>
          <w:noProof/>
        </w:rPr>
        <w:t>2019-64-K44.</w:t>
      </w:r>
    </w:p>
    <w:p w14:paraId="7F7FC90F" w14:textId="77777777" w:rsidR="00A77B3E" w:rsidRPr="00244CD2" w:rsidRDefault="00A77B3E" w:rsidP="00244CD2">
      <w:pPr>
        <w:snapToGrid w:val="0"/>
        <w:spacing w:line="360" w:lineRule="auto"/>
        <w:jc w:val="both"/>
        <w:rPr>
          <w:noProof/>
        </w:rPr>
      </w:pPr>
    </w:p>
    <w:p w14:paraId="645150F0"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bCs/>
          <w:noProof/>
        </w:rPr>
        <w:t xml:space="preserve">Corresponding author: Shu-Kun Yao, MD, PhD, Professor, </w:t>
      </w:r>
      <w:r w:rsidRPr="00244CD2">
        <w:rPr>
          <w:rFonts w:ascii="Book Antiqua" w:eastAsia="Book Antiqua" w:hAnsi="Book Antiqua" w:cs="Book Antiqua"/>
          <w:noProof/>
        </w:rPr>
        <w:t>Department of Gastroenterology, China-Japan Friendship Hospital, No. 2</w:t>
      </w:r>
      <w:r w:rsidR="00893475" w:rsidRPr="00244CD2">
        <w:rPr>
          <w:rFonts w:ascii="Book Antiqua" w:hAnsi="Book Antiqua" w:cs="Book Antiqua"/>
          <w:noProof/>
          <w:lang w:eastAsia="zh-CN"/>
        </w:rPr>
        <w:t xml:space="preserve"> </w:t>
      </w:r>
      <w:r w:rsidRPr="00244CD2">
        <w:rPr>
          <w:rFonts w:ascii="Book Antiqua" w:eastAsia="Book Antiqua" w:hAnsi="Book Antiqua" w:cs="Book Antiqua"/>
          <w:noProof/>
        </w:rPr>
        <w:t>Yinghua East Street, Chaoyang District, Beijing 100029, China. shukunyao@126.com</w:t>
      </w:r>
    </w:p>
    <w:p w14:paraId="1E9AF735" w14:textId="77777777" w:rsidR="00A77B3E" w:rsidRPr="00244CD2" w:rsidRDefault="00A77B3E" w:rsidP="00244CD2">
      <w:pPr>
        <w:snapToGrid w:val="0"/>
        <w:spacing w:line="360" w:lineRule="auto"/>
        <w:jc w:val="both"/>
        <w:rPr>
          <w:noProof/>
        </w:rPr>
      </w:pPr>
    </w:p>
    <w:p w14:paraId="3A0A74EF"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bCs/>
          <w:noProof/>
        </w:rPr>
        <w:t xml:space="preserve">Received: </w:t>
      </w:r>
      <w:r w:rsidRPr="00244CD2">
        <w:rPr>
          <w:rFonts w:ascii="Book Antiqua" w:eastAsia="Book Antiqua" w:hAnsi="Book Antiqua" w:cs="Book Antiqua"/>
          <w:noProof/>
        </w:rPr>
        <w:t>August 17, 2020</w:t>
      </w:r>
    </w:p>
    <w:p w14:paraId="3E34D602"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bCs/>
          <w:noProof/>
        </w:rPr>
        <w:t xml:space="preserve">Revised: </w:t>
      </w:r>
      <w:r w:rsidRPr="00244CD2">
        <w:rPr>
          <w:rFonts w:ascii="Book Antiqua" w:eastAsia="Book Antiqua" w:hAnsi="Book Antiqua" w:cs="Book Antiqua"/>
          <w:noProof/>
        </w:rPr>
        <w:t>September 21, 2020</w:t>
      </w:r>
    </w:p>
    <w:p w14:paraId="0C02D4C2" w14:textId="69D432AE" w:rsidR="00A77B3E" w:rsidRPr="00244CD2" w:rsidRDefault="007356D0" w:rsidP="00244CD2">
      <w:pPr>
        <w:snapToGrid w:val="0"/>
        <w:spacing w:line="360" w:lineRule="auto"/>
        <w:jc w:val="both"/>
        <w:rPr>
          <w:noProof/>
        </w:rPr>
      </w:pPr>
      <w:r w:rsidRPr="00244CD2">
        <w:rPr>
          <w:rFonts w:ascii="Book Antiqua" w:eastAsia="Book Antiqua" w:hAnsi="Book Antiqua" w:cs="Book Antiqua"/>
          <w:b/>
          <w:bCs/>
          <w:noProof/>
        </w:rPr>
        <w:t xml:space="preserve">Accepted: </w:t>
      </w:r>
      <w:r w:rsidR="000F0C21" w:rsidRPr="00244CD2">
        <w:rPr>
          <w:rFonts w:ascii="Book Antiqua" w:eastAsia="Book Antiqua" w:hAnsi="Book Antiqua" w:cs="Book Antiqua"/>
          <w:noProof/>
        </w:rPr>
        <w:t>October 13, 2020</w:t>
      </w:r>
    </w:p>
    <w:p w14:paraId="63A8DBA2"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bCs/>
          <w:noProof/>
        </w:rPr>
        <w:t xml:space="preserve">Published online: </w:t>
      </w:r>
    </w:p>
    <w:p w14:paraId="5FFEC8CA" w14:textId="77777777" w:rsidR="00000000" w:rsidRPr="00244CD2" w:rsidRDefault="00843570" w:rsidP="00244CD2">
      <w:pPr>
        <w:snapToGrid w:val="0"/>
        <w:spacing w:line="360" w:lineRule="auto"/>
        <w:jc w:val="both"/>
        <w:rPr>
          <w:noProof/>
        </w:rPr>
        <w:sectPr w:rsidR="00000000" w:rsidRPr="00244CD2">
          <w:footerReference w:type="default" r:id="rId6"/>
          <w:pgSz w:w="12240" w:h="15840"/>
          <w:pgMar w:top="1440" w:right="1440" w:bottom="1440" w:left="1440" w:header="720" w:footer="720" w:gutter="0"/>
          <w:cols w:space="720"/>
          <w:docGrid w:linePitch="360"/>
        </w:sectPr>
      </w:pPr>
    </w:p>
    <w:p w14:paraId="4C69DFA6"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noProof/>
        </w:rPr>
        <w:lastRenderedPageBreak/>
        <w:t>Abstract</w:t>
      </w:r>
    </w:p>
    <w:p w14:paraId="14B5BD39"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noProof/>
        </w:rPr>
        <w:t>BACKGROUND</w:t>
      </w:r>
    </w:p>
    <w:p w14:paraId="1B28E5FD" w14:textId="29846EC0" w:rsidR="00A77B3E" w:rsidRPr="00244CD2" w:rsidRDefault="007356D0" w:rsidP="00244CD2">
      <w:pPr>
        <w:snapToGrid w:val="0"/>
        <w:spacing w:line="360" w:lineRule="auto"/>
        <w:jc w:val="both"/>
        <w:rPr>
          <w:noProof/>
        </w:rPr>
      </w:pPr>
      <w:bookmarkStart w:id="3" w:name="OLE_LINK83"/>
      <w:bookmarkStart w:id="4" w:name="OLE_LINK4"/>
      <w:bookmarkStart w:id="5" w:name="OLE_LINK5"/>
      <w:r w:rsidRPr="00244CD2">
        <w:rPr>
          <w:rFonts w:ascii="Book Antiqua" w:eastAsia="Book Antiqua" w:hAnsi="Book Antiqua" w:cs="Book Antiqua"/>
          <w:noProof/>
        </w:rPr>
        <w:t>Bile acids</w:t>
      </w:r>
      <w:bookmarkEnd w:id="3"/>
      <w:r w:rsidRPr="00244CD2">
        <w:rPr>
          <w:rFonts w:ascii="Book Antiqua" w:eastAsia="Book Antiqua" w:hAnsi="Book Antiqua" w:cs="Book Antiqua"/>
          <w:noProof/>
        </w:rPr>
        <w:t xml:space="preserve"> (BAs)</w:t>
      </w:r>
      <w:bookmarkEnd w:id="4"/>
      <w:bookmarkEnd w:id="5"/>
      <w:r w:rsidRPr="00244CD2">
        <w:rPr>
          <w:rFonts w:ascii="Book Antiqua" w:eastAsia="Book Antiqua" w:hAnsi="Book Antiqua" w:cs="Book Antiqua"/>
          <w:noProof/>
        </w:rPr>
        <w:t xml:space="preserve"> have attracted attention in the research of</w:t>
      </w:r>
      <w:bookmarkStart w:id="6" w:name="OLE_LINK47"/>
      <w:bookmarkStart w:id="7" w:name="OLE_LINK48"/>
      <w:bookmarkStart w:id="8" w:name="OLE_LINK8"/>
      <w:bookmarkStart w:id="9" w:name="OLE_LINK9"/>
      <w:r w:rsidRPr="00244CD2">
        <w:rPr>
          <w:rFonts w:ascii="Book Antiqua" w:eastAsia="Book Antiqua" w:hAnsi="Book Antiqua" w:cs="Book Antiqua"/>
          <w:noProof/>
        </w:rPr>
        <w:t xml:space="preserve"> </w:t>
      </w:r>
      <w:bookmarkStart w:id="10" w:name="OLE_LINK6"/>
      <w:bookmarkStart w:id="11" w:name="OLE_LINK7"/>
      <w:r w:rsidRPr="00244CD2">
        <w:rPr>
          <w:rFonts w:ascii="Book Antiqua" w:eastAsia="Book Antiqua" w:hAnsi="Book Antiqua" w:cs="Book Antiqua"/>
          <w:noProof/>
        </w:rPr>
        <w:t>irritable bowel syndrome with predominant diarrhea</w:t>
      </w:r>
      <w:bookmarkEnd w:id="6"/>
      <w:bookmarkEnd w:id="7"/>
      <w:bookmarkEnd w:id="10"/>
      <w:bookmarkEnd w:id="11"/>
      <w:r w:rsidRPr="00244CD2">
        <w:rPr>
          <w:rFonts w:ascii="Book Antiqua" w:eastAsia="Book Antiqua" w:hAnsi="Book Antiqua" w:cs="Book Antiqua"/>
          <w:noProof/>
        </w:rPr>
        <w:t xml:space="preserve"> (IBS-D) </w:t>
      </w:r>
      <w:bookmarkEnd w:id="8"/>
      <w:bookmarkEnd w:id="9"/>
      <w:r w:rsidRPr="00244CD2">
        <w:rPr>
          <w:rFonts w:ascii="Book Antiqua" w:eastAsia="Book Antiqua" w:hAnsi="Book Antiqua" w:cs="Book Antiqua"/>
          <w:noProof/>
        </w:rPr>
        <w:t xml:space="preserve">due to their ability to modulate bowel function and their tight connection with the gut microbiota. The composition of the fecal </w:t>
      </w:r>
      <w:r w:rsidR="001E118B" w:rsidRPr="00244CD2">
        <w:rPr>
          <w:rFonts w:ascii="Book Antiqua" w:eastAsia="Book Antiqua" w:hAnsi="Book Antiqua" w:cs="Book Antiqua"/>
          <w:noProof/>
        </w:rPr>
        <w:t>BA</w:t>
      </w:r>
      <w:r w:rsidRPr="00244CD2">
        <w:rPr>
          <w:rFonts w:ascii="Book Antiqua" w:eastAsia="Book Antiqua" w:hAnsi="Book Antiqua" w:cs="Book Antiqua"/>
          <w:noProof/>
        </w:rPr>
        <w:t xml:space="preserve"> pool in IBS-D patients </w:t>
      </w:r>
      <w:r w:rsidR="001D4397" w:rsidRPr="00244CD2">
        <w:rPr>
          <w:rFonts w:ascii="Book Antiqua" w:eastAsia="Book Antiqua" w:hAnsi="Book Antiqua" w:cs="Book Antiqua"/>
          <w:noProof/>
        </w:rPr>
        <w:t>is</w:t>
      </w:r>
      <w:r w:rsidRPr="00244CD2">
        <w:rPr>
          <w:rFonts w:ascii="Book Antiqua" w:eastAsia="Book Antiqua" w:hAnsi="Book Antiqua" w:cs="Book Antiqua"/>
          <w:noProof/>
        </w:rPr>
        <w:t xml:space="preserve"> reported</w:t>
      </w:r>
      <w:r w:rsidR="001D4397" w:rsidRPr="00244CD2">
        <w:rPr>
          <w:rFonts w:ascii="Book Antiqua" w:eastAsia="Book Antiqua" w:hAnsi="Book Antiqua" w:cs="Book Antiqua"/>
          <w:noProof/>
        </w:rPr>
        <w:t>ly</w:t>
      </w:r>
      <w:r w:rsidRPr="00244CD2">
        <w:rPr>
          <w:rFonts w:ascii="Book Antiqua" w:eastAsia="Book Antiqua" w:hAnsi="Book Antiqua" w:cs="Book Antiqua"/>
          <w:noProof/>
        </w:rPr>
        <w:t xml:space="preserve"> different from that in healthy populations. We hypothesized that BAs may participate in the pathogenesis of IBS-D and the altered BA profile may be correlated with the gut microbiome.</w:t>
      </w:r>
    </w:p>
    <w:p w14:paraId="0B0BC9D2" w14:textId="77777777" w:rsidR="00A77B3E" w:rsidRPr="00244CD2" w:rsidRDefault="00A77B3E" w:rsidP="00244CD2">
      <w:pPr>
        <w:snapToGrid w:val="0"/>
        <w:spacing w:line="360" w:lineRule="auto"/>
        <w:jc w:val="both"/>
        <w:rPr>
          <w:noProof/>
        </w:rPr>
      </w:pPr>
    </w:p>
    <w:p w14:paraId="5E4A2586"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noProof/>
        </w:rPr>
        <w:t>AIM</w:t>
      </w:r>
    </w:p>
    <w:p w14:paraId="5D8E7446"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noProof/>
        </w:rPr>
        <w:t>To investigate the role of BAs in the pathogenesis of IBS-D and the correlation between fecal BAs and gut microbiota.</w:t>
      </w:r>
    </w:p>
    <w:p w14:paraId="3D0F7F2A" w14:textId="77777777" w:rsidR="00A77B3E" w:rsidRPr="00244CD2" w:rsidRDefault="00A77B3E" w:rsidP="00244CD2">
      <w:pPr>
        <w:snapToGrid w:val="0"/>
        <w:spacing w:line="360" w:lineRule="auto"/>
        <w:jc w:val="both"/>
        <w:rPr>
          <w:noProof/>
        </w:rPr>
      </w:pPr>
    </w:p>
    <w:p w14:paraId="168E5104"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noProof/>
        </w:rPr>
        <w:t>METHODS</w:t>
      </w:r>
    </w:p>
    <w:p w14:paraId="6CC6C95D" w14:textId="1D040507" w:rsidR="00A77B3E" w:rsidRPr="00244CD2" w:rsidRDefault="007356D0" w:rsidP="00244CD2">
      <w:pPr>
        <w:snapToGrid w:val="0"/>
        <w:spacing w:line="360" w:lineRule="auto"/>
        <w:jc w:val="both"/>
        <w:rPr>
          <w:noProof/>
        </w:rPr>
      </w:pPr>
      <w:r w:rsidRPr="00244CD2">
        <w:rPr>
          <w:rFonts w:ascii="Book Antiqua" w:eastAsia="Book Antiqua" w:hAnsi="Book Antiqua" w:cs="Book Antiqua"/>
          <w:noProof/>
        </w:rPr>
        <w:t xml:space="preserve">Fifty-five IBS-D patients diagnosed according to the Rome IV criteria and </w:t>
      </w:r>
      <w:r w:rsidR="001D4397" w:rsidRPr="00244CD2">
        <w:rPr>
          <w:rFonts w:ascii="Book Antiqua" w:eastAsia="Book Antiqua" w:hAnsi="Book Antiqua" w:cs="Book Antiqua"/>
          <w:noProof/>
        </w:rPr>
        <w:t xml:space="preserve">twenty-eight </w:t>
      </w:r>
      <w:r w:rsidRPr="00244CD2">
        <w:rPr>
          <w:rFonts w:ascii="Book Antiqua" w:eastAsia="Book Antiqua" w:hAnsi="Book Antiqua" w:cs="Book Antiqua"/>
          <w:noProof/>
        </w:rPr>
        <w:t xml:space="preserve">age-, sex-, and body mass index-matched </w:t>
      </w:r>
      <w:bookmarkStart w:id="12" w:name="OLE_LINK31"/>
      <w:bookmarkStart w:id="13" w:name="OLE_LINK32"/>
      <w:bookmarkStart w:id="14" w:name="OLE_LINK49"/>
      <w:r w:rsidRPr="00244CD2">
        <w:rPr>
          <w:rFonts w:ascii="Book Antiqua" w:eastAsia="Book Antiqua" w:hAnsi="Book Antiqua" w:cs="Book Antiqua"/>
          <w:noProof/>
        </w:rPr>
        <w:t>healthy controls</w:t>
      </w:r>
      <w:bookmarkEnd w:id="12"/>
      <w:bookmarkEnd w:id="13"/>
      <w:bookmarkEnd w:id="14"/>
      <w:r w:rsidR="001D4397" w:rsidRPr="00244CD2">
        <w:rPr>
          <w:rFonts w:ascii="Book Antiqua" w:eastAsia="Book Antiqua" w:hAnsi="Book Antiqua" w:cs="Book Antiqua"/>
          <w:noProof/>
        </w:rPr>
        <w:t xml:space="preserve"> (HCs)</w:t>
      </w:r>
      <w:r w:rsidRPr="00244CD2">
        <w:rPr>
          <w:rFonts w:ascii="Book Antiqua" w:eastAsia="Book Antiqua" w:hAnsi="Book Antiqua" w:cs="Book Antiqua"/>
          <w:noProof/>
        </w:rPr>
        <w:t xml:space="preserve"> were enrolled in this study at the gastroenterolog</w:t>
      </w:r>
      <w:r w:rsidR="00590398">
        <w:rPr>
          <w:rFonts w:ascii="Book Antiqua" w:eastAsia="Book Antiqua" w:hAnsi="Book Antiqua" w:cs="Book Antiqua" w:hint="eastAsia"/>
          <w:noProof/>
          <w:lang w:eastAsia="zh-CN"/>
        </w:rPr>
        <w:t>y</w:t>
      </w:r>
      <w:r w:rsidRPr="00244CD2">
        <w:rPr>
          <w:rFonts w:ascii="Book Antiqua" w:eastAsia="Book Antiqua" w:hAnsi="Book Antiqua" w:cs="Book Antiqua"/>
          <w:noProof/>
        </w:rPr>
        <w:t xml:space="preserve"> department of China-Japan Friendship Hospital. First, clinical manifestations were assessed with standardized questionnaires, and visceral sensitivity was evaluated </w:t>
      </w:r>
      <w:r w:rsidRPr="00244CD2">
        <w:rPr>
          <w:rFonts w:ascii="Book Antiqua" w:eastAsia="Book Antiqua" w:hAnsi="Book Antiqua" w:cs="Book Antiqua"/>
          <w:i/>
          <w:iCs/>
          <w:noProof/>
        </w:rPr>
        <w:t>via</w:t>
      </w:r>
      <w:r w:rsidRPr="00244CD2">
        <w:rPr>
          <w:rFonts w:ascii="Book Antiqua" w:eastAsia="Book Antiqua" w:hAnsi="Book Antiqua" w:cs="Book Antiqua"/>
          <w:noProof/>
        </w:rPr>
        <w:t xml:space="preserve"> the rectal distension test using a high-resolution manometry system. Fecal primary BAs including </w:t>
      </w:r>
      <w:bookmarkStart w:id="15" w:name="OLE_LINK22"/>
      <w:bookmarkStart w:id="16" w:name="OLE_LINK23"/>
      <w:r w:rsidRPr="00244CD2">
        <w:rPr>
          <w:rFonts w:ascii="Book Antiqua" w:eastAsia="Book Antiqua" w:hAnsi="Book Antiqua" w:cs="Book Antiqua"/>
          <w:noProof/>
        </w:rPr>
        <w:t>cholic acid (CA) and chenodeoxycholic acid (CDCA), secondary BAs including deoxycholic acid (DCA), lithocholic acid (LCA), and ursodeoxycholic acid (UDCA)</w:t>
      </w:r>
      <w:bookmarkEnd w:id="15"/>
      <w:bookmarkEnd w:id="16"/>
      <w:r w:rsidRPr="00244CD2">
        <w:rPr>
          <w:rFonts w:ascii="Book Antiqua" w:eastAsia="Book Antiqua" w:hAnsi="Book Antiqua" w:cs="Book Antiqua"/>
          <w:noProof/>
        </w:rPr>
        <w:t xml:space="preserve"> as well as the corresponding tauro- and glyco-BAs were examined by ultraperformance liquid chromatography coupled to tandem mass spectrometry. The gut microbiota was analyzed using 16S rRNA gene sequencing. Correlations between fecal BAs with clinical features and gut microbiota were explored.</w:t>
      </w:r>
    </w:p>
    <w:p w14:paraId="2127D67E" w14:textId="77777777" w:rsidR="00A77B3E" w:rsidRPr="00244CD2" w:rsidRDefault="00A77B3E" w:rsidP="00244CD2">
      <w:pPr>
        <w:snapToGrid w:val="0"/>
        <w:spacing w:line="360" w:lineRule="auto"/>
        <w:jc w:val="both"/>
        <w:rPr>
          <w:noProof/>
        </w:rPr>
      </w:pPr>
    </w:p>
    <w:p w14:paraId="105C7439"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noProof/>
        </w:rPr>
        <w:t>RESULTS</w:t>
      </w:r>
    </w:p>
    <w:p w14:paraId="45E35705" w14:textId="5157FF97" w:rsidR="00A77B3E" w:rsidRPr="00244CD2" w:rsidRDefault="007356D0" w:rsidP="00244CD2">
      <w:pPr>
        <w:snapToGrid w:val="0"/>
        <w:spacing w:line="360" w:lineRule="auto"/>
        <w:jc w:val="both"/>
        <w:rPr>
          <w:noProof/>
        </w:rPr>
      </w:pPr>
      <w:r w:rsidRPr="00244CD2">
        <w:rPr>
          <w:rFonts w:ascii="Book Antiqua" w:eastAsia="Book Antiqua" w:hAnsi="Book Antiqua" w:cs="Book Antiqua"/>
          <w:noProof/>
        </w:rPr>
        <w:t xml:space="preserve">Fecal CA </w:t>
      </w:r>
      <w:r w:rsidR="001D4397" w:rsidRPr="00244CD2">
        <w:rPr>
          <w:rFonts w:ascii="Book Antiqua" w:eastAsia="Book Antiqua" w:hAnsi="Book Antiqua" w:cs="Book Antiqua"/>
          <w:noProof/>
        </w:rPr>
        <w:t>(</w:t>
      </w:r>
      <w:r w:rsidRPr="00244CD2">
        <w:rPr>
          <w:rFonts w:ascii="Book Antiqua" w:eastAsia="Book Antiqua" w:hAnsi="Book Antiqua" w:cs="Book Antiqua"/>
          <w:noProof/>
        </w:rPr>
        <w:t xml:space="preserve">IBS-D: 3037.66 </w:t>
      </w:r>
      <w:r w:rsidR="001D4397" w:rsidRPr="00244CD2">
        <w:rPr>
          <w:rFonts w:ascii="Book Antiqua" w:eastAsia="Book Antiqua" w:hAnsi="Book Antiqua" w:cs="Book Antiqua"/>
          <w:noProof/>
        </w:rPr>
        <w:t>[</w:t>
      </w:r>
      <w:r w:rsidRPr="00244CD2">
        <w:rPr>
          <w:rFonts w:ascii="Book Antiqua" w:eastAsia="Book Antiqua" w:hAnsi="Book Antiqua" w:cs="Book Antiqua"/>
          <w:noProof/>
        </w:rPr>
        <w:t>282.82, 6917.47</w:t>
      </w:r>
      <w:r w:rsidR="001D4397" w:rsidRPr="00244CD2">
        <w:rPr>
          <w:rFonts w:ascii="Book Antiqua" w:eastAsia="Book Antiqua" w:hAnsi="Book Antiqua" w:cs="Book Antiqua"/>
          <w:noProof/>
        </w:rPr>
        <w:t>]</w:t>
      </w:r>
      <w:r w:rsidRPr="00244CD2">
        <w:rPr>
          <w:rFonts w:ascii="Book Antiqua" w:eastAsia="Book Antiqua" w:hAnsi="Book Antiqua" w:cs="Book Antiqua"/>
          <w:noProof/>
        </w:rPr>
        <w:t xml:space="preserve"> nmol/g, HC: 20.19 </w:t>
      </w:r>
      <w:r w:rsidR="001D4397" w:rsidRPr="00244CD2">
        <w:rPr>
          <w:rFonts w:ascii="Book Antiqua" w:eastAsia="Book Antiqua" w:hAnsi="Book Antiqua" w:cs="Book Antiqua"/>
          <w:noProof/>
        </w:rPr>
        <w:t>[</w:t>
      </w:r>
      <w:r w:rsidRPr="00244CD2">
        <w:rPr>
          <w:rFonts w:ascii="Book Antiqua" w:eastAsia="Book Antiqua" w:hAnsi="Book Antiqua" w:cs="Book Antiqua"/>
          <w:noProof/>
        </w:rPr>
        <w:t>5.03, 1304.28</w:t>
      </w:r>
      <w:r w:rsidR="001D4397" w:rsidRPr="00244CD2">
        <w:rPr>
          <w:rFonts w:ascii="Book Antiqua" w:eastAsia="Book Antiqua" w:hAnsi="Book Antiqua" w:cs="Book Antiqua"/>
          <w:noProof/>
        </w:rPr>
        <w:t>]</w:t>
      </w:r>
      <w:r w:rsidRPr="00244CD2">
        <w:rPr>
          <w:rFonts w:ascii="Book Antiqua" w:eastAsia="Book Antiqua" w:hAnsi="Book Antiqua" w:cs="Book Antiqua"/>
          <w:noProof/>
        </w:rPr>
        <w:t xml:space="preserve"> nmol/g</w:t>
      </w:r>
      <w:r w:rsidR="001D4397" w:rsidRPr="00244CD2">
        <w:rPr>
          <w:rFonts w:ascii="Book Antiqua" w:eastAsia="Book Antiqua" w:hAnsi="Book Antiqua" w:cs="Book Antiqua"/>
          <w:noProof/>
        </w:rPr>
        <w:t>;</w:t>
      </w:r>
      <w:r w:rsidRPr="00244CD2">
        <w:rPr>
          <w:rFonts w:ascii="Book Antiqua" w:eastAsia="Book Antiqua" w:hAnsi="Book Antiqua" w:cs="Book Antiqua"/>
          <w:noProof/>
        </w:rPr>
        <w:t xml:space="preserve"> </w:t>
      </w:r>
      <w:r w:rsidRPr="00244CD2">
        <w:rPr>
          <w:rFonts w:ascii="Book Antiqua" w:eastAsia="Book Antiqua" w:hAnsi="Book Antiqua" w:cs="Book Antiqua"/>
          <w:i/>
          <w:iCs/>
          <w:noProof/>
        </w:rPr>
        <w:t>P</w:t>
      </w:r>
      <w:r w:rsidRPr="00244CD2">
        <w:rPr>
          <w:rFonts w:ascii="Book Antiqua" w:eastAsia="Book Antiqua" w:hAnsi="Book Antiqua" w:cs="Book Antiqua"/>
          <w:noProof/>
        </w:rPr>
        <w:t xml:space="preserve"> </w:t>
      </w:r>
      <w:r w:rsidR="005710E7" w:rsidRPr="00244CD2">
        <w:rPr>
          <w:rFonts w:ascii="Book Antiqua" w:hAnsi="Book Antiqua" w:cs="Book Antiqua"/>
          <w:noProof/>
          <w:lang w:eastAsia="zh-CN"/>
        </w:rPr>
        <w:t>&lt;</w:t>
      </w:r>
      <w:r w:rsidRPr="00244CD2">
        <w:rPr>
          <w:rFonts w:ascii="Book Antiqua" w:eastAsia="Book Antiqua" w:hAnsi="Book Antiqua" w:cs="Book Antiqua"/>
          <w:noProof/>
        </w:rPr>
        <w:t xml:space="preserve"> 0.001</w:t>
      </w:r>
      <w:r w:rsidR="001D4397" w:rsidRPr="00244CD2">
        <w:rPr>
          <w:rFonts w:ascii="Book Antiqua" w:eastAsia="Book Antiqua" w:hAnsi="Book Antiqua" w:cs="Book Antiqua"/>
          <w:noProof/>
        </w:rPr>
        <w:t>)</w:t>
      </w:r>
      <w:r w:rsidRPr="00244CD2">
        <w:rPr>
          <w:rFonts w:ascii="Book Antiqua" w:eastAsia="Book Antiqua" w:hAnsi="Book Antiqua" w:cs="Book Antiqua"/>
          <w:noProof/>
        </w:rPr>
        <w:t xml:space="preserve"> and CDCA </w:t>
      </w:r>
      <w:r w:rsidR="001D4397" w:rsidRPr="00244CD2">
        <w:rPr>
          <w:rFonts w:ascii="Book Antiqua" w:eastAsia="Book Antiqua" w:hAnsi="Book Antiqua" w:cs="Book Antiqua"/>
          <w:noProof/>
        </w:rPr>
        <w:t>(</w:t>
      </w:r>
      <w:r w:rsidRPr="00244CD2">
        <w:rPr>
          <w:rFonts w:ascii="Book Antiqua" w:eastAsia="Book Antiqua" w:hAnsi="Book Antiqua" w:cs="Book Antiqua"/>
          <w:noProof/>
        </w:rPr>
        <w:t xml:space="preserve">IBS-D: 1721.86 </w:t>
      </w:r>
      <w:r w:rsidR="001D4397" w:rsidRPr="00244CD2">
        <w:rPr>
          <w:rFonts w:ascii="Book Antiqua" w:eastAsia="Book Antiqua" w:hAnsi="Book Antiqua" w:cs="Book Antiqua"/>
          <w:noProof/>
        </w:rPr>
        <w:t>[</w:t>
      </w:r>
      <w:r w:rsidRPr="00244CD2">
        <w:rPr>
          <w:rFonts w:ascii="Book Antiqua" w:eastAsia="Book Antiqua" w:hAnsi="Book Antiqua" w:cs="Book Antiqua"/>
          <w:noProof/>
        </w:rPr>
        <w:t>352.80, 2613.83</w:t>
      </w:r>
      <w:r w:rsidR="001D4397" w:rsidRPr="00244CD2">
        <w:rPr>
          <w:rFonts w:ascii="Book Antiqua" w:eastAsia="Book Antiqua" w:hAnsi="Book Antiqua" w:cs="Book Antiqua"/>
          <w:noProof/>
        </w:rPr>
        <w:t>]</w:t>
      </w:r>
      <w:r w:rsidRPr="00244CD2">
        <w:rPr>
          <w:rFonts w:ascii="Book Antiqua" w:eastAsia="Book Antiqua" w:hAnsi="Book Antiqua" w:cs="Book Antiqua"/>
          <w:noProof/>
        </w:rPr>
        <w:t xml:space="preserve"> nmol/g, HC: 57.16 </w:t>
      </w:r>
      <w:r w:rsidR="001D4397" w:rsidRPr="00244CD2">
        <w:rPr>
          <w:rFonts w:ascii="Book Antiqua" w:eastAsia="Book Antiqua" w:hAnsi="Book Antiqua" w:cs="Book Antiqua"/>
          <w:noProof/>
        </w:rPr>
        <w:t>[</w:t>
      </w:r>
      <w:r w:rsidRPr="00244CD2">
        <w:rPr>
          <w:rFonts w:ascii="Book Antiqua" w:eastAsia="Book Antiqua" w:hAnsi="Book Antiqua" w:cs="Book Antiqua"/>
          <w:noProof/>
        </w:rPr>
        <w:t>13.76, 1639.92</w:t>
      </w:r>
      <w:r w:rsidR="001D4397" w:rsidRPr="00244CD2">
        <w:rPr>
          <w:rFonts w:ascii="Book Antiqua" w:eastAsia="Book Antiqua" w:hAnsi="Book Antiqua" w:cs="Book Antiqua"/>
          <w:noProof/>
        </w:rPr>
        <w:t>]</w:t>
      </w:r>
      <w:r w:rsidRPr="00244CD2">
        <w:rPr>
          <w:rFonts w:ascii="Book Antiqua" w:eastAsia="Book Antiqua" w:hAnsi="Book Antiqua" w:cs="Book Antiqua"/>
          <w:noProof/>
        </w:rPr>
        <w:t xml:space="preserve"> </w:t>
      </w:r>
      <w:r w:rsidRPr="00244CD2">
        <w:rPr>
          <w:rFonts w:ascii="Book Antiqua" w:eastAsia="Book Antiqua" w:hAnsi="Book Antiqua" w:cs="Book Antiqua"/>
          <w:noProof/>
        </w:rPr>
        <w:lastRenderedPageBreak/>
        <w:t>nmol/g</w:t>
      </w:r>
      <w:r w:rsidR="001D4397" w:rsidRPr="00244CD2">
        <w:rPr>
          <w:rFonts w:ascii="Book Antiqua" w:eastAsia="Book Antiqua" w:hAnsi="Book Antiqua" w:cs="Book Antiqua"/>
          <w:noProof/>
        </w:rPr>
        <w:t>;</w:t>
      </w:r>
      <w:r w:rsidRPr="00244CD2">
        <w:rPr>
          <w:rFonts w:ascii="Book Antiqua" w:eastAsia="Book Antiqua" w:hAnsi="Book Antiqua" w:cs="Book Antiqua"/>
          <w:noProof/>
        </w:rPr>
        <w:t xml:space="preserve"> </w:t>
      </w:r>
      <w:r w:rsidRPr="00244CD2">
        <w:rPr>
          <w:rFonts w:ascii="Book Antiqua" w:eastAsia="Book Antiqua" w:hAnsi="Book Antiqua" w:cs="Book Antiqua"/>
          <w:i/>
          <w:iCs/>
          <w:noProof/>
        </w:rPr>
        <w:t>P</w:t>
      </w:r>
      <w:r w:rsidRPr="00244CD2">
        <w:rPr>
          <w:rFonts w:ascii="Book Antiqua" w:eastAsia="Book Antiqua" w:hAnsi="Book Antiqua" w:cs="Book Antiqua"/>
          <w:noProof/>
        </w:rPr>
        <w:t xml:space="preserve"> </w:t>
      </w:r>
      <w:r w:rsidR="005710E7" w:rsidRPr="00244CD2">
        <w:rPr>
          <w:rFonts w:ascii="Book Antiqua" w:hAnsi="Book Antiqua" w:cs="Book Antiqua"/>
          <w:noProof/>
          <w:lang w:eastAsia="zh-CN"/>
        </w:rPr>
        <w:t>&lt;</w:t>
      </w:r>
      <w:r w:rsidRPr="00244CD2">
        <w:rPr>
          <w:rFonts w:ascii="Book Antiqua" w:eastAsia="Book Antiqua" w:hAnsi="Book Antiqua" w:cs="Book Antiqua"/>
          <w:noProof/>
        </w:rPr>
        <w:t xml:space="preserve"> 0.001</w:t>
      </w:r>
      <w:r w:rsidR="001D4397" w:rsidRPr="00244CD2">
        <w:rPr>
          <w:rFonts w:ascii="Book Antiqua" w:eastAsia="Book Antiqua" w:hAnsi="Book Antiqua" w:cs="Book Antiqua"/>
          <w:noProof/>
        </w:rPr>
        <w:t>)</w:t>
      </w:r>
      <w:r w:rsidRPr="00244CD2">
        <w:rPr>
          <w:rFonts w:ascii="Book Antiqua" w:eastAsia="Book Antiqua" w:hAnsi="Book Antiqua" w:cs="Book Antiqua"/>
          <w:noProof/>
        </w:rPr>
        <w:t xml:space="preserve"> were significantly increased, while LCA </w:t>
      </w:r>
      <w:r w:rsidR="001D4397" w:rsidRPr="00244CD2">
        <w:rPr>
          <w:rFonts w:ascii="Book Antiqua" w:eastAsia="Book Antiqua" w:hAnsi="Book Antiqua" w:cs="Book Antiqua"/>
          <w:noProof/>
        </w:rPr>
        <w:t>(</w:t>
      </w:r>
      <w:r w:rsidRPr="00244CD2">
        <w:rPr>
          <w:rFonts w:ascii="Book Antiqua" w:eastAsia="Book Antiqua" w:hAnsi="Book Antiqua" w:cs="Book Antiqua"/>
          <w:noProof/>
        </w:rPr>
        <w:t xml:space="preserve">IBS-D: 1621.65 </w:t>
      </w:r>
      <w:r w:rsidR="001D4397" w:rsidRPr="00244CD2">
        <w:rPr>
          <w:rFonts w:ascii="Book Antiqua" w:eastAsia="Book Antiqua" w:hAnsi="Book Antiqua" w:cs="Book Antiqua"/>
          <w:noProof/>
        </w:rPr>
        <w:t>[</w:t>
      </w:r>
      <w:r w:rsidRPr="00244CD2">
        <w:rPr>
          <w:rFonts w:ascii="Book Antiqua" w:eastAsia="Book Antiqua" w:hAnsi="Book Antiqua" w:cs="Book Antiqua"/>
          <w:noProof/>
        </w:rPr>
        <w:t>58.99, 2396.49</w:t>
      </w:r>
      <w:r w:rsidR="001D4397" w:rsidRPr="00244CD2">
        <w:rPr>
          <w:rFonts w:ascii="Book Antiqua" w:eastAsia="Book Antiqua" w:hAnsi="Book Antiqua" w:cs="Book Antiqua"/>
          <w:noProof/>
        </w:rPr>
        <w:t>]</w:t>
      </w:r>
      <w:r w:rsidRPr="00244CD2">
        <w:rPr>
          <w:rFonts w:ascii="Book Antiqua" w:eastAsia="Book Antiqua" w:hAnsi="Book Antiqua" w:cs="Book Antiqua"/>
          <w:noProof/>
        </w:rPr>
        <w:t xml:space="preserve"> nmol/g, HC: 2339.24 </w:t>
      </w:r>
      <w:r w:rsidR="001D4397" w:rsidRPr="00244CD2">
        <w:rPr>
          <w:rFonts w:ascii="Book Antiqua" w:eastAsia="Book Antiqua" w:hAnsi="Book Antiqua" w:cs="Book Antiqua"/>
          <w:noProof/>
        </w:rPr>
        <w:t>[</w:t>
      </w:r>
      <w:r w:rsidRPr="00244CD2">
        <w:rPr>
          <w:rFonts w:ascii="Book Antiqua" w:eastAsia="Book Antiqua" w:hAnsi="Book Antiqua" w:cs="Book Antiqua"/>
          <w:noProof/>
        </w:rPr>
        <w:t>1737.09, 2782.40</w:t>
      </w:r>
      <w:r w:rsidR="001D4397" w:rsidRPr="00244CD2">
        <w:rPr>
          <w:rFonts w:ascii="Book Antiqua" w:eastAsia="Book Antiqua" w:hAnsi="Book Antiqua" w:cs="Book Antiqua"/>
          <w:noProof/>
        </w:rPr>
        <w:t>];</w:t>
      </w:r>
      <w:r w:rsidRPr="00244CD2">
        <w:rPr>
          <w:rFonts w:ascii="Book Antiqua" w:eastAsia="Book Antiqua" w:hAnsi="Book Antiqua" w:cs="Book Antiqua"/>
          <w:noProof/>
        </w:rPr>
        <w:t xml:space="preserve"> </w:t>
      </w:r>
      <w:r w:rsidRPr="00244CD2">
        <w:rPr>
          <w:rFonts w:ascii="Book Antiqua" w:eastAsia="Book Antiqua" w:hAnsi="Book Antiqua" w:cs="Book Antiqua"/>
          <w:i/>
          <w:iCs/>
          <w:noProof/>
        </w:rPr>
        <w:t xml:space="preserve">P </w:t>
      </w:r>
      <w:r w:rsidRPr="00244CD2">
        <w:rPr>
          <w:rFonts w:ascii="Book Antiqua" w:eastAsia="Book Antiqua" w:hAnsi="Book Antiqua" w:cs="Book Antiqua"/>
          <w:noProof/>
        </w:rPr>
        <w:t xml:space="preserve">= 0.002] and UDCA </w:t>
      </w:r>
      <w:r w:rsidR="001D4397" w:rsidRPr="00244CD2">
        <w:rPr>
          <w:rFonts w:ascii="Book Antiqua" w:eastAsia="Book Antiqua" w:hAnsi="Book Antiqua" w:cs="Book Antiqua"/>
          <w:noProof/>
        </w:rPr>
        <w:t>(</w:t>
      </w:r>
      <w:r w:rsidRPr="00244CD2">
        <w:rPr>
          <w:rFonts w:ascii="Book Antiqua" w:eastAsia="Book Antiqua" w:hAnsi="Book Antiqua" w:cs="Book Antiqua"/>
          <w:noProof/>
        </w:rPr>
        <w:t xml:space="preserve">IBS-D: 8.92 </w:t>
      </w:r>
      <w:r w:rsidR="001D4397" w:rsidRPr="00244CD2">
        <w:rPr>
          <w:rFonts w:ascii="Book Antiqua" w:eastAsia="Book Antiqua" w:hAnsi="Book Antiqua" w:cs="Book Antiqua"/>
          <w:noProof/>
        </w:rPr>
        <w:t>[</w:t>
      </w:r>
      <w:r w:rsidRPr="00244CD2">
        <w:rPr>
          <w:rFonts w:ascii="Book Antiqua" w:eastAsia="Book Antiqua" w:hAnsi="Book Antiqua" w:cs="Book Antiqua"/>
          <w:noProof/>
        </w:rPr>
        <w:t>2.33, 23.93</w:t>
      </w:r>
      <w:r w:rsidR="001D4397" w:rsidRPr="00244CD2">
        <w:rPr>
          <w:rFonts w:ascii="Book Antiqua" w:eastAsia="Book Antiqua" w:hAnsi="Book Antiqua" w:cs="Book Antiqua"/>
          <w:noProof/>
        </w:rPr>
        <w:t>]</w:t>
      </w:r>
      <w:r w:rsidRPr="00244CD2">
        <w:rPr>
          <w:rFonts w:ascii="Book Antiqua" w:eastAsia="Book Antiqua" w:hAnsi="Book Antiqua" w:cs="Book Antiqua"/>
          <w:noProof/>
        </w:rPr>
        <w:t xml:space="preserve"> nmol/g, HC: 17.21 </w:t>
      </w:r>
      <w:r w:rsidR="001D4397" w:rsidRPr="00244CD2">
        <w:rPr>
          <w:rFonts w:ascii="Book Antiqua" w:eastAsia="Book Antiqua" w:hAnsi="Book Antiqua" w:cs="Book Antiqua"/>
          <w:noProof/>
        </w:rPr>
        <w:t>[</w:t>
      </w:r>
      <w:r w:rsidRPr="00244CD2">
        <w:rPr>
          <w:rFonts w:ascii="Book Antiqua" w:eastAsia="Book Antiqua" w:hAnsi="Book Antiqua" w:cs="Book Antiqua"/>
          <w:noProof/>
        </w:rPr>
        <w:t>8.76, 33.48</w:t>
      </w:r>
      <w:r w:rsidR="001D4397" w:rsidRPr="00244CD2">
        <w:rPr>
          <w:rFonts w:ascii="Book Antiqua" w:eastAsia="Book Antiqua" w:hAnsi="Book Antiqua" w:cs="Book Antiqua"/>
          <w:noProof/>
        </w:rPr>
        <w:t>]</w:t>
      </w:r>
      <w:r w:rsidRPr="00244CD2">
        <w:rPr>
          <w:rFonts w:ascii="Book Antiqua" w:eastAsia="Book Antiqua" w:hAnsi="Book Antiqua" w:cs="Book Antiqua"/>
          <w:noProof/>
        </w:rPr>
        <w:t xml:space="preserve"> nmol/g</w:t>
      </w:r>
      <w:r w:rsidR="001D4397" w:rsidRPr="00244CD2">
        <w:rPr>
          <w:rFonts w:ascii="Book Antiqua" w:eastAsia="Book Antiqua" w:hAnsi="Book Antiqua" w:cs="Book Antiqua"/>
          <w:noProof/>
        </w:rPr>
        <w:t>;</w:t>
      </w:r>
      <w:r w:rsidRPr="00244CD2">
        <w:rPr>
          <w:rFonts w:ascii="Book Antiqua" w:eastAsia="Book Antiqua" w:hAnsi="Book Antiqua" w:cs="Book Antiqua"/>
          <w:noProof/>
        </w:rPr>
        <w:t xml:space="preserve"> </w:t>
      </w:r>
      <w:r w:rsidRPr="00244CD2">
        <w:rPr>
          <w:rFonts w:ascii="Book Antiqua" w:eastAsia="Book Antiqua" w:hAnsi="Book Antiqua" w:cs="Book Antiqua"/>
          <w:i/>
          <w:iCs/>
          <w:noProof/>
        </w:rPr>
        <w:t>P</w:t>
      </w:r>
      <w:r w:rsidRPr="00244CD2">
        <w:rPr>
          <w:rFonts w:ascii="Book Antiqua" w:eastAsia="Book Antiqua" w:hAnsi="Book Antiqua" w:cs="Book Antiqua"/>
          <w:noProof/>
        </w:rPr>
        <w:t xml:space="preserve"> = 0.025</w:t>
      </w:r>
      <w:r w:rsidR="001D4397" w:rsidRPr="00244CD2">
        <w:rPr>
          <w:rFonts w:ascii="Book Antiqua" w:eastAsia="Book Antiqua" w:hAnsi="Book Antiqua" w:cs="Book Antiqua"/>
          <w:noProof/>
        </w:rPr>
        <w:t>)</w:t>
      </w:r>
      <w:r w:rsidRPr="00244CD2">
        <w:rPr>
          <w:rFonts w:ascii="Book Antiqua" w:eastAsia="Book Antiqua" w:hAnsi="Book Antiqua" w:cs="Book Antiqua"/>
          <w:noProof/>
        </w:rPr>
        <w:t xml:space="preserve"> were significantly decreased in IBS-D patients compared to HC</w:t>
      </w:r>
      <w:r w:rsidR="001D4397" w:rsidRPr="00244CD2">
        <w:rPr>
          <w:rFonts w:ascii="Book Antiqua" w:eastAsia="Book Antiqua" w:hAnsi="Book Antiqua" w:cs="Book Antiqua"/>
          <w:noProof/>
        </w:rPr>
        <w:t>s</w:t>
      </w:r>
      <w:r w:rsidRPr="00244CD2">
        <w:rPr>
          <w:rFonts w:ascii="Book Antiqua" w:eastAsia="Book Antiqua" w:hAnsi="Book Antiqua" w:cs="Book Antiqua"/>
          <w:noProof/>
        </w:rPr>
        <w:t>. Defecation frequency was positively associated with CA (</w:t>
      </w:r>
      <w:r w:rsidRPr="00244CD2">
        <w:rPr>
          <w:rFonts w:ascii="Book Antiqua" w:eastAsia="Book Antiqua" w:hAnsi="Book Antiqua" w:cs="Book Antiqua"/>
          <w:i/>
          <w:iCs/>
          <w:noProof/>
        </w:rPr>
        <w:t>r</w:t>
      </w:r>
      <w:r w:rsidRPr="00244CD2">
        <w:rPr>
          <w:rFonts w:ascii="Book Antiqua" w:eastAsia="Book Antiqua" w:hAnsi="Book Antiqua" w:cs="Book Antiqua"/>
          <w:noProof/>
        </w:rPr>
        <w:t xml:space="preserve"> = 0.294, </w:t>
      </w:r>
      <w:r w:rsidRPr="00244CD2">
        <w:rPr>
          <w:rFonts w:ascii="Book Antiqua" w:eastAsia="Book Antiqua" w:hAnsi="Book Antiqua" w:cs="Book Antiqua"/>
          <w:i/>
          <w:iCs/>
          <w:noProof/>
        </w:rPr>
        <w:t>P</w:t>
      </w:r>
      <w:r w:rsidRPr="00244CD2">
        <w:rPr>
          <w:rFonts w:ascii="Book Antiqua" w:eastAsia="Book Antiqua" w:hAnsi="Book Antiqua" w:cs="Book Antiqua"/>
          <w:noProof/>
        </w:rPr>
        <w:t xml:space="preserve"> = 0.030) and CDCA (</w:t>
      </w:r>
      <w:r w:rsidRPr="00244CD2">
        <w:rPr>
          <w:rFonts w:ascii="Book Antiqua" w:eastAsia="Book Antiqua" w:hAnsi="Book Antiqua" w:cs="Book Antiqua"/>
          <w:i/>
          <w:iCs/>
          <w:noProof/>
        </w:rPr>
        <w:t>r</w:t>
      </w:r>
      <w:r w:rsidRPr="00244CD2">
        <w:rPr>
          <w:rFonts w:ascii="Book Antiqua" w:eastAsia="Book Antiqua" w:hAnsi="Book Antiqua" w:cs="Book Antiqua"/>
          <w:noProof/>
        </w:rPr>
        <w:t xml:space="preserve"> = 0.290, </w:t>
      </w:r>
      <w:r w:rsidRPr="00244CD2">
        <w:rPr>
          <w:rFonts w:ascii="Book Antiqua" w:eastAsia="Book Antiqua" w:hAnsi="Book Antiqua" w:cs="Book Antiqua"/>
          <w:i/>
          <w:iCs/>
          <w:noProof/>
        </w:rPr>
        <w:t>P</w:t>
      </w:r>
      <w:r w:rsidRPr="00244CD2">
        <w:rPr>
          <w:rFonts w:ascii="Book Antiqua" w:eastAsia="Book Antiqua" w:hAnsi="Book Antiqua" w:cs="Book Antiqua"/>
          <w:noProof/>
        </w:rPr>
        <w:t xml:space="preserve"> = 0.032) and negatively associated with DCA (</w:t>
      </w:r>
      <w:r w:rsidRPr="00244CD2">
        <w:rPr>
          <w:rFonts w:ascii="Book Antiqua" w:eastAsia="Book Antiqua" w:hAnsi="Book Antiqua" w:cs="Book Antiqua"/>
          <w:i/>
          <w:iCs/>
          <w:noProof/>
        </w:rPr>
        <w:t>r</w:t>
      </w:r>
      <w:r w:rsidRPr="00244CD2">
        <w:rPr>
          <w:rFonts w:ascii="Book Antiqua" w:eastAsia="Book Antiqua" w:hAnsi="Book Antiqua" w:cs="Book Antiqua"/>
          <w:noProof/>
        </w:rPr>
        <w:t xml:space="preserve"> = −0.332, </w:t>
      </w:r>
      <w:r w:rsidRPr="00244CD2">
        <w:rPr>
          <w:rFonts w:ascii="Book Antiqua" w:eastAsia="Book Antiqua" w:hAnsi="Book Antiqua" w:cs="Book Antiqua"/>
          <w:i/>
          <w:iCs/>
          <w:noProof/>
        </w:rPr>
        <w:t>P</w:t>
      </w:r>
      <w:r w:rsidRPr="00244CD2">
        <w:rPr>
          <w:rFonts w:ascii="Book Antiqua" w:eastAsia="Book Antiqua" w:hAnsi="Book Antiqua" w:cs="Book Antiqua"/>
          <w:noProof/>
        </w:rPr>
        <w:t xml:space="preserve"> = 0.013) and LCA (</w:t>
      </w:r>
      <w:r w:rsidRPr="00244CD2">
        <w:rPr>
          <w:rFonts w:ascii="Book Antiqua" w:eastAsia="Book Antiqua" w:hAnsi="Book Antiqua" w:cs="Book Antiqua"/>
          <w:i/>
          <w:iCs/>
          <w:noProof/>
        </w:rPr>
        <w:t>r</w:t>
      </w:r>
      <w:r w:rsidRPr="00244CD2">
        <w:rPr>
          <w:rFonts w:ascii="Book Antiqua" w:eastAsia="Book Antiqua" w:hAnsi="Book Antiqua" w:cs="Book Antiqua"/>
          <w:noProof/>
        </w:rPr>
        <w:t xml:space="preserve"> = −0.326, </w:t>
      </w:r>
      <w:r w:rsidRPr="00244CD2">
        <w:rPr>
          <w:rFonts w:ascii="Book Antiqua" w:eastAsia="Book Antiqua" w:hAnsi="Book Antiqua" w:cs="Book Antiqua"/>
          <w:i/>
          <w:iCs/>
          <w:noProof/>
        </w:rPr>
        <w:t>P</w:t>
      </w:r>
      <w:r w:rsidRPr="00244CD2">
        <w:rPr>
          <w:rFonts w:ascii="Book Antiqua" w:eastAsia="Book Antiqua" w:hAnsi="Book Antiqua" w:cs="Book Antiqua"/>
          <w:noProof/>
        </w:rPr>
        <w:t xml:space="preserve"> = 0.015) in IBS-D patients. </w:t>
      </w:r>
      <w:r w:rsidR="001D4397" w:rsidRPr="00244CD2">
        <w:rPr>
          <w:rFonts w:ascii="Book Antiqua" w:eastAsia="Book Antiqua" w:hAnsi="Book Antiqua" w:cs="Book Antiqua"/>
          <w:noProof/>
        </w:rPr>
        <w:t>In total, 23</w:t>
      </w:r>
      <w:r w:rsidRPr="00244CD2">
        <w:rPr>
          <w:rFonts w:ascii="Book Antiqua" w:eastAsia="Book Antiqua" w:hAnsi="Book Antiqua" w:cs="Book Antiqua"/>
          <w:noProof/>
        </w:rPr>
        <w:t xml:space="preserve"> of 55 IBS-D patients and 15 of 28 HC</w:t>
      </w:r>
      <w:r w:rsidR="001D4397" w:rsidRPr="00244CD2">
        <w:rPr>
          <w:rFonts w:ascii="Book Antiqua" w:eastAsia="Book Antiqua" w:hAnsi="Book Antiqua" w:cs="Book Antiqua"/>
          <w:noProof/>
        </w:rPr>
        <w:t>s</w:t>
      </w:r>
      <w:r w:rsidRPr="00244CD2">
        <w:rPr>
          <w:rFonts w:ascii="Book Antiqua" w:eastAsia="Book Antiqua" w:hAnsi="Book Antiqua" w:cs="Book Antiqua"/>
          <w:noProof/>
        </w:rPr>
        <w:t xml:space="preserve"> participated in the visceral sensitivity test. The first sensation threshold was negatively correlated with CDCA (</w:t>
      </w:r>
      <w:r w:rsidRPr="00244CD2">
        <w:rPr>
          <w:rFonts w:ascii="Book Antiqua" w:eastAsia="Book Antiqua" w:hAnsi="Book Antiqua" w:cs="Book Antiqua"/>
          <w:i/>
          <w:iCs/>
          <w:noProof/>
        </w:rPr>
        <w:t>r</w:t>
      </w:r>
      <w:r w:rsidRPr="00244CD2">
        <w:rPr>
          <w:rFonts w:ascii="Book Antiqua" w:eastAsia="Book Antiqua" w:hAnsi="Book Antiqua" w:cs="Book Antiqua"/>
          <w:noProof/>
        </w:rPr>
        <w:t xml:space="preserve"> = −0.459, </w:t>
      </w:r>
      <w:r w:rsidRPr="00244CD2">
        <w:rPr>
          <w:rFonts w:ascii="Book Antiqua" w:eastAsia="Book Antiqua" w:hAnsi="Book Antiqua" w:cs="Book Antiqua"/>
          <w:i/>
          <w:iCs/>
          <w:noProof/>
        </w:rPr>
        <w:t>P</w:t>
      </w:r>
      <w:r w:rsidRPr="00244CD2">
        <w:rPr>
          <w:rFonts w:ascii="Book Antiqua" w:eastAsia="Book Antiqua" w:hAnsi="Book Antiqua" w:cs="Book Antiqua"/>
          <w:noProof/>
        </w:rPr>
        <w:t xml:space="preserve"> = 0.028) in IBS-D patients. Furthermore, the relative abundance of the </w:t>
      </w:r>
      <w:r w:rsidR="00C46E32" w:rsidRPr="00244CD2">
        <w:rPr>
          <w:rFonts w:ascii="Book Antiqua" w:eastAsia="Book Antiqua" w:hAnsi="Book Antiqua" w:cs="Book Antiqua"/>
          <w:noProof/>
        </w:rPr>
        <w:t>family</w:t>
      </w:r>
      <w:r w:rsidR="00C46E32" w:rsidRPr="00244CD2">
        <w:rPr>
          <w:rFonts w:ascii="Book Antiqua" w:eastAsia="Book Antiqua" w:hAnsi="Book Antiqua" w:cs="Book Antiqua"/>
          <w:i/>
          <w:noProof/>
        </w:rPr>
        <w:t xml:space="preserve"> </w:t>
      </w:r>
      <w:r w:rsidR="002D00F9" w:rsidRPr="00244CD2">
        <w:rPr>
          <w:rFonts w:ascii="Book Antiqua" w:eastAsia="Book Antiqua" w:hAnsi="Book Antiqua" w:cs="Book Antiqua"/>
          <w:i/>
          <w:noProof/>
        </w:rPr>
        <w:t>Ruminococcaceae</w:t>
      </w:r>
      <w:r w:rsidRPr="00244CD2">
        <w:rPr>
          <w:rFonts w:ascii="Book Antiqua" w:eastAsia="Book Antiqua" w:hAnsi="Book Antiqua" w:cs="Book Antiqua"/>
          <w:i/>
          <w:noProof/>
        </w:rPr>
        <w:t xml:space="preserve"> </w:t>
      </w:r>
      <w:r w:rsidRPr="00244CD2">
        <w:rPr>
          <w:rFonts w:ascii="Book Antiqua" w:eastAsia="Book Antiqua" w:hAnsi="Book Antiqua" w:cs="Book Antiqua"/>
          <w:noProof/>
        </w:rPr>
        <w:t xml:space="preserve">was significantly decreased </w:t>
      </w:r>
      <w:r w:rsidR="005710E7" w:rsidRPr="00244CD2">
        <w:rPr>
          <w:rFonts w:ascii="Book Antiqua" w:eastAsia="Book Antiqua" w:hAnsi="Book Antiqua" w:cs="Book Antiqua"/>
          <w:noProof/>
        </w:rPr>
        <w:t xml:space="preserve">in IBS-D patients </w:t>
      </w:r>
      <w:r w:rsidRPr="00244CD2">
        <w:rPr>
          <w:rFonts w:ascii="Book Antiqua" w:eastAsia="Book Antiqua" w:hAnsi="Book Antiqua" w:cs="Book Antiqua"/>
          <w:noProof/>
        </w:rPr>
        <w:t>(</w:t>
      </w:r>
      <w:r w:rsidRPr="00244CD2">
        <w:rPr>
          <w:rFonts w:ascii="Book Antiqua" w:eastAsia="Book Antiqua" w:hAnsi="Book Antiqua" w:cs="Book Antiqua"/>
          <w:i/>
          <w:iCs/>
          <w:noProof/>
        </w:rPr>
        <w:t>P</w:t>
      </w:r>
      <w:r w:rsidRPr="00244CD2">
        <w:rPr>
          <w:rFonts w:ascii="Book Antiqua" w:eastAsia="Book Antiqua" w:hAnsi="Book Antiqua" w:cs="Book Antiqua"/>
          <w:noProof/>
        </w:rPr>
        <w:t xml:space="preserve"> </w:t>
      </w:r>
      <w:r w:rsidR="005710E7" w:rsidRPr="00244CD2">
        <w:rPr>
          <w:rFonts w:ascii="Book Antiqua" w:hAnsi="Book Antiqua" w:cs="Book Antiqua"/>
          <w:noProof/>
          <w:lang w:eastAsia="zh-CN"/>
        </w:rPr>
        <w:t>&lt;</w:t>
      </w:r>
      <w:r w:rsidRPr="00244CD2">
        <w:rPr>
          <w:rFonts w:ascii="Book Antiqua" w:eastAsia="Book Antiqua" w:hAnsi="Book Antiqua" w:cs="Book Antiqua"/>
          <w:noProof/>
        </w:rPr>
        <w:t xml:space="preserve"> 0.001), and 12 genera were significantly lower in IBS-D patients than in HC</w:t>
      </w:r>
      <w:r w:rsidR="001D4397" w:rsidRPr="00244CD2">
        <w:rPr>
          <w:rFonts w:ascii="Book Antiqua" w:eastAsia="Book Antiqua" w:hAnsi="Book Antiqua" w:cs="Book Antiqua"/>
          <w:noProof/>
        </w:rPr>
        <w:t>s</w:t>
      </w:r>
      <w:r w:rsidRPr="00244CD2">
        <w:rPr>
          <w:rFonts w:ascii="Book Antiqua" w:eastAsia="Book Antiqua" w:hAnsi="Book Antiqua" w:cs="Book Antiqua"/>
          <w:noProof/>
        </w:rPr>
        <w:t xml:space="preserve"> (</w:t>
      </w:r>
      <w:r w:rsidRPr="00244CD2">
        <w:rPr>
          <w:rFonts w:ascii="Book Antiqua" w:eastAsia="Book Antiqua" w:hAnsi="Book Antiqua" w:cs="Book Antiqua"/>
          <w:i/>
          <w:iCs/>
          <w:noProof/>
        </w:rPr>
        <w:t>P</w:t>
      </w:r>
      <w:r w:rsidRPr="00244CD2">
        <w:rPr>
          <w:rFonts w:ascii="Book Antiqua" w:eastAsia="Book Antiqua" w:hAnsi="Book Antiqua" w:cs="Book Antiqua"/>
          <w:noProof/>
        </w:rPr>
        <w:t xml:space="preserve"> </w:t>
      </w:r>
      <w:r w:rsidR="005710E7" w:rsidRPr="00244CD2">
        <w:rPr>
          <w:rFonts w:ascii="Book Antiqua" w:hAnsi="Book Antiqua" w:cs="Book Antiqua"/>
          <w:noProof/>
          <w:lang w:eastAsia="zh-CN"/>
        </w:rPr>
        <w:t>&lt;</w:t>
      </w:r>
      <w:r w:rsidRPr="00244CD2">
        <w:rPr>
          <w:rFonts w:ascii="Book Antiqua" w:eastAsia="Book Antiqua" w:hAnsi="Book Antiqua" w:cs="Book Antiqua"/>
          <w:noProof/>
        </w:rPr>
        <w:t xml:space="preserve"> 0.05), with 6 belonging to </w:t>
      </w:r>
      <w:r w:rsidR="002D00F9" w:rsidRPr="00244CD2">
        <w:rPr>
          <w:rFonts w:ascii="Book Antiqua" w:eastAsia="Book Antiqua" w:hAnsi="Book Antiqua" w:cs="Book Antiqua"/>
          <w:i/>
          <w:noProof/>
        </w:rPr>
        <w:t>Ruminococcaceae</w:t>
      </w:r>
      <w:r w:rsidRPr="00244CD2">
        <w:rPr>
          <w:rFonts w:ascii="Book Antiqua" w:eastAsia="Book Antiqua" w:hAnsi="Book Antiqua" w:cs="Book Antiqua"/>
          <w:noProof/>
        </w:rPr>
        <w:t>. Eleven of these genera were negatively correlated with primary BAs and positively correlated with secondary BAs in all subjects.</w:t>
      </w:r>
    </w:p>
    <w:p w14:paraId="3D8E2A04" w14:textId="77777777" w:rsidR="00A77B3E" w:rsidRPr="00244CD2" w:rsidRDefault="00A77B3E" w:rsidP="00244CD2">
      <w:pPr>
        <w:snapToGrid w:val="0"/>
        <w:spacing w:line="360" w:lineRule="auto"/>
        <w:jc w:val="both"/>
        <w:rPr>
          <w:noProof/>
        </w:rPr>
      </w:pPr>
    </w:p>
    <w:p w14:paraId="11EEB512"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noProof/>
        </w:rPr>
        <w:t>CONCLUSION</w:t>
      </w:r>
    </w:p>
    <w:p w14:paraId="0DA5304F"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noProof/>
        </w:rPr>
        <w:t xml:space="preserve">The altered metabolism of BAs in the intestine of IBS-D patients was associated with diarrhea and visceral hypersensitivity and might be ascribed to dysbiosis, especially the reduction of genera in </w:t>
      </w:r>
      <w:r w:rsidR="002D00F9" w:rsidRPr="00244CD2">
        <w:rPr>
          <w:rFonts w:ascii="Book Antiqua" w:eastAsia="Book Antiqua" w:hAnsi="Book Antiqua" w:cs="Book Antiqua"/>
          <w:i/>
          <w:noProof/>
        </w:rPr>
        <w:t>Ruminococcaceae</w:t>
      </w:r>
      <w:r w:rsidRPr="00244CD2">
        <w:rPr>
          <w:rFonts w:ascii="Book Antiqua" w:eastAsia="Book Antiqua" w:hAnsi="Book Antiqua" w:cs="Book Antiqua"/>
          <w:noProof/>
        </w:rPr>
        <w:t>.</w:t>
      </w:r>
    </w:p>
    <w:p w14:paraId="153B0617" w14:textId="77777777" w:rsidR="00A77B3E" w:rsidRPr="00244CD2" w:rsidRDefault="00A77B3E" w:rsidP="00244CD2">
      <w:pPr>
        <w:snapToGrid w:val="0"/>
        <w:spacing w:line="360" w:lineRule="auto"/>
        <w:jc w:val="both"/>
        <w:rPr>
          <w:noProof/>
        </w:rPr>
      </w:pPr>
    </w:p>
    <w:p w14:paraId="14656D76"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bCs/>
          <w:noProof/>
        </w:rPr>
        <w:t xml:space="preserve">Key Words: </w:t>
      </w:r>
      <w:r w:rsidRPr="00244CD2">
        <w:rPr>
          <w:rFonts w:ascii="Book Antiqua" w:eastAsia="Book Antiqua" w:hAnsi="Book Antiqua" w:cs="Book Antiqua"/>
          <w:noProof/>
        </w:rPr>
        <w:t>Bile acids; Irritable bowel syndrome; Diarrhea; Visceral hypersensitivity; Microbiota; Dysbiosis</w:t>
      </w:r>
    </w:p>
    <w:p w14:paraId="1224F7D3" w14:textId="77777777" w:rsidR="00A77B3E" w:rsidRPr="00244CD2" w:rsidRDefault="00A77B3E" w:rsidP="00244CD2">
      <w:pPr>
        <w:snapToGrid w:val="0"/>
        <w:spacing w:line="360" w:lineRule="auto"/>
        <w:jc w:val="both"/>
        <w:rPr>
          <w:noProof/>
        </w:rPr>
      </w:pPr>
    </w:p>
    <w:p w14:paraId="2F4416B8"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noProof/>
        </w:rPr>
        <w:t xml:space="preserve">Wei W, Wang HF, Zhang Y, Zhang YL, Niu BY, Yao SK. Altered metabolism of bile acids correlates with clinical parameters and the gut microbiota in patients with diarrhea-predominant irritable bowel syndrome. </w:t>
      </w:r>
      <w:r w:rsidRPr="00244CD2">
        <w:rPr>
          <w:rFonts w:ascii="Book Antiqua" w:eastAsia="Book Antiqua" w:hAnsi="Book Antiqua" w:cs="Book Antiqua"/>
          <w:i/>
          <w:iCs/>
          <w:noProof/>
        </w:rPr>
        <w:t>World J Gastroenterol</w:t>
      </w:r>
      <w:r w:rsidRPr="00244CD2">
        <w:rPr>
          <w:rFonts w:ascii="Book Antiqua" w:eastAsia="Book Antiqua" w:hAnsi="Book Antiqua" w:cs="Book Antiqua"/>
          <w:noProof/>
        </w:rPr>
        <w:t xml:space="preserve"> 2020; In press</w:t>
      </w:r>
    </w:p>
    <w:p w14:paraId="62286C1B" w14:textId="77777777" w:rsidR="00A77B3E" w:rsidRPr="00244CD2" w:rsidRDefault="00A77B3E" w:rsidP="00244CD2">
      <w:pPr>
        <w:snapToGrid w:val="0"/>
        <w:spacing w:line="360" w:lineRule="auto"/>
        <w:jc w:val="both"/>
        <w:rPr>
          <w:noProof/>
        </w:rPr>
      </w:pPr>
    </w:p>
    <w:p w14:paraId="43C82ACA" w14:textId="5238FF0F" w:rsidR="00A77B3E" w:rsidRPr="00244CD2" w:rsidRDefault="007356D0" w:rsidP="00244CD2">
      <w:pPr>
        <w:snapToGrid w:val="0"/>
        <w:spacing w:line="360" w:lineRule="auto"/>
        <w:jc w:val="both"/>
        <w:rPr>
          <w:noProof/>
        </w:rPr>
      </w:pPr>
      <w:r w:rsidRPr="00244CD2">
        <w:rPr>
          <w:rFonts w:ascii="Book Antiqua" w:eastAsia="Book Antiqua" w:hAnsi="Book Antiqua" w:cs="Book Antiqua"/>
          <w:b/>
          <w:bCs/>
          <w:noProof/>
        </w:rPr>
        <w:t xml:space="preserve">Core Tip: </w:t>
      </w:r>
      <w:r w:rsidRPr="00244CD2">
        <w:rPr>
          <w:rFonts w:ascii="Book Antiqua" w:eastAsia="Book Antiqua" w:hAnsi="Book Antiqua" w:cs="Book Antiqua"/>
          <w:noProof/>
        </w:rPr>
        <w:t xml:space="preserve">This study comprehensively investigated the fecal </w:t>
      </w:r>
      <w:r w:rsidR="00C94197" w:rsidRPr="00244CD2">
        <w:rPr>
          <w:rFonts w:ascii="Book Antiqua" w:hAnsi="Book Antiqua" w:cs="Book Antiqua"/>
          <w:noProof/>
          <w:lang w:eastAsia="zh-CN"/>
        </w:rPr>
        <w:t>b</w:t>
      </w:r>
      <w:r w:rsidR="00C94197" w:rsidRPr="00244CD2">
        <w:rPr>
          <w:rFonts w:ascii="Book Antiqua" w:eastAsia="Book Antiqua" w:hAnsi="Book Antiqua" w:cs="Book Antiqua"/>
          <w:noProof/>
        </w:rPr>
        <w:t xml:space="preserve">ile acid </w:t>
      </w:r>
      <w:r w:rsidRPr="00244CD2">
        <w:rPr>
          <w:rFonts w:ascii="Book Antiqua" w:eastAsia="Book Antiqua" w:hAnsi="Book Antiqua" w:cs="Book Antiqua"/>
          <w:noProof/>
        </w:rPr>
        <w:t xml:space="preserve">profile of </w:t>
      </w:r>
      <w:r w:rsidR="00F555BD" w:rsidRPr="00244CD2">
        <w:rPr>
          <w:rFonts w:ascii="Book Antiqua" w:eastAsia="Book Antiqua" w:hAnsi="Book Antiqua" w:cs="Book Antiqua"/>
          <w:noProof/>
        </w:rPr>
        <w:t>irritable bowel syndrome with predominant diarrhea (IBS-D)</w:t>
      </w:r>
      <w:r w:rsidRPr="00244CD2">
        <w:rPr>
          <w:rFonts w:ascii="Book Antiqua" w:eastAsia="Book Antiqua" w:hAnsi="Book Antiqua" w:cs="Book Antiqua"/>
          <w:noProof/>
        </w:rPr>
        <w:t xml:space="preserve"> patients and healthy controls, and the correlations between </w:t>
      </w:r>
      <w:r w:rsidR="00C867F2">
        <w:rPr>
          <w:rFonts w:ascii="Book Antiqua" w:eastAsia="Book Antiqua" w:hAnsi="Book Antiqua" w:cs="Book Antiqua" w:hint="eastAsia"/>
          <w:noProof/>
          <w:lang w:eastAsia="zh-CN"/>
        </w:rPr>
        <w:t>bile</w:t>
      </w:r>
      <w:r w:rsidR="00C867F2">
        <w:rPr>
          <w:rFonts w:ascii="Book Antiqua" w:eastAsia="Book Antiqua" w:hAnsi="Book Antiqua" w:cs="Book Antiqua"/>
          <w:noProof/>
          <w:lang w:eastAsia="zh-CN"/>
        </w:rPr>
        <w:t xml:space="preserve"> acids (</w:t>
      </w:r>
      <w:r w:rsidRPr="00244CD2">
        <w:rPr>
          <w:rFonts w:ascii="Book Antiqua" w:eastAsia="Book Antiqua" w:hAnsi="Book Antiqua" w:cs="Book Antiqua"/>
          <w:noProof/>
        </w:rPr>
        <w:t>BAs</w:t>
      </w:r>
      <w:r w:rsidR="00C867F2">
        <w:rPr>
          <w:rFonts w:ascii="Book Antiqua" w:eastAsia="Book Antiqua" w:hAnsi="Book Antiqua" w:cs="Book Antiqua"/>
          <w:noProof/>
        </w:rPr>
        <w:t>)</w:t>
      </w:r>
      <w:r w:rsidRPr="00244CD2">
        <w:rPr>
          <w:rFonts w:ascii="Book Antiqua" w:eastAsia="Book Antiqua" w:hAnsi="Book Antiqua" w:cs="Book Antiqua"/>
          <w:noProof/>
        </w:rPr>
        <w:t xml:space="preserve"> and clinical characteristics as well as the gut </w:t>
      </w:r>
      <w:r w:rsidRPr="00244CD2">
        <w:rPr>
          <w:rFonts w:ascii="Book Antiqua" w:eastAsia="Book Antiqua" w:hAnsi="Book Antiqua" w:cs="Book Antiqua"/>
          <w:noProof/>
        </w:rPr>
        <w:lastRenderedPageBreak/>
        <w:t xml:space="preserve">microbiota of </w:t>
      </w:r>
      <w:r w:rsidR="006650EA" w:rsidRPr="00244CD2">
        <w:rPr>
          <w:rFonts w:ascii="Book Antiqua" w:eastAsia="Book Antiqua" w:hAnsi="Book Antiqua" w:cs="Book Antiqua"/>
          <w:noProof/>
        </w:rPr>
        <w:t>IBS-D</w:t>
      </w:r>
      <w:r w:rsidRPr="00244CD2">
        <w:rPr>
          <w:rFonts w:ascii="Book Antiqua" w:eastAsia="Book Antiqua" w:hAnsi="Book Antiqua" w:cs="Book Antiqua"/>
          <w:noProof/>
        </w:rPr>
        <w:t xml:space="preserve"> patients. We found that the composition of fecal BAs in IBS-D patients is featured by increased primary BAs and decreased secondary BAs, which was associated with diarrhea and visceral hypersensitivity. The abnormality of BAs might be induced by dysbiosis in IBS-D patients, especially the reduction of genera in the </w:t>
      </w:r>
      <w:r w:rsidR="002D00F9" w:rsidRPr="00244CD2">
        <w:rPr>
          <w:rFonts w:ascii="Book Antiqua" w:eastAsia="Book Antiqua" w:hAnsi="Book Antiqua" w:cs="Book Antiqua"/>
          <w:i/>
          <w:noProof/>
        </w:rPr>
        <w:t>Ruminococcaceae</w:t>
      </w:r>
      <w:r w:rsidRPr="00244CD2">
        <w:rPr>
          <w:rFonts w:ascii="Book Antiqua" w:eastAsia="Book Antiqua" w:hAnsi="Book Antiqua" w:cs="Book Antiqua"/>
          <w:noProof/>
        </w:rPr>
        <w:t xml:space="preserve"> family, which contains the majority of bacteria that are capable of converting primary BAs into secondary BAs.</w:t>
      </w:r>
    </w:p>
    <w:p w14:paraId="711E5F32" w14:textId="77777777" w:rsidR="00A77B3E" w:rsidRPr="00244CD2" w:rsidRDefault="00A77B3E" w:rsidP="00244CD2">
      <w:pPr>
        <w:snapToGrid w:val="0"/>
        <w:spacing w:line="360" w:lineRule="auto"/>
        <w:jc w:val="both"/>
        <w:rPr>
          <w:noProof/>
        </w:rPr>
      </w:pPr>
    </w:p>
    <w:p w14:paraId="3536FCDF" w14:textId="77777777" w:rsidR="00A77B3E" w:rsidRPr="00244CD2" w:rsidRDefault="000A5C07" w:rsidP="00244CD2">
      <w:pPr>
        <w:snapToGrid w:val="0"/>
        <w:spacing w:line="360" w:lineRule="auto"/>
        <w:jc w:val="both"/>
        <w:rPr>
          <w:noProof/>
        </w:rPr>
      </w:pPr>
      <w:r w:rsidRPr="00244CD2">
        <w:rPr>
          <w:rFonts w:ascii="Book Antiqua" w:eastAsia="Book Antiqua" w:hAnsi="Book Antiqua" w:cs="Book Antiqua"/>
          <w:b/>
          <w:caps/>
          <w:noProof/>
          <w:u w:val="single"/>
        </w:rPr>
        <w:br w:type="page"/>
      </w:r>
      <w:r w:rsidR="007356D0" w:rsidRPr="00244CD2">
        <w:rPr>
          <w:rFonts w:ascii="Book Antiqua" w:eastAsia="Book Antiqua" w:hAnsi="Book Antiqua" w:cs="Book Antiqua"/>
          <w:b/>
          <w:caps/>
          <w:noProof/>
          <w:u w:val="single"/>
        </w:rPr>
        <w:lastRenderedPageBreak/>
        <w:t>INTRODUCTION</w:t>
      </w:r>
    </w:p>
    <w:p w14:paraId="198FCCA8" w14:textId="11F3ED0F" w:rsidR="00A77B3E" w:rsidRPr="00244CD2" w:rsidRDefault="007356D0" w:rsidP="00244CD2">
      <w:pPr>
        <w:snapToGrid w:val="0"/>
        <w:spacing w:line="360" w:lineRule="auto"/>
        <w:jc w:val="both"/>
        <w:rPr>
          <w:noProof/>
        </w:rPr>
      </w:pPr>
      <w:r w:rsidRPr="00244CD2">
        <w:rPr>
          <w:rFonts w:ascii="Book Antiqua" w:eastAsia="Book Antiqua" w:hAnsi="Book Antiqua" w:cs="Book Antiqua"/>
          <w:noProof/>
        </w:rPr>
        <w:t>Irritable bowel syndrome (IBS) is a chronic and sometimes intractable functional bowel disorder, characterized by recurrent abdominal pain related to defecation or accompanied by change</w:t>
      </w:r>
      <w:r w:rsidR="005854F2">
        <w:rPr>
          <w:rFonts w:ascii="Book Antiqua" w:eastAsia="Book Antiqua" w:hAnsi="Book Antiqua" w:cs="Book Antiqua"/>
          <w:noProof/>
        </w:rPr>
        <w:t>s</w:t>
      </w:r>
      <w:r w:rsidRPr="00244CD2">
        <w:rPr>
          <w:rFonts w:ascii="Book Antiqua" w:eastAsia="Book Antiqua" w:hAnsi="Book Antiqua" w:cs="Book Antiqua"/>
          <w:noProof/>
        </w:rPr>
        <w:t xml:space="preserve"> in stool frequency or form. It affects 1.1%–35.5% of the population across different countries</w:t>
      </w:r>
      <w:r w:rsidRPr="00244CD2">
        <w:rPr>
          <w:rFonts w:ascii="Book Antiqua" w:eastAsia="Book Antiqua" w:hAnsi="Book Antiqua" w:cs="Book Antiqua"/>
          <w:noProof/>
          <w:vertAlign w:val="superscript"/>
        </w:rPr>
        <w:t>[1]</w:t>
      </w:r>
      <w:r w:rsidRPr="00244CD2">
        <w:rPr>
          <w:rFonts w:ascii="Book Antiqua" w:eastAsia="Book Antiqua" w:hAnsi="Book Antiqua" w:cs="Book Antiqua"/>
          <w:noProof/>
        </w:rPr>
        <w:t>, with a prevalence of 6.5% in the Chinese population</w:t>
      </w:r>
      <w:r w:rsidRPr="00244CD2">
        <w:rPr>
          <w:rFonts w:ascii="Book Antiqua" w:eastAsia="Book Antiqua" w:hAnsi="Book Antiqua" w:cs="Book Antiqua"/>
          <w:noProof/>
          <w:vertAlign w:val="superscript"/>
        </w:rPr>
        <w:t>[2]</w:t>
      </w:r>
      <w:r w:rsidRPr="00244CD2">
        <w:rPr>
          <w:rFonts w:ascii="Book Antiqua" w:eastAsia="Book Antiqua" w:hAnsi="Book Antiqua" w:cs="Book Antiqua"/>
          <w:noProof/>
        </w:rPr>
        <w:t xml:space="preserve">. IBS is classified into four subtypes based on the predominant stool form of the patients: IBS with predominant diarrhea (IBS-D), </w:t>
      </w:r>
      <w:r w:rsidR="00FC3BDF" w:rsidRPr="00963389">
        <w:rPr>
          <w:rFonts w:ascii="Book Antiqua" w:eastAsia="Book Antiqua" w:hAnsi="Book Antiqua" w:cs="Book Antiqua"/>
          <w:noProof/>
        </w:rPr>
        <w:t xml:space="preserve">IBS with predominant constipation (IBS-C), </w:t>
      </w:r>
      <w:r w:rsidRPr="00244CD2">
        <w:rPr>
          <w:rFonts w:ascii="Book Antiqua" w:eastAsia="Book Antiqua" w:hAnsi="Book Antiqua" w:cs="Book Antiqua"/>
          <w:noProof/>
        </w:rPr>
        <w:t>IBS with mixed bowel habits, and IBS unclassified</w:t>
      </w:r>
      <w:r w:rsidRPr="00244CD2">
        <w:rPr>
          <w:rFonts w:ascii="Book Antiqua" w:eastAsia="Book Antiqua" w:hAnsi="Book Antiqua" w:cs="Book Antiqua"/>
          <w:noProof/>
          <w:vertAlign w:val="superscript"/>
        </w:rPr>
        <w:t>[3]</w:t>
      </w:r>
      <w:r w:rsidRPr="00244CD2">
        <w:rPr>
          <w:rFonts w:ascii="Book Antiqua" w:eastAsia="Book Antiqua" w:hAnsi="Book Antiqua" w:cs="Book Antiqua"/>
          <w:noProof/>
        </w:rPr>
        <w:t>. As the most common subtype in China, IBS-D accounts for 47.1%–66.3% of all IBS cases</w:t>
      </w:r>
      <w:r w:rsidRPr="00244CD2">
        <w:rPr>
          <w:rFonts w:ascii="Book Antiqua" w:eastAsia="Book Antiqua" w:hAnsi="Book Antiqua" w:cs="Book Antiqua"/>
          <w:noProof/>
          <w:vertAlign w:val="superscript"/>
        </w:rPr>
        <w:t>[4,5]</w:t>
      </w:r>
      <w:r w:rsidRPr="00244CD2">
        <w:rPr>
          <w:rFonts w:ascii="Book Antiqua" w:eastAsia="Book Antiqua" w:hAnsi="Book Antiqua" w:cs="Book Antiqua"/>
          <w:noProof/>
        </w:rPr>
        <w:t>. The exact pathogenesis of IBS is incompletely understood. Motility disturbances and visceral hypersensitivity are generally thought to be involved, and gut dysbiosis, immune dysregulation, intestinal barrier dysfunction, and brain-gut interaction disorder may also be implicated in the pathophysiology of IBS</w:t>
      </w:r>
      <w:r w:rsidRPr="00244CD2">
        <w:rPr>
          <w:rFonts w:ascii="Book Antiqua" w:eastAsia="Book Antiqua" w:hAnsi="Book Antiqua" w:cs="Book Antiqua"/>
          <w:noProof/>
          <w:vertAlign w:val="superscript"/>
        </w:rPr>
        <w:t>[6]</w:t>
      </w:r>
      <w:r w:rsidRPr="00244CD2">
        <w:rPr>
          <w:rFonts w:ascii="Book Antiqua" w:eastAsia="Book Antiqua" w:hAnsi="Book Antiqua" w:cs="Book Antiqua"/>
          <w:noProof/>
        </w:rPr>
        <w:t xml:space="preserve">. </w:t>
      </w:r>
    </w:p>
    <w:p w14:paraId="3CAB141C" w14:textId="27A3E4CF" w:rsidR="00A77B3E" w:rsidRPr="00244CD2" w:rsidRDefault="007356D0" w:rsidP="00244CD2">
      <w:pPr>
        <w:snapToGrid w:val="0"/>
        <w:spacing w:line="360" w:lineRule="auto"/>
        <w:ind w:firstLineChars="100" w:firstLine="240"/>
        <w:jc w:val="both"/>
        <w:rPr>
          <w:noProof/>
        </w:rPr>
      </w:pPr>
      <w:r w:rsidRPr="00244CD2">
        <w:rPr>
          <w:rFonts w:ascii="Book Antiqua" w:eastAsia="Book Antiqua" w:hAnsi="Book Antiqua" w:cs="Book Antiqua"/>
          <w:noProof/>
        </w:rPr>
        <w:t xml:space="preserve">Recently, bile acids (BAs) metabolism has attracted attention in IBS. Apart from facilitating the absorption of lipids, BAs can also affect gastrointestinal motility, mucosal permeability, and the secretion of water, electrolytes, and mucus in the </w:t>
      </w:r>
      <w:r w:rsidR="00861785">
        <w:rPr>
          <w:rFonts w:ascii="Book Antiqua" w:eastAsia="Book Antiqua" w:hAnsi="Book Antiqua" w:cs="Book Antiqua"/>
          <w:noProof/>
        </w:rPr>
        <w:t>gut</w:t>
      </w:r>
      <w:r w:rsidRPr="00244CD2">
        <w:rPr>
          <w:rFonts w:ascii="Book Antiqua" w:eastAsia="Book Antiqua" w:hAnsi="Book Antiqua" w:cs="Book Antiqua"/>
          <w:noProof/>
          <w:vertAlign w:val="superscript"/>
        </w:rPr>
        <w:t>[7]</w:t>
      </w:r>
      <w:r w:rsidRPr="00244CD2">
        <w:rPr>
          <w:rFonts w:ascii="Book Antiqua" w:eastAsia="Book Antiqua" w:hAnsi="Book Antiqua" w:cs="Book Antiqua"/>
          <w:noProof/>
        </w:rPr>
        <w:t>. Changes in BAs metabolism between IBS patients and healthy populations have been reported</w:t>
      </w:r>
      <w:r w:rsidRPr="00244CD2">
        <w:rPr>
          <w:rFonts w:ascii="Book Antiqua" w:eastAsia="Book Antiqua" w:hAnsi="Book Antiqua" w:cs="Book Antiqua"/>
          <w:noProof/>
          <w:vertAlign w:val="superscript"/>
        </w:rPr>
        <w:t>[8-10]</w:t>
      </w:r>
      <w:r w:rsidR="00A53BC3" w:rsidRPr="00244CD2">
        <w:rPr>
          <w:rFonts w:ascii="Book Antiqua" w:eastAsia="Book Antiqua" w:hAnsi="Book Antiqua" w:cs="Book Antiqua"/>
          <w:noProof/>
        </w:rPr>
        <w:t>, but</w:t>
      </w:r>
      <w:r w:rsidRPr="00244CD2">
        <w:rPr>
          <w:rFonts w:ascii="Book Antiqua" w:eastAsia="Book Antiqua" w:hAnsi="Book Antiqua" w:cs="Book Antiqua"/>
          <w:noProof/>
        </w:rPr>
        <w:t xml:space="preserve"> the data delineating BAs metabolism in Chinese IBS-D patients are still sparse. Moreover, </w:t>
      </w:r>
      <w:r w:rsidR="006D0D82" w:rsidRPr="00244CD2">
        <w:rPr>
          <w:rFonts w:ascii="Book Antiqua" w:hAnsi="Book Antiqua" w:cs="Book Antiqua"/>
          <w:noProof/>
          <w:lang w:eastAsia="zh-CN"/>
        </w:rPr>
        <w:t>BA</w:t>
      </w:r>
      <w:r w:rsidRPr="00244CD2">
        <w:rPr>
          <w:rFonts w:ascii="Book Antiqua" w:eastAsia="Book Antiqua" w:hAnsi="Book Antiqua" w:cs="Book Antiqua"/>
          <w:noProof/>
        </w:rPr>
        <w:t xml:space="preserve"> sequestrants, which can bind intraluminal BAs,</w:t>
      </w:r>
      <w:r w:rsidR="009D09EC">
        <w:rPr>
          <w:rFonts w:ascii="Book Antiqua" w:eastAsia="Book Antiqua" w:hAnsi="Book Antiqua" w:cs="Book Antiqua"/>
          <w:noProof/>
        </w:rPr>
        <w:t xml:space="preserve"> </w:t>
      </w:r>
      <w:r w:rsidR="009D09EC">
        <w:rPr>
          <w:rFonts w:ascii="Book Antiqua" w:eastAsia="Book Antiqua" w:hAnsi="Book Antiqua" w:cs="Book Antiqua" w:hint="eastAsia"/>
          <w:noProof/>
          <w:lang w:eastAsia="zh-CN"/>
        </w:rPr>
        <w:t>can</w:t>
      </w:r>
      <w:r w:rsidRPr="00244CD2">
        <w:rPr>
          <w:rFonts w:ascii="Book Antiqua" w:eastAsia="Book Antiqua" w:hAnsi="Book Antiqua" w:cs="Book Antiqua"/>
          <w:noProof/>
        </w:rPr>
        <w:t xml:space="preserve"> attenuate diarrhea and decrease the score of the IBS Symptom Severity Scale (IBS-SSS) in IBS-D patients</w:t>
      </w:r>
      <w:r w:rsidRPr="00244CD2">
        <w:rPr>
          <w:rFonts w:ascii="Book Antiqua" w:eastAsia="Book Antiqua" w:hAnsi="Book Antiqua" w:cs="Book Antiqua"/>
          <w:noProof/>
          <w:vertAlign w:val="superscript"/>
        </w:rPr>
        <w:t>[11-13]</w:t>
      </w:r>
      <w:r w:rsidRPr="00244CD2">
        <w:rPr>
          <w:rFonts w:ascii="Book Antiqua" w:eastAsia="Book Antiqua" w:hAnsi="Book Antiqua" w:cs="Book Antiqua"/>
          <w:noProof/>
        </w:rPr>
        <w:t>. Therefore, the involvement of BAs in the pathogenesis of IBS-D is worthy of particular note.</w:t>
      </w:r>
    </w:p>
    <w:p w14:paraId="0A2F502A" w14:textId="685C146E" w:rsidR="00A77B3E" w:rsidRPr="00244CD2" w:rsidRDefault="007356D0" w:rsidP="00244CD2">
      <w:pPr>
        <w:snapToGrid w:val="0"/>
        <w:spacing w:line="360" w:lineRule="auto"/>
        <w:ind w:firstLineChars="100" w:firstLine="240"/>
        <w:jc w:val="both"/>
        <w:rPr>
          <w:noProof/>
          <w:lang w:eastAsia="zh-CN"/>
        </w:rPr>
      </w:pPr>
      <w:r w:rsidRPr="00244CD2">
        <w:rPr>
          <w:rFonts w:ascii="Book Antiqua" w:eastAsia="Book Antiqua" w:hAnsi="Book Antiqua" w:cs="Book Antiqua"/>
          <w:noProof/>
        </w:rPr>
        <w:t xml:space="preserve">Primary BAs, including cholic acid (CA) and chenodeoxycholic acid (CDCA), are formed from cholesterol in hepatocytes, excreted through the biliary tree into the gallbladder after conjugation with glycine or taurine, and further released into the duodenum in response to meal ingestion. Conjugated CA and CDCA are then chemically modified by the intestinal microbiota through deconjugation and 7α-dehydroxylation, converting them into secondary BAs, </w:t>
      </w:r>
      <w:r w:rsidRPr="00244CD2">
        <w:rPr>
          <w:rFonts w:ascii="Book Antiqua" w:eastAsia="Book Antiqua" w:hAnsi="Book Antiqua" w:cs="Book Antiqua"/>
          <w:i/>
          <w:noProof/>
        </w:rPr>
        <w:t>i.e</w:t>
      </w:r>
      <w:r w:rsidR="00094644" w:rsidRPr="00244CD2">
        <w:rPr>
          <w:rFonts w:ascii="Book Antiqua" w:eastAsia="Book Antiqua" w:hAnsi="Book Antiqua" w:cs="Book Antiqua"/>
          <w:i/>
          <w:noProof/>
        </w:rPr>
        <w:t>.</w:t>
      </w:r>
      <w:r w:rsidRPr="00244CD2">
        <w:rPr>
          <w:rFonts w:ascii="Book Antiqua" w:eastAsia="Book Antiqua" w:hAnsi="Book Antiqua" w:cs="Book Antiqua"/>
          <w:noProof/>
        </w:rPr>
        <w:t xml:space="preserve"> deoxycholic acid (DCA) and lithocholic acid (LCA), respectively. Apart from LCA, a small part of CDCA is transformed into another </w:t>
      </w:r>
      <w:r w:rsidRPr="00244CD2">
        <w:rPr>
          <w:rFonts w:ascii="Book Antiqua" w:eastAsia="Book Antiqua" w:hAnsi="Book Antiqua" w:cs="Book Antiqua"/>
          <w:noProof/>
        </w:rPr>
        <w:lastRenderedPageBreak/>
        <w:t xml:space="preserve">kind of secondary </w:t>
      </w:r>
      <w:r w:rsidR="001E118B" w:rsidRPr="00244CD2">
        <w:rPr>
          <w:rFonts w:ascii="Book Antiqua" w:eastAsia="Book Antiqua" w:hAnsi="Book Antiqua" w:cs="Book Antiqua"/>
          <w:noProof/>
        </w:rPr>
        <w:t>BA</w:t>
      </w:r>
      <w:r w:rsidRPr="00244CD2">
        <w:rPr>
          <w:rFonts w:ascii="Book Antiqua" w:eastAsia="Book Antiqua" w:hAnsi="Book Antiqua" w:cs="Book Antiqua"/>
          <w:noProof/>
        </w:rPr>
        <w:t>, ursodeoxycholic acid (UDCA), by microbiota through 7α/β-epimerization</w:t>
      </w:r>
      <w:r w:rsidRPr="00244CD2">
        <w:rPr>
          <w:rFonts w:ascii="Book Antiqua" w:eastAsia="Book Antiqua" w:hAnsi="Book Antiqua" w:cs="Book Antiqua"/>
          <w:noProof/>
          <w:vertAlign w:val="superscript"/>
        </w:rPr>
        <w:t>[14,15]</w:t>
      </w:r>
      <w:r w:rsidRPr="00244CD2">
        <w:rPr>
          <w:rFonts w:ascii="Book Antiqua" w:eastAsia="Book Antiqua" w:hAnsi="Book Antiqua" w:cs="Book Antiqua"/>
          <w:noProof/>
        </w:rPr>
        <w:t>. DCA, LCA, and UDCA can also be conjugated with glycine or taurine.</w:t>
      </w:r>
      <w:bookmarkStart w:id="17" w:name="OLE_LINK10"/>
      <w:bookmarkStart w:id="18" w:name="OLE_LINK11"/>
      <w:r w:rsidRPr="00244CD2">
        <w:rPr>
          <w:rFonts w:ascii="Book Antiqua" w:eastAsia="Book Antiqua" w:hAnsi="Book Antiqua" w:cs="Book Antiqua"/>
          <w:noProof/>
        </w:rPr>
        <w:t xml:space="preserve"> </w:t>
      </w:r>
      <w:bookmarkEnd w:id="17"/>
      <w:bookmarkEnd w:id="18"/>
      <w:r w:rsidR="00D85377" w:rsidRPr="00244CD2">
        <w:rPr>
          <w:rFonts w:ascii="Book Antiqua" w:eastAsia="Book Antiqua" w:hAnsi="Book Antiqua" w:cs="Book Antiqua"/>
          <w:noProof/>
        </w:rPr>
        <w:t xml:space="preserve">Over 90% of conjugated </w:t>
      </w:r>
      <w:bookmarkStart w:id="19" w:name="OLE_LINK12"/>
      <w:bookmarkStart w:id="20" w:name="OLE_LINK13"/>
      <w:r w:rsidR="00D85377" w:rsidRPr="00244CD2">
        <w:rPr>
          <w:rFonts w:ascii="Book Antiqua" w:eastAsia="Book Antiqua" w:hAnsi="Book Antiqua" w:cs="Book Antiqua"/>
          <w:noProof/>
        </w:rPr>
        <w:t>BAs</w:t>
      </w:r>
      <w:bookmarkEnd w:id="19"/>
      <w:bookmarkEnd w:id="20"/>
      <w:r w:rsidR="00D85377" w:rsidRPr="00244CD2">
        <w:rPr>
          <w:rFonts w:ascii="Book Antiqua" w:eastAsia="Book Antiqua" w:hAnsi="Book Antiqua" w:cs="Book Antiqua"/>
          <w:noProof/>
        </w:rPr>
        <w:t xml:space="preserve"> are reabsorbed in the terminal ileum and return to the liver through the portal circulation, while unconjugated BAs can be reabsorbed by passive diffusion across the epithelium of the small intestin</w:t>
      </w:r>
      <w:r w:rsidR="006067F4" w:rsidRPr="00244CD2">
        <w:rPr>
          <w:rFonts w:ascii="Book Antiqua" w:eastAsia="Book Antiqua" w:hAnsi="Book Antiqua" w:cs="Book Antiqua"/>
          <w:noProof/>
        </w:rPr>
        <w:t>e</w:t>
      </w:r>
      <w:r w:rsidR="00D85377" w:rsidRPr="00244CD2">
        <w:rPr>
          <w:rFonts w:ascii="Book Antiqua" w:eastAsia="Book Antiqua" w:hAnsi="Book Antiqua" w:cs="Book Antiqua"/>
          <w:noProof/>
        </w:rPr>
        <w:t xml:space="preserve"> and colon</w:t>
      </w:r>
      <w:r w:rsidRPr="00244CD2">
        <w:rPr>
          <w:rFonts w:ascii="Book Antiqua" w:eastAsia="Book Antiqua" w:hAnsi="Book Antiqua" w:cs="Book Antiqua"/>
          <w:noProof/>
          <w:vertAlign w:val="superscript"/>
        </w:rPr>
        <w:t>[7,16]</w:t>
      </w:r>
      <w:r w:rsidRPr="00244CD2">
        <w:rPr>
          <w:rFonts w:ascii="Book Antiqua" w:eastAsia="Book Antiqua" w:hAnsi="Book Antiqua" w:cs="Book Antiqua"/>
          <w:noProof/>
        </w:rPr>
        <w:t>. Because of the critical position of the gut microbiome in BAs synthetic regulation, gut dysbiosis may lead to dysmetabolism of BAs</w:t>
      </w:r>
      <w:r w:rsidRPr="00244CD2">
        <w:rPr>
          <w:rFonts w:ascii="Book Antiqua" w:eastAsia="Book Antiqua" w:hAnsi="Book Antiqua" w:cs="Book Antiqua"/>
          <w:noProof/>
          <w:vertAlign w:val="superscript"/>
        </w:rPr>
        <w:t>[14]</w:t>
      </w:r>
      <w:r w:rsidRPr="00244CD2">
        <w:rPr>
          <w:rFonts w:ascii="Book Antiqua" w:eastAsia="Book Antiqua" w:hAnsi="Book Antiqua" w:cs="Book Antiqua"/>
          <w:noProof/>
        </w:rPr>
        <w:t>. Ample evidence has suggested that the gut microbiota of IBS-D patients differs from that of healthy controls</w:t>
      </w:r>
      <w:r w:rsidR="00AB06A7" w:rsidRPr="00244CD2">
        <w:rPr>
          <w:rFonts w:ascii="Book Antiqua" w:eastAsia="Book Antiqua" w:hAnsi="Book Antiqua" w:cs="Book Antiqua"/>
          <w:noProof/>
        </w:rPr>
        <w:t xml:space="preserve"> (HCs)</w:t>
      </w:r>
      <w:r w:rsidRPr="00244CD2">
        <w:rPr>
          <w:rFonts w:ascii="Book Antiqua" w:eastAsia="Book Antiqua" w:hAnsi="Book Antiqua" w:cs="Book Antiqua"/>
          <w:noProof/>
          <w:vertAlign w:val="superscript"/>
        </w:rPr>
        <w:t>[17-21]</w:t>
      </w:r>
      <w:r w:rsidRPr="00244CD2">
        <w:rPr>
          <w:rFonts w:ascii="Book Antiqua" w:eastAsia="Book Antiqua" w:hAnsi="Book Antiqua" w:cs="Book Antiqua"/>
          <w:noProof/>
        </w:rPr>
        <w:t>, and gut dysbiosis has been considered to be involved in the putative pathophysiology of IBS</w:t>
      </w:r>
      <w:r w:rsidRPr="00244CD2">
        <w:rPr>
          <w:rFonts w:ascii="Book Antiqua" w:eastAsia="Book Antiqua" w:hAnsi="Book Antiqua" w:cs="Book Antiqua"/>
          <w:noProof/>
          <w:vertAlign w:val="superscript"/>
        </w:rPr>
        <w:t>[22-24]</w:t>
      </w:r>
      <w:r w:rsidRPr="00244CD2">
        <w:rPr>
          <w:rFonts w:ascii="Book Antiqua" w:eastAsia="Book Antiqua" w:hAnsi="Book Antiqua" w:cs="Book Antiqua"/>
          <w:noProof/>
        </w:rPr>
        <w:t>. However, information about correlations between fecal BAs and the gut flora in IBS-D patients is limited.</w:t>
      </w:r>
    </w:p>
    <w:p w14:paraId="54231481" w14:textId="64DB6330" w:rsidR="00A77B3E" w:rsidRPr="00244CD2" w:rsidRDefault="001521CA" w:rsidP="00244CD2">
      <w:pPr>
        <w:snapToGrid w:val="0"/>
        <w:spacing w:line="360" w:lineRule="auto"/>
        <w:ind w:firstLineChars="100" w:firstLine="240"/>
        <w:jc w:val="both"/>
        <w:rPr>
          <w:noProof/>
        </w:rPr>
      </w:pPr>
      <w:r w:rsidRPr="00244CD2">
        <w:rPr>
          <w:rFonts w:ascii="Book Antiqua" w:eastAsia="Book Antiqua" w:hAnsi="Book Antiqua" w:cs="Book Antiqua"/>
          <w:noProof/>
        </w:rPr>
        <w:t xml:space="preserve">Due </w:t>
      </w:r>
      <w:r w:rsidR="007356D0" w:rsidRPr="00244CD2">
        <w:rPr>
          <w:rFonts w:ascii="Book Antiqua" w:eastAsia="Book Antiqua" w:hAnsi="Book Antiqua" w:cs="Book Antiqua"/>
          <w:noProof/>
        </w:rPr>
        <w:t xml:space="preserve">to the evidence of altered fecal BA profile and gut microbiota in IBS-D patients, we hypothesized that BAs may participate in the pathogenesis of IBS-D, and the gut dysbiosis may contribute to the abnormity of BAs metabolism. To investigate this hypothesis, BAs-related metabolomic analyses and 16S </w:t>
      </w:r>
      <w:r w:rsidR="00B55EA6" w:rsidRPr="00244CD2">
        <w:rPr>
          <w:rFonts w:ascii="Book Antiqua" w:eastAsia="Book Antiqua" w:hAnsi="Book Antiqua" w:cs="Book Antiqua"/>
          <w:noProof/>
        </w:rPr>
        <w:t>rRNA</w:t>
      </w:r>
      <w:r w:rsidR="007356D0" w:rsidRPr="00244CD2">
        <w:rPr>
          <w:rFonts w:ascii="Book Antiqua" w:eastAsia="Book Antiqua" w:hAnsi="Book Antiqua" w:cs="Book Antiqua"/>
          <w:noProof/>
        </w:rPr>
        <w:t xml:space="preserve"> gene sequencing of feces were performed in an IBS-D cohort and matched HC</w:t>
      </w:r>
      <w:r w:rsidRPr="00244CD2">
        <w:rPr>
          <w:rFonts w:ascii="Book Antiqua" w:eastAsia="Book Antiqua" w:hAnsi="Book Antiqua" w:cs="Book Antiqua"/>
          <w:noProof/>
        </w:rPr>
        <w:t>s</w:t>
      </w:r>
      <w:r w:rsidR="007356D0" w:rsidRPr="00244CD2">
        <w:rPr>
          <w:rFonts w:ascii="Book Antiqua" w:eastAsia="Book Antiqua" w:hAnsi="Book Antiqua" w:cs="Book Antiqua"/>
          <w:noProof/>
        </w:rPr>
        <w:t xml:space="preserve"> to explore the association between </w:t>
      </w:r>
      <w:r w:rsidR="006067F4" w:rsidRPr="00244CD2">
        <w:rPr>
          <w:rFonts w:ascii="Book Antiqua" w:eastAsia="Book Antiqua" w:hAnsi="Book Antiqua" w:cs="Book Antiqua"/>
          <w:noProof/>
        </w:rPr>
        <w:t xml:space="preserve">the composition of fecal </w:t>
      </w:r>
      <w:r w:rsidR="001E118B" w:rsidRPr="00244CD2">
        <w:rPr>
          <w:rFonts w:ascii="Book Antiqua" w:eastAsia="Book Antiqua" w:hAnsi="Book Antiqua" w:cs="Book Antiqua"/>
          <w:noProof/>
        </w:rPr>
        <w:t>BA</w:t>
      </w:r>
      <w:r w:rsidR="006067F4" w:rsidRPr="00244CD2">
        <w:rPr>
          <w:rFonts w:ascii="Book Antiqua" w:eastAsia="Book Antiqua" w:hAnsi="Book Antiqua" w:cs="Book Antiqua"/>
          <w:noProof/>
        </w:rPr>
        <w:t xml:space="preserve"> pool</w:t>
      </w:r>
      <w:r w:rsidR="007356D0" w:rsidRPr="00244CD2">
        <w:rPr>
          <w:rFonts w:ascii="Book Antiqua" w:eastAsia="Book Antiqua" w:hAnsi="Book Antiqua" w:cs="Book Antiqua"/>
          <w:noProof/>
        </w:rPr>
        <w:t xml:space="preserve"> and </w:t>
      </w:r>
      <w:r w:rsidR="006067F4" w:rsidRPr="00244CD2">
        <w:rPr>
          <w:rFonts w:ascii="Book Antiqua" w:eastAsia="Book Antiqua" w:hAnsi="Book Antiqua" w:cs="Book Antiqua"/>
          <w:noProof/>
        </w:rPr>
        <w:t xml:space="preserve">the </w:t>
      </w:r>
      <w:r w:rsidR="007356D0" w:rsidRPr="00244CD2">
        <w:rPr>
          <w:rFonts w:ascii="Book Antiqua" w:eastAsia="Book Antiqua" w:hAnsi="Book Antiqua" w:cs="Book Antiqua"/>
          <w:noProof/>
        </w:rPr>
        <w:t>gut microbiota.</w:t>
      </w:r>
    </w:p>
    <w:p w14:paraId="60D66A02" w14:textId="77777777" w:rsidR="00A77B3E" w:rsidRPr="00244CD2" w:rsidRDefault="00A77B3E" w:rsidP="00244CD2">
      <w:pPr>
        <w:snapToGrid w:val="0"/>
        <w:spacing w:line="360" w:lineRule="auto"/>
        <w:ind w:firstLine="480"/>
        <w:jc w:val="both"/>
        <w:rPr>
          <w:noProof/>
        </w:rPr>
      </w:pPr>
    </w:p>
    <w:p w14:paraId="1CADC411"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caps/>
          <w:noProof/>
          <w:u w:val="single"/>
        </w:rPr>
        <w:t>MATERIALS AND METHODS</w:t>
      </w:r>
    </w:p>
    <w:p w14:paraId="514784E2"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bCs/>
          <w:i/>
          <w:iCs/>
          <w:noProof/>
        </w:rPr>
        <w:t>Subject recruitment and sample collection</w:t>
      </w:r>
    </w:p>
    <w:p w14:paraId="3FC1C198" w14:textId="73950A37" w:rsidR="00A77B3E" w:rsidRPr="00244CD2" w:rsidRDefault="007356D0" w:rsidP="00244CD2">
      <w:pPr>
        <w:snapToGrid w:val="0"/>
        <w:spacing w:line="360" w:lineRule="auto"/>
        <w:jc w:val="both"/>
        <w:rPr>
          <w:noProof/>
        </w:rPr>
      </w:pPr>
      <w:r w:rsidRPr="00244CD2">
        <w:rPr>
          <w:rFonts w:ascii="Book Antiqua" w:eastAsia="Book Antiqua" w:hAnsi="Book Antiqua" w:cs="Book Antiqua"/>
          <w:noProof/>
        </w:rPr>
        <w:t>A total of 55 IBS-D patients aged between 18 and 60 years along with 28 age-, sex-, and body mass index (BMI)-matched HC</w:t>
      </w:r>
      <w:r w:rsidR="001521CA" w:rsidRPr="00244CD2">
        <w:rPr>
          <w:rFonts w:ascii="Book Antiqua" w:eastAsia="Book Antiqua" w:hAnsi="Book Antiqua" w:cs="Book Antiqua"/>
          <w:noProof/>
        </w:rPr>
        <w:t>s</w:t>
      </w:r>
      <w:r w:rsidRPr="00244CD2">
        <w:rPr>
          <w:rFonts w:ascii="Book Antiqua" w:eastAsia="Book Antiqua" w:hAnsi="Book Antiqua" w:cs="Book Antiqua"/>
          <w:noProof/>
        </w:rPr>
        <w:t xml:space="preserve"> were recruited in this study. The sample size was calculated with PASS 08</w:t>
      </w:r>
      <w:r w:rsidR="00B55EA6" w:rsidRPr="00244CD2">
        <w:rPr>
          <w:rFonts w:ascii="Book Antiqua" w:eastAsia="Book Antiqua" w:hAnsi="Book Antiqua" w:cs="Book Antiqua"/>
          <w:noProof/>
        </w:rPr>
        <w:t>.0.3 (NCSS LLC., Kaysville, U</w:t>
      </w:r>
      <w:r w:rsidR="00B55EA6" w:rsidRPr="00244CD2">
        <w:rPr>
          <w:rFonts w:ascii="Book Antiqua" w:hAnsi="Book Antiqua" w:cs="Book Antiqua"/>
          <w:noProof/>
          <w:lang w:eastAsia="zh-CN"/>
        </w:rPr>
        <w:t>T</w:t>
      </w:r>
      <w:r w:rsidR="00B55EA6" w:rsidRPr="00244CD2">
        <w:rPr>
          <w:rFonts w:ascii="Book Antiqua" w:eastAsia="Book Antiqua" w:hAnsi="Book Antiqua" w:cs="Book Antiqua"/>
          <w:noProof/>
        </w:rPr>
        <w:t>, U</w:t>
      </w:r>
      <w:r w:rsidR="00B55EA6" w:rsidRPr="00244CD2">
        <w:rPr>
          <w:rFonts w:ascii="Book Antiqua" w:hAnsi="Book Antiqua" w:cs="Book Antiqua"/>
          <w:noProof/>
          <w:lang w:eastAsia="zh-CN"/>
        </w:rPr>
        <w:t>nited States</w:t>
      </w:r>
      <w:r w:rsidRPr="00244CD2">
        <w:rPr>
          <w:rFonts w:ascii="Book Antiqua" w:eastAsia="Book Antiqua" w:hAnsi="Book Antiqua" w:cs="Book Antiqua"/>
          <w:noProof/>
        </w:rPr>
        <w:t xml:space="preserve">), based on the proportions of primary BAs, secondary BAs, and conjugated BAs in IBS-D patients and </w:t>
      </w:r>
      <w:r w:rsidR="00AB06A7" w:rsidRPr="00244CD2">
        <w:rPr>
          <w:rFonts w:ascii="Book Antiqua" w:eastAsia="Book Antiqua" w:hAnsi="Book Antiqua" w:cs="Book Antiqua"/>
          <w:noProof/>
        </w:rPr>
        <w:t>HCs</w:t>
      </w:r>
      <w:r w:rsidRPr="00244CD2">
        <w:rPr>
          <w:rFonts w:ascii="Book Antiqua" w:eastAsia="Book Antiqua" w:hAnsi="Book Antiqua" w:cs="Book Antiqua"/>
          <w:noProof/>
        </w:rPr>
        <w:t xml:space="preserve"> in a previous study</w:t>
      </w:r>
      <w:r w:rsidRPr="00244CD2">
        <w:rPr>
          <w:rFonts w:ascii="Book Antiqua" w:eastAsia="Book Antiqua" w:hAnsi="Book Antiqua" w:cs="Book Antiqua"/>
          <w:noProof/>
          <w:vertAlign w:val="superscript"/>
        </w:rPr>
        <w:t>[25]</w:t>
      </w:r>
      <w:r w:rsidRPr="00244CD2">
        <w:rPr>
          <w:rFonts w:ascii="Book Antiqua" w:eastAsia="Book Antiqua" w:hAnsi="Book Antiqua" w:cs="Book Antiqua"/>
          <w:noProof/>
        </w:rPr>
        <w:t xml:space="preserve">. A sample size of 22 patients </w:t>
      </w:r>
      <w:r w:rsidR="00824439" w:rsidRPr="00244CD2">
        <w:rPr>
          <w:rFonts w:ascii="Book Antiqua" w:eastAsia="Book Antiqua" w:hAnsi="Book Antiqua" w:cs="Book Antiqua"/>
          <w:noProof/>
        </w:rPr>
        <w:t>and</w:t>
      </w:r>
      <w:r w:rsidRPr="00244CD2">
        <w:rPr>
          <w:rFonts w:ascii="Book Antiqua" w:eastAsia="Book Antiqua" w:hAnsi="Book Antiqua" w:cs="Book Antiqua"/>
          <w:noProof/>
        </w:rPr>
        <w:t xml:space="preserve"> 11 </w:t>
      </w:r>
      <w:r w:rsidR="00824439" w:rsidRPr="00244CD2">
        <w:rPr>
          <w:rFonts w:ascii="Book Antiqua" w:eastAsia="Book Antiqua" w:hAnsi="Book Antiqua" w:cs="Book Antiqua"/>
          <w:noProof/>
        </w:rPr>
        <w:t>HC</w:t>
      </w:r>
      <w:r w:rsidR="00225750" w:rsidRPr="00244CD2">
        <w:rPr>
          <w:rFonts w:ascii="Book Antiqua" w:eastAsia="Book Antiqua" w:hAnsi="Book Antiqua" w:cs="Book Antiqua"/>
          <w:noProof/>
        </w:rPr>
        <w:t>s</w:t>
      </w:r>
      <w:r w:rsidRPr="00244CD2">
        <w:rPr>
          <w:rFonts w:ascii="Book Antiqua" w:eastAsia="Book Antiqua" w:hAnsi="Book Antiqua" w:cs="Book Antiqua"/>
          <w:noProof/>
        </w:rPr>
        <w:t xml:space="preserve"> will have 90% power to detect the difference in fecal BAs composition at a significance level of 0.05.</w:t>
      </w:r>
    </w:p>
    <w:p w14:paraId="072CC8DA" w14:textId="37B5E222" w:rsidR="00A77B3E" w:rsidRPr="00244CD2" w:rsidRDefault="007356D0" w:rsidP="00244CD2">
      <w:pPr>
        <w:snapToGrid w:val="0"/>
        <w:spacing w:line="360" w:lineRule="auto"/>
        <w:ind w:firstLineChars="100" w:firstLine="240"/>
        <w:jc w:val="both"/>
        <w:rPr>
          <w:noProof/>
        </w:rPr>
      </w:pPr>
      <w:r w:rsidRPr="00244CD2">
        <w:rPr>
          <w:rFonts w:ascii="Book Antiqua" w:eastAsia="Book Antiqua" w:hAnsi="Book Antiqua" w:cs="Book Antiqua"/>
          <w:noProof/>
        </w:rPr>
        <w:t>All patients visited the gastroenterolog</w:t>
      </w:r>
      <w:r w:rsidR="000E22B5">
        <w:rPr>
          <w:rFonts w:ascii="Book Antiqua" w:eastAsia="Book Antiqua" w:hAnsi="Book Antiqua" w:cs="Book Antiqua"/>
          <w:noProof/>
        </w:rPr>
        <w:t>y</w:t>
      </w:r>
      <w:r w:rsidRPr="00244CD2">
        <w:rPr>
          <w:rFonts w:ascii="Book Antiqua" w:eastAsia="Book Antiqua" w:hAnsi="Book Antiqua" w:cs="Book Antiqua"/>
          <w:noProof/>
        </w:rPr>
        <w:t xml:space="preserve"> department of China-Japan Friendship Hospital from May 2019 to October 2019 and were diagnosed with IBS-D according to the Rome IV criteria. The score of IBS-SSS of the patients w</w:t>
      </w:r>
      <w:r w:rsidR="00283C7D" w:rsidRPr="00244CD2">
        <w:rPr>
          <w:rFonts w:ascii="Book Antiqua" w:eastAsia="Book Antiqua" w:hAnsi="Book Antiqua" w:cs="Book Antiqua"/>
          <w:noProof/>
        </w:rPr>
        <w:t>as</w:t>
      </w:r>
      <w:r w:rsidRPr="00244CD2">
        <w:rPr>
          <w:rFonts w:ascii="Book Antiqua" w:eastAsia="Book Antiqua" w:hAnsi="Book Antiqua" w:cs="Book Antiqua"/>
          <w:noProof/>
        </w:rPr>
        <w:t xml:space="preserve"> required to be above 75 to </w:t>
      </w:r>
      <w:r w:rsidRPr="00244CD2">
        <w:rPr>
          <w:rFonts w:ascii="Book Antiqua" w:eastAsia="Book Antiqua" w:hAnsi="Book Antiqua" w:cs="Book Antiqua"/>
          <w:noProof/>
        </w:rPr>
        <w:lastRenderedPageBreak/>
        <w:t xml:space="preserve">ensure that they were symptomatic at the study entry. </w:t>
      </w:r>
      <w:r w:rsidR="00B32822" w:rsidRPr="00244CD2">
        <w:rPr>
          <w:rFonts w:ascii="Book Antiqua" w:eastAsia="Book Antiqua" w:hAnsi="Book Antiqua" w:cs="Book Antiqua"/>
          <w:noProof/>
        </w:rPr>
        <w:t>HC</w:t>
      </w:r>
      <w:r w:rsidR="00225750" w:rsidRPr="00244CD2">
        <w:rPr>
          <w:rFonts w:ascii="Book Antiqua" w:eastAsia="Book Antiqua" w:hAnsi="Book Antiqua" w:cs="Book Antiqua"/>
          <w:noProof/>
        </w:rPr>
        <w:t>s</w:t>
      </w:r>
      <w:r w:rsidRPr="00244CD2">
        <w:rPr>
          <w:rFonts w:ascii="Book Antiqua" w:eastAsia="Book Antiqua" w:hAnsi="Book Antiqua" w:cs="Book Antiqua"/>
          <w:noProof/>
        </w:rPr>
        <w:t xml:space="preserve"> were recruited through public advertisements. Subjects with a history of organic diseases (including gastrointestinal diseases and other major organ injuries), major abdominal surgery, endoscopic retrograde cholangiopancreatography, psychiatric disorders, and abuse of alcohol were excluded. Pregnant or lactating female subjects and those with dysmenorrhea were also excluded. Subjects who took probiotics, antibiotics, prokinetics, antispasmodics, analgesics, non</w:t>
      </w:r>
      <w:r w:rsidR="00432D45">
        <w:rPr>
          <w:rFonts w:ascii="Book Antiqua" w:eastAsia="Book Antiqua" w:hAnsi="Book Antiqua" w:cs="Book Antiqua"/>
          <w:noProof/>
        </w:rPr>
        <w:t>-</w:t>
      </w:r>
      <w:r w:rsidRPr="00244CD2">
        <w:rPr>
          <w:rFonts w:ascii="Book Antiqua" w:eastAsia="Book Antiqua" w:hAnsi="Book Antiqua" w:cs="Book Antiqua"/>
          <w:noProof/>
        </w:rPr>
        <w:t xml:space="preserve">steroidal anti-inflammatory drugs, and antidepressants within 4 wk, or corticosteroids, immunosuppressants, </w:t>
      </w:r>
      <w:r w:rsidR="006D0D82" w:rsidRPr="00244CD2">
        <w:rPr>
          <w:rFonts w:ascii="Book Antiqua" w:hAnsi="Book Antiqua" w:cs="Book Antiqua"/>
          <w:noProof/>
          <w:lang w:eastAsia="zh-CN"/>
        </w:rPr>
        <w:t>BA</w:t>
      </w:r>
      <w:r w:rsidRPr="00244CD2">
        <w:rPr>
          <w:rFonts w:ascii="Book Antiqua" w:eastAsia="Book Antiqua" w:hAnsi="Book Antiqua" w:cs="Book Antiqua"/>
          <w:noProof/>
        </w:rPr>
        <w:t xml:space="preserve"> sequestrants, and lipid-lowering agents within 6 mo before the study were excluded. Informed consent was obtained from each subject before his/her entry to the study. This study was approved by the Ethics Committee of the China-Japan Friendship Hospital (No. 2019-64-K44).</w:t>
      </w:r>
    </w:p>
    <w:p w14:paraId="5C22047F" w14:textId="77777777" w:rsidR="00A77B3E" w:rsidRPr="00244CD2" w:rsidRDefault="007356D0" w:rsidP="00244CD2">
      <w:pPr>
        <w:snapToGrid w:val="0"/>
        <w:spacing w:line="360" w:lineRule="auto"/>
        <w:ind w:firstLineChars="100" w:firstLine="240"/>
        <w:jc w:val="both"/>
        <w:rPr>
          <w:noProof/>
        </w:rPr>
      </w:pPr>
      <w:r w:rsidRPr="00244CD2">
        <w:rPr>
          <w:rFonts w:ascii="Book Antiqua" w:eastAsia="Book Antiqua" w:hAnsi="Book Antiqua" w:cs="Book Antiqua"/>
          <w:noProof/>
        </w:rPr>
        <w:t>Fresh stool samples were collected with sterile plastic tubes from all subjects in China-Japan Friendship Hospital and were immediately transferred to the laboratory and stored at −80</w:t>
      </w:r>
      <w:r w:rsidR="004C00E7" w:rsidRPr="00244CD2">
        <w:rPr>
          <w:rFonts w:ascii="Book Antiqua" w:hAnsi="Book Antiqua" w:cs="Book Antiqua"/>
          <w:noProof/>
          <w:lang w:eastAsia="zh-CN"/>
        </w:rPr>
        <w:t xml:space="preserve"> </w:t>
      </w:r>
      <w:r w:rsidRPr="00244CD2">
        <w:rPr>
          <w:rFonts w:ascii="Book Antiqua" w:eastAsia="Book Antiqua" w:hAnsi="Book Antiqua" w:cs="Book Antiqua"/>
          <w:noProof/>
        </w:rPr>
        <w:t>°C until analysis. Each sample was homogenized and divided into at least 2 parts for BAs and microbiota analys</w:t>
      </w:r>
      <w:r w:rsidR="00A12130" w:rsidRPr="00244CD2">
        <w:rPr>
          <w:rFonts w:ascii="Book Antiqua" w:eastAsia="Book Antiqua" w:hAnsi="Book Antiqua" w:cs="Book Antiqua"/>
          <w:noProof/>
        </w:rPr>
        <w:t>e</w:t>
      </w:r>
      <w:r w:rsidRPr="00244CD2">
        <w:rPr>
          <w:rFonts w:ascii="Book Antiqua" w:eastAsia="Book Antiqua" w:hAnsi="Book Antiqua" w:cs="Book Antiqua"/>
          <w:noProof/>
        </w:rPr>
        <w:t>s. Considering the circadian rhythm in BAs synthesis and metabolism</w:t>
      </w:r>
      <w:r w:rsidRPr="00244CD2">
        <w:rPr>
          <w:rFonts w:ascii="Book Antiqua" w:eastAsia="Book Antiqua" w:hAnsi="Book Antiqua" w:cs="Book Antiqua"/>
          <w:noProof/>
          <w:vertAlign w:val="superscript"/>
        </w:rPr>
        <w:t>[26]</w:t>
      </w:r>
      <w:r w:rsidRPr="00244CD2">
        <w:rPr>
          <w:rFonts w:ascii="Book Antiqua" w:eastAsia="Book Antiqua" w:hAnsi="Book Antiqua" w:cs="Book Antiqua"/>
          <w:noProof/>
        </w:rPr>
        <w:t xml:space="preserve">, all of the samples were collected between 07:00 </w:t>
      </w:r>
      <w:r w:rsidR="00A7716A" w:rsidRPr="00244CD2">
        <w:rPr>
          <w:rFonts w:ascii="Book Antiqua" w:eastAsia="Book Antiqua" w:hAnsi="Book Antiqua" w:cs="Book Antiqua"/>
          <w:noProof/>
        </w:rPr>
        <w:t xml:space="preserve">am </w:t>
      </w:r>
      <w:r w:rsidRPr="00244CD2">
        <w:rPr>
          <w:rFonts w:ascii="Book Antiqua" w:eastAsia="Book Antiqua" w:hAnsi="Book Antiqua" w:cs="Book Antiqua"/>
          <w:noProof/>
        </w:rPr>
        <w:t>and 10:00 am. All subjects were asked to maintain their usual dietary habits at least 1 wk before the collection of the stool samples and until all of the assessments were finished. The pharmacological agents aforementioned were not allowed throughout the study period.</w:t>
      </w:r>
    </w:p>
    <w:p w14:paraId="201369E9" w14:textId="77777777" w:rsidR="00A77B3E" w:rsidRPr="00244CD2" w:rsidRDefault="00A77B3E" w:rsidP="00244CD2">
      <w:pPr>
        <w:snapToGrid w:val="0"/>
        <w:spacing w:line="360" w:lineRule="auto"/>
        <w:ind w:firstLine="480"/>
        <w:jc w:val="both"/>
        <w:rPr>
          <w:noProof/>
        </w:rPr>
      </w:pPr>
    </w:p>
    <w:p w14:paraId="23D2C718"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bCs/>
          <w:i/>
          <w:iCs/>
          <w:noProof/>
        </w:rPr>
        <w:t>Clinical and psychological assessments</w:t>
      </w:r>
    </w:p>
    <w:p w14:paraId="682CA714"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noProof/>
        </w:rPr>
        <w:t>Disease severity was evaluated with the IBS-SSS, a validated questionnaire including five items (severity and frequency of abdominal pain, abdominal bloating, bowel habit dissatisfaction, and overall interference with quality of life)</w:t>
      </w:r>
      <w:r w:rsidRPr="00244CD2">
        <w:rPr>
          <w:rFonts w:ascii="Book Antiqua" w:eastAsia="Book Antiqua" w:hAnsi="Book Antiqua" w:cs="Book Antiqua"/>
          <w:noProof/>
          <w:vertAlign w:val="superscript"/>
        </w:rPr>
        <w:t>[27]</w:t>
      </w:r>
      <w:r w:rsidRPr="00244CD2">
        <w:rPr>
          <w:rFonts w:ascii="Book Antiqua" w:eastAsia="Book Antiqua" w:hAnsi="Book Antiqua" w:cs="Book Antiqua"/>
          <w:noProof/>
        </w:rPr>
        <w:t xml:space="preserve">. The highest score was 100 for each item and the total score ranges from 0 to 500. All subjects were asked to report their stool consistency </w:t>
      </w:r>
      <w:r w:rsidR="00180889" w:rsidRPr="00244CD2">
        <w:rPr>
          <w:rFonts w:ascii="Book Antiqua" w:eastAsia="Book Antiqua" w:hAnsi="Book Antiqua" w:cs="Book Antiqua"/>
          <w:noProof/>
        </w:rPr>
        <w:t>according to</w:t>
      </w:r>
      <w:r w:rsidRPr="00244CD2">
        <w:rPr>
          <w:rFonts w:ascii="Book Antiqua" w:eastAsia="Book Antiqua" w:hAnsi="Book Antiqua" w:cs="Book Antiqua"/>
          <w:noProof/>
        </w:rPr>
        <w:t xml:space="preserve"> the </w:t>
      </w:r>
      <w:r w:rsidR="004C00E7" w:rsidRPr="00244CD2">
        <w:rPr>
          <w:rFonts w:ascii="Book Antiqua" w:hAnsi="Book Antiqua" w:cs="Book Antiqua"/>
          <w:noProof/>
          <w:lang w:eastAsia="zh-CN"/>
        </w:rPr>
        <w:t>B</w:t>
      </w:r>
      <w:r w:rsidR="004C00E7" w:rsidRPr="00244CD2">
        <w:rPr>
          <w:rFonts w:ascii="Book Antiqua" w:eastAsia="Book Antiqua" w:hAnsi="Book Antiqua" w:cs="Book Antiqua"/>
          <w:noProof/>
        </w:rPr>
        <w:t>ristol stool form scale</w:t>
      </w:r>
      <w:r w:rsidRPr="00244CD2">
        <w:rPr>
          <w:rFonts w:ascii="Book Antiqua" w:eastAsia="Book Antiqua" w:hAnsi="Book Antiqua" w:cs="Book Antiqua"/>
          <w:noProof/>
        </w:rPr>
        <w:t xml:space="preserve"> (BSFS) and defecation frequency per day during the preceding 2 wk.</w:t>
      </w:r>
    </w:p>
    <w:p w14:paraId="14128F6C" w14:textId="1162FE77" w:rsidR="00A77B3E" w:rsidRPr="00244CD2" w:rsidRDefault="007356D0" w:rsidP="00244CD2">
      <w:pPr>
        <w:snapToGrid w:val="0"/>
        <w:spacing w:line="360" w:lineRule="auto"/>
        <w:ind w:firstLineChars="100" w:firstLine="240"/>
        <w:jc w:val="both"/>
        <w:rPr>
          <w:noProof/>
        </w:rPr>
      </w:pPr>
      <w:r w:rsidRPr="00244CD2">
        <w:rPr>
          <w:rFonts w:ascii="Book Antiqua" w:eastAsia="Book Antiqua" w:hAnsi="Book Antiqua" w:cs="Book Antiqua"/>
          <w:noProof/>
        </w:rPr>
        <w:t xml:space="preserve">Psychological characteristics were assessed with the </w:t>
      </w:r>
      <w:r w:rsidR="004C00E7" w:rsidRPr="00244CD2">
        <w:rPr>
          <w:rFonts w:ascii="Book Antiqua" w:eastAsia="Book Antiqua" w:hAnsi="Book Antiqua" w:cs="Book Antiqua"/>
          <w:noProof/>
        </w:rPr>
        <w:t>hospital anxiety and depression scale</w:t>
      </w:r>
      <w:r w:rsidRPr="00244CD2">
        <w:rPr>
          <w:rFonts w:ascii="Book Antiqua" w:eastAsia="Book Antiqua" w:hAnsi="Book Antiqua" w:cs="Book Antiqua"/>
          <w:noProof/>
        </w:rPr>
        <w:t xml:space="preserve"> (HADS) consisting of 7 items for anxiety and 7 items for depression. The maximum </w:t>
      </w:r>
      <w:r w:rsidRPr="00244CD2">
        <w:rPr>
          <w:rFonts w:ascii="Book Antiqua" w:eastAsia="Book Antiqua" w:hAnsi="Book Antiqua" w:cs="Book Antiqua"/>
          <w:noProof/>
        </w:rPr>
        <w:lastRenderedPageBreak/>
        <w:t>score is 21 for both of the dimensions, with a score of less than 8 for non</w:t>
      </w:r>
      <w:r w:rsidR="001521CA" w:rsidRPr="00244CD2">
        <w:rPr>
          <w:rFonts w:ascii="Book Antiqua" w:eastAsia="Book Antiqua" w:hAnsi="Book Antiqua" w:cs="Book Antiqua"/>
          <w:noProof/>
        </w:rPr>
        <w:t>-</w:t>
      </w:r>
      <w:r w:rsidRPr="00244CD2">
        <w:rPr>
          <w:rFonts w:ascii="Book Antiqua" w:eastAsia="Book Antiqua" w:hAnsi="Book Antiqua" w:cs="Book Antiqua"/>
          <w:noProof/>
        </w:rPr>
        <w:t>cases, a score of 8–10 for doubtful cases, and a score of more than 10 for definite cases of anxiety or depression</w:t>
      </w:r>
      <w:r w:rsidRPr="00244CD2">
        <w:rPr>
          <w:rFonts w:ascii="Book Antiqua" w:eastAsia="Book Antiqua" w:hAnsi="Book Antiqua" w:cs="Book Antiqua"/>
          <w:noProof/>
          <w:vertAlign w:val="superscript"/>
        </w:rPr>
        <w:t>[28]</w:t>
      </w:r>
      <w:r w:rsidRPr="00244CD2">
        <w:rPr>
          <w:rFonts w:ascii="Book Antiqua" w:eastAsia="Book Antiqua" w:hAnsi="Book Antiqua" w:cs="Book Antiqua"/>
          <w:noProof/>
        </w:rPr>
        <w:t xml:space="preserve">. In addition, the </w:t>
      </w:r>
      <w:r w:rsidR="00B11AA2" w:rsidRPr="00244CD2">
        <w:rPr>
          <w:rFonts w:ascii="Book Antiqua" w:eastAsia="Book Antiqua" w:hAnsi="Book Antiqua" w:cs="Book Antiqua"/>
          <w:noProof/>
        </w:rPr>
        <w:t>visceral sensitivity index</w:t>
      </w:r>
      <w:r w:rsidRPr="00244CD2">
        <w:rPr>
          <w:rFonts w:ascii="Book Antiqua" w:eastAsia="Book Antiqua" w:hAnsi="Book Antiqua" w:cs="Book Antiqua"/>
          <w:noProof/>
        </w:rPr>
        <w:t xml:space="preserve"> (VSI) scale was used to measure gastrointestinal symptoms-specific anxiety (GSA)</w:t>
      </w:r>
      <w:r w:rsidRPr="00244CD2">
        <w:rPr>
          <w:rFonts w:ascii="Book Antiqua" w:eastAsia="Book Antiqua" w:hAnsi="Book Antiqua" w:cs="Book Antiqua"/>
          <w:noProof/>
          <w:vertAlign w:val="superscript"/>
        </w:rPr>
        <w:t>[29]</w:t>
      </w:r>
      <w:r w:rsidRPr="00244CD2">
        <w:rPr>
          <w:rFonts w:ascii="Book Antiqua" w:eastAsia="Book Antiqua" w:hAnsi="Book Antiqua" w:cs="Book Antiqua"/>
          <w:noProof/>
        </w:rPr>
        <w:t>, with 15 items ranging from score 0 (no GSA) to 5 (severe GSA) and a maximum score of 75.</w:t>
      </w:r>
    </w:p>
    <w:p w14:paraId="2714DDF4" w14:textId="77777777" w:rsidR="00A77B3E" w:rsidRPr="00244CD2" w:rsidRDefault="007356D0" w:rsidP="00244CD2">
      <w:pPr>
        <w:snapToGrid w:val="0"/>
        <w:spacing w:line="360" w:lineRule="auto"/>
        <w:ind w:firstLineChars="100" w:firstLine="240"/>
        <w:jc w:val="both"/>
        <w:rPr>
          <w:noProof/>
        </w:rPr>
      </w:pPr>
      <w:r w:rsidRPr="00244CD2">
        <w:rPr>
          <w:rFonts w:ascii="Book Antiqua" w:eastAsia="Book Antiqua" w:hAnsi="Book Antiqua" w:cs="Book Antiqua"/>
          <w:noProof/>
        </w:rPr>
        <w:t>Visceral sensitivity was assessed with a high-resolution manometry system that has been used previously in our laboratory</w:t>
      </w:r>
      <w:r w:rsidRPr="00244CD2">
        <w:rPr>
          <w:rFonts w:ascii="Book Antiqua" w:eastAsia="Book Antiqua" w:hAnsi="Book Antiqua" w:cs="Book Antiqua"/>
          <w:noProof/>
          <w:vertAlign w:val="superscript"/>
        </w:rPr>
        <w:t>[30]</w:t>
      </w:r>
      <w:r w:rsidRPr="00244CD2">
        <w:rPr>
          <w:rFonts w:ascii="Book Antiqua" w:eastAsia="Book Antiqua" w:hAnsi="Book Antiqua" w:cs="Book Antiqua"/>
          <w:noProof/>
        </w:rPr>
        <w:t>. Briefly, after completely emptying the rectum with a glycerin enema, a resolution anorectal catheter with a latex balloon at the tip was inserted into the rectum of subjects. After subjects adapted to the catheter in the rectum, the balloon was manually inflated with air through a 100-mL syringe at a speed of 10 mL/5s, and subjects were asked to report their feelings of initial perception, defecation sensation</w:t>
      </w:r>
      <w:r w:rsidR="00F7226F" w:rsidRPr="00244CD2">
        <w:rPr>
          <w:rFonts w:ascii="Book Antiqua" w:eastAsia="Book Antiqua" w:hAnsi="Book Antiqua" w:cs="Book Antiqua"/>
          <w:noProof/>
        </w:rPr>
        <w:t>,</w:t>
      </w:r>
      <w:r w:rsidRPr="00244CD2">
        <w:rPr>
          <w:rFonts w:ascii="Book Antiqua" w:eastAsia="Book Antiqua" w:hAnsi="Book Antiqua" w:cs="Book Antiqua"/>
          <w:noProof/>
        </w:rPr>
        <w:t xml:space="preserve"> and discomfort/pain during the process, with the corresponding balloon volumes recorded as the first sensation threshold, defecating sensation threshold</w:t>
      </w:r>
      <w:r w:rsidR="00DC130C" w:rsidRPr="00244CD2">
        <w:rPr>
          <w:rFonts w:ascii="Book Antiqua" w:eastAsia="Book Antiqua" w:hAnsi="Book Antiqua" w:cs="Book Antiqua"/>
          <w:noProof/>
        </w:rPr>
        <w:t>,</w:t>
      </w:r>
      <w:r w:rsidRPr="00244CD2">
        <w:rPr>
          <w:rFonts w:ascii="Book Antiqua" w:eastAsia="Book Antiqua" w:hAnsi="Book Antiqua" w:cs="Book Antiqua"/>
          <w:noProof/>
        </w:rPr>
        <w:t xml:space="preserve"> and maximum tolerable threshold, respectively.</w:t>
      </w:r>
    </w:p>
    <w:p w14:paraId="6693AA90" w14:textId="77777777" w:rsidR="00A77B3E" w:rsidRPr="00244CD2" w:rsidRDefault="00A77B3E" w:rsidP="00244CD2">
      <w:pPr>
        <w:snapToGrid w:val="0"/>
        <w:spacing w:line="360" w:lineRule="auto"/>
        <w:ind w:firstLine="480"/>
        <w:jc w:val="both"/>
        <w:rPr>
          <w:noProof/>
        </w:rPr>
      </w:pPr>
    </w:p>
    <w:p w14:paraId="4A0336BF" w14:textId="77777777" w:rsidR="00A77B3E" w:rsidRPr="00244CD2" w:rsidRDefault="00D85377" w:rsidP="00244CD2">
      <w:pPr>
        <w:snapToGrid w:val="0"/>
        <w:spacing w:line="360" w:lineRule="auto"/>
        <w:jc w:val="both"/>
        <w:rPr>
          <w:noProof/>
        </w:rPr>
      </w:pPr>
      <w:r w:rsidRPr="00244CD2">
        <w:rPr>
          <w:rFonts w:ascii="Book Antiqua" w:eastAsia="Book Antiqua" w:hAnsi="Book Antiqua" w:cs="Book Antiqua"/>
          <w:b/>
          <w:bCs/>
          <w:i/>
          <w:iCs/>
          <w:noProof/>
        </w:rPr>
        <w:t>BAs</w:t>
      </w:r>
      <w:r w:rsidR="007356D0" w:rsidRPr="00244CD2">
        <w:rPr>
          <w:rFonts w:ascii="Book Antiqua" w:eastAsia="Book Antiqua" w:hAnsi="Book Antiqua" w:cs="Book Antiqua"/>
          <w:b/>
          <w:bCs/>
          <w:i/>
          <w:iCs/>
          <w:noProof/>
        </w:rPr>
        <w:t xml:space="preserve"> analysis</w:t>
      </w:r>
    </w:p>
    <w:p w14:paraId="78580E75" w14:textId="4539424A" w:rsidR="00A77B3E" w:rsidRPr="00244CD2" w:rsidRDefault="007356D0" w:rsidP="00244CD2">
      <w:pPr>
        <w:snapToGrid w:val="0"/>
        <w:spacing w:line="360" w:lineRule="auto"/>
        <w:jc w:val="both"/>
        <w:rPr>
          <w:noProof/>
        </w:rPr>
      </w:pPr>
      <w:r w:rsidRPr="00244CD2">
        <w:rPr>
          <w:rFonts w:ascii="Book Antiqua" w:eastAsia="Book Antiqua" w:hAnsi="Book Antiqua" w:cs="Book Antiqua"/>
          <w:b/>
          <w:bCs/>
          <w:noProof/>
        </w:rPr>
        <w:t xml:space="preserve">Chemicals: </w:t>
      </w:r>
      <w:r w:rsidRPr="00244CD2">
        <w:rPr>
          <w:rFonts w:ascii="Book Antiqua" w:eastAsia="Book Antiqua" w:hAnsi="Book Antiqua" w:cs="Book Antiqua"/>
          <w:noProof/>
        </w:rPr>
        <w:t>All 15 standards were obtained from S</w:t>
      </w:r>
      <w:r w:rsidR="00366C1F" w:rsidRPr="00244CD2">
        <w:rPr>
          <w:rFonts w:ascii="Book Antiqua" w:eastAsia="Book Antiqua" w:hAnsi="Book Antiqua" w:cs="Book Antiqua"/>
          <w:noProof/>
        </w:rPr>
        <w:t xml:space="preserve">teraloids Inc. (Newport, RI, </w:t>
      </w:r>
      <w:bookmarkStart w:id="21" w:name="OLE_LINK14"/>
      <w:r w:rsidR="00366C1F" w:rsidRPr="00244CD2">
        <w:rPr>
          <w:rFonts w:ascii="Book Antiqua" w:eastAsia="Book Antiqua" w:hAnsi="Book Antiqua" w:cs="Book Antiqua"/>
          <w:noProof/>
        </w:rPr>
        <w:t>U</w:t>
      </w:r>
      <w:r w:rsidR="00366C1F" w:rsidRPr="00244CD2">
        <w:rPr>
          <w:rFonts w:ascii="Book Antiqua" w:hAnsi="Book Antiqua" w:cs="Book Antiqua"/>
          <w:noProof/>
          <w:lang w:eastAsia="zh-CN"/>
        </w:rPr>
        <w:t>nited States</w:t>
      </w:r>
      <w:bookmarkEnd w:id="21"/>
      <w:r w:rsidRPr="00244CD2">
        <w:rPr>
          <w:rFonts w:ascii="Book Antiqua" w:eastAsia="Book Antiqua" w:hAnsi="Book Antiqua" w:cs="Book Antiqua"/>
          <w:noProof/>
        </w:rPr>
        <w:t xml:space="preserve">) and TRC Chemicals (Toronto, ON, Canada) including CA, CDCA, DCA, LCA, UDCA, glyco-cholic acid, glyco-chenodeoxycholic acid, glyco-deoxycholic acid, glyco-lithocholic acid, glyco-ursodeoxycholic acid (GUDCA), tauro-cholic acid (TCA), tauro-chenodeoxycholic acid, tauro-deoxycholic acid, tauro-lithocholic acid, and tauro-ursodeoxycholic acid (TUDCA). Six deuterated internal standards were obtained from Steraloids Inc. (Newport, RI, </w:t>
      </w:r>
      <w:r w:rsidR="00366C1F" w:rsidRPr="00244CD2">
        <w:rPr>
          <w:rFonts w:ascii="Book Antiqua" w:eastAsia="Book Antiqua" w:hAnsi="Book Antiqua" w:cs="Book Antiqua"/>
          <w:noProof/>
        </w:rPr>
        <w:t>U</w:t>
      </w:r>
      <w:r w:rsidR="00366C1F" w:rsidRPr="00244CD2">
        <w:rPr>
          <w:rFonts w:ascii="Book Antiqua" w:hAnsi="Book Antiqua" w:cs="Book Antiqua"/>
          <w:noProof/>
          <w:lang w:eastAsia="zh-CN"/>
        </w:rPr>
        <w:t>nited States</w:t>
      </w:r>
      <w:r w:rsidRPr="00244CD2">
        <w:rPr>
          <w:rFonts w:ascii="Book Antiqua" w:eastAsia="Book Antiqua" w:hAnsi="Book Antiqua" w:cs="Book Antiqua"/>
          <w:noProof/>
        </w:rPr>
        <w:t xml:space="preserve">) and C/D/N Isotopes Inc. (Quebec, Canada). </w:t>
      </w:r>
    </w:p>
    <w:p w14:paraId="652F8CDF" w14:textId="77777777" w:rsidR="00366C1F" w:rsidRPr="00244CD2" w:rsidRDefault="00366C1F" w:rsidP="00244CD2">
      <w:pPr>
        <w:snapToGrid w:val="0"/>
        <w:spacing w:line="360" w:lineRule="auto"/>
        <w:jc w:val="both"/>
        <w:rPr>
          <w:rFonts w:ascii="Book Antiqua" w:hAnsi="Book Antiqua" w:cs="Book Antiqua"/>
          <w:b/>
          <w:bCs/>
          <w:noProof/>
          <w:lang w:eastAsia="zh-CN"/>
        </w:rPr>
      </w:pPr>
    </w:p>
    <w:p w14:paraId="6C3C3647" w14:textId="34A4891E" w:rsidR="00A77B3E" w:rsidRPr="00244CD2" w:rsidRDefault="007356D0" w:rsidP="00244CD2">
      <w:pPr>
        <w:snapToGrid w:val="0"/>
        <w:spacing w:line="360" w:lineRule="auto"/>
        <w:jc w:val="both"/>
        <w:rPr>
          <w:noProof/>
        </w:rPr>
      </w:pPr>
      <w:r w:rsidRPr="00244CD2">
        <w:rPr>
          <w:rFonts w:ascii="Book Antiqua" w:eastAsia="Book Antiqua" w:hAnsi="Book Antiqua" w:cs="Book Antiqua"/>
          <w:b/>
          <w:bCs/>
          <w:noProof/>
        </w:rPr>
        <w:t>Sample preparation:</w:t>
      </w:r>
      <w:r w:rsidRPr="00244CD2">
        <w:rPr>
          <w:rFonts w:ascii="Book Antiqua" w:eastAsia="Book Antiqua" w:hAnsi="Book Antiqua" w:cs="Book Antiqua"/>
          <w:noProof/>
        </w:rPr>
        <w:t xml:space="preserve"> To diminish sample degradation, feces samples were thawed in an ice-bath at first. Next, approximately 10 mg of each sample was weighed and transferred to a tube together with 25 mg zirconium oxide beads and 200 μL acetonitrile/methanol (8/2) containing 10 μL internal standards. The sample was centrifuged at 13500 g for 20 min at 4</w:t>
      </w:r>
      <w:r w:rsidR="00F9304A" w:rsidRPr="00244CD2">
        <w:rPr>
          <w:rFonts w:ascii="Book Antiqua" w:hAnsi="Book Antiqua" w:cs="Book Antiqua"/>
          <w:noProof/>
          <w:lang w:eastAsia="zh-CN"/>
        </w:rPr>
        <w:t xml:space="preserve"> </w:t>
      </w:r>
      <w:r w:rsidRPr="00244CD2">
        <w:rPr>
          <w:rFonts w:ascii="Book Antiqua" w:eastAsia="Book Antiqua" w:hAnsi="Book Antiqua" w:cs="Book Antiqua"/>
          <w:noProof/>
        </w:rPr>
        <w:t xml:space="preserve">°C after homogenization. Then, 10 μL supernatant was diluted with 90 μL of the </w:t>
      </w:r>
      <w:r w:rsidRPr="00244CD2">
        <w:rPr>
          <w:rFonts w:ascii="Book Antiqua" w:eastAsia="Book Antiqua" w:hAnsi="Book Antiqua" w:cs="Book Antiqua"/>
          <w:noProof/>
        </w:rPr>
        <w:lastRenderedPageBreak/>
        <w:t xml:space="preserve">mixture containing </w:t>
      </w:r>
      <w:r w:rsidR="00E12F59" w:rsidRPr="00244CD2">
        <w:rPr>
          <w:rFonts w:ascii="Book Antiqua" w:eastAsia="Book Antiqua" w:hAnsi="Book Antiqua" w:cs="Book Antiqua"/>
          <w:noProof/>
        </w:rPr>
        <w:t xml:space="preserve">the </w:t>
      </w:r>
      <w:r w:rsidRPr="00244CD2">
        <w:rPr>
          <w:rFonts w:ascii="Book Antiqua" w:eastAsia="Book Antiqua" w:hAnsi="Book Antiqua" w:cs="Book Antiqua"/>
          <w:noProof/>
        </w:rPr>
        <w:t xml:space="preserve">equal amount of acetonitrile/methanol (8/2) and ultrapure water. After centrifugation, the supernatant was used to quantitate the </w:t>
      </w:r>
      <w:r w:rsidR="00D85377" w:rsidRPr="00244CD2">
        <w:rPr>
          <w:rFonts w:ascii="Book Antiqua" w:eastAsia="Book Antiqua" w:hAnsi="Book Antiqua" w:cs="Book Antiqua"/>
          <w:noProof/>
        </w:rPr>
        <w:t>BAs</w:t>
      </w:r>
      <w:r w:rsidRPr="00244CD2">
        <w:rPr>
          <w:rFonts w:ascii="Book Antiqua" w:eastAsia="Book Antiqua" w:hAnsi="Book Antiqua" w:cs="Book Antiqua"/>
          <w:noProof/>
        </w:rPr>
        <w:t xml:space="preserve"> with the ultraperformance liquid chromatography coupled to tandem mass spectrometry (UPLC-MS/MS) system (ACQUITY UPLC-Xevo TQ-S, Waters Corp., MA, </w:t>
      </w:r>
      <w:r w:rsidR="00F9304A" w:rsidRPr="00244CD2">
        <w:rPr>
          <w:rFonts w:ascii="Book Antiqua" w:eastAsia="Book Antiqua" w:hAnsi="Book Antiqua" w:cs="Book Antiqua"/>
          <w:noProof/>
        </w:rPr>
        <w:t>U</w:t>
      </w:r>
      <w:r w:rsidR="00F9304A" w:rsidRPr="00244CD2">
        <w:rPr>
          <w:rFonts w:ascii="Book Antiqua" w:hAnsi="Book Antiqua" w:cs="Book Antiqua"/>
          <w:noProof/>
          <w:lang w:eastAsia="zh-CN"/>
        </w:rPr>
        <w:t>nited States</w:t>
      </w:r>
      <w:r w:rsidRPr="00244CD2">
        <w:rPr>
          <w:rFonts w:ascii="Book Antiqua" w:eastAsia="Book Antiqua" w:hAnsi="Book Antiqua" w:cs="Book Antiqua"/>
          <w:noProof/>
        </w:rPr>
        <w:t>).</w:t>
      </w:r>
    </w:p>
    <w:p w14:paraId="5CFB37E1" w14:textId="77777777" w:rsidR="00F9304A" w:rsidRPr="00244CD2" w:rsidRDefault="00F9304A" w:rsidP="00244CD2">
      <w:pPr>
        <w:snapToGrid w:val="0"/>
        <w:spacing w:line="360" w:lineRule="auto"/>
        <w:jc w:val="both"/>
        <w:rPr>
          <w:rFonts w:ascii="Book Antiqua" w:hAnsi="Book Antiqua" w:cs="Book Antiqua"/>
          <w:b/>
          <w:bCs/>
          <w:noProof/>
          <w:lang w:eastAsia="zh-CN"/>
        </w:rPr>
      </w:pPr>
    </w:p>
    <w:p w14:paraId="2C9B96C5"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bCs/>
          <w:noProof/>
        </w:rPr>
        <w:t>UPLC-MS/MS analysis:</w:t>
      </w:r>
      <w:r w:rsidRPr="00244CD2">
        <w:rPr>
          <w:rFonts w:ascii="Book Antiqua" w:eastAsia="Book Antiqua" w:hAnsi="Book Antiqua" w:cs="Book Antiqua"/>
          <w:noProof/>
        </w:rPr>
        <w:t xml:space="preserve"> Each sample was injected splitless into an ACQUITY UPLC Cortecs C18 1.6 μM VanGuard precolumn (2.1</w:t>
      </w:r>
      <w:r w:rsidR="00C321EE" w:rsidRPr="00244CD2">
        <w:rPr>
          <w:rFonts w:ascii="Book Antiqua" w:hAnsi="Book Antiqua" w:cs="Book Antiqua"/>
          <w:noProof/>
          <w:lang w:eastAsia="zh-CN"/>
        </w:rPr>
        <w:t xml:space="preserve"> </w:t>
      </w:r>
      <w:r w:rsidR="00094644" w:rsidRPr="00244CD2">
        <w:rPr>
          <w:rFonts w:ascii="Book Antiqua" w:eastAsia="Book Antiqua" w:hAnsi="Book Antiqua" w:cs="Book Antiqua"/>
          <w:noProof/>
        </w:rPr>
        <w:t xml:space="preserve">mm </w:t>
      </w:r>
      <w:r w:rsidRPr="00244CD2">
        <w:rPr>
          <w:rFonts w:ascii="Book Antiqua" w:eastAsia="Book Antiqua" w:hAnsi="Book Antiqua" w:cs="Book Antiqua"/>
          <w:noProof/>
        </w:rPr>
        <w:t>×</w:t>
      </w:r>
      <w:r w:rsidR="00C321EE" w:rsidRPr="00244CD2">
        <w:rPr>
          <w:rFonts w:ascii="Book Antiqua" w:hAnsi="Book Antiqua" w:cs="Book Antiqua"/>
          <w:noProof/>
          <w:lang w:eastAsia="zh-CN"/>
        </w:rPr>
        <w:t xml:space="preserve"> </w:t>
      </w:r>
      <w:r w:rsidRPr="00244CD2">
        <w:rPr>
          <w:rFonts w:ascii="Book Antiqua" w:eastAsia="Book Antiqua" w:hAnsi="Book Antiqua" w:cs="Book Antiqua"/>
          <w:noProof/>
        </w:rPr>
        <w:t xml:space="preserve">5 mm) and an ACQUITY UPLC Cortecs C18 1.6 μM analytical column (2.1 </w:t>
      </w:r>
      <w:r w:rsidR="00094644" w:rsidRPr="00244CD2">
        <w:rPr>
          <w:rFonts w:ascii="Book Antiqua" w:eastAsia="Book Antiqua" w:hAnsi="Book Antiqua" w:cs="Book Antiqua"/>
          <w:noProof/>
        </w:rPr>
        <w:t xml:space="preserve">mm </w:t>
      </w:r>
      <w:r w:rsidRPr="00244CD2">
        <w:rPr>
          <w:rFonts w:ascii="Book Antiqua" w:eastAsia="Book Antiqua" w:hAnsi="Book Antiqua" w:cs="Book Antiqua"/>
          <w:noProof/>
        </w:rPr>
        <w:t>× 100 mm). The mobile phases consisted of 10 mmol/L ammonium acetate with 0.25% acetate acid (mobile phase A) and acetonitrile/methanol/isopropanol (8/1/1) (mobile phase B). The flow rate was 0.40 mL/min with the following mobile phase gradient: 0</w:t>
      </w:r>
      <w:r w:rsidR="00325588" w:rsidRPr="00244CD2">
        <w:rPr>
          <w:rFonts w:ascii="Book Antiqua" w:eastAsia="Book Antiqua" w:hAnsi="Book Antiqua" w:cs="Book Antiqua"/>
          <w:noProof/>
        </w:rPr>
        <w:t>-</w:t>
      </w:r>
      <w:r w:rsidRPr="00244CD2">
        <w:rPr>
          <w:rFonts w:ascii="Book Antiqua" w:eastAsia="Book Antiqua" w:hAnsi="Book Antiqua" w:cs="Book Antiqua"/>
          <w:noProof/>
        </w:rPr>
        <w:t>0.3 min (5% B), 0.3</w:t>
      </w:r>
      <w:r w:rsidR="00325588" w:rsidRPr="00244CD2">
        <w:rPr>
          <w:rFonts w:ascii="Book Antiqua" w:eastAsia="Book Antiqua" w:hAnsi="Book Antiqua" w:cs="Book Antiqua"/>
          <w:noProof/>
        </w:rPr>
        <w:t>-</w:t>
      </w:r>
      <w:r w:rsidRPr="00244CD2">
        <w:rPr>
          <w:rFonts w:ascii="Book Antiqua" w:eastAsia="Book Antiqua" w:hAnsi="Book Antiqua" w:cs="Book Antiqua"/>
          <w:noProof/>
        </w:rPr>
        <w:t>0.5 min (5</w:t>
      </w:r>
      <w:r w:rsidR="00C321EE" w:rsidRPr="00244CD2">
        <w:rPr>
          <w:rFonts w:ascii="Book Antiqua" w:eastAsia="Book Antiqua" w:hAnsi="Book Antiqua" w:cs="Book Antiqua"/>
          <w:noProof/>
        </w:rPr>
        <w:t>%</w:t>
      </w:r>
      <w:r w:rsidR="009147A5" w:rsidRPr="00244CD2">
        <w:rPr>
          <w:rFonts w:ascii="Book Antiqua" w:eastAsia="Book Antiqua" w:hAnsi="Book Antiqua" w:cs="Book Antiqua"/>
          <w:noProof/>
        </w:rPr>
        <w:t>-</w:t>
      </w:r>
      <w:r w:rsidRPr="00244CD2">
        <w:rPr>
          <w:rFonts w:ascii="Book Antiqua" w:eastAsia="Book Antiqua" w:hAnsi="Book Antiqua" w:cs="Book Antiqua"/>
          <w:noProof/>
        </w:rPr>
        <w:t>10% B), 0.5</w:t>
      </w:r>
      <w:r w:rsidR="00325588" w:rsidRPr="00244CD2">
        <w:rPr>
          <w:rFonts w:ascii="Book Antiqua" w:eastAsia="Book Antiqua" w:hAnsi="Book Antiqua" w:cs="Book Antiqua"/>
          <w:noProof/>
        </w:rPr>
        <w:t>-</w:t>
      </w:r>
      <w:r w:rsidRPr="00244CD2">
        <w:rPr>
          <w:rFonts w:ascii="Book Antiqua" w:eastAsia="Book Antiqua" w:hAnsi="Book Antiqua" w:cs="Book Antiqua"/>
          <w:noProof/>
        </w:rPr>
        <w:t>2 min (10</w:t>
      </w:r>
      <w:r w:rsidR="00C321EE" w:rsidRPr="00244CD2">
        <w:rPr>
          <w:rFonts w:ascii="Book Antiqua" w:eastAsia="Book Antiqua" w:hAnsi="Book Antiqua" w:cs="Book Antiqua"/>
          <w:noProof/>
        </w:rPr>
        <w:t>%</w:t>
      </w:r>
      <w:r w:rsidRPr="00244CD2">
        <w:rPr>
          <w:rFonts w:ascii="Book Antiqua" w:eastAsia="Book Antiqua" w:hAnsi="Book Antiqua" w:cs="Book Antiqua"/>
          <w:noProof/>
        </w:rPr>
        <w:t>-15% B), 2</w:t>
      </w:r>
      <w:r w:rsidR="00325588" w:rsidRPr="00244CD2">
        <w:rPr>
          <w:rFonts w:ascii="Book Antiqua" w:eastAsia="Book Antiqua" w:hAnsi="Book Antiqua" w:cs="Book Antiqua"/>
          <w:noProof/>
        </w:rPr>
        <w:t>-</w:t>
      </w:r>
      <w:r w:rsidRPr="00244CD2">
        <w:rPr>
          <w:rFonts w:ascii="Book Antiqua" w:eastAsia="Book Antiqua" w:hAnsi="Book Antiqua" w:cs="Book Antiqua"/>
          <w:noProof/>
        </w:rPr>
        <w:t>3 min (15</w:t>
      </w:r>
      <w:r w:rsidR="00C321EE" w:rsidRPr="00244CD2">
        <w:rPr>
          <w:rFonts w:ascii="Book Antiqua" w:eastAsia="Book Antiqua" w:hAnsi="Book Antiqua" w:cs="Book Antiqua"/>
          <w:noProof/>
        </w:rPr>
        <w:t>%</w:t>
      </w:r>
      <w:r w:rsidR="00325588" w:rsidRPr="00244CD2">
        <w:rPr>
          <w:rFonts w:ascii="Book Antiqua" w:eastAsia="Book Antiqua" w:hAnsi="Book Antiqua" w:cs="Book Antiqua"/>
          <w:noProof/>
        </w:rPr>
        <w:t>-</w:t>
      </w:r>
      <w:r w:rsidRPr="00244CD2">
        <w:rPr>
          <w:rFonts w:ascii="Book Antiqua" w:eastAsia="Book Antiqua" w:hAnsi="Book Antiqua" w:cs="Book Antiqua"/>
          <w:noProof/>
        </w:rPr>
        <w:t>30% B), 3</w:t>
      </w:r>
      <w:r w:rsidR="00325588" w:rsidRPr="00244CD2">
        <w:rPr>
          <w:rFonts w:ascii="Book Antiqua" w:eastAsia="Book Antiqua" w:hAnsi="Book Antiqua" w:cs="Book Antiqua"/>
          <w:noProof/>
        </w:rPr>
        <w:t>-</w:t>
      </w:r>
      <w:r w:rsidRPr="00244CD2">
        <w:rPr>
          <w:rFonts w:ascii="Book Antiqua" w:eastAsia="Book Antiqua" w:hAnsi="Book Antiqua" w:cs="Book Antiqua"/>
          <w:noProof/>
        </w:rPr>
        <w:t>6 min (30% B), 6</w:t>
      </w:r>
      <w:r w:rsidR="00325588" w:rsidRPr="00244CD2">
        <w:rPr>
          <w:rFonts w:ascii="Book Antiqua" w:eastAsia="Book Antiqua" w:hAnsi="Book Antiqua" w:cs="Book Antiqua"/>
          <w:noProof/>
        </w:rPr>
        <w:t>-</w:t>
      </w:r>
      <w:r w:rsidRPr="00244CD2">
        <w:rPr>
          <w:rFonts w:ascii="Book Antiqua" w:eastAsia="Book Antiqua" w:hAnsi="Book Antiqua" w:cs="Book Antiqua"/>
          <w:noProof/>
        </w:rPr>
        <w:t>8 min (30</w:t>
      </w:r>
      <w:r w:rsidR="00C321EE" w:rsidRPr="00244CD2">
        <w:rPr>
          <w:rFonts w:ascii="Book Antiqua" w:eastAsia="Book Antiqua" w:hAnsi="Book Antiqua" w:cs="Book Antiqua"/>
          <w:noProof/>
        </w:rPr>
        <w:t>%</w:t>
      </w:r>
      <w:r w:rsidR="009147A5" w:rsidRPr="00244CD2">
        <w:rPr>
          <w:rFonts w:ascii="Book Antiqua" w:eastAsia="Book Antiqua" w:hAnsi="Book Antiqua" w:cs="Book Antiqua"/>
          <w:noProof/>
        </w:rPr>
        <w:t>-</w:t>
      </w:r>
      <w:r w:rsidRPr="00244CD2">
        <w:rPr>
          <w:rFonts w:ascii="Book Antiqua" w:eastAsia="Book Antiqua" w:hAnsi="Book Antiqua" w:cs="Book Antiqua"/>
          <w:noProof/>
        </w:rPr>
        <w:t>35% B), 8</w:t>
      </w:r>
      <w:r w:rsidR="00325588" w:rsidRPr="00244CD2">
        <w:rPr>
          <w:rFonts w:ascii="Book Antiqua" w:eastAsia="Book Antiqua" w:hAnsi="Book Antiqua" w:cs="Book Antiqua"/>
          <w:noProof/>
        </w:rPr>
        <w:t>-</w:t>
      </w:r>
      <w:r w:rsidRPr="00244CD2">
        <w:rPr>
          <w:rFonts w:ascii="Book Antiqua" w:eastAsia="Book Antiqua" w:hAnsi="Book Antiqua" w:cs="Book Antiqua"/>
          <w:noProof/>
        </w:rPr>
        <w:t>9 min (35</w:t>
      </w:r>
      <w:r w:rsidR="00C321EE" w:rsidRPr="00244CD2">
        <w:rPr>
          <w:rFonts w:ascii="Book Antiqua" w:eastAsia="Book Antiqua" w:hAnsi="Book Antiqua" w:cs="Book Antiqua"/>
          <w:noProof/>
        </w:rPr>
        <w:t>%</w:t>
      </w:r>
      <w:r w:rsidR="00325588" w:rsidRPr="00244CD2">
        <w:rPr>
          <w:rFonts w:ascii="Book Antiqua" w:eastAsia="Book Antiqua" w:hAnsi="Book Antiqua" w:cs="Book Antiqua"/>
          <w:noProof/>
        </w:rPr>
        <w:t>-</w:t>
      </w:r>
      <w:r w:rsidRPr="00244CD2">
        <w:rPr>
          <w:rFonts w:ascii="Book Antiqua" w:eastAsia="Book Antiqua" w:hAnsi="Book Antiqua" w:cs="Book Antiqua"/>
          <w:noProof/>
        </w:rPr>
        <w:t>40% B), 9</w:t>
      </w:r>
      <w:r w:rsidR="00325588" w:rsidRPr="00244CD2">
        <w:rPr>
          <w:rFonts w:ascii="Book Antiqua" w:eastAsia="Book Antiqua" w:hAnsi="Book Antiqua" w:cs="Book Antiqua"/>
          <w:noProof/>
        </w:rPr>
        <w:t>-</w:t>
      </w:r>
      <w:r w:rsidRPr="00244CD2">
        <w:rPr>
          <w:rFonts w:ascii="Book Antiqua" w:eastAsia="Book Antiqua" w:hAnsi="Book Antiqua" w:cs="Book Antiqua"/>
          <w:noProof/>
        </w:rPr>
        <w:t>10 min (40% B), 10</w:t>
      </w:r>
      <w:r w:rsidR="00325588" w:rsidRPr="00244CD2">
        <w:rPr>
          <w:rFonts w:ascii="Book Antiqua" w:eastAsia="Book Antiqua" w:hAnsi="Book Antiqua" w:cs="Book Antiqua"/>
          <w:noProof/>
        </w:rPr>
        <w:t>-</w:t>
      </w:r>
      <w:r w:rsidRPr="00244CD2">
        <w:rPr>
          <w:rFonts w:ascii="Book Antiqua" w:eastAsia="Book Antiqua" w:hAnsi="Book Antiqua" w:cs="Book Antiqua"/>
          <w:noProof/>
        </w:rPr>
        <w:t>15 min (40</w:t>
      </w:r>
      <w:r w:rsidR="00C321EE" w:rsidRPr="00244CD2">
        <w:rPr>
          <w:rFonts w:ascii="Book Antiqua" w:eastAsia="Book Antiqua" w:hAnsi="Book Antiqua" w:cs="Book Antiqua"/>
          <w:noProof/>
        </w:rPr>
        <w:t>%</w:t>
      </w:r>
      <w:r w:rsidR="00325588" w:rsidRPr="00244CD2">
        <w:rPr>
          <w:rFonts w:ascii="Book Antiqua" w:eastAsia="Book Antiqua" w:hAnsi="Book Antiqua" w:cs="Book Antiqua"/>
          <w:noProof/>
        </w:rPr>
        <w:t>-</w:t>
      </w:r>
      <w:r w:rsidRPr="00244CD2">
        <w:rPr>
          <w:rFonts w:ascii="Book Antiqua" w:eastAsia="Book Antiqua" w:hAnsi="Book Antiqua" w:cs="Book Antiqua"/>
          <w:noProof/>
        </w:rPr>
        <w:t>75% B), 15</w:t>
      </w:r>
      <w:r w:rsidR="00325588" w:rsidRPr="00244CD2">
        <w:rPr>
          <w:rFonts w:ascii="Book Antiqua" w:eastAsia="Book Antiqua" w:hAnsi="Book Antiqua" w:cs="Book Antiqua"/>
          <w:noProof/>
        </w:rPr>
        <w:t>-</w:t>
      </w:r>
      <w:r w:rsidRPr="00244CD2">
        <w:rPr>
          <w:rFonts w:ascii="Book Antiqua" w:eastAsia="Book Antiqua" w:hAnsi="Book Antiqua" w:cs="Book Antiqua"/>
          <w:noProof/>
        </w:rPr>
        <w:t>15.5 min (75</w:t>
      </w:r>
      <w:r w:rsidR="00C321EE" w:rsidRPr="00244CD2">
        <w:rPr>
          <w:rFonts w:ascii="Book Antiqua" w:eastAsia="Book Antiqua" w:hAnsi="Book Antiqua" w:cs="Book Antiqua"/>
          <w:noProof/>
        </w:rPr>
        <w:t>%</w:t>
      </w:r>
      <w:r w:rsidR="00325588" w:rsidRPr="00244CD2">
        <w:rPr>
          <w:rFonts w:ascii="Book Antiqua" w:eastAsia="Book Antiqua" w:hAnsi="Book Antiqua" w:cs="Book Antiqua"/>
          <w:noProof/>
        </w:rPr>
        <w:t>-</w:t>
      </w:r>
      <w:r w:rsidRPr="00244CD2">
        <w:rPr>
          <w:rFonts w:ascii="Book Antiqua" w:eastAsia="Book Antiqua" w:hAnsi="Book Antiqua" w:cs="Book Antiqua"/>
          <w:noProof/>
        </w:rPr>
        <w:t>100% B), 15.5</w:t>
      </w:r>
      <w:r w:rsidR="00325588" w:rsidRPr="00244CD2">
        <w:rPr>
          <w:rFonts w:ascii="Book Antiqua" w:eastAsia="Book Antiqua" w:hAnsi="Book Antiqua" w:cs="Book Antiqua"/>
          <w:noProof/>
        </w:rPr>
        <w:t>-</w:t>
      </w:r>
      <w:r w:rsidRPr="00244CD2">
        <w:rPr>
          <w:rFonts w:ascii="Book Antiqua" w:eastAsia="Book Antiqua" w:hAnsi="Book Antiqua" w:cs="Book Antiqua"/>
          <w:noProof/>
        </w:rPr>
        <w:t>16.2 min (100% B), 16.2</w:t>
      </w:r>
      <w:r w:rsidR="00325588" w:rsidRPr="00244CD2">
        <w:rPr>
          <w:rFonts w:ascii="Book Antiqua" w:eastAsia="Book Antiqua" w:hAnsi="Book Antiqua" w:cs="Book Antiqua"/>
          <w:noProof/>
        </w:rPr>
        <w:t>-</w:t>
      </w:r>
      <w:r w:rsidRPr="00244CD2">
        <w:rPr>
          <w:rFonts w:ascii="Book Antiqua" w:eastAsia="Book Antiqua" w:hAnsi="Book Antiqua" w:cs="Book Antiqua"/>
          <w:noProof/>
        </w:rPr>
        <w:t>16.3 min (100</w:t>
      </w:r>
      <w:r w:rsidR="00C321EE" w:rsidRPr="00244CD2">
        <w:rPr>
          <w:rFonts w:ascii="Book Antiqua" w:eastAsia="Book Antiqua" w:hAnsi="Book Antiqua" w:cs="Book Antiqua"/>
          <w:noProof/>
        </w:rPr>
        <w:t>%</w:t>
      </w:r>
      <w:r w:rsidR="00325588" w:rsidRPr="00244CD2">
        <w:rPr>
          <w:rFonts w:ascii="Book Antiqua" w:eastAsia="Book Antiqua" w:hAnsi="Book Antiqua" w:cs="Book Antiqua"/>
          <w:noProof/>
        </w:rPr>
        <w:t>-</w:t>
      </w:r>
      <w:r w:rsidRPr="00244CD2">
        <w:rPr>
          <w:rFonts w:ascii="Book Antiqua" w:eastAsia="Book Antiqua" w:hAnsi="Book Antiqua" w:cs="Book Antiqua"/>
          <w:noProof/>
        </w:rPr>
        <w:t>5% B), 16.3</w:t>
      </w:r>
      <w:r w:rsidR="00325588" w:rsidRPr="00244CD2">
        <w:rPr>
          <w:rFonts w:ascii="Book Antiqua" w:eastAsia="Book Antiqua" w:hAnsi="Book Antiqua" w:cs="Book Antiqua"/>
          <w:noProof/>
        </w:rPr>
        <w:t>-</w:t>
      </w:r>
      <w:r w:rsidRPr="00244CD2">
        <w:rPr>
          <w:rFonts w:ascii="Book Antiqua" w:eastAsia="Book Antiqua" w:hAnsi="Book Antiqua" w:cs="Book Antiqua"/>
          <w:noProof/>
        </w:rPr>
        <w:t xml:space="preserve">17 min (5% B). The column temperature was 30 °C and the injection volume of each sample was 5 μL. The capillary voltage was 2.0 kV in negative ion mode. The source temperature was maintained at 150 °C and the desolvation gas temperature was maintained at 550 °C. </w:t>
      </w:r>
    </w:p>
    <w:p w14:paraId="67F3C9D9" w14:textId="77777777" w:rsidR="00C321EE" w:rsidRPr="00244CD2" w:rsidRDefault="00C321EE" w:rsidP="00244CD2">
      <w:pPr>
        <w:snapToGrid w:val="0"/>
        <w:spacing w:line="360" w:lineRule="auto"/>
        <w:jc w:val="both"/>
        <w:rPr>
          <w:rFonts w:ascii="Book Antiqua" w:hAnsi="Book Antiqua" w:cs="Book Antiqua"/>
          <w:b/>
          <w:bCs/>
          <w:noProof/>
          <w:lang w:eastAsia="zh-CN"/>
        </w:rPr>
      </w:pPr>
    </w:p>
    <w:p w14:paraId="0E937236" w14:textId="272D254F" w:rsidR="00A77B3E" w:rsidRPr="00244CD2" w:rsidRDefault="007356D0" w:rsidP="00244CD2">
      <w:pPr>
        <w:snapToGrid w:val="0"/>
        <w:spacing w:line="360" w:lineRule="auto"/>
        <w:jc w:val="both"/>
        <w:rPr>
          <w:noProof/>
        </w:rPr>
      </w:pPr>
      <w:r w:rsidRPr="00244CD2">
        <w:rPr>
          <w:rFonts w:ascii="Book Antiqua" w:eastAsia="Book Antiqua" w:hAnsi="Book Antiqua" w:cs="Book Antiqua"/>
          <w:b/>
          <w:bCs/>
          <w:noProof/>
        </w:rPr>
        <w:t xml:space="preserve">Data processing: </w:t>
      </w:r>
      <w:r w:rsidRPr="00244CD2">
        <w:rPr>
          <w:rFonts w:ascii="Book Antiqua" w:eastAsia="Book Antiqua" w:hAnsi="Book Antiqua" w:cs="Book Antiqua"/>
          <w:noProof/>
        </w:rPr>
        <w:t>The raw data files generated by UPLC-MS/MS were processed using MassLynx software (v4.1</w:t>
      </w:r>
      <w:r w:rsidR="001521CA" w:rsidRPr="00244CD2">
        <w:rPr>
          <w:rFonts w:ascii="Book Antiqua" w:eastAsia="Book Antiqua" w:hAnsi="Book Antiqua" w:cs="Book Antiqua"/>
          <w:noProof/>
        </w:rPr>
        <w:t>;</w:t>
      </w:r>
      <w:r w:rsidRPr="00244CD2">
        <w:rPr>
          <w:rFonts w:ascii="Book Antiqua" w:eastAsia="Book Antiqua" w:hAnsi="Book Antiqua" w:cs="Book Antiqua"/>
          <w:noProof/>
        </w:rPr>
        <w:t xml:space="preserve"> Waters, MA, </w:t>
      </w:r>
      <w:r w:rsidR="003D4987" w:rsidRPr="00244CD2">
        <w:rPr>
          <w:rFonts w:ascii="Book Antiqua" w:eastAsia="Book Antiqua" w:hAnsi="Book Antiqua" w:cs="Book Antiqua"/>
          <w:noProof/>
        </w:rPr>
        <w:t>U</w:t>
      </w:r>
      <w:r w:rsidR="003D4987" w:rsidRPr="00244CD2">
        <w:rPr>
          <w:rFonts w:ascii="Book Antiqua" w:hAnsi="Book Antiqua" w:cs="Book Antiqua"/>
          <w:noProof/>
          <w:lang w:eastAsia="zh-CN"/>
        </w:rPr>
        <w:t>nited States</w:t>
      </w:r>
      <w:r w:rsidRPr="00244CD2">
        <w:rPr>
          <w:rFonts w:ascii="Book Antiqua" w:eastAsia="Book Antiqua" w:hAnsi="Book Antiqua" w:cs="Book Antiqua"/>
          <w:noProof/>
        </w:rPr>
        <w:t xml:space="preserve">) to perform peak integration, calibration, and quantitation for BAs in the samples. The </w:t>
      </w:r>
      <w:r w:rsidR="00D85377" w:rsidRPr="00244CD2">
        <w:rPr>
          <w:rFonts w:ascii="Book Antiqua" w:eastAsia="Book Antiqua" w:hAnsi="Book Antiqua" w:cs="Book Antiqua"/>
          <w:noProof/>
        </w:rPr>
        <w:t>BAs</w:t>
      </w:r>
      <w:r w:rsidRPr="00244CD2">
        <w:rPr>
          <w:rFonts w:ascii="Book Antiqua" w:eastAsia="Book Antiqua" w:hAnsi="Book Antiqua" w:cs="Book Antiqua"/>
          <w:noProof/>
        </w:rPr>
        <w:t xml:space="preserve"> analysis was conducted by </w:t>
      </w:r>
      <w:r w:rsidR="004F5507" w:rsidRPr="00244CD2">
        <w:rPr>
          <w:rFonts w:ascii="Book Antiqua" w:eastAsia="Book Antiqua" w:hAnsi="Book Antiqua" w:cs="Book Antiqua"/>
          <w:noProof/>
        </w:rPr>
        <w:t xml:space="preserve">the </w:t>
      </w:r>
      <w:r w:rsidRPr="00244CD2">
        <w:rPr>
          <w:rFonts w:ascii="Book Antiqua" w:eastAsia="Book Antiqua" w:hAnsi="Book Antiqua" w:cs="Book Antiqua"/>
          <w:noProof/>
        </w:rPr>
        <w:t>Metabo-profile Biotechnology (Shanghai, China).</w:t>
      </w:r>
    </w:p>
    <w:p w14:paraId="49913611" w14:textId="77777777" w:rsidR="00A77B3E" w:rsidRPr="00244CD2" w:rsidRDefault="00A77B3E" w:rsidP="00244CD2">
      <w:pPr>
        <w:snapToGrid w:val="0"/>
        <w:spacing w:line="360" w:lineRule="auto"/>
        <w:jc w:val="both"/>
        <w:rPr>
          <w:noProof/>
        </w:rPr>
      </w:pPr>
    </w:p>
    <w:p w14:paraId="62D409B5"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bCs/>
          <w:i/>
          <w:iCs/>
          <w:noProof/>
        </w:rPr>
        <w:t>16S rRNA gene sequencing analysis</w:t>
      </w:r>
    </w:p>
    <w:p w14:paraId="7B85554B" w14:textId="052D1CC6" w:rsidR="00A77B3E" w:rsidRPr="00244CD2" w:rsidRDefault="007356D0" w:rsidP="00244CD2">
      <w:pPr>
        <w:snapToGrid w:val="0"/>
        <w:spacing w:line="360" w:lineRule="auto"/>
        <w:jc w:val="both"/>
        <w:rPr>
          <w:noProof/>
        </w:rPr>
      </w:pPr>
      <w:r w:rsidRPr="00244CD2">
        <w:rPr>
          <w:rFonts w:ascii="Book Antiqua" w:eastAsia="Book Antiqua" w:hAnsi="Book Antiqua" w:cs="Book Antiqua"/>
          <w:noProof/>
        </w:rPr>
        <w:t xml:space="preserve">Microbial DNA was extracted from the fecal samples of the subjects using a QIAamp Fast DNA Stool Mini Kit (Qiagen, Valencia, </w:t>
      </w:r>
      <w:r w:rsidR="00554C01" w:rsidRPr="00244CD2">
        <w:rPr>
          <w:rFonts w:ascii="Book Antiqua" w:eastAsia="Book Antiqua" w:hAnsi="Book Antiqua" w:cs="Book Antiqua"/>
          <w:noProof/>
        </w:rPr>
        <w:t>U</w:t>
      </w:r>
      <w:r w:rsidR="00554C01" w:rsidRPr="00244CD2">
        <w:rPr>
          <w:rFonts w:ascii="Book Antiqua" w:hAnsi="Book Antiqua" w:cs="Book Antiqua"/>
          <w:noProof/>
          <w:lang w:eastAsia="zh-CN"/>
        </w:rPr>
        <w:t>nited States</w:t>
      </w:r>
      <w:r w:rsidRPr="00244CD2">
        <w:rPr>
          <w:rFonts w:ascii="Book Antiqua" w:eastAsia="Book Antiqua" w:hAnsi="Book Antiqua" w:cs="Book Antiqua"/>
          <w:noProof/>
        </w:rPr>
        <w:t xml:space="preserve">). </w:t>
      </w:r>
      <w:r w:rsidR="00554C01" w:rsidRPr="00244CD2">
        <w:rPr>
          <w:rFonts w:ascii="Book Antiqua" w:eastAsia="Book Antiqua" w:hAnsi="Book Antiqua" w:cs="Book Antiqua"/>
          <w:noProof/>
        </w:rPr>
        <w:t xml:space="preserve">DNA quality was determined by 1% agarose gel electrophoresis and Thermo NanoDrop 2000 (Thermo </w:t>
      </w:r>
      <w:r w:rsidR="001521CA" w:rsidRPr="00244CD2">
        <w:rPr>
          <w:rFonts w:ascii="Book Antiqua" w:eastAsia="Book Antiqua" w:hAnsi="Book Antiqua" w:cs="Book Antiqua"/>
          <w:noProof/>
        </w:rPr>
        <w:t xml:space="preserve">Fisher </w:t>
      </w:r>
      <w:r w:rsidR="00554C01" w:rsidRPr="00244CD2">
        <w:rPr>
          <w:rFonts w:ascii="Book Antiqua" w:eastAsia="Book Antiqua" w:hAnsi="Book Antiqua" w:cs="Book Antiqua"/>
          <w:noProof/>
        </w:rPr>
        <w:t xml:space="preserve">Scientific, MA, United States). </w:t>
      </w:r>
      <w:r w:rsidRPr="00244CD2">
        <w:rPr>
          <w:rFonts w:ascii="Book Antiqua" w:eastAsia="Book Antiqua" w:hAnsi="Book Antiqua" w:cs="Book Antiqua"/>
          <w:noProof/>
        </w:rPr>
        <w:t>The amplification of the hypervariable V3-V4 region was conducted using primers 341F (5’-CCTACGGGRSGCAGCAG-3’) and 806R (5’-</w:t>
      </w:r>
      <w:r w:rsidRPr="00244CD2">
        <w:rPr>
          <w:rFonts w:ascii="Book Antiqua" w:eastAsia="Book Antiqua" w:hAnsi="Book Antiqua" w:cs="Book Antiqua"/>
          <w:noProof/>
        </w:rPr>
        <w:lastRenderedPageBreak/>
        <w:t xml:space="preserve">GGACTACVVGGGTATCTAATC-3’). The KAPA HiFi Hotstart ReadyMix PCR Kit (Kapa Biosystems, Massachusetts, </w:t>
      </w:r>
      <w:r w:rsidR="00554C01" w:rsidRPr="00244CD2">
        <w:rPr>
          <w:rFonts w:ascii="Book Antiqua" w:eastAsia="Book Antiqua" w:hAnsi="Book Antiqua" w:cs="Book Antiqua"/>
          <w:noProof/>
        </w:rPr>
        <w:t>U</w:t>
      </w:r>
      <w:r w:rsidR="00554C01" w:rsidRPr="00244CD2">
        <w:rPr>
          <w:rFonts w:ascii="Book Antiqua" w:hAnsi="Book Antiqua" w:cs="Book Antiqua"/>
          <w:noProof/>
          <w:lang w:eastAsia="zh-CN"/>
        </w:rPr>
        <w:t>nited States</w:t>
      </w:r>
      <w:r w:rsidRPr="00244CD2">
        <w:rPr>
          <w:rFonts w:ascii="Book Antiqua" w:eastAsia="Book Antiqua" w:hAnsi="Book Antiqua" w:cs="Book Antiqua"/>
          <w:noProof/>
        </w:rPr>
        <w:t>) was used for PCR,</w:t>
      </w:r>
      <w:r w:rsidR="00554C01" w:rsidRPr="00244CD2">
        <w:rPr>
          <w:rFonts w:ascii="Book Antiqua" w:eastAsia="Book Antiqua" w:hAnsi="Book Antiqua" w:cs="Book Antiqua"/>
          <w:noProof/>
        </w:rPr>
        <w:t xml:space="preserve"> containing 15 μL of 2</w:t>
      </w:r>
      <w:r w:rsidR="00A64098" w:rsidRPr="00244CD2">
        <w:rPr>
          <w:rFonts w:ascii="Book Antiqua" w:hAnsi="Book Antiqua" w:cs="Book Antiqua"/>
          <w:noProof/>
          <w:lang w:eastAsia="zh-CN"/>
        </w:rPr>
        <w:t xml:space="preserve"> </w:t>
      </w:r>
      <w:r w:rsidR="00554C01" w:rsidRPr="00244CD2">
        <w:rPr>
          <w:rFonts w:ascii="Book Antiqua" w:eastAsia="Book Antiqua" w:hAnsi="Book Antiqua" w:cs="Book Antiqua"/>
          <w:noProof/>
        </w:rPr>
        <w:t>×</w:t>
      </w:r>
      <w:r w:rsidR="00A64098" w:rsidRPr="00244CD2">
        <w:rPr>
          <w:rFonts w:ascii="Book Antiqua" w:hAnsi="Book Antiqua" w:cs="Book Antiqua"/>
          <w:noProof/>
          <w:lang w:eastAsia="zh-CN"/>
        </w:rPr>
        <w:t xml:space="preserve"> </w:t>
      </w:r>
      <w:r w:rsidR="00554C01" w:rsidRPr="00244CD2">
        <w:rPr>
          <w:rFonts w:ascii="Book Antiqua" w:eastAsia="Book Antiqua" w:hAnsi="Book Antiqua" w:cs="Book Antiqua"/>
          <w:noProof/>
        </w:rPr>
        <w:t>Kapa Library Amplification ReadyMix, 1 μL forward primer, 1</w:t>
      </w:r>
      <w:r w:rsidR="001521CA" w:rsidRPr="00244CD2">
        <w:rPr>
          <w:rFonts w:ascii="Book Antiqua" w:eastAsia="Book Antiqua" w:hAnsi="Book Antiqua" w:cs="Book Antiqua"/>
          <w:noProof/>
        </w:rPr>
        <w:t xml:space="preserve"> </w:t>
      </w:r>
      <w:r w:rsidR="00554C01" w:rsidRPr="00244CD2">
        <w:rPr>
          <w:rFonts w:ascii="Book Antiqua" w:eastAsia="Book Antiqua" w:hAnsi="Book Antiqua" w:cs="Book Antiqua"/>
          <w:noProof/>
        </w:rPr>
        <w:t xml:space="preserve">μL </w:t>
      </w:r>
      <w:r w:rsidR="009B1FCA" w:rsidRPr="00244CD2">
        <w:rPr>
          <w:rFonts w:ascii="Book Antiqua" w:eastAsia="Book Antiqua" w:hAnsi="Book Antiqua" w:cs="Book Antiqua"/>
          <w:noProof/>
        </w:rPr>
        <w:t xml:space="preserve">reverse </w:t>
      </w:r>
      <w:r w:rsidR="00554C01" w:rsidRPr="00244CD2">
        <w:rPr>
          <w:rFonts w:ascii="Book Antiqua" w:eastAsia="Book Antiqua" w:hAnsi="Book Antiqua" w:cs="Book Antiqua"/>
          <w:noProof/>
        </w:rPr>
        <w:t>primer, and 50 ng template DNA. The amplicons were then extracted with 2% agarose gels and further purified using a</w:t>
      </w:r>
      <w:r w:rsidR="00080F0A" w:rsidRPr="00244CD2">
        <w:rPr>
          <w:rFonts w:ascii="Book Antiqua" w:eastAsia="Book Antiqua" w:hAnsi="Book Antiqua" w:cs="Book Antiqua"/>
          <w:noProof/>
        </w:rPr>
        <w:t>n</w:t>
      </w:r>
      <w:r w:rsidR="00554C01" w:rsidRPr="00244CD2">
        <w:rPr>
          <w:rFonts w:ascii="Book Antiqua" w:eastAsia="Book Antiqua" w:hAnsi="Book Antiqua" w:cs="Book Antiqua"/>
          <w:noProof/>
        </w:rPr>
        <w:t xml:space="preserve"> AxyPrep DNA Gel Extraction Kit (Axygen, CA, United States)</w:t>
      </w:r>
      <w:r w:rsidR="00554C01" w:rsidRPr="00244CD2">
        <w:rPr>
          <w:rFonts w:ascii="Book Antiqua" w:hAnsi="Book Antiqua" w:cs="Book Antiqua"/>
          <w:noProof/>
          <w:lang w:eastAsia="zh-CN"/>
        </w:rPr>
        <w:t xml:space="preserve">, </w:t>
      </w:r>
      <w:r w:rsidRPr="00244CD2">
        <w:rPr>
          <w:rFonts w:ascii="Book Antiqua" w:eastAsia="Book Antiqua" w:hAnsi="Book Antiqua" w:cs="Book Antiqua"/>
          <w:noProof/>
        </w:rPr>
        <w:t xml:space="preserve">and quantified using a Qubit dsDNA HS Assay Kit (Invitrogen, MA, </w:t>
      </w:r>
      <w:bookmarkStart w:id="22" w:name="OLE_LINK15"/>
      <w:bookmarkStart w:id="23" w:name="OLE_LINK16"/>
      <w:r w:rsidR="00554C01" w:rsidRPr="00244CD2">
        <w:rPr>
          <w:rFonts w:ascii="Book Antiqua" w:eastAsia="Book Antiqua" w:hAnsi="Book Antiqua" w:cs="Book Antiqua"/>
          <w:noProof/>
        </w:rPr>
        <w:t>U</w:t>
      </w:r>
      <w:r w:rsidR="00554C01" w:rsidRPr="00244CD2">
        <w:rPr>
          <w:rFonts w:ascii="Book Antiqua" w:hAnsi="Book Antiqua" w:cs="Book Antiqua"/>
          <w:noProof/>
          <w:lang w:eastAsia="zh-CN"/>
        </w:rPr>
        <w:t>nited States</w:t>
      </w:r>
      <w:bookmarkEnd w:id="22"/>
      <w:bookmarkEnd w:id="23"/>
      <w:r w:rsidRPr="00244CD2">
        <w:rPr>
          <w:rFonts w:ascii="Book Antiqua" w:eastAsia="Book Antiqua" w:hAnsi="Book Antiqua" w:cs="Book Antiqua"/>
          <w:noProof/>
        </w:rPr>
        <w:t xml:space="preserve">). After the library was constructed, sequencing was performed using the Illumina NovaSeq PE250 platform (Illumina, CA, </w:t>
      </w:r>
      <w:r w:rsidR="00554C01" w:rsidRPr="00244CD2">
        <w:rPr>
          <w:rFonts w:ascii="Book Antiqua" w:eastAsia="Book Antiqua" w:hAnsi="Book Antiqua" w:cs="Book Antiqua"/>
          <w:noProof/>
        </w:rPr>
        <w:t>U</w:t>
      </w:r>
      <w:r w:rsidR="00554C01" w:rsidRPr="00244CD2">
        <w:rPr>
          <w:rFonts w:ascii="Book Antiqua" w:hAnsi="Book Antiqua" w:cs="Book Antiqua"/>
          <w:noProof/>
          <w:lang w:eastAsia="zh-CN"/>
        </w:rPr>
        <w:t>nited States</w:t>
      </w:r>
      <w:r w:rsidRPr="00244CD2">
        <w:rPr>
          <w:rFonts w:ascii="Book Antiqua" w:eastAsia="Book Antiqua" w:hAnsi="Book Antiqua" w:cs="Book Antiqua"/>
          <w:noProof/>
        </w:rPr>
        <w:t xml:space="preserve">). Fecal 16S rRNA analysis was conducted by </w:t>
      </w:r>
      <w:r w:rsidR="004F5507" w:rsidRPr="00244CD2">
        <w:rPr>
          <w:rFonts w:ascii="Book Antiqua" w:eastAsia="Book Antiqua" w:hAnsi="Book Antiqua" w:cs="Book Antiqua"/>
          <w:noProof/>
        </w:rPr>
        <w:t xml:space="preserve">the </w:t>
      </w:r>
      <w:r w:rsidRPr="00244CD2">
        <w:rPr>
          <w:rFonts w:ascii="Book Antiqua" w:eastAsia="Book Antiqua" w:hAnsi="Book Antiqua" w:cs="Book Antiqua"/>
          <w:noProof/>
        </w:rPr>
        <w:t>Realbio Genomics Institute (Shanghai, China).</w:t>
      </w:r>
    </w:p>
    <w:p w14:paraId="452617B4" w14:textId="6864BDFA" w:rsidR="00A77B3E" w:rsidRPr="00244CD2" w:rsidRDefault="007356D0" w:rsidP="00244CD2">
      <w:pPr>
        <w:snapToGrid w:val="0"/>
        <w:spacing w:line="360" w:lineRule="auto"/>
        <w:ind w:firstLineChars="100" w:firstLine="240"/>
        <w:jc w:val="both"/>
        <w:rPr>
          <w:noProof/>
        </w:rPr>
      </w:pPr>
      <w:r w:rsidRPr="00244CD2">
        <w:rPr>
          <w:rFonts w:ascii="Book Antiqua" w:eastAsia="Book Antiqua" w:hAnsi="Book Antiqua" w:cs="Book Antiqua"/>
          <w:noProof/>
        </w:rPr>
        <w:t xml:space="preserve">Sequences with similarity ≥ 97% were defined as operational taxonomic units. Alpha-diversity was analyzed with QIIME (V1.9.1), including the Shannon and Simpson indexes to depict microbial diversity as well as the Chao1 index to depict microbial richness. Beta diversity was assessed by </w:t>
      </w:r>
      <w:r w:rsidR="00080F0A" w:rsidRPr="00244CD2">
        <w:rPr>
          <w:rFonts w:ascii="Book Antiqua" w:eastAsia="Book Antiqua" w:hAnsi="Book Antiqua" w:cs="Book Antiqua"/>
          <w:noProof/>
        </w:rPr>
        <w:t xml:space="preserve">principal coordinate analysis (PCoA) based on </w:t>
      </w:r>
      <w:r w:rsidRPr="00244CD2">
        <w:rPr>
          <w:rFonts w:ascii="Book Antiqua" w:eastAsia="Book Antiqua" w:hAnsi="Book Antiqua" w:cs="Book Antiqua"/>
          <w:noProof/>
        </w:rPr>
        <w:t xml:space="preserve">weighted and unweighted UniFrac distance </w:t>
      </w:r>
      <w:r w:rsidR="00080F0A" w:rsidRPr="00244CD2">
        <w:rPr>
          <w:rFonts w:ascii="Book Antiqua" w:eastAsia="Book Antiqua" w:hAnsi="Book Antiqua" w:cs="Book Antiqua"/>
          <w:noProof/>
        </w:rPr>
        <w:t xml:space="preserve">metrics </w:t>
      </w:r>
      <w:r w:rsidRPr="00244CD2">
        <w:rPr>
          <w:rFonts w:ascii="Book Antiqua" w:eastAsia="Book Antiqua" w:hAnsi="Book Antiqua" w:cs="Book Antiqua"/>
          <w:noProof/>
        </w:rPr>
        <w:t>analysis. The Mann-Whitney U-test was employed to compare the relative abundance of bacterial taxa between the IBS-D group and the control group after logarithmic transformation. The distinguishing features of the fecal microbiota were analyzed using linear discriminant analysis (LDA) effect size (</w:t>
      </w:r>
      <w:bookmarkStart w:id="24" w:name="OLE_LINK54"/>
      <w:bookmarkStart w:id="25" w:name="OLE_LINK55"/>
      <w:r w:rsidRPr="00244CD2">
        <w:rPr>
          <w:rFonts w:ascii="Book Antiqua" w:eastAsia="Book Antiqua" w:hAnsi="Book Antiqua" w:cs="Book Antiqua"/>
          <w:noProof/>
        </w:rPr>
        <w:t>LEfSe</w:t>
      </w:r>
      <w:bookmarkEnd w:id="24"/>
      <w:bookmarkEnd w:id="25"/>
      <w:r w:rsidRPr="00244CD2">
        <w:rPr>
          <w:rFonts w:ascii="Book Antiqua" w:eastAsia="Book Antiqua" w:hAnsi="Book Antiqua" w:cs="Book Antiqua"/>
          <w:noProof/>
        </w:rPr>
        <w:t>), which can identify floras both significantly different and biologically meaningful</w:t>
      </w:r>
      <w:r w:rsidRPr="00244CD2">
        <w:rPr>
          <w:rFonts w:ascii="Book Antiqua" w:eastAsia="Book Antiqua" w:hAnsi="Book Antiqua" w:cs="Book Antiqua"/>
          <w:noProof/>
          <w:vertAlign w:val="superscript"/>
        </w:rPr>
        <w:t>[31]</w:t>
      </w:r>
      <w:r w:rsidRPr="00244CD2">
        <w:rPr>
          <w:rFonts w:ascii="Book Antiqua" w:eastAsia="Book Antiqua" w:hAnsi="Book Antiqua" w:cs="Book Antiqua"/>
          <w:noProof/>
        </w:rPr>
        <w:t>. The LEfSe</w:t>
      </w:r>
      <w:r w:rsidRPr="00244CD2">
        <w:rPr>
          <w:rFonts w:ascii="Book Antiqua" w:eastAsia="Book Antiqua" w:hAnsi="Book Antiqua" w:cs="Book Antiqua"/>
          <w:i/>
          <w:iCs/>
          <w:noProof/>
        </w:rPr>
        <w:t xml:space="preserve"> P</w:t>
      </w:r>
      <w:r w:rsidRPr="00244CD2">
        <w:rPr>
          <w:rFonts w:ascii="Book Antiqua" w:eastAsia="Book Antiqua" w:hAnsi="Book Antiqua" w:cs="Book Antiqua"/>
          <w:noProof/>
        </w:rPr>
        <w:t xml:space="preserve">-value of 0.05 and </w:t>
      </w:r>
      <w:r w:rsidR="00BB6F24" w:rsidRPr="00244CD2">
        <w:rPr>
          <w:rFonts w:ascii="Book Antiqua" w:eastAsia="Book Antiqua" w:hAnsi="Book Antiqua" w:cs="Book Antiqua"/>
          <w:noProof/>
        </w:rPr>
        <w:t xml:space="preserve">the </w:t>
      </w:r>
      <w:r w:rsidRPr="00244CD2">
        <w:rPr>
          <w:rFonts w:ascii="Book Antiqua" w:eastAsia="Book Antiqua" w:hAnsi="Book Antiqua" w:cs="Book Antiqua"/>
          <w:noProof/>
        </w:rPr>
        <w:t>LDA score threshold of 2.0 were used in this study.</w:t>
      </w:r>
    </w:p>
    <w:p w14:paraId="61683F29" w14:textId="77777777" w:rsidR="00A77B3E" w:rsidRPr="00244CD2" w:rsidRDefault="00A77B3E" w:rsidP="00244CD2">
      <w:pPr>
        <w:snapToGrid w:val="0"/>
        <w:spacing w:line="360" w:lineRule="auto"/>
        <w:ind w:firstLine="480"/>
        <w:jc w:val="both"/>
        <w:rPr>
          <w:noProof/>
        </w:rPr>
      </w:pPr>
    </w:p>
    <w:p w14:paraId="774C01E0"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bCs/>
          <w:i/>
          <w:iCs/>
          <w:noProof/>
        </w:rPr>
        <w:t>Statistical analysis</w:t>
      </w:r>
    </w:p>
    <w:p w14:paraId="39F0E37D"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noProof/>
        </w:rPr>
        <w:t xml:space="preserve">Data are presented as the mean ± SD or the median (Q1, Q3). Comparisons between groups were performed using the independent samples t-test or the nonparametric Mann-Whitney U-test, and qualitative data were analyzed using the Chi-squared test, with a two-sided </w:t>
      </w:r>
      <w:r w:rsidRPr="00244CD2">
        <w:rPr>
          <w:rFonts w:ascii="Book Antiqua" w:eastAsia="Book Antiqua" w:hAnsi="Book Antiqua" w:cs="Book Antiqua"/>
          <w:i/>
          <w:iCs/>
          <w:noProof/>
        </w:rPr>
        <w:t>P</w:t>
      </w:r>
      <w:r w:rsidRPr="00244CD2">
        <w:rPr>
          <w:rFonts w:ascii="Book Antiqua" w:eastAsia="Book Antiqua" w:hAnsi="Book Antiqua" w:cs="Book Antiqua"/>
          <w:noProof/>
        </w:rPr>
        <w:t xml:space="preserve"> &lt; 0.05 considered statistically significant. False discovery rate (FDR) correction following the Benjamin-Hochberg method was applied when comparing the concentrations of BAs and the relative abundances of gut microbiota in the two groups. The relationships of BAs with the other clinical and microbial parameters were analyzed by Spearman’s correlation. Statistical analyses were performed using SPSS version 23.0 </w:t>
      </w:r>
      <w:r w:rsidRPr="00244CD2">
        <w:rPr>
          <w:rFonts w:ascii="Book Antiqua" w:eastAsia="Book Antiqua" w:hAnsi="Book Antiqua" w:cs="Book Antiqua"/>
          <w:noProof/>
        </w:rPr>
        <w:lastRenderedPageBreak/>
        <w:t xml:space="preserve">(SPSS Inc., Chicago, IL, </w:t>
      </w:r>
      <w:r w:rsidR="0042225C" w:rsidRPr="00244CD2">
        <w:rPr>
          <w:rFonts w:ascii="Book Antiqua" w:eastAsia="Book Antiqua" w:hAnsi="Book Antiqua" w:cs="Book Antiqua"/>
          <w:noProof/>
        </w:rPr>
        <w:t>U</w:t>
      </w:r>
      <w:r w:rsidR="0042225C" w:rsidRPr="00244CD2">
        <w:rPr>
          <w:rFonts w:ascii="Book Antiqua" w:hAnsi="Book Antiqua" w:cs="Book Antiqua"/>
          <w:noProof/>
          <w:lang w:eastAsia="zh-CN"/>
        </w:rPr>
        <w:t>nited States</w:t>
      </w:r>
      <w:r w:rsidRPr="00244CD2">
        <w:rPr>
          <w:rFonts w:ascii="Book Antiqua" w:eastAsia="Book Antiqua" w:hAnsi="Book Antiqua" w:cs="Book Antiqua"/>
          <w:noProof/>
        </w:rPr>
        <w:t xml:space="preserve">). Statistical charts were generated using Graph Prism version 6.0 (GraphPad Software Inc., La Jolla, CA, </w:t>
      </w:r>
      <w:r w:rsidR="0042225C" w:rsidRPr="00244CD2">
        <w:rPr>
          <w:rFonts w:ascii="Book Antiqua" w:eastAsia="Book Antiqua" w:hAnsi="Book Antiqua" w:cs="Book Antiqua"/>
          <w:noProof/>
        </w:rPr>
        <w:t>U</w:t>
      </w:r>
      <w:r w:rsidR="0042225C" w:rsidRPr="00244CD2">
        <w:rPr>
          <w:rFonts w:ascii="Book Antiqua" w:hAnsi="Book Antiqua" w:cs="Book Antiqua"/>
          <w:noProof/>
          <w:lang w:eastAsia="zh-CN"/>
        </w:rPr>
        <w:t>nited States</w:t>
      </w:r>
      <w:r w:rsidRPr="00244CD2">
        <w:rPr>
          <w:rFonts w:ascii="Book Antiqua" w:eastAsia="Book Antiqua" w:hAnsi="Book Antiqua" w:cs="Book Antiqua"/>
          <w:noProof/>
        </w:rPr>
        <w:t>).</w:t>
      </w:r>
    </w:p>
    <w:p w14:paraId="695408A7" w14:textId="77777777" w:rsidR="00A77B3E" w:rsidRPr="00244CD2" w:rsidRDefault="007356D0" w:rsidP="00244CD2">
      <w:pPr>
        <w:snapToGrid w:val="0"/>
        <w:spacing w:line="360" w:lineRule="auto"/>
        <w:ind w:firstLineChars="100" w:firstLine="240"/>
        <w:jc w:val="both"/>
        <w:rPr>
          <w:noProof/>
        </w:rPr>
      </w:pPr>
      <w:r w:rsidRPr="00244CD2">
        <w:rPr>
          <w:rFonts w:ascii="Book Antiqua" w:eastAsia="Book Antiqua" w:hAnsi="Book Antiqua" w:cs="Book Antiqua"/>
          <w:noProof/>
        </w:rPr>
        <w:t xml:space="preserve">Apart from the absolute concentrations of the different </w:t>
      </w:r>
      <w:r w:rsidR="00D85377" w:rsidRPr="00244CD2">
        <w:rPr>
          <w:rFonts w:ascii="Book Antiqua" w:eastAsia="Book Antiqua" w:hAnsi="Book Antiqua" w:cs="Book Antiqua"/>
          <w:noProof/>
        </w:rPr>
        <w:t>BAs</w:t>
      </w:r>
      <w:r w:rsidRPr="00244CD2">
        <w:rPr>
          <w:rFonts w:ascii="Book Antiqua" w:eastAsia="Book Antiqua" w:hAnsi="Book Antiqua" w:cs="Book Antiqua"/>
          <w:noProof/>
        </w:rPr>
        <w:t xml:space="preserve">, several parameters were also analyzed. The total BAs is the sum of the 15 </w:t>
      </w:r>
      <w:r w:rsidR="00D85377" w:rsidRPr="00244CD2">
        <w:rPr>
          <w:rFonts w:ascii="Book Antiqua" w:eastAsia="Book Antiqua" w:hAnsi="Book Antiqua" w:cs="Book Antiqua"/>
          <w:noProof/>
        </w:rPr>
        <w:t>BAs</w:t>
      </w:r>
      <w:r w:rsidRPr="00244CD2">
        <w:rPr>
          <w:rFonts w:ascii="Book Antiqua" w:eastAsia="Book Antiqua" w:hAnsi="Book Antiqua" w:cs="Book Antiqua"/>
          <w:noProof/>
        </w:rPr>
        <w:t>. The unconjugated BAs is the sum of CA, CDCA, DCA, LCA, and UDCA, and the conjugated BAs is the sum of their corresponding glyco- and tauro-</w:t>
      </w:r>
      <w:r w:rsidR="00912D5E" w:rsidRPr="00244CD2">
        <w:rPr>
          <w:rFonts w:ascii="Book Antiqua" w:eastAsia="Book Antiqua" w:hAnsi="Book Antiqua" w:cs="Book Antiqua"/>
          <w:noProof/>
        </w:rPr>
        <w:t>BAs</w:t>
      </w:r>
      <w:r w:rsidRPr="00244CD2">
        <w:rPr>
          <w:rFonts w:ascii="Book Antiqua" w:eastAsia="Book Antiqua" w:hAnsi="Book Antiqua" w:cs="Book Antiqua"/>
          <w:noProof/>
        </w:rPr>
        <w:t>. The primary BAs is the sum of CA and CDCA and their glyco- and tauro- derivatives, and similarly, the secondary BAs is the sum of DCA, LCA, UD</w:t>
      </w:r>
      <w:r w:rsidR="008325CB" w:rsidRPr="00244CD2">
        <w:rPr>
          <w:rFonts w:ascii="Book Antiqua" w:eastAsia="Book Antiqua" w:hAnsi="Book Antiqua" w:cs="Book Antiqua"/>
          <w:noProof/>
        </w:rPr>
        <w:t>CA, and their glyco- and tauro-</w:t>
      </w:r>
      <w:r w:rsidRPr="00244CD2">
        <w:rPr>
          <w:rFonts w:ascii="Book Antiqua" w:eastAsia="Book Antiqua" w:hAnsi="Book Antiqua" w:cs="Book Antiqua"/>
          <w:noProof/>
        </w:rPr>
        <w:t xml:space="preserve">derivatives. </w:t>
      </w:r>
    </w:p>
    <w:p w14:paraId="57DCCB21" w14:textId="77777777" w:rsidR="00A77B3E" w:rsidRPr="00244CD2" w:rsidRDefault="00A77B3E" w:rsidP="00244CD2">
      <w:pPr>
        <w:snapToGrid w:val="0"/>
        <w:spacing w:line="360" w:lineRule="auto"/>
        <w:jc w:val="both"/>
        <w:rPr>
          <w:noProof/>
        </w:rPr>
      </w:pPr>
    </w:p>
    <w:p w14:paraId="4C69905F"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caps/>
          <w:noProof/>
          <w:u w:val="single"/>
        </w:rPr>
        <w:t>RESULTS</w:t>
      </w:r>
    </w:p>
    <w:p w14:paraId="08D46F1F"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bCs/>
          <w:i/>
          <w:iCs/>
          <w:noProof/>
        </w:rPr>
        <w:t>Demographics and clinical characteristics</w:t>
      </w:r>
    </w:p>
    <w:p w14:paraId="58B7AD3C" w14:textId="40D3B0D5" w:rsidR="00A77B3E" w:rsidRPr="00244CD2" w:rsidRDefault="007356D0" w:rsidP="00244CD2">
      <w:pPr>
        <w:snapToGrid w:val="0"/>
        <w:spacing w:line="360" w:lineRule="auto"/>
        <w:jc w:val="both"/>
        <w:rPr>
          <w:noProof/>
        </w:rPr>
      </w:pPr>
      <w:r w:rsidRPr="00244CD2">
        <w:rPr>
          <w:rFonts w:ascii="Book Antiqua" w:eastAsia="Book Antiqua" w:hAnsi="Book Antiqua" w:cs="Book Antiqua"/>
          <w:noProof/>
        </w:rPr>
        <w:t>Fifty-five IBS-D patients (41 men, 14 women) and 28 age-, sex-, and BMI-matched HC</w:t>
      </w:r>
      <w:r w:rsidR="00225750" w:rsidRPr="00244CD2">
        <w:rPr>
          <w:rFonts w:ascii="Book Antiqua" w:eastAsia="Book Antiqua" w:hAnsi="Book Antiqua" w:cs="Book Antiqua"/>
          <w:noProof/>
        </w:rPr>
        <w:t>s</w:t>
      </w:r>
      <w:r w:rsidRPr="00244CD2">
        <w:rPr>
          <w:rFonts w:ascii="Book Antiqua" w:eastAsia="Book Antiqua" w:hAnsi="Book Antiqua" w:cs="Book Antiqua"/>
          <w:noProof/>
        </w:rPr>
        <w:t xml:space="preserve"> (20 men, 8 women) participated in the study. Their demographic and clinical characteristics are presented in Table 1. The median duration of disease was 3.0 years (range, 0.5–30 years) and the median IBS-SSS score was 180.0 (range, 100–410) in the IBS-D group. The scores of abdominal pain severity and frequency on the IBS-SSS were 40.0 (20.0, 50.0) and 30.0 (20.0, 40.0) in the IBS-D group, respectively. The defecation frequency and BSFS scores were both significantly higher in IBS-D patients than in HC</w:t>
      </w:r>
      <w:r w:rsidR="00225750" w:rsidRPr="00244CD2">
        <w:rPr>
          <w:rFonts w:ascii="Book Antiqua" w:eastAsia="Book Antiqua" w:hAnsi="Book Antiqua" w:cs="Book Antiqua"/>
          <w:noProof/>
        </w:rPr>
        <w:t>s</w:t>
      </w:r>
      <w:r w:rsidRPr="00244CD2">
        <w:rPr>
          <w:rFonts w:ascii="Book Antiqua" w:eastAsia="Book Antiqua" w:hAnsi="Book Antiqua" w:cs="Book Antiqua"/>
          <w:noProof/>
        </w:rPr>
        <w:t xml:space="preserve"> (</w:t>
      </w:r>
      <w:r w:rsidRPr="00244CD2">
        <w:rPr>
          <w:rFonts w:ascii="Book Antiqua" w:eastAsia="Book Antiqua" w:hAnsi="Book Antiqua" w:cs="Book Antiqua"/>
          <w:i/>
          <w:iCs/>
          <w:noProof/>
        </w:rPr>
        <w:t>P</w:t>
      </w:r>
      <w:r w:rsidR="00202D08" w:rsidRPr="00244CD2">
        <w:rPr>
          <w:rFonts w:ascii="Book Antiqua" w:hAnsi="Book Antiqua" w:cs="Book Antiqua"/>
          <w:noProof/>
          <w:lang w:eastAsia="zh-CN"/>
        </w:rPr>
        <w:t xml:space="preserve"> &lt; </w:t>
      </w:r>
      <w:r w:rsidRPr="00244CD2">
        <w:rPr>
          <w:rFonts w:ascii="Book Antiqua" w:eastAsia="Book Antiqua" w:hAnsi="Book Antiqua" w:cs="Book Antiqua"/>
          <w:noProof/>
        </w:rPr>
        <w:t>0.001). Meanwhile, scores of HADS-anxiety, HADS-depression, and VSI were significantly increased in patients compared to controls (</w:t>
      </w:r>
      <w:r w:rsidRPr="00244CD2">
        <w:rPr>
          <w:rFonts w:ascii="Book Antiqua" w:eastAsia="Book Antiqua" w:hAnsi="Book Antiqua" w:cs="Book Antiqua"/>
          <w:i/>
          <w:iCs/>
          <w:noProof/>
        </w:rPr>
        <w:t>P</w:t>
      </w:r>
      <w:r w:rsidR="00202D08" w:rsidRPr="00244CD2">
        <w:rPr>
          <w:rFonts w:ascii="Book Antiqua" w:hAnsi="Book Antiqua" w:cs="Book Antiqua"/>
          <w:noProof/>
          <w:lang w:eastAsia="zh-CN"/>
        </w:rPr>
        <w:t xml:space="preserve"> &lt; </w:t>
      </w:r>
      <w:r w:rsidRPr="00244CD2">
        <w:rPr>
          <w:rFonts w:ascii="Book Antiqua" w:eastAsia="Book Antiqua" w:hAnsi="Book Antiqua" w:cs="Book Antiqua"/>
          <w:noProof/>
        </w:rPr>
        <w:t>0.01), indicating that IBS-D patients were prone to suffering from comorbid anxiety and depression.</w:t>
      </w:r>
    </w:p>
    <w:p w14:paraId="197DC0C0" w14:textId="4F308B95" w:rsidR="00A77B3E" w:rsidRPr="00244CD2" w:rsidRDefault="003E2BC7" w:rsidP="00244CD2">
      <w:pPr>
        <w:snapToGrid w:val="0"/>
        <w:spacing w:line="360" w:lineRule="auto"/>
        <w:ind w:firstLineChars="100" w:firstLine="240"/>
        <w:jc w:val="both"/>
        <w:rPr>
          <w:noProof/>
        </w:rPr>
      </w:pPr>
      <w:r w:rsidRPr="00244CD2">
        <w:rPr>
          <w:rFonts w:ascii="Book Antiqua" w:eastAsia="Book Antiqua" w:hAnsi="Book Antiqua" w:cs="Book Antiqua"/>
          <w:noProof/>
        </w:rPr>
        <w:t xml:space="preserve">In total, 23 </w:t>
      </w:r>
      <w:r w:rsidR="007356D0" w:rsidRPr="00244CD2">
        <w:rPr>
          <w:rFonts w:ascii="Book Antiqua" w:eastAsia="Book Antiqua" w:hAnsi="Book Antiqua" w:cs="Book Antiqua"/>
          <w:noProof/>
        </w:rPr>
        <w:t>of the 55 IBS-D patients and 15 of the 28 HC</w:t>
      </w:r>
      <w:r w:rsidRPr="00244CD2">
        <w:rPr>
          <w:rFonts w:ascii="Book Antiqua" w:eastAsia="Book Antiqua" w:hAnsi="Book Antiqua" w:cs="Book Antiqua"/>
          <w:noProof/>
        </w:rPr>
        <w:t>s</w:t>
      </w:r>
      <w:r w:rsidR="007356D0" w:rsidRPr="00244CD2">
        <w:rPr>
          <w:rFonts w:ascii="Book Antiqua" w:eastAsia="Book Antiqua" w:hAnsi="Book Antiqua" w:cs="Book Antiqua"/>
          <w:noProof/>
        </w:rPr>
        <w:t xml:space="preserve"> participated in the visceral sensitivity test</w:t>
      </w:r>
      <w:r w:rsidR="00E37D37" w:rsidRPr="00244CD2">
        <w:rPr>
          <w:rFonts w:ascii="Book Antiqua" w:eastAsia="Book Antiqua" w:hAnsi="Book Antiqua" w:cs="Book Antiqua"/>
          <w:noProof/>
        </w:rPr>
        <w:t xml:space="preserve">, while </w:t>
      </w:r>
      <w:r w:rsidR="007356D0" w:rsidRPr="00244CD2">
        <w:rPr>
          <w:rFonts w:ascii="Book Antiqua" w:eastAsia="Book Antiqua" w:hAnsi="Book Antiqua" w:cs="Book Antiqua"/>
          <w:noProof/>
        </w:rPr>
        <w:t>the other subjects refused this examination due to the concern of the discomfort caused by the catheter in the rectum. The maximum tolerable threshold was significantly lower in the patients compared to that in HC</w:t>
      </w:r>
      <w:r w:rsidRPr="00244CD2">
        <w:rPr>
          <w:rFonts w:ascii="Book Antiqua" w:eastAsia="Book Antiqua" w:hAnsi="Book Antiqua" w:cs="Book Antiqua"/>
          <w:noProof/>
        </w:rPr>
        <w:t>s</w:t>
      </w:r>
      <w:r w:rsidR="007356D0" w:rsidRPr="00244CD2">
        <w:rPr>
          <w:rFonts w:ascii="Book Antiqua" w:eastAsia="Book Antiqua" w:hAnsi="Book Antiqua" w:cs="Book Antiqua"/>
          <w:noProof/>
        </w:rPr>
        <w:t xml:space="preserve"> (</w:t>
      </w:r>
      <w:r w:rsidR="007356D0" w:rsidRPr="00244CD2">
        <w:rPr>
          <w:rFonts w:ascii="Book Antiqua" w:eastAsia="Book Antiqua" w:hAnsi="Book Antiqua" w:cs="Book Antiqua"/>
          <w:i/>
          <w:iCs/>
          <w:noProof/>
        </w:rPr>
        <w:t>P</w:t>
      </w:r>
      <w:r w:rsidR="007356D0" w:rsidRPr="00244CD2">
        <w:rPr>
          <w:rFonts w:ascii="Book Antiqua" w:eastAsia="Book Antiqua" w:hAnsi="Book Antiqua" w:cs="Book Antiqua"/>
          <w:noProof/>
        </w:rPr>
        <w:t xml:space="preserve"> &lt; 0.001). The defecating sensation threshold tended to decrease in the patients, but the difference was not statistically significant (</w:t>
      </w:r>
      <w:r w:rsidR="007356D0" w:rsidRPr="00244CD2">
        <w:rPr>
          <w:rFonts w:ascii="Book Antiqua" w:eastAsia="Book Antiqua" w:hAnsi="Book Antiqua" w:cs="Book Antiqua"/>
          <w:i/>
          <w:iCs/>
          <w:noProof/>
        </w:rPr>
        <w:t>P</w:t>
      </w:r>
      <w:r w:rsidR="007356D0" w:rsidRPr="00244CD2">
        <w:rPr>
          <w:rFonts w:ascii="Book Antiqua" w:eastAsia="Book Antiqua" w:hAnsi="Book Antiqua" w:cs="Book Antiqua"/>
          <w:noProof/>
        </w:rPr>
        <w:t xml:space="preserve"> = 0.073). The difference between the first sensation thresholds of the two groups was not significant</w:t>
      </w:r>
      <w:r w:rsidR="007041D1" w:rsidRPr="00244CD2">
        <w:rPr>
          <w:rFonts w:ascii="Book Antiqua" w:eastAsia="Book Antiqua" w:hAnsi="Book Antiqua" w:cs="Book Antiqua"/>
          <w:noProof/>
        </w:rPr>
        <w:t xml:space="preserve"> (Table 2)</w:t>
      </w:r>
      <w:r w:rsidR="007356D0" w:rsidRPr="00244CD2">
        <w:rPr>
          <w:rFonts w:ascii="Book Antiqua" w:eastAsia="Book Antiqua" w:hAnsi="Book Antiqua" w:cs="Book Antiqua"/>
          <w:noProof/>
        </w:rPr>
        <w:t>.</w:t>
      </w:r>
    </w:p>
    <w:p w14:paraId="08583316" w14:textId="77777777" w:rsidR="00A77B3E" w:rsidRPr="00244CD2" w:rsidRDefault="00A77B3E" w:rsidP="00244CD2">
      <w:pPr>
        <w:snapToGrid w:val="0"/>
        <w:spacing w:line="360" w:lineRule="auto"/>
        <w:ind w:firstLine="480"/>
        <w:jc w:val="both"/>
        <w:rPr>
          <w:noProof/>
        </w:rPr>
      </w:pPr>
    </w:p>
    <w:p w14:paraId="3AAC8259" w14:textId="1467AB79" w:rsidR="00A77B3E" w:rsidRPr="00244CD2" w:rsidRDefault="007356D0" w:rsidP="00244CD2">
      <w:pPr>
        <w:snapToGrid w:val="0"/>
        <w:spacing w:line="360" w:lineRule="auto"/>
        <w:jc w:val="both"/>
        <w:rPr>
          <w:noProof/>
        </w:rPr>
      </w:pPr>
      <w:r w:rsidRPr="00244CD2">
        <w:rPr>
          <w:rFonts w:ascii="Book Antiqua" w:eastAsia="Book Antiqua" w:hAnsi="Book Antiqua" w:cs="Book Antiqua"/>
          <w:b/>
          <w:bCs/>
          <w:i/>
          <w:iCs/>
          <w:noProof/>
        </w:rPr>
        <w:lastRenderedPageBreak/>
        <w:t xml:space="preserve">Fecal </w:t>
      </w:r>
      <w:r w:rsidR="001E118B" w:rsidRPr="00244CD2">
        <w:rPr>
          <w:rFonts w:ascii="Book Antiqua" w:eastAsia="Book Antiqua" w:hAnsi="Book Antiqua" w:cs="Book Antiqua"/>
          <w:b/>
          <w:bCs/>
          <w:i/>
          <w:iCs/>
          <w:noProof/>
        </w:rPr>
        <w:t>BA</w:t>
      </w:r>
      <w:r w:rsidRPr="00244CD2">
        <w:rPr>
          <w:rFonts w:ascii="Book Antiqua" w:eastAsia="Book Antiqua" w:hAnsi="Book Antiqua" w:cs="Book Antiqua"/>
          <w:b/>
          <w:bCs/>
          <w:i/>
          <w:iCs/>
          <w:noProof/>
        </w:rPr>
        <w:t xml:space="preserve"> pool composition</w:t>
      </w:r>
    </w:p>
    <w:p w14:paraId="07116262" w14:textId="6829FA5A" w:rsidR="00A77B3E" w:rsidRPr="00244CD2" w:rsidRDefault="007356D0" w:rsidP="00244CD2">
      <w:pPr>
        <w:snapToGrid w:val="0"/>
        <w:spacing w:line="360" w:lineRule="auto"/>
        <w:jc w:val="both"/>
        <w:rPr>
          <w:noProof/>
        </w:rPr>
      </w:pPr>
      <w:r w:rsidRPr="00244CD2">
        <w:rPr>
          <w:rFonts w:ascii="Book Antiqua" w:eastAsia="Book Antiqua" w:hAnsi="Book Antiqua" w:cs="Book Antiqua"/>
          <w:noProof/>
        </w:rPr>
        <w:t xml:space="preserve">The absolute concentrations of the 15 fecal BAs measured were available for all of the subjects and are summarized in Table 3. </w:t>
      </w:r>
      <w:r w:rsidR="003E2BC7" w:rsidRPr="00244CD2">
        <w:rPr>
          <w:rFonts w:ascii="Book Antiqua" w:eastAsia="Book Antiqua" w:hAnsi="Book Antiqua" w:cs="Book Antiqua"/>
          <w:noProof/>
        </w:rPr>
        <w:t>Compared</w:t>
      </w:r>
      <w:r w:rsidRPr="00244CD2">
        <w:rPr>
          <w:rFonts w:ascii="Book Antiqua" w:eastAsia="Book Antiqua" w:hAnsi="Book Antiqua" w:cs="Book Antiqua"/>
          <w:noProof/>
        </w:rPr>
        <w:t xml:space="preserve"> to HC</w:t>
      </w:r>
      <w:r w:rsidR="003E2BC7" w:rsidRPr="00244CD2">
        <w:rPr>
          <w:rFonts w:ascii="Book Antiqua" w:eastAsia="Book Antiqua" w:hAnsi="Book Antiqua" w:cs="Book Antiqua"/>
          <w:noProof/>
        </w:rPr>
        <w:t>s</w:t>
      </w:r>
      <w:r w:rsidRPr="00244CD2">
        <w:rPr>
          <w:rFonts w:ascii="Book Antiqua" w:eastAsia="Book Antiqua" w:hAnsi="Book Antiqua" w:cs="Book Antiqua"/>
          <w:noProof/>
        </w:rPr>
        <w:t>, primary BAs, including CA, CDCA, and corresponding conjugated BAs, were significantly elevated in IBS-D patients (</w:t>
      </w:r>
      <w:r w:rsidRPr="00244CD2">
        <w:rPr>
          <w:rFonts w:ascii="Book Antiqua" w:eastAsia="Book Antiqua" w:hAnsi="Book Antiqua" w:cs="Book Antiqua"/>
          <w:i/>
          <w:iCs/>
          <w:noProof/>
        </w:rPr>
        <w:t xml:space="preserve">P </w:t>
      </w:r>
      <w:r w:rsidRPr="00244CD2">
        <w:rPr>
          <w:rFonts w:ascii="Book Antiqua" w:eastAsia="Book Antiqua" w:hAnsi="Book Antiqua" w:cs="Book Antiqua"/>
          <w:noProof/>
        </w:rPr>
        <w:t>&lt; 0.01). Moreover, IBS-D patients displayed a significant decrease of LCA (</w:t>
      </w:r>
      <w:r w:rsidRPr="00244CD2">
        <w:rPr>
          <w:rFonts w:ascii="Book Antiqua" w:eastAsia="Book Antiqua" w:hAnsi="Book Antiqua" w:cs="Book Antiqua"/>
          <w:i/>
          <w:iCs/>
          <w:noProof/>
        </w:rPr>
        <w:t>P</w:t>
      </w:r>
      <w:r w:rsidRPr="00244CD2">
        <w:rPr>
          <w:rFonts w:ascii="Book Antiqua" w:eastAsia="Book Antiqua" w:hAnsi="Book Antiqua" w:cs="Book Antiqua"/>
          <w:noProof/>
        </w:rPr>
        <w:t xml:space="preserve"> &lt; 0.01) and a decreased trend of DCA although not significantly (</w:t>
      </w:r>
      <w:r w:rsidRPr="00244CD2">
        <w:rPr>
          <w:rFonts w:ascii="Book Antiqua" w:eastAsia="Book Antiqua" w:hAnsi="Book Antiqua" w:cs="Book Antiqua"/>
          <w:i/>
          <w:iCs/>
          <w:noProof/>
        </w:rPr>
        <w:t>P</w:t>
      </w:r>
      <w:r w:rsidRPr="00244CD2">
        <w:rPr>
          <w:rFonts w:ascii="Book Antiqua" w:eastAsia="Book Antiqua" w:hAnsi="Book Antiqua" w:cs="Book Antiqua"/>
          <w:noProof/>
        </w:rPr>
        <w:t xml:space="preserve"> = 0.084). </w:t>
      </w:r>
      <w:r w:rsidR="00C41B47" w:rsidRPr="00244CD2">
        <w:rPr>
          <w:rFonts w:ascii="Book Antiqua" w:eastAsia="Book Antiqua" w:hAnsi="Book Antiqua" w:cs="Book Antiqua"/>
          <w:noProof/>
        </w:rPr>
        <w:t xml:space="preserve">In addition, </w:t>
      </w:r>
      <w:r w:rsidRPr="00244CD2">
        <w:rPr>
          <w:rFonts w:ascii="Book Antiqua" w:eastAsia="Book Antiqua" w:hAnsi="Book Antiqua" w:cs="Book Antiqua"/>
          <w:noProof/>
        </w:rPr>
        <w:t>TUDCA and GUDCA were also significantly increased (</w:t>
      </w:r>
      <w:r w:rsidRPr="00244CD2">
        <w:rPr>
          <w:rFonts w:ascii="Book Antiqua" w:eastAsia="Book Antiqua" w:hAnsi="Book Antiqua" w:cs="Book Antiqua"/>
          <w:i/>
          <w:iCs/>
          <w:noProof/>
        </w:rPr>
        <w:t xml:space="preserve">P </w:t>
      </w:r>
      <w:r w:rsidRPr="00244CD2">
        <w:rPr>
          <w:rFonts w:ascii="Book Antiqua" w:eastAsia="Book Antiqua" w:hAnsi="Book Antiqua" w:cs="Book Antiqua"/>
          <w:noProof/>
        </w:rPr>
        <w:t>&lt; 0.01), while UDCA was significantly decreased in IBS-D patients compared to HC</w:t>
      </w:r>
      <w:r w:rsidR="003E2BC7" w:rsidRPr="00244CD2">
        <w:rPr>
          <w:rFonts w:ascii="Book Antiqua" w:eastAsia="Book Antiqua" w:hAnsi="Book Antiqua" w:cs="Book Antiqua"/>
          <w:noProof/>
        </w:rPr>
        <w:t>s</w:t>
      </w:r>
      <w:r w:rsidRPr="00244CD2">
        <w:rPr>
          <w:rFonts w:ascii="Book Antiqua" w:eastAsia="Book Antiqua" w:hAnsi="Book Antiqua" w:cs="Book Antiqua"/>
          <w:noProof/>
        </w:rPr>
        <w:t xml:space="preserve"> (</w:t>
      </w:r>
      <w:r w:rsidRPr="00244CD2">
        <w:rPr>
          <w:rFonts w:ascii="Book Antiqua" w:eastAsia="Book Antiqua" w:hAnsi="Book Antiqua" w:cs="Book Antiqua"/>
          <w:i/>
          <w:iCs/>
          <w:noProof/>
        </w:rPr>
        <w:t>P</w:t>
      </w:r>
      <w:r w:rsidRPr="00244CD2">
        <w:rPr>
          <w:rFonts w:ascii="Book Antiqua" w:eastAsia="Book Antiqua" w:hAnsi="Book Antiqua" w:cs="Book Antiqua"/>
          <w:noProof/>
        </w:rPr>
        <w:t xml:space="preserve"> &lt; 0.05). The level of total fecal BAs was significantly elevated in the IBS-D group (</w:t>
      </w:r>
      <w:r w:rsidRPr="00244CD2">
        <w:rPr>
          <w:rFonts w:ascii="Book Antiqua" w:eastAsia="Book Antiqua" w:hAnsi="Book Antiqua" w:cs="Book Antiqua"/>
          <w:i/>
          <w:iCs/>
          <w:noProof/>
        </w:rPr>
        <w:t>P</w:t>
      </w:r>
      <w:r w:rsidRPr="00244CD2">
        <w:rPr>
          <w:rFonts w:ascii="Book Antiqua" w:eastAsia="Book Antiqua" w:hAnsi="Book Antiqua" w:cs="Book Antiqua"/>
          <w:noProof/>
        </w:rPr>
        <w:t xml:space="preserve"> &lt; 0.05). </w:t>
      </w:r>
    </w:p>
    <w:p w14:paraId="40F7F91B" w14:textId="0F95B070" w:rsidR="00A77B3E" w:rsidRPr="00244CD2" w:rsidRDefault="007356D0" w:rsidP="00244CD2">
      <w:pPr>
        <w:snapToGrid w:val="0"/>
        <w:spacing w:line="360" w:lineRule="auto"/>
        <w:ind w:firstLineChars="100" w:firstLine="240"/>
        <w:jc w:val="both"/>
        <w:rPr>
          <w:noProof/>
        </w:rPr>
      </w:pPr>
      <w:r w:rsidRPr="00244CD2">
        <w:rPr>
          <w:rFonts w:ascii="Book Antiqua" w:eastAsia="Book Antiqua" w:hAnsi="Book Antiqua" w:cs="Book Antiqua"/>
          <w:noProof/>
        </w:rPr>
        <w:t xml:space="preserve">In terms of unconjugated BAs and conjugated BAs, the fecal </w:t>
      </w:r>
      <w:r w:rsidR="001E118B" w:rsidRPr="00244CD2">
        <w:rPr>
          <w:rFonts w:ascii="Book Antiqua" w:eastAsia="Book Antiqua" w:hAnsi="Book Antiqua" w:cs="Book Antiqua"/>
          <w:noProof/>
        </w:rPr>
        <w:t>BA</w:t>
      </w:r>
      <w:r w:rsidRPr="00244CD2">
        <w:rPr>
          <w:rFonts w:ascii="Book Antiqua" w:eastAsia="Book Antiqua" w:hAnsi="Book Antiqua" w:cs="Book Antiqua"/>
          <w:noProof/>
        </w:rPr>
        <w:t xml:space="preserve"> pool of the IBS-D group and the HC group were both predominantly composed of unconjugated BAs. The ratio of conjugated BAs to </w:t>
      </w:r>
      <w:r w:rsidR="005D4060" w:rsidRPr="00244CD2">
        <w:rPr>
          <w:rFonts w:ascii="Book Antiqua" w:eastAsia="Book Antiqua" w:hAnsi="Book Antiqua" w:cs="Book Antiqua"/>
          <w:noProof/>
        </w:rPr>
        <w:t>unconjugated BAs (CBA/UBA</w:t>
      </w:r>
      <w:r w:rsidR="005D4060" w:rsidRPr="00244CD2">
        <w:rPr>
          <w:rFonts w:ascii="Book Antiqua" w:hAnsi="Book Antiqua" w:cs="Book Antiqua"/>
          <w:noProof/>
          <w:lang w:eastAsia="zh-CN"/>
        </w:rPr>
        <w:t>)</w:t>
      </w:r>
      <w:r w:rsidRPr="00244CD2">
        <w:rPr>
          <w:rFonts w:ascii="Book Antiqua" w:eastAsia="Book Antiqua" w:hAnsi="Book Antiqua" w:cs="Book Antiqua"/>
          <w:noProof/>
        </w:rPr>
        <w:t xml:space="preserve"> was significantly increased in the IBS-D group (</w:t>
      </w:r>
      <w:r w:rsidRPr="00244CD2">
        <w:rPr>
          <w:rFonts w:ascii="Book Antiqua" w:eastAsia="Book Antiqua" w:hAnsi="Book Antiqua" w:cs="Book Antiqua"/>
          <w:i/>
          <w:iCs/>
          <w:noProof/>
        </w:rPr>
        <w:t xml:space="preserve">P </w:t>
      </w:r>
      <w:r w:rsidRPr="00244CD2">
        <w:rPr>
          <w:rFonts w:ascii="Book Antiqua" w:eastAsia="Book Antiqua" w:hAnsi="Book Antiqua" w:cs="Book Antiqua"/>
          <w:noProof/>
        </w:rPr>
        <w:t>&lt; 0.01), with the levels of unconjugated BAs and conjugated BAs both significantly higher in IBS-D patients compared to HC</w:t>
      </w:r>
      <w:r w:rsidR="003E2BC7" w:rsidRPr="00244CD2">
        <w:rPr>
          <w:rFonts w:ascii="Book Antiqua" w:eastAsia="Book Antiqua" w:hAnsi="Book Antiqua" w:cs="Book Antiqua"/>
          <w:noProof/>
        </w:rPr>
        <w:t>s</w:t>
      </w:r>
      <w:r w:rsidRPr="00244CD2">
        <w:rPr>
          <w:rFonts w:ascii="Book Antiqua" w:eastAsia="Book Antiqua" w:hAnsi="Book Antiqua" w:cs="Book Antiqua"/>
          <w:noProof/>
        </w:rPr>
        <w:t xml:space="preserve"> (</w:t>
      </w:r>
      <w:r w:rsidRPr="00244CD2">
        <w:rPr>
          <w:rFonts w:ascii="Book Antiqua" w:eastAsia="Book Antiqua" w:hAnsi="Book Antiqua" w:cs="Book Antiqua"/>
          <w:i/>
          <w:iCs/>
          <w:noProof/>
        </w:rPr>
        <w:t xml:space="preserve">P </w:t>
      </w:r>
      <w:r w:rsidRPr="00244CD2">
        <w:rPr>
          <w:rFonts w:ascii="Book Antiqua" w:eastAsia="Book Antiqua" w:hAnsi="Book Antiqua" w:cs="Book Antiqua"/>
          <w:noProof/>
        </w:rPr>
        <w:t xml:space="preserve">&lt; 0.05). Meanwhile, the level of fecal secondary BAs was much higher than primary BAs in the control group; however, this trend was inversed in some IBS-D patients, leading to a significantly increased ratio of </w:t>
      </w:r>
      <w:bookmarkStart w:id="26" w:name="OLE_LINK80"/>
      <w:bookmarkStart w:id="27" w:name="OLE_LINK81"/>
      <w:r w:rsidRPr="00244CD2">
        <w:rPr>
          <w:rFonts w:ascii="Book Antiqua" w:eastAsia="Book Antiqua" w:hAnsi="Book Antiqua" w:cs="Book Antiqua"/>
          <w:noProof/>
        </w:rPr>
        <w:t xml:space="preserve">primary BAs </w:t>
      </w:r>
      <w:r w:rsidR="001F7D2F" w:rsidRPr="00244CD2">
        <w:rPr>
          <w:rFonts w:ascii="Book Antiqua" w:eastAsia="Book Antiqua" w:hAnsi="Book Antiqua" w:cs="Book Antiqua"/>
          <w:noProof/>
        </w:rPr>
        <w:t>to secondary BAs (PBA/SBA</w:t>
      </w:r>
      <w:r w:rsidR="001F7D2F" w:rsidRPr="00244CD2">
        <w:rPr>
          <w:rFonts w:ascii="Book Antiqua" w:hAnsi="Book Antiqua" w:cs="Book Antiqua"/>
          <w:noProof/>
          <w:lang w:eastAsia="zh-CN"/>
        </w:rPr>
        <w:t>)</w:t>
      </w:r>
      <w:bookmarkEnd w:id="26"/>
      <w:bookmarkEnd w:id="27"/>
      <w:r w:rsidR="001F7D2F" w:rsidRPr="00244CD2">
        <w:rPr>
          <w:rFonts w:ascii="Book Antiqua" w:eastAsia="Book Antiqua" w:hAnsi="Book Antiqua" w:cs="Book Antiqua"/>
          <w:noProof/>
        </w:rPr>
        <w:t xml:space="preserve"> </w:t>
      </w:r>
      <w:r w:rsidRPr="00244CD2">
        <w:rPr>
          <w:rFonts w:ascii="Book Antiqua" w:eastAsia="Book Antiqua" w:hAnsi="Book Antiqua" w:cs="Book Antiqua"/>
          <w:noProof/>
        </w:rPr>
        <w:t>in the IBS-D group (</w:t>
      </w:r>
      <w:r w:rsidRPr="00244CD2">
        <w:rPr>
          <w:rFonts w:ascii="Book Antiqua" w:eastAsia="Book Antiqua" w:hAnsi="Book Antiqua" w:cs="Book Antiqua"/>
          <w:i/>
          <w:iCs/>
          <w:noProof/>
        </w:rPr>
        <w:t xml:space="preserve">P </w:t>
      </w:r>
      <w:r w:rsidRPr="00244CD2">
        <w:rPr>
          <w:rFonts w:ascii="Book Antiqua" w:eastAsia="Book Antiqua" w:hAnsi="Book Antiqua" w:cs="Book Antiqua"/>
          <w:noProof/>
        </w:rPr>
        <w:t xml:space="preserve">&lt; 0.001). </w:t>
      </w:r>
    </w:p>
    <w:p w14:paraId="041C60CC" w14:textId="77777777" w:rsidR="00A77B3E" w:rsidRPr="00244CD2" w:rsidRDefault="007356D0" w:rsidP="00244CD2">
      <w:pPr>
        <w:snapToGrid w:val="0"/>
        <w:spacing w:line="360" w:lineRule="auto"/>
        <w:ind w:firstLineChars="100" w:firstLine="240"/>
        <w:jc w:val="both"/>
        <w:rPr>
          <w:noProof/>
        </w:rPr>
      </w:pPr>
      <w:r w:rsidRPr="00244CD2">
        <w:rPr>
          <w:rFonts w:ascii="Book Antiqua" w:eastAsia="Book Antiqua" w:hAnsi="Book Antiqua" w:cs="Book Antiqua"/>
          <w:noProof/>
        </w:rPr>
        <w:t xml:space="preserve">To further explore the proportion of IBS-D patients with a remarkably imbalanced fecal BAs composition, the 90th percentiles of the CBA/UBA ratio (0.0299) and the PBA/SBA ratio (1.40) in the control group were determined as cutoff values, and we found that 10 (18.2%) and 30 (54.5%) patients had a high CBA/UBA ratio </w:t>
      </w:r>
      <w:r w:rsidR="004E1B45" w:rsidRPr="00244CD2">
        <w:rPr>
          <w:rFonts w:ascii="Book Antiqua" w:eastAsia="Book Antiqua" w:hAnsi="Book Antiqua" w:cs="Book Antiqua"/>
          <w:noProof/>
        </w:rPr>
        <w:t>(≥</w:t>
      </w:r>
      <w:r w:rsidR="004E1B45" w:rsidRPr="00244CD2">
        <w:rPr>
          <w:rFonts w:ascii="Book Antiqua" w:hAnsi="Book Antiqua" w:cs="Book Antiqua"/>
          <w:noProof/>
          <w:lang w:eastAsia="zh-CN"/>
        </w:rPr>
        <w:t xml:space="preserve"> </w:t>
      </w:r>
      <w:r w:rsidR="004E1B45" w:rsidRPr="00244CD2">
        <w:rPr>
          <w:rFonts w:ascii="Book Antiqua" w:eastAsia="Book Antiqua" w:hAnsi="Book Antiqua" w:cs="Book Antiqua"/>
          <w:noProof/>
        </w:rPr>
        <w:t xml:space="preserve">0.0299) </w:t>
      </w:r>
      <w:r w:rsidRPr="00244CD2">
        <w:rPr>
          <w:rFonts w:ascii="Book Antiqua" w:eastAsia="Book Antiqua" w:hAnsi="Book Antiqua" w:cs="Book Antiqua"/>
          <w:noProof/>
        </w:rPr>
        <w:t>and a high PBA/SBA ratio</w:t>
      </w:r>
      <w:r w:rsidR="004E1B45" w:rsidRPr="00244CD2">
        <w:rPr>
          <w:rFonts w:ascii="Book Antiqua" w:eastAsia="Book Antiqua" w:hAnsi="Book Antiqua" w:cs="Book Antiqua"/>
          <w:noProof/>
        </w:rPr>
        <w:t xml:space="preserve"> (≥</w:t>
      </w:r>
      <w:r w:rsidR="004E1B45" w:rsidRPr="00244CD2">
        <w:rPr>
          <w:rFonts w:ascii="Book Antiqua" w:hAnsi="Book Antiqua" w:cs="Book Antiqua"/>
          <w:noProof/>
          <w:lang w:eastAsia="zh-CN"/>
        </w:rPr>
        <w:t xml:space="preserve"> </w:t>
      </w:r>
      <w:r w:rsidR="004E1B45" w:rsidRPr="00244CD2">
        <w:rPr>
          <w:rFonts w:ascii="Book Antiqua" w:eastAsia="Book Antiqua" w:hAnsi="Book Antiqua" w:cs="Book Antiqua"/>
          <w:noProof/>
        </w:rPr>
        <w:t xml:space="preserve">1.40) </w:t>
      </w:r>
      <w:r w:rsidRPr="00244CD2">
        <w:rPr>
          <w:rFonts w:ascii="Book Antiqua" w:eastAsia="Book Antiqua" w:hAnsi="Book Antiqua" w:cs="Book Antiqua"/>
          <w:noProof/>
        </w:rPr>
        <w:t>among the 55 IBS-D patients, respectively. There were no significant differences in demographic indices, BMI, or duration of disease between the high CBA/UBA and low CBA/UBA group, as well as between the high PBA/SBA and low PBA/SBA group.</w:t>
      </w:r>
    </w:p>
    <w:p w14:paraId="4FBA195F" w14:textId="77777777" w:rsidR="00A77B3E" w:rsidRPr="00244CD2" w:rsidRDefault="00A77B3E" w:rsidP="00244CD2">
      <w:pPr>
        <w:snapToGrid w:val="0"/>
        <w:spacing w:line="360" w:lineRule="auto"/>
        <w:ind w:firstLine="480"/>
        <w:jc w:val="both"/>
        <w:rPr>
          <w:noProof/>
        </w:rPr>
      </w:pPr>
    </w:p>
    <w:p w14:paraId="316C323F"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bCs/>
          <w:i/>
          <w:iCs/>
          <w:noProof/>
        </w:rPr>
        <w:t>Correlations between fecal BAs and clinical parameters</w:t>
      </w:r>
    </w:p>
    <w:p w14:paraId="1ED06179" w14:textId="7C9E6F3B" w:rsidR="00A77B3E" w:rsidRPr="00244CD2" w:rsidRDefault="007356D0" w:rsidP="00244CD2">
      <w:pPr>
        <w:snapToGrid w:val="0"/>
        <w:spacing w:line="360" w:lineRule="auto"/>
        <w:jc w:val="both"/>
        <w:rPr>
          <w:noProof/>
        </w:rPr>
      </w:pPr>
      <w:r w:rsidRPr="00244CD2">
        <w:rPr>
          <w:rFonts w:ascii="Book Antiqua" w:eastAsia="Book Antiqua" w:hAnsi="Book Antiqua" w:cs="Book Antiqua"/>
          <w:noProof/>
        </w:rPr>
        <w:t xml:space="preserve">We analyzed the correlations between the fecal BAs and clinical parameters in the IBS-D group. Defecation frequency was positively associated with the levels of CA and CDCA </w:t>
      </w:r>
      <w:r w:rsidRPr="00244CD2">
        <w:rPr>
          <w:rFonts w:ascii="Book Antiqua" w:eastAsia="Book Antiqua" w:hAnsi="Book Antiqua" w:cs="Book Antiqua"/>
          <w:noProof/>
        </w:rPr>
        <w:lastRenderedPageBreak/>
        <w:t>and inversely associated with the levels of DCA and LCA (</w:t>
      </w:r>
      <w:r w:rsidRPr="00244CD2">
        <w:rPr>
          <w:rFonts w:ascii="Book Antiqua" w:eastAsia="Book Antiqua" w:hAnsi="Book Antiqua" w:cs="Book Antiqua"/>
          <w:i/>
          <w:iCs/>
          <w:noProof/>
        </w:rPr>
        <w:t>P</w:t>
      </w:r>
      <w:r w:rsidRPr="00244CD2">
        <w:rPr>
          <w:rFonts w:ascii="Book Antiqua" w:eastAsia="Book Antiqua" w:hAnsi="Book Antiqua" w:cs="Book Antiqua"/>
          <w:noProof/>
        </w:rPr>
        <w:t xml:space="preserve"> </w:t>
      </w:r>
      <w:r w:rsidR="00A42152" w:rsidRPr="00244CD2">
        <w:rPr>
          <w:rFonts w:ascii="Book Antiqua" w:hAnsi="Book Antiqua" w:cs="Book Antiqua"/>
          <w:noProof/>
          <w:lang w:eastAsia="zh-CN"/>
        </w:rPr>
        <w:t>&lt;</w:t>
      </w:r>
      <w:r w:rsidR="009A6538" w:rsidRPr="00244CD2">
        <w:rPr>
          <w:rFonts w:ascii="Book Antiqua" w:eastAsia="Book Antiqua" w:hAnsi="Book Antiqua" w:cs="Book Antiqua"/>
          <w:noProof/>
        </w:rPr>
        <w:t xml:space="preserve"> 0.05) (Figure 1</w:t>
      </w:r>
      <w:r w:rsidRPr="00244CD2">
        <w:rPr>
          <w:rFonts w:ascii="Book Antiqua" w:eastAsia="Book Antiqua" w:hAnsi="Book Antiqua" w:cs="Book Antiqua"/>
          <w:noProof/>
        </w:rPr>
        <w:t>A-D). Moreover, we observed an inverse correlation between the first sensation threshold and the concentration of CDCA (</w:t>
      </w:r>
      <w:r w:rsidRPr="00244CD2">
        <w:rPr>
          <w:rFonts w:ascii="Book Antiqua" w:eastAsia="Book Antiqua" w:hAnsi="Book Antiqua" w:cs="Book Antiqua"/>
          <w:i/>
          <w:iCs/>
          <w:noProof/>
        </w:rPr>
        <w:t>P</w:t>
      </w:r>
      <w:r w:rsidR="009A6538" w:rsidRPr="00244CD2">
        <w:rPr>
          <w:rFonts w:ascii="Book Antiqua" w:eastAsia="Book Antiqua" w:hAnsi="Book Antiqua" w:cs="Book Antiqua"/>
          <w:noProof/>
        </w:rPr>
        <w:t xml:space="preserve"> &lt; 0.05) (Figure 1</w:t>
      </w:r>
      <w:r w:rsidRPr="00244CD2">
        <w:rPr>
          <w:rFonts w:ascii="Book Antiqua" w:eastAsia="Book Antiqua" w:hAnsi="Book Antiqua" w:cs="Book Antiqua"/>
          <w:noProof/>
        </w:rPr>
        <w:t>E). The defecating sensation threshold also tended to be negatively correlated with CDCA (</w:t>
      </w:r>
      <w:r w:rsidRPr="00244CD2">
        <w:rPr>
          <w:rFonts w:ascii="Book Antiqua" w:eastAsia="Book Antiqua" w:hAnsi="Book Antiqua" w:cs="Book Antiqua"/>
          <w:i/>
          <w:iCs/>
          <w:noProof/>
        </w:rPr>
        <w:t>P</w:t>
      </w:r>
      <w:r w:rsidR="009A6538" w:rsidRPr="00244CD2">
        <w:rPr>
          <w:rFonts w:ascii="Book Antiqua" w:eastAsia="Book Antiqua" w:hAnsi="Book Antiqua" w:cs="Book Antiqua"/>
          <w:noProof/>
        </w:rPr>
        <w:t xml:space="preserve"> = 0.060) (Figure 1</w:t>
      </w:r>
      <w:r w:rsidRPr="00244CD2">
        <w:rPr>
          <w:rFonts w:ascii="Book Antiqua" w:eastAsia="Book Antiqua" w:hAnsi="Book Antiqua" w:cs="Book Antiqua"/>
          <w:noProof/>
        </w:rPr>
        <w:t xml:space="preserve">F). However, the duration of disease, IBS-SSS, abdominal pain severity, abdominal pain frequency, </w:t>
      </w:r>
      <w:r w:rsidR="00B75AA1" w:rsidRPr="00244CD2">
        <w:rPr>
          <w:rFonts w:ascii="Book Antiqua" w:eastAsia="Book Antiqua" w:hAnsi="Book Antiqua" w:cs="Book Antiqua"/>
          <w:noProof/>
        </w:rPr>
        <w:t xml:space="preserve">the </w:t>
      </w:r>
      <w:r w:rsidRPr="00244CD2">
        <w:rPr>
          <w:rFonts w:ascii="Book Antiqua" w:eastAsia="Book Antiqua" w:hAnsi="Book Antiqua" w:cs="Book Antiqua"/>
          <w:noProof/>
        </w:rPr>
        <w:t>BSFS score</w:t>
      </w:r>
      <w:r w:rsidR="00F24C66" w:rsidRPr="00244CD2">
        <w:rPr>
          <w:rFonts w:ascii="Book Antiqua" w:eastAsia="Book Antiqua" w:hAnsi="Book Antiqua" w:cs="Book Antiqua"/>
          <w:noProof/>
        </w:rPr>
        <w:t>,</w:t>
      </w:r>
      <w:r w:rsidRPr="00244CD2">
        <w:rPr>
          <w:rFonts w:ascii="Book Antiqua" w:eastAsia="Book Antiqua" w:hAnsi="Book Antiqua" w:cs="Book Antiqua"/>
          <w:noProof/>
        </w:rPr>
        <w:t xml:space="preserve"> </w:t>
      </w:r>
      <w:r w:rsidR="00F24C66" w:rsidRPr="00244CD2">
        <w:rPr>
          <w:rFonts w:ascii="Book Antiqua" w:eastAsia="Book Antiqua" w:hAnsi="Book Antiqua" w:cs="Book Antiqua"/>
          <w:noProof/>
        </w:rPr>
        <w:t xml:space="preserve">and the maximum tolerable threshold </w:t>
      </w:r>
      <w:r w:rsidRPr="00244CD2">
        <w:rPr>
          <w:rFonts w:ascii="Book Antiqua" w:eastAsia="Book Antiqua" w:hAnsi="Book Antiqua" w:cs="Book Antiqua"/>
          <w:noProof/>
        </w:rPr>
        <w:t xml:space="preserve">showed no significant </w:t>
      </w:r>
      <w:r w:rsidR="009370D8">
        <w:rPr>
          <w:rFonts w:ascii="Book Antiqua" w:eastAsia="Book Antiqua" w:hAnsi="Book Antiqua" w:cs="Book Antiqua" w:hint="eastAsia"/>
          <w:noProof/>
          <w:lang w:eastAsia="zh-CN"/>
        </w:rPr>
        <w:t>co</w:t>
      </w:r>
      <w:r w:rsidR="009370D8">
        <w:rPr>
          <w:rFonts w:ascii="Book Antiqua" w:eastAsia="Book Antiqua" w:hAnsi="Book Antiqua" w:cs="Book Antiqua"/>
          <w:noProof/>
          <w:lang w:eastAsia="zh-CN"/>
        </w:rPr>
        <w:t>rrela</w:t>
      </w:r>
      <w:r w:rsidRPr="00244CD2">
        <w:rPr>
          <w:rFonts w:ascii="Book Antiqua" w:eastAsia="Book Antiqua" w:hAnsi="Book Antiqua" w:cs="Book Antiqua"/>
          <w:noProof/>
        </w:rPr>
        <w:t>tions with fecal BAs. Additionally, there were no significant correlations between the HADS-anxiety score, HADS-depression score, or VSI and fecal BAs, in line with the earlier studies</w:t>
      </w:r>
      <w:r w:rsidR="00A42152" w:rsidRPr="00244CD2">
        <w:rPr>
          <w:rFonts w:ascii="Book Antiqua" w:eastAsia="Book Antiqua" w:hAnsi="Book Antiqua" w:cs="Book Antiqua"/>
          <w:noProof/>
          <w:vertAlign w:val="superscript"/>
        </w:rPr>
        <w:t>[9</w:t>
      </w:r>
      <w:r w:rsidR="00A42152" w:rsidRPr="00244CD2">
        <w:rPr>
          <w:rFonts w:ascii="Book Antiqua" w:hAnsi="Book Antiqua" w:cs="Book Antiqua"/>
          <w:noProof/>
          <w:vertAlign w:val="superscript"/>
          <w:lang w:eastAsia="zh-CN"/>
        </w:rPr>
        <w:t>,</w:t>
      </w:r>
      <w:r w:rsidRPr="00244CD2">
        <w:rPr>
          <w:rFonts w:ascii="Book Antiqua" w:eastAsia="Book Antiqua" w:hAnsi="Book Antiqua" w:cs="Book Antiqua"/>
          <w:noProof/>
          <w:vertAlign w:val="superscript"/>
        </w:rPr>
        <w:t>32]</w:t>
      </w:r>
      <w:r w:rsidRPr="00244CD2">
        <w:rPr>
          <w:rFonts w:ascii="Book Antiqua" w:eastAsia="Book Antiqua" w:hAnsi="Book Antiqua" w:cs="Book Antiqua"/>
          <w:noProof/>
        </w:rPr>
        <w:t>.</w:t>
      </w:r>
    </w:p>
    <w:p w14:paraId="3B38167B" w14:textId="3C41207D" w:rsidR="00A77B3E" w:rsidRPr="00244CD2" w:rsidRDefault="007356D0" w:rsidP="00244CD2">
      <w:pPr>
        <w:snapToGrid w:val="0"/>
        <w:spacing w:line="360" w:lineRule="auto"/>
        <w:ind w:firstLineChars="100" w:firstLine="240"/>
        <w:jc w:val="both"/>
        <w:rPr>
          <w:noProof/>
        </w:rPr>
      </w:pPr>
      <w:r w:rsidRPr="00244CD2">
        <w:rPr>
          <w:rFonts w:ascii="Book Antiqua" w:eastAsia="Book Antiqua" w:hAnsi="Book Antiqua" w:cs="Book Antiqua"/>
          <w:noProof/>
        </w:rPr>
        <w:t>In the IBS-D group, patients with a high PBA/SBA ratio had a significantly higher defecation frequency than those with a low PBA/SBA ratio</w:t>
      </w:r>
      <w:r w:rsidR="00936617" w:rsidRPr="00515E74">
        <w:rPr>
          <w:rFonts w:ascii="Book Antiqua" w:eastAsia="Book Antiqua" w:hAnsi="Book Antiqua" w:cs="Book Antiqua"/>
          <w:noProof/>
        </w:rPr>
        <w:t xml:space="preserve"> (3.5 [2.5, 4.5] </w:t>
      </w:r>
      <w:r w:rsidR="00936617" w:rsidRPr="00515E74">
        <w:rPr>
          <w:rFonts w:ascii="Book Antiqua" w:eastAsia="Book Antiqua" w:hAnsi="Book Antiqua" w:cs="Book Antiqua"/>
          <w:i/>
          <w:iCs/>
          <w:noProof/>
        </w:rPr>
        <w:t>vs</w:t>
      </w:r>
      <w:r w:rsidR="00936617" w:rsidRPr="00515E74">
        <w:rPr>
          <w:rFonts w:ascii="Book Antiqua" w:eastAsia="Book Antiqua" w:hAnsi="Book Antiqua" w:cs="Book Antiqua"/>
          <w:noProof/>
        </w:rPr>
        <w:t xml:space="preserve"> 3.0 [1.5, 3.5];</w:t>
      </w:r>
      <w:r w:rsidR="00936617" w:rsidRPr="00515E74">
        <w:rPr>
          <w:rFonts w:ascii="Book Antiqua" w:eastAsia="Book Antiqua" w:hAnsi="Book Antiqua" w:cs="Book Antiqua"/>
          <w:i/>
          <w:iCs/>
          <w:noProof/>
        </w:rPr>
        <w:t xml:space="preserve"> P</w:t>
      </w:r>
      <w:r w:rsidR="00936617" w:rsidRPr="00515E74">
        <w:rPr>
          <w:rFonts w:ascii="Book Antiqua" w:hAnsi="Book Antiqua" w:cs="Book Antiqua"/>
          <w:i/>
          <w:iCs/>
          <w:noProof/>
          <w:lang w:eastAsia="zh-CN"/>
        </w:rPr>
        <w:t xml:space="preserve"> </w:t>
      </w:r>
      <w:r w:rsidR="00936617" w:rsidRPr="00515E74">
        <w:rPr>
          <w:rFonts w:ascii="Book Antiqua" w:eastAsia="Book Antiqua" w:hAnsi="Book Antiqua" w:cs="Book Antiqua"/>
          <w:noProof/>
        </w:rPr>
        <w:t>=</w:t>
      </w:r>
      <w:r w:rsidR="00936617" w:rsidRPr="00515E74">
        <w:rPr>
          <w:rFonts w:ascii="Book Antiqua" w:hAnsi="Book Antiqua" w:cs="Book Antiqua"/>
          <w:noProof/>
          <w:lang w:eastAsia="zh-CN"/>
        </w:rPr>
        <w:t xml:space="preserve"> </w:t>
      </w:r>
      <w:r w:rsidR="00936617" w:rsidRPr="00515E74">
        <w:rPr>
          <w:rFonts w:ascii="Book Antiqua" w:eastAsia="Book Antiqua" w:hAnsi="Book Antiqua" w:cs="Book Antiqua"/>
          <w:noProof/>
        </w:rPr>
        <w:t>0.038)</w:t>
      </w:r>
      <w:r w:rsidRPr="00244CD2">
        <w:rPr>
          <w:rFonts w:ascii="Book Antiqua" w:eastAsia="Book Antiqua" w:hAnsi="Book Antiqua" w:cs="Book Antiqua"/>
          <w:noProof/>
        </w:rPr>
        <w:t xml:space="preserve">, along with an increasing trend of bowel habit dissatisfaction </w:t>
      </w:r>
      <w:r w:rsidR="00225750" w:rsidRPr="00244CD2">
        <w:rPr>
          <w:rFonts w:ascii="Book Antiqua" w:eastAsia="Book Antiqua" w:hAnsi="Book Antiqua" w:cs="Book Antiqua"/>
          <w:noProof/>
        </w:rPr>
        <w:t>(</w:t>
      </w:r>
      <w:r w:rsidRPr="00244CD2">
        <w:rPr>
          <w:rFonts w:ascii="Book Antiqua" w:eastAsia="Book Antiqua" w:hAnsi="Book Antiqua" w:cs="Book Antiqua"/>
          <w:noProof/>
        </w:rPr>
        <w:t xml:space="preserve">70.0 </w:t>
      </w:r>
      <w:r w:rsidR="00225750" w:rsidRPr="00244CD2">
        <w:rPr>
          <w:rFonts w:ascii="Book Antiqua" w:eastAsia="Book Antiqua" w:hAnsi="Book Antiqua" w:cs="Book Antiqua"/>
          <w:noProof/>
        </w:rPr>
        <w:t>[</w:t>
      </w:r>
      <w:r w:rsidRPr="00244CD2">
        <w:rPr>
          <w:rFonts w:ascii="Book Antiqua" w:eastAsia="Book Antiqua" w:hAnsi="Book Antiqua" w:cs="Book Antiqua"/>
          <w:noProof/>
        </w:rPr>
        <w:t>60.0, 72.5</w:t>
      </w:r>
      <w:r w:rsidR="00225750" w:rsidRPr="00244CD2">
        <w:rPr>
          <w:rFonts w:ascii="Book Antiqua" w:eastAsia="Book Antiqua" w:hAnsi="Book Antiqua" w:cs="Book Antiqua"/>
          <w:noProof/>
        </w:rPr>
        <w:t>]</w:t>
      </w:r>
      <w:r w:rsidRPr="00244CD2">
        <w:rPr>
          <w:rFonts w:ascii="Book Antiqua" w:eastAsia="Book Antiqua" w:hAnsi="Book Antiqua" w:cs="Book Antiqua"/>
          <w:noProof/>
        </w:rPr>
        <w:t xml:space="preserve"> </w:t>
      </w:r>
      <w:r w:rsidRPr="00244CD2">
        <w:rPr>
          <w:rFonts w:ascii="Book Antiqua" w:eastAsia="Book Antiqua" w:hAnsi="Book Antiqua" w:cs="Book Antiqua"/>
          <w:i/>
          <w:iCs/>
          <w:noProof/>
        </w:rPr>
        <w:t>vs</w:t>
      </w:r>
      <w:r w:rsidRPr="00244CD2">
        <w:rPr>
          <w:rFonts w:ascii="Book Antiqua" w:eastAsia="Book Antiqua" w:hAnsi="Book Antiqua" w:cs="Book Antiqua"/>
          <w:noProof/>
        </w:rPr>
        <w:t xml:space="preserve"> 60.0 </w:t>
      </w:r>
      <w:r w:rsidR="00225750" w:rsidRPr="00244CD2">
        <w:rPr>
          <w:rFonts w:ascii="Book Antiqua" w:eastAsia="Book Antiqua" w:hAnsi="Book Antiqua" w:cs="Book Antiqua"/>
          <w:noProof/>
        </w:rPr>
        <w:t>[</w:t>
      </w:r>
      <w:r w:rsidRPr="00244CD2">
        <w:rPr>
          <w:rFonts w:ascii="Book Antiqua" w:eastAsia="Book Antiqua" w:hAnsi="Book Antiqua" w:cs="Book Antiqua"/>
          <w:noProof/>
        </w:rPr>
        <w:t>45.0, 70.0</w:t>
      </w:r>
      <w:r w:rsidR="00225750" w:rsidRPr="00244CD2">
        <w:rPr>
          <w:rFonts w:ascii="Book Antiqua" w:eastAsia="Book Antiqua" w:hAnsi="Book Antiqua" w:cs="Book Antiqua"/>
          <w:noProof/>
        </w:rPr>
        <w:t>];</w:t>
      </w:r>
      <w:r w:rsidRPr="00244CD2">
        <w:rPr>
          <w:rFonts w:ascii="Book Antiqua" w:eastAsia="Book Antiqua" w:hAnsi="Book Antiqua" w:cs="Book Antiqua"/>
          <w:i/>
          <w:iCs/>
          <w:noProof/>
        </w:rPr>
        <w:t xml:space="preserve"> P</w:t>
      </w:r>
      <w:r w:rsidR="00A42152" w:rsidRPr="00244CD2">
        <w:rPr>
          <w:rFonts w:ascii="Book Antiqua" w:hAnsi="Book Antiqua" w:cs="Book Antiqua"/>
          <w:i/>
          <w:iCs/>
          <w:noProof/>
          <w:lang w:eastAsia="zh-CN"/>
        </w:rPr>
        <w:t xml:space="preserve"> </w:t>
      </w:r>
      <w:r w:rsidRPr="00244CD2">
        <w:rPr>
          <w:rFonts w:ascii="Book Antiqua" w:eastAsia="Book Antiqua" w:hAnsi="Book Antiqua" w:cs="Book Antiqua"/>
          <w:noProof/>
        </w:rPr>
        <w:t>=</w:t>
      </w:r>
      <w:r w:rsidR="00A42152" w:rsidRPr="00244CD2">
        <w:rPr>
          <w:rFonts w:ascii="Book Antiqua" w:hAnsi="Book Antiqua" w:cs="Book Antiqua"/>
          <w:noProof/>
          <w:lang w:eastAsia="zh-CN"/>
        </w:rPr>
        <w:t xml:space="preserve"> </w:t>
      </w:r>
      <w:r w:rsidRPr="00244CD2">
        <w:rPr>
          <w:rFonts w:ascii="Book Antiqua" w:eastAsia="Book Antiqua" w:hAnsi="Book Antiqua" w:cs="Book Antiqua"/>
          <w:noProof/>
        </w:rPr>
        <w:t xml:space="preserve">0.059] and abdominal pain severity </w:t>
      </w:r>
      <w:r w:rsidR="00225750" w:rsidRPr="00244CD2">
        <w:rPr>
          <w:rFonts w:ascii="Book Antiqua" w:eastAsia="Book Antiqua" w:hAnsi="Book Antiqua" w:cs="Book Antiqua"/>
          <w:noProof/>
        </w:rPr>
        <w:t>(</w:t>
      </w:r>
      <w:r w:rsidRPr="00244CD2">
        <w:rPr>
          <w:rFonts w:ascii="Book Antiqua" w:eastAsia="Book Antiqua" w:hAnsi="Book Antiqua" w:cs="Book Antiqua"/>
          <w:noProof/>
        </w:rPr>
        <w:t xml:space="preserve">40.0 </w:t>
      </w:r>
      <w:r w:rsidR="00225750" w:rsidRPr="00244CD2">
        <w:rPr>
          <w:rFonts w:ascii="Book Antiqua" w:eastAsia="Book Antiqua" w:hAnsi="Book Antiqua" w:cs="Book Antiqua"/>
          <w:noProof/>
        </w:rPr>
        <w:t>[</w:t>
      </w:r>
      <w:r w:rsidRPr="00244CD2">
        <w:rPr>
          <w:rFonts w:ascii="Book Antiqua" w:eastAsia="Book Antiqua" w:hAnsi="Book Antiqua" w:cs="Book Antiqua"/>
          <w:noProof/>
        </w:rPr>
        <w:t>30.0, 60.0</w:t>
      </w:r>
      <w:r w:rsidR="00225750" w:rsidRPr="00244CD2">
        <w:rPr>
          <w:rFonts w:ascii="Book Antiqua" w:eastAsia="Book Antiqua" w:hAnsi="Book Antiqua" w:cs="Book Antiqua"/>
          <w:noProof/>
        </w:rPr>
        <w:t>]</w:t>
      </w:r>
      <w:r w:rsidRPr="00244CD2">
        <w:rPr>
          <w:rFonts w:ascii="Book Antiqua" w:eastAsia="Book Antiqua" w:hAnsi="Book Antiqua" w:cs="Book Antiqua"/>
          <w:noProof/>
        </w:rPr>
        <w:t xml:space="preserve"> </w:t>
      </w:r>
      <w:r w:rsidRPr="00244CD2">
        <w:rPr>
          <w:rFonts w:ascii="Book Antiqua" w:eastAsia="Book Antiqua" w:hAnsi="Book Antiqua" w:cs="Book Antiqua"/>
          <w:i/>
          <w:iCs/>
          <w:noProof/>
        </w:rPr>
        <w:t>vs</w:t>
      </w:r>
      <w:r w:rsidRPr="00244CD2">
        <w:rPr>
          <w:rFonts w:ascii="Book Antiqua" w:eastAsia="Book Antiqua" w:hAnsi="Book Antiqua" w:cs="Book Antiqua"/>
          <w:noProof/>
        </w:rPr>
        <w:t xml:space="preserve"> 30.0 </w:t>
      </w:r>
      <w:r w:rsidR="00225750" w:rsidRPr="00244CD2">
        <w:rPr>
          <w:rFonts w:ascii="Book Antiqua" w:eastAsia="Book Antiqua" w:hAnsi="Book Antiqua" w:cs="Book Antiqua"/>
          <w:noProof/>
        </w:rPr>
        <w:t>[</w:t>
      </w:r>
      <w:r w:rsidRPr="00244CD2">
        <w:rPr>
          <w:rFonts w:ascii="Book Antiqua" w:eastAsia="Book Antiqua" w:hAnsi="Book Antiqua" w:cs="Book Antiqua"/>
          <w:noProof/>
        </w:rPr>
        <w:t>20.0, 50.0</w:t>
      </w:r>
      <w:r w:rsidR="00225750" w:rsidRPr="00244CD2">
        <w:rPr>
          <w:rFonts w:ascii="Book Antiqua" w:eastAsia="Book Antiqua" w:hAnsi="Book Antiqua" w:cs="Book Antiqua"/>
          <w:noProof/>
        </w:rPr>
        <w:t>];</w:t>
      </w:r>
      <w:r w:rsidRPr="00244CD2">
        <w:rPr>
          <w:rFonts w:ascii="Book Antiqua" w:eastAsia="Book Antiqua" w:hAnsi="Book Antiqua" w:cs="Book Antiqua"/>
          <w:i/>
          <w:iCs/>
          <w:noProof/>
        </w:rPr>
        <w:t xml:space="preserve"> P</w:t>
      </w:r>
      <w:r w:rsidR="00A42152" w:rsidRPr="00244CD2">
        <w:rPr>
          <w:rFonts w:ascii="Book Antiqua" w:hAnsi="Book Antiqua" w:cs="Book Antiqua"/>
          <w:i/>
          <w:iCs/>
          <w:noProof/>
          <w:lang w:eastAsia="zh-CN"/>
        </w:rPr>
        <w:t xml:space="preserve"> </w:t>
      </w:r>
      <w:r w:rsidRPr="00244CD2">
        <w:rPr>
          <w:rFonts w:ascii="Book Antiqua" w:eastAsia="Book Antiqua" w:hAnsi="Book Antiqua" w:cs="Book Antiqua"/>
          <w:noProof/>
        </w:rPr>
        <w:t>=</w:t>
      </w:r>
      <w:r w:rsidR="00A42152" w:rsidRPr="00244CD2">
        <w:rPr>
          <w:rFonts w:ascii="Book Antiqua" w:hAnsi="Book Antiqua" w:cs="Book Antiqua"/>
          <w:noProof/>
          <w:lang w:eastAsia="zh-CN"/>
        </w:rPr>
        <w:t xml:space="preserve"> </w:t>
      </w:r>
      <w:r w:rsidRPr="00244CD2">
        <w:rPr>
          <w:rFonts w:ascii="Book Antiqua" w:eastAsia="Book Antiqua" w:hAnsi="Book Antiqua" w:cs="Book Antiqua"/>
          <w:noProof/>
        </w:rPr>
        <w:t>0.077</w:t>
      </w:r>
      <w:r w:rsidR="00225750" w:rsidRPr="00244CD2">
        <w:rPr>
          <w:rFonts w:ascii="Book Antiqua" w:eastAsia="Book Antiqua" w:hAnsi="Book Antiqua" w:cs="Book Antiqua"/>
          <w:noProof/>
        </w:rPr>
        <w:t>)</w:t>
      </w:r>
      <w:r w:rsidRPr="00244CD2">
        <w:rPr>
          <w:rFonts w:ascii="Book Antiqua" w:eastAsia="Book Antiqua" w:hAnsi="Book Antiqua" w:cs="Book Antiqua"/>
          <w:noProof/>
        </w:rPr>
        <w:t>. However, all of the clinical parameters aforementioned showed no significant difference between patients with high and low CBA/UBA ratios.</w:t>
      </w:r>
    </w:p>
    <w:p w14:paraId="71C33702" w14:textId="77777777" w:rsidR="00A77B3E" w:rsidRPr="00244CD2" w:rsidRDefault="00A77B3E" w:rsidP="00244CD2">
      <w:pPr>
        <w:snapToGrid w:val="0"/>
        <w:spacing w:line="360" w:lineRule="auto"/>
        <w:ind w:firstLine="480"/>
        <w:jc w:val="both"/>
        <w:rPr>
          <w:noProof/>
        </w:rPr>
      </w:pPr>
    </w:p>
    <w:p w14:paraId="69224F1F"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bCs/>
          <w:i/>
          <w:iCs/>
          <w:noProof/>
        </w:rPr>
        <w:t>Characteristics of the gut microbiome of IBS-D patients</w:t>
      </w:r>
    </w:p>
    <w:p w14:paraId="64423ACA" w14:textId="477E3ADC" w:rsidR="00A77B3E" w:rsidRPr="00244CD2" w:rsidRDefault="007356D0" w:rsidP="00244CD2">
      <w:pPr>
        <w:snapToGrid w:val="0"/>
        <w:spacing w:line="360" w:lineRule="auto"/>
        <w:jc w:val="both"/>
        <w:rPr>
          <w:noProof/>
        </w:rPr>
      </w:pPr>
      <w:r w:rsidRPr="00244CD2">
        <w:rPr>
          <w:rFonts w:ascii="Book Antiqua" w:eastAsia="Book Antiqua" w:hAnsi="Book Antiqua" w:cs="Book Antiqua"/>
          <w:noProof/>
        </w:rPr>
        <w:t>We performed 16S rRNA gene sequencing of the fecal samples from all subjects. Chao1 analysis exhibited a decrease of microbiota richness in IBS-D patients compared with HC</w:t>
      </w:r>
      <w:r w:rsidR="007571E6">
        <w:rPr>
          <w:rFonts w:ascii="Book Antiqua" w:eastAsia="Book Antiqua" w:hAnsi="Book Antiqua" w:cs="Book Antiqua"/>
          <w:noProof/>
        </w:rPr>
        <w:t>s</w:t>
      </w:r>
      <w:r w:rsidRPr="00244CD2">
        <w:rPr>
          <w:rFonts w:ascii="Book Antiqua" w:eastAsia="Book Antiqua" w:hAnsi="Book Antiqua" w:cs="Book Antiqua"/>
          <w:noProof/>
        </w:rPr>
        <w:t xml:space="preserve"> (</w:t>
      </w:r>
      <w:r w:rsidRPr="00244CD2">
        <w:rPr>
          <w:rFonts w:ascii="Book Antiqua" w:eastAsia="Book Antiqua" w:hAnsi="Book Antiqua" w:cs="Book Antiqua"/>
          <w:i/>
          <w:iCs/>
          <w:noProof/>
        </w:rPr>
        <w:t xml:space="preserve">P </w:t>
      </w:r>
      <w:r w:rsidR="00910AAB" w:rsidRPr="00244CD2">
        <w:rPr>
          <w:rFonts w:ascii="Book Antiqua" w:eastAsia="Book Antiqua" w:hAnsi="Book Antiqua" w:cs="Book Antiqua"/>
          <w:noProof/>
        </w:rPr>
        <w:t>&lt; 0.05) (Figure 2</w:t>
      </w:r>
      <w:r w:rsidRPr="00244CD2">
        <w:rPr>
          <w:rFonts w:ascii="Book Antiqua" w:eastAsia="Book Antiqua" w:hAnsi="Book Antiqua" w:cs="Book Antiqua"/>
          <w:noProof/>
        </w:rPr>
        <w:t>A), whereas the results of the Shannon and Simpson indices showed no evident differences in the diversity and evenness of the colonic microbiota. Unweighted and weighted UniFrac PCoA showed that the global microbiota structure of the samples of IBS-D patients differed significantly from that of HC</w:t>
      </w:r>
      <w:r w:rsidR="00225750" w:rsidRPr="00244CD2">
        <w:rPr>
          <w:rFonts w:ascii="Book Antiqua" w:eastAsia="Book Antiqua" w:hAnsi="Book Antiqua" w:cs="Book Antiqua"/>
          <w:noProof/>
        </w:rPr>
        <w:t>s</w:t>
      </w:r>
      <w:r w:rsidRPr="00244CD2">
        <w:rPr>
          <w:rFonts w:ascii="Book Antiqua" w:eastAsia="Book Antiqua" w:hAnsi="Book Antiqua" w:cs="Book Antiqua"/>
          <w:noProof/>
        </w:rPr>
        <w:t xml:space="preserve"> (</w:t>
      </w:r>
      <w:r w:rsidRPr="00244CD2">
        <w:rPr>
          <w:rFonts w:ascii="Book Antiqua" w:eastAsia="Book Antiqua" w:hAnsi="Book Antiqua" w:cs="Book Antiqua"/>
          <w:i/>
          <w:iCs/>
          <w:noProof/>
        </w:rPr>
        <w:t xml:space="preserve">P </w:t>
      </w:r>
      <w:r w:rsidR="00910AAB" w:rsidRPr="00244CD2">
        <w:rPr>
          <w:rFonts w:ascii="Book Antiqua" w:eastAsia="Book Antiqua" w:hAnsi="Book Antiqua" w:cs="Book Antiqua"/>
          <w:noProof/>
        </w:rPr>
        <w:t>&lt; 0.05) (Figure 2B</w:t>
      </w:r>
      <w:r w:rsidR="00910AAB" w:rsidRPr="00244CD2">
        <w:rPr>
          <w:rFonts w:ascii="Book Antiqua" w:hAnsi="Book Antiqua" w:cs="Book Antiqua"/>
          <w:noProof/>
          <w:lang w:eastAsia="zh-CN"/>
        </w:rPr>
        <w:t xml:space="preserve"> and </w:t>
      </w:r>
      <w:r w:rsidRPr="00244CD2">
        <w:rPr>
          <w:rFonts w:ascii="Book Antiqua" w:eastAsia="Book Antiqua" w:hAnsi="Book Antiqua" w:cs="Book Antiqua"/>
          <w:noProof/>
        </w:rPr>
        <w:t>C). The configuration of the gut microbiota in the two groups is shown in Figure 3.</w:t>
      </w:r>
    </w:p>
    <w:p w14:paraId="5BD6521D" w14:textId="09A8111C" w:rsidR="00A77B3E" w:rsidRPr="00244CD2" w:rsidRDefault="007356D0" w:rsidP="00244CD2">
      <w:pPr>
        <w:snapToGrid w:val="0"/>
        <w:spacing w:line="360" w:lineRule="auto"/>
        <w:ind w:firstLineChars="100" w:firstLine="240"/>
        <w:jc w:val="both"/>
        <w:rPr>
          <w:noProof/>
        </w:rPr>
      </w:pPr>
      <w:r w:rsidRPr="00244CD2">
        <w:rPr>
          <w:rFonts w:ascii="Book Antiqua" w:eastAsia="Book Antiqua" w:hAnsi="Book Antiqua" w:cs="Book Antiqua"/>
          <w:noProof/>
        </w:rPr>
        <w:t xml:space="preserve">Furthermore, distinguishing phylotypes at the phylum, class, order, family, and genus levels were analyzed </w:t>
      </w:r>
      <w:r w:rsidRPr="00244CD2">
        <w:rPr>
          <w:rFonts w:ascii="Book Antiqua" w:eastAsia="Book Antiqua" w:hAnsi="Book Antiqua" w:cs="Book Antiqua"/>
          <w:i/>
          <w:iCs/>
          <w:noProof/>
        </w:rPr>
        <w:t>via</w:t>
      </w:r>
      <w:r w:rsidRPr="00244CD2">
        <w:rPr>
          <w:rFonts w:ascii="Book Antiqua" w:eastAsia="Book Antiqua" w:hAnsi="Book Antiqua" w:cs="Book Antiqua"/>
          <w:noProof/>
        </w:rPr>
        <w:t xml:space="preserve"> LEfSe (Figure 4). As dominant phyla in human feces, the relative abundance of </w:t>
      </w:r>
      <w:r w:rsidR="007A4EF6" w:rsidRPr="00244CD2">
        <w:rPr>
          <w:rFonts w:ascii="Book Antiqua" w:eastAsia="Book Antiqua" w:hAnsi="Book Antiqua" w:cs="Book Antiqua"/>
          <w:i/>
          <w:noProof/>
        </w:rPr>
        <w:t>P</w:t>
      </w:r>
      <w:r w:rsidR="00910AAB" w:rsidRPr="00244CD2">
        <w:rPr>
          <w:rFonts w:ascii="Book Antiqua" w:eastAsia="Book Antiqua" w:hAnsi="Book Antiqua" w:cs="Book Antiqua"/>
          <w:i/>
          <w:noProof/>
        </w:rPr>
        <w:t>roteobacteria</w:t>
      </w:r>
      <w:r w:rsidR="00910AAB" w:rsidRPr="00244CD2">
        <w:rPr>
          <w:rFonts w:ascii="Book Antiqua" w:eastAsia="Book Antiqua" w:hAnsi="Book Antiqua" w:cs="Book Antiqua"/>
          <w:noProof/>
        </w:rPr>
        <w:t xml:space="preserve"> </w:t>
      </w:r>
      <w:r w:rsidRPr="00244CD2">
        <w:rPr>
          <w:rFonts w:ascii="Book Antiqua" w:eastAsia="Book Antiqua" w:hAnsi="Book Antiqua" w:cs="Book Antiqua"/>
          <w:noProof/>
        </w:rPr>
        <w:t>w</w:t>
      </w:r>
      <w:r w:rsidR="00576C65">
        <w:rPr>
          <w:rFonts w:ascii="Book Antiqua" w:eastAsia="Book Antiqua" w:hAnsi="Book Antiqua" w:cs="Book Antiqua" w:hint="eastAsia"/>
          <w:noProof/>
          <w:lang w:eastAsia="zh-CN"/>
        </w:rPr>
        <w:t>as</w:t>
      </w:r>
      <w:r w:rsidRPr="00244CD2">
        <w:rPr>
          <w:rFonts w:ascii="Book Antiqua" w:eastAsia="Book Antiqua" w:hAnsi="Book Antiqua" w:cs="Book Antiqua"/>
          <w:noProof/>
        </w:rPr>
        <w:t xml:space="preserve"> significantly higher in IBS-D group (P &lt; 0.001), and </w:t>
      </w:r>
      <w:r w:rsidR="00012716" w:rsidRPr="00244CD2">
        <w:rPr>
          <w:rFonts w:ascii="Book Antiqua" w:eastAsia="Book Antiqua" w:hAnsi="Book Antiqua" w:cs="Book Antiqua"/>
          <w:i/>
          <w:noProof/>
        </w:rPr>
        <w:t>B</w:t>
      </w:r>
      <w:r w:rsidR="00910AAB" w:rsidRPr="00244CD2">
        <w:rPr>
          <w:rFonts w:ascii="Book Antiqua" w:eastAsia="Book Antiqua" w:hAnsi="Book Antiqua" w:cs="Book Antiqua"/>
          <w:i/>
          <w:noProof/>
        </w:rPr>
        <w:t>acteroidetes</w:t>
      </w:r>
      <w:r w:rsidRPr="00244CD2">
        <w:rPr>
          <w:rFonts w:ascii="Book Antiqua" w:eastAsia="Book Antiqua" w:hAnsi="Book Antiqua" w:cs="Book Antiqua"/>
          <w:noProof/>
        </w:rPr>
        <w:t xml:space="preserve"> and </w:t>
      </w:r>
      <w:r w:rsidR="00012716" w:rsidRPr="00244CD2">
        <w:rPr>
          <w:rFonts w:ascii="Book Antiqua" w:eastAsia="Book Antiqua" w:hAnsi="Book Antiqua" w:cs="Book Antiqua"/>
          <w:i/>
          <w:noProof/>
        </w:rPr>
        <w:t>A</w:t>
      </w:r>
      <w:r w:rsidR="00910AAB" w:rsidRPr="00244CD2">
        <w:rPr>
          <w:rFonts w:ascii="Book Antiqua" w:eastAsia="Book Antiqua" w:hAnsi="Book Antiqua" w:cs="Book Antiqua"/>
          <w:i/>
          <w:noProof/>
        </w:rPr>
        <w:t>ctinobacteria</w:t>
      </w:r>
      <w:r w:rsidRPr="00244CD2">
        <w:rPr>
          <w:rFonts w:ascii="Book Antiqua" w:eastAsia="Book Antiqua" w:hAnsi="Book Antiqua" w:cs="Book Antiqua"/>
          <w:noProof/>
        </w:rPr>
        <w:t xml:space="preserve"> tended to increase while </w:t>
      </w:r>
      <w:r w:rsidR="00012716" w:rsidRPr="00244CD2">
        <w:rPr>
          <w:rFonts w:ascii="Book Antiqua" w:eastAsia="Book Antiqua" w:hAnsi="Book Antiqua" w:cs="Book Antiqua"/>
          <w:i/>
          <w:noProof/>
        </w:rPr>
        <w:t>F</w:t>
      </w:r>
      <w:r w:rsidR="00910AAB" w:rsidRPr="00244CD2">
        <w:rPr>
          <w:rFonts w:ascii="Book Antiqua" w:eastAsia="Book Antiqua" w:hAnsi="Book Antiqua" w:cs="Book Antiqua"/>
          <w:i/>
          <w:noProof/>
        </w:rPr>
        <w:t>irmicutes</w:t>
      </w:r>
      <w:r w:rsidRPr="00244CD2">
        <w:rPr>
          <w:rFonts w:ascii="Book Antiqua" w:eastAsia="Book Antiqua" w:hAnsi="Book Antiqua" w:cs="Book Antiqua"/>
          <w:noProof/>
        </w:rPr>
        <w:t xml:space="preserve"> tended to decrease in </w:t>
      </w:r>
      <w:r w:rsidR="00225750" w:rsidRPr="00244CD2">
        <w:rPr>
          <w:rFonts w:ascii="Book Antiqua" w:eastAsia="Book Antiqua" w:hAnsi="Book Antiqua" w:cs="Book Antiqua"/>
          <w:noProof/>
        </w:rPr>
        <w:t xml:space="preserve">the </w:t>
      </w:r>
      <w:r w:rsidRPr="00244CD2">
        <w:rPr>
          <w:rFonts w:ascii="Book Antiqua" w:eastAsia="Book Antiqua" w:hAnsi="Book Antiqua" w:cs="Book Antiqua"/>
          <w:noProof/>
        </w:rPr>
        <w:t xml:space="preserve">IBS-D group. </w:t>
      </w:r>
      <w:r w:rsidR="00914999">
        <w:rPr>
          <w:rFonts w:ascii="Book Antiqua" w:eastAsia="Book Antiqua" w:hAnsi="Book Antiqua" w:cs="Book Antiqua"/>
          <w:noProof/>
        </w:rPr>
        <w:t xml:space="preserve">The </w:t>
      </w:r>
      <w:r w:rsidR="00914999">
        <w:rPr>
          <w:rFonts w:ascii="Book Antiqua" w:eastAsia="Book Antiqua" w:hAnsi="Book Antiqua" w:cs="Book Antiqua" w:hint="eastAsia"/>
          <w:noProof/>
          <w:lang w:eastAsia="zh-CN"/>
        </w:rPr>
        <w:t>gut</w:t>
      </w:r>
      <w:r w:rsidR="00914999">
        <w:rPr>
          <w:rFonts w:ascii="Book Antiqua" w:eastAsia="Book Antiqua" w:hAnsi="Book Antiqua" w:cs="Book Antiqua"/>
          <w:noProof/>
          <w:lang w:eastAsia="zh-CN"/>
        </w:rPr>
        <w:t xml:space="preserve"> microbiota </w:t>
      </w:r>
      <w:r w:rsidR="00B126C4">
        <w:rPr>
          <w:rFonts w:ascii="Book Antiqua" w:eastAsia="Book Antiqua" w:hAnsi="Book Antiqua" w:cs="Book Antiqua"/>
          <w:noProof/>
          <w:lang w:eastAsia="zh-CN"/>
        </w:rPr>
        <w:t xml:space="preserve">of </w:t>
      </w:r>
      <w:r w:rsidRPr="000854CC">
        <w:rPr>
          <w:rFonts w:ascii="Book Antiqua" w:eastAsia="Book Antiqua" w:hAnsi="Book Antiqua" w:cs="Book Antiqua"/>
          <w:color w:val="000000"/>
        </w:rPr>
        <w:t xml:space="preserve">IBS-D patients were characterized by decreased </w:t>
      </w:r>
      <w:r w:rsidRPr="000854CC">
        <w:rPr>
          <w:rFonts w:ascii="Book Antiqua" w:eastAsia="Book Antiqua" w:hAnsi="Book Antiqua" w:cs="Book Antiqua"/>
          <w:color w:val="000000"/>
        </w:rPr>
        <w:lastRenderedPageBreak/>
        <w:t xml:space="preserve">relative abundance of the class </w:t>
      </w:r>
      <w:r w:rsidR="00910AAB" w:rsidRPr="000854CC">
        <w:rPr>
          <w:rFonts w:ascii="Book Antiqua" w:eastAsia="Book Antiqua" w:hAnsi="Book Antiqua" w:cs="Book Antiqua"/>
          <w:i/>
          <w:color w:val="000000"/>
        </w:rPr>
        <w:t>clostridia</w:t>
      </w:r>
      <w:r w:rsidRPr="000854CC">
        <w:rPr>
          <w:rFonts w:ascii="Book Antiqua" w:eastAsia="Book Antiqua" w:hAnsi="Book Antiqua" w:cs="Book Antiqua"/>
          <w:color w:val="000000"/>
        </w:rPr>
        <w:t xml:space="preserve"> </w:t>
      </w:r>
      <w:r w:rsidR="00225750" w:rsidRPr="000854CC">
        <w:rPr>
          <w:rFonts w:ascii="Book Antiqua" w:eastAsia="Book Antiqua" w:hAnsi="Book Antiqua" w:cs="Book Antiqua"/>
          <w:color w:val="000000"/>
        </w:rPr>
        <w:t>(</w:t>
      </w:r>
      <w:r w:rsidRPr="000854CC">
        <w:rPr>
          <w:rFonts w:ascii="Book Antiqua" w:eastAsia="Book Antiqua" w:hAnsi="Book Antiqua" w:cs="Book Antiqua"/>
          <w:color w:val="000000"/>
        </w:rPr>
        <w:t xml:space="preserve">LDA score </w:t>
      </w:r>
      <w:r w:rsidR="00225750" w:rsidRPr="000854CC">
        <w:rPr>
          <w:rFonts w:ascii="Book Antiqua" w:eastAsia="Book Antiqua" w:hAnsi="Book Antiqua" w:cs="Book Antiqua"/>
          <w:color w:val="000000"/>
        </w:rPr>
        <w:t>[</w:t>
      </w:r>
      <w:r w:rsidRPr="000854CC">
        <w:rPr>
          <w:rFonts w:ascii="Book Antiqua" w:eastAsia="Book Antiqua" w:hAnsi="Book Antiqua" w:cs="Book Antiqua"/>
          <w:color w:val="000000"/>
        </w:rPr>
        <w:t>log10</w:t>
      </w:r>
      <w:r w:rsidR="00225750" w:rsidRPr="000854CC">
        <w:rPr>
          <w:rFonts w:ascii="Book Antiqua" w:eastAsia="Book Antiqua" w:hAnsi="Book Antiqua" w:cs="Book Antiqua"/>
          <w:color w:val="000000"/>
        </w:rPr>
        <w:t>]</w:t>
      </w:r>
      <w:r w:rsidRPr="000854CC">
        <w:rPr>
          <w:rFonts w:ascii="Book Antiqua" w:eastAsia="Book Antiqua" w:hAnsi="Book Antiqua" w:cs="Book Antiqua"/>
          <w:color w:val="000000"/>
        </w:rPr>
        <w:t xml:space="preserve"> &gt; 4.8, </w:t>
      </w:r>
      <w:r w:rsidRPr="000854CC">
        <w:rPr>
          <w:rFonts w:ascii="Book Antiqua" w:eastAsia="Book Antiqua" w:hAnsi="Book Antiqua" w:cs="Book Antiqua"/>
          <w:i/>
          <w:iCs/>
          <w:color w:val="000000"/>
        </w:rPr>
        <w:t>P</w:t>
      </w:r>
      <w:r w:rsidRPr="000854CC">
        <w:rPr>
          <w:rFonts w:ascii="Book Antiqua" w:eastAsia="Book Antiqua" w:hAnsi="Book Antiqua" w:cs="Book Antiqua"/>
          <w:color w:val="000000"/>
        </w:rPr>
        <w:t xml:space="preserve"> = 0.011</w:t>
      </w:r>
      <w:r w:rsidR="00225750" w:rsidRPr="000854CC">
        <w:rPr>
          <w:rFonts w:ascii="Book Antiqua" w:eastAsia="Book Antiqua" w:hAnsi="Book Antiqua" w:cs="Book Antiqua"/>
          <w:color w:val="000000"/>
        </w:rPr>
        <w:t>)</w:t>
      </w:r>
      <w:r w:rsidRPr="000854CC">
        <w:rPr>
          <w:rFonts w:ascii="Book Antiqua" w:eastAsia="Book Antiqua" w:hAnsi="Book Antiqua" w:cs="Book Antiqua"/>
          <w:color w:val="000000"/>
        </w:rPr>
        <w:t xml:space="preserve">, the order </w:t>
      </w:r>
      <w:proofErr w:type="spellStart"/>
      <w:r w:rsidR="00012716" w:rsidRPr="000854CC">
        <w:rPr>
          <w:rFonts w:ascii="Book Antiqua" w:eastAsia="Book Antiqua" w:hAnsi="Book Antiqua" w:cs="Book Antiqua"/>
          <w:i/>
          <w:color w:val="000000"/>
        </w:rPr>
        <w:t>C</w:t>
      </w:r>
      <w:r w:rsidR="00910AAB" w:rsidRPr="000854CC">
        <w:rPr>
          <w:rFonts w:ascii="Book Antiqua" w:eastAsia="Book Antiqua" w:hAnsi="Book Antiqua" w:cs="Book Antiqua"/>
          <w:i/>
          <w:color w:val="000000"/>
        </w:rPr>
        <w:t>lostridiales</w:t>
      </w:r>
      <w:proofErr w:type="spellEnd"/>
      <w:r w:rsidRPr="000854CC">
        <w:rPr>
          <w:rFonts w:ascii="Book Antiqua" w:eastAsia="Book Antiqua" w:hAnsi="Book Antiqua" w:cs="Book Antiqua"/>
          <w:color w:val="000000"/>
        </w:rPr>
        <w:t xml:space="preserve"> </w:t>
      </w:r>
      <w:r w:rsidR="00225750" w:rsidRPr="000854CC">
        <w:rPr>
          <w:rFonts w:ascii="Book Antiqua" w:eastAsia="Book Antiqua" w:hAnsi="Book Antiqua" w:cs="Book Antiqua"/>
          <w:color w:val="000000"/>
        </w:rPr>
        <w:t>(</w:t>
      </w:r>
      <w:r w:rsidRPr="000854CC">
        <w:rPr>
          <w:rFonts w:ascii="Book Antiqua" w:eastAsia="Book Antiqua" w:hAnsi="Book Antiqua" w:cs="Book Antiqua"/>
          <w:color w:val="000000"/>
        </w:rPr>
        <w:t xml:space="preserve">LDA score </w:t>
      </w:r>
      <w:r w:rsidR="00225750" w:rsidRPr="000854CC">
        <w:rPr>
          <w:rFonts w:ascii="Book Antiqua" w:eastAsia="Book Antiqua" w:hAnsi="Book Antiqua" w:cs="Book Antiqua"/>
          <w:color w:val="000000"/>
        </w:rPr>
        <w:t>[</w:t>
      </w:r>
      <w:r w:rsidRPr="000854CC">
        <w:rPr>
          <w:rFonts w:ascii="Book Antiqua" w:eastAsia="Book Antiqua" w:hAnsi="Book Antiqua" w:cs="Book Antiqua"/>
          <w:color w:val="000000"/>
        </w:rPr>
        <w:t>log10</w:t>
      </w:r>
      <w:r w:rsidR="00225750" w:rsidRPr="000854CC">
        <w:rPr>
          <w:rFonts w:ascii="Book Antiqua" w:eastAsia="Book Antiqua" w:hAnsi="Book Antiqua" w:cs="Book Antiqua"/>
          <w:color w:val="000000"/>
        </w:rPr>
        <w:t>]</w:t>
      </w:r>
      <w:r w:rsidRPr="000854CC">
        <w:rPr>
          <w:rFonts w:ascii="Book Antiqua" w:eastAsia="Book Antiqua" w:hAnsi="Book Antiqua" w:cs="Book Antiqua"/>
          <w:color w:val="000000"/>
        </w:rPr>
        <w:t xml:space="preserve"> &gt; 4.8, </w:t>
      </w:r>
      <w:r w:rsidRPr="000854CC">
        <w:rPr>
          <w:rFonts w:ascii="Book Antiqua" w:eastAsia="Book Antiqua" w:hAnsi="Book Antiqua" w:cs="Book Antiqua"/>
          <w:i/>
          <w:iCs/>
          <w:color w:val="000000"/>
        </w:rPr>
        <w:t>P</w:t>
      </w:r>
      <w:r w:rsidRPr="000854CC">
        <w:rPr>
          <w:rFonts w:ascii="Book Antiqua" w:eastAsia="Book Antiqua" w:hAnsi="Book Antiqua" w:cs="Book Antiqua"/>
          <w:color w:val="000000"/>
        </w:rPr>
        <w:t xml:space="preserve"> = 0.011</w:t>
      </w:r>
      <w:r w:rsidR="00225750" w:rsidRPr="000854CC">
        <w:rPr>
          <w:rFonts w:ascii="Book Antiqua" w:eastAsia="Book Antiqua" w:hAnsi="Book Antiqua" w:cs="Book Antiqua"/>
          <w:color w:val="000000"/>
        </w:rPr>
        <w:t>)</w:t>
      </w:r>
      <w:r w:rsidRPr="000854CC">
        <w:rPr>
          <w:rFonts w:ascii="Book Antiqua" w:eastAsia="Book Antiqua" w:hAnsi="Book Antiqua" w:cs="Book Antiqua"/>
          <w:color w:val="000000"/>
        </w:rPr>
        <w:t xml:space="preserve">, and the </w:t>
      </w:r>
      <w:r w:rsidR="00012716" w:rsidRPr="000854CC">
        <w:rPr>
          <w:rFonts w:ascii="Book Antiqua" w:eastAsia="Book Antiqua" w:hAnsi="Book Antiqua" w:cs="Book Antiqua"/>
          <w:color w:val="000000"/>
        </w:rPr>
        <w:t>family</w:t>
      </w:r>
      <w:r w:rsidR="00012716" w:rsidRPr="000854CC">
        <w:rPr>
          <w:rFonts w:ascii="Book Antiqua" w:eastAsia="Book Antiqua" w:hAnsi="Book Antiqua" w:cs="Book Antiqua"/>
          <w:i/>
          <w:color w:val="000000"/>
        </w:rPr>
        <w:t xml:space="preserve"> </w:t>
      </w:r>
      <w:proofErr w:type="spellStart"/>
      <w:r w:rsidR="002D00F9" w:rsidRPr="000854CC">
        <w:rPr>
          <w:rFonts w:ascii="Book Antiqua" w:eastAsia="Book Antiqua" w:hAnsi="Book Antiqua" w:cs="Book Antiqua"/>
          <w:i/>
          <w:color w:val="000000"/>
        </w:rPr>
        <w:t>Ruminococcaceae</w:t>
      </w:r>
      <w:proofErr w:type="spellEnd"/>
      <w:r w:rsidRPr="000854CC">
        <w:rPr>
          <w:rFonts w:ascii="Book Antiqua" w:eastAsia="Book Antiqua" w:hAnsi="Book Antiqua" w:cs="Book Antiqua"/>
          <w:color w:val="000000"/>
        </w:rPr>
        <w:t xml:space="preserve"> </w:t>
      </w:r>
      <w:r w:rsidR="00225750" w:rsidRPr="000854CC">
        <w:rPr>
          <w:rFonts w:ascii="Book Antiqua" w:eastAsia="Book Antiqua" w:hAnsi="Book Antiqua" w:cs="Book Antiqua"/>
          <w:color w:val="000000"/>
        </w:rPr>
        <w:t>(</w:t>
      </w:r>
      <w:r w:rsidRPr="000854CC">
        <w:rPr>
          <w:rFonts w:ascii="Book Antiqua" w:eastAsia="Book Antiqua" w:hAnsi="Book Antiqua" w:cs="Book Antiqua"/>
          <w:color w:val="000000"/>
        </w:rPr>
        <w:t xml:space="preserve">LDA score </w:t>
      </w:r>
      <w:r w:rsidR="00225750" w:rsidRPr="000854CC">
        <w:rPr>
          <w:rFonts w:ascii="Book Antiqua" w:eastAsia="Book Antiqua" w:hAnsi="Book Antiqua" w:cs="Book Antiqua"/>
          <w:color w:val="000000"/>
        </w:rPr>
        <w:t>[</w:t>
      </w:r>
      <w:r w:rsidRPr="000854CC">
        <w:rPr>
          <w:rFonts w:ascii="Book Antiqua" w:eastAsia="Book Antiqua" w:hAnsi="Book Antiqua" w:cs="Book Antiqua"/>
          <w:color w:val="000000"/>
        </w:rPr>
        <w:t>log10</w:t>
      </w:r>
      <w:r w:rsidR="00225750" w:rsidRPr="000854CC">
        <w:rPr>
          <w:rFonts w:ascii="Book Antiqua" w:eastAsia="Book Antiqua" w:hAnsi="Book Antiqua" w:cs="Book Antiqua"/>
          <w:color w:val="000000"/>
        </w:rPr>
        <w:t>]</w:t>
      </w:r>
      <w:r w:rsidRPr="000854CC">
        <w:rPr>
          <w:rFonts w:ascii="Book Antiqua" w:eastAsia="Book Antiqua" w:hAnsi="Book Antiqua" w:cs="Book Antiqua"/>
          <w:color w:val="000000"/>
        </w:rPr>
        <w:t xml:space="preserve"> &gt; 4.8, </w:t>
      </w:r>
      <w:r w:rsidRPr="000854CC">
        <w:rPr>
          <w:rFonts w:ascii="Book Antiqua" w:eastAsia="Book Antiqua" w:hAnsi="Book Antiqua" w:cs="Book Antiqua"/>
          <w:i/>
          <w:iCs/>
          <w:color w:val="000000"/>
        </w:rPr>
        <w:t>P</w:t>
      </w:r>
      <w:r w:rsidRPr="000854CC">
        <w:rPr>
          <w:rFonts w:ascii="Book Antiqua" w:eastAsia="Book Antiqua" w:hAnsi="Book Antiqua" w:cs="Book Antiqua"/>
          <w:color w:val="000000"/>
        </w:rPr>
        <w:t xml:space="preserve"> </w:t>
      </w:r>
      <w:r w:rsidR="00910AAB" w:rsidRPr="000854CC">
        <w:rPr>
          <w:rFonts w:ascii="Book Antiqua" w:hAnsi="Book Antiqua" w:cs="Book Antiqua"/>
          <w:color w:val="000000"/>
          <w:lang w:eastAsia="zh-CN"/>
        </w:rPr>
        <w:t xml:space="preserve">&lt; </w:t>
      </w:r>
      <w:r w:rsidRPr="000854CC">
        <w:rPr>
          <w:rFonts w:ascii="Book Antiqua" w:eastAsia="Book Antiqua" w:hAnsi="Book Antiqua" w:cs="Book Antiqua"/>
          <w:color w:val="000000"/>
        </w:rPr>
        <w:t>0.001</w:t>
      </w:r>
      <w:r w:rsidR="00225750" w:rsidRPr="000854CC">
        <w:rPr>
          <w:rFonts w:ascii="Book Antiqua" w:eastAsia="Book Antiqua" w:hAnsi="Book Antiqua" w:cs="Book Antiqua"/>
          <w:color w:val="000000"/>
        </w:rPr>
        <w:t>)</w:t>
      </w:r>
      <w:r w:rsidRPr="000854CC">
        <w:rPr>
          <w:rFonts w:ascii="Book Antiqua" w:eastAsia="Book Antiqua" w:hAnsi="Book Antiqua" w:cs="Book Antiqua"/>
          <w:color w:val="000000"/>
        </w:rPr>
        <w:t xml:space="preserve">, and increased relative abundances of the class </w:t>
      </w:r>
      <w:proofErr w:type="spellStart"/>
      <w:r w:rsidR="0071108A" w:rsidRPr="000854CC">
        <w:rPr>
          <w:rFonts w:ascii="Book Antiqua" w:eastAsia="Book Antiqua" w:hAnsi="Book Antiqua" w:cs="Book Antiqua"/>
          <w:i/>
          <w:color w:val="000000"/>
        </w:rPr>
        <w:t>G</w:t>
      </w:r>
      <w:r w:rsidR="00910AAB" w:rsidRPr="000854CC">
        <w:rPr>
          <w:rFonts w:ascii="Book Antiqua" w:eastAsia="Book Antiqua" w:hAnsi="Book Antiqua" w:cs="Book Antiqua"/>
          <w:i/>
          <w:color w:val="000000"/>
        </w:rPr>
        <w:t>ammaproteobacteria</w:t>
      </w:r>
      <w:proofErr w:type="spellEnd"/>
      <w:r w:rsidRPr="000854CC">
        <w:rPr>
          <w:rFonts w:ascii="Book Antiqua" w:eastAsia="Book Antiqua" w:hAnsi="Book Antiqua" w:cs="Book Antiqua"/>
          <w:color w:val="000000"/>
        </w:rPr>
        <w:t xml:space="preserve"> </w:t>
      </w:r>
      <w:r w:rsidR="00225750" w:rsidRPr="000854CC">
        <w:rPr>
          <w:rFonts w:ascii="Book Antiqua" w:eastAsia="Book Antiqua" w:hAnsi="Book Antiqua" w:cs="Book Antiqua"/>
          <w:color w:val="000000"/>
        </w:rPr>
        <w:t>(</w:t>
      </w:r>
      <w:r w:rsidRPr="000854CC">
        <w:rPr>
          <w:rFonts w:ascii="Book Antiqua" w:eastAsia="Book Antiqua" w:hAnsi="Book Antiqua" w:cs="Book Antiqua"/>
          <w:color w:val="000000"/>
        </w:rPr>
        <w:t xml:space="preserve">LDA score </w:t>
      </w:r>
      <w:r w:rsidR="00225750" w:rsidRPr="000854CC">
        <w:rPr>
          <w:rFonts w:ascii="Book Antiqua" w:eastAsia="Book Antiqua" w:hAnsi="Book Antiqua" w:cs="Book Antiqua"/>
          <w:color w:val="000000"/>
        </w:rPr>
        <w:t>[</w:t>
      </w:r>
      <w:r w:rsidRPr="000854CC">
        <w:rPr>
          <w:rFonts w:ascii="Book Antiqua" w:eastAsia="Book Antiqua" w:hAnsi="Book Antiqua" w:cs="Book Antiqua"/>
          <w:color w:val="000000"/>
        </w:rPr>
        <w:t>log10</w:t>
      </w:r>
      <w:r w:rsidR="00225750" w:rsidRPr="000854CC">
        <w:rPr>
          <w:rFonts w:ascii="Book Antiqua" w:eastAsia="Book Antiqua" w:hAnsi="Book Antiqua" w:cs="Book Antiqua"/>
          <w:color w:val="000000"/>
        </w:rPr>
        <w:t>]</w:t>
      </w:r>
      <w:r w:rsidRPr="000854CC">
        <w:rPr>
          <w:rFonts w:ascii="Book Antiqua" w:eastAsia="Book Antiqua" w:hAnsi="Book Antiqua" w:cs="Book Antiqua"/>
          <w:color w:val="000000"/>
        </w:rPr>
        <w:t xml:space="preserve"> &gt; 3.6, </w:t>
      </w:r>
      <w:r w:rsidRPr="000854CC">
        <w:rPr>
          <w:rFonts w:ascii="Book Antiqua" w:eastAsia="Book Antiqua" w:hAnsi="Book Antiqua" w:cs="Book Antiqua"/>
          <w:i/>
          <w:iCs/>
          <w:color w:val="000000"/>
        </w:rPr>
        <w:t>P</w:t>
      </w:r>
      <w:r w:rsidRPr="000854CC">
        <w:rPr>
          <w:rFonts w:ascii="Book Antiqua" w:eastAsia="Book Antiqua" w:hAnsi="Book Antiqua" w:cs="Book Antiqua"/>
          <w:color w:val="000000"/>
        </w:rPr>
        <w:t xml:space="preserve"> </w:t>
      </w:r>
      <w:r w:rsidR="00910AAB" w:rsidRPr="000854CC">
        <w:rPr>
          <w:rFonts w:ascii="Book Antiqua" w:hAnsi="Book Antiqua" w:cs="Book Antiqua"/>
          <w:color w:val="000000"/>
          <w:lang w:eastAsia="zh-CN"/>
        </w:rPr>
        <w:t>&lt;</w:t>
      </w:r>
      <w:r w:rsidRPr="000854CC">
        <w:rPr>
          <w:rFonts w:ascii="Book Antiqua" w:eastAsia="Book Antiqua" w:hAnsi="Book Antiqua" w:cs="Book Antiqua"/>
          <w:color w:val="000000"/>
        </w:rPr>
        <w:t xml:space="preserve"> 0.001</w:t>
      </w:r>
      <w:r w:rsidR="00225750" w:rsidRPr="000854CC">
        <w:rPr>
          <w:rFonts w:ascii="Book Antiqua" w:eastAsia="Book Antiqua" w:hAnsi="Book Antiqua" w:cs="Book Antiqua"/>
          <w:color w:val="000000"/>
        </w:rPr>
        <w:t>)</w:t>
      </w:r>
      <w:r w:rsidRPr="000854CC">
        <w:rPr>
          <w:rFonts w:ascii="Book Antiqua" w:eastAsia="Book Antiqua" w:hAnsi="Book Antiqua" w:cs="Book Antiqua"/>
          <w:color w:val="000000"/>
        </w:rPr>
        <w:t xml:space="preserve">, the order </w:t>
      </w:r>
      <w:proofErr w:type="spellStart"/>
      <w:r w:rsidR="0071108A" w:rsidRPr="000854CC">
        <w:rPr>
          <w:rFonts w:ascii="Book Antiqua" w:eastAsia="Book Antiqua" w:hAnsi="Book Antiqua" w:cs="Book Antiqua"/>
          <w:i/>
          <w:color w:val="000000"/>
        </w:rPr>
        <w:t>E</w:t>
      </w:r>
      <w:r w:rsidR="00910AAB" w:rsidRPr="000854CC">
        <w:rPr>
          <w:rFonts w:ascii="Book Antiqua" w:eastAsia="Book Antiqua" w:hAnsi="Book Antiqua" w:cs="Book Antiqua"/>
          <w:i/>
          <w:color w:val="000000"/>
        </w:rPr>
        <w:t>nterobacteriales</w:t>
      </w:r>
      <w:proofErr w:type="spellEnd"/>
      <w:r w:rsidR="00910AAB" w:rsidRPr="000854CC">
        <w:rPr>
          <w:rFonts w:ascii="Book Antiqua" w:eastAsia="Book Antiqua" w:hAnsi="Book Antiqua" w:cs="Book Antiqua"/>
          <w:i/>
          <w:color w:val="000000"/>
        </w:rPr>
        <w:t xml:space="preserve"> </w:t>
      </w:r>
      <w:r w:rsidR="00225750" w:rsidRPr="000854CC">
        <w:rPr>
          <w:rFonts w:ascii="Book Antiqua" w:eastAsia="Book Antiqua" w:hAnsi="Book Antiqua" w:cs="Book Antiqua"/>
          <w:color w:val="000000"/>
        </w:rPr>
        <w:t>(</w:t>
      </w:r>
      <w:r w:rsidRPr="000854CC">
        <w:rPr>
          <w:rFonts w:ascii="Book Antiqua" w:eastAsia="Book Antiqua" w:hAnsi="Book Antiqua" w:cs="Book Antiqua"/>
          <w:color w:val="000000"/>
        </w:rPr>
        <w:t xml:space="preserve">LDA score </w:t>
      </w:r>
      <w:r w:rsidR="00225750" w:rsidRPr="000854CC">
        <w:rPr>
          <w:rFonts w:ascii="Book Antiqua" w:eastAsia="Book Antiqua" w:hAnsi="Book Antiqua" w:cs="Book Antiqua"/>
          <w:color w:val="000000"/>
        </w:rPr>
        <w:t>[</w:t>
      </w:r>
      <w:r w:rsidRPr="000854CC">
        <w:rPr>
          <w:rFonts w:ascii="Book Antiqua" w:eastAsia="Book Antiqua" w:hAnsi="Book Antiqua" w:cs="Book Antiqua"/>
          <w:color w:val="000000"/>
        </w:rPr>
        <w:t>log10</w:t>
      </w:r>
      <w:r w:rsidR="00225750" w:rsidRPr="000854CC">
        <w:rPr>
          <w:rFonts w:ascii="Book Antiqua" w:eastAsia="Book Antiqua" w:hAnsi="Book Antiqua" w:cs="Book Antiqua"/>
          <w:color w:val="000000"/>
        </w:rPr>
        <w:t>]</w:t>
      </w:r>
      <w:r w:rsidRPr="000854CC">
        <w:rPr>
          <w:rFonts w:ascii="Book Antiqua" w:eastAsia="Book Antiqua" w:hAnsi="Book Antiqua" w:cs="Book Antiqua"/>
          <w:color w:val="000000"/>
        </w:rPr>
        <w:t xml:space="preserve"> &gt; 3.6, </w:t>
      </w:r>
      <w:r w:rsidRPr="000854CC">
        <w:rPr>
          <w:rFonts w:ascii="Book Antiqua" w:eastAsia="Book Antiqua" w:hAnsi="Book Antiqua" w:cs="Book Antiqua"/>
          <w:i/>
          <w:iCs/>
          <w:color w:val="000000"/>
        </w:rPr>
        <w:t>P</w:t>
      </w:r>
      <w:r w:rsidRPr="000854CC">
        <w:rPr>
          <w:rFonts w:ascii="Book Antiqua" w:eastAsia="Book Antiqua" w:hAnsi="Book Antiqua" w:cs="Book Antiqua"/>
          <w:color w:val="000000"/>
        </w:rPr>
        <w:t xml:space="preserve"> </w:t>
      </w:r>
      <w:r w:rsidR="00910AAB" w:rsidRPr="000854CC">
        <w:rPr>
          <w:rFonts w:ascii="Book Antiqua" w:hAnsi="Book Antiqua" w:cs="Book Antiqua"/>
          <w:color w:val="000000"/>
          <w:lang w:eastAsia="zh-CN"/>
        </w:rPr>
        <w:t>&lt;</w:t>
      </w:r>
      <w:r w:rsidRPr="000854CC">
        <w:rPr>
          <w:rFonts w:ascii="Book Antiqua" w:eastAsia="Book Antiqua" w:hAnsi="Book Antiqua" w:cs="Book Antiqua"/>
          <w:color w:val="000000"/>
        </w:rPr>
        <w:t xml:space="preserve"> 0.001</w:t>
      </w:r>
      <w:r w:rsidR="00225750" w:rsidRPr="000854CC">
        <w:rPr>
          <w:rFonts w:ascii="Book Antiqua" w:eastAsia="Book Antiqua" w:hAnsi="Book Antiqua" w:cs="Book Antiqua"/>
          <w:color w:val="000000"/>
        </w:rPr>
        <w:t>)</w:t>
      </w:r>
      <w:r w:rsidRPr="000854CC">
        <w:rPr>
          <w:rFonts w:ascii="Book Antiqua" w:eastAsia="Book Antiqua" w:hAnsi="Book Antiqua" w:cs="Book Antiqua"/>
          <w:color w:val="000000"/>
        </w:rPr>
        <w:t xml:space="preserve">, and the </w:t>
      </w:r>
      <w:r w:rsidR="0071108A" w:rsidRPr="000854CC">
        <w:rPr>
          <w:rFonts w:ascii="Book Antiqua" w:eastAsia="Book Antiqua" w:hAnsi="Book Antiqua" w:cs="Book Antiqua"/>
          <w:color w:val="000000"/>
        </w:rPr>
        <w:t>family</w:t>
      </w:r>
      <w:r w:rsidR="0071108A" w:rsidRPr="000854CC">
        <w:rPr>
          <w:rFonts w:ascii="Book Antiqua" w:eastAsia="Book Antiqua" w:hAnsi="Book Antiqua" w:cs="Book Antiqua"/>
          <w:i/>
          <w:color w:val="000000"/>
        </w:rPr>
        <w:t xml:space="preserve"> E</w:t>
      </w:r>
      <w:r w:rsidR="00910AAB" w:rsidRPr="000854CC">
        <w:rPr>
          <w:rFonts w:ascii="Book Antiqua" w:eastAsia="Book Antiqua" w:hAnsi="Book Antiqua" w:cs="Book Antiqua"/>
          <w:i/>
          <w:color w:val="000000"/>
        </w:rPr>
        <w:t>nterobacteriaceae</w:t>
      </w:r>
      <w:r w:rsidRPr="000854CC">
        <w:rPr>
          <w:rFonts w:ascii="Book Antiqua" w:eastAsia="Book Antiqua" w:hAnsi="Book Antiqua" w:cs="Book Antiqua"/>
          <w:color w:val="000000"/>
        </w:rPr>
        <w:t xml:space="preserve"> </w:t>
      </w:r>
      <w:r w:rsidR="00225750" w:rsidRPr="000854CC">
        <w:rPr>
          <w:rFonts w:ascii="Book Antiqua" w:eastAsia="Book Antiqua" w:hAnsi="Book Antiqua" w:cs="Book Antiqua"/>
          <w:color w:val="000000"/>
        </w:rPr>
        <w:t>(</w:t>
      </w:r>
      <w:r w:rsidRPr="000854CC">
        <w:rPr>
          <w:rFonts w:ascii="Book Antiqua" w:eastAsia="Book Antiqua" w:hAnsi="Book Antiqua" w:cs="Book Antiqua"/>
          <w:color w:val="000000"/>
        </w:rPr>
        <w:t xml:space="preserve">LDA score </w:t>
      </w:r>
      <w:r w:rsidR="00225750" w:rsidRPr="000854CC">
        <w:rPr>
          <w:rFonts w:ascii="Book Antiqua" w:eastAsia="Book Antiqua" w:hAnsi="Book Antiqua" w:cs="Book Antiqua"/>
          <w:color w:val="000000"/>
        </w:rPr>
        <w:t>[</w:t>
      </w:r>
      <w:r w:rsidRPr="000854CC">
        <w:rPr>
          <w:rFonts w:ascii="Book Antiqua" w:eastAsia="Book Antiqua" w:hAnsi="Book Antiqua" w:cs="Book Antiqua"/>
          <w:color w:val="000000"/>
        </w:rPr>
        <w:t>log10</w:t>
      </w:r>
      <w:r w:rsidR="00225750" w:rsidRPr="000854CC">
        <w:rPr>
          <w:rFonts w:ascii="Book Antiqua" w:eastAsia="Book Antiqua" w:hAnsi="Book Antiqua" w:cs="Book Antiqua"/>
          <w:color w:val="000000"/>
        </w:rPr>
        <w:t>]</w:t>
      </w:r>
      <w:r w:rsidRPr="000854CC">
        <w:rPr>
          <w:rFonts w:ascii="Book Antiqua" w:eastAsia="Book Antiqua" w:hAnsi="Book Antiqua" w:cs="Book Antiqua"/>
          <w:color w:val="000000"/>
        </w:rPr>
        <w:t xml:space="preserve"> &gt; 3.6, </w:t>
      </w:r>
      <w:r w:rsidRPr="000854CC">
        <w:rPr>
          <w:rFonts w:ascii="Book Antiqua" w:eastAsia="Book Antiqua" w:hAnsi="Book Antiqua" w:cs="Book Antiqua"/>
          <w:i/>
          <w:iCs/>
          <w:color w:val="000000"/>
        </w:rPr>
        <w:t>P</w:t>
      </w:r>
      <w:r w:rsidRPr="000854CC">
        <w:rPr>
          <w:rFonts w:ascii="Book Antiqua" w:eastAsia="Book Antiqua" w:hAnsi="Book Antiqua" w:cs="Book Antiqua"/>
          <w:color w:val="000000"/>
        </w:rPr>
        <w:t xml:space="preserve"> </w:t>
      </w:r>
      <w:r w:rsidR="00910AAB" w:rsidRPr="000854CC">
        <w:rPr>
          <w:rFonts w:ascii="Book Antiqua" w:hAnsi="Book Antiqua" w:cs="Book Antiqua"/>
          <w:color w:val="000000"/>
          <w:lang w:eastAsia="zh-CN"/>
        </w:rPr>
        <w:t>&lt;</w:t>
      </w:r>
      <w:r w:rsidRPr="000854CC">
        <w:rPr>
          <w:rFonts w:ascii="Book Antiqua" w:eastAsia="Book Antiqua" w:hAnsi="Book Antiqua" w:cs="Book Antiqua"/>
          <w:color w:val="000000"/>
        </w:rPr>
        <w:t xml:space="preserve"> 0.001</w:t>
      </w:r>
      <w:r w:rsidR="00225750" w:rsidRPr="000854CC">
        <w:rPr>
          <w:rFonts w:ascii="Book Antiqua" w:eastAsia="Book Antiqua" w:hAnsi="Book Antiqua" w:cs="Book Antiqua"/>
          <w:color w:val="000000"/>
        </w:rPr>
        <w:t>)</w:t>
      </w:r>
      <w:r w:rsidRPr="000854CC">
        <w:rPr>
          <w:rFonts w:ascii="Book Antiqua" w:eastAsia="Book Antiqua" w:hAnsi="Book Antiqua" w:cs="Book Antiqua"/>
          <w:color w:val="000000"/>
        </w:rPr>
        <w:t xml:space="preserve">. At the genus level, </w:t>
      </w:r>
      <w:r w:rsidR="001E118B" w:rsidRPr="000854CC">
        <w:rPr>
          <w:rFonts w:ascii="Book Antiqua" w:eastAsia="Book Antiqua" w:hAnsi="Book Antiqua" w:cs="Book Antiqua"/>
          <w:color w:val="000000"/>
        </w:rPr>
        <w:t xml:space="preserve">12 </w:t>
      </w:r>
      <w:r w:rsidRPr="000854CC">
        <w:rPr>
          <w:rFonts w:ascii="Book Antiqua" w:eastAsia="Book Antiqua" w:hAnsi="Book Antiqua" w:cs="Book Antiqua"/>
          <w:color w:val="000000"/>
        </w:rPr>
        <w:t>genera were significantly less abundant (</w:t>
      </w:r>
      <w:r w:rsidRPr="000854CC">
        <w:rPr>
          <w:rFonts w:ascii="Book Antiqua" w:eastAsia="Book Antiqua" w:hAnsi="Book Antiqua" w:cs="Book Antiqua"/>
          <w:i/>
          <w:iCs/>
          <w:color w:val="000000"/>
        </w:rPr>
        <w:t>P</w:t>
      </w:r>
      <w:r w:rsidRPr="000854CC">
        <w:rPr>
          <w:rFonts w:ascii="Book Antiqua" w:eastAsia="Book Antiqua" w:hAnsi="Book Antiqua" w:cs="Book Antiqua"/>
          <w:color w:val="000000"/>
        </w:rPr>
        <w:t xml:space="preserve"> </w:t>
      </w:r>
      <w:r w:rsidR="00910AAB" w:rsidRPr="000854CC">
        <w:rPr>
          <w:rFonts w:ascii="Book Antiqua" w:hAnsi="Book Antiqua" w:cs="Book Antiqua"/>
          <w:color w:val="000000"/>
          <w:lang w:eastAsia="zh-CN"/>
        </w:rPr>
        <w:t>&lt;</w:t>
      </w:r>
      <w:r w:rsidRPr="000854CC">
        <w:rPr>
          <w:rFonts w:ascii="Book Antiqua" w:eastAsia="Book Antiqua" w:hAnsi="Book Antiqua" w:cs="Book Antiqua"/>
          <w:color w:val="000000"/>
        </w:rPr>
        <w:t xml:space="preserve"> 0.05) in the fecal microbiota of IBS-D patients, including 6 genera in </w:t>
      </w:r>
      <w:proofErr w:type="spellStart"/>
      <w:r w:rsidR="002D00F9" w:rsidRPr="000854CC">
        <w:rPr>
          <w:rFonts w:ascii="Book Antiqua" w:eastAsia="Book Antiqua" w:hAnsi="Book Antiqua" w:cs="Book Antiqua"/>
          <w:i/>
          <w:color w:val="000000"/>
        </w:rPr>
        <w:t>Ruminococcaceae</w:t>
      </w:r>
      <w:proofErr w:type="spellEnd"/>
      <w:r w:rsidRPr="000854CC">
        <w:rPr>
          <w:rFonts w:ascii="Book Antiqua" w:eastAsia="Book Antiqua" w:hAnsi="Book Antiqua" w:cs="Book Antiqua"/>
          <w:color w:val="000000"/>
        </w:rPr>
        <w:t xml:space="preserve"> (</w:t>
      </w:r>
      <w:proofErr w:type="spellStart"/>
      <w:r w:rsidR="00AF2146" w:rsidRPr="000854CC">
        <w:rPr>
          <w:rFonts w:ascii="Book Antiqua" w:eastAsia="Book Antiqua" w:hAnsi="Book Antiqua" w:cs="Book Antiqua"/>
          <w:i/>
          <w:iCs/>
          <w:color w:val="000000"/>
        </w:rPr>
        <w:t>A</w:t>
      </w:r>
      <w:r w:rsidR="00FE69D3" w:rsidRPr="000854CC">
        <w:rPr>
          <w:rFonts w:ascii="Book Antiqua" w:eastAsia="Book Antiqua" w:hAnsi="Book Antiqua" w:cs="Book Antiqua"/>
          <w:i/>
          <w:iCs/>
          <w:color w:val="000000"/>
        </w:rPr>
        <w:t>naerofilum</w:t>
      </w:r>
      <w:proofErr w:type="spellEnd"/>
      <w:r w:rsidR="00FE69D3" w:rsidRPr="000854CC">
        <w:rPr>
          <w:rFonts w:ascii="Book Antiqua" w:eastAsia="Book Antiqua" w:hAnsi="Book Antiqua" w:cs="Book Antiqua"/>
          <w:color w:val="000000"/>
        </w:rPr>
        <w:t xml:space="preserve">, </w:t>
      </w:r>
      <w:proofErr w:type="spellStart"/>
      <w:r w:rsidR="00AF2146" w:rsidRPr="000854CC">
        <w:rPr>
          <w:rFonts w:ascii="Book Antiqua" w:eastAsia="Book Antiqua" w:hAnsi="Book Antiqua" w:cs="Book Antiqua"/>
          <w:i/>
          <w:iCs/>
          <w:color w:val="000000"/>
        </w:rPr>
        <w:t>A</w:t>
      </w:r>
      <w:r w:rsidR="00FE69D3" w:rsidRPr="000854CC">
        <w:rPr>
          <w:rFonts w:ascii="Book Antiqua" w:eastAsia="Book Antiqua" w:hAnsi="Book Antiqua" w:cs="Book Antiqua"/>
          <w:i/>
          <w:iCs/>
          <w:color w:val="000000"/>
        </w:rPr>
        <w:t>naerotruncus</w:t>
      </w:r>
      <w:proofErr w:type="spellEnd"/>
      <w:r w:rsidR="00FE69D3" w:rsidRPr="000854CC">
        <w:rPr>
          <w:rFonts w:ascii="Book Antiqua" w:eastAsia="Book Antiqua" w:hAnsi="Book Antiqua" w:cs="Book Antiqua"/>
          <w:color w:val="000000"/>
        </w:rPr>
        <w:t xml:space="preserve">, </w:t>
      </w:r>
      <w:r w:rsidR="00AF2146" w:rsidRPr="000854CC">
        <w:rPr>
          <w:rFonts w:ascii="Book Antiqua" w:eastAsia="Book Antiqua" w:hAnsi="Book Antiqua" w:cs="Book Antiqua"/>
          <w:i/>
          <w:iCs/>
          <w:color w:val="000000"/>
        </w:rPr>
        <w:t>C</w:t>
      </w:r>
      <w:r w:rsidR="00FE69D3" w:rsidRPr="000854CC">
        <w:rPr>
          <w:rFonts w:ascii="Book Antiqua" w:eastAsia="Book Antiqua" w:hAnsi="Book Antiqua" w:cs="Book Antiqua"/>
          <w:i/>
          <w:iCs/>
          <w:color w:val="000000"/>
        </w:rPr>
        <w:t xml:space="preserve">lostridium </w:t>
      </w:r>
      <w:r w:rsidR="00AF2146" w:rsidRPr="000854CC">
        <w:rPr>
          <w:rFonts w:ascii="Book Antiqua" w:eastAsia="Book Antiqua" w:hAnsi="Book Antiqua" w:cs="Book Antiqua"/>
          <w:i/>
          <w:iCs/>
          <w:color w:val="000000"/>
        </w:rPr>
        <w:t>IV</w:t>
      </w:r>
      <w:r w:rsidR="00FE69D3" w:rsidRPr="000854CC">
        <w:rPr>
          <w:rFonts w:ascii="Book Antiqua" w:eastAsia="Book Antiqua" w:hAnsi="Book Antiqua" w:cs="Book Antiqua"/>
          <w:color w:val="000000"/>
        </w:rPr>
        <w:t xml:space="preserve">, </w:t>
      </w:r>
      <w:proofErr w:type="spellStart"/>
      <w:r w:rsidR="00AF2146" w:rsidRPr="000854CC">
        <w:rPr>
          <w:rFonts w:ascii="Book Antiqua" w:eastAsia="Book Antiqua" w:hAnsi="Book Antiqua" w:cs="Book Antiqua"/>
          <w:i/>
          <w:iCs/>
          <w:color w:val="000000"/>
        </w:rPr>
        <w:t>F</w:t>
      </w:r>
      <w:r w:rsidR="00FE69D3" w:rsidRPr="000854CC">
        <w:rPr>
          <w:rFonts w:ascii="Book Antiqua" w:eastAsia="Book Antiqua" w:hAnsi="Book Antiqua" w:cs="Book Antiqua"/>
          <w:i/>
          <w:iCs/>
          <w:color w:val="000000"/>
        </w:rPr>
        <w:t>aecalibacterium</w:t>
      </w:r>
      <w:proofErr w:type="spellEnd"/>
      <w:r w:rsidR="00FE69D3" w:rsidRPr="000854CC">
        <w:rPr>
          <w:rFonts w:ascii="Book Antiqua" w:eastAsia="Book Antiqua" w:hAnsi="Book Antiqua" w:cs="Book Antiqua"/>
          <w:color w:val="000000"/>
        </w:rPr>
        <w:t xml:space="preserve">, </w:t>
      </w:r>
      <w:proofErr w:type="spellStart"/>
      <w:r w:rsidR="00AF2146" w:rsidRPr="000854CC">
        <w:rPr>
          <w:rFonts w:ascii="Book Antiqua" w:eastAsia="Book Antiqua" w:hAnsi="Book Antiqua" w:cs="Book Antiqua"/>
          <w:i/>
          <w:iCs/>
          <w:color w:val="000000"/>
        </w:rPr>
        <w:t>G</w:t>
      </w:r>
      <w:r w:rsidR="00FE69D3" w:rsidRPr="000854CC">
        <w:rPr>
          <w:rFonts w:ascii="Book Antiqua" w:eastAsia="Book Antiqua" w:hAnsi="Book Antiqua" w:cs="Book Antiqua"/>
          <w:i/>
          <w:iCs/>
          <w:color w:val="000000"/>
        </w:rPr>
        <w:t>emmiger</w:t>
      </w:r>
      <w:proofErr w:type="spellEnd"/>
      <w:r w:rsidR="00FE69D3" w:rsidRPr="000854CC">
        <w:rPr>
          <w:rFonts w:ascii="Book Antiqua" w:eastAsia="Book Antiqua" w:hAnsi="Book Antiqua" w:cs="Book Antiqua"/>
          <w:color w:val="000000"/>
        </w:rPr>
        <w:t xml:space="preserve">, and </w:t>
      </w:r>
      <w:proofErr w:type="spellStart"/>
      <w:r w:rsidR="00AF2146" w:rsidRPr="000854CC">
        <w:rPr>
          <w:rFonts w:ascii="Book Antiqua" w:eastAsia="Book Antiqua" w:hAnsi="Book Antiqua" w:cs="Book Antiqua"/>
          <w:i/>
          <w:iCs/>
          <w:color w:val="000000"/>
        </w:rPr>
        <w:t>O</w:t>
      </w:r>
      <w:r w:rsidR="00FE69D3" w:rsidRPr="000854CC">
        <w:rPr>
          <w:rFonts w:ascii="Book Antiqua" w:eastAsia="Book Antiqua" w:hAnsi="Book Antiqua" w:cs="Book Antiqua"/>
          <w:i/>
          <w:iCs/>
          <w:color w:val="000000"/>
        </w:rPr>
        <w:t>scillibacter</w:t>
      </w:r>
      <w:proofErr w:type="spellEnd"/>
      <w:r w:rsidRPr="000854CC">
        <w:rPr>
          <w:rFonts w:ascii="Book Antiqua" w:eastAsia="Book Antiqua" w:hAnsi="Book Antiqua" w:cs="Book Antiqua"/>
          <w:color w:val="000000"/>
        </w:rPr>
        <w:t xml:space="preserve">), 2 genera in the family </w:t>
      </w:r>
      <w:proofErr w:type="spellStart"/>
      <w:r w:rsidR="002D00F9" w:rsidRPr="000854CC">
        <w:rPr>
          <w:rFonts w:ascii="Book Antiqua" w:eastAsia="Book Antiqua" w:hAnsi="Book Antiqua" w:cs="Book Antiqua"/>
          <w:i/>
          <w:color w:val="000000"/>
        </w:rPr>
        <w:t>Lachnospiraceae</w:t>
      </w:r>
      <w:proofErr w:type="spellEnd"/>
      <w:r w:rsidRPr="000854CC">
        <w:rPr>
          <w:rFonts w:ascii="Book Antiqua" w:eastAsia="Book Antiqua" w:hAnsi="Book Antiqua" w:cs="Book Antiqua"/>
          <w:color w:val="000000"/>
        </w:rPr>
        <w:t xml:space="preserve"> (</w:t>
      </w:r>
      <w:r w:rsidR="00AF2146" w:rsidRPr="000854CC">
        <w:rPr>
          <w:rFonts w:ascii="Book Antiqua" w:eastAsia="Book Antiqua" w:hAnsi="Book Antiqua" w:cs="Book Antiqua"/>
          <w:i/>
          <w:iCs/>
          <w:color w:val="000000"/>
        </w:rPr>
        <w:t>C</w:t>
      </w:r>
      <w:r w:rsidR="00FE69D3" w:rsidRPr="000854CC">
        <w:rPr>
          <w:rFonts w:ascii="Book Antiqua" w:eastAsia="Book Antiqua" w:hAnsi="Book Antiqua" w:cs="Book Antiqua"/>
          <w:i/>
          <w:iCs/>
          <w:color w:val="000000"/>
        </w:rPr>
        <w:t xml:space="preserve">lostridium </w:t>
      </w:r>
      <w:proofErr w:type="spellStart"/>
      <w:r w:rsidRPr="000854CC">
        <w:rPr>
          <w:rFonts w:ascii="Book Antiqua" w:eastAsia="Book Antiqua" w:hAnsi="Book Antiqua" w:cs="Book Antiqua"/>
          <w:i/>
          <w:iCs/>
          <w:color w:val="000000"/>
        </w:rPr>
        <w:t>XlVb</w:t>
      </w:r>
      <w:proofErr w:type="spellEnd"/>
      <w:r w:rsidRPr="000854CC">
        <w:rPr>
          <w:rFonts w:ascii="Book Antiqua" w:eastAsia="Book Antiqua" w:hAnsi="Book Antiqua" w:cs="Book Antiqua"/>
          <w:color w:val="000000"/>
        </w:rPr>
        <w:t xml:space="preserve"> and </w:t>
      </w:r>
      <w:proofErr w:type="spellStart"/>
      <w:r w:rsidR="00AF2146" w:rsidRPr="000854CC">
        <w:rPr>
          <w:rFonts w:ascii="Book Antiqua" w:eastAsia="Book Antiqua" w:hAnsi="Book Antiqua" w:cs="Book Antiqua"/>
          <w:i/>
          <w:iCs/>
          <w:color w:val="000000"/>
        </w:rPr>
        <w:t>C</w:t>
      </w:r>
      <w:r w:rsidR="00FE69D3" w:rsidRPr="000854CC">
        <w:rPr>
          <w:rFonts w:ascii="Book Antiqua" w:eastAsia="Book Antiqua" w:hAnsi="Book Antiqua" w:cs="Book Antiqua"/>
          <w:i/>
          <w:iCs/>
          <w:color w:val="000000"/>
        </w:rPr>
        <w:t>oprococcus</w:t>
      </w:r>
      <w:proofErr w:type="spellEnd"/>
      <w:r w:rsidRPr="000854CC">
        <w:rPr>
          <w:rFonts w:ascii="Book Antiqua" w:eastAsia="Book Antiqua" w:hAnsi="Book Antiqua" w:cs="Book Antiqua"/>
          <w:color w:val="000000"/>
        </w:rPr>
        <w:t xml:space="preserve">), 2 genera in the family </w:t>
      </w:r>
      <w:bookmarkStart w:id="28" w:name="OLE_LINK17"/>
      <w:bookmarkStart w:id="29" w:name="OLE_LINK18"/>
      <w:bookmarkStart w:id="30" w:name="OLE_LINK19"/>
      <w:proofErr w:type="spellStart"/>
      <w:r w:rsidR="002D00F9" w:rsidRPr="000854CC">
        <w:rPr>
          <w:rFonts w:ascii="Book Antiqua" w:eastAsia="Book Antiqua" w:hAnsi="Book Antiqua" w:cs="Book Antiqua"/>
          <w:i/>
          <w:color w:val="000000"/>
        </w:rPr>
        <w:t>Porphyromonadaceae</w:t>
      </w:r>
      <w:bookmarkEnd w:id="28"/>
      <w:bookmarkEnd w:id="29"/>
      <w:bookmarkEnd w:id="30"/>
      <w:proofErr w:type="spellEnd"/>
      <w:r w:rsidRPr="000854CC">
        <w:rPr>
          <w:rFonts w:ascii="Book Antiqua" w:eastAsia="Book Antiqua" w:hAnsi="Book Antiqua" w:cs="Book Antiqua"/>
          <w:i/>
          <w:color w:val="000000"/>
        </w:rPr>
        <w:t xml:space="preserve"> </w:t>
      </w:r>
      <w:r w:rsidRPr="000854CC">
        <w:rPr>
          <w:rFonts w:ascii="Book Antiqua" w:eastAsia="Book Antiqua" w:hAnsi="Book Antiqua" w:cs="Book Antiqua"/>
          <w:color w:val="000000"/>
        </w:rPr>
        <w:t>(</w:t>
      </w:r>
      <w:bookmarkStart w:id="31" w:name="OLE_LINK20"/>
      <w:bookmarkStart w:id="32" w:name="OLE_LINK21"/>
      <w:proofErr w:type="spellStart"/>
      <w:r w:rsidR="00AF2146" w:rsidRPr="000854CC">
        <w:rPr>
          <w:rFonts w:ascii="Book Antiqua" w:eastAsia="Book Antiqua" w:hAnsi="Book Antiqua" w:cs="Book Antiqua"/>
          <w:i/>
          <w:iCs/>
          <w:color w:val="000000"/>
        </w:rPr>
        <w:t>B</w:t>
      </w:r>
      <w:r w:rsidR="00FE69D3" w:rsidRPr="000854CC">
        <w:rPr>
          <w:rFonts w:ascii="Book Antiqua" w:eastAsia="Book Antiqua" w:hAnsi="Book Antiqua" w:cs="Book Antiqua"/>
          <w:i/>
          <w:iCs/>
          <w:color w:val="000000"/>
        </w:rPr>
        <w:t>arnesiella</w:t>
      </w:r>
      <w:bookmarkEnd w:id="31"/>
      <w:bookmarkEnd w:id="32"/>
      <w:proofErr w:type="spellEnd"/>
      <w:r w:rsidR="00FE69D3" w:rsidRPr="000854CC">
        <w:rPr>
          <w:rFonts w:ascii="Book Antiqua" w:eastAsia="Book Antiqua" w:hAnsi="Book Antiqua" w:cs="Book Antiqua"/>
          <w:color w:val="000000"/>
        </w:rPr>
        <w:t xml:space="preserve"> and</w:t>
      </w:r>
      <w:r w:rsidR="00FE69D3" w:rsidRPr="000854CC">
        <w:rPr>
          <w:rFonts w:ascii="Book Antiqua" w:eastAsia="Book Antiqua" w:hAnsi="Book Antiqua" w:cs="Book Antiqua"/>
          <w:i/>
          <w:color w:val="000000"/>
        </w:rPr>
        <w:t xml:space="preserve"> </w:t>
      </w:r>
      <w:proofErr w:type="spellStart"/>
      <w:r w:rsidR="00AF2146" w:rsidRPr="000854CC">
        <w:rPr>
          <w:rFonts w:ascii="Book Antiqua" w:eastAsia="Book Antiqua" w:hAnsi="Book Antiqua" w:cs="Book Antiqua"/>
          <w:i/>
          <w:iCs/>
          <w:color w:val="000000"/>
        </w:rPr>
        <w:t>O</w:t>
      </w:r>
      <w:r w:rsidR="00FE69D3" w:rsidRPr="000854CC">
        <w:rPr>
          <w:rFonts w:ascii="Book Antiqua" w:eastAsia="Book Antiqua" w:hAnsi="Book Antiqua" w:cs="Book Antiqua"/>
          <w:i/>
          <w:iCs/>
          <w:color w:val="000000"/>
        </w:rPr>
        <w:t>doribacte</w:t>
      </w:r>
      <w:r w:rsidRPr="000854CC">
        <w:rPr>
          <w:rFonts w:ascii="Book Antiqua" w:eastAsia="Book Antiqua" w:hAnsi="Book Antiqua" w:cs="Book Antiqua"/>
          <w:i/>
          <w:iCs/>
          <w:color w:val="000000"/>
        </w:rPr>
        <w:t>r</w:t>
      </w:r>
      <w:proofErr w:type="spellEnd"/>
      <w:r w:rsidRPr="000854CC">
        <w:rPr>
          <w:rFonts w:ascii="Book Antiqua" w:eastAsia="Book Antiqua" w:hAnsi="Book Antiqua" w:cs="Book Antiqua"/>
          <w:color w:val="000000"/>
        </w:rPr>
        <w:t xml:space="preserve">), 1 genus in the family </w:t>
      </w:r>
      <w:proofErr w:type="spellStart"/>
      <w:r w:rsidR="002D00F9" w:rsidRPr="000854CC">
        <w:rPr>
          <w:rFonts w:ascii="Book Antiqua" w:eastAsia="Book Antiqua" w:hAnsi="Book Antiqua" w:cs="Book Antiqua"/>
          <w:i/>
          <w:color w:val="000000"/>
        </w:rPr>
        <w:t>Rikenellaceae</w:t>
      </w:r>
      <w:proofErr w:type="spellEnd"/>
      <w:r w:rsidRPr="000854CC">
        <w:rPr>
          <w:rFonts w:ascii="Book Antiqua" w:eastAsia="Book Antiqua" w:hAnsi="Book Antiqua" w:cs="Book Antiqua"/>
          <w:color w:val="000000"/>
        </w:rPr>
        <w:t xml:space="preserve"> (</w:t>
      </w:r>
      <w:proofErr w:type="spellStart"/>
      <w:r w:rsidR="00AF2146" w:rsidRPr="000854CC">
        <w:rPr>
          <w:rFonts w:ascii="Book Antiqua" w:eastAsia="Book Antiqua" w:hAnsi="Book Antiqua" w:cs="Book Antiqua"/>
          <w:i/>
          <w:iCs/>
          <w:color w:val="000000"/>
        </w:rPr>
        <w:t>A</w:t>
      </w:r>
      <w:r w:rsidR="00096E5A" w:rsidRPr="000854CC">
        <w:rPr>
          <w:rFonts w:ascii="Book Antiqua" w:eastAsia="Book Antiqua" w:hAnsi="Book Antiqua" w:cs="Book Antiqua"/>
          <w:i/>
          <w:iCs/>
          <w:color w:val="000000"/>
        </w:rPr>
        <w:t>listipes</w:t>
      </w:r>
      <w:proofErr w:type="spellEnd"/>
      <w:r w:rsidRPr="000854CC">
        <w:rPr>
          <w:rFonts w:ascii="Book Antiqua" w:eastAsia="Book Antiqua" w:hAnsi="Book Antiqua" w:cs="Book Antiqua"/>
          <w:color w:val="000000"/>
        </w:rPr>
        <w:t xml:space="preserve">) and 1 genus in the family </w:t>
      </w:r>
      <w:proofErr w:type="spellStart"/>
      <w:r w:rsidR="00AF2146" w:rsidRPr="000854CC">
        <w:rPr>
          <w:rFonts w:ascii="Book Antiqua" w:eastAsia="Book Antiqua" w:hAnsi="Book Antiqua" w:cs="Book Antiqua"/>
          <w:i/>
          <w:color w:val="000000"/>
        </w:rPr>
        <w:t>S</w:t>
      </w:r>
      <w:r w:rsidR="00FE69D3" w:rsidRPr="000854CC">
        <w:rPr>
          <w:rFonts w:ascii="Book Antiqua" w:eastAsia="Book Antiqua" w:hAnsi="Book Antiqua" w:cs="Book Antiqua"/>
          <w:i/>
          <w:color w:val="000000"/>
        </w:rPr>
        <w:t>ynergistaceae</w:t>
      </w:r>
      <w:proofErr w:type="spellEnd"/>
      <w:r w:rsidR="00FE69D3" w:rsidRPr="000854CC">
        <w:rPr>
          <w:rFonts w:ascii="Book Antiqua" w:eastAsia="Book Antiqua" w:hAnsi="Book Antiqua" w:cs="Book Antiqua"/>
          <w:color w:val="000000"/>
        </w:rPr>
        <w:t xml:space="preserve"> (</w:t>
      </w:r>
      <w:proofErr w:type="spellStart"/>
      <w:r w:rsidR="00AF2146" w:rsidRPr="000854CC">
        <w:rPr>
          <w:rFonts w:ascii="Book Antiqua" w:eastAsia="Book Antiqua" w:hAnsi="Book Antiqua" w:cs="Book Antiqua"/>
          <w:i/>
          <w:iCs/>
          <w:color w:val="000000"/>
        </w:rPr>
        <w:t>C</w:t>
      </w:r>
      <w:r w:rsidR="00FE69D3" w:rsidRPr="000854CC">
        <w:rPr>
          <w:rFonts w:ascii="Book Antiqua" w:eastAsia="Book Antiqua" w:hAnsi="Book Antiqua" w:cs="Book Antiqua"/>
          <w:i/>
          <w:iCs/>
          <w:color w:val="000000"/>
        </w:rPr>
        <w:t>loacibacillus</w:t>
      </w:r>
      <w:proofErr w:type="spellEnd"/>
      <w:r w:rsidR="00FE69D3" w:rsidRPr="000854CC">
        <w:rPr>
          <w:rFonts w:ascii="Book Antiqua" w:eastAsia="Book Antiqua" w:hAnsi="Book Antiqua" w:cs="Book Antiqua"/>
          <w:color w:val="000000"/>
        </w:rPr>
        <w:t>)</w:t>
      </w:r>
      <w:r w:rsidRPr="000854CC">
        <w:rPr>
          <w:rFonts w:ascii="Book Antiqua" w:eastAsia="Book Antiqua" w:hAnsi="Book Antiqua" w:cs="Book Antiqua"/>
          <w:color w:val="000000"/>
        </w:rPr>
        <w:t xml:space="preserve">, yet the differences of </w:t>
      </w:r>
      <w:r w:rsidR="00AF2146" w:rsidRPr="000854CC">
        <w:rPr>
          <w:rFonts w:ascii="Book Antiqua" w:eastAsia="Book Antiqua" w:hAnsi="Book Antiqua" w:cs="Book Antiqua"/>
          <w:i/>
          <w:iCs/>
          <w:color w:val="000000"/>
        </w:rPr>
        <w:t>C</w:t>
      </w:r>
      <w:r w:rsidR="00096E5A" w:rsidRPr="000854CC">
        <w:rPr>
          <w:rFonts w:ascii="Book Antiqua" w:eastAsia="Book Antiqua" w:hAnsi="Book Antiqua" w:cs="Book Antiqua"/>
          <w:i/>
          <w:iCs/>
          <w:color w:val="000000"/>
        </w:rPr>
        <w:t xml:space="preserve">lostridium </w:t>
      </w:r>
      <w:r w:rsidRPr="000854CC">
        <w:rPr>
          <w:rFonts w:ascii="Book Antiqua" w:eastAsia="Book Antiqua" w:hAnsi="Book Antiqua" w:cs="Book Antiqua"/>
          <w:i/>
          <w:iCs/>
          <w:color w:val="000000"/>
        </w:rPr>
        <w:t>IV</w:t>
      </w:r>
      <w:r w:rsidRPr="000854CC">
        <w:rPr>
          <w:rFonts w:ascii="Book Antiqua" w:eastAsia="Book Antiqua" w:hAnsi="Book Antiqua" w:cs="Book Antiqua"/>
          <w:color w:val="000000"/>
        </w:rPr>
        <w:t>,</w:t>
      </w:r>
      <w:r w:rsidRPr="000854CC">
        <w:rPr>
          <w:rFonts w:ascii="Book Antiqua" w:eastAsia="Book Antiqua" w:hAnsi="Book Antiqua" w:cs="Book Antiqua"/>
          <w:i/>
          <w:iCs/>
          <w:color w:val="000000"/>
        </w:rPr>
        <w:t xml:space="preserve"> </w:t>
      </w:r>
      <w:r w:rsidR="00AF2146" w:rsidRPr="000854CC">
        <w:rPr>
          <w:rFonts w:ascii="Book Antiqua" w:eastAsia="Book Antiqua" w:hAnsi="Book Antiqua" w:cs="Book Antiqua"/>
          <w:i/>
          <w:iCs/>
          <w:color w:val="000000"/>
        </w:rPr>
        <w:t>C</w:t>
      </w:r>
      <w:r w:rsidR="00096E5A" w:rsidRPr="000854CC">
        <w:rPr>
          <w:rFonts w:ascii="Book Antiqua" w:eastAsia="Book Antiqua" w:hAnsi="Book Antiqua" w:cs="Book Antiqua"/>
          <w:i/>
          <w:iCs/>
          <w:color w:val="000000"/>
        </w:rPr>
        <w:t xml:space="preserve">lostridium </w:t>
      </w:r>
      <w:proofErr w:type="spellStart"/>
      <w:r w:rsidRPr="000854CC">
        <w:rPr>
          <w:rFonts w:ascii="Book Antiqua" w:eastAsia="Book Antiqua" w:hAnsi="Book Antiqua" w:cs="Book Antiqua"/>
          <w:i/>
          <w:iCs/>
          <w:color w:val="000000"/>
        </w:rPr>
        <w:t>XlVb</w:t>
      </w:r>
      <w:proofErr w:type="spellEnd"/>
      <w:r w:rsidRPr="000854CC">
        <w:rPr>
          <w:rFonts w:ascii="Book Antiqua" w:eastAsia="Book Antiqua" w:hAnsi="Book Antiqua" w:cs="Book Antiqua"/>
          <w:color w:val="000000"/>
        </w:rPr>
        <w:t xml:space="preserve"> and </w:t>
      </w:r>
      <w:proofErr w:type="spellStart"/>
      <w:r w:rsidRPr="000854CC">
        <w:rPr>
          <w:rFonts w:ascii="Book Antiqua" w:eastAsia="Book Antiqua" w:hAnsi="Book Antiqua" w:cs="Book Antiqua"/>
          <w:i/>
          <w:iCs/>
          <w:color w:val="000000"/>
        </w:rPr>
        <w:t>Barnesiella</w:t>
      </w:r>
      <w:proofErr w:type="spellEnd"/>
      <w:r w:rsidRPr="000854CC">
        <w:rPr>
          <w:rFonts w:ascii="Book Antiqua" w:eastAsia="Book Antiqua" w:hAnsi="Book Antiqua" w:cs="Book Antiqua"/>
          <w:i/>
          <w:iCs/>
          <w:color w:val="000000"/>
        </w:rPr>
        <w:t xml:space="preserve"> </w:t>
      </w:r>
      <w:r w:rsidRPr="000854CC">
        <w:rPr>
          <w:rFonts w:ascii="Book Antiqua" w:eastAsia="Book Antiqua" w:hAnsi="Book Antiqua" w:cs="Book Antiqua"/>
          <w:color w:val="000000"/>
        </w:rPr>
        <w:t>lost significance after FDR correction. In parallel, 8 genera were significantly more abundant in the IBS-D group (</w:t>
      </w:r>
      <w:r w:rsidRPr="000854CC">
        <w:rPr>
          <w:rFonts w:ascii="Book Antiqua" w:eastAsia="Book Antiqua" w:hAnsi="Book Antiqua" w:cs="Book Antiqua"/>
          <w:i/>
          <w:iCs/>
          <w:color w:val="000000"/>
        </w:rPr>
        <w:t>P</w:t>
      </w:r>
      <w:r w:rsidRPr="000854CC">
        <w:rPr>
          <w:rFonts w:ascii="Book Antiqua" w:eastAsia="Book Antiqua" w:hAnsi="Book Antiqua" w:cs="Book Antiqua"/>
          <w:color w:val="000000"/>
        </w:rPr>
        <w:t xml:space="preserve"> </w:t>
      </w:r>
      <w:r w:rsidR="00096E5A" w:rsidRPr="000854CC">
        <w:rPr>
          <w:rFonts w:ascii="Book Antiqua" w:hAnsi="Book Antiqua" w:cs="Book Antiqua"/>
          <w:color w:val="000000"/>
          <w:lang w:eastAsia="zh-CN"/>
        </w:rPr>
        <w:t>&lt;</w:t>
      </w:r>
      <w:r w:rsidRPr="000854CC">
        <w:rPr>
          <w:rFonts w:ascii="Book Antiqua" w:eastAsia="Book Antiqua" w:hAnsi="Book Antiqua" w:cs="Book Antiqua"/>
          <w:color w:val="000000"/>
        </w:rPr>
        <w:t xml:space="preserve"> 0.05), including </w:t>
      </w:r>
      <w:r w:rsidR="00AF2146" w:rsidRPr="000854CC">
        <w:rPr>
          <w:rFonts w:ascii="Book Antiqua" w:eastAsia="Book Antiqua" w:hAnsi="Book Antiqua" w:cs="Book Antiqua"/>
          <w:i/>
          <w:iCs/>
          <w:color w:val="000000"/>
        </w:rPr>
        <w:t>E</w:t>
      </w:r>
      <w:r w:rsidR="00096E5A" w:rsidRPr="000854CC">
        <w:rPr>
          <w:rFonts w:ascii="Book Antiqua" w:eastAsia="Book Antiqua" w:hAnsi="Book Antiqua" w:cs="Book Antiqua"/>
          <w:i/>
          <w:iCs/>
          <w:color w:val="000000"/>
        </w:rPr>
        <w:t>scherichia/shigella</w:t>
      </w:r>
      <w:r w:rsidR="00096E5A" w:rsidRPr="000854CC">
        <w:rPr>
          <w:rFonts w:ascii="Book Antiqua" w:eastAsia="Book Antiqua" w:hAnsi="Book Antiqua" w:cs="Book Antiqua"/>
          <w:color w:val="000000"/>
        </w:rPr>
        <w:t xml:space="preserve">, </w:t>
      </w:r>
      <w:r w:rsidR="00AF2146" w:rsidRPr="000854CC">
        <w:rPr>
          <w:rFonts w:ascii="Book Antiqua" w:eastAsia="Book Antiqua" w:hAnsi="Book Antiqua" w:cs="Book Antiqua"/>
          <w:i/>
          <w:iCs/>
          <w:color w:val="000000"/>
        </w:rPr>
        <w:t>E</w:t>
      </w:r>
      <w:r w:rsidR="00096E5A" w:rsidRPr="000854CC">
        <w:rPr>
          <w:rFonts w:ascii="Book Antiqua" w:eastAsia="Book Antiqua" w:hAnsi="Book Antiqua" w:cs="Book Antiqua"/>
          <w:i/>
          <w:iCs/>
          <w:color w:val="000000"/>
        </w:rPr>
        <w:t>nterococcus</w:t>
      </w:r>
      <w:r w:rsidR="00096E5A" w:rsidRPr="000854CC">
        <w:rPr>
          <w:rFonts w:ascii="Book Antiqua" w:eastAsia="Book Antiqua" w:hAnsi="Book Antiqua" w:cs="Book Antiqua"/>
          <w:color w:val="000000"/>
        </w:rPr>
        <w:t xml:space="preserve">, </w:t>
      </w:r>
      <w:r w:rsidR="00AF2146" w:rsidRPr="000854CC">
        <w:rPr>
          <w:rFonts w:ascii="Book Antiqua" w:eastAsia="Book Antiqua" w:hAnsi="Book Antiqua" w:cs="Book Antiqua"/>
          <w:i/>
          <w:iCs/>
          <w:color w:val="000000"/>
        </w:rPr>
        <w:t>S</w:t>
      </w:r>
      <w:r w:rsidR="00096E5A" w:rsidRPr="000854CC">
        <w:rPr>
          <w:rFonts w:ascii="Book Antiqua" w:eastAsia="Book Antiqua" w:hAnsi="Book Antiqua" w:cs="Book Antiqua"/>
          <w:i/>
          <w:iCs/>
          <w:color w:val="000000"/>
        </w:rPr>
        <w:t>treptococcus,</w:t>
      </w:r>
      <w:r w:rsidR="00096E5A" w:rsidRPr="000854CC">
        <w:rPr>
          <w:rFonts w:ascii="Book Antiqua" w:eastAsia="Book Antiqua" w:hAnsi="Book Antiqua" w:cs="Book Antiqua"/>
          <w:color w:val="000000"/>
        </w:rPr>
        <w:t xml:space="preserve"> </w:t>
      </w:r>
      <w:proofErr w:type="spellStart"/>
      <w:r w:rsidR="00AF2146" w:rsidRPr="000854CC">
        <w:rPr>
          <w:rFonts w:ascii="Book Antiqua" w:eastAsia="Book Antiqua" w:hAnsi="Book Antiqua" w:cs="Book Antiqua"/>
          <w:i/>
          <w:iCs/>
          <w:color w:val="000000"/>
        </w:rPr>
        <w:t>R</w:t>
      </w:r>
      <w:r w:rsidR="00096E5A" w:rsidRPr="000854CC">
        <w:rPr>
          <w:rFonts w:ascii="Book Antiqua" w:eastAsia="Book Antiqua" w:hAnsi="Book Antiqua" w:cs="Book Antiqua"/>
          <w:i/>
          <w:iCs/>
          <w:color w:val="000000"/>
        </w:rPr>
        <w:t>othia</w:t>
      </w:r>
      <w:proofErr w:type="spellEnd"/>
      <w:r w:rsidR="00096E5A" w:rsidRPr="000854CC">
        <w:rPr>
          <w:rFonts w:ascii="Book Antiqua" w:eastAsia="Book Antiqua" w:hAnsi="Book Antiqua" w:cs="Book Antiqua"/>
          <w:color w:val="000000"/>
        </w:rPr>
        <w:t xml:space="preserve">, </w:t>
      </w:r>
      <w:r w:rsidR="00AF2146" w:rsidRPr="000854CC">
        <w:rPr>
          <w:rFonts w:ascii="Book Antiqua" w:eastAsia="Book Antiqua" w:hAnsi="Book Antiqua" w:cs="Book Antiqua"/>
          <w:i/>
          <w:iCs/>
          <w:color w:val="000000"/>
        </w:rPr>
        <w:t>K</w:t>
      </w:r>
      <w:r w:rsidR="00096E5A" w:rsidRPr="000854CC">
        <w:rPr>
          <w:rFonts w:ascii="Book Antiqua" w:eastAsia="Book Antiqua" w:hAnsi="Book Antiqua" w:cs="Book Antiqua"/>
          <w:i/>
          <w:iCs/>
          <w:color w:val="000000"/>
        </w:rPr>
        <w:t>lebsiella</w:t>
      </w:r>
      <w:r w:rsidR="00096E5A" w:rsidRPr="000854CC">
        <w:rPr>
          <w:rFonts w:ascii="Book Antiqua" w:eastAsia="Book Antiqua" w:hAnsi="Book Antiqua" w:cs="Book Antiqua"/>
          <w:color w:val="000000"/>
        </w:rPr>
        <w:t xml:space="preserve">, </w:t>
      </w:r>
      <w:proofErr w:type="spellStart"/>
      <w:r w:rsidR="00AF2146" w:rsidRPr="000854CC">
        <w:rPr>
          <w:rFonts w:ascii="Book Antiqua" w:eastAsia="Book Antiqua" w:hAnsi="Book Antiqua" w:cs="Book Antiqua"/>
          <w:i/>
          <w:iCs/>
          <w:color w:val="000000"/>
        </w:rPr>
        <w:t>S</w:t>
      </w:r>
      <w:r w:rsidR="00096E5A" w:rsidRPr="000854CC">
        <w:rPr>
          <w:rFonts w:ascii="Book Antiqua" w:eastAsia="Book Antiqua" w:hAnsi="Book Antiqua" w:cs="Book Antiqua"/>
          <w:i/>
          <w:iCs/>
          <w:color w:val="000000"/>
        </w:rPr>
        <w:t>accharibacteria</w:t>
      </w:r>
      <w:proofErr w:type="spellEnd"/>
      <w:r w:rsidR="00096E5A" w:rsidRPr="000854CC">
        <w:rPr>
          <w:rFonts w:ascii="Book Antiqua" w:eastAsia="Book Antiqua" w:hAnsi="Book Antiqua" w:cs="Book Antiqua"/>
          <w:i/>
          <w:iCs/>
          <w:color w:val="000000"/>
        </w:rPr>
        <w:t xml:space="preserve"> genera </w:t>
      </w:r>
      <w:proofErr w:type="spellStart"/>
      <w:r w:rsidR="00096E5A" w:rsidRPr="000854CC">
        <w:rPr>
          <w:rFonts w:ascii="Book Antiqua" w:eastAsia="Book Antiqua" w:hAnsi="Book Antiqua" w:cs="Book Antiqua"/>
          <w:i/>
          <w:iCs/>
          <w:color w:val="000000"/>
        </w:rPr>
        <w:t>incertae</w:t>
      </w:r>
      <w:proofErr w:type="spellEnd"/>
      <w:r w:rsidR="00096E5A" w:rsidRPr="000854CC">
        <w:rPr>
          <w:rFonts w:ascii="Book Antiqua" w:eastAsia="Book Antiqua" w:hAnsi="Book Antiqua" w:cs="Book Antiqua"/>
          <w:i/>
          <w:iCs/>
          <w:color w:val="000000"/>
        </w:rPr>
        <w:t xml:space="preserve"> </w:t>
      </w:r>
      <w:proofErr w:type="spellStart"/>
      <w:r w:rsidR="00096E5A" w:rsidRPr="000854CC">
        <w:rPr>
          <w:rFonts w:ascii="Book Antiqua" w:eastAsia="Book Antiqua" w:hAnsi="Book Antiqua" w:cs="Book Antiqua"/>
          <w:i/>
          <w:iCs/>
          <w:color w:val="000000"/>
        </w:rPr>
        <w:t>sedis</w:t>
      </w:r>
      <w:proofErr w:type="spellEnd"/>
      <w:r w:rsidR="00096E5A" w:rsidRPr="000854CC">
        <w:rPr>
          <w:rFonts w:ascii="Book Antiqua" w:eastAsia="Book Antiqua" w:hAnsi="Book Antiqua" w:cs="Book Antiqua"/>
          <w:color w:val="000000"/>
        </w:rPr>
        <w:t xml:space="preserve">, </w:t>
      </w:r>
      <w:r w:rsidR="00AF2146" w:rsidRPr="000854CC">
        <w:rPr>
          <w:rFonts w:ascii="Book Antiqua" w:eastAsia="Book Antiqua" w:hAnsi="Book Antiqua" w:cs="Book Antiqua"/>
          <w:i/>
          <w:iCs/>
          <w:color w:val="000000"/>
        </w:rPr>
        <w:t>F</w:t>
      </w:r>
      <w:r w:rsidR="00096E5A" w:rsidRPr="000854CC">
        <w:rPr>
          <w:rFonts w:ascii="Book Antiqua" w:eastAsia="Book Antiqua" w:hAnsi="Book Antiqua" w:cs="Book Antiqua"/>
          <w:i/>
          <w:iCs/>
          <w:color w:val="000000"/>
        </w:rPr>
        <w:t>usobacterium</w:t>
      </w:r>
      <w:r w:rsidR="00096E5A" w:rsidRPr="000854CC">
        <w:rPr>
          <w:rFonts w:ascii="Book Antiqua" w:eastAsia="Book Antiqua" w:hAnsi="Book Antiqua" w:cs="Book Antiqua"/>
          <w:color w:val="000000"/>
        </w:rPr>
        <w:t>, and</w:t>
      </w:r>
      <w:r w:rsidR="00096E5A" w:rsidRPr="000854CC">
        <w:rPr>
          <w:rFonts w:ascii="Book Antiqua" w:eastAsia="Book Antiqua" w:hAnsi="Book Antiqua" w:cs="Book Antiqua"/>
          <w:i/>
          <w:iCs/>
          <w:color w:val="000000"/>
        </w:rPr>
        <w:t xml:space="preserve"> </w:t>
      </w:r>
      <w:proofErr w:type="spellStart"/>
      <w:r w:rsidR="00AF2146" w:rsidRPr="000854CC">
        <w:rPr>
          <w:rFonts w:ascii="Book Antiqua" w:eastAsia="Book Antiqua" w:hAnsi="Book Antiqua" w:cs="Book Antiqua"/>
          <w:i/>
          <w:iCs/>
          <w:color w:val="000000"/>
        </w:rPr>
        <w:t>V</w:t>
      </w:r>
      <w:r w:rsidR="00096E5A" w:rsidRPr="000854CC">
        <w:rPr>
          <w:rFonts w:ascii="Book Antiqua" w:eastAsia="Book Antiqua" w:hAnsi="Book Antiqua" w:cs="Book Antiqua"/>
          <w:i/>
          <w:iCs/>
          <w:color w:val="000000"/>
        </w:rPr>
        <w:t>eillonell</w:t>
      </w:r>
      <w:r w:rsidRPr="000854CC">
        <w:rPr>
          <w:rFonts w:ascii="Book Antiqua" w:eastAsia="Book Antiqua" w:hAnsi="Book Antiqua" w:cs="Book Antiqua"/>
          <w:i/>
          <w:iCs/>
          <w:color w:val="000000"/>
        </w:rPr>
        <w:t>a</w:t>
      </w:r>
      <w:proofErr w:type="spellEnd"/>
      <w:r w:rsidRPr="000854CC">
        <w:rPr>
          <w:rFonts w:ascii="Book Antiqua" w:eastAsia="Book Antiqua" w:hAnsi="Book Antiqua" w:cs="Book Antiqua"/>
          <w:i/>
          <w:iCs/>
          <w:color w:val="000000"/>
        </w:rPr>
        <w:t xml:space="preserve">. </w:t>
      </w:r>
      <w:proofErr w:type="spellStart"/>
      <w:r w:rsidRPr="000854CC">
        <w:rPr>
          <w:rFonts w:ascii="Book Antiqua" w:eastAsia="Book Antiqua" w:hAnsi="Book Antiqua" w:cs="Book Antiqua"/>
          <w:i/>
          <w:iCs/>
          <w:color w:val="000000"/>
        </w:rPr>
        <w:t>Ruminococcus</w:t>
      </w:r>
      <w:proofErr w:type="spellEnd"/>
      <w:r w:rsidRPr="000854CC">
        <w:rPr>
          <w:rFonts w:ascii="Book Antiqua" w:eastAsia="Book Antiqua" w:hAnsi="Book Antiqua" w:cs="Book Antiqua"/>
          <w:color w:val="000000"/>
        </w:rPr>
        <w:t xml:space="preserve"> belonging to </w:t>
      </w:r>
      <w:proofErr w:type="spellStart"/>
      <w:r w:rsidR="002D00F9" w:rsidRPr="000854CC">
        <w:rPr>
          <w:rFonts w:ascii="Book Antiqua" w:eastAsia="Book Antiqua" w:hAnsi="Book Antiqua" w:cs="Book Antiqua"/>
          <w:i/>
          <w:color w:val="000000"/>
        </w:rPr>
        <w:t>Ruminococcaceae</w:t>
      </w:r>
      <w:proofErr w:type="spellEnd"/>
      <w:r w:rsidRPr="000854CC">
        <w:rPr>
          <w:rFonts w:ascii="Book Antiqua" w:eastAsia="Book Antiqua" w:hAnsi="Book Antiqua" w:cs="Book Antiqua"/>
          <w:color w:val="000000"/>
        </w:rPr>
        <w:t xml:space="preserve"> was also increased in the IBS-D group (</w:t>
      </w:r>
      <w:r w:rsidRPr="000854CC">
        <w:rPr>
          <w:rFonts w:ascii="Book Antiqua" w:eastAsia="Book Antiqua" w:hAnsi="Book Antiqua" w:cs="Book Antiqua"/>
          <w:i/>
          <w:iCs/>
          <w:color w:val="000000"/>
        </w:rPr>
        <w:t>P</w:t>
      </w:r>
      <w:r w:rsidRPr="000854CC">
        <w:rPr>
          <w:rFonts w:ascii="Book Antiqua" w:eastAsia="Book Antiqua" w:hAnsi="Book Antiqua" w:cs="Book Antiqua"/>
          <w:color w:val="000000"/>
        </w:rPr>
        <w:t xml:space="preserve"> = 0.049), but it lost significance after FDR correction.</w:t>
      </w:r>
    </w:p>
    <w:p w14:paraId="4819109B" w14:textId="77777777" w:rsidR="00A77B3E" w:rsidRPr="00244CD2" w:rsidRDefault="00A77B3E" w:rsidP="00244CD2">
      <w:pPr>
        <w:snapToGrid w:val="0"/>
        <w:spacing w:line="360" w:lineRule="auto"/>
        <w:ind w:firstLine="480"/>
        <w:jc w:val="both"/>
        <w:rPr>
          <w:noProof/>
        </w:rPr>
      </w:pPr>
    </w:p>
    <w:p w14:paraId="049EDDA2"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bCs/>
          <w:i/>
          <w:iCs/>
          <w:noProof/>
        </w:rPr>
        <w:t>Correlations between fecal BAs and microbiota composition</w:t>
      </w:r>
      <w:r w:rsidRPr="00244CD2">
        <w:rPr>
          <w:rFonts w:ascii="Book Antiqua" w:eastAsia="Book Antiqua" w:hAnsi="Book Antiqua" w:cs="Book Antiqua"/>
          <w:i/>
          <w:iCs/>
          <w:noProof/>
        </w:rPr>
        <w:t xml:space="preserve"> </w:t>
      </w:r>
    </w:p>
    <w:p w14:paraId="5DA942BA" w14:textId="0D307E44" w:rsidR="00A77B3E" w:rsidRPr="00244CD2" w:rsidRDefault="007356D0" w:rsidP="00244CD2">
      <w:pPr>
        <w:snapToGrid w:val="0"/>
        <w:spacing w:line="360" w:lineRule="auto"/>
        <w:jc w:val="both"/>
        <w:rPr>
          <w:noProof/>
        </w:rPr>
      </w:pPr>
      <w:r w:rsidRPr="00244CD2">
        <w:rPr>
          <w:rFonts w:ascii="Book Antiqua" w:eastAsia="Book Antiqua" w:hAnsi="Book Antiqua" w:cs="Book Antiqua"/>
          <w:noProof/>
        </w:rPr>
        <w:t xml:space="preserve">To explore whether the changes in fecal </w:t>
      </w:r>
      <w:r w:rsidR="00D85377" w:rsidRPr="00244CD2">
        <w:rPr>
          <w:rFonts w:ascii="Book Antiqua" w:eastAsia="Book Antiqua" w:hAnsi="Book Antiqua" w:cs="Book Antiqua"/>
          <w:noProof/>
        </w:rPr>
        <w:t>BA</w:t>
      </w:r>
      <w:r w:rsidRPr="00244CD2">
        <w:rPr>
          <w:rFonts w:ascii="Book Antiqua" w:eastAsia="Book Antiqua" w:hAnsi="Book Antiqua" w:cs="Book Antiqua"/>
          <w:noProof/>
        </w:rPr>
        <w:t xml:space="preserve"> profile correlated with the configuration of gut flora, and given that conjugated BAs only account </w:t>
      </w:r>
      <w:r w:rsidR="000854CC">
        <w:rPr>
          <w:rFonts w:ascii="Book Antiqua" w:eastAsia="Book Antiqua" w:hAnsi="Book Antiqua" w:cs="Book Antiqua"/>
          <w:noProof/>
        </w:rPr>
        <w:t>for</w:t>
      </w:r>
      <w:r w:rsidR="000854CC" w:rsidRPr="00244CD2">
        <w:rPr>
          <w:rFonts w:ascii="Book Antiqua" w:eastAsia="Book Antiqua" w:hAnsi="Book Antiqua" w:cs="Book Antiqua"/>
          <w:noProof/>
        </w:rPr>
        <w:t xml:space="preserve"> </w:t>
      </w:r>
      <w:r w:rsidRPr="00244CD2">
        <w:rPr>
          <w:rFonts w:ascii="Book Antiqua" w:eastAsia="Book Antiqua" w:hAnsi="Book Antiqua" w:cs="Book Antiqua"/>
          <w:noProof/>
        </w:rPr>
        <w:t xml:space="preserve">a minor part of fecal </w:t>
      </w:r>
      <w:r w:rsidR="001E118B" w:rsidRPr="00244CD2">
        <w:rPr>
          <w:rFonts w:ascii="Book Antiqua" w:eastAsia="Book Antiqua" w:hAnsi="Book Antiqua" w:cs="Book Antiqua"/>
          <w:noProof/>
        </w:rPr>
        <w:t>BA</w:t>
      </w:r>
      <w:r w:rsidRPr="00244CD2">
        <w:rPr>
          <w:rFonts w:ascii="Book Antiqua" w:eastAsia="Book Antiqua" w:hAnsi="Book Antiqua" w:cs="Book Antiqua"/>
          <w:noProof/>
        </w:rPr>
        <w:t xml:space="preserve"> pool, we analyzed the associations between the </w:t>
      </w:r>
      <w:r w:rsidR="00B75922" w:rsidRPr="00244CD2">
        <w:rPr>
          <w:rFonts w:ascii="Book Antiqua" w:eastAsia="Book Antiqua" w:hAnsi="Book Antiqua" w:cs="Book Antiqua"/>
          <w:noProof/>
        </w:rPr>
        <w:t xml:space="preserve">five </w:t>
      </w:r>
      <w:r w:rsidRPr="00244CD2">
        <w:rPr>
          <w:rFonts w:ascii="Book Antiqua" w:eastAsia="Book Antiqua" w:hAnsi="Book Antiqua" w:cs="Book Antiqua"/>
          <w:noProof/>
        </w:rPr>
        <w:t xml:space="preserve">unconjugated BAs (CA, CDCA, DCA, LCA, and UDCA) and the distinguishing genera in all subjects. Markedly, the genera reduced in the IBS-D group except for </w:t>
      </w:r>
      <w:r w:rsidR="00B44E6D" w:rsidRPr="00244CD2">
        <w:rPr>
          <w:rFonts w:ascii="Book Antiqua" w:eastAsia="Book Antiqua" w:hAnsi="Book Antiqua" w:cs="Book Antiqua"/>
          <w:i/>
          <w:iCs/>
          <w:noProof/>
        </w:rPr>
        <w:t>C</w:t>
      </w:r>
      <w:r w:rsidR="00096E5A" w:rsidRPr="00244CD2">
        <w:rPr>
          <w:rFonts w:ascii="Book Antiqua" w:eastAsia="Book Antiqua" w:hAnsi="Book Antiqua" w:cs="Book Antiqua"/>
          <w:i/>
          <w:iCs/>
          <w:noProof/>
        </w:rPr>
        <w:t>loacibacillus</w:t>
      </w:r>
      <w:r w:rsidR="00096E5A" w:rsidRPr="00244CD2">
        <w:rPr>
          <w:rFonts w:ascii="Book Antiqua" w:eastAsia="Book Antiqua" w:hAnsi="Book Antiqua" w:cs="Book Antiqua"/>
          <w:noProof/>
        </w:rPr>
        <w:t xml:space="preserve"> </w:t>
      </w:r>
      <w:r w:rsidRPr="00244CD2">
        <w:rPr>
          <w:rFonts w:ascii="Book Antiqua" w:eastAsia="Book Antiqua" w:hAnsi="Book Antiqua" w:cs="Book Antiqua"/>
          <w:noProof/>
        </w:rPr>
        <w:t>exhibited a negative correlation with primary BAs and a positive correlation with secondary BAs</w:t>
      </w:r>
      <w:r w:rsidR="0086422C" w:rsidRPr="00244CD2">
        <w:rPr>
          <w:rFonts w:ascii="Book Antiqua" w:eastAsia="Book Antiqua" w:hAnsi="Book Antiqua" w:cs="Book Antiqua"/>
          <w:noProof/>
        </w:rPr>
        <w:t xml:space="preserve">, </w:t>
      </w:r>
      <w:r w:rsidR="0086422C" w:rsidRPr="00244CD2">
        <w:rPr>
          <w:rFonts w:ascii="Book Antiqua" w:eastAsia="Book Antiqua" w:hAnsi="Book Antiqua" w:cs="Book Antiqua"/>
          <w:noProof/>
          <w:lang w:eastAsia="zh-CN"/>
        </w:rPr>
        <w:t xml:space="preserve">and </w:t>
      </w:r>
      <w:r w:rsidRPr="00244CD2">
        <w:rPr>
          <w:rFonts w:ascii="Book Antiqua" w:eastAsia="Book Antiqua" w:hAnsi="Book Antiqua" w:cs="Book Antiqua"/>
          <w:i/>
          <w:iCs/>
          <w:noProof/>
        </w:rPr>
        <w:t>Ruminococcus</w:t>
      </w:r>
      <w:r w:rsidRPr="00244CD2">
        <w:rPr>
          <w:rFonts w:ascii="Book Antiqua" w:eastAsia="Book Antiqua" w:hAnsi="Book Antiqua" w:cs="Book Antiqua"/>
          <w:noProof/>
        </w:rPr>
        <w:t xml:space="preserve"> presented a similar trend (Figure 5).</w:t>
      </w:r>
    </w:p>
    <w:p w14:paraId="4171C039" w14:textId="77777777" w:rsidR="00A77B3E" w:rsidRPr="00244CD2" w:rsidRDefault="00A77B3E" w:rsidP="00244CD2">
      <w:pPr>
        <w:snapToGrid w:val="0"/>
        <w:spacing w:line="360" w:lineRule="auto"/>
        <w:jc w:val="both"/>
        <w:rPr>
          <w:noProof/>
        </w:rPr>
      </w:pPr>
    </w:p>
    <w:p w14:paraId="43E81EB4"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caps/>
          <w:noProof/>
          <w:u w:val="single"/>
        </w:rPr>
        <w:t>DISCUSSION</w:t>
      </w:r>
    </w:p>
    <w:p w14:paraId="3AEEAA9F" w14:textId="53511A05" w:rsidR="00A77B3E" w:rsidRPr="00244CD2" w:rsidRDefault="007356D0" w:rsidP="00244CD2">
      <w:pPr>
        <w:snapToGrid w:val="0"/>
        <w:spacing w:line="360" w:lineRule="auto"/>
        <w:jc w:val="both"/>
        <w:rPr>
          <w:noProof/>
        </w:rPr>
      </w:pPr>
      <w:r w:rsidRPr="00244CD2">
        <w:rPr>
          <w:rFonts w:ascii="Book Antiqua" w:eastAsia="Book Antiqua" w:hAnsi="Book Antiqua" w:cs="Book Antiqua"/>
          <w:noProof/>
        </w:rPr>
        <w:lastRenderedPageBreak/>
        <w:t xml:space="preserve">In </w:t>
      </w:r>
      <w:r w:rsidR="00AB06A7" w:rsidRPr="00244CD2">
        <w:rPr>
          <w:rFonts w:ascii="Book Antiqua" w:eastAsia="Book Antiqua" w:hAnsi="Book Antiqua" w:cs="Book Antiqua"/>
          <w:noProof/>
        </w:rPr>
        <w:t>this</w:t>
      </w:r>
      <w:r w:rsidRPr="00244CD2">
        <w:rPr>
          <w:rFonts w:ascii="Book Antiqua" w:eastAsia="Book Antiqua" w:hAnsi="Book Antiqua" w:cs="Book Antiqua"/>
          <w:noProof/>
        </w:rPr>
        <w:t xml:space="preserve"> study, we comprehensively assessed the composition of the fecal </w:t>
      </w:r>
      <w:r w:rsidR="001E118B" w:rsidRPr="00244CD2">
        <w:rPr>
          <w:rFonts w:ascii="Book Antiqua" w:eastAsia="Book Antiqua" w:hAnsi="Book Antiqua" w:cs="Book Antiqua"/>
          <w:noProof/>
        </w:rPr>
        <w:t>BA</w:t>
      </w:r>
      <w:r w:rsidRPr="00244CD2">
        <w:rPr>
          <w:rFonts w:ascii="Book Antiqua" w:eastAsia="Book Antiqua" w:hAnsi="Book Antiqua" w:cs="Book Antiqua"/>
          <w:noProof/>
        </w:rPr>
        <w:t xml:space="preserve"> pool of IBS-D patients, the correlations between clinical features and the imbalance of fecal BAs, and the correlations between fecal BAs and the gut microbiome. The fecal </w:t>
      </w:r>
      <w:r w:rsidR="001E118B" w:rsidRPr="00244CD2">
        <w:rPr>
          <w:rFonts w:ascii="Book Antiqua" w:eastAsia="Book Antiqua" w:hAnsi="Book Antiqua" w:cs="Book Antiqua"/>
          <w:noProof/>
        </w:rPr>
        <w:t>BA</w:t>
      </w:r>
      <w:r w:rsidRPr="00244CD2">
        <w:rPr>
          <w:rFonts w:ascii="Book Antiqua" w:eastAsia="Book Antiqua" w:hAnsi="Book Antiqua" w:cs="Book Antiqua"/>
          <w:noProof/>
        </w:rPr>
        <w:t xml:space="preserve"> pool of IBS-D patients was characterized by increased primary BAs and decreased secondary BAs, along with increased total BAs. Correlations between defecation frequency and thresholds of rectal distention testing with fecal BAs were observed. Furthermore, we found that several genera with discrepant relative abundances between IBS-D patients and HC</w:t>
      </w:r>
      <w:r w:rsidR="00BE0720">
        <w:rPr>
          <w:rFonts w:ascii="Book Antiqua" w:eastAsia="Book Antiqua" w:hAnsi="Book Antiqua" w:cs="Book Antiqua"/>
          <w:noProof/>
        </w:rPr>
        <w:t>s</w:t>
      </w:r>
      <w:r w:rsidRPr="00244CD2">
        <w:rPr>
          <w:rFonts w:ascii="Book Antiqua" w:eastAsia="Book Antiqua" w:hAnsi="Book Antiqua" w:cs="Book Antiqua"/>
          <w:noProof/>
        </w:rPr>
        <w:t xml:space="preserve"> were significantly related to fecal BAs, especially the genera within the family </w:t>
      </w:r>
      <w:r w:rsidR="002D00F9" w:rsidRPr="00244CD2">
        <w:rPr>
          <w:rFonts w:ascii="Book Antiqua" w:eastAsia="Book Antiqua" w:hAnsi="Book Antiqua" w:cs="Book Antiqua"/>
          <w:i/>
          <w:noProof/>
        </w:rPr>
        <w:t>Ruminococcaceae</w:t>
      </w:r>
      <w:r w:rsidRPr="00244CD2">
        <w:rPr>
          <w:rFonts w:ascii="Book Antiqua" w:eastAsia="Book Antiqua" w:hAnsi="Book Antiqua" w:cs="Book Antiqua"/>
          <w:noProof/>
        </w:rPr>
        <w:t xml:space="preserve">. </w:t>
      </w:r>
    </w:p>
    <w:p w14:paraId="71145752" w14:textId="351332D7" w:rsidR="00A77B3E" w:rsidRPr="00244CD2" w:rsidRDefault="007356D0" w:rsidP="00244CD2">
      <w:pPr>
        <w:snapToGrid w:val="0"/>
        <w:spacing w:line="360" w:lineRule="auto"/>
        <w:ind w:firstLineChars="100" w:firstLine="240"/>
        <w:jc w:val="both"/>
        <w:rPr>
          <w:noProof/>
        </w:rPr>
      </w:pPr>
      <w:r w:rsidRPr="00244CD2">
        <w:rPr>
          <w:rFonts w:ascii="Book Antiqua" w:eastAsia="Book Antiqua" w:hAnsi="Book Antiqua" w:cs="Book Antiqua"/>
          <w:noProof/>
        </w:rPr>
        <w:t>Evidence is accumulating that fecal primary BAs are increased in IBS-D</w:t>
      </w:r>
      <w:r w:rsidRPr="00244CD2">
        <w:rPr>
          <w:rFonts w:ascii="Book Antiqua" w:eastAsia="Book Antiqua" w:hAnsi="Book Antiqua" w:cs="Book Antiqua"/>
          <w:noProof/>
          <w:vertAlign w:val="superscript"/>
        </w:rPr>
        <w:t>[9,10,25,33]</w:t>
      </w:r>
      <w:r w:rsidRPr="00244CD2">
        <w:rPr>
          <w:rFonts w:ascii="Book Antiqua" w:eastAsia="Book Antiqua" w:hAnsi="Book Antiqua" w:cs="Book Antiqua"/>
          <w:noProof/>
        </w:rPr>
        <w:t>. A study with 14 IBS-D patients an</w:t>
      </w:r>
      <w:r w:rsidR="008E241B" w:rsidRPr="00244CD2">
        <w:rPr>
          <w:rFonts w:ascii="Book Antiqua" w:eastAsia="Book Antiqua" w:hAnsi="Book Antiqua" w:cs="Book Antiqua"/>
          <w:noProof/>
        </w:rPr>
        <w:t xml:space="preserve">d 18 </w:t>
      </w:r>
      <w:r w:rsidR="00AB06A7" w:rsidRPr="00244CD2">
        <w:rPr>
          <w:rFonts w:ascii="Book Antiqua" w:eastAsia="Book Antiqua" w:hAnsi="Book Antiqua" w:cs="Book Antiqua"/>
          <w:noProof/>
        </w:rPr>
        <w:t>HCs</w:t>
      </w:r>
      <w:r w:rsidR="008E241B" w:rsidRPr="00244CD2">
        <w:rPr>
          <w:rFonts w:ascii="Book Antiqua" w:eastAsia="Book Antiqua" w:hAnsi="Book Antiqua" w:cs="Book Antiqua"/>
          <w:noProof/>
        </w:rPr>
        <w:t xml:space="preserve"> by Duboc</w:t>
      </w:r>
      <w:r w:rsidRPr="00244CD2">
        <w:rPr>
          <w:rFonts w:ascii="Book Antiqua" w:eastAsia="Book Antiqua" w:hAnsi="Book Antiqua" w:cs="Book Antiqua"/>
          <w:noProof/>
        </w:rPr>
        <w:t xml:space="preserve"> </w:t>
      </w:r>
      <w:r w:rsidRPr="00244CD2">
        <w:rPr>
          <w:rFonts w:ascii="Book Antiqua" w:eastAsia="Book Antiqua" w:hAnsi="Book Antiqua" w:cs="Book Antiqua"/>
          <w:i/>
          <w:iCs/>
          <w:noProof/>
        </w:rPr>
        <w:t>et al</w:t>
      </w:r>
      <w:r w:rsidR="008E241B" w:rsidRPr="00244CD2">
        <w:rPr>
          <w:rFonts w:ascii="Book Antiqua" w:eastAsia="Book Antiqua" w:hAnsi="Book Antiqua" w:cs="Book Antiqua"/>
          <w:noProof/>
          <w:vertAlign w:val="superscript"/>
        </w:rPr>
        <w:t>[33]</w:t>
      </w:r>
      <w:r w:rsidRPr="00244CD2">
        <w:rPr>
          <w:rFonts w:ascii="Book Antiqua" w:eastAsia="Book Antiqua" w:hAnsi="Book Antiqua" w:cs="Book Antiqua"/>
          <w:noProof/>
        </w:rPr>
        <w:t xml:space="preserve"> reported that fecal DCA was reduced in IBS-D patients, and the levels of LCA and UDCA in IBS-D patients were similar to those in </w:t>
      </w:r>
      <w:r w:rsidR="00AB06A7" w:rsidRPr="00244CD2">
        <w:rPr>
          <w:rFonts w:ascii="Book Antiqua" w:eastAsia="Book Antiqua" w:hAnsi="Book Antiqua" w:cs="Book Antiqua"/>
          <w:noProof/>
        </w:rPr>
        <w:t>HCs</w:t>
      </w:r>
      <w:r w:rsidRPr="00244CD2">
        <w:rPr>
          <w:rFonts w:ascii="Book Antiqua" w:eastAsia="Book Antiqua" w:hAnsi="Book Antiqua" w:cs="Book Antiqua"/>
          <w:noProof/>
        </w:rPr>
        <w:t>, whereas our results showed that LCA and UDCA were decreased significantly in IBS-D patients and DCA tended to decrease. Over half of the subjects in the IBS-D group had a higher PBA/SBA ratio than the 90th percentiles of the PBA/SBA ratio in HC</w:t>
      </w:r>
      <w:r w:rsidR="009B6B45">
        <w:rPr>
          <w:rFonts w:ascii="Book Antiqua" w:eastAsia="Book Antiqua" w:hAnsi="Book Antiqua" w:cs="Book Antiqua" w:hint="eastAsia"/>
          <w:noProof/>
          <w:lang w:eastAsia="zh-CN"/>
        </w:rPr>
        <w:t>s</w:t>
      </w:r>
      <w:r w:rsidRPr="00244CD2">
        <w:rPr>
          <w:rFonts w:ascii="Book Antiqua" w:eastAsia="Book Antiqua" w:hAnsi="Book Antiqua" w:cs="Book Antiqua"/>
          <w:noProof/>
        </w:rPr>
        <w:t xml:space="preserve"> in the current study, suggesting that the imbalance between primary BAs and secondary BAs in IBS-D deserves more attention. The level of total fecal BAs in IBS-D is inconsistent in different studies, with several reporting an increase</w:t>
      </w:r>
      <w:r w:rsidRPr="00244CD2">
        <w:rPr>
          <w:rFonts w:ascii="Book Antiqua" w:eastAsia="Book Antiqua" w:hAnsi="Book Antiqua" w:cs="Book Antiqua"/>
          <w:noProof/>
          <w:vertAlign w:val="superscript"/>
        </w:rPr>
        <w:t>[34,35]</w:t>
      </w:r>
      <w:r w:rsidRPr="00244CD2">
        <w:rPr>
          <w:rFonts w:ascii="Book Antiqua" w:eastAsia="Book Antiqua" w:hAnsi="Book Antiqua" w:cs="Book Antiqua"/>
          <w:noProof/>
        </w:rPr>
        <w:t xml:space="preserve"> while others showing no significant difference compared with </w:t>
      </w:r>
      <w:r w:rsidR="00AB06A7" w:rsidRPr="00244CD2">
        <w:rPr>
          <w:rFonts w:ascii="Book Antiqua" w:eastAsia="Book Antiqua" w:hAnsi="Book Antiqua" w:cs="Book Antiqua"/>
          <w:noProof/>
        </w:rPr>
        <w:t>HCs</w:t>
      </w:r>
      <w:r w:rsidRPr="00244CD2">
        <w:rPr>
          <w:rFonts w:ascii="Book Antiqua" w:eastAsia="Book Antiqua" w:hAnsi="Book Antiqua" w:cs="Book Antiqua"/>
          <w:noProof/>
          <w:vertAlign w:val="superscript"/>
        </w:rPr>
        <w:t>[8,10,25,33]</w:t>
      </w:r>
      <w:r w:rsidRPr="00244CD2">
        <w:rPr>
          <w:rFonts w:ascii="Book Antiqua" w:eastAsia="Book Antiqua" w:hAnsi="Book Antiqua" w:cs="Book Antiqua"/>
          <w:noProof/>
        </w:rPr>
        <w:t xml:space="preserve">. A meta-analysis reported that </w:t>
      </w:r>
      <w:r w:rsidR="001E118B" w:rsidRPr="00244CD2">
        <w:rPr>
          <w:rFonts w:ascii="Book Antiqua" w:eastAsia="Book Antiqua" w:hAnsi="Book Antiqua" w:cs="Book Antiqua"/>
          <w:noProof/>
        </w:rPr>
        <w:t>BA</w:t>
      </w:r>
      <w:r w:rsidRPr="00244CD2">
        <w:rPr>
          <w:rFonts w:ascii="Book Antiqua" w:eastAsia="Book Antiqua" w:hAnsi="Book Antiqua" w:cs="Book Antiqua"/>
          <w:noProof/>
        </w:rPr>
        <w:t xml:space="preserve"> malabsorption (BAM) appeared in 28.1% of IBS-D patients</w:t>
      </w:r>
      <w:r w:rsidRPr="00244CD2">
        <w:rPr>
          <w:rFonts w:ascii="Book Antiqua" w:eastAsia="Book Antiqua" w:hAnsi="Book Antiqua" w:cs="Book Antiqua"/>
          <w:noProof/>
          <w:vertAlign w:val="superscript"/>
        </w:rPr>
        <w:t>[36]</w:t>
      </w:r>
      <w:r w:rsidR="008E241B" w:rsidRPr="00244CD2">
        <w:rPr>
          <w:rFonts w:ascii="Book Antiqua" w:eastAsia="Book Antiqua" w:hAnsi="Book Antiqua" w:cs="Book Antiqua"/>
          <w:noProof/>
        </w:rPr>
        <w:t>. However, Peleman</w:t>
      </w:r>
      <w:r w:rsidRPr="00244CD2">
        <w:rPr>
          <w:rFonts w:ascii="Book Antiqua" w:eastAsia="Book Antiqua" w:hAnsi="Book Antiqua" w:cs="Book Antiqua"/>
          <w:noProof/>
        </w:rPr>
        <w:t xml:space="preserve"> </w:t>
      </w:r>
      <w:r w:rsidRPr="00244CD2">
        <w:rPr>
          <w:rFonts w:ascii="Book Antiqua" w:eastAsia="Book Antiqua" w:hAnsi="Book Antiqua" w:cs="Book Antiqua"/>
          <w:i/>
          <w:iCs/>
          <w:noProof/>
        </w:rPr>
        <w:t>et al</w:t>
      </w:r>
      <w:r w:rsidR="008E241B" w:rsidRPr="00244CD2">
        <w:rPr>
          <w:rFonts w:ascii="Book Antiqua" w:eastAsia="Book Antiqua" w:hAnsi="Book Antiqua" w:cs="Book Antiqua"/>
          <w:noProof/>
          <w:vertAlign w:val="superscript"/>
        </w:rPr>
        <w:t>[37]</w:t>
      </w:r>
      <w:r w:rsidRPr="00244CD2">
        <w:rPr>
          <w:rFonts w:ascii="Book Antiqua" w:eastAsia="Book Antiqua" w:hAnsi="Book Antiqua" w:cs="Book Antiqua"/>
          <w:noProof/>
        </w:rPr>
        <w:t xml:space="preserve"> demonstrated that fecal CA and CDCA concentrations in IBS-D patients without BAM were still significantly higher than those in </w:t>
      </w:r>
      <w:r w:rsidR="00AB06A7" w:rsidRPr="00244CD2">
        <w:rPr>
          <w:rFonts w:ascii="Book Antiqua" w:eastAsia="Book Antiqua" w:hAnsi="Book Antiqua" w:cs="Book Antiqua"/>
          <w:noProof/>
        </w:rPr>
        <w:t>HCs</w:t>
      </w:r>
      <w:r w:rsidRPr="00244CD2">
        <w:rPr>
          <w:rFonts w:ascii="Book Antiqua" w:eastAsia="Book Antiqua" w:hAnsi="Book Antiqua" w:cs="Book Antiqua"/>
          <w:noProof/>
        </w:rPr>
        <w:t xml:space="preserve">, suggesting that abnormal </w:t>
      </w:r>
      <w:r w:rsidR="001E118B" w:rsidRPr="00244CD2">
        <w:rPr>
          <w:rFonts w:ascii="Book Antiqua" w:eastAsia="Book Antiqua" w:hAnsi="Book Antiqua" w:cs="Book Antiqua"/>
          <w:noProof/>
        </w:rPr>
        <w:t>BA</w:t>
      </w:r>
      <w:r w:rsidRPr="00244CD2">
        <w:rPr>
          <w:rFonts w:ascii="Book Antiqua" w:eastAsia="Book Antiqua" w:hAnsi="Book Antiqua" w:cs="Book Antiqua"/>
          <w:noProof/>
        </w:rPr>
        <w:t xml:space="preserve"> metabolism might exist in IBS-D patients whether they have co-occurring BAM or not.</w:t>
      </w:r>
    </w:p>
    <w:p w14:paraId="3466E285" w14:textId="36E7E87A" w:rsidR="00A77B3E" w:rsidRPr="00244CD2" w:rsidRDefault="007356D0" w:rsidP="00244CD2">
      <w:pPr>
        <w:snapToGrid w:val="0"/>
        <w:spacing w:line="360" w:lineRule="auto"/>
        <w:ind w:firstLineChars="100" w:firstLine="240"/>
        <w:jc w:val="both"/>
        <w:rPr>
          <w:noProof/>
        </w:rPr>
      </w:pPr>
      <w:r w:rsidRPr="00244CD2">
        <w:rPr>
          <w:rFonts w:ascii="Book Antiqua" w:eastAsia="Book Antiqua" w:hAnsi="Book Antiqua" w:cs="Book Antiqua"/>
          <w:noProof/>
        </w:rPr>
        <w:t xml:space="preserve">Both fecal conjugated and unconjugated BAs were increased significantly in the IBS-D group in the present study. </w:t>
      </w:r>
      <w:r w:rsidR="002E4EF2" w:rsidRPr="00244CD2">
        <w:rPr>
          <w:rFonts w:ascii="Book Antiqua" w:eastAsia="Book Antiqua" w:hAnsi="Book Antiqua" w:cs="Book Antiqua"/>
          <w:noProof/>
        </w:rPr>
        <w:t xml:space="preserve">One likely explanation is that the </w:t>
      </w:r>
      <w:r w:rsidR="001E118B" w:rsidRPr="00244CD2">
        <w:rPr>
          <w:rFonts w:ascii="Book Antiqua" w:eastAsia="Book Antiqua" w:hAnsi="Book Antiqua" w:cs="Book Antiqua"/>
          <w:noProof/>
        </w:rPr>
        <w:t>BA</w:t>
      </w:r>
      <w:r w:rsidR="002E4EF2" w:rsidRPr="00244CD2">
        <w:rPr>
          <w:rFonts w:ascii="Book Antiqua" w:eastAsia="Book Antiqua" w:hAnsi="Book Antiqua" w:cs="Book Antiqua"/>
          <w:noProof/>
        </w:rPr>
        <w:t xml:space="preserve"> biosynthesis increases in IBS-D patients, as evidenced by elevated serum 7α-hydroxy-4-cholesten-3-one (C4, the precursor of primary BAs in the liver and thus a marker of hepatic </w:t>
      </w:r>
      <w:r w:rsidR="001E118B" w:rsidRPr="00244CD2">
        <w:rPr>
          <w:rFonts w:ascii="Book Antiqua" w:eastAsia="Book Antiqua" w:hAnsi="Book Antiqua" w:cs="Book Antiqua"/>
          <w:noProof/>
        </w:rPr>
        <w:t>BA</w:t>
      </w:r>
      <w:r w:rsidR="002E4EF2" w:rsidRPr="00244CD2">
        <w:rPr>
          <w:rFonts w:ascii="Book Antiqua" w:eastAsia="Book Antiqua" w:hAnsi="Book Antiqua" w:cs="Book Antiqua"/>
          <w:noProof/>
        </w:rPr>
        <w:t xml:space="preserve"> synthesis</w:t>
      </w:r>
      <w:r w:rsidR="002E4EF2" w:rsidRPr="00244CD2">
        <w:rPr>
          <w:rFonts w:ascii="Book Antiqua" w:eastAsia="Book Antiqua" w:hAnsi="Book Antiqua" w:cs="Book Antiqua"/>
          <w:noProof/>
          <w:vertAlign w:val="superscript"/>
        </w:rPr>
        <w:t>[38]</w:t>
      </w:r>
      <w:r w:rsidR="002E4EF2" w:rsidRPr="00244CD2">
        <w:rPr>
          <w:rFonts w:ascii="Book Antiqua" w:eastAsia="Book Antiqua" w:hAnsi="Book Antiqua" w:cs="Book Antiqua"/>
          <w:noProof/>
        </w:rPr>
        <w:t>) in several studies</w:t>
      </w:r>
      <w:r w:rsidR="002E4EF2" w:rsidRPr="00244CD2">
        <w:rPr>
          <w:rFonts w:ascii="Book Antiqua" w:eastAsia="Book Antiqua" w:hAnsi="Book Antiqua" w:cs="Book Antiqua"/>
          <w:noProof/>
          <w:vertAlign w:val="superscript"/>
        </w:rPr>
        <w:t>[8,11,35]</w:t>
      </w:r>
      <w:r w:rsidR="002E4EF2" w:rsidRPr="00244CD2">
        <w:rPr>
          <w:rFonts w:ascii="Book Antiqua" w:eastAsia="Book Antiqua" w:hAnsi="Book Antiqua" w:cs="Book Antiqua"/>
          <w:noProof/>
        </w:rPr>
        <w:t>,</w:t>
      </w:r>
      <w:r w:rsidR="002E4EF2" w:rsidRPr="00244CD2">
        <w:rPr>
          <w:rFonts w:ascii="Book Antiqua" w:hAnsi="Book Antiqua" w:cs="Book Antiqua"/>
          <w:noProof/>
          <w:lang w:eastAsia="zh-CN"/>
        </w:rPr>
        <w:t xml:space="preserve"> </w:t>
      </w:r>
      <w:r w:rsidRPr="00244CD2">
        <w:rPr>
          <w:rFonts w:ascii="Book Antiqua" w:eastAsia="Book Antiqua" w:hAnsi="Book Antiqua" w:cs="Book Antiqua"/>
          <w:noProof/>
        </w:rPr>
        <w:t xml:space="preserve">thereby the conjugated BAs entering the intestine may also increase, leading to more unconjugated BAs. However, only a minority of the IBS-D patients had </w:t>
      </w:r>
      <w:r w:rsidRPr="00244CD2">
        <w:rPr>
          <w:rFonts w:ascii="Book Antiqua" w:eastAsia="Book Antiqua" w:hAnsi="Book Antiqua" w:cs="Book Antiqua"/>
          <w:noProof/>
        </w:rPr>
        <w:lastRenderedPageBreak/>
        <w:t xml:space="preserve">a CBA/UBA ratio above the 90th percentiles of the CBA/UBA ratio in HC, and we found no significant difference in clinical manifestations between patients with high and low CBA/UBA ratios, suggesting that an abnormality of conversion from conjugated BAs to unconjugated BAs may not widely exist in IBS-D patients. </w:t>
      </w:r>
    </w:p>
    <w:p w14:paraId="6A0CDA5C" w14:textId="77777777" w:rsidR="00A77B3E" w:rsidRPr="00244CD2" w:rsidRDefault="00D85377" w:rsidP="00244CD2">
      <w:pPr>
        <w:snapToGrid w:val="0"/>
        <w:spacing w:line="360" w:lineRule="auto"/>
        <w:ind w:firstLineChars="100" w:firstLine="240"/>
        <w:jc w:val="both"/>
        <w:rPr>
          <w:rFonts w:ascii="Book Antiqua" w:eastAsia="Book Antiqua" w:hAnsi="Book Antiqua" w:cs="Book Antiqua"/>
          <w:noProof/>
        </w:rPr>
      </w:pPr>
      <w:r w:rsidRPr="00244CD2">
        <w:rPr>
          <w:rFonts w:ascii="Book Antiqua" w:eastAsia="Book Antiqua" w:hAnsi="Book Antiqua" w:cs="Book Antiqua"/>
          <w:noProof/>
        </w:rPr>
        <w:t>BAs</w:t>
      </w:r>
      <w:r w:rsidR="007356D0" w:rsidRPr="00244CD2">
        <w:rPr>
          <w:rFonts w:ascii="Book Antiqua" w:eastAsia="Book Antiqua" w:hAnsi="Book Antiqua" w:cs="Book Antiqua"/>
          <w:noProof/>
        </w:rPr>
        <w:t xml:space="preserve"> have been previously shown as an intraluminal factor influencing the secretion function of the colon. Rectal perfusion of CDCA, DCA, and their conjugated BAs in healthy volunteers can induce water and chloride secretion</w:t>
      </w:r>
      <w:r w:rsidR="007356D0" w:rsidRPr="00244CD2">
        <w:rPr>
          <w:rFonts w:ascii="Book Antiqua" w:eastAsia="Book Antiqua" w:hAnsi="Book Antiqua" w:cs="Book Antiqua"/>
          <w:noProof/>
          <w:vertAlign w:val="superscript"/>
        </w:rPr>
        <w:t>[39]</w:t>
      </w:r>
      <w:r w:rsidR="007356D0" w:rsidRPr="00244CD2">
        <w:rPr>
          <w:rFonts w:ascii="Book Antiqua" w:eastAsia="Book Antiqua" w:hAnsi="Book Antiqua" w:cs="Book Antiqua"/>
          <w:noProof/>
        </w:rPr>
        <w:t xml:space="preserve">. Experiments </w:t>
      </w:r>
      <w:r w:rsidR="007356D0" w:rsidRPr="00244CD2">
        <w:rPr>
          <w:rFonts w:ascii="Book Antiqua" w:eastAsia="Book Antiqua" w:hAnsi="Book Antiqua" w:cs="Book Antiqua"/>
          <w:i/>
          <w:iCs/>
          <w:noProof/>
        </w:rPr>
        <w:t>in vitro</w:t>
      </w:r>
      <w:r w:rsidR="007356D0" w:rsidRPr="00244CD2">
        <w:rPr>
          <w:rFonts w:ascii="Book Antiqua" w:eastAsia="Book Antiqua" w:hAnsi="Book Antiqua" w:cs="Book Antiqua"/>
          <w:noProof/>
        </w:rPr>
        <w:t xml:space="preserve"> revealed that CDCA, DCA, and their conjugated patterns can inhibit Cl</w:t>
      </w:r>
      <w:r w:rsidR="007356D0" w:rsidRPr="00244CD2">
        <w:rPr>
          <w:rFonts w:ascii="Book Antiqua" w:eastAsia="Book Antiqua" w:hAnsi="Book Antiqua" w:cs="Book Antiqua"/>
          <w:noProof/>
          <w:vertAlign w:val="superscript"/>
        </w:rPr>
        <w:t>-</w:t>
      </w:r>
      <w:r w:rsidR="007356D0" w:rsidRPr="00244CD2">
        <w:rPr>
          <w:rFonts w:ascii="Book Antiqua" w:eastAsia="Book Antiqua" w:hAnsi="Book Antiqua" w:cs="Book Antiqua"/>
          <w:noProof/>
        </w:rPr>
        <w:t>/OH</w:t>
      </w:r>
      <w:r w:rsidR="007356D0" w:rsidRPr="00244CD2">
        <w:rPr>
          <w:rFonts w:ascii="Book Antiqua" w:eastAsia="Book Antiqua" w:hAnsi="Book Antiqua" w:cs="Book Antiqua"/>
          <w:noProof/>
          <w:vertAlign w:val="superscript"/>
        </w:rPr>
        <w:t>-</w:t>
      </w:r>
      <w:r w:rsidR="007356D0" w:rsidRPr="00244CD2">
        <w:rPr>
          <w:rFonts w:ascii="Book Antiqua" w:eastAsia="Book Antiqua" w:hAnsi="Book Antiqua" w:cs="Book Antiqua"/>
          <w:noProof/>
        </w:rPr>
        <w:t xml:space="preserve"> exchange and activate the cystic fibrosis transmembrane conductance regulator of colonic epithelial cells, attenuating the absorption and stimulating the secretion of chloride, respectively</w:t>
      </w:r>
      <w:r w:rsidR="007356D0" w:rsidRPr="00244CD2">
        <w:rPr>
          <w:rFonts w:ascii="Book Antiqua" w:eastAsia="Book Antiqua" w:hAnsi="Book Antiqua" w:cs="Book Antiqua"/>
          <w:noProof/>
          <w:vertAlign w:val="superscript"/>
        </w:rPr>
        <w:t>[40-42]</w:t>
      </w:r>
      <w:r w:rsidR="007356D0" w:rsidRPr="00244CD2">
        <w:rPr>
          <w:rFonts w:ascii="Book Antiqua" w:eastAsia="Book Antiqua" w:hAnsi="Book Antiqua" w:cs="Book Antiqua"/>
          <w:noProof/>
        </w:rPr>
        <w:t>. Besides, several studies found that instillation of TCA into the sigmoid colon and oral administration of CA and CDCA could accelerate colon motility</w:t>
      </w:r>
      <w:r w:rsidR="007356D0" w:rsidRPr="00244CD2">
        <w:rPr>
          <w:rFonts w:ascii="Book Antiqua" w:eastAsia="Book Antiqua" w:hAnsi="Book Antiqua" w:cs="Book Antiqua"/>
          <w:noProof/>
          <w:vertAlign w:val="superscript"/>
        </w:rPr>
        <w:t>[43</w:t>
      </w:r>
      <w:r w:rsidR="005D4209" w:rsidRPr="00244CD2">
        <w:rPr>
          <w:rFonts w:ascii="Book Antiqua" w:hAnsi="Book Antiqua" w:cs="Book Antiqua"/>
          <w:noProof/>
          <w:vertAlign w:val="superscript"/>
          <w:lang w:eastAsia="zh-CN"/>
        </w:rPr>
        <w:t>-</w:t>
      </w:r>
      <w:r w:rsidR="007356D0" w:rsidRPr="00244CD2">
        <w:rPr>
          <w:rFonts w:ascii="Book Antiqua" w:eastAsia="Book Antiqua" w:hAnsi="Book Antiqua" w:cs="Book Antiqua"/>
          <w:noProof/>
          <w:vertAlign w:val="superscript"/>
        </w:rPr>
        <w:t>45]</w:t>
      </w:r>
      <w:r w:rsidR="007356D0" w:rsidRPr="00244CD2">
        <w:rPr>
          <w:rFonts w:ascii="Book Antiqua" w:eastAsia="Book Antiqua" w:hAnsi="Book Antiqua" w:cs="Book Antiqua"/>
          <w:noProof/>
        </w:rPr>
        <w:t>, and the colonic transit rate of IBS-D patients showed positive correlation with the proportion of primary BAs in feces</w:t>
      </w:r>
      <w:r w:rsidR="007356D0" w:rsidRPr="00244CD2">
        <w:rPr>
          <w:rFonts w:ascii="Book Antiqua" w:eastAsia="Book Antiqua" w:hAnsi="Book Antiqua" w:cs="Book Antiqua"/>
          <w:noProof/>
          <w:vertAlign w:val="superscript"/>
        </w:rPr>
        <w:t>[37]</w:t>
      </w:r>
      <w:r w:rsidR="007356D0" w:rsidRPr="00244CD2">
        <w:rPr>
          <w:rFonts w:ascii="Book Antiqua" w:eastAsia="Book Antiqua" w:hAnsi="Book Antiqua" w:cs="Book Antiqua"/>
          <w:noProof/>
        </w:rPr>
        <w:t>, indicating that primary BAs can modulate colonic motor function. The positive association between defecation frequency and primary BAs found in the current study, consistent with previous reports</w:t>
      </w:r>
      <w:r w:rsidR="007356D0" w:rsidRPr="00244CD2">
        <w:rPr>
          <w:rFonts w:ascii="Book Antiqua" w:eastAsia="Book Antiqua" w:hAnsi="Book Antiqua" w:cs="Book Antiqua"/>
          <w:noProof/>
          <w:vertAlign w:val="superscript"/>
        </w:rPr>
        <w:t>[9,33]</w:t>
      </w:r>
      <w:r w:rsidR="007356D0" w:rsidRPr="00244CD2">
        <w:rPr>
          <w:rFonts w:ascii="Book Antiqua" w:eastAsia="Book Antiqua" w:hAnsi="Book Antiqua" w:cs="Book Antiqua"/>
          <w:noProof/>
        </w:rPr>
        <w:t xml:space="preserve">, might result from the promotion of secretion and motility of the colon by CA and CDCA. </w:t>
      </w:r>
      <w:r w:rsidR="006D78BB" w:rsidRPr="00244CD2">
        <w:rPr>
          <w:rFonts w:ascii="Book Antiqua" w:eastAsia="Book Antiqua" w:hAnsi="Book Antiqua" w:cs="Book Antiqua"/>
          <w:noProof/>
        </w:rPr>
        <w:t>I</w:t>
      </w:r>
      <w:r w:rsidR="006D78BB" w:rsidRPr="00244CD2">
        <w:rPr>
          <w:rFonts w:ascii="Book Antiqua" w:eastAsia="Book Antiqua" w:hAnsi="Book Antiqua" w:cs="Book Antiqua"/>
          <w:noProof/>
          <w:lang w:eastAsia="zh-CN"/>
        </w:rPr>
        <w:t>t is noteworthy that</w:t>
      </w:r>
      <w:r w:rsidR="005D4209" w:rsidRPr="00244CD2">
        <w:rPr>
          <w:rFonts w:ascii="Book Antiqua" w:eastAsia="Book Antiqua" w:hAnsi="Book Antiqua" w:cs="Book Antiqua"/>
          <w:noProof/>
        </w:rPr>
        <w:t xml:space="preserve"> the relationship between colonic motility and luminal </w:t>
      </w:r>
      <w:r w:rsidRPr="00244CD2">
        <w:rPr>
          <w:rFonts w:ascii="Book Antiqua" w:eastAsia="Book Antiqua" w:hAnsi="Book Antiqua" w:cs="Book Antiqua"/>
          <w:noProof/>
        </w:rPr>
        <w:t>BAs</w:t>
      </w:r>
      <w:r w:rsidR="005D4209" w:rsidRPr="00244CD2">
        <w:rPr>
          <w:rFonts w:ascii="Book Antiqua" w:eastAsia="Book Antiqua" w:hAnsi="Book Antiqua" w:cs="Book Antiqua"/>
          <w:noProof/>
        </w:rPr>
        <w:t xml:space="preserve"> is not unidirectional. Aside from BAs, abnormal motility may be induced by other factors such as neuromuscular dysfunction and chronic stress in IBS-D patients</w:t>
      </w:r>
      <w:r w:rsidR="005D4209" w:rsidRPr="00244CD2">
        <w:rPr>
          <w:rFonts w:ascii="Book Antiqua" w:eastAsia="Book Antiqua" w:hAnsi="Book Antiqua" w:cs="Book Antiqua"/>
          <w:noProof/>
          <w:vertAlign w:val="superscript"/>
        </w:rPr>
        <w:t>[46,47]</w:t>
      </w:r>
      <w:r w:rsidR="005D4209" w:rsidRPr="00244CD2">
        <w:rPr>
          <w:rFonts w:ascii="Book Antiqua" w:eastAsia="Book Antiqua" w:hAnsi="Book Antiqua" w:cs="Book Antiqua"/>
          <w:noProof/>
        </w:rPr>
        <w:t>.</w:t>
      </w:r>
      <w:r w:rsidR="002C25B0" w:rsidRPr="00244CD2">
        <w:rPr>
          <w:rFonts w:ascii="Book Antiqua" w:eastAsia="Book Antiqua" w:hAnsi="Book Antiqua" w:cs="Book Antiqua"/>
          <w:noProof/>
        </w:rPr>
        <w:t xml:space="preserve"> </w:t>
      </w:r>
      <w:r w:rsidR="005D4209" w:rsidRPr="00244CD2">
        <w:rPr>
          <w:rFonts w:ascii="Book Antiqua" w:eastAsia="Book Antiqua" w:hAnsi="Book Antiqua" w:cs="Book Antiqua"/>
          <w:noProof/>
        </w:rPr>
        <w:t>The variance in colonic transit may influence the passive absorption of BAs across the colon epithelium and result in changes of BAs excreted in feces</w:t>
      </w:r>
      <w:r w:rsidR="005D4209" w:rsidRPr="00244CD2">
        <w:rPr>
          <w:rFonts w:ascii="Book Antiqua" w:eastAsia="Book Antiqua" w:hAnsi="Book Antiqua" w:cs="Book Antiqua"/>
          <w:noProof/>
          <w:vertAlign w:val="superscript"/>
        </w:rPr>
        <w:t>[37]</w:t>
      </w:r>
      <w:r w:rsidR="005D4209" w:rsidRPr="00244CD2">
        <w:rPr>
          <w:rFonts w:ascii="Book Antiqua" w:eastAsia="Book Antiqua" w:hAnsi="Book Antiqua" w:cs="Book Antiqua"/>
          <w:noProof/>
        </w:rPr>
        <w:t>, which is corroborated by the decrease or increase of total BAs in the feces of healthy volunteers when intervened with loperamide or senna, respectively</w:t>
      </w:r>
      <w:r w:rsidR="005D4209" w:rsidRPr="00244CD2">
        <w:rPr>
          <w:rFonts w:ascii="Book Antiqua" w:eastAsia="Book Antiqua" w:hAnsi="Book Antiqua" w:cs="Book Antiqua"/>
          <w:noProof/>
          <w:vertAlign w:val="superscript"/>
        </w:rPr>
        <w:t>[48]</w:t>
      </w:r>
      <w:r w:rsidR="005D4209" w:rsidRPr="00244CD2">
        <w:rPr>
          <w:rFonts w:ascii="Book Antiqua" w:eastAsia="Book Antiqua" w:hAnsi="Book Antiqua" w:cs="Book Antiqua"/>
          <w:noProof/>
        </w:rPr>
        <w:t>. Therefore, correlations cannot be equated with causal associations in this observational study, and a longitudinal study is required to verify these results.</w:t>
      </w:r>
    </w:p>
    <w:p w14:paraId="0A21F7A8" w14:textId="77777777" w:rsidR="00A77B3E" w:rsidRPr="00244CD2" w:rsidRDefault="007356D0" w:rsidP="00244CD2">
      <w:pPr>
        <w:snapToGrid w:val="0"/>
        <w:spacing w:line="360" w:lineRule="auto"/>
        <w:ind w:firstLineChars="100" w:firstLine="240"/>
        <w:jc w:val="both"/>
        <w:rPr>
          <w:rFonts w:ascii="Book Antiqua" w:eastAsia="Book Antiqua" w:hAnsi="Book Antiqua" w:cs="Book Antiqua"/>
          <w:noProof/>
        </w:rPr>
      </w:pPr>
      <w:r w:rsidRPr="00244CD2">
        <w:rPr>
          <w:rFonts w:ascii="Book Antiqua" w:eastAsia="Book Antiqua" w:hAnsi="Book Antiqua" w:cs="Book Antiqua"/>
          <w:noProof/>
        </w:rPr>
        <w:t>Previous studies mainly focused on the relationship between gastrointestinal motility rather than visceral sensitivity and BAs in IBS-D</w:t>
      </w:r>
      <w:r w:rsidRPr="00244CD2">
        <w:rPr>
          <w:rFonts w:ascii="Book Antiqua" w:eastAsia="Book Antiqua" w:hAnsi="Book Antiqua" w:cs="Book Antiqua"/>
          <w:noProof/>
          <w:vertAlign w:val="superscript"/>
        </w:rPr>
        <w:t>[9,10,35]</w:t>
      </w:r>
      <w:r w:rsidRPr="00244CD2">
        <w:rPr>
          <w:rFonts w:ascii="Book Antiqua" w:eastAsia="Book Antiqua" w:hAnsi="Book Antiqua" w:cs="Book Antiqua"/>
          <w:noProof/>
        </w:rPr>
        <w:t>. Experiments in animals and healthy volunteers demonstrated that instillation of CDCA and DCA could increase the sensitivity to rectal distension</w:t>
      </w:r>
      <w:r w:rsidRPr="00244CD2">
        <w:rPr>
          <w:rFonts w:ascii="Book Antiqua" w:eastAsia="Book Antiqua" w:hAnsi="Book Antiqua" w:cs="Book Antiqua"/>
          <w:noProof/>
          <w:vertAlign w:val="superscript"/>
        </w:rPr>
        <w:t>[49-51]</w:t>
      </w:r>
      <w:r w:rsidRPr="00244CD2">
        <w:rPr>
          <w:rFonts w:ascii="Book Antiqua" w:eastAsia="Book Antiqua" w:hAnsi="Book Antiqua" w:cs="Book Antiqua"/>
          <w:noProof/>
        </w:rPr>
        <w:t xml:space="preserve">. Consistently, we observed that the first sensation </w:t>
      </w:r>
      <w:r w:rsidRPr="00244CD2">
        <w:rPr>
          <w:rFonts w:ascii="Book Antiqua" w:eastAsia="Book Antiqua" w:hAnsi="Book Antiqua" w:cs="Book Antiqua"/>
          <w:noProof/>
        </w:rPr>
        <w:lastRenderedPageBreak/>
        <w:t>threshold and the defecating sensation threshold inversely associated with fecal CDCA in IBS-D patients, suggesting that increased CDCA in the colon might induce a decline in the colonic sensory thresholds, which could be one of the potential mechanisms of visceral hypersensitivity of IBS-D patients. Still, these observational results should be viewed with caution, and further studies on the link between hypersensitivity and BAs in IBS-D are warranted.</w:t>
      </w:r>
    </w:p>
    <w:p w14:paraId="5426A1A6" w14:textId="79CE4ECF" w:rsidR="00A77B3E" w:rsidRPr="00244CD2" w:rsidRDefault="007356D0" w:rsidP="00244CD2">
      <w:pPr>
        <w:snapToGrid w:val="0"/>
        <w:spacing w:line="360" w:lineRule="auto"/>
        <w:ind w:firstLineChars="100" w:firstLine="240"/>
        <w:jc w:val="both"/>
        <w:rPr>
          <w:noProof/>
        </w:rPr>
      </w:pPr>
      <w:r w:rsidRPr="00244CD2">
        <w:rPr>
          <w:rFonts w:ascii="Book Antiqua" w:eastAsia="Book Antiqua" w:hAnsi="Book Antiqua" w:cs="Book Antiqua"/>
          <w:noProof/>
        </w:rPr>
        <w:t>We next compared the composition of the gut microbiome in IBS-D patients and HC</w:t>
      </w:r>
      <w:r w:rsidR="000813BD">
        <w:rPr>
          <w:rFonts w:ascii="Book Antiqua" w:eastAsia="Book Antiqua" w:hAnsi="Book Antiqua" w:cs="Book Antiqua"/>
          <w:noProof/>
        </w:rPr>
        <w:t>s</w:t>
      </w:r>
      <w:r w:rsidRPr="00244CD2">
        <w:rPr>
          <w:rFonts w:ascii="Book Antiqua" w:eastAsia="Book Antiqua" w:hAnsi="Book Antiqua" w:cs="Book Antiqua"/>
          <w:noProof/>
        </w:rPr>
        <w:t>. As expected, gut dysbiosis was observed in IBS-D patients. In agreement with a previous study</w:t>
      </w:r>
      <w:r w:rsidRPr="00244CD2">
        <w:rPr>
          <w:rFonts w:ascii="Book Antiqua" w:eastAsia="Book Antiqua" w:hAnsi="Book Antiqua" w:cs="Book Antiqua"/>
          <w:noProof/>
          <w:vertAlign w:val="superscript"/>
        </w:rPr>
        <w:t>[52]</w:t>
      </w:r>
      <w:r w:rsidRPr="00244CD2">
        <w:rPr>
          <w:rFonts w:ascii="Book Antiqua" w:eastAsia="Book Antiqua" w:hAnsi="Book Antiqua" w:cs="Book Antiqua"/>
          <w:noProof/>
        </w:rPr>
        <w:t>, we found that the richness of the gut flora was reduced in IBS-D while the diversity and evenness showed no significant difference between IBS-D patients and HC</w:t>
      </w:r>
      <w:r w:rsidR="000813BD">
        <w:rPr>
          <w:rFonts w:ascii="Book Antiqua" w:eastAsia="Book Antiqua" w:hAnsi="Book Antiqua" w:cs="Book Antiqua"/>
          <w:noProof/>
        </w:rPr>
        <w:t>s</w:t>
      </w:r>
      <w:r w:rsidRPr="00244CD2">
        <w:rPr>
          <w:rFonts w:ascii="Book Antiqua" w:eastAsia="Book Antiqua" w:hAnsi="Book Antiqua" w:cs="Book Antiqua"/>
          <w:noProof/>
        </w:rPr>
        <w:t xml:space="preserve">, and we also found that </w:t>
      </w:r>
      <w:r w:rsidR="00715D7E" w:rsidRPr="00244CD2">
        <w:rPr>
          <w:rFonts w:ascii="Book Antiqua" w:eastAsia="Book Antiqua" w:hAnsi="Book Antiqua" w:cs="Book Antiqua"/>
          <w:i/>
          <w:noProof/>
        </w:rPr>
        <w:t>F</w:t>
      </w:r>
      <w:r w:rsidR="00910AAB" w:rsidRPr="00244CD2">
        <w:rPr>
          <w:rFonts w:ascii="Book Antiqua" w:eastAsia="Book Antiqua" w:hAnsi="Book Antiqua" w:cs="Book Antiqua"/>
          <w:i/>
          <w:noProof/>
        </w:rPr>
        <w:t>irmicutes</w:t>
      </w:r>
      <w:r w:rsidRPr="00244CD2">
        <w:rPr>
          <w:rFonts w:ascii="Book Antiqua" w:eastAsia="Book Antiqua" w:hAnsi="Book Antiqua" w:cs="Book Antiqua"/>
          <w:noProof/>
        </w:rPr>
        <w:t xml:space="preserve"> tended to decrease while </w:t>
      </w:r>
      <w:r w:rsidR="00715D7E" w:rsidRPr="00244CD2">
        <w:rPr>
          <w:rFonts w:ascii="Book Antiqua" w:eastAsia="Book Antiqua" w:hAnsi="Book Antiqua" w:cs="Book Antiqua"/>
          <w:i/>
          <w:noProof/>
        </w:rPr>
        <w:t>B</w:t>
      </w:r>
      <w:r w:rsidR="00910AAB" w:rsidRPr="00244CD2">
        <w:rPr>
          <w:rFonts w:ascii="Book Antiqua" w:eastAsia="Book Antiqua" w:hAnsi="Book Antiqua" w:cs="Book Antiqua"/>
          <w:i/>
          <w:noProof/>
        </w:rPr>
        <w:t>acteroidetes</w:t>
      </w:r>
      <w:r w:rsidRPr="00244CD2">
        <w:rPr>
          <w:rFonts w:ascii="Book Antiqua" w:eastAsia="Book Antiqua" w:hAnsi="Book Antiqua" w:cs="Book Antiqua"/>
          <w:noProof/>
        </w:rPr>
        <w:t xml:space="preserve"> tended to increase in IBS-D. The proportions of the </w:t>
      </w:r>
      <w:r w:rsidR="00715D7E" w:rsidRPr="00244CD2">
        <w:rPr>
          <w:rFonts w:ascii="Book Antiqua" w:eastAsia="Book Antiqua" w:hAnsi="Book Antiqua" w:cs="Book Antiqua"/>
          <w:i/>
          <w:noProof/>
        </w:rPr>
        <w:t>C</w:t>
      </w:r>
      <w:r w:rsidR="00910AAB" w:rsidRPr="00244CD2">
        <w:rPr>
          <w:rFonts w:ascii="Book Antiqua" w:eastAsia="Book Antiqua" w:hAnsi="Book Antiqua" w:cs="Book Antiqua"/>
          <w:i/>
          <w:noProof/>
        </w:rPr>
        <w:t>lostridiales</w:t>
      </w:r>
      <w:r w:rsidRPr="00244CD2">
        <w:rPr>
          <w:rFonts w:ascii="Book Antiqua" w:eastAsia="Book Antiqua" w:hAnsi="Book Antiqua" w:cs="Book Antiqua"/>
          <w:noProof/>
        </w:rPr>
        <w:t xml:space="preserve"> order and the </w:t>
      </w:r>
      <w:r w:rsidR="002D00F9" w:rsidRPr="00244CD2">
        <w:rPr>
          <w:rFonts w:ascii="Book Antiqua" w:eastAsia="Book Antiqua" w:hAnsi="Book Antiqua" w:cs="Book Antiqua"/>
          <w:i/>
          <w:noProof/>
        </w:rPr>
        <w:t>Ruminococcaceae</w:t>
      </w:r>
      <w:r w:rsidRPr="00244CD2">
        <w:rPr>
          <w:rFonts w:ascii="Book Antiqua" w:eastAsia="Book Antiqua" w:hAnsi="Book Antiqua" w:cs="Book Antiqua"/>
          <w:noProof/>
        </w:rPr>
        <w:t xml:space="preserve"> family within it have been reported to decrease in IBS</w:t>
      </w:r>
      <w:r w:rsidRPr="00244CD2">
        <w:rPr>
          <w:rFonts w:ascii="Book Antiqua" w:eastAsia="Book Antiqua" w:hAnsi="Book Antiqua" w:cs="Book Antiqua"/>
          <w:noProof/>
          <w:vertAlign w:val="superscript"/>
        </w:rPr>
        <w:t>[52,53]</w:t>
      </w:r>
      <w:r w:rsidRPr="00244CD2">
        <w:rPr>
          <w:rFonts w:ascii="Book Antiqua" w:eastAsia="Book Antiqua" w:hAnsi="Book Antiqua" w:cs="Book Antiqua"/>
          <w:noProof/>
        </w:rPr>
        <w:t xml:space="preserve">, which is supported by our findings. In particular, we observed </w:t>
      </w:r>
      <w:r w:rsidR="001E118B" w:rsidRPr="00244CD2">
        <w:rPr>
          <w:rFonts w:ascii="Book Antiqua" w:eastAsia="Book Antiqua" w:hAnsi="Book Antiqua" w:cs="Book Antiqua"/>
          <w:noProof/>
        </w:rPr>
        <w:t xml:space="preserve">six </w:t>
      </w:r>
      <w:r w:rsidRPr="00244CD2">
        <w:rPr>
          <w:rFonts w:ascii="Book Antiqua" w:eastAsia="Book Antiqua" w:hAnsi="Book Antiqua" w:cs="Book Antiqua"/>
          <w:noProof/>
        </w:rPr>
        <w:t xml:space="preserve">genera in </w:t>
      </w:r>
      <w:r w:rsidR="002D00F9" w:rsidRPr="00244CD2">
        <w:rPr>
          <w:rFonts w:ascii="Book Antiqua" w:eastAsia="Book Antiqua" w:hAnsi="Book Antiqua" w:cs="Book Antiqua"/>
          <w:i/>
          <w:noProof/>
        </w:rPr>
        <w:t>Ruminococcaceae</w:t>
      </w:r>
      <w:r w:rsidRPr="00244CD2">
        <w:rPr>
          <w:rFonts w:ascii="Book Antiqua" w:eastAsia="Book Antiqua" w:hAnsi="Book Antiqua" w:cs="Book Antiqua"/>
          <w:noProof/>
        </w:rPr>
        <w:t xml:space="preserve"> were significantly decreased in IBS-D, including </w:t>
      </w:r>
      <w:r w:rsidR="00715D7E" w:rsidRPr="00244CD2">
        <w:rPr>
          <w:rFonts w:ascii="Book Antiqua" w:eastAsia="Book Antiqua" w:hAnsi="Book Antiqua" w:cs="Book Antiqua"/>
          <w:i/>
          <w:iCs/>
          <w:noProof/>
        </w:rPr>
        <w:t>A</w:t>
      </w:r>
      <w:r w:rsidR="00B80A0E" w:rsidRPr="00244CD2">
        <w:rPr>
          <w:rFonts w:ascii="Book Antiqua" w:eastAsia="Book Antiqua" w:hAnsi="Book Antiqua" w:cs="Book Antiqua"/>
          <w:i/>
          <w:iCs/>
          <w:noProof/>
        </w:rPr>
        <w:t>naerofilum</w:t>
      </w:r>
      <w:r w:rsidR="00B80A0E" w:rsidRPr="00244CD2">
        <w:rPr>
          <w:rFonts w:ascii="Book Antiqua" w:eastAsia="Book Antiqua" w:hAnsi="Book Antiqua" w:cs="Book Antiqua"/>
          <w:noProof/>
        </w:rPr>
        <w:t xml:space="preserve">, </w:t>
      </w:r>
      <w:r w:rsidR="00715D7E" w:rsidRPr="00244CD2">
        <w:rPr>
          <w:rFonts w:ascii="Book Antiqua" w:eastAsia="Book Antiqua" w:hAnsi="Book Antiqua" w:cs="Book Antiqua"/>
          <w:i/>
          <w:iCs/>
          <w:noProof/>
        </w:rPr>
        <w:t>A</w:t>
      </w:r>
      <w:r w:rsidR="00B80A0E" w:rsidRPr="00244CD2">
        <w:rPr>
          <w:rFonts w:ascii="Book Antiqua" w:eastAsia="Book Antiqua" w:hAnsi="Book Antiqua" w:cs="Book Antiqua"/>
          <w:i/>
          <w:iCs/>
          <w:noProof/>
        </w:rPr>
        <w:t>naerotruncus</w:t>
      </w:r>
      <w:r w:rsidR="00B80A0E" w:rsidRPr="00244CD2">
        <w:rPr>
          <w:rFonts w:ascii="Book Antiqua" w:eastAsia="Book Antiqua" w:hAnsi="Book Antiqua" w:cs="Book Antiqua"/>
          <w:noProof/>
        </w:rPr>
        <w:t xml:space="preserve">, </w:t>
      </w:r>
      <w:r w:rsidR="00715D7E" w:rsidRPr="00244CD2">
        <w:rPr>
          <w:rFonts w:ascii="Book Antiqua" w:eastAsia="Book Antiqua" w:hAnsi="Book Antiqua" w:cs="Book Antiqua"/>
          <w:i/>
          <w:iCs/>
          <w:noProof/>
        </w:rPr>
        <w:t>C</w:t>
      </w:r>
      <w:r w:rsidR="00B80A0E" w:rsidRPr="00244CD2">
        <w:rPr>
          <w:rFonts w:ascii="Book Antiqua" w:eastAsia="Book Antiqua" w:hAnsi="Book Antiqua" w:cs="Book Antiqua"/>
          <w:i/>
          <w:iCs/>
          <w:noProof/>
        </w:rPr>
        <w:t>lostridi</w:t>
      </w:r>
      <w:r w:rsidRPr="00244CD2">
        <w:rPr>
          <w:rFonts w:ascii="Book Antiqua" w:eastAsia="Book Antiqua" w:hAnsi="Book Antiqua" w:cs="Book Antiqua"/>
          <w:i/>
          <w:iCs/>
          <w:noProof/>
        </w:rPr>
        <w:t>um IV</w:t>
      </w:r>
      <w:r w:rsidRPr="00244CD2">
        <w:rPr>
          <w:rFonts w:ascii="Book Antiqua" w:eastAsia="Book Antiqua" w:hAnsi="Book Antiqua" w:cs="Book Antiqua"/>
          <w:noProof/>
        </w:rPr>
        <w:t xml:space="preserve">, </w:t>
      </w:r>
      <w:r w:rsidR="00715D7E" w:rsidRPr="00244CD2">
        <w:rPr>
          <w:rFonts w:ascii="Book Antiqua" w:eastAsia="Book Antiqua" w:hAnsi="Book Antiqua" w:cs="Book Antiqua"/>
          <w:i/>
          <w:iCs/>
          <w:noProof/>
        </w:rPr>
        <w:t>F</w:t>
      </w:r>
      <w:r w:rsidR="00B80A0E" w:rsidRPr="00244CD2">
        <w:rPr>
          <w:rFonts w:ascii="Book Antiqua" w:eastAsia="Book Antiqua" w:hAnsi="Book Antiqua" w:cs="Book Antiqua"/>
          <w:i/>
          <w:iCs/>
          <w:noProof/>
        </w:rPr>
        <w:t>aecalibacterium</w:t>
      </w:r>
      <w:r w:rsidR="00B80A0E" w:rsidRPr="00244CD2">
        <w:rPr>
          <w:rFonts w:ascii="Book Antiqua" w:eastAsia="Book Antiqua" w:hAnsi="Book Antiqua" w:cs="Book Antiqua"/>
          <w:noProof/>
        </w:rPr>
        <w:t xml:space="preserve">, </w:t>
      </w:r>
      <w:r w:rsidR="00715D7E" w:rsidRPr="00244CD2">
        <w:rPr>
          <w:rFonts w:ascii="Book Antiqua" w:eastAsia="Book Antiqua" w:hAnsi="Book Antiqua" w:cs="Book Antiqua"/>
          <w:i/>
          <w:iCs/>
          <w:noProof/>
        </w:rPr>
        <w:t>G</w:t>
      </w:r>
      <w:r w:rsidR="00B80A0E" w:rsidRPr="00244CD2">
        <w:rPr>
          <w:rFonts w:ascii="Book Antiqua" w:eastAsia="Book Antiqua" w:hAnsi="Book Antiqua" w:cs="Book Antiqua"/>
          <w:i/>
          <w:iCs/>
          <w:noProof/>
        </w:rPr>
        <w:t>emmiger</w:t>
      </w:r>
      <w:r w:rsidR="00B80A0E" w:rsidRPr="00244CD2">
        <w:rPr>
          <w:rFonts w:ascii="Book Antiqua" w:eastAsia="Book Antiqua" w:hAnsi="Book Antiqua" w:cs="Book Antiqua"/>
          <w:noProof/>
        </w:rPr>
        <w:t xml:space="preserve">, and </w:t>
      </w:r>
      <w:r w:rsidR="00715D7E" w:rsidRPr="00244CD2">
        <w:rPr>
          <w:rFonts w:ascii="Book Antiqua" w:eastAsia="Book Antiqua" w:hAnsi="Book Antiqua" w:cs="Book Antiqua"/>
          <w:i/>
          <w:iCs/>
          <w:noProof/>
        </w:rPr>
        <w:t>O</w:t>
      </w:r>
      <w:r w:rsidR="00B80A0E" w:rsidRPr="00244CD2">
        <w:rPr>
          <w:rFonts w:ascii="Book Antiqua" w:eastAsia="Book Antiqua" w:hAnsi="Book Antiqua" w:cs="Book Antiqua"/>
          <w:i/>
          <w:iCs/>
          <w:noProof/>
        </w:rPr>
        <w:t>sci</w:t>
      </w:r>
      <w:r w:rsidRPr="00244CD2">
        <w:rPr>
          <w:rFonts w:ascii="Book Antiqua" w:eastAsia="Book Antiqua" w:hAnsi="Book Antiqua" w:cs="Book Antiqua"/>
          <w:i/>
          <w:iCs/>
          <w:noProof/>
        </w:rPr>
        <w:t>llibacter</w:t>
      </w:r>
      <w:r w:rsidRPr="00244CD2">
        <w:rPr>
          <w:rFonts w:ascii="Book Antiqua" w:eastAsia="Book Antiqua" w:hAnsi="Book Antiqua" w:cs="Book Antiqua"/>
          <w:noProof/>
        </w:rPr>
        <w:t>.</w:t>
      </w:r>
    </w:p>
    <w:p w14:paraId="6914514B" w14:textId="7AB247C4" w:rsidR="00A77B3E" w:rsidRPr="00244CD2" w:rsidRDefault="007356D0" w:rsidP="00244CD2">
      <w:pPr>
        <w:snapToGrid w:val="0"/>
        <w:spacing w:line="360" w:lineRule="auto"/>
        <w:ind w:firstLineChars="100" w:firstLine="240"/>
        <w:jc w:val="both"/>
        <w:rPr>
          <w:noProof/>
        </w:rPr>
      </w:pPr>
      <w:r w:rsidRPr="00244CD2">
        <w:rPr>
          <w:rFonts w:ascii="Book Antiqua" w:eastAsia="Book Antiqua" w:hAnsi="Book Antiqua" w:cs="Book Antiqua"/>
          <w:noProof/>
        </w:rPr>
        <w:t>The conversion of BAs in the intestine depends on the microbial community. Tauro- and glyco- BAs are first deconjugated into taurine/glycine and unconjugated BAs under the action of bacterial bile salt hydrolase (BSH) enzymes in various bacteria, as a prerequisite for further BAs metabolism by the microbiome</w:t>
      </w:r>
      <w:r w:rsidRPr="00244CD2">
        <w:rPr>
          <w:rFonts w:ascii="Book Antiqua" w:eastAsia="Book Antiqua" w:hAnsi="Book Antiqua" w:cs="Book Antiqua"/>
          <w:noProof/>
          <w:vertAlign w:val="superscript"/>
        </w:rPr>
        <w:t>[14]</w:t>
      </w:r>
      <w:r w:rsidRPr="00244CD2">
        <w:rPr>
          <w:rFonts w:ascii="Book Antiqua" w:eastAsia="Book Antiqua" w:hAnsi="Book Antiqua" w:cs="Book Antiqua"/>
          <w:noProof/>
        </w:rPr>
        <w:t xml:space="preserve">. Subsequently, the formation of DCA and LCA from CA and CDCA through 7α-dehydroxylation was carried out by bacteria with </w:t>
      </w:r>
      <w:r w:rsidR="001E118B" w:rsidRPr="00244CD2">
        <w:rPr>
          <w:rFonts w:ascii="Book Antiqua" w:eastAsia="Book Antiqua" w:hAnsi="Book Antiqua" w:cs="Book Antiqua"/>
          <w:noProof/>
        </w:rPr>
        <w:t>BA</w:t>
      </w:r>
      <w:r w:rsidRPr="00244CD2">
        <w:rPr>
          <w:rFonts w:ascii="Book Antiqua" w:eastAsia="Book Antiqua" w:hAnsi="Book Antiqua" w:cs="Book Antiqua"/>
          <w:noProof/>
        </w:rPr>
        <w:t>-inducible (</w:t>
      </w:r>
      <w:r w:rsidRPr="00244CD2">
        <w:rPr>
          <w:rFonts w:ascii="Book Antiqua" w:eastAsia="Book Antiqua" w:hAnsi="Book Antiqua" w:cs="Book Antiqua"/>
          <w:i/>
          <w:iCs/>
          <w:noProof/>
        </w:rPr>
        <w:t>bai</w:t>
      </w:r>
      <w:r w:rsidRPr="00244CD2">
        <w:rPr>
          <w:rFonts w:ascii="Book Antiqua" w:eastAsia="Book Antiqua" w:hAnsi="Book Antiqua" w:cs="Book Antiqua"/>
          <w:noProof/>
        </w:rPr>
        <w:t>) genes</w:t>
      </w:r>
      <w:r w:rsidR="00DE5E7D" w:rsidRPr="00FE4436">
        <w:rPr>
          <w:rFonts w:ascii="Book Antiqua" w:eastAsia="Book Antiqua" w:hAnsi="Book Antiqua" w:cs="Book Antiqua"/>
          <w:noProof/>
          <w:vertAlign w:val="superscript"/>
        </w:rPr>
        <w:t>[</w:t>
      </w:r>
      <w:r w:rsidR="00DE5E7D">
        <w:rPr>
          <w:rFonts w:ascii="Book Antiqua" w:eastAsia="Book Antiqua" w:hAnsi="Book Antiqua" w:cs="Book Antiqua"/>
          <w:noProof/>
          <w:vertAlign w:val="superscript"/>
        </w:rPr>
        <w:t>1</w:t>
      </w:r>
      <w:r w:rsidR="00DE5E7D" w:rsidRPr="00FE4436">
        <w:rPr>
          <w:rFonts w:ascii="Book Antiqua" w:eastAsia="Book Antiqua" w:hAnsi="Book Antiqua" w:cs="Book Antiqua"/>
          <w:noProof/>
          <w:vertAlign w:val="superscript"/>
        </w:rPr>
        <w:t>4]</w:t>
      </w:r>
      <w:r w:rsidRPr="00244CD2">
        <w:rPr>
          <w:rFonts w:ascii="Book Antiqua" w:eastAsia="Book Antiqua" w:hAnsi="Book Antiqua" w:cs="Book Antiqua"/>
          <w:noProof/>
        </w:rPr>
        <w:t xml:space="preserve">. BSH distributes widely at the phylum level including </w:t>
      </w:r>
      <w:r w:rsidR="00014794" w:rsidRPr="00244CD2">
        <w:rPr>
          <w:rFonts w:ascii="Book Antiqua" w:eastAsia="Book Antiqua" w:hAnsi="Book Antiqua" w:cs="Book Antiqua"/>
          <w:i/>
          <w:noProof/>
        </w:rPr>
        <w:t>F</w:t>
      </w:r>
      <w:r w:rsidR="00910AAB" w:rsidRPr="00244CD2">
        <w:rPr>
          <w:rFonts w:ascii="Book Antiqua" w:eastAsia="Book Antiqua" w:hAnsi="Book Antiqua" w:cs="Book Antiqua"/>
          <w:i/>
          <w:noProof/>
        </w:rPr>
        <w:t>irmicutes</w:t>
      </w:r>
      <w:r w:rsidRPr="00244CD2">
        <w:rPr>
          <w:rFonts w:ascii="Book Antiqua" w:eastAsia="Book Antiqua" w:hAnsi="Book Antiqua" w:cs="Book Antiqua"/>
          <w:noProof/>
        </w:rPr>
        <w:t xml:space="preserve">, </w:t>
      </w:r>
      <w:r w:rsidR="00014794" w:rsidRPr="00244CD2">
        <w:rPr>
          <w:rFonts w:ascii="Book Antiqua" w:eastAsia="Book Antiqua" w:hAnsi="Book Antiqua" w:cs="Book Antiqua"/>
          <w:i/>
          <w:noProof/>
        </w:rPr>
        <w:t>B</w:t>
      </w:r>
      <w:r w:rsidR="00910AAB" w:rsidRPr="00244CD2">
        <w:rPr>
          <w:rFonts w:ascii="Book Antiqua" w:eastAsia="Book Antiqua" w:hAnsi="Book Antiqua" w:cs="Book Antiqua"/>
          <w:i/>
          <w:noProof/>
        </w:rPr>
        <w:t>acteroidetes</w:t>
      </w:r>
      <w:r w:rsidRPr="00244CD2">
        <w:rPr>
          <w:rFonts w:ascii="Book Antiqua" w:eastAsia="Book Antiqua" w:hAnsi="Book Antiqua" w:cs="Book Antiqua"/>
          <w:noProof/>
        </w:rPr>
        <w:t xml:space="preserve">, and </w:t>
      </w:r>
      <w:r w:rsidR="00014794" w:rsidRPr="00244CD2">
        <w:rPr>
          <w:rFonts w:ascii="Book Antiqua" w:eastAsia="Book Antiqua" w:hAnsi="Book Antiqua" w:cs="Book Antiqua"/>
          <w:i/>
          <w:noProof/>
        </w:rPr>
        <w:t>A</w:t>
      </w:r>
      <w:r w:rsidR="00910AAB" w:rsidRPr="00244CD2">
        <w:rPr>
          <w:rFonts w:ascii="Book Antiqua" w:eastAsia="Book Antiqua" w:hAnsi="Book Antiqua" w:cs="Book Antiqua"/>
          <w:i/>
          <w:noProof/>
        </w:rPr>
        <w:t>ctinobacteria</w:t>
      </w:r>
      <w:r w:rsidRPr="00244CD2">
        <w:rPr>
          <w:rFonts w:ascii="Book Antiqua" w:eastAsia="Book Antiqua" w:hAnsi="Book Antiqua" w:cs="Book Antiqua"/>
          <w:noProof/>
        </w:rPr>
        <w:t xml:space="preserve"> in humans</w:t>
      </w:r>
      <w:r w:rsidRPr="00244CD2">
        <w:rPr>
          <w:rFonts w:ascii="Book Antiqua" w:eastAsia="Book Antiqua" w:hAnsi="Book Antiqua" w:cs="Book Antiqua"/>
          <w:noProof/>
          <w:vertAlign w:val="superscript"/>
        </w:rPr>
        <w:t>[54]</w:t>
      </w:r>
      <w:r w:rsidRPr="00244CD2">
        <w:rPr>
          <w:rFonts w:ascii="Book Antiqua" w:eastAsia="Book Antiqua" w:hAnsi="Book Antiqua" w:cs="Book Antiqua"/>
          <w:noProof/>
        </w:rPr>
        <w:t xml:space="preserve">, while the capability to convert primary BAs to secondary BAs is limited to only a small number of species, mainly in </w:t>
      </w:r>
      <w:r w:rsidR="00014794" w:rsidRPr="00244CD2">
        <w:rPr>
          <w:rFonts w:ascii="Book Antiqua" w:eastAsia="Book Antiqua" w:hAnsi="Book Antiqua" w:cs="Book Antiqua"/>
          <w:i/>
          <w:noProof/>
        </w:rPr>
        <w:t>C</w:t>
      </w:r>
      <w:r w:rsidR="00910AAB" w:rsidRPr="00244CD2">
        <w:rPr>
          <w:rFonts w:ascii="Book Antiqua" w:eastAsia="Book Antiqua" w:hAnsi="Book Antiqua" w:cs="Book Antiqua"/>
          <w:i/>
          <w:noProof/>
        </w:rPr>
        <w:t>lostridiales</w:t>
      </w:r>
      <w:r w:rsidRPr="00244CD2">
        <w:rPr>
          <w:rFonts w:ascii="Book Antiqua" w:eastAsia="Book Antiqua" w:hAnsi="Book Antiqua" w:cs="Book Antiqua"/>
          <w:noProof/>
        </w:rPr>
        <w:t xml:space="preserve">, with an overwhelming majority of the strains belonging to </w:t>
      </w:r>
      <w:r w:rsidR="002D00F9" w:rsidRPr="00244CD2">
        <w:rPr>
          <w:rFonts w:ascii="Book Antiqua" w:eastAsia="Book Antiqua" w:hAnsi="Book Antiqua" w:cs="Book Antiqua"/>
          <w:i/>
          <w:noProof/>
        </w:rPr>
        <w:t>Ruminococcaceae</w:t>
      </w:r>
      <w:r w:rsidRPr="00244CD2">
        <w:rPr>
          <w:rFonts w:ascii="Book Antiqua" w:eastAsia="Book Antiqua" w:hAnsi="Book Antiqua" w:cs="Book Antiqua"/>
          <w:noProof/>
        </w:rPr>
        <w:t>, and a marginal part belonging to the</w:t>
      </w:r>
      <w:r w:rsidR="00A21C0F" w:rsidRPr="00244CD2">
        <w:rPr>
          <w:rFonts w:ascii="Book Antiqua" w:eastAsia="Book Antiqua" w:hAnsi="Book Antiqua" w:cs="Book Antiqua"/>
          <w:noProof/>
        </w:rPr>
        <w:t xml:space="preserve"> </w:t>
      </w:r>
      <w:r w:rsidR="002D00F9" w:rsidRPr="00244CD2">
        <w:rPr>
          <w:rFonts w:ascii="Book Antiqua" w:eastAsia="Book Antiqua" w:hAnsi="Book Antiqua" w:cs="Book Antiqua"/>
          <w:i/>
          <w:noProof/>
        </w:rPr>
        <w:t>Lachnospiraceae</w:t>
      </w:r>
      <w:r w:rsidRPr="00244CD2">
        <w:rPr>
          <w:rFonts w:ascii="Book Antiqua" w:eastAsia="Book Antiqua" w:hAnsi="Book Antiqua" w:cs="Book Antiqua"/>
          <w:noProof/>
        </w:rPr>
        <w:t xml:space="preserve"> and </w:t>
      </w:r>
      <w:r w:rsidR="00014794" w:rsidRPr="00244CD2">
        <w:rPr>
          <w:rFonts w:ascii="Book Antiqua" w:eastAsia="Book Antiqua" w:hAnsi="Book Antiqua" w:cs="Book Antiqua"/>
          <w:i/>
          <w:noProof/>
        </w:rPr>
        <w:t>P</w:t>
      </w:r>
      <w:r w:rsidR="00A21C0F" w:rsidRPr="00244CD2">
        <w:rPr>
          <w:rFonts w:ascii="Book Antiqua" w:eastAsia="Book Antiqua" w:hAnsi="Book Antiqua" w:cs="Book Antiqua"/>
          <w:i/>
          <w:noProof/>
        </w:rPr>
        <w:t>eptostreptococcaceae</w:t>
      </w:r>
      <w:r w:rsidRPr="00244CD2">
        <w:rPr>
          <w:rFonts w:ascii="Book Antiqua" w:eastAsia="Book Antiqua" w:hAnsi="Book Antiqua" w:cs="Book Antiqua"/>
          <w:noProof/>
        </w:rPr>
        <w:t xml:space="preserve"> families</w:t>
      </w:r>
      <w:r w:rsidRPr="00244CD2">
        <w:rPr>
          <w:rFonts w:ascii="Book Antiqua" w:eastAsia="Book Antiqua" w:hAnsi="Book Antiqua" w:cs="Book Antiqua"/>
          <w:noProof/>
          <w:vertAlign w:val="superscript"/>
        </w:rPr>
        <w:t>[55-57]</w:t>
      </w:r>
      <w:r w:rsidRPr="00244CD2">
        <w:rPr>
          <w:rFonts w:ascii="Book Antiqua" w:eastAsia="Book Antiqua" w:hAnsi="Book Antiqua" w:cs="Book Antiqua"/>
          <w:noProof/>
        </w:rPr>
        <w:t>.</w:t>
      </w:r>
    </w:p>
    <w:p w14:paraId="4B7F8AFA" w14:textId="2478320D" w:rsidR="00A77B3E" w:rsidRPr="00244CD2" w:rsidRDefault="007356D0" w:rsidP="00244CD2">
      <w:pPr>
        <w:snapToGrid w:val="0"/>
        <w:spacing w:line="360" w:lineRule="auto"/>
        <w:ind w:firstLineChars="100" w:firstLine="240"/>
        <w:jc w:val="both"/>
        <w:rPr>
          <w:noProof/>
        </w:rPr>
      </w:pPr>
      <w:r w:rsidRPr="00244CD2">
        <w:rPr>
          <w:rFonts w:ascii="Book Antiqua" w:eastAsia="Book Antiqua" w:hAnsi="Book Antiqua" w:cs="Book Antiqua"/>
          <w:noProof/>
        </w:rPr>
        <w:t xml:space="preserve">Given the imbalance of primary and secondary BAs in IBS-D and the essential position of microbiota in the metabolism of BAs, we further investigated the association between </w:t>
      </w:r>
      <w:r w:rsidRPr="00244CD2">
        <w:rPr>
          <w:rFonts w:ascii="Book Antiqua" w:eastAsia="Book Antiqua" w:hAnsi="Book Antiqua" w:cs="Book Antiqua"/>
          <w:noProof/>
        </w:rPr>
        <w:lastRenderedPageBreak/>
        <w:t xml:space="preserve">fecal </w:t>
      </w:r>
      <w:r w:rsidR="00D85377" w:rsidRPr="00244CD2">
        <w:rPr>
          <w:rFonts w:ascii="Book Antiqua" w:eastAsia="Book Antiqua" w:hAnsi="Book Antiqua" w:cs="Book Antiqua"/>
          <w:noProof/>
        </w:rPr>
        <w:t>BAs</w:t>
      </w:r>
      <w:r w:rsidRPr="00244CD2">
        <w:rPr>
          <w:rFonts w:ascii="Book Antiqua" w:eastAsia="Book Antiqua" w:hAnsi="Book Antiqua" w:cs="Book Antiqua"/>
          <w:noProof/>
        </w:rPr>
        <w:t xml:space="preserve"> and the gut microbiota. The multiple genera of </w:t>
      </w:r>
      <w:r w:rsidR="002D00F9" w:rsidRPr="00244CD2">
        <w:rPr>
          <w:rFonts w:ascii="Book Antiqua" w:eastAsia="Book Antiqua" w:hAnsi="Book Antiqua" w:cs="Book Antiqua"/>
          <w:i/>
          <w:noProof/>
        </w:rPr>
        <w:t>Ruminococcaceae</w:t>
      </w:r>
      <w:r w:rsidRPr="00244CD2">
        <w:rPr>
          <w:rFonts w:ascii="Book Antiqua" w:eastAsia="Book Antiqua" w:hAnsi="Book Antiqua" w:cs="Book Antiqua"/>
          <w:noProof/>
        </w:rPr>
        <w:t xml:space="preserve"> and </w:t>
      </w:r>
      <w:r w:rsidR="002D00F9" w:rsidRPr="00244CD2">
        <w:rPr>
          <w:rFonts w:ascii="Book Antiqua" w:eastAsia="Book Antiqua" w:hAnsi="Book Antiqua" w:cs="Book Antiqua"/>
          <w:i/>
          <w:noProof/>
        </w:rPr>
        <w:t>Lachnospiraceae</w:t>
      </w:r>
      <w:r w:rsidR="00A21C0F" w:rsidRPr="00244CD2">
        <w:rPr>
          <w:rFonts w:ascii="Book Antiqua" w:eastAsia="Book Antiqua" w:hAnsi="Book Antiqua" w:cs="Book Antiqua"/>
          <w:noProof/>
        </w:rPr>
        <w:t xml:space="preserve"> </w:t>
      </w:r>
      <w:r w:rsidRPr="00244CD2">
        <w:rPr>
          <w:rFonts w:ascii="Book Antiqua" w:eastAsia="Book Antiqua" w:hAnsi="Book Antiqua" w:cs="Book Antiqua"/>
          <w:noProof/>
        </w:rPr>
        <w:t>decreased in IBS-D</w:t>
      </w:r>
      <w:r w:rsidR="007B73AC" w:rsidRPr="00244CD2">
        <w:rPr>
          <w:rFonts w:ascii="Book Antiqua" w:eastAsia="Book Antiqua" w:hAnsi="Book Antiqua" w:cs="Book Antiqua"/>
          <w:noProof/>
        </w:rPr>
        <w:t xml:space="preserve"> </w:t>
      </w:r>
      <w:r w:rsidR="007B73AC" w:rsidRPr="00244CD2">
        <w:rPr>
          <w:rFonts w:ascii="Book Antiqua" w:eastAsia="Book Antiqua" w:hAnsi="Book Antiqua" w:cs="Book Antiqua"/>
          <w:noProof/>
          <w:lang w:eastAsia="zh-CN"/>
        </w:rPr>
        <w:t xml:space="preserve">patients </w:t>
      </w:r>
      <w:r w:rsidRPr="00244CD2">
        <w:rPr>
          <w:rFonts w:ascii="Book Antiqua" w:eastAsia="Book Antiqua" w:hAnsi="Book Antiqua" w:cs="Book Antiqua"/>
          <w:noProof/>
        </w:rPr>
        <w:t xml:space="preserve">were positively associated with secondary BAs while negatively associated with primary BAs, indicating that the altered composition of the fecal </w:t>
      </w:r>
      <w:r w:rsidR="001E118B" w:rsidRPr="00244CD2">
        <w:rPr>
          <w:rFonts w:ascii="Book Antiqua" w:eastAsia="Book Antiqua" w:hAnsi="Book Antiqua" w:cs="Book Antiqua"/>
          <w:noProof/>
        </w:rPr>
        <w:t>BA</w:t>
      </w:r>
      <w:r w:rsidRPr="00244CD2">
        <w:rPr>
          <w:rFonts w:ascii="Book Antiqua" w:eastAsia="Book Antiqua" w:hAnsi="Book Antiqua" w:cs="Book Antiqua"/>
          <w:noProof/>
        </w:rPr>
        <w:t xml:space="preserve"> pool might be ascribed to the reduction of bacteria with </w:t>
      </w:r>
      <w:r w:rsidRPr="00244CD2">
        <w:rPr>
          <w:rFonts w:ascii="Book Antiqua" w:eastAsia="Book Antiqua" w:hAnsi="Book Antiqua" w:cs="Book Antiqua"/>
          <w:i/>
          <w:iCs/>
          <w:noProof/>
        </w:rPr>
        <w:t>bai</w:t>
      </w:r>
      <w:r w:rsidRPr="00244CD2">
        <w:rPr>
          <w:rFonts w:ascii="Book Antiqua" w:eastAsia="Book Antiqua" w:hAnsi="Book Antiqua" w:cs="Book Antiqua"/>
          <w:noProof/>
        </w:rPr>
        <w:t xml:space="preserve">, which could lower the efficiency of conversion from primary BAs to secondary BAs. </w:t>
      </w:r>
      <w:r w:rsidRPr="00244CD2">
        <w:rPr>
          <w:rFonts w:ascii="Book Antiqua" w:eastAsia="Book Antiqua" w:hAnsi="Book Antiqua" w:cs="Book Antiqua"/>
          <w:i/>
          <w:noProof/>
        </w:rPr>
        <w:t>Ruminococcaceae</w:t>
      </w:r>
      <w:r w:rsidRPr="00244CD2">
        <w:rPr>
          <w:rFonts w:ascii="Book Antiqua" w:eastAsia="Book Antiqua" w:hAnsi="Book Antiqua" w:cs="Book Antiqua"/>
          <w:noProof/>
        </w:rPr>
        <w:t xml:space="preserve"> has been reported to be positively associated with DCA in the feces of cirrhotic patients</w:t>
      </w:r>
      <w:r w:rsidRPr="00244CD2">
        <w:rPr>
          <w:rFonts w:ascii="Book Antiqua" w:eastAsia="Book Antiqua" w:hAnsi="Book Antiqua" w:cs="Book Antiqua"/>
          <w:noProof/>
          <w:vertAlign w:val="superscript"/>
        </w:rPr>
        <w:t>[58]</w:t>
      </w:r>
      <w:r w:rsidRPr="00244CD2">
        <w:rPr>
          <w:rFonts w:ascii="Book Antiqua" w:eastAsia="Book Antiqua" w:hAnsi="Book Antiqua" w:cs="Book Antiqua"/>
          <w:noProof/>
        </w:rPr>
        <w:t xml:space="preserve">. Kwan </w:t>
      </w:r>
      <w:r w:rsidRPr="00244CD2">
        <w:rPr>
          <w:rFonts w:ascii="Book Antiqua" w:eastAsia="Book Antiqua" w:hAnsi="Book Antiqua" w:cs="Book Antiqua"/>
          <w:i/>
          <w:iCs/>
          <w:noProof/>
        </w:rPr>
        <w:t>et al</w:t>
      </w:r>
      <w:r w:rsidR="00A42674" w:rsidRPr="00244CD2">
        <w:rPr>
          <w:rFonts w:ascii="Book Antiqua" w:eastAsia="Book Antiqua" w:hAnsi="Book Antiqua" w:cs="Book Antiqua"/>
          <w:noProof/>
          <w:vertAlign w:val="superscript"/>
        </w:rPr>
        <w:t>[59]</w:t>
      </w:r>
      <w:r w:rsidRPr="00244CD2">
        <w:rPr>
          <w:rFonts w:ascii="Book Antiqua" w:eastAsia="Book Antiqua" w:hAnsi="Book Antiqua" w:cs="Book Antiqua"/>
          <w:noProof/>
        </w:rPr>
        <w:t xml:space="preserve"> also provided evidence that DCA and LCA in serum were positively correlated with </w:t>
      </w:r>
      <w:r w:rsidR="002D00F9" w:rsidRPr="00244CD2">
        <w:rPr>
          <w:rFonts w:ascii="Book Antiqua" w:eastAsia="Book Antiqua" w:hAnsi="Book Antiqua" w:cs="Book Antiqua"/>
          <w:i/>
          <w:noProof/>
        </w:rPr>
        <w:t>Ruminococcaceae</w:t>
      </w:r>
      <w:r w:rsidRPr="00244CD2">
        <w:rPr>
          <w:rFonts w:ascii="Book Antiqua" w:eastAsia="Book Antiqua" w:hAnsi="Book Antiqua" w:cs="Book Antiqua"/>
          <w:noProof/>
        </w:rPr>
        <w:t xml:space="preserve"> and </w:t>
      </w:r>
      <w:r w:rsidR="002D00F9" w:rsidRPr="00244CD2">
        <w:rPr>
          <w:rFonts w:ascii="Book Antiqua" w:eastAsia="Book Antiqua" w:hAnsi="Book Antiqua" w:cs="Book Antiqua"/>
          <w:i/>
          <w:noProof/>
        </w:rPr>
        <w:t>Lachnospiraceae</w:t>
      </w:r>
      <w:r w:rsidRPr="00244CD2">
        <w:rPr>
          <w:rFonts w:ascii="Book Antiqua" w:eastAsia="Book Antiqua" w:hAnsi="Book Antiqua" w:cs="Book Antiqua"/>
          <w:noProof/>
        </w:rPr>
        <w:t xml:space="preserve"> in feces </w:t>
      </w:r>
      <w:r w:rsidR="00A803CE" w:rsidRPr="00244CD2">
        <w:rPr>
          <w:rFonts w:ascii="Book Antiqua" w:eastAsia="Book Antiqua" w:hAnsi="Book Antiqua" w:cs="Book Antiqua"/>
          <w:noProof/>
        </w:rPr>
        <w:t>al</w:t>
      </w:r>
      <w:r w:rsidRPr="00244CD2">
        <w:rPr>
          <w:rFonts w:ascii="Book Antiqua" w:eastAsia="Book Antiqua" w:hAnsi="Book Antiqua" w:cs="Book Antiqua"/>
          <w:noProof/>
        </w:rPr>
        <w:t>though fecal BAs were not reported, supporting the importance of these two families in the metabolism of BAs. However, aside from microbial factors, faster colonic transit can result in shorter time for biotransformation of BAs and may be another cause for the imbalance between primary and secondary BAs</w:t>
      </w:r>
      <w:r w:rsidRPr="00244CD2">
        <w:rPr>
          <w:rFonts w:ascii="Book Antiqua" w:eastAsia="Book Antiqua" w:hAnsi="Book Antiqua" w:cs="Book Antiqua"/>
          <w:noProof/>
          <w:vertAlign w:val="superscript"/>
        </w:rPr>
        <w:t>[37]</w:t>
      </w:r>
      <w:r w:rsidRPr="00244CD2">
        <w:rPr>
          <w:rFonts w:ascii="Book Antiqua" w:eastAsia="Book Antiqua" w:hAnsi="Book Antiqua" w:cs="Book Antiqua"/>
          <w:noProof/>
        </w:rPr>
        <w:t>, and the inverse association between DCA and defecation frequency in IBS-D patients in our study may be explained by the shortened CA exposure time caused by accelerated colonic transit, despite that DCA is considered as a secretory BA.</w:t>
      </w:r>
    </w:p>
    <w:p w14:paraId="770385C3" w14:textId="7CBD4F74" w:rsidR="00A77B3E" w:rsidRPr="00244CD2" w:rsidRDefault="007356D0" w:rsidP="00244CD2">
      <w:pPr>
        <w:snapToGrid w:val="0"/>
        <w:spacing w:line="360" w:lineRule="auto"/>
        <w:ind w:firstLineChars="100" w:firstLine="240"/>
        <w:jc w:val="both"/>
        <w:rPr>
          <w:rFonts w:ascii="Book Antiqua" w:eastAsia="Book Antiqua" w:hAnsi="Book Antiqua" w:cs="Book Antiqua"/>
          <w:noProof/>
        </w:rPr>
      </w:pPr>
      <w:r w:rsidRPr="00244CD2">
        <w:rPr>
          <w:rFonts w:ascii="Book Antiqua" w:eastAsia="Book Antiqua" w:hAnsi="Book Antiqua" w:cs="Book Antiqua"/>
          <w:noProof/>
        </w:rPr>
        <w:t>It must be noted that there are reciprocal regulations between the microorganism and BAs</w:t>
      </w:r>
      <w:r w:rsidRPr="00244CD2">
        <w:rPr>
          <w:rFonts w:ascii="Book Antiqua" w:eastAsia="Book Antiqua" w:hAnsi="Book Antiqua" w:cs="Book Antiqua"/>
          <w:noProof/>
          <w:vertAlign w:val="superscript"/>
        </w:rPr>
        <w:t>[60,61]</w:t>
      </w:r>
      <w:r w:rsidRPr="00244CD2">
        <w:rPr>
          <w:rFonts w:ascii="Book Antiqua" w:eastAsia="Book Antiqua" w:hAnsi="Book Antiqua" w:cs="Book Antiqua"/>
          <w:noProof/>
        </w:rPr>
        <w:t>. The antibacterial activity of BAs</w:t>
      </w:r>
      <w:r w:rsidRPr="00244CD2">
        <w:rPr>
          <w:rFonts w:ascii="Book Antiqua" w:eastAsia="Book Antiqua" w:hAnsi="Book Antiqua" w:cs="Book Antiqua"/>
          <w:noProof/>
          <w:vertAlign w:val="superscript"/>
        </w:rPr>
        <w:t>[62,63]</w:t>
      </w:r>
      <w:r w:rsidRPr="00244CD2">
        <w:rPr>
          <w:rFonts w:ascii="Book Antiqua" w:eastAsia="Book Antiqua" w:hAnsi="Book Antiqua" w:cs="Book Antiqua"/>
          <w:noProof/>
        </w:rPr>
        <w:t xml:space="preserve"> may affect the gut community structure, thus the abnormal BAs concentration in the gut may</w:t>
      </w:r>
      <w:r w:rsidR="000D4338" w:rsidRPr="00244CD2">
        <w:rPr>
          <w:rFonts w:ascii="Book Antiqua" w:eastAsia="Book Antiqua" w:hAnsi="Book Antiqua" w:cs="Book Antiqua"/>
          <w:noProof/>
        </w:rPr>
        <w:t>, in turn,</w:t>
      </w:r>
      <w:r w:rsidRPr="00244CD2">
        <w:rPr>
          <w:rFonts w:ascii="Book Antiqua" w:eastAsia="Book Antiqua" w:hAnsi="Book Antiqua" w:cs="Book Antiqua"/>
          <w:noProof/>
        </w:rPr>
        <w:t xml:space="preserve"> influence the gut microbiota in IBS-D patients. </w:t>
      </w:r>
      <w:r w:rsidR="007370E6" w:rsidRPr="00244CD2">
        <w:rPr>
          <w:rFonts w:ascii="Book Antiqua" w:eastAsia="Book Antiqua" w:hAnsi="Book Antiqua" w:cs="Book Antiqua"/>
          <w:noProof/>
        </w:rPr>
        <w:t>I</w:t>
      </w:r>
      <w:r w:rsidR="007370E6" w:rsidRPr="00244CD2">
        <w:rPr>
          <w:rFonts w:ascii="Book Antiqua" w:eastAsia="Book Antiqua" w:hAnsi="Book Antiqua" w:cs="Book Antiqua"/>
          <w:noProof/>
          <w:lang w:eastAsia="zh-CN"/>
        </w:rPr>
        <w:t>ncreased CA in the gut could induce</w:t>
      </w:r>
      <w:r w:rsidR="007370E6" w:rsidRPr="00244CD2">
        <w:rPr>
          <w:rFonts w:ascii="Book Antiqua" w:eastAsia="Book Antiqua" w:hAnsi="Book Antiqua" w:cs="Book Antiqua"/>
          <w:noProof/>
        </w:rPr>
        <w:t xml:space="preserve"> </w:t>
      </w:r>
      <w:r w:rsidRPr="00244CD2">
        <w:rPr>
          <w:rFonts w:ascii="Book Antiqua" w:eastAsia="Book Antiqua" w:hAnsi="Book Antiqua" w:cs="Book Antiqua"/>
          <w:noProof/>
        </w:rPr>
        <w:t xml:space="preserve">increased </w:t>
      </w:r>
      <w:r w:rsidR="00F43215" w:rsidRPr="00244CD2">
        <w:rPr>
          <w:rFonts w:ascii="Book Antiqua" w:eastAsia="Book Antiqua" w:hAnsi="Book Antiqua" w:cs="Book Antiqua"/>
          <w:i/>
          <w:noProof/>
          <w:lang w:eastAsia="zh-CN"/>
        </w:rPr>
        <w:t>G</w:t>
      </w:r>
      <w:r w:rsidR="00910AAB" w:rsidRPr="00244CD2">
        <w:rPr>
          <w:rFonts w:ascii="Book Antiqua" w:eastAsia="Book Antiqua" w:hAnsi="Book Antiqua" w:cs="Book Antiqua"/>
          <w:i/>
          <w:noProof/>
        </w:rPr>
        <w:t>ammaproteobacteria</w:t>
      </w:r>
      <w:r w:rsidRPr="00244CD2">
        <w:rPr>
          <w:rFonts w:ascii="Book Antiqua" w:eastAsia="Book Antiqua" w:hAnsi="Book Antiqua" w:cs="Book Antiqua"/>
          <w:noProof/>
          <w:vertAlign w:val="superscript"/>
        </w:rPr>
        <w:t>[64]</w:t>
      </w:r>
      <w:r w:rsidR="007370E6" w:rsidRPr="00244CD2">
        <w:rPr>
          <w:rFonts w:ascii="Book Antiqua" w:eastAsia="Book Antiqua" w:hAnsi="Book Antiqua" w:cs="Book Antiqua"/>
          <w:noProof/>
        </w:rPr>
        <w:t>, which could be a potential reason for increased</w:t>
      </w:r>
      <w:r w:rsidR="007370E6" w:rsidRPr="00244CD2">
        <w:rPr>
          <w:rFonts w:ascii="Book Antiqua" w:eastAsia="Book Antiqua" w:hAnsi="Book Antiqua" w:cs="Book Antiqua"/>
          <w:i/>
          <w:noProof/>
          <w:lang w:eastAsia="zh-CN"/>
        </w:rPr>
        <w:t xml:space="preserve"> G</w:t>
      </w:r>
      <w:r w:rsidR="007370E6" w:rsidRPr="00244CD2">
        <w:rPr>
          <w:rFonts w:ascii="Book Antiqua" w:eastAsia="Book Antiqua" w:hAnsi="Book Antiqua" w:cs="Book Antiqua"/>
          <w:i/>
          <w:noProof/>
        </w:rPr>
        <w:t>ammaproteobacteria</w:t>
      </w:r>
      <w:r w:rsidR="007370E6" w:rsidRPr="00244CD2">
        <w:rPr>
          <w:rFonts w:ascii="Book Antiqua" w:eastAsia="Book Antiqua" w:hAnsi="Book Antiqua" w:cs="Book Antiqua"/>
          <w:noProof/>
        </w:rPr>
        <w:t xml:space="preserve"> in IBS-D patients</w:t>
      </w:r>
      <w:r w:rsidRPr="00244CD2">
        <w:rPr>
          <w:rFonts w:ascii="Book Antiqua" w:eastAsia="Book Antiqua" w:hAnsi="Book Antiqua" w:cs="Book Antiqua"/>
          <w:noProof/>
        </w:rPr>
        <w:t xml:space="preserve">. Interestingly, animal studies found that CA intake induced expansion of </w:t>
      </w:r>
      <w:r w:rsidR="007268CE" w:rsidRPr="00244CD2">
        <w:rPr>
          <w:rFonts w:ascii="Book Antiqua" w:eastAsia="Book Antiqua" w:hAnsi="Book Antiqua" w:cs="Book Antiqua"/>
          <w:i/>
          <w:noProof/>
        </w:rPr>
        <w:t>F</w:t>
      </w:r>
      <w:r w:rsidR="00910AAB" w:rsidRPr="00244CD2">
        <w:rPr>
          <w:rFonts w:ascii="Book Antiqua" w:eastAsia="Book Antiqua" w:hAnsi="Book Antiqua" w:cs="Book Antiqua"/>
          <w:i/>
          <w:noProof/>
        </w:rPr>
        <w:t>irmicutes</w:t>
      </w:r>
      <w:r w:rsidRPr="00244CD2">
        <w:rPr>
          <w:rFonts w:ascii="Book Antiqua" w:eastAsia="Book Antiqua" w:hAnsi="Book Antiqua" w:cs="Book Antiqua"/>
          <w:noProof/>
        </w:rPr>
        <w:t xml:space="preserve">, especially </w:t>
      </w:r>
      <w:r w:rsidR="003766CA">
        <w:rPr>
          <w:rFonts w:ascii="Book Antiqua" w:eastAsia="Book Antiqua" w:hAnsi="Book Antiqua" w:cs="Book Antiqua"/>
          <w:noProof/>
        </w:rPr>
        <w:t xml:space="preserve">the </w:t>
      </w:r>
      <w:r w:rsidRPr="00244CD2">
        <w:rPr>
          <w:rFonts w:ascii="Book Antiqua" w:eastAsia="Book Antiqua" w:hAnsi="Book Antiqua" w:cs="Book Antiqua"/>
          <w:noProof/>
        </w:rPr>
        <w:t xml:space="preserve">groups capable of 7α-dehydroxylation, and reduction of </w:t>
      </w:r>
      <w:r w:rsidR="007268CE" w:rsidRPr="00244CD2">
        <w:rPr>
          <w:rFonts w:ascii="Book Antiqua" w:eastAsia="Book Antiqua" w:hAnsi="Book Antiqua" w:cs="Book Antiqua"/>
          <w:i/>
          <w:noProof/>
        </w:rPr>
        <w:t>B</w:t>
      </w:r>
      <w:r w:rsidR="00910AAB" w:rsidRPr="00244CD2">
        <w:rPr>
          <w:rFonts w:ascii="Book Antiqua" w:eastAsia="Book Antiqua" w:hAnsi="Book Antiqua" w:cs="Book Antiqua"/>
          <w:i/>
          <w:noProof/>
        </w:rPr>
        <w:t>acteroidetes</w:t>
      </w:r>
      <w:r w:rsidRPr="00244CD2">
        <w:rPr>
          <w:rFonts w:ascii="Book Antiqua" w:eastAsia="Book Antiqua" w:hAnsi="Book Antiqua" w:cs="Book Antiqua"/>
          <w:noProof/>
          <w:vertAlign w:val="superscript"/>
        </w:rPr>
        <w:t>[64,65]</w:t>
      </w:r>
      <w:r w:rsidRPr="00244CD2">
        <w:rPr>
          <w:rFonts w:ascii="Book Antiqua" w:eastAsia="Book Antiqua" w:hAnsi="Book Antiqua" w:cs="Book Antiqua"/>
          <w:noProof/>
        </w:rPr>
        <w:t xml:space="preserve">, contrary to the features of the microflora we observed in IBS-D patients, which support to some extent that the reduction of the bacteria with </w:t>
      </w:r>
      <w:r w:rsidRPr="00244CD2">
        <w:rPr>
          <w:rFonts w:ascii="Book Antiqua" w:eastAsia="Book Antiqua" w:hAnsi="Book Antiqua" w:cs="Book Antiqua"/>
          <w:i/>
          <w:noProof/>
        </w:rPr>
        <w:t>bai</w:t>
      </w:r>
      <w:r w:rsidRPr="00244CD2">
        <w:rPr>
          <w:rFonts w:ascii="Book Antiqua" w:eastAsia="Book Antiqua" w:hAnsi="Book Antiqua" w:cs="Book Antiqua"/>
          <w:noProof/>
        </w:rPr>
        <w:t xml:space="preserve"> genes might happen prior to the increase of CA in the gut of IBS-D patients. However, further animal experiments and longitudinal research in humans are required, and </w:t>
      </w:r>
      <w:r w:rsidR="006D0D82" w:rsidRPr="00244CD2">
        <w:rPr>
          <w:rFonts w:ascii="Book Antiqua" w:eastAsia="Book Antiqua" w:hAnsi="Book Antiqua" w:cs="Book Antiqua"/>
          <w:noProof/>
        </w:rPr>
        <w:t>BA</w:t>
      </w:r>
      <w:r w:rsidRPr="00244CD2">
        <w:rPr>
          <w:rFonts w:ascii="Book Antiqua" w:eastAsia="Book Antiqua" w:hAnsi="Book Antiqua" w:cs="Book Antiqua"/>
          <w:noProof/>
        </w:rPr>
        <w:t xml:space="preserve"> sequestrants may contribute to the exploration of causal associations between BAs dysmetabolism and gut dysbiosis in IBS-D patients.</w:t>
      </w:r>
    </w:p>
    <w:p w14:paraId="5D2F8E16" w14:textId="3224DC57" w:rsidR="00A77B3E" w:rsidRPr="00244CD2" w:rsidRDefault="007356D0" w:rsidP="00244CD2">
      <w:pPr>
        <w:snapToGrid w:val="0"/>
        <w:spacing w:line="360" w:lineRule="auto"/>
        <w:ind w:firstLineChars="100" w:firstLine="240"/>
        <w:jc w:val="both"/>
        <w:rPr>
          <w:noProof/>
        </w:rPr>
      </w:pPr>
      <w:r w:rsidRPr="00244CD2">
        <w:rPr>
          <w:rFonts w:ascii="Book Antiqua" w:eastAsia="Book Antiqua" w:hAnsi="Book Antiqua" w:cs="Book Antiqua"/>
          <w:noProof/>
        </w:rPr>
        <w:lastRenderedPageBreak/>
        <w:t>There were several limitations in this preliminary study. First, in consideration that women only accounted for approximately 25% of our patients, the findings in this study need to be verified in the future with more female patients recruited. The sex disparity in the distribution of IBS subtypes may be the major reason for the sex imbalance in this study, with IBS-D more prevalent in men and IBS-C more prevalent in women</w:t>
      </w:r>
      <w:r w:rsidRPr="00244CD2">
        <w:rPr>
          <w:rFonts w:ascii="Book Antiqua" w:eastAsia="Book Antiqua" w:hAnsi="Book Antiqua" w:cs="Book Antiqua"/>
          <w:noProof/>
          <w:vertAlign w:val="superscript"/>
        </w:rPr>
        <w:t>[66,67]</w:t>
      </w:r>
      <w:r w:rsidRPr="00244CD2">
        <w:rPr>
          <w:rFonts w:ascii="Book Antiqua" w:eastAsia="Book Antiqua" w:hAnsi="Book Antiqua" w:cs="Book Antiqua"/>
          <w:noProof/>
        </w:rPr>
        <w:t>. Besides, women with dysmenorrhea were excluded in this study, resulting in a further reduction of available female patients. Second, although BAs can theoretically affect the secretory function of the colon, we failed to observe a correlation between stool form and BAs, which might be a result of the similarity in the BSFS score in most IBS-D patients. Hence, feces moisture, a more precise parameter than the BSFS score, can be a better choice in a future study. Third, we did not supply a standardized diet for subjects during the study period, though subjects were required not to change their daily dietary habits throughout the study period, considering that the short-term modification of a diet can rapidly disturb the gut microbiota</w:t>
      </w:r>
      <w:r w:rsidRPr="00244CD2">
        <w:rPr>
          <w:rFonts w:ascii="Book Antiqua" w:eastAsia="Book Antiqua" w:hAnsi="Book Antiqua" w:cs="Book Antiqua"/>
          <w:noProof/>
          <w:vertAlign w:val="superscript"/>
        </w:rPr>
        <w:t>[68]</w:t>
      </w:r>
      <w:r w:rsidRPr="00244CD2">
        <w:rPr>
          <w:rFonts w:ascii="Book Antiqua" w:eastAsia="Book Antiqua" w:hAnsi="Book Antiqua" w:cs="Book Antiqua"/>
          <w:noProof/>
        </w:rPr>
        <w:t>. A standardized diet can largely control the influence of disparate eating habits on the microbiota and BA profile. However, the difference between the standardized diet and the usual dietary habits of patients may cause perturbation to the gut microbiota, masking the gut microbiota under usual dietary habits. Therefore, the measure</w:t>
      </w:r>
      <w:r w:rsidR="00DA3D4E" w:rsidRPr="00244CD2">
        <w:rPr>
          <w:rFonts w:ascii="Book Antiqua" w:eastAsia="Book Antiqua" w:hAnsi="Book Antiqua" w:cs="Book Antiqua"/>
          <w:noProof/>
        </w:rPr>
        <w:t>s</w:t>
      </w:r>
      <w:r w:rsidRPr="00244CD2">
        <w:rPr>
          <w:rFonts w:ascii="Book Antiqua" w:eastAsia="Book Antiqua" w:hAnsi="Book Antiqua" w:cs="Book Antiqua"/>
          <w:noProof/>
        </w:rPr>
        <w:t xml:space="preserve"> of gut microbiota and BAs before and after a standardized diet combined with a detailed assessment of the usual dietary habits of patients are necessary for a future study. </w:t>
      </w:r>
    </w:p>
    <w:p w14:paraId="046AD2C3" w14:textId="77777777" w:rsidR="00A77B3E" w:rsidRPr="00244CD2" w:rsidRDefault="00A77B3E" w:rsidP="00244CD2">
      <w:pPr>
        <w:snapToGrid w:val="0"/>
        <w:spacing w:line="360" w:lineRule="auto"/>
        <w:ind w:firstLine="480"/>
        <w:jc w:val="both"/>
        <w:rPr>
          <w:noProof/>
        </w:rPr>
      </w:pPr>
    </w:p>
    <w:p w14:paraId="1124447B"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caps/>
          <w:noProof/>
          <w:u w:val="single"/>
        </w:rPr>
        <w:t>CONCLUSION</w:t>
      </w:r>
    </w:p>
    <w:p w14:paraId="3763DAA8" w14:textId="4B25B13F" w:rsidR="00A77B3E" w:rsidRPr="00244CD2" w:rsidRDefault="007356D0" w:rsidP="00244CD2">
      <w:pPr>
        <w:snapToGrid w:val="0"/>
        <w:spacing w:line="360" w:lineRule="auto"/>
        <w:jc w:val="both"/>
        <w:rPr>
          <w:noProof/>
        </w:rPr>
      </w:pPr>
      <w:r w:rsidRPr="00244CD2">
        <w:rPr>
          <w:rFonts w:ascii="Book Antiqua" w:eastAsia="Book Antiqua" w:hAnsi="Book Antiqua" w:cs="Book Antiqua"/>
          <w:noProof/>
        </w:rPr>
        <w:t xml:space="preserve">In conclusion, our study depicted the composition of fecal </w:t>
      </w:r>
      <w:r w:rsidR="001E118B" w:rsidRPr="00244CD2">
        <w:rPr>
          <w:rFonts w:ascii="Book Antiqua" w:eastAsia="Book Antiqua" w:hAnsi="Book Antiqua" w:cs="Book Antiqua"/>
          <w:noProof/>
        </w:rPr>
        <w:t>BA</w:t>
      </w:r>
      <w:r w:rsidRPr="00244CD2">
        <w:rPr>
          <w:rFonts w:ascii="Book Antiqua" w:eastAsia="Book Antiqua" w:hAnsi="Book Antiqua" w:cs="Book Antiqua"/>
          <w:noProof/>
        </w:rPr>
        <w:t xml:space="preserve"> pool in IBS-D patients, which was characterized by increased primary BAs and decreased secondary BAs and associated with diarrhea as well as visceral hypersensitivity. The imbalance of primary and secondary BAs might be induced by dysbiosis in IBS-D, especially the reduction of </w:t>
      </w:r>
      <w:r w:rsidR="002D00F9" w:rsidRPr="00244CD2">
        <w:rPr>
          <w:rFonts w:ascii="Book Antiqua" w:eastAsia="Book Antiqua" w:hAnsi="Book Antiqua" w:cs="Book Antiqua"/>
          <w:i/>
          <w:noProof/>
        </w:rPr>
        <w:t>Ruminococcaceae</w:t>
      </w:r>
      <w:r w:rsidRPr="00244CD2">
        <w:rPr>
          <w:rFonts w:ascii="Book Antiqua" w:eastAsia="Book Antiqua" w:hAnsi="Book Antiqua" w:cs="Book Antiqua"/>
          <w:noProof/>
        </w:rPr>
        <w:t>. These preliminary findings may offer insight into the complicated pathophysiology of IBS-D, and provide evidence for BAs modulation in the treatment of IBS-D.</w:t>
      </w:r>
    </w:p>
    <w:p w14:paraId="0CC82CCF" w14:textId="77777777" w:rsidR="00A77B3E" w:rsidRPr="00244CD2" w:rsidRDefault="00A77B3E" w:rsidP="00244CD2">
      <w:pPr>
        <w:snapToGrid w:val="0"/>
        <w:spacing w:line="360" w:lineRule="auto"/>
        <w:jc w:val="both"/>
        <w:rPr>
          <w:noProof/>
        </w:rPr>
      </w:pPr>
    </w:p>
    <w:p w14:paraId="766BC981"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caps/>
          <w:noProof/>
          <w:u w:val="single"/>
        </w:rPr>
        <w:t>ARTICLE HIGHLIGHTS</w:t>
      </w:r>
    </w:p>
    <w:p w14:paraId="201E3E92"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i/>
          <w:noProof/>
        </w:rPr>
        <w:t>Research background</w:t>
      </w:r>
    </w:p>
    <w:p w14:paraId="43531F4F" w14:textId="7DB573F9" w:rsidR="00A77B3E" w:rsidRPr="00244CD2" w:rsidRDefault="007356D0" w:rsidP="00244CD2">
      <w:pPr>
        <w:snapToGrid w:val="0"/>
        <w:spacing w:line="360" w:lineRule="auto"/>
        <w:jc w:val="both"/>
        <w:rPr>
          <w:noProof/>
        </w:rPr>
      </w:pPr>
      <w:bookmarkStart w:id="33" w:name="OLE_LINK45"/>
      <w:bookmarkStart w:id="34" w:name="OLE_LINK46"/>
      <w:r w:rsidRPr="00244CD2">
        <w:rPr>
          <w:rFonts w:ascii="Book Antiqua" w:eastAsia="Book Antiqua" w:hAnsi="Book Antiqua" w:cs="Book Antiqua"/>
          <w:noProof/>
        </w:rPr>
        <w:t>Bile acids</w:t>
      </w:r>
      <w:bookmarkEnd w:id="33"/>
      <w:bookmarkEnd w:id="34"/>
      <w:r w:rsidRPr="00244CD2">
        <w:rPr>
          <w:rFonts w:ascii="Book Antiqua" w:eastAsia="Book Antiqua" w:hAnsi="Book Antiqua" w:cs="Book Antiqua"/>
          <w:noProof/>
        </w:rPr>
        <w:t xml:space="preserve"> (BAs) have attracted attention in irritable bowel syndrome with predominant diarrhea (IBS-D) because of the effects on gastrointestinal motility and secretion function of the intestine. Experiments in animals and healthy volunteers also indicated that hypersensitivity can be caused by BAs, which is a major pathophysiological abnormality in IBS-D. The metabolism of BAs in the intestine depends on the gut microbiota. Therefore, it could be hypothesized that BAs may be involved in the pathogenesis of IBS-D and the altered BA profile in the intestine may be associated with microbiota.</w:t>
      </w:r>
    </w:p>
    <w:p w14:paraId="66E50359" w14:textId="77777777" w:rsidR="00A77B3E" w:rsidRPr="00244CD2" w:rsidRDefault="00A77B3E" w:rsidP="00244CD2">
      <w:pPr>
        <w:snapToGrid w:val="0"/>
        <w:spacing w:line="360" w:lineRule="auto"/>
        <w:jc w:val="both"/>
        <w:rPr>
          <w:noProof/>
        </w:rPr>
      </w:pPr>
    </w:p>
    <w:p w14:paraId="7ABE4B83"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i/>
          <w:noProof/>
        </w:rPr>
        <w:t>Research motivation</w:t>
      </w:r>
    </w:p>
    <w:p w14:paraId="7163ED27"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noProof/>
        </w:rPr>
        <w:t xml:space="preserve">Although a few studies have portrayed the composition of fecal BAs in IBS-D patients, the data in Chinese IBS-D patients are still sparse. Besides, few studies have explored the correlations between the gut flora and BAs in IBS-D patients. The main topics of this study included identifying the correlations of BAs with clinical features containing rectoanal sensory parameters of IBS-D patients, and exploring the correlations between the composition of fecal BAs and the gut microbiome. The findings may add insight to the pathogenesis of IBS-D, and provide evidence for regulating intestinal </w:t>
      </w:r>
      <w:r w:rsidR="00D85377" w:rsidRPr="00244CD2">
        <w:rPr>
          <w:rFonts w:ascii="Book Antiqua" w:eastAsia="Book Antiqua" w:hAnsi="Book Antiqua" w:cs="Book Antiqua"/>
          <w:noProof/>
        </w:rPr>
        <w:t>BAs</w:t>
      </w:r>
      <w:r w:rsidRPr="00244CD2">
        <w:rPr>
          <w:rFonts w:ascii="Book Antiqua" w:eastAsia="Book Antiqua" w:hAnsi="Book Antiqua" w:cs="Book Antiqua"/>
          <w:noProof/>
        </w:rPr>
        <w:t xml:space="preserve"> to treat IBS-D.</w:t>
      </w:r>
    </w:p>
    <w:p w14:paraId="218DE815" w14:textId="77777777" w:rsidR="00A77B3E" w:rsidRPr="00244CD2" w:rsidRDefault="00A77B3E" w:rsidP="00244CD2">
      <w:pPr>
        <w:snapToGrid w:val="0"/>
        <w:spacing w:line="360" w:lineRule="auto"/>
        <w:jc w:val="both"/>
        <w:rPr>
          <w:noProof/>
        </w:rPr>
      </w:pPr>
    </w:p>
    <w:p w14:paraId="5C0D2B4B"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i/>
          <w:noProof/>
        </w:rPr>
        <w:t>Research objectives</w:t>
      </w:r>
    </w:p>
    <w:p w14:paraId="0042C8E5"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noProof/>
        </w:rPr>
        <w:t>The present study aimed to evaluate the correlations of BAs with clinical features of IBS-D patients and to explore whether the composition of fecal BAs was associated with the gut microbiome in IBS-D patients.</w:t>
      </w:r>
    </w:p>
    <w:p w14:paraId="1D21BB35" w14:textId="77777777" w:rsidR="00A77B3E" w:rsidRPr="00244CD2" w:rsidRDefault="00A77B3E" w:rsidP="00244CD2">
      <w:pPr>
        <w:snapToGrid w:val="0"/>
        <w:spacing w:line="360" w:lineRule="auto"/>
        <w:jc w:val="both"/>
        <w:rPr>
          <w:noProof/>
        </w:rPr>
      </w:pPr>
    </w:p>
    <w:p w14:paraId="321794B5"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i/>
          <w:noProof/>
        </w:rPr>
        <w:t>Research methods</w:t>
      </w:r>
    </w:p>
    <w:p w14:paraId="4DB0AB4F"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noProof/>
        </w:rPr>
        <w:t xml:space="preserve">Subjects underwent clinical and psychological assessments, including IBS </w:t>
      </w:r>
      <w:r w:rsidR="0032018A" w:rsidRPr="00244CD2">
        <w:rPr>
          <w:rFonts w:ascii="Book Antiqua" w:eastAsia="Book Antiqua" w:hAnsi="Book Antiqua" w:cs="Book Antiqua"/>
          <w:noProof/>
        </w:rPr>
        <w:t>symptom severity system</w:t>
      </w:r>
      <w:r w:rsidRPr="00244CD2">
        <w:rPr>
          <w:rFonts w:ascii="Book Antiqua" w:eastAsia="Book Antiqua" w:hAnsi="Book Antiqua" w:cs="Book Antiqua"/>
          <w:noProof/>
        </w:rPr>
        <w:t xml:space="preserve">, the grade of Bristol </w:t>
      </w:r>
      <w:r w:rsidR="0032018A" w:rsidRPr="00244CD2">
        <w:rPr>
          <w:rFonts w:ascii="Book Antiqua" w:eastAsia="Book Antiqua" w:hAnsi="Book Antiqua" w:cs="Book Antiqua"/>
          <w:noProof/>
        </w:rPr>
        <w:t>stool form scale</w:t>
      </w:r>
      <w:r w:rsidRPr="00244CD2">
        <w:rPr>
          <w:rFonts w:ascii="Book Antiqua" w:eastAsia="Book Antiqua" w:hAnsi="Book Antiqua" w:cs="Book Antiqua"/>
          <w:noProof/>
        </w:rPr>
        <w:t xml:space="preserve"> and defecation frequency per day in </w:t>
      </w:r>
      <w:r w:rsidRPr="00244CD2">
        <w:rPr>
          <w:rFonts w:ascii="Book Antiqua" w:eastAsia="Book Antiqua" w:hAnsi="Book Antiqua" w:cs="Book Antiqua"/>
          <w:noProof/>
        </w:rPr>
        <w:lastRenderedPageBreak/>
        <w:t xml:space="preserve">the preceding 2 wk, </w:t>
      </w:r>
      <w:r w:rsidR="0032018A" w:rsidRPr="00244CD2">
        <w:rPr>
          <w:rFonts w:ascii="Book Antiqua" w:eastAsia="Book Antiqua" w:hAnsi="Book Antiqua" w:cs="Book Antiqua"/>
          <w:noProof/>
        </w:rPr>
        <w:t>hospital anxiety and depression sca</w:t>
      </w:r>
      <w:r w:rsidRPr="00244CD2">
        <w:rPr>
          <w:rFonts w:ascii="Book Antiqua" w:eastAsia="Book Antiqua" w:hAnsi="Book Antiqua" w:cs="Book Antiqua"/>
          <w:noProof/>
        </w:rPr>
        <w:t>le, and visceral sensitivity index, along with visceral sensitivity testing with a high-resolution manometry system. Fecal BAs were measured by ultraperformance liquid chromatography coupled to tandem mass spectrometry. The gut microbiota was analyzed using 16S rRNA gene sequencing. Relationships between fecal BAs and clinical characteristics as well as gut microbiota were explored.</w:t>
      </w:r>
    </w:p>
    <w:p w14:paraId="0DA8E173" w14:textId="77777777" w:rsidR="0032018A" w:rsidRPr="00244CD2" w:rsidRDefault="0032018A" w:rsidP="00244CD2">
      <w:pPr>
        <w:snapToGrid w:val="0"/>
        <w:spacing w:line="360" w:lineRule="auto"/>
        <w:jc w:val="both"/>
        <w:rPr>
          <w:rFonts w:ascii="Book Antiqua" w:hAnsi="Book Antiqua" w:cs="Book Antiqua"/>
          <w:noProof/>
          <w:lang w:eastAsia="zh-CN"/>
        </w:rPr>
      </w:pPr>
    </w:p>
    <w:p w14:paraId="22DDB3E6"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i/>
          <w:noProof/>
        </w:rPr>
        <w:t>Research results</w:t>
      </w:r>
    </w:p>
    <w:p w14:paraId="2E4B3E18" w14:textId="352F006F" w:rsidR="00A77B3E" w:rsidRPr="00244CD2" w:rsidRDefault="0032018A" w:rsidP="00244CD2">
      <w:pPr>
        <w:snapToGrid w:val="0"/>
        <w:spacing w:line="360" w:lineRule="auto"/>
        <w:jc w:val="both"/>
        <w:rPr>
          <w:noProof/>
        </w:rPr>
      </w:pPr>
      <w:r w:rsidRPr="00244CD2">
        <w:rPr>
          <w:rFonts w:ascii="Book Antiqua" w:hAnsi="Book Antiqua" w:cs="Book Antiqua"/>
          <w:noProof/>
          <w:lang w:eastAsia="zh-CN"/>
        </w:rPr>
        <w:t>C</w:t>
      </w:r>
      <w:r w:rsidRPr="00244CD2">
        <w:rPr>
          <w:rFonts w:ascii="Book Antiqua" w:eastAsia="Book Antiqua" w:hAnsi="Book Antiqua" w:cs="Book Antiqua"/>
          <w:noProof/>
        </w:rPr>
        <w:t>holic acid</w:t>
      </w:r>
      <w:r w:rsidR="007356D0" w:rsidRPr="00244CD2">
        <w:rPr>
          <w:rFonts w:ascii="Book Antiqua" w:eastAsia="Book Antiqua" w:hAnsi="Book Antiqua" w:cs="Book Antiqua"/>
          <w:noProof/>
        </w:rPr>
        <w:t xml:space="preserve">, </w:t>
      </w:r>
      <w:r w:rsidRPr="00244CD2">
        <w:rPr>
          <w:rFonts w:ascii="Book Antiqua" w:eastAsia="Book Antiqua" w:hAnsi="Book Antiqua" w:cs="Book Antiqua"/>
          <w:noProof/>
        </w:rPr>
        <w:t>chenodeoxycholic acid (CDCA)</w:t>
      </w:r>
      <w:r w:rsidR="007356D0" w:rsidRPr="00244CD2">
        <w:rPr>
          <w:rFonts w:ascii="Book Antiqua" w:eastAsia="Book Antiqua" w:hAnsi="Book Antiqua" w:cs="Book Antiqua"/>
          <w:noProof/>
        </w:rPr>
        <w:t xml:space="preserve">, and their conjugated BAs were significantly increased, while </w:t>
      </w:r>
      <w:r w:rsidRPr="00244CD2">
        <w:rPr>
          <w:rFonts w:ascii="Book Antiqua" w:eastAsia="Book Antiqua" w:hAnsi="Book Antiqua" w:cs="Book Antiqua"/>
          <w:noProof/>
        </w:rPr>
        <w:t xml:space="preserve">lithocholic acid (LCA) </w:t>
      </w:r>
      <w:r w:rsidR="007356D0" w:rsidRPr="00244CD2">
        <w:rPr>
          <w:rFonts w:ascii="Book Antiqua" w:eastAsia="Book Antiqua" w:hAnsi="Book Antiqua" w:cs="Book Antiqua"/>
          <w:noProof/>
        </w:rPr>
        <w:t xml:space="preserve">and </w:t>
      </w:r>
      <w:r w:rsidRPr="00244CD2">
        <w:rPr>
          <w:rFonts w:ascii="Book Antiqua" w:eastAsia="Book Antiqua" w:hAnsi="Book Antiqua" w:cs="Book Antiqua"/>
          <w:noProof/>
        </w:rPr>
        <w:t xml:space="preserve">ursodeoxycholic acid </w:t>
      </w:r>
      <w:r w:rsidR="007356D0" w:rsidRPr="00244CD2">
        <w:rPr>
          <w:rFonts w:ascii="Book Antiqua" w:eastAsia="Book Antiqua" w:hAnsi="Book Antiqua" w:cs="Book Antiqua"/>
          <w:noProof/>
        </w:rPr>
        <w:t xml:space="preserve">were significantly decreased and </w:t>
      </w:r>
      <w:r w:rsidRPr="00244CD2">
        <w:rPr>
          <w:rFonts w:ascii="Book Antiqua" w:eastAsia="Book Antiqua" w:hAnsi="Book Antiqua" w:cs="Book Antiqua"/>
          <w:noProof/>
        </w:rPr>
        <w:t xml:space="preserve">deoxycholic acid (DCA) </w:t>
      </w:r>
      <w:r w:rsidR="007356D0" w:rsidRPr="00244CD2">
        <w:rPr>
          <w:rFonts w:ascii="Book Antiqua" w:eastAsia="Book Antiqua" w:hAnsi="Book Antiqua" w:cs="Book Antiqua"/>
          <w:noProof/>
        </w:rPr>
        <w:t xml:space="preserve">tended to decrease in IBS-D patients. Defecation frequency was positively associated with primary BAs and inversely associated with DCA and LCA in IBS-D patients. The first sensation threshold was negatively correlated, and the defecating sensation threshold tended to </w:t>
      </w:r>
      <w:r w:rsidR="000F02C3">
        <w:rPr>
          <w:rFonts w:ascii="Book Antiqua" w:eastAsia="Book Antiqua" w:hAnsi="Book Antiqua" w:cs="Book Antiqua"/>
          <w:noProof/>
        </w:rPr>
        <w:t xml:space="preserve">be </w:t>
      </w:r>
      <w:r w:rsidR="007356D0" w:rsidRPr="00244CD2">
        <w:rPr>
          <w:rFonts w:ascii="Book Antiqua" w:eastAsia="Book Antiqua" w:hAnsi="Book Antiqua" w:cs="Book Antiqua"/>
          <w:noProof/>
        </w:rPr>
        <w:t>negatively correlate</w:t>
      </w:r>
      <w:r w:rsidR="000F02C3">
        <w:rPr>
          <w:rFonts w:ascii="Book Antiqua" w:eastAsia="Book Antiqua" w:hAnsi="Book Antiqua" w:cs="Book Antiqua" w:hint="eastAsia"/>
          <w:noProof/>
          <w:lang w:eastAsia="zh-CN"/>
        </w:rPr>
        <w:t>d</w:t>
      </w:r>
      <w:r w:rsidR="007356D0" w:rsidRPr="00244CD2">
        <w:rPr>
          <w:rFonts w:ascii="Book Antiqua" w:eastAsia="Book Antiqua" w:hAnsi="Book Antiqua" w:cs="Book Antiqua"/>
          <w:noProof/>
        </w:rPr>
        <w:t xml:space="preserve"> with CDCA in IBS-D patients. Furthermore, several genera were significantly reduced in IBS-D patients compared with </w:t>
      </w:r>
      <w:r w:rsidR="00AB06A7" w:rsidRPr="00244CD2">
        <w:rPr>
          <w:rFonts w:ascii="Book Antiqua" w:eastAsia="Book Antiqua" w:hAnsi="Book Antiqua" w:cs="Book Antiqua"/>
          <w:noProof/>
        </w:rPr>
        <w:t>HCs</w:t>
      </w:r>
      <w:r w:rsidR="00E01D29" w:rsidRPr="00244CD2">
        <w:rPr>
          <w:rFonts w:ascii="Book Antiqua" w:eastAsia="Book Antiqua" w:hAnsi="Book Antiqua" w:cs="Book Antiqua"/>
          <w:noProof/>
        </w:rPr>
        <w:t xml:space="preserve"> </w:t>
      </w:r>
      <w:r w:rsidR="007356D0" w:rsidRPr="00244CD2">
        <w:rPr>
          <w:rFonts w:ascii="Book Antiqua" w:eastAsia="Book Antiqua" w:hAnsi="Book Antiqua" w:cs="Book Antiqua"/>
          <w:noProof/>
        </w:rPr>
        <w:t xml:space="preserve">and exhibited a negative correlation with primary BAs and a positive correlation with secondary BAs, especially the genera in the </w:t>
      </w:r>
      <w:r w:rsidR="002D00F9" w:rsidRPr="00244CD2">
        <w:rPr>
          <w:rFonts w:ascii="Book Antiqua" w:eastAsia="Book Antiqua" w:hAnsi="Book Antiqua" w:cs="Book Antiqua"/>
          <w:i/>
          <w:noProof/>
        </w:rPr>
        <w:t>Ruminococcaceae</w:t>
      </w:r>
      <w:r w:rsidR="007356D0" w:rsidRPr="00244CD2">
        <w:rPr>
          <w:rFonts w:ascii="Book Antiqua" w:eastAsia="Book Antiqua" w:hAnsi="Book Antiqua" w:cs="Book Antiqua"/>
          <w:noProof/>
        </w:rPr>
        <w:t xml:space="preserve"> family.</w:t>
      </w:r>
    </w:p>
    <w:p w14:paraId="1799F9C2" w14:textId="77777777" w:rsidR="00A77B3E" w:rsidRPr="00244CD2" w:rsidRDefault="00A77B3E" w:rsidP="00244CD2">
      <w:pPr>
        <w:snapToGrid w:val="0"/>
        <w:spacing w:line="360" w:lineRule="auto"/>
        <w:jc w:val="both"/>
        <w:rPr>
          <w:noProof/>
        </w:rPr>
      </w:pPr>
    </w:p>
    <w:p w14:paraId="090F558E"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i/>
          <w:noProof/>
        </w:rPr>
        <w:t>Research conclusions</w:t>
      </w:r>
    </w:p>
    <w:p w14:paraId="2C51E667" w14:textId="6730683B" w:rsidR="00A77B3E" w:rsidRPr="00244CD2" w:rsidRDefault="007356D0" w:rsidP="00244CD2">
      <w:pPr>
        <w:snapToGrid w:val="0"/>
        <w:spacing w:line="360" w:lineRule="auto"/>
        <w:jc w:val="both"/>
        <w:rPr>
          <w:noProof/>
        </w:rPr>
      </w:pPr>
      <w:r w:rsidRPr="00244CD2">
        <w:rPr>
          <w:rFonts w:ascii="Book Antiqua" w:eastAsia="Book Antiqua" w:hAnsi="Book Antiqua" w:cs="Book Antiqua"/>
          <w:noProof/>
        </w:rPr>
        <w:t xml:space="preserve">This study presented evidence that the composition of the fecal </w:t>
      </w:r>
      <w:r w:rsidR="001E118B" w:rsidRPr="00244CD2">
        <w:rPr>
          <w:rFonts w:ascii="Book Antiqua" w:eastAsia="Book Antiqua" w:hAnsi="Book Antiqua" w:cs="Book Antiqua"/>
          <w:noProof/>
        </w:rPr>
        <w:t>BA</w:t>
      </w:r>
      <w:r w:rsidRPr="00244CD2">
        <w:rPr>
          <w:rFonts w:ascii="Book Antiqua" w:eastAsia="Book Antiqua" w:hAnsi="Book Antiqua" w:cs="Book Antiqua"/>
          <w:noProof/>
        </w:rPr>
        <w:t xml:space="preserve"> pool was characterized by increased primary BAs and decreased secondary BAs in IBS-D, which was associated with diarrhea and visceral hypersensitivity in IBS-D. The dysmetabolism of BAs in IBS-D might be ascribed to gut dysbiosis especially the reduction of </w:t>
      </w:r>
      <w:r w:rsidR="002D00F9" w:rsidRPr="00244CD2">
        <w:rPr>
          <w:rFonts w:ascii="Book Antiqua" w:eastAsia="Book Antiqua" w:hAnsi="Book Antiqua" w:cs="Book Antiqua"/>
          <w:i/>
          <w:noProof/>
        </w:rPr>
        <w:t>Ruminococcaceae</w:t>
      </w:r>
      <w:r w:rsidRPr="00244CD2">
        <w:rPr>
          <w:rFonts w:ascii="Book Antiqua" w:eastAsia="Book Antiqua" w:hAnsi="Book Antiqua" w:cs="Book Antiqua"/>
          <w:noProof/>
        </w:rPr>
        <w:t>.</w:t>
      </w:r>
    </w:p>
    <w:p w14:paraId="5D00D1A3" w14:textId="77777777" w:rsidR="00A77B3E" w:rsidRPr="00244CD2" w:rsidRDefault="00A77B3E" w:rsidP="00244CD2">
      <w:pPr>
        <w:snapToGrid w:val="0"/>
        <w:spacing w:line="360" w:lineRule="auto"/>
        <w:jc w:val="both"/>
        <w:rPr>
          <w:noProof/>
        </w:rPr>
      </w:pPr>
    </w:p>
    <w:p w14:paraId="03773A5A"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i/>
          <w:noProof/>
        </w:rPr>
        <w:t>Research perspectives</w:t>
      </w:r>
    </w:p>
    <w:p w14:paraId="100643E6" w14:textId="77777777" w:rsidR="00A77B3E" w:rsidRPr="00244CD2" w:rsidRDefault="007356D0" w:rsidP="00244CD2">
      <w:pPr>
        <w:snapToGrid w:val="0"/>
        <w:spacing w:line="360" w:lineRule="auto"/>
        <w:jc w:val="both"/>
        <w:rPr>
          <w:noProof/>
          <w:lang w:eastAsia="zh-CN"/>
        </w:rPr>
      </w:pPr>
      <w:r w:rsidRPr="00244CD2">
        <w:rPr>
          <w:rFonts w:ascii="Book Antiqua" w:eastAsia="Book Antiqua" w:hAnsi="Book Antiqua" w:cs="Book Antiqua"/>
          <w:noProof/>
        </w:rPr>
        <w:t xml:space="preserve">In the future, careful evaluation of the usual dietary habit of subjects is required, and diet needs to be standardized during the study period. Large multicenter studies are also necessary to verify the conclusions drawn in this study. Notably, </w:t>
      </w:r>
      <w:r w:rsidR="006D0D82" w:rsidRPr="00244CD2">
        <w:rPr>
          <w:rFonts w:ascii="Book Antiqua" w:hAnsi="Book Antiqua" w:cs="Book Antiqua"/>
          <w:noProof/>
          <w:lang w:eastAsia="zh-CN"/>
        </w:rPr>
        <w:t>BA</w:t>
      </w:r>
      <w:r w:rsidRPr="00244CD2">
        <w:rPr>
          <w:rFonts w:ascii="Book Antiqua" w:eastAsia="Book Antiqua" w:hAnsi="Book Antiqua" w:cs="Book Antiqua"/>
          <w:noProof/>
        </w:rPr>
        <w:t xml:space="preserve"> sequestrant may </w:t>
      </w:r>
      <w:r w:rsidRPr="00244CD2">
        <w:rPr>
          <w:rFonts w:ascii="Book Antiqua" w:eastAsia="Book Antiqua" w:hAnsi="Book Antiqua" w:cs="Book Antiqua"/>
          <w:noProof/>
        </w:rPr>
        <w:lastRenderedPageBreak/>
        <w:t>contribute to the studies on the involvement of BAs in IBS-D pathophysiology as well as the association between BAs and microbiota.</w:t>
      </w:r>
    </w:p>
    <w:p w14:paraId="5B6780AE" w14:textId="77777777" w:rsidR="00A77B3E" w:rsidRPr="00244CD2" w:rsidRDefault="00A77B3E" w:rsidP="00244CD2">
      <w:pPr>
        <w:snapToGrid w:val="0"/>
        <w:spacing w:line="360" w:lineRule="auto"/>
        <w:jc w:val="both"/>
        <w:rPr>
          <w:noProof/>
        </w:rPr>
      </w:pPr>
    </w:p>
    <w:p w14:paraId="2CC080E8"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caps/>
          <w:noProof/>
          <w:u w:val="single"/>
        </w:rPr>
        <w:t>ACKNOWLEDGEMENTS</w:t>
      </w:r>
    </w:p>
    <w:p w14:paraId="701E1B1F"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noProof/>
        </w:rPr>
        <w:t>We thank Dr. Du SY, Dr. Zhang MG, Dr. Li YM, Dr. Fang L, Dr. Bai RX</w:t>
      </w:r>
      <w:r w:rsidR="00D50C07" w:rsidRPr="00244CD2">
        <w:rPr>
          <w:rFonts w:ascii="Book Antiqua" w:hAnsi="Book Antiqua" w:cs="Book Antiqua"/>
          <w:noProof/>
          <w:lang w:eastAsia="zh-CN"/>
        </w:rPr>
        <w:t xml:space="preserve">, </w:t>
      </w:r>
      <w:r w:rsidRPr="00244CD2">
        <w:rPr>
          <w:rFonts w:ascii="Book Antiqua" w:eastAsia="Book Antiqua" w:hAnsi="Book Antiqua" w:cs="Book Antiqua"/>
          <w:noProof/>
        </w:rPr>
        <w:t>Dr. Qin G and Dr. Chen S for enrollment of participants.</w:t>
      </w:r>
    </w:p>
    <w:p w14:paraId="4E03621B" w14:textId="77777777" w:rsidR="00A77B3E" w:rsidRPr="00244CD2" w:rsidRDefault="00A77B3E" w:rsidP="004B4DAE">
      <w:pPr>
        <w:adjustRightInd w:val="0"/>
        <w:snapToGrid w:val="0"/>
        <w:spacing w:line="360" w:lineRule="auto"/>
        <w:jc w:val="both"/>
        <w:rPr>
          <w:rFonts w:ascii="Book Antiqua" w:hAnsi="Book Antiqua"/>
          <w:noProof/>
        </w:rPr>
      </w:pPr>
    </w:p>
    <w:p w14:paraId="72D78ABC" w14:textId="77777777" w:rsidR="00A77B3E" w:rsidRPr="00244CD2" w:rsidRDefault="007356D0">
      <w:pPr>
        <w:adjustRightInd w:val="0"/>
        <w:snapToGrid w:val="0"/>
        <w:spacing w:line="360" w:lineRule="auto"/>
        <w:jc w:val="both"/>
        <w:rPr>
          <w:rFonts w:ascii="Book Antiqua" w:hAnsi="Book Antiqua"/>
          <w:noProof/>
        </w:rPr>
      </w:pPr>
      <w:r w:rsidRPr="00244CD2">
        <w:rPr>
          <w:rFonts w:ascii="Book Antiqua" w:eastAsia="Book Antiqua" w:hAnsi="Book Antiqua" w:cs="Book Antiqua"/>
          <w:b/>
          <w:noProof/>
        </w:rPr>
        <w:t>REFERENCES</w:t>
      </w:r>
    </w:p>
    <w:p w14:paraId="51F241D6"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1 </w:t>
      </w:r>
      <w:r w:rsidRPr="00244CD2">
        <w:rPr>
          <w:rFonts w:ascii="Book Antiqua" w:hAnsi="Book Antiqua"/>
          <w:b/>
          <w:bCs/>
          <w:noProof/>
        </w:rPr>
        <w:t>Sperber AD</w:t>
      </w:r>
      <w:r w:rsidRPr="00244CD2">
        <w:rPr>
          <w:rFonts w:ascii="Book Antiqua" w:hAnsi="Book Antiqua"/>
          <w:noProof/>
        </w:rPr>
        <w:t>, Dumitrascu D, Fukudo S, Gerson C, Ghoshal UC, Gwee KA, Hungin APS, Kang JY, Minhu C, Schmulson M, Bolotin A, Friger M, Freud T, Whitehead W. The global prevalence of IBS in adults remains elusive due to the heterogeneity of studies: a Rome Foundation working team literature review. </w:t>
      </w:r>
      <w:r w:rsidRPr="00244CD2">
        <w:rPr>
          <w:rFonts w:ascii="Book Antiqua" w:hAnsi="Book Antiqua"/>
          <w:i/>
          <w:iCs/>
          <w:noProof/>
        </w:rPr>
        <w:t>Gut</w:t>
      </w:r>
      <w:r w:rsidRPr="00244CD2">
        <w:rPr>
          <w:rFonts w:ascii="Book Antiqua" w:hAnsi="Book Antiqua"/>
          <w:noProof/>
        </w:rPr>
        <w:t> 2017; </w:t>
      </w:r>
      <w:r w:rsidRPr="00244CD2">
        <w:rPr>
          <w:rFonts w:ascii="Book Antiqua" w:hAnsi="Book Antiqua"/>
          <w:b/>
          <w:bCs/>
          <w:noProof/>
        </w:rPr>
        <w:t>66</w:t>
      </w:r>
      <w:r w:rsidRPr="00244CD2">
        <w:rPr>
          <w:rFonts w:ascii="Book Antiqua" w:hAnsi="Book Antiqua"/>
          <w:noProof/>
        </w:rPr>
        <w:t>: 1075-1082 [PMID: 26818616 DOI: 10.1136/gutjnl-2015-311240]</w:t>
      </w:r>
    </w:p>
    <w:p w14:paraId="55D48C2D"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2 </w:t>
      </w:r>
      <w:r w:rsidRPr="00244CD2">
        <w:rPr>
          <w:rFonts w:ascii="Book Antiqua" w:hAnsi="Book Antiqua"/>
          <w:b/>
          <w:bCs/>
          <w:noProof/>
        </w:rPr>
        <w:t>Zhang L</w:t>
      </w:r>
      <w:r w:rsidRPr="00244CD2">
        <w:rPr>
          <w:rFonts w:ascii="Book Antiqua" w:hAnsi="Book Antiqua"/>
          <w:noProof/>
        </w:rPr>
        <w:t>, Duan L, Liu Y, Leng Y, Zhang H, Liu Z, Wang K. [A meta-analysis of the prevalence and risk factors of irritable bowel syndrome in Chinese community]. </w:t>
      </w:r>
      <w:r w:rsidRPr="00244CD2">
        <w:rPr>
          <w:rFonts w:ascii="Book Antiqua" w:hAnsi="Book Antiqua"/>
          <w:i/>
          <w:iCs/>
          <w:noProof/>
        </w:rPr>
        <w:t>Zhonghua Nei Ke Za Zhi</w:t>
      </w:r>
      <w:r w:rsidRPr="00244CD2">
        <w:rPr>
          <w:rFonts w:ascii="Book Antiqua" w:hAnsi="Book Antiqua"/>
          <w:noProof/>
        </w:rPr>
        <w:t> 2014; </w:t>
      </w:r>
      <w:r w:rsidRPr="00244CD2">
        <w:rPr>
          <w:rFonts w:ascii="Book Antiqua" w:hAnsi="Book Antiqua"/>
          <w:b/>
          <w:bCs/>
          <w:noProof/>
        </w:rPr>
        <w:t>53</w:t>
      </w:r>
      <w:r w:rsidRPr="00244CD2">
        <w:rPr>
          <w:rFonts w:ascii="Book Antiqua" w:hAnsi="Book Antiqua"/>
          <w:noProof/>
        </w:rPr>
        <w:t>: 969-975 [PMID: 25623565]</w:t>
      </w:r>
    </w:p>
    <w:p w14:paraId="56128798"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3 </w:t>
      </w:r>
      <w:r w:rsidRPr="00244CD2">
        <w:rPr>
          <w:rFonts w:ascii="Book Antiqua" w:hAnsi="Book Antiqua"/>
          <w:b/>
          <w:bCs/>
          <w:noProof/>
        </w:rPr>
        <w:t>Mearin F</w:t>
      </w:r>
      <w:r w:rsidRPr="00244CD2">
        <w:rPr>
          <w:rFonts w:ascii="Book Antiqua" w:hAnsi="Book Antiqua"/>
          <w:noProof/>
        </w:rPr>
        <w:t>, Lacy BE, Chang L, Chey WD, Lembo AJ, Simren M, Spiller R. Bowel Disorders. </w:t>
      </w:r>
      <w:r w:rsidRPr="00244CD2">
        <w:rPr>
          <w:rFonts w:ascii="Book Antiqua" w:hAnsi="Book Antiqua"/>
          <w:i/>
          <w:iCs/>
          <w:noProof/>
        </w:rPr>
        <w:t>Gastroenterology</w:t>
      </w:r>
      <w:r w:rsidRPr="00244CD2">
        <w:rPr>
          <w:rFonts w:ascii="Book Antiqua" w:hAnsi="Book Antiqua"/>
          <w:noProof/>
        </w:rPr>
        <w:t> 2016; </w:t>
      </w:r>
      <w:bookmarkStart w:id="35" w:name="OLE_LINK90"/>
      <w:bookmarkStart w:id="36" w:name="OLE_LINK91"/>
      <w:r w:rsidR="00DE6713" w:rsidRPr="00244CD2">
        <w:rPr>
          <w:rFonts w:ascii="Book Antiqua" w:hAnsi="Book Antiqua"/>
          <w:noProof/>
        </w:rPr>
        <w:t>Epub ahead of print</w:t>
      </w:r>
      <w:bookmarkEnd w:id="35"/>
      <w:bookmarkEnd w:id="36"/>
      <w:r w:rsidRPr="00244CD2">
        <w:rPr>
          <w:rFonts w:ascii="Book Antiqua" w:hAnsi="Book Antiqua"/>
          <w:noProof/>
        </w:rPr>
        <w:t xml:space="preserve"> [</w:t>
      </w:r>
      <w:bookmarkStart w:id="37" w:name="OLE_LINK86"/>
      <w:bookmarkStart w:id="38" w:name="OLE_LINK87"/>
      <w:r w:rsidRPr="00244CD2">
        <w:rPr>
          <w:rFonts w:ascii="Book Antiqua" w:hAnsi="Book Antiqua"/>
          <w:noProof/>
        </w:rPr>
        <w:t>PMID: 27144627</w:t>
      </w:r>
      <w:bookmarkEnd w:id="37"/>
      <w:bookmarkEnd w:id="38"/>
      <w:r w:rsidRPr="00244CD2">
        <w:rPr>
          <w:rFonts w:ascii="Book Antiqua" w:hAnsi="Book Antiqua"/>
          <w:noProof/>
        </w:rPr>
        <w:t xml:space="preserve"> DOI: 10.1053/j.gastro.2016.02.031]</w:t>
      </w:r>
    </w:p>
    <w:p w14:paraId="1FE8A59E"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4 </w:t>
      </w:r>
      <w:r w:rsidRPr="00244CD2">
        <w:rPr>
          <w:rFonts w:ascii="Book Antiqua" w:hAnsi="Book Antiqua"/>
          <w:b/>
          <w:bCs/>
          <w:noProof/>
        </w:rPr>
        <w:t>Yao X</w:t>
      </w:r>
      <w:r w:rsidRPr="00244CD2">
        <w:rPr>
          <w:rFonts w:ascii="Book Antiqua" w:hAnsi="Book Antiqua"/>
          <w:noProof/>
        </w:rPr>
        <w:t>, Yang YS, Cui LH, Zhao KB, Zhang ZH, Peng LH, Guo X, Sun G, Shang J, Wang WF, Feng J, Huang Q. Subtypes of irritable bowel syndrome on Rome III criteria: a multicenter study. </w:t>
      </w:r>
      <w:r w:rsidRPr="00244CD2">
        <w:rPr>
          <w:rFonts w:ascii="Book Antiqua" w:hAnsi="Book Antiqua"/>
          <w:i/>
          <w:iCs/>
          <w:noProof/>
        </w:rPr>
        <w:t>J Gastroenterol Hepatol</w:t>
      </w:r>
      <w:r w:rsidRPr="00244CD2">
        <w:rPr>
          <w:rFonts w:ascii="Book Antiqua" w:hAnsi="Book Antiqua"/>
          <w:noProof/>
        </w:rPr>
        <w:t> 2012; </w:t>
      </w:r>
      <w:r w:rsidRPr="00244CD2">
        <w:rPr>
          <w:rFonts w:ascii="Book Antiqua" w:hAnsi="Book Antiqua"/>
          <w:b/>
          <w:bCs/>
          <w:noProof/>
        </w:rPr>
        <w:t>27</w:t>
      </w:r>
      <w:r w:rsidRPr="00244CD2">
        <w:rPr>
          <w:rFonts w:ascii="Book Antiqua" w:hAnsi="Book Antiqua"/>
          <w:noProof/>
        </w:rPr>
        <w:t>: 760-765 [PMID: 21929652 DOI: 10.1111/j.1440-1746.2011.06930.x]</w:t>
      </w:r>
    </w:p>
    <w:p w14:paraId="3B26583E"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5 </w:t>
      </w:r>
      <w:r w:rsidRPr="00244CD2">
        <w:rPr>
          <w:rFonts w:ascii="Book Antiqua" w:hAnsi="Book Antiqua"/>
          <w:b/>
          <w:bCs/>
          <w:noProof/>
        </w:rPr>
        <w:t>Long Y</w:t>
      </w:r>
      <w:r w:rsidRPr="00244CD2">
        <w:rPr>
          <w:rFonts w:ascii="Book Antiqua" w:hAnsi="Book Antiqua"/>
          <w:noProof/>
        </w:rPr>
        <w:t>, Huang Z, Deng Y, Chu H, Zheng X, Yang J, Zhu Y, Fried M, Fox M, Dai N. Prevalence and risk factors for functional bowel disorders in South China: a population based study using the Rome III criteria. </w:t>
      </w:r>
      <w:r w:rsidRPr="00244CD2">
        <w:rPr>
          <w:rFonts w:ascii="Book Antiqua" w:hAnsi="Book Antiqua"/>
          <w:i/>
          <w:iCs/>
          <w:noProof/>
        </w:rPr>
        <w:t>Neurogastroenterol Motil</w:t>
      </w:r>
      <w:r w:rsidRPr="00244CD2">
        <w:rPr>
          <w:rFonts w:ascii="Book Antiqua" w:hAnsi="Book Antiqua"/>
          <w:noProof/>
        </w:rPr>
        <w:t> 2017; </w:t>
      </w:r>
      <w:r w:rsidRPr="00244CD2">
        <w:rPr>
          <w:rFonts w:ascii="Book Antiqua" w:hAnsi="Book Antiqua"/>
          <w:b/>
          <w:bCs/>
          <w:noProof/>
        </w:rPr>
        <w:t>29</w:t>
      </w:r>
      <w:r w:rsidRPr="00244CD2">
        <w:rPr>
          <w:rFonts w:ascii="Book Antiqua" w:hAnsi="Book Antiqua"/>
          <w:noProof/>
        </w:rPr>
        <w:t>: [PMID: 27412422 DOI: 10.1111/nmo.12897]</w:t>
      </w:r>
    </w:p>
    <w:p w14:paraId="4914250E"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lastRenderedPageBreak/>
        <w:t>6 </w:t>
      </w:r>
      <w:r w:rsidRPr="00244CD2">
        <w:rPr>
          <w:rFonts w:ascii="Book Antiqua" w:hAnsi="Book Antiqua"/>
          <w:b/>
          <w:bCs/>
          <w:noProof/>
        </w:rPr>
        <w:t>Drossman DA</w:t>
      </w:r>
      <w:r w:rsidRPr="00244CD2">
        <w:rPr>
          <w:rFonts w:ascii="Book Antiqua" w:hAnsi="Book Antiqua"/>
          <w:noProof/>
        </w:rPr>
        <w:t>. Functional Gastrointestinal Disorders: History, Pathophysiology, Clinical Features and Rome IV. </w:t>
      </w:r>
      <w:r w:rsidRPr="00244CD2">
        <w:rPr>
          <w:rFonts w:ascii="Book Antiqua" w:hAnsi="Book Antiqua"/>
          <w:i/>
          <w:iCs/>
          <w:noProof/>
        </w:rPr>
        <w:t>Gastroenterology</w:t>
      </w:r>
      <w:r w:rsidRPr="00244CD2">
        <w:rPr>
          <w:rFonts w:ascii="Book Antiqua" w:hAnsi="Book Antiqua"/>
          <w:noProof/>
        </w:rPr>
        <w:t> 2016; </w:t>
      </w:r>
      <w:r w:rsidR="00DE6713" w:rsidRPr="00244CD2">
        <w:rPr>
          <w:rFonts w:ascii="Book Antiqua" w:hAnsi="Book Antiqua"/>
          <w:noProof/>
        </w:rPr>
        <w:t xml:space="preserve">Epub ahead of print </w:t>
      </w:r>
      <w:r w:rsidRPr="00244CD2">
        <w:rPr>
          <w:rFonts w:ascii="Book Antiqua" w:hAnsi="Book Antiqua"/>
          <w:noProof/>
        </w:rPr>
        <w:t>[</w:t>
      </w:r>
      <w:bookmarkStart w:id="39" w:name="OLE_LINK88"/>
      <w:bookmarkStart w:id="40" w:name="OLE_LINK89"/>
      <w:r w:rsidRPr="00244CD2">
        <w:rPr>
          <w:rFonts w:ascii="Book Antiqua" w:hAnsi="Book Antiqua"/>
          <w:noProof/>
        </w:rPr>
        <w:t>PMID: 27144617</w:t>
      </w:r>
      <w:bookmarkEnd w:id="39"/>
      <w:bookmarkEnd w:id="40"/>
      <w:r w:rsidRPr="00244CD2">
        <w:rPr>
          <w:rFonts w:ascii="Book Antiqua" w:hAnsi="Book Antiqua"/>
          <w:noProof/>
        </w:rPr>
        <w:t xml:space="preserve"> DOI: 10.1053/j.gastro.2016.02.032]</w:t>
      </w:r>
    </w:p>
    <w:p w14:paraId="24DE5E75"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7 </w:t>
      </w:r>
      <w:r w:rsidRPr="00244CD2">
        <w:rPr>
          <w:rFonts w:ascii="Book Antiqua" w:hAnsi="Book Antiqua"/>
          <w:b/>
          <w:bCs/>
          <w:noProof/>
        </w:rPr>
        <w:t>Appleby RN</w:t>
      </w:r>
      <w:r w:rsidRPr="00244CD2">
        <w:rPr>
          <w:rFonts w:ascii="Book Antiqua" w:hAnsi="Book Antiqua"/>
          <w:noProof/>
        </w:rPr>
        <w:t>, Walters JR. The role of bile acids in functional GI disorders. </w:t>
      </w:r>
      <w:r w:rsidRPr="00244CD2">
        <w:rPr>
          <w:rFonts w:ascii="Book Antiqua" w:hAnsi="Book Antiqua"/>
          <w:i/>
          <w:iCs/>
          <w:noProof/>
        </w:rPr>
        <w:t>Neurogastroenterol Motil</w:t>
      </w:r>
      <w:r w:rsidRPr="00244CD2">
        <w:rPr>
          <w:rFonts w:ascii="Book Antiqua" w:hAnsi="Book Antiqua"/>
          <w:noProof/>
        </w:rPr>
        <w:t> 2014; </w:t>
      </w:r>
      <w:r w:rsidRPr="00244CD2">
        <w:rPr>
          <w:rFonts w:ascii="Book Antiqua" w:hAnsi="Book Antiqua"/>
          <w:b/>
          <w:bCs/>
          <w:noProof/>
        </w:rPr>
        <w:t>26</w:t>
      </w:r>
      <w:r w:rsidRPr="00244CD2">
        <w:rPr>
          <w:rFonts w:ascii="Book Antiqua" w:hAnsi="Book Antiqua"/>
          <w:noProof/>
        </w:rPr>
        <w:t>: 1057-1069 [PMID: 24898156 DOI: 10.1111/nmo.12370]</w:t>
      </w:r>
    </w:p>
    <w:p w14:paraId="01DA7637"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8 </w:t>
      </w:r>
      <w:r w:rsidRPr="00244CD2">
        <w:rPr>
          <w:rFonts w:ascii="Book Antiqua" w:hAnsi="Book Antiqua"/>
          <w:b/>
          <w:bCs/>
          <w:noProof/>
        </w:rPr>
        <w:t>Wong BS</w:t>
      </w:r>
      <w:r w:rsidRPr="00244CD2">
        <w:rPr>
          <w:rFonts w:ascii="Book Antiqua" w:hAnsi="Book Antiqua"/>
          <w:noProof/>
        </w:rPr>
        <w:t>, Camilleri M, Carlson P, McKinzie S, Busciglio I, Bondar O, Dyer RB, Lamsam J, Zinsmeister AR. Increased bile acid biosynthesis is associated with irritable bowel syndrome with diarrhea. </w:t>
      </w:r>
      <w:r w:rsidRPr="00244CD2">
        <w:rPr>
          <w:rFonts w:ascii="Book Antiqua" w:hAnsi="Book Antiqua"/>
          <w:i/>
          <w:iCs/>
          <w:noProof/>
        </w:rPr>
        <w:t>Clin Gastroenterol Hepatol</w:t>
      </w:r>
      <w:r w:rsidRPr="00244CD2">
        <w:rPr>
          <w:rFonts w:ascii="Book Antiqua" w:hAnsi="Book Antiqua"/>
          <w:noProof/>
        </w:rPr>
        <w:t> 2012; </w:t>
      </w:r>
      <w:r w:rsidRPr="00244CD2">
        <w:rPr>
          <w:rFonts w:ascii="Book Antiqua" w:hAnsi="Book Antiqua"/>
          <w:b/>
          <w:bCs/>
          <w:noProof/>
        </w:rPr>
        <w:t>10</w:t>
      </w:r>
      <w:r w:rsidRPr="00244CD2">
        <w:rPr>
          <w:rFonts w:ascii="Book Antiqua" w:hAnsi="Book Antiqua"/>
          <w:noProof/>
        </w:rPr>
        <w:t>: 1009-15.e3 [PMID: 22610000 DOI: 10.1016/j.cgh.2012.05.006]</w:t>
      </w:r>
    </w:p>
    <w:p w14:paraId="34F5C8F0"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9 </w:t>
      </w:r>
      <w:r w:rsidRPr="00244CD2">
        <w:rPr>
          <w:rFonts w:ascii="Book Antiqua" w:hAnsi="Book Antiqua"/>
          <w:b/>
          <w:bCs/>
          <w:noProof/>
        </w:rPr>
        <w:t>Shin A</w:t>
      </w:r>
      <w:r w:rsidRPr="00244CD2">
        <w:rPr>
          <w:rFonts w:ascii="Book Antiqua" w:hAnsi="Book Antiqua"/>
          <w:noProof/>
        </w:rPr>
        <w:t>, Camilleri M, Vijayvargiya P, Busciglio I, Burton D, Ryks M, Rhoten D, Lueke A, Saenger A, Girtman A, Zinsmeister AR. Bowel functions, fecal unconjugated primary and secondary bile acids, and colonic transit in patients with irritable bowel syndrome. </w:t>
      </w:r>
      <w:r w:rsidRPr="00244CD2">
        <w:rPr>
          <w:rFonts w:ascii="Book Antiqua" w:hAnsi="Book Antiqua"/>
          <w:i/>
          <w:iCs/>
          <w:noProof/>
        </w:rPr>
        <w:t>Clin Gastroenterol Hepatol</w:t>
      </w:r>
      <w:r w:rsidRPr="00244CD2">
        <w:rPr>
          <w:rFonts w:ascii="Book Antiqua" w:hAnsi="Book Antiqua"/>
          <w:noProof/>
        </w:rPr>
        <w:t> 2013; </w:t>
      </w:r>
      <w:r w:rsidRPr="00244CD2">
        <w:rPr>
          <w:rFonts w:ascii="Book Antiqua" w:hAnsi="Book Antiqua"/>
          <w:b/>
          <w:bCs/>
          <w:noProof/>
        </w:rPr>
        <w:t>11</w:t>
      </w:r>
      <w:r w:rsidRPr="00244CD2">
        <w:rPr>
          <w:rFonts w:ascii="Book Antiqua" w:hAnsi="Book Antiqua"/>
          <w:noProof/>
        </w:rPr>
        <w:t>: 1270-1275.e1 [PMID: 23639599 DOI: 10.1016/j.cgh.2013.04.020]</w:t>
      </w:r>
    </w:p>
    <w:p w14:paraId="542A786E"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10 </w:t>
      </w:r>
      <w:r w:rsidRPr="00244CD2">
        <w:rPr>
          <w:rFonts w:ascii="Book Antiqua" w:hAnsi="Book Antiqua"/>
          <w:b/>
          <w:bCs/>
          <w:noProof/>
        </w:rPr>
        <w:t>Vijayvargiya P</w:t>
      </w:r>
      <w:r w:rsidRPr="00244CD2">
        <w:rPr>
          <w:rFonts w:ascii="Book Antiqua" w:hAnsi="Book Antiqua"/>
          <w:noProof/>
        </w:rPr>
        <w:t>, Camilleri M, Chedid V, Carlson P, Busciglio I, Burton D, Donato LJ. Analysis of Fecal Primary Bile Acids Detects Increased Stool Weight and Colonic Transit in Patients With Chronic Functional Diarrhea. </w:t>
      </w:r>
      <w:r w:rsidRPr="00244CD2">
        <w:rPr>
          <w:rFonts w:ascii="Book Antiqua" w:hAnsi="Book Antiqua"/>
          <w:i/>
          <w:iCs/>
          <w:noProof/>
        </w:rPr>
        <w:t>Clin Gastroenterol Hepatol</w:t>
      </w:r>
      <w:r w:rsidRPr="00244CD2">
        <w:rPr>
          <w:rFonts w:ascii="Book Antiqua" w:hAnsi="Book Antiqua"/>
          <w:noProof/>
        </w:rPr>
        <w:t> 2019; </w:t>
      </w:r>
      <w:r w:rsidRPr="00244CD2">
        <w:rPr>
          <w:rFonts w:ascii="Book Antiqua" w:hAnsi="Book Antiqua"/>
          <w:b/>
          <w:bCs/>
          <w:noProof/>
        </w:rPr>
        <w:t>17</w:t>
      </w:r>
      <w:r w:rsidRPr="00244CD2">
        <w:rPr>
          <w:rFonts w:ascii="Book Antiqua" w:hAnsi="Book Antiqua"/>
          <w:noProof/>
        </w:rPr>
        <w:t>: 922-929.e2 [PMID: 29902647 DOI: 10.1016/j.cgh.2018.05.050]</w:t>
      </w:r>
    </w:p>
    <w:p w14:paraId="7C5AEB40"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11 </w:t>
      </w:r>
      <w:r w:rsidRPr="00244CD2">
        <w:rPr>
          <w:rFonts w:ascii="Book Antiqua" w:hAnsi="Book Antiqua"/>
          <w:b/>
          <w:bCs/>
          <w:noProof/>
        </w:rPr>
        <w:t>Bajor A</w:t>
      </w:r>
      <w:r w:rsidRPr="00244CD2">
        <w:rPr>
          <w:rFonts w:ascii="Book Antiqua" w:hAnsi="Book Antiqua"/>
          <w:noProof/>
        </w:rPr>
        <w:t>, Törnblom H, Rudling M, Ung KA, Simrén M. Increased colonic bile acid exposure: a relevant factor for symptoms and treatment in IBS. </w:t>
      </w:r>
      <w:r w:rsidRPr="00244CD2">
        <w:rPr>
          <w:rFonts w:ascii="Book Antiqua" w:hAnsi="Book Antiqua"/>
          <w:i/>
          <w:iCs/>
          <w:noProof/>
        </w:rPr>
        <w:t>Gut</w:t>
      </w:r>
      <w:r w:rsidRPr="00244CD2">
        <w:rPr>
          <w:rFonts w:ascii="Book Antiqua" w:hAnsi="Book Antiqua"/>
          <w:noProof/>
        </w:rPr>
        <w:t> 2015; </w:t>
      </w:r>
      <w:r w:rsidRPr="00244CD2">
        <w:rPr>
          <w:rFonts w:ascii="Book Antiqua" w:hAnsi="Book Antiqua"/>
          <w:b/>
          <w:bCs/>
          <w:noProof/>
        </w:rPr>
        <w:t>64</w:t>
      </w:r>
      <w:r w:rsidRPr="00244CD2">
        <w:rPr>
          <w:rFonts w:ascii="Book Antiqua" w:hAnsi="Book Antiqua"/>
          <w:noProof/>
        </w:rPr>
        <w:t>: 84-92 [PMID: 24727487 DOI: 10.1136/gutjnl-2013-305965]</w:t>
      </w:r>
    </w:p>
    <w:p w14:paraId="46FFE78B"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12 </w:t>
      </w:r>
      <w:r w:rsidRPr="00244CD2">
        <w:rPr>
          <w:rFonts w:ascii="Book Antiqua" w:hAnsi="Book Antiqua"/>
          <w:b/>
          <w:bCs/>
          <w:noProof/>
        </w:rPr>
        <w:t>Camilleri M</w:t>
      </w:r>
      <w:r w:rsidRPr="00244CD2">
        <w:rPr>
          <w:rFonts w:ascii="Book Antiqua" w:hAnsi="Book Antiqua"/>
          <w:noProof/>
        </w:rPr>
        <w:t>, Acosta A, Busciglio I, Boldingh A, Dyer RB, Zinsmeister AR, Lueke A, Gray A, Donato LJ. Effect of colesevelam on faecal bile acids and bowel functions in diarrhoea-predominant irritable bowel syndrome. </w:t>
      </w:r>
      <w:r w:rsidRPr="00244CD2">
        <w:rPr>
          <w:rFonts w:ascii="Book Antiqua" w:hAnsi="Book Antiqua"/>
          <w:i/>
          <w:iCs/>
          <w:noProof/>
        </w:rPr>
        <w:t>Aliment Pharmacol Ther</w:t>
      </w:r>
      <w:r w:rsidRPr="00244CD2">
        <w:rPr>
          <w:rFonts w:ascii="Book Antiqua" w:hAnsi="Book Antiqua"/>
          <w:noProof/>
        </w:rPr>
        <w:t> 2015; </w:t>
      </w:r>
      <w:r w:rsidRPr="00244CD2">
        <w:rPr>
          <w:rFonts w:ascii="Book Antiqua" w:hAnsi="Book Antiqua"/>
          <w:b/>
          <w:bCs/>
          <w:noProof/>
        </w:rPr>
        <w:t>41</w:t>
      </w:r>
      <w:r w:rsidRPr="00244CD2">
        <w:rPr>
          <w:rFonts w:ascii="Book Antiqua" w:hAnsi="Book Antiqua"/>
          <w:noProof/>
        </w:rPr>
        <w:t>: 438-448 [PMID: 25594801 DOI: 10.1111/apt.13065]</w:t>
      </w:r>
    </w:p>
    <w:p w14:paraId="62628B8C"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13 </w:t>
      </w:r>
      <w:r w:rsidRPr="00244CD2">
        <w:rPr>
          <w:rFonts w:ascii="Book Antiqua" w:hAnsi="Book Antiqua"/>
          <w:b/>
          <w:bCs/>
          <w:noProof/>
        </w:rPr>
        <w:t>Odunsi-Shiyanbade ST</w:t>
      </w:r>
      <w:r w:rsidRPr="00244CD2">
        <w:rPr>
          <w:rFonts w:ascii="Book Antiqua" w:hAnsi="Book Antiqua"/>
          <w:noProof/>
        </w:rPr>
        <w:t xml:space="preserve">, Camilleri M, McKinzie S, Burton D, Carlson P, Busciglio IA, Lamsam J, Singh R, Zinsmeister AR. Effects of chenodeoxycholate and a bile acid </w:t>
      </w:r>
      <w:r w:rsidRPr="00244CD2">
        <w:rPr>
          <w:rFonts w:ascii="Book Antiqua" w:hAnsi="Book Antiqua"/>
          <w:noProof/>
        </w:rPr>
        <w:lastRenderedPageBreak/>
        <w:t>sequestrant, colesevelam, on intestinal transit and bowel function. </w:t>
      </w:r>
      <w:r w:rsidRPr="00244CD2">
        <w:rPr>
          <w:rFonts w:ascii="Book Antiqua" w:hAnsi="Book Antiqua"/>
          <w:i/>
          <w:iCs/>
          <w:noProof/>
        </w:rPr>
        <w:t>Clin Gastroenterol Hepatol</w:t>
      </w:r>
      <w:r w:rsidRPr="00244CD2">
        <w:rPr>
          <w:rFonts w:ascii="Book Antiqua" w:hAnsi="Book Antiqua"/>
          <w:noProof/>
        </w:rPr>
        <w:t> 2010; </w:t>
      </w:r>
      <w:r w:rsidRPr="00244CD2">
        <w:rPr>
          <w:rFonts w:ascii="Book Antiqua" w:hAnsi="Book Antiqua"/>
          <w:b/>
          <w:bCs/>
          <w:noProof/>
        </w:rPr>
        <w:t>8</w:t>
      </w:r>
      <w:r w:rsidRPr="00244CD2">
        <w:rPr>
          <w:rFonts w:ascii="Book Antiqua" w:hAnsi="Book Antiqua"/>
          <w:noProof/>
        </w:rPr>
        <w:t>: 159-165 [PMID: 19879973 DOI: 10.1016/j.cgh.2009.10.020]</w:t>
      </w:r>
    </w:p>
    <w:p w14:paraId="799061B5"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14 </w:t>
      </w:r>
      <w:r w:rsidRPr="00244CD2">
        <w:rPr>
          <w:rFonts w:ascii="Book Antiqua" w:hAnsi="Book Antiqua"/>
          <w:b/>
          <w:bCs/>
          <w:noProof/>
        </w:rPr>
        <w:t>Long SL</w:t>
      </w:r>
      <w:r w:rsidRPr="00244CD2">
        <w:rPr>
          <w:rFonts w:ascii="Book Antiqua" w:hAnsi="Book Antiqua"/>
          <w:noProof/>
        </w:rPr>
        <w:t>, Gahan CGM, Joyce SA. Interactions between gut bacteria and bile in health and disease. </w:t>
      </w:r>
      <w:r w:rsidRPr="00244CD2">
        <w:rPr>
          <w:rFonts w:ascii="Book Antiqua" w:hAnsi="Book Antiqua"/>
          <w:i/>
          <w:iCs/>
          <w:noProof/>
        </w:rPr>
        <w:t>Mol Aspects Med</w:t>
      </w:r>
      <w:r w:rsidRPr="00244CD2">
        <w:rPr>
          <w:rFonts w:ascii="Book Antiqua" w:hAnsi="Book Antiqua"/>
          <w:noProof/>
        </w:rPr>
        <w:t> 2017; </w:t>
      </w:r>
      <w:r w:rsidRPr="00244CD2">
        <w:rPr>
          <w:rFonts w:ascii="Book Antiqua" w:hAnsi="Book Antiqua"/>
          <w:b/>
          <w:bCs/>
          <w:noProof/>
        </w:rPr>
        <w:t>56</w:t>
      </w:r>
      <w:r w:rsidRPr="00244CD2">
        <w:rPr>
          <w:rFonts w:ascii="Book Antiqua" w:hAnsi="Book Antiqua"/>
          <w:noProof/>
        </w:rPr>
        <w:t>: 54-65 [PMID: 28602676 DOI: 10.1016/j.mam.2017.06.002]</w:t>
      </w:r>
    </w:p>
    <w:p w14:paraId="33015384"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15 </w:t>
      </w:r>
      <w:r w:rsidRPr="00244CD2">
        <w:rPr>
          <w:rFonts w:ascii="Book Antiqua" w:hAnsi="Book Antiqua"/>
          <w:b/>
          <w:bCs/>
          <w:noProof/>
        </w:rPr>
        <w:t>Mekhjian HS</w:t>
      </w:r>
      <w:r w:rsidRPr="00244CD2">
        <w:rPr>
          <w:rFonts w:ascii="Book Antiqua" w:hAnsi="Book Antiqua"/>
          <w:noProof/>
        </w:rPr>
        <w:t>, Phillips SF, Hofmann AF. Colonic absorption of unconjugated bile acids: perfusion studies in man. </w:t>
      </w:r>
      <w:r w:rsidRPr="00244CD2">
        <w:rPr>
          <w:rFonts w:ascii="Book Antiqua" w:hAnsi="Book Antiqua"/>
          <w:i/>
          <w:iCs/>
          <w:noProof/>
        </w:rPr>
        <w:t>Dig Dis Sci</w:t>
      </w:r>
      <w:r w:rsidRPr="00244CD2">
        <w:rPr>
          <w:rFonts w:ascii="Book Antiqua" w:hAnsi="Book Antiqua"/>
          <w:noProof/>
        </w:rPr>
        <w:t> 1979; </w:t>
      </w:r>
      <w:r w:rsidRPr="00244CD2">
        <w:rPr>
          <w:rFonts w:ascii="Book Antiqua" w:hAnsi="Book Antiqua"/>
          <w:b/>
          <w:bCs/>
          <w:noProof/>
        </w:rPr>
        <w:t>24</w:t>
      </w:r>
      <w:r w:rsidRPr="00244CD2">
        <w:rPr>
          <w:rFonts w:ascii="Book Antiqua" w:hAnsi="Book Antiqua"/>
          <w:noProof/>
        </w:rPr>
        <w:t>: 545-550 [PMID: 456241 DOI: 10.1007/BF01489324]</w:t>
      </w:r>
    </w:p>
    <w:p w14:paraId="54EDC50B"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16 </w:t>
      </w:r>
      <w:r w:rsidRPr="00244CD2">
        <w:rPr>
          <w:rFonts w:ascii="Book Antiqua" w:hAnsi="Book Antiqua"/>
          <w:b/>
          <w:bCs/>
          <w:noProof/>
        </w:rPr>
        <w:t>Wahlström A</w:t>
      </w:r>
      <w:r w:rsidRPr="00244CD2">
        <w:rPr>
          <w:rFonts w:ascii="Book Antiqua" w:hAnsi="Book Antiqua"/>
          <w:noProof/>
        </w:rPr>
        <w:t>, Sayin SI, Marschall HU, Bäckhed F. Intestinal Crosstalk between Bile Acids and Microbiota and Its Impact on Host Metabolism. </w:t>
      </w:r>
      <w:r w:rsidRPr="00244CD2">
        <w:rPr>
          <w:rFonts w:ascii="Book Antiqua" w:hAnsi="Book Antiqua"/>
          <w:i/>
          <w:iCs/>
          <w:noProof/>
        </w:rPr>
        <w:t>Cell Metab</w:t>
      </w:r>
      <w:r w:rsidRPr="00244CD2">
        <w:rPr>
          <w:rFonts w:ascii="Book Antiqua" w:hAnsi="Book Antiqua"/>
          <w:noProof/>
        </w:rPr>
        <w:t> 2016; </w:t>
      </w:r>
      <w:r w:rsidRPr="00244CD2">
        <w:rPr>
          <w:rFonts w:ascii="Book Antiqua" w:hAnsi="Book Antiqua"/>
          <w:b/>
          <w:bCs/>
          <w:noProof/>
        </w:rPr>
        <w:t>24</w:t>
      </w:r>
      <w:r w:rsidRPr="00244CD2">
        <w:rPr>
          <w:rFonts w:ascii="Book Antiqua" w:hAnsi="Book Antiqua"/>
          <w:noProof/>
        </w:rPr>
        <w:t>: 41-50 [PMID: 27320064 DOI: 10.1016/j.cmet.2016.05.005]</w:t>
      </w:r>
    </w:p>
    <w:p w14:paraId="40AD2BE2"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17 </w:t>
      </w:r>
      <w:r w:rsidRPr="00244CD2">
        <w:rPr>
          <w:rFonts w:ascii="Book Antiqua" w:hAnsi="Book Antiqua"/>
          <w:b/>
          <w:bCs/>
          <w:noProof/>
        </w:rPr>
        <w:t>Krogius-Kurikka L</w:t>
      </w:r>
      <w:r w:rsidRPr="00244CD2">
        <w:rPr>
          <w:rFonts w:ascii="Book Antiqua" w:hAnsi="Book Antiqua"/>
          <w:noProof/>
        </w:rPr>
        <w:t>, Lyra A, Malinen E, Aarnikunnas J, Tuimala J, Paulin L, Mäkivuokko H, Kajander K, Palva A. Microbial community analysis reveals high level phylogenetic alterations in the overall gastrointestinal microbiota of diarrhoea-predominant irritable bowel syndrome sufferers. </w:t>
      </w:r>
      <w:r w:rsidRPr="00244CD2">
        <w:rPr>
          <w:rFonts w:ascii="Book Antiqua" w:hAnsi="Book Antiqua"/>
          <w:i/>
          <w:iCs/>
          <w:noProof/>
        </w:rPr>
        <w:t>BMC Gastroenterol</w:t>
      </w:r>
      <w:r w:rsidRPr="00244CD2">
        <w:rPr>
          <w:rFonts w:ascii="Book Antiqua" w:hAnsi="Book Antiqua"/>
          <w:noProof/>
        </w:rPr>
        <w:t> 2009; </w:t>
      </w:r>
      <w:r w:rsidRPr="00244CD2">
        <w:rPr>
          <w:rFonts w:ascii="Book Antiqua" w:hAnsi="Book Antiqua"/>
          <w:b/>
          <w:bCs/>
          <w:noProof/>
        </w:rPr>
        <w:t>9</w:t>
      </w:r>
      <w:r w:rsidRPr="00244CD2">
        <w:rPr>
          <w:rFonts w:ascii="Book Antiqua" w:hAnsi="Book Antiqua"/>
          <w:noProof/>
        </w:rPr>
        <w:t>: 95 [PMID: 20015409 DOI: 10.1186/1471-230X-9-95]</w:t>
      </w:r>
    </w:p>
    <w:p w14:paraId="4E7964BA"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18 </w:t>
      </w:r>
      <w:r w:rsidRPr="00244CD2">
        <w:rPr>
          <w:rFonts w:ascii="Book Antiqua" w:hAnsi="Book Antiqua"/>
          <w:b/>
          <w:bCs/>
          <w:noProof/>
        </w:rPr>
        <w:t>Zhuang X</w:t>
      </w:r>
      <w:r w:rsidRPr="00244CD2">
        <w:rPr>
          <w:rFonts w:ascii="Book Antiqua" w:hAnsi="Book Antiqua"/>
          <w:noProof/>
        </w:rPr>
        <w:t>, Xiong L, Li L, Li M, Chen M. Alterations of gut microbiota in patients with irritable bowel syndrome: A systematic review and meta-analysis. </w:t>
      </w:r>
      <w:r w:rsidRPr="00244CD2">
        <w:rPr>
          <w:rFonts w:ascii="Book Antiqua" w:hAnsi="Book Antiqua"/>
          <w:i/>
          <w:iCs/>
          <w:noProof/>
        </w:rPr>
        <w:t>J Gastroenterol Hepatol</w:t>
      </w:r>
      <w:r w:rsidRPr="00244CD2">
        <w:rPr>
          <w:rFonts w:ascii="Book Antiqua" w:hAnsi="Book Antiqua"/>
          <w:noProof/>
        </w:rPr>
        <w:t> 2017; </w:t>
      </w:r>
      <w:r w:rsidRPr="00244CD2">
        <w:rPr>
          <w:rFonts w:ascii="Book Antiqua" w:hAnsi="Book Antiqua"/>
          <w:b/>
          <w:bCs/>
          <w:noProof/>
        </w:rPr>
        <w:t>32</w:t>
      </w:r>
      <w:r w:rsidRPr="00244CD2">
        <w:rPr>
          <w:rFonts w:ascii="Book Antiqua" w:hAnsi="Book Antiqua"/>
          <w:noProof/>
        </w:rPr>
        <w:t>: 28-38 [PMID: 27300149 DOI: 10.1111/jgh.13471]</w:t>
      </w:r>
    </w:p>
    <w:p w14:paraId="221A156E"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19 </w:t>
      </w:r>
      <w:r w:rsidRPr="00244CD2">
        <w:rPr>
          <w:rFonts w:ascii="Book Antiqua" w:hAnsi="Book Antiqua"/>
          <w:b/>
          <w:bCs/>
          <w:noProof/>
        </w:rPr>
        <w:t>Labus JS</w:t>
      </w:r>
      <w:r w:rsidRPr="00244CD2">
        <w:rPr>
          <w:rFonts w:ascii="Book Antiqua" w:hAnsi="Book Antiqua"/>
          <w:noProof/>
        </w:rPr>
        <w:t>, Hollister EB, Jacobs J, Kirbach K, Oezguen N, Gupta A, Acosta J, Luna RA, Aagaard K, Versalovic J, Savidge T, Hsiao E, Tillisch K, Mayer EA. Differences in gut microbial composition correlate with regional brain volumes in irritable bowel syndrome. </w:t>
      </w:r>
      <w:r w:rsidRPr="00244CD2">
        <w:rPr>
          <w:rFonts w:ascii="Book Antiqua" w:hAnsi="Book Antiqua"/>
          <w:i/>
          <w:iCs/>
          <w:noProof/>
        </w:rPr>
        <w:t>Microbiome</w:t>
      </w:r>
      <w:r w:rsidRPr="00244CD2">
        <w:rPr>
          <w:rFonts w:ascii="Book Antiqua" w:hAnsi="Book Antiqua"/>
          <w:noProof/>
        </w:rPr>
        <w:t> 2017; </w:t>
      </w:r>
      <w:r w:rsidRPr="00244CD2">
        <w:rPr>
          <w:rFonts w:ascii="Book Antiqua" w:hAnsi="Book Antiqua"/>
          <w:b/>
          <w:bCs/>
          <w:noProof/>
        </w:rPr>
        <w:t>5</w:t>
      </w:r>
      <w:r w:rsidRPr="00244CD2">
        <w:rPr>
          <w:rFonts w:ascii="Book Antiqua" w:hAnsi="Book Antiqua"/>
          <w:noProof/>
        </w:rPr>
        <w:t>: 49 [PMID: 28457228 DOI: 10.1186/s40168-017-0260-z]</w:t>
      </w:r>
    </w:p>
    <w:p w14:paraId="5DB4D8FA"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20 </w:t>
      </w:r>
      <w:r w:rsidRPr="00244CD2">
        <w:rPr>
          <w:rFonts w:ascii="Book Antiqua" w:hAnsi="Book Antiqua"/>
          <w:b/>
          <w:bCs/>
          <w:noProof/>
        </w:rPr>
        <w:t>Krogsgaard LR</w:t>
      </w:r>
      <w:r w:rsidRPr="00244CD2">
        <w:rPr>
          <w:rFonts w:ascii="Book Antiqua" w:hAnsi="Book Antiqua"/>
          <w:noProof/>
        </w:rPr>
        <w:t>, Andersen LO', Johannesen TB, Engsbro AL, Stensvold CR, Nielsen HV, Bytzer P. Characteristics of the bacterial microbiome in association with common intestinal parasites in irritable bowel syndrome. </w:t>
      </w:r>
      <w:r w:rsidRPr="00244CD2">
        <w:rPr>
          <w:rFonts w:ascii="Book Antiqua" w:hAnsi="Book Antiqua"/>
          <w:i/>
          <w:iCs/>
          <w:noProof/>
        </w:rPr>
        <w:t>Clin Transl Gastroenterol</w:t>
      </w:r>
      <w:r w:rsidRPr="00244CD2">
        <w:rPr>
          <w:rFonts w:ascii="Book Antiqua" w:hAnsi="Book Antiqua"/>
          <w:noProof/>
        </w:rPr>
        <w:t> 2018; </w:t>
      </w:r>
      <w:r w:rsidRPr="00244CD2">
        <w:rPr>
          <w:rFonts w:ascii="Book Antiqua" w:hAnsi="Book Antiqua"/>
          <w:b/>
          <w:bCs/>
          <w:noProof/>
        </w:rPr>
        <w:t>9</w:t>
      </w:r>
      <w:r w:rsidRPr="00244CD2">
        <w:rPr>
          <w:rFonts w:ascii="Book Antiqua" w:hAnsi="Book Antiqua"/>
          <w:noProof/>
        </w:rPr>
        <w:t>: 161 [PMID: 29915224 DOI: 10.1038/s41424-018-0027-2]</w:t>
      </w:r>
    </w:p>
    <w:p w14:paraId="7DF4DB9D"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lastRenderedPageBreak/>
        <w:t>21 </w:t>
      </w:r>
      <w:r w:rsidRPr="00244CD2">
        <w:rPr>
          <w:rFonts w:ascii="Book Antiqua" w:hAnsi="Book Antiqua"/>
          <w:b/>
          <w:bCs/>
          <w:noProof/>
        </w:rPr>
        <w:t>Liu T</w:t>
      </w:r>
      <w:r w:rsidRPr="00244CD2">
        <w:rPr>
          <w:rFonts w:ascii="Book Antiqua" w:hAnsi="Book Antiqua"/>
          <w:noProof/>
        </w:rPr>
        <w:t>, Gu X, Li LX, Li M, Li B, Cui X, Zuo XL. Microbial and metabolomic profiles in correlation with depression and anxiety co-morbidities in diarrhoea-predominant IBS patients. </w:t>
      </w:r>
      <w:r w:rsidRPr="00244CD2">
        <w:rPr>
          <w:rFonts w:ascii="Book Antiqua" w:hAnsi="Book Antiqua"/>
          <w:i/>
          <w:iCs/>
          <w:noProof/>
        </w:rPr>
        <w:t>BMC Microbiol</w:t>
      </w:r>
      <w:r w:rsidRPr="00244CD2">
        <w:rPr>
          <w:rFonts w:ascii="Book Antiqua" w:hAnsi="Book Antiqua"/>
          <w:noProof/>
        </w:rPr>
        <w:t> 2020; </w:t>
      </w:r>
      <w:r w:rsidRPr="00244CD2">
        <w:rPr>
          <w:rFonts w:ascii="Book Antiqua" w:hAnsi="Book Antiqua"/>
          <w:b/>
          <w:bCs/>
          <w:noProof/>
        </w:rPr>
        <w:t>20</w:t>
      </w:r>
      <w:r w:rsidRPr="00244CD2">
        <w:rPr>
          <w:rFonts w:ascii="Book Antiqua" w:hAnsi="Book Antiqua"/>
          <w:noProof/>
        </w:rPr>
        <w:t>: 168 [PMID: 32552668 DOI: 10.1186/s12866-020-01841-4]</w:t>
      </w:r>
    </w:p>
    <w:p w14:paraId="359A0C59"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22 </w:t>
      </w:r>
      <w:r w:rsidRPr="00244CD2">
        <w:rPr>
          <w:rFonts w:ascii="Book Antiqua" w:hAnsi="Book Antiqua"/>
          <w:b/>
          <w:bCs/>
          <w:noProof/>
        </w:rPr>
        <w:t>Mayer EA</w:t>
      </w:r>
      <w:r w:rsidRPr="00244CD2">
        <w:rPr>
          <w:rFonts w:ascii="Book Antiqua" w:hAnsi="Book Antiqua"/>
          <w:noProof/>
        </w:rPr>
        <w:t>, Savidge T, Shulman RJ. Brain-gut microbiome interactions and functional bowel disorders. </w:t>
      </w:r>
      <w:r w:rsidRPr="00244CD2">
        <w:rPr>
          <w:rFonts w:ascii="Book Antiqua" w:hAnsi="Book Antiqua"/>
          <w:i/>
          <w:iCs/>
          <w:noProof/>
        </w:rPr>
        <w:t>Gastroenterology</w:t>
      </w:r>
      <w:r w:rsidRPr="00244CD2">
        <w:rPr>
          <w:rFonts w:ascii="Book Antiqua" w:hAnsi="Book Antiqua"/>
          <w:noProof/>
        </w:rPr>
        <w:t> 2014; </w:t>
      </w:r>
      <w:r w:rsidRPr="00244CD2">
        <w:rPr>
          <w:rFonts w:ascii="Book Antiqua" w:hAnsi="Book Antiqua"/>
          <w:b/>
          <w:bCs/>
          <w:noProof/>
        </w:rPr>
        <w:t>146</w:t>
      </w:r>
      <w:r w:rsidRPr="00244CD2">
        <w:rPr>
          <w:rFonts w:ascii="Book Antiqua" w:hAnsi="Book Antiqua"/>
          <w:noProof/>
        </w:rPr>
        <w:t>: 1500-1512 [PMID: 24583088 DOI: 10.1053/j.gastro.2014.02.037]</w:t>
      </w:r>
    </w:p>
    <w:p w14:paraId="71D884FA"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23 </w:t>
      </w:r>
      <w:r w:rsidRPr="00244CD2">
        <w:rPr>
          <w:rFonts w:ascii="Book Antiqua" w:hAnsi="Book Antiqua"/>
          <w:b/>
          <w:bCs/>
          <w:noProof/>
        </w:rPr>
        <w:t>Collins SM</w:t>
      </w:r>
      <w:r w:rsidRPr="00244CD2">
        <w:rPr>
          <w:rFonts w:ascii="Book Antiqua" w:hAnsi="Book Antiqua"/>
          <w:noProof/>
        </w:rPr>
        <w:t>. A role for the gut microbiota in IBS. </w:t>
      </w:r>
      <w:r w:rsidRPr="00244CD2">
        <w:rPr>
          <w:rFonts w:ascii="Book Antiqua" w:hAnsi="Book Antiqua"/>
          <w:i/>
          <w:iCs/>
          <w:noProof/>
        </w:rPr>
        <w:t>Nat Rev Gastroenterol Hepatol</w:t>
      </w:r>
      <w:r w:rsidRPr="00244CD2">
        <w:rPr>
          <w:rFonts w:ascii="Book Antiqua" w:hAnsi="Book Antiqua"/>
          <w:noProof/>
        </w:rPr>
        <w:t> 2014; </w:t>
      </w:r>
      <w:r w:rsidRPr="00244CD2">
        <w:rPr>
          <w:rFonts w:ascii="Book Antiqua" w:hAnsi="Book Antiqua"/>
          <w:b/>
          <w:bCs/>
          <w:noProof/>
        </w:rPr>
        <w:t>11</w:t>
      </w:r>
      <w:r w:rsidRPr="00244CD2">
        <w:rPr>
          <w:rFonts w:ascii="Book Antiqua" w:hAnsi="Book Antiqua"/>
          <w:noProof/>
        </w:rPr>
        <w:t>: 497-505 [PMID: 24751910 DOI: 10.1038/nrgastro.2014.40]</w:t>
      </w:r>
    </w:p>
    <w:p w14:paraId="1A725213"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24 </w:t>
      </w:r>
      <w:r w:rsidRPr="00244CD2">
        <w:rPr>
          <w:rFonts w:ascii="Book Antiqua" w:hAnsi="Book Antiqua"/>
          <w:b/>
          <w:bCs/>
          <w:noProof/>
        </w:rPr>
        <w:t>Rea K</w:t>
      </w:r>
      <w:r w:rsidRPr="00244CD2">
        <w:rPr>
          <w:rFonts w:ascii="Book Antiqua" w:hAnsi="Book Antiqua"/>
          <w:noProof/>
        </w:rPr>
        <w:t>, Dinan TG, Cryan JF. The microbiome: A key regulator of stress and neuroinflammation. </w:t>
      </w:r>
      <w:r w:rsidRPr="00244CD2">
        <w:rPr>
          <w:rFonts w:ascii="Book Antiqua" w:hAnsi="Book Antiqua"/>
          <w:i/>
          <w:iCs/>
          <w:noProof/>
        </w:rPr>
        <w:t>Neurobiol Stress</w:t>
      </w:r>
      <w:r w:rsidRPr="00244CD2">
        <w:rPr>
          <w:rFonts w:ascii="Book Antiqua" w:hAnsi="Book Antiqua"/>
          <w:noProof/>
        </w:rPr>
        <w:t> 2016; </w:t>
      </w:r>
      <w:r w:rsidRPr="00244CD2">
        <w:rPr>
          <w:rFonts w:ascii="Book Antiqua" w:hAnsi="Book Antiqua"/>
          <w:b/>
          <w:bCs/>
          <w:noProof/>
        </w:rPr>
        <w:t>4</w:t>
      </w:r>
      <w:r w:rsidRPr="00244CD2">
        <w:rPr>
          <w:rFonts w:ascii="Book Antiqua" w:hAnsi="Book Antiqua"/>
          <w:noProof/>
        </w:rPr>
        <w:t>: 23-33 [PMID: 27981187 DOI: 10.1016/j.ynstr.2016.03.001]</w:t>
      </w:r>
    </w:p>
    <w:p w14:paraId="2EC36211"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25 </w:t>
      </w:r>
      <w:r w:rsidRPr="00244CD2">
        <w:rPr>
          <w:rFonts w:ascii="Book Antiqua" w:hAnsi="Book Antiqua"/>
          <w:b/>
          <w:bCs/>
          <w:noProof/>
        </w:rPr>
        <w:t>Dior M</w:t>
      </w:r>
      <w:r w:rsidRPr="00244CD2">
        <w:rPr>
          <w:rFonts w:ascii="Book Antiqua" w:hAnsi="Book Antiqua"/>
          <w:noProof/>
        </w:rPr>
        <w:t>, Delagrèverie H, Duboc H, Jouet P, Coffin B, Brot L, Humbert L, Trugnan G, Seksik P, Sokol H, Rainteau D, Sabate JM. Interplay between bile acid metabolism and microbiota in irritable bowel syndrome. </w:t>
      </w:r>
      <w:r w:rsidRPr="00244CD2">
        <w:rPr>
          <w:rFonts w:ascii="Book Antiqua" w:hAnsi="Book Antiqua"/>
          <w:i/>
          <w:iCs/>
          <w:noProof/>
        </w:rPr>
        <w:t>Neurogastroenterol Motil</w:t>
      </w:r>
      <w:r w:rsidRPr="00244CD2">
        <w:rPr>
          <w:rFonts w:ascii="Book Antiqua" w:hAnsi="Book Antiqua"/>
          <w:noProof/>
        </w:rPr>
        <w:t> 2016; </w:t>
      </w:r>
      <w:r w:rsidRPr="00244CD2">
        <w:rPr>
          <w:rFonts w:ascii="Book Antiqua" w:hAnsi="Book Antiqua"/>
          <w:b/>
          <w:bCs/>
          <w:noProof/>
        </w:rPr>
        <w:t>28</w:t>
      </w:r>
      <w:r w:rsidRPr="00244CD2">
        <w:rPr>
          <w:rFonts w:ascii="Book Antiqua" w:hAnsi="Book Antiqua"/>
          <w:noProof/>
        </w:rPr>
        <w:t>: 1330-1340 [PMID: 27060367 DOI: 10.1111/nmo.12829]</w:t>
      </w:r>
    </w:p>
    <w:p w14:paraId="189604BD"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26 </w:t>
      </w:r>
      <w:r w:rsidRPr="00244CD2">
        <w:rPr>
          <w:rFonts w:ascii="Book Antiqua" w:hAnsi="Book Antiqua"/>
          <w:b/>
          <w:bCs/>
          <w:noProof/>
        </w:rPr>
        <w:t>Chiang JYL</w:t>
      </w:r>
      <w:r w:rsidRPr="00244CD2">
        <w:rPr>
          <w:rFonts w:ascii="Book Antiqua" w:hAnsi="Book Antiqua"/>
          <w:noProof/>
        </w:rPr>
        <w:t>, Ferrell JM. Bile Acid Metabolism in Liver Pathobiology. </w:t>
      </w:r>
      <w:r w:rsidRPr="00244CD2">
        <w:rPr>
          <w:rFonts w:ascii="Book Antiqua" w:hAnsi="Book Antiqua"/>
          <w:i/>
          <w:iCs/>
          <w:noProof/>
        </w:rPr>
        <w:t>Gene Expr</w:t>
      </w:r>
      <w:r w:rsidRPr="00244CD2">
        <w:rPr>
          <w:rFonts w:ascii="Book Antiqua" w:hAnsi="Book Antiqua"/>
          <w:noProof/>
        </w:rPr>
        <w:t> 2018; </w:t>
      </w:r>
      <w:r w:rsidRPr="00244CD2">
        <w:rPr>
          <w:rFonts w:ascii="Book Antiqua" w:hAnsi="Book Antiqua"/>
          <w:b/>
          <w:bCs/>
          <w:noProof/>
        </w:rPr>
        <w:t>18</w:t>
      </w:r>
      <w:r w:rsidRPr="00244CD2">
        <w:rPr>
          <w:rFonts w:ascii="Book Antiqua" w:hAnsi="Book Antiqua"/>
          <w:noProof/>
        </w:rPr>
        <w:t>: 71-87 [PMID: 29325602 DOI: 10.3727/105221618X15156018385515]</w:t>
      </w:r>
    </w:p>
    <w:p w14:paraId="4E4082FA"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27 </w:t>
      </w:r>
      <w:r w:rsidRPr="00244CD2">
        <w:rPr>
          <w:rFonts w:ascii="Book Antiqua" w:hAnsi="Book Antiqua"/>
          <w:b/>
          <w:bCs/>
          <w:noProof/>
        </w:rPr>
        <w:t>Francis CY</w:t>
      </w:r>
      <w:r w:rsidRPr="00244CD2">
        <w:rPr>
          <w:rFonts w:ascii="Book Antiqua" w:hAnsi="Book Antiqua"/>
          <w:noProof/>
        </w:rPr>
        <w:t>, Morris J, Whorwell PJ. The irritable bowel severity scoring system: a simple method of monitoring irritable bowel syndrome and its progress. </w:t>
      </w:r>
      <w:r w:rsidRPr="00244CD2">
        <w:rPr>
          <w:rFonts w:ascii="Book Antiqua" w:hAnsi="Book Antiqua"/>
          <w:i/>
          <w:iCs/>
          <w:noProof/>
        </w:rPr>
        <w:t>Aliment Pharmacol Ther</w:t>
      </w:r>
      <w:r w:rsidRPr="00244CD2">
        <w:rPr>
          <w:rFonts w:ascii="Book Antiqua" w:hAnsi="Book Antiqua"/>
          <w:noProof/>
        </w:rPr>
        <w:t> 1997; </w:t>
      </w:r>
      <w:r w:rsidRPr="00244CD2">
        <w:rPr>
          <w:rFonts w:ascii="Book Antiqua" w:hAnsi="Book Antiqua"/>
          <w:b/>
          <w:bCs/>
          <w:noProof/>
        </w:rPr>
        <w:t>11</w:t>
      </w:r>
      <w:r w:rsidRPr="00244CD2">
        <w:rPr>
          <w:rFonts w:ascii="Book Antiqua" w:hAnsi="Book Antiqua"/>
          <w:noProof/>
        </w:rPr>
        <w:t>: 395-402 [PMID: 9146781 DOI: 10.1046/j.1365-2036.1997.142318000.x]</w:t>
      </w:r>
    </w:p>
    <w:p w14:paraId="1BED9321"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28 </w:t>
      </w:r>
      <w:r w:rsidRPr="00244CD2">
        <w:rPr>
          <w:rFonts w:ascii="Book Antiqua" w:hAnsi="Book Antiqua"/>
          <w:b/>
          <w:bCs/>
          <w:noProof/>
        </w:rPr>
        <w:t>Zigmond AS</w:t>
      </w:r>
      <w:r w:rsidRPr="00244CD2">
        <w:rPr>
          <w:rFonts w:ascii="Book Antiqua" w:hAnsi="Book Antiqua"/>
          <w:noProof/>
        </w:rPr>
        <w:t>, Snaith RP. The hospital anxiety and depression scale. </w:t>
      </w:r>
      <w:r w:rsidRPr="00244CD2">
        <w:rPr>
          <w:rFonts w:ascii="Book Antiqua" w:hAnsi="Book Antiqua"/>
          <w:i/>
          <w:iCs/>
          <w:noProof/>
        </w:rPr>
        <w:t>Acta Psychiatr Scand</w:t>
      </w:r>
      <w:r w:rsidRPr="00244CD2">
        <w:rPr>
          <w:rFonts w:ascii="Book Antiqua" w:hAnsi="Book Antiqua"/>
          <w:noProof/>
        </w:rPr>
        <w:t> 1983; </w:t>
      </w:r>
      <w:r w:rsidRPr="00244CD2">
        <w:rPr>
          <w:rFonts w:ascii="Book Antiqua" w:hAnsi="Book Antiqua"/>
          <w:b/>
          <w:bCs/>
          <w:noProof/>
        </w:rPr>
        <w:t>67</w:t>
      </w:r>
      <w:r w:rsidRPr="00244CD2">
        <w:rPr>
          <w:rFonts w:ascii="Book Antiqua" w:hAnsi="Book Antiqua"/>
          <w:noProof/>
        </w:rPr>
        <w:t>: 361-370 [PMID: 6880820 DOI: 10.1111/j.1600-0447.1983.tb09716.x]</w:t>
      </w:r>
    </w:p>
    <w:p w14:paraId="04321875"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29 </w:t>
      </w:r>
      <w:r w:rsidRPr="00244CD2">
        <w:rPr>
          <w:rFonts w:ascii="Book Antiqua" w:hAnsi="Book Antiqua"/>
          <w:b/>
          <w:bCs/>
          <w:noProof/>
        </w:rPr>
        <w:t>Labus JS</w:t>
      </w:r>
      <w:r w:rsidRPr="00244CD2">
        <w:rPr>
          <w:rFonts w:ascii="Book Antiqua" w:hAnsi="Book Antiqua"/>
          <w:noProof/>
        </w:rPr>
        <w:t>, Bolus R, Chang L, Wiklund I, Naesdal J, Mayer EA, Naliboff BD. The Visceral Sensitivity Index: development and validation of a gastrointestinal symptom-specific anxiety scale. </w:t>
      </w:r>
      <w:r w:rsidRPr="00244CD2">
        <w:rPr>
          <w:rFonts w:ascii="Book Antiqua" w:hAnsi="Book Antiqua"/>
          <w:i/>
          <w:iCs/>
          <w:noProof/>
        </w:rPr>
        <w:t>Aliment Pharmacol Ther</w:t>
      </w:r>
      <w:r w:rsidRPr="00244CD2">
        <w:rPr>
          <w:rFonts w:ascii="Book Antiqua" w:hAnsi="Book Antiqua"/>
          <w:noProof/>
        </w:rPr>
        <w:t> 2004; </w:t>
      </w:r>
      <w:r w:rsidRPr="00244CD2">
        <w:rPr>
          <w:rFonts w:ascii="Book Antiqua" w:hAnsi="Book Antiqua"/>
          <w:b/>
          <w:bCs/>
          <w:noProof/>
        </w:rPr>
        <w:t>20</w:t>
      </w:r>
      <w:r w:rsidRPr="00244CD2">
        <w:rPr>
          <w:rFonts w:ascii="Book Antiqua" w:hAnsi="Book Antiqua"/>
          <w:noProof/>
        </w:rPr>
        <w:t>: 89-97 [PMID: 15225175 DOI: 10.1111/j.1365-2036.2004.02007.x]</w:t>
      </w:r>
    </w:p>
    <w:p w14:paraId="10E0EE37"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30 </w:t>
      </w:r>
      <w:r w:rsidRPr="00244CD2">
        <w:rPr>
          <w:rFonts w:ascii="Book Antiqua" w:hAnsi="Book Antiqua"/>
          <w:b/>
          <w:bCs/>
          <w:noProof/>
        </w:rPr>
        <w:t>Zhang Y</w:t>
      </w:r>
      <w:r w:rsidRPr="00244CD2">
        <w:rPr>
          <w:rFonts w:ascii="Book Antiqua" w:hAnsi="Book Antiqua"/>
          <w:noProof/>
        </w:rPr>
        <w:t>, Qin G, Liu DR, Wang Y, Yao SK. Increased expression of brain-derived neurotrophic factor is correlated with visceral hypersensitivity in patients with diarrhea-</w:t>
      </w:r>
      <w:r w:rsidRPr="00244CD2">
        <w:rPr>
          <w:rFonts w:ascii="Book Antiqua" w:hAnsi="Book Antiqua"/>
          <w:noProof/>
        </w:rPr>
        <w:lastRenderedPageBreak/>
        <w:t>predominant irritable bowel syndrome. </w:t>
      </w:r>
      <w:r w:rsidRPr="00244CD2">
        <w:rPr>
          <w:rFonts w:ascii="Book Antiqua" w:hAnsi="Book Antiqua"/>
          <w:i/>
          <w:iCs/>
          <w:noProof/>
        </w:rPr>
        <w:t>World J Gastroenterol</w:t>
      </w:r>
      <w:r w:rsidRPr="00244CD2">
        <w:rPr>
          <w:rFonts w:ascii="Book Antiqua" w:hAnsi="Book Antiqua"/>
          <w:noProof/>
        </w:rPr>
        <w:t> 2019; </w:t>
      </w:r>
      <w:r w:rsidRPr="00244CD2">
        <w:rPr>
          <w:rFonts w:ascii="Book Antiqua" w:hAnsi="Book Antiqua"/>
          <w:b/>
          <w:bCs/>
          <w:noProof/>
        </w:rPr>
        <w:t>25</w:t>
      </w:r>
      <w:r w:rsidRPr="00244CD2">
        <w:rPr>
          <w:rFonts w:ascii="Book Antiqua" w:hAnsi="Book Antiqua"/>
          <w:noProof/>
        </w:rPr>
        <w:t>: 269-281 [PMID: 30670915 DOI: 10.3748/wjg.v25.i2.269]</w:t>
      </w:r>
    </w:p>
    <w:p w14:paraId="201F5FD1"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31 </w:t>
      </w:r>
      <w:r w:rsidRPr="00244CD2">
        <w:rPr>
          <w:rFonts w:ascii="Book Antiqua" w:hAnsi="Book Antiqua"/>
          <w:b/>
          <w:bCs/>
          <w:noProof/>
        </w:rPr>
        <w:t>Segata N</w:t>
      </w:r>
      <w:r w:rsidRPr="00244CD2">
        <w:rPr>
          <w:rFonts w:ascii="Book Antiqua" w:hAnsi="Book Antiqua"/>
          <w:noProof/>
        </w:rPr>
        <w:t>, Izard J, Waldron L, Gevers D, Miropolsky L, Garrett WS, Huttenhower C. Metagenomic biomarker discovery and explanation. </w:t>
      </w:r>
      <w:r w:rsidRPr="00244CD2">
        <w:rPr>
          <w:rFonts w:ascii="Book Antiqua" w:hAnsi="Book Antiqua"/>
          <w:i/>
          <w:iCs/>
          <w:noProof/>
        </w:rPr>
        <w:t>Genome Biol</w:t>
      </w:r>
      <w:r w:rsidRPr="00244CD2">
        <w:rPr>
          <w:rFonts w:ascii="Book Antiqua" w:hAnsi="Book Antiqua"/>
          <w:noProof/>
        </w:rPr>
        <w:t> 2011; </w:t>
      </w:r>
      <w:r w:rsidRPr="00244CD2">
        <w:rPr>
          <w:rFonts w:ascii="Book Antiqua" w:hAnsi="Book Antiqua"/>
          <w:b/>
          <w:bCs/>
          <w:noProof/>
        </w:rPr>
        <w:t>12</w:t>
      </w:r>
      <w:r w:rsidRPr="00244CD2">
        <w:rPr>
          <w:rFonts w:ascii="Book Antiqua" w:hAnsi="Book Antiqua"/>
          <w:noProof/>
        </w:rPr>
        <w:t>: R60 [PMID: 21702898 DOI: 10.1186/gb-2011-12-6-r60]</w:t>
      </w:r>
    </w:p>
    <w:p w14:paraId="6EAB925D"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32 </w:t>
      </w:r>
      <w:r w:rsidRPr="00244CD2">
        <w:rPr>
          <w:rFonts w:ascii="Book Antiqua" w:hAnsi="Book Antiqua"/>
          <w:b/>
          <w:bCs/>
          <w:noProof/>
        </w:rPr>
        <w:t>Aziz I</w:t>
      </w:r>
      <w:r w:rsidRPr="00244CD2">
        <w:rPr>
          <w:rFonts w:ascii="Book Antiqua" w:hAnsi="Book Antiqua"/>
          <w:noProof/>
        </w:rPr>
        <w:t>, Mumtaz S, Bholah H, Chowdhury FU, Sanders DS, Ford AC. High Prevalence of Idiopathic Bile Acid Diarrhea Among Patients With Diarrhea-Predominant Irritable Bowel Syndrome Based on Rome III Criteria. </w:t>
      </w:r>
      <w:r w:rsidRPr="00244CD2">
        <w:rPr>
          <w:rFonts w:ascii="Book Antiqua" w:hAnsi="Book Antiqua"/>
          <w:i/>
          <w:iCs/>
          <w:noProof/>
        </w:rPr>
        <w:t>Clin Gastroenterol Hepatol</w:t>
      </w:r>
      <w:r w:rsidRPr="00244CD2">
        <w:rPr>
          <w:rFonts w:ascii="Book Antiqua" w:hAnsi="Book Antiqua"/>
          <w:noProof/>
        </w:rPr>
        <w:t> 2015; </w:t>
      </w:r>
      <w:r w:rsidRPr="00244CD2">
        <w:rPr>
          <w:rFonts w:ascii="Book Antiqua" w:hAnsi="Book Antiqua"/>
          <w:b/>
          <w:bCs/>
          <w:noProof/>
        </w:rPr>
        <w:t>13</w:t>
      </w:r>
      <w:r w:rsidRPr="00244CD2">
        <w:rPr>
          <w:rFonts w:ascii="Book Antiqua" w:hAnsi="Book Antiqua"/>
          <w:noProof/>
        </w:rPr>
        <w:t>: 1650-5.e2 [PMID: 25769413 DOI: 10.1016/j.cgh.2015.03.002]</w:t>
      </w:r>
    </w:p>
    <w:p w14:paraId="471AF7E4"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33 </w:t>
      </w:r>
      <w:r w:rsidRPr="00244CD2">
        <w:rPr>
          <w:rFonts w:ascii="Book Antiqua" w:hAnsi="Book Antiqua"/>
          <w:b/>
          <w:bCs/>
          <w:noProof/>
        </w:rPr>
        <w:t>Duboc H</w:t>
      </w:r>
      <w:r w:rsidRPr="00244CD2">
        <w:rPr>
          <w:rFonts w:ascii="Book Antiqua" w:hAnsi="Book Antiqua"/>
          <w:noProof/>
        </w:rPr>
        <w:t>, Rainteau D, Rajca S, Humbert L, Farabos D, Maubert M, Grondin V, Jouet P, Bouhassira D, Seksik P, Sokol H, Coffin B, Sabaté JM. Increase in fecal primary bile acids and dysbiosis in patients with diarrhea-predominant irritable bowel syndrome. </w:t>
      </w:r>
      <w:r w:rsidRPr="00244CD2">
        <w:rPr>
          <w:rFonts w:ascii="Book Antiqua" w:hAnsi="Book Antiqua"/>
          <w:i/>
          <w:iCs/>
          <w:noProof/>
        </w:rPr>
        <w:t>Neurogastroenterol Motil</w:t>
      </w:r>
      <w:r w:rsidRPr="00244CD2">
        <w:rPr>
          <w:rFonts w:ascii="Book Antiqua" w:hAnsi="Book Antiqua"/>
          <w:noProof/>
        </w:rPr>
        <w:t> 2012; </w:t>
      </w:r>
      <w:r w:rsidRPr="00244CD2">
        <w:rPr>
          <w:rFonts w:ascii="Book Antiqua" w:hAnsi="Book Antiqua"/>
          <w:b/>
          <w:bCs/>
          <w:noProof/>
        </w:rPr>
        <w:t>24</w:t>
      </w:r>
      <w:r w:rsidRPr="00244CD2">
        <w:rPr>
          <w:rFonts w:ascii="Book Antiqua" w:hAnsi="Book Antiqua"/>
          <w:noProof/>
        </w:rPr>
        <w:t>: 513-520, e246-e247 [PMID: 22356587 DOI: 10.1111/j.1365-2982.2012.01893.x]</w:t>
      </w:r>
    </w:p>
    <w:p w14:paraId="70A4B447"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34 </w:t>
      </w:r>
      <w:r w:rsidRPr="00244CD2">
        <w:rPr>
          <w:rFonts w:ascii="Book Antiqua" w:hAnsi="Book Antiqua"/>
          <w:b/>
          <w:bCs/>
          <w:noProof/>
        </w:rPr>
        <w:t>Zhao L</w:t>
      </w:r>
      <w:r w:rsidRPr="00244CD2">
        <w:rPr>
          <w:rFonts w:ascii="Book Antiqua" w:hAnsi="Book Antiqua"/>
          <w:noProof/>
        </w:rPr>
        <w:t>, Yang W, Chen Y, Huang F, Lu L, Lin C, Huang T, Ning Z, Zhai L, Zhong LL, Lam W, Yang Z, Zhang X, Cheng C, Han L, Qiu Q, Shang X, Huang R, Xiao H, Ren Z, Chen D, Sun S, El-Nezami H, Cai Z, Lu A, Fang X, Jia W, Bian Z. A Clostridia-rich microbiota enhances bile acid excretion in diarrhea-predominant irritable bowel syndrome. </w:t>
      </w:r>
      <w:r w:rsidRPr="00244CD2">
        <w:rPr>
          <w:rFonts w:ascii="Book Antiqua" w:hAnsi="Book Antiqua"/>
          <w:i/>
          <w:iCs/>
          <w:noProof/>
        </w:rPr>
        <w:t>J Clin Invest</w:t>
      </w:r>
      <w:r w:rsidRPr="00244CD2">
        <w:rPr>
          <w:rFonts w:ascii="Book Antiqua" w:hAnsi="Book Antiqua"/>
          <w:noProof/>
        </w:rPr>
        <w:t> 2020; </w:t>
      </w:r>
      <w:r w:rsidRPr="00244CD2">
        <w:rPr>
          <w:rFonts w:ascii="Book Antiqua" w:hAnsi="Book Antiqua"/>
          <w:b/>
          <w:bCs/>
          <w:noProof/>
        </w:rPr>
        <w:t>130</w:t>
      </w:r>
      <w:r w:rsidRPr="00244CD2">
        <w:rPr>
          <w:rFonts w:ascii="Book Antiqua" w:hAnsi="Book Antiqua"/>
          <w:noProof/>
        </w:rPr>
        <w:t>: 438-450 [PMID: 31815740 DOI: 10.1172/JCI130976]</w:t>
      </w:r>
    </w:p>
    <w:p w14:paraId="79A4E873"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35 </w:t>
      </w:r>
      <w:r w:rsidRPr="00244CD2">
        <w:rPr>
          <w:rFonts w:ascii="Book Antiqua" w:hAnsi="Book Antiqua"/>
          <w:b/>
          <w:bCs/>
          <w:noProof/>
        </w:rPr>
        <w:t>Camilleri M</w:t>
      </w:r>
      <w:r w:rsidRPr="00244CD2">
        <w:rPr>
          <w:rFonts w:ascii="Book Antiqua" w:hAnsi="Book Antiqua"/>
          <w:noProof/>
        </w:rPr>
        <w:t>, Shin A, Busciglio I, Carlson P, Acosta A, Bharucha AE, Burton D, Lamsam J, Lueke A, Donato LJ, Zinsmeister AR. Validating biomarkers of treatable mechanisms in irritable bowel syndrome. </w:t>
      </w:r>
      <w:r w:rsidRPr="00244CD2">
        <w:rPr>
          <w:rFonts w:ascii="Book Antiqua" w:hAnsi="Book Antiqua"/>
          <w:i/>
          <w:iCs/>
          <w:noProof/>
        </w:rPr>
        <w:t>Neurogastroenterol Motil</w:t>
      </w:r>
      <w:r w:rsidRPr="00244CD2">
        <w:rPr>
          <w:rFonts w:ascii="Book Antiqua" w:hAnsi="Book Antiqua"/>
          <w:noProof/>
        </w:rPr>
        <w:t> 2014; </w:t>
      </w:r>
      <w:r w:rsidRPr="00244CD2">
        <w:rPr>
          <w:rFonts w:ascii="Book Antiqua" w:hAnsi="Book Antiqua"/>
          <w:b/>
          <w:bCs/>
          <w:noProof/>
        </w:rPr>
        <w:t>26</w:t>
      </w:r>
      <w:r w:rsidRPr="00244CD2">
        <w:rPr>
          <w:rFonts w:ascii="Book Antiqua" w:hAnsi="Book Antiqua"/>
          <w:noProof/>
        </w:rPr>
        <w:t>: 1677-1685 [PMID: 25244349 DOI: 10.1111/nmo.12421]</w:t>
      </w:r>
    </w:p>
    <w:p w14:paraId="467669E8"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36 </w:t>
      </w:r>
      <w:r w:rsidRPr="00244CD2">
        <w:rPr>
          <w:rFonts w:ascii="Book Antiqua" w:hAnsi="Book Antiqua"/>
          <w:b/>
          <w:bCs/>
          <w:noProof/>
        </w:rPr>
        <w:t>Slattery SA</w:t>
      </w:r>
      <w:r w:rsidRPr="00244CD2">
        <w:rPr>
          <w:rFonts w:ascii="Book Antiqua" w:hAnsi="Book Antiqua"/>
          <w:noProof/>
        </w:rPr>
        <w:t>, Niaz O, Aziz Q, Ford AC, Farmer AD. Systematic review with meta-analysis: the prevalence of bile acid malabsorption in the irritable bowel syndrome with diarrhoea. </w:t>
      </w:r>
      <w:r w:rsidRPr="00244CD2">
        <w:rPr>
          <w:rFonts w:ascii="Book Antiqua" w:hAnsi="Book Antiqua"/>
          <w:i/>
          <w:iCs/>
          <w:noProof/>
        </w:rPr>
        <w:t>Aliment Pharmacol Ther</w:t>
      </w:r>
      <w:r w:rsidRPr="00244CD2">
        <w:rPr>
          <w:rFonts w:ascii="Book Antiqua" w:hAnsi="Book Antiqua"/>
          <w:noProof/>
        </w:rPr>
        <w:t> 2015; </w:t>
      </w:r>
      <w:r w:rsidRPr="00244CD2">
        <w:rPr>
          <w:rFonts w:ascii="Book Antiqua" w:hAnsi="Book Antiqua"/>
          <w:b/>
          <w:bCs/>
          <w:noProof/>
        </w:rPr>
        <w:t>42</w:t>
      </w:r>
      <w:r w:rsidRPr="00244CD2">
        <w:rPr>
          <w:rFonts w:ascii="Book Antiqua" w:hAnsi="Book Antiqua"/>
          <w:noProof/>
        </w:rPr>
        <w:t>: 3-11 [PMID: 25913530 DOI: 10.1111/apt.13227]</w:t>
      </w:r>
    </w:p>
    <w:p w14:paraId="47C9B2F0"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37 </w:t>
      </w:r>
      <w:r w:rsidRPr="00244CD2">
        <w:rPr>
          <w:rFonts w:ascii="Book Antiqua" w:hAnsi="Book Antiqua"/>
          <w:b/>
          <w:bCs/>
          <w:noProof/>
        </w:rPr>
        <w:t>Peleman C</w:t>
      </w:r>
      <w:r w:rsidRPr="00244CD2">
        <w:rPr>
          <w:rFonts w:ascii="Book Antiqua" w:hAnsi="Book Antiqua"/>
          <w:noProof/>
        </w:rPr>
        <w:t>, Camilleri M, Busciglio I, Burton D, Donato L, Zinsmeister AR. Colonic Transit and Bile Acid Synthesis or Excretion in Patients With Irritable Bowel Syndrome-</w:t>
      </w:r>
      <w:r w:rsidRPr="00244CD2">
        <w:rPr>
          <w:rFonts w:ascii="Book Antiqua" w:hAnsi="Book Antiqua"/>
          <w:noProof/>
        </w:rPr>
        <w:lastRenderedPageBreak/>
        <w:t>Diarrhea Without Bile Acid Malabsorption. </w:t>
      </w:r>
      <w:r w:rsidRPr="00244CD2">
        <w:rPr>
          <w:rFonts w:ascii="Book Antiqua" w:hAnsi="Book Antiqua"/>
          <w:i/>
          <w:iCs/>
          <w:noProof/>
        </w:rPr>
        <w:t>Clin Gastroenterol Hepatol</w:t>
      </w:r>
      <w:r w:rsidRPr="00244CD2">
        <w:rPr>
          <w:rFonts w:ascii="Book Antiqua" w:hAnsi="Book Antiqua"/>
          <w:noProof/>
        </w:rPr>
        <w:t> 2017; </w:t>
      </w:r>
      <w:r w:rsidRPr="00244CD2">
        <w:rPr>
          <w:rFonts w:ascii="Book Antiqua" w:hAnsi="Book Antiqua"/>
          <w:b/>
          <w:bCs/>
          <w:noProof/>
        </w:rPr>
        <w:t>15</w:t>
      </w:r>
      <w:r w:rsidRPr="00244CD2">
        <w:rPr>
          <w:rFonts w:ascii="Book Antiqua" w:hAnsi="Book Antiqua"/>
          <w:noProof/>
        </w:rPr>
        <w:t>: 720-727.e1 [PMID: 27856362 DOI: 10.1016/j.cgh.2016.11.012]</w:t>
      </w:r>
    </w:p>
    <w:p w14:paraId="1FE269DF"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38 </w:t>
      </w:r>
      <w:r w:rsidRPr="00244CD2">
        <w:rPr>
          <w:rFonts w:ascii="Book Antiqua" w:hAnsi="Book Antiqua"/>
          <w:b/>
          <w:bCs/>
          <w:noProof/>
        </w:rPr>
        <w:t>Chiang JY</w:t>
      </w:r>
      <w:r w:rsidRPr="00244CD2">
        <w:rPr>
          <w:rFonts w:ascii="Book Antiqua" w:hAnsi="Book Antiqua"/>
          <w:noProof/>
        </w:rPr>
        <w:t>. Bile acid metabolism and signaling. </w:t>
      </w:r>
      <w:r w:rsidRPr="00244CD2">
        <w:rPr>
          <w:rFonts w:ascii="Book Antiqua" w:hAnsi="Book Antiqua"/>
          <w:i/>
          <w:iCs/>
          <w:noProof/>
        </w:rPr>
        <w:t>Compr Physiol</w:t>
      </w:r>
      <w:r w:rsidRPr="00244CD2">
        <w:rPr>
          <w:rFonts w:ascii="Book Antiqua" w:hAnsi="Book Antiqua"/>
          <w:noProof/>
        </w:rPr>
        <w:t> 2013; </w:t>
      </w:r>
      <w:r w:rsidRPr="00244CD2">
        <w:rPr>
          <w:rFonts w:ascii="Book Antiqua" w:hAnsi="Book Antiqua"/>
          <w:b/>
          <w:bCs/>
          <w:noProof/>
        </w:rPr>
        <w:t>3</w:t>
      </w:r>
      <w:r w:rsidRPr="00244CD2">
        <w:rPr>
          <w:rFonts w:ascii="Book Antiqua" w:hAnsi="Book Antiqua"/>
          <w:noProof/>
        </w:rPr>
        <w:t>: 1191-1212 [PMID: 23897684 DOI: 10.1002/cphy.c120023]</w:t>
      </w:r>
    </w:p>
    <w:p w14:paraId="4C044AD4"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39 </w:t>
      </w:r>
      <w:r w:rsidRPr="00244CD2">
        <w:rPr>
          <w:rFonts w:ascii="Book Antiqua" w:hAnsi="Book Antiqua"/>
          <w:b/>
          <w:bCs/>
          <w:noProof/>
        </w:rPr>
        <w:t>Mekjian HS</w:t>
      </w:r>
      <w:r w:rsidRPr="00244CD2">
        <w:rPr>
          <w:rFonts w:ascii="Book Antiqua" w:hAnsi="Book Antiqua"/>
          <w:noProof/>
        </w:rPr>
        <w:t>, Phillips SF, Hofmann AF. Colonic secretion of water and electrolytes induced by bile acids: perfusion studies in man. </w:t>
      </w:r>
      <w:r w:rsidRPr="00244CD2">
        <w:rPr>
          <w:rFonts w:ascii="Book Antiqua" w:hAnsi="Book Antiqua"/>
          <w:i/>
          <w:iCs/>
          <w:noProof/>
        </w:rPr>
        <w:t>J Clin Invest</w:t>
      </w:r>
      <w:r w:rsidRPr="00244CD2">
        <w:rPr>
          <w:rFonts w:ascii="Book Antiqua" w:hAnsi="Book Antiqua"/>
          <w:noProof/>
        </w:rPr>
        <w:t> 1971; </w:t>
      </w:r>
      <w:r w:rsidRPr="00244CD2">
        <w:rPr>
          <w:rFonts w:ascii="Book Antiqua" w:hAnsi="Book Antiqua"/>
          <w:b/>
          <w:bCs/>
          <w:noProof/>
        </w:rPr>
        <w:t>50</w:t>
      </w:r>
      <w:r w:rsidRPr="00244CD2">
        <w:rPr>
          <w:rFonts w:ascii="Book Antiqua" w:hAnsi="Book Antiqua"/>
          <w:noProof/>
        </w:rPr>
        <w:t>: 1569-1577 [PMID: 4938344 DOI: 10.1172/JCI106644]</w:t>
      </w:r>
    </w:p>
    <w:p w14:paraId="5BB79768"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40 </w:t>
      </w:r>
      <w:r w:rsidRPr="00244CD2">
        <w:rPr>
          <w:rFonts w:ascii="Book Antiqua" w:hAnsi="Book Antiqua"/>
          <w:b/>
          <w:bCs/>
          <w:noProof/>
        </w:rPr>
        <w:t>Keely SJ</w:t>
      </w:r>
      <w:r w:rsidRPr="00244CD2">
        <w:rPr>
          <w:rFonts w:ascii="Book Antiqua" w:hAnsi="Book Antiqua"/>
          <w:noProof/>
        </w:rPr>
        <w:t>, Scharl MM, Bertelsen LS, Hagey LR, Barrett KE, Hofmann AF. Bile acid-induced secretion in polarized monolayers of T84 colonic epithelial cells: Structure-activity relationships. </w:t>
      </w:r>
      <w:r w:rsidRPr="00244CD2">
        <w:rPr>
          <w:rFonts w:ascii="Book Antiqua" w:hAnsi="Book Antiqua"/>
          <w:i/>
          <w:iCs/>
          <w:noProof/>
        </w:rPr>
        <w:t>Am J Physiol Gastrointest Liver Physiol</w:t>
      </w:r>
      <w:r w:rsidRPr="00244CD2">
        <w:rPr>
          <w:rFonts w:ascii="Book Antiqua" w:hAnsi="Book Antiqua"/>
          <w:noProof/>
        </w:rPr>
        <w:t> 2007; </w:t>
      </w:r>
      <w:r w:rsidRPr="00244CD2">
        <w:rPr>
          <w:rFonts w:ascii="Book Antiqua" w:hAnsi="Book Antiqua"/>
          <w:b/>
          <w:bCs/>
          <w:noProof/>
        </w:rPr>
        <w:t>292</w:t>
      </w:r>
      <w:r w:rsidRPr="00244CD2">
        <w:rPr>
          <w:rFonts w:ascii="Book Antiqua" w:hAnsi="Book Antiqua"/>
          <w:noProof/>
        </w:rPr>
        <w:t>: G290-G297 [PMID: 16901996 DOI: 10.1152/ajpgi.00076.2006]</w:t>
      </w:r>
    </w:p>
    <w:p w14:paraId="2D385C4E"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41 </w:t>
      </w:r>
      <w:r w:rsidRPr="00244CD2">
        <w:rPr>
          <w:rFonts w:ascii="Book Antiqua" w:hAnsi="Book Antiqua"/>
          <w:b/>
          <w:bCs/>
          <w:noProof/>
        </w:rPr>
        <w:t>Ao M</w:t>
      </w:r>
      <w:r w:rsidRPr="00244CD2">
        <w:rPr>
          <w:rFonts w:ascii="Book Antiqua" w:hAnsi="Book Antiqua"/>
          <w:noProof/>
        </w:rPr>
        <w:t>, Sarathy J, Domingue J, Alrefai WA, Rao MC. Chenodeoxycholic acid stimulates Cl(-) secretion via cAMP signaling and increases cystic fibrosis transmembrane conductance regulator phosphorylation in T84 cells. </w:t>
      </w:r>
      <w:r w:rsidRPr="00244CD2">
        <w:rPr>
          <w:rFonts w:ascii="Book Antiqua" w:hAnsi="Book Antiqua"/>
          <w:i/>
          <w:iCs/>
          <w:noProof/>
        </w:rPr>
        <w:t>Am J Physiol Cell Physiol</w:t>
      </w:r>
      <w:r w:rsidRPr="00244CD2">
        <w:rPr>
          <w:rFonts w:ascii="Book Antiqua" w:hAnsi="Book Antiqua"/>
          <w:noProof/>
        </w:rPr>
        <w:t> 2013; </w:t>
      </w:r>
      <w:r w:rsidRPr="00244CD2">
        <w:rPr>
          <w:rFonts w:ascii="Book Antiqua" w:hAnsi="Book Antiqua"/>
          <w:b/>
          <w:bCs/>
          <w:noProof/>
        </w:rPr>
        <w:t>305</w:t>
      </w:r>
      <w:r w:rsidRPr="00244CD2">
        <w:rPr>
          <w:rFonts w:ascii="Book Antiqua" w:hAnsi="Book Antiqua"/>
          <w:noProof/>
        </w:rPr>
        <w:t>: C447-C456 [PMID: 23761628 DOI: 10.1152/ajpcell.00416.2012]</w:t>
      </w:r>
    </w:p>
    <w:p w14:paraId="6639E8E9"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42 </w:t>
      </w:r>
      <w:r w:rsidRPr="00244CD2">
        <w:rPr>
          <w:rFonts w:ascii="Book Antiqua" w:hAnsi="Book Antiqua"/>
          <w:b/>
          <w:bCs/>
          <w:noProof/>
        </w:rPr>
        <w:t>Alrefai WA</w:t>
      </w:r>
      <w:r w:rsidRPr="00244CD2">
        <w:rPr>
          <w:rFonts w:ascii="Book Antiqua" w:hAnsi="Book Antiqua"/>
          <w:noProof/>
        </w:rPr>
        <w:t>, Saksena S, Tyagi S, Gill RK, Ramaswamy K, Dudeja PK. Taurodeoxycholate modulates apical Cl-/OH- exchange activity in Caco2 cells. </w:t>
      </w:r>
      <w:r w:rsidRPr="00244CD2">
        <w:rPr>
          <w:rFonts w:ascii="Book Antiqua" w:hAnsi="Book Antiqua"/>
          <w:i/>
          <w:iCs/>
          <w:noProof/>
        </w:rPr>
        <w:t>Dig Dis Sci</w:t>
      </w:r>
      <w:r w:rsidRPr="00244CD2">
        <w:rPr>
          <w:rFonts w:ascii="Book Antiqua" w:hAnsi="Book Antiqua"/>
          <w:noProof/>
        </w:rPr>
        <w:t> 2007; </w:t>
      </w:r>
      <w:r w:rsidRPr="00244CD2">
        <w:rPr>
          <w:rFonts w:ascii="Book Antiqua" w:hAnsi="Book Antiqua"/>
          <w:b/>
          <w:bCs/>
          <w:noProof/>
        </w:rPr>
        <w:t>52</w:t>
      </w:r>
      <w:r w:rsidRPr="00244CD2">
        <w:rPr>
          <w:rFonts w:ascii="Book Antiqua" w:hAnsi="Book Antiqua"/>
          <w:noProof/>
        </w:rPr>
        <w:t>: 1270-1278 [PMID: 17387613 DOI: 10.1007/s10620-006-9090-8]</w:t>
      </w:r>
    </w:p>
    <w:p w14:paraId="56A924E9"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43 </w:t>
      </w:r>
      <w:r w:rsidRPr="00244CD2">
        <w:rPr>
          <w:rFonts w:ascii="Book Antiqua" w:hAnsi="Book Antiqua"/>
          <w:b/>
          <w:bCs/>
          <w:noProof/>
        </w:rPr>
        <w:t>Kirwan WO</w:t>
      </w:r>
      <w:r w:rsidRPr="00244CD2">
        <w:rPr>
          <w:rFonts w:ascii="Book Antiqua" w:hAnsi="Book Antiqua"/>
          <w:noProof/>
        </w:rPr>
        <w:t>, Smith AN, Mitchell WD, Falconer JD, Eastwood MA. Bile acids and colonic motility in the rabbit and the human. </w:t>
      </w:r>
      <w:r w:rsidRPr="00244CD2">
        <w:rPr>
          <w:rFonts w:ascii="Book Antiqua" w:hAnsi="Book Antiqua"/>
          <w:i/>
          <w:iCs/>
          <w:noProof/>
        </w:rPr>
        <w:t>Gut</w:t>
      </w:r>
      <w:r w:rsidRPr="00244CD2">
        <w:rPr>
          <w:rFonts w:ascii="Book Antiqua" w:hAnsi="Book Antiqua"/>
          <w:noProof/>
        </w:rPr>
        <w:t> 1975; </w:t>
      </w:r>
      <w:r w:rsidRPr="00244CD2">
        <w:rPr>
          <w:rFonts w:ascii="Book Antiqua" w:hAnsi="Book Antiqua"/>
          <w:b/>
          <w:bCs/>
          <w:noProof/>
        </w:rPr>
        <w:t>16</w:t>
      </w:r>
      <w:r w:rsidRPr="00244CD2">
        <w:rPr>
          <w:rFonts w:ascii="Book Antiqua" w:hAnsi="Book Antiqua"/>
          <w:noProof/>
        </w:rPr>
        <w:t>: 894-902 [PMID: 1193418 DOI: 10.1136/gut.16.11.894]</w:t>
      </w:r>
    </w:p>
    <w:p w14:paraId="31F9D88F"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44 </w:t>
      </w:r>
      <w:r w:rsidRPr="00244CD2">
        <w:rPr>
          <w:rFonts w:ascii="Book Antiqua" w:hAnsi="Book Antiqua"/>
          <w:b/>
          <w:bCs/>
          <w:noProof/>
        </w:rPr>
        <w:t>Rao AS</w:t>
      </w:r>
      <w:r w:rsidRPr="00244CD2">
        <w:rPr>
          <w:rFonts w:ascii="Book Antiqua" w:hAnsi="Book Antiqua"/>
          <w:noProof/>
        </w:rPr>
        <w:t>, Wong BS, Camilleri M, Odunsi-Shiyanbade ST, McKinzie S, Ryks M, Burton D, Carlson P, Lamsam J, Singh R, Zinsmeister AR. Chenodeoxycholate in females with irritable bowel syndrome-constipation: a pharmacodynamic and pharmacogenetic analysis. </w:t>
      </w:r>
      <w:r w:rsidRPr="00244CD2">
        <w:rPr>
          <w:rFonts w:ascii="Book Antiqua" w:hAnsi="Book Antiqua"/>
          <w:i/>
          <w:iCs/>
          <w:noProof/>
        </w:rPr>
        <w:t>Gastroenterology</w:t>
      </w:r>
      <w:r w:rsidRPr="00244CD2">
        <w:rPr>
          <w:rFonts w:ascii="Book Antiqua" w:hAnsi="Book Antiqua"/>
          <w:noProof/>
        </w:rPr>
        <w:t> 2010; </w:t>
      </w:r>
      <w:r w:rsidRPr="00244CD2">
        <w:rPr>
          <w:rFonts w:ascii="Book Antiqua" w:hAnsi="Book Antiqua"/>
          <w:b/>
          <w:bCs/>
          <w:noProof/>
        </w:rPr>
        <w:t>139</w:t>
      </w:r>
      <w:r w:rsidRPr="00244CD2">
        <w:rPr>
          <w:rFonts w:ascii="Book Antiqua" w:hAnsi="Book Antiqua"/>
          <w:noProof/>
        </w:rPr>
        <w:t>: 1549-1558, 1558.e1 [PMID: 20691689 DOI: 10.1053/j.gastro.2010.07.052]</w:t>
      </w:r>
    </w:p>
    <w:p w14:paraId="58F5BE97"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45 </w:t>
      </w:r>
      <w:r w:rsidRPr="00244CD2">
        <w:rPr>
          <w:rFonts w:ascii="Book Antiqua" w:hAnsi="Book Antiqua"/>
          <w:b/>
          <w:bCs/>
          <w:noProof/>
        </w:rPr>
        <w:t>Mascolo N</w:t>
      </w:r>
      <w:r w:rsidRPr="00244CD2">
        <w:rPr>
          <w:rFonts w:ascii="Book Antiqua" w:hAnsi="Book Antiqua"/>
          <w:noProof/>
        </w:rPr>
        <w:t>, Gaginella TS, Izzo AA, Di Carlo G, Capasso F. Nitric oxide involvement in sodium choleate-induced fluid secretion and diarrhoea in rats. </w:t>
      </w:r>
      <w:r w:rsidRPr="00244CD2">
        <w:rPr>
          <w:rFonts w:ascii="Book Antiqua" w:hAnsi="Book Antiqua"/>
          <w:i/>
          <w:iCs/>
          <w:noProof/>
        </w:rPr>
        <w:t>Eur J Pharmacol</w:t>
      </w:r>
      <w:r w:rsidRPr="00244CD2">
        <w:rPr>
          <w:rFonts w:ascii="Book Antiqua" w:hAnsi="Book Antiqua"/>
          <w:noProof/>
        </w:rPr>
        <w:t> 1994; </w:t>
      </w:r>
      <w:r w:rsidRPr="00244CD2">
        <w:rPr>
          <w:rFonts w:ascii="Book Antiqua" w:hAnsi="Book Antiqua"/>
          <w:b/>
          <w:bCs/>
          <w:noProof/>
        </w:rPr>
        <w:t>264</w:t>
      </w:r>
      <w:r w:rsidRPr="00244CD2">
        <w:rPr>
          <w:rFonts w:ascii="Book Antiqua" w:hAnsi="Book Antiqua"/>
          <w:noProof/>
        </w:rPr>
        <w:t>: 21-26 [PMID: 7530202 DOI: 10.1016/0014-2999(94)90630-0]</w:t>
      </w:r>
    </w:p>
    <w:p w14:paraId="669D7C1F"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lastRenderedPageBreak/>
        <w:t>46 </w:t>
      </w:r>
      <w:r w:rsidRPr="00244CD2">
        <w:rPr>
          <w:rFonts w:ascii="Book Antiqua" w:hAnsi="Book Antiqua"/>
          <w:b/>
          <w:bCs/>
          <w:noProof/>
        </w:rPr>
        <w:t>Camilleri M</w:t>
      </w:r>
      <w:r w:rsidRPr="00244CD2">
        <w:rPr>
          <w:rFonts w:ascii="Book Antiqua" w:hAnsi="Book Antiqua"/>
          <w:noProof/>
        </w:rPr>
        <w:t>. Peripheral mechanisms in irritable bowel syndrome. </w:t>
      </w:r>
      <w:r w:rsidRPr="00244CD2">
        <w:rPr>
          <w:rFonts w:ascii="Book Antiqua" w:hAnsi="Book Antiqua"/>
          <w:i/>
          <w:iCs/>
          <w:noProof/>
        </w:rPr>
        <w:t>N Engl J Med</w:t>
      </w:r>
      <w:r w:rsidRPr="00244CD2">
        <w:rPr>
          <w:rFonts w:ascii="Book Antiqua" w:hAnsi="Book Antiqua"/>
          <w:noProof/>
        </w:rPr>
        <w:t> 2013; </w:t>
      </w:r>
      <w:r w:rsidRPr="00244CD2">
        <w:rPr>
          <w:rFonts w:ascii="Book Antiqua" w:hAnsi="Book Antiqua"/>
          <w:b/>
          <w:bCs/>
          <w:noProof/>
        </w:rPr>
        <w:t>368</w:t>
      </w:r>
      <w:r w:rsidRPr="00244CD2">
        <w:rPr>
          <w:rFonts w:ascii="Book Antiqua" w:hAnsi="Book Antiqua"/>
          <w:noProof/>
        </w:rPr>
        <w:t>: 578-579 [PMID: 23388017 DOI: 10.1056/NEJMc1214185]</w:t>
      </w:r>
    </w:p>
    <w:p w14:paraId="42AFA63A"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47 </w:t>
      </w:r>
      <w:r w:rsidRPr="00244CD2">
        <w:rPr>
          <w:rFonts w:ascii="Book Antiqua" w:hAnsi="Book Antiqua"/>
          <w:b/>
          <w:bCs/>
          <w:noProof/>
        </w:rPr>
        <w:t>Chang L</w:t>
      </w:r>
      <w:r w:rsidRPr="00244CD2">
        <w:rPr>
          <w:rFonts w:ascii="Book Antiqua" w:hAnsi="Book Antiqua"/>
          <w:noProof/>
        </w:rPr>
        <w:t>, Di Lorenzo C, Farrugia G, Hamilton FA, Mawe GM, Pasricha PJ, Wiley JW. Functional Bowel Disorders: A Roadmap to Guide the Next Generation of Research. </w:t>
      </w:r>
      <w:r w:rsidRPr="00244CD2">
        <w:rPr>
          <w:rFonts w:ascii="Book Antiqua" w:hAnsi="Book Antiqua"/>
          <w:i/>
          <w:iCs/>
          <w:noProof/>
        </w:rPr>
        <w:t>Gastroenterology</w:t>
      </w:r>
      <w:r w:rsidRPr="00244CD2">
        <w:rPr>
          <w:rFonts w:ascii="Book Antiqua" w:hAnsi="Book Antiqua"/>
          <w:noProof/>
        </w:rPr>
        <w:t> 2018; </w:t>
      </w:r>
      <w:r w:rsidRPr="00244CD2">
        <w:rPr>
          <w:rFonts w:ascii="Book Antiqua" w:hAnsi="Book Antiqua"/>
          <w:b/>
          <w:bCs/>
          <w:noProof/>
        </w:rPr>
        <w:t>154</w:t>
      </w:r>
      <w:r w:rsidRPr="00244CD2">
        <w:rPr>
          <w:rFonts w:ascii="Book Antiqua" w:hAnsi="Book Antiqua"/>
          <w:noProof/>
        </w:rPr>
        <w:t>: 723-735 [PMID: 29288656 DOI: 10.1053/j.gastro.2017.12.010]</w:t>
      </w:r>
    </w:p>
    <w:p w14:paraId="6788C74D"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48 </w:t>
      </w:r>
      <w:r w:rsidRPr="00244CD2">
        <w:rPr>
          <w:rFonts w:ascii="Book Antiqua" w:hAnsi="Book Antiqua"/>
          <w:b/>
          <w:bCs/>
          <w:noProof/>
        </w:rPr>
        <w:t>Lewis S</w:t>
      </w:r>
      <w:r w:rsidRPr="00244CD2">
        <w:rPr>
          <w:rFonts w:ascii="Book Antiqua" w:hAnsi="Book Antiqua"/>
          <w:noProof/>
        </w:rPr>
        <w:t>, Cochrane S. Alteration of sulfate and hydrogen metabolism in the human colon by changing intestinal transit rate. </w:t>
      </w:r>
      <w:r w:rsidRPr="00244CD2">
        <w:rPr>
          <w:rFonts w:ascii="Book Antiqua" w:hAnsi="Book Antiqua"/>
          <w:i/>
          <w:iCs/>
          <w:noProof/>
        </w:rPr>
        <w:t>Am J Gastroenterol</w:t>
      </w:r>
      <w:r w:rsidRPr="00244CD2">
        <w:rPr>
          <w:rFonts w:ascii="Book Antiqua" w:hAnsi="Book Antiqua"/>
          <w:noProof/>
        </w:rPr>
        <w:t> 2007; </w:t>
      </w:r>
      <w:r w:rsidRPr="00244CD2">
        <w:rPr>
          <w:rFonts w:ascii="Book Antiqua" w:hAnsi="Book Antiqua"/>
          <w:b/>
          <w:bCs/>
          <w:noProof/>
        </w:rPr>
        <w:t>102</w:t>
      </w:r>
      <w:r w:rsidRPr="00244CD2">
        <w:rPr>
          <w:rFonts w:ascii="Book Antiqua" w:hAnsi="Book Antiqua"/>
          <w:noProof/>
        </w:rPr>
        <w:t>: 624-633 [PMID: 17156141 DOI: 10.1111/j.1572-0241.2006.01020.x]</w:t>
      </w:r>
    </w:p>
    <w:p w14:paraId="0552B2B6"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49 </w:t>
      </w:r>
      <w:r w:rsidRPr="00244CD2">
        <w:rPr>
          <w:rFonts w:ascii="Book Antiqua" w:hAnsi="Book Antiqua"/>
          <w:b/>
          <w:bCs/>
          <w:noProof/>
        </w:rPr>
        <w:t>Li WT</w:t>
      </w:r>
      <w:r w:rsidRPr="00244CD2">
        <w:rPr>
          <w:rFonts w:ascii="Book Antiqua" w:hAnsi="Book Antiqua"/>
          <w:noProof/>
        </w:rPr>
        <w:t>, Luo QQ, Wang B, Chen X, Yan XJ, Qiu HY, Chen SL. Bile acids induce visceral hypersensitivity via mucosal mast cell-to-nociceptor signaling that involves the farnesoid X receptor/nerve growth factor/transient receptor potential vanilloid 1 axis. </w:t>
      </w:r>
      <w:r w:rsidRPr="00244CD2">
        <w:rPr>
          <w:rFonts w:ascii="Book Antiqua" w:hAnsi="Book Antiqua"/>
          <w:i/>
          <w:iCs/>
          <w:noProof/>
        </w:rPr>
        <w:t>FASEB J</w:t>
      </w:r>
      <w:r w:rsidRPr="00244CD2">
        <w:rPr>
          <w:rFonts w:ascii="Book Antiqua" w:hAnsi="Book Antiqua"/>
          <w:noProof/>
        </w:rPr>
        <w:t> 2019; </w:t>
      </w:r>
      <w:r w:rsidRPr="00244CD2">
        <w:rPr>
          <w:rFonts w:ascii="Book Antiqua" w:hAnsi="Book Antiqua"/>
          <w:b/>
          <w:bCs/>
          <w:noProof/>
        </w:rPr>
        <w:t>33</w:t>
      </w:r>
      <w:r w:rsidRPr="00244CD2">
        <w:rPr>
          <w:rFonts w:ascii="Book Antiqua" w:hAnsi="Book Antiqua"/>
          <w:noProof/>
        </w:rPr>
        <w:t>: 2435-2450 [PMID: 30260705 DOI: 10.1096/fj.201800935RR]</w:t>
      </w:r>
    </w:p>
    <w:p w14:paraId="509EAC82"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50 </w:t>
      </w:r>
      <w:r w:rsidRPr="00244CD2">
        <w:rPr>
          <w:rFonts w:ascii="Book Antiqua" w:hAnsi="Book Antiqua"/>
          <w:b/>
          <w:bCs/>
          <w:noProof/>
        </w:rPr>
        <w:t>Bampton PA</w:t>
      </w:r>
      <w:r w:rsidRPr="00244CD2">
        <w:rPr>
          <w:rFonts w:ascii="Book Antiqua" w:hAnsi="Book Antiqua"/>
          <w:noProof/>
        </w:rPr>
        <w:t>, Dinning PG, Kennedy ML, Lubowski DZ, Cook IJ. The proximal colonic motor response to rectal mechanical and chemical stimulation. </w:t>
      </w:r>
      <w:r w:rsidRPr="00244CD2">
        <w:rPr>
          <w:rFonts w:ascii="Book Antiqua" w:hAnsi="Book Antiqua"/>
          <w:i/>
          <w:iCs/>
          <w:noProof/>
        </w:rPr>
        <w:t>Am J Physiol Gastrointest Liver Physiol</w:t>
      </w:r>
      <w:r w:rsidRPr="00244CD2">
        <w:rPr>
          <w:rFonts w:ascii="Book Antiqua" w:hAnsi="Book Antiqua"/>
          <w:noProof/>
        </w:rPr>
        <w:t> 2002; </w:t>
      </w:r>
      <w:r w:rsidRPr="00244CD2">
        <w:rPr>
          <w:rFonts w:ascii="Book Antiqua" w:hAnsi="Book Antiqua"/>
          <w:b/>
          <w:bCs/>
          <w:noProof/>
        </w:rPr>
        <w:t>282</w:t>
      </w:r>
      <w:r w:rsidRPr="00244CD2">
        <w:rPr>
          <w:rFonts w:ascii="Book Antiqua" w:hAnsi="Book Antiqua"/>
          <w:noProof/>
        </w:rPr>
        <w:t>: G443-G449 [PMID: 11841994 DOI: 10.1152/ajpgi.00194.2001]</w:t>
      </w:r>
    </w:p>
    <w:p w14:paraId="724CE080"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51 </w:t>
      </w:r>
      <w:r w:rsidRPr="00244CD2">
        <w:rPr>
          <w:rFonts w:ascii="Book Antiqua" w:hAnsi="Book Antiqua"/>
          <w:b/>
          <w:bCs/>
          <w:noProof/>
        </w:rPr>
        <w:t>Edwards CA</w:t>
      </w:r>
      <w:r w:rsidRPr="00244CD2">
        <w:rPr>
          <w:rFonts w:ascii="Book Antiqua" w:hAnsi="Book Antiqua"/>
          <w:noProof/>
        </w:rPr>
        <w:t>, Brown S, Baxter AJ, Bannister JJ, Read NW. Effect of bile acid on anorectal function in man. </w:t>
      </w:r>
      <w:r w:rsidRPr="00244CD2">
        <w:rPr>
          <w:rFonts w:ascii="Book Antiqua" w:hAnsi="Book Antiqua"/>
          <w:i/>
          <w:iCs/>
          <w:noProof/>
        </w:rPr>
        <w:t>Gut</w:t>
      </w:r>
      <w:r w:rsidRPr="00244CD2">
        <w:rPr>
          <w:rFonts w:ascii="Book Antiqua" w:hAnsi="Book Antiqua"/>
          <w:noProof/>
        </w:rPr>
        <w:t> 1989; </w:t>
      </w:r>
      <w:r w:rsidRPr="00244CD2">
        <w:rPr>
          <w:rFonts w:ascii="Book Antiqua" w:hAnsi="Book Antiqua"/>
          <w:b/>
          <w:bCs/>
          <w:noProof/>
        </w:rPr>
        <w:t>30</w:t>
      </w:r>
      <w:r w:rsidRPr="00244CD2">
        <w:rPr>
          <w:rFonts w:ascii="Book Antiqua" w:hAnsi="Book Antiqua"/>
          <w:noProof/>
        </w:rPr>
        <w:t>: 383-386 [PMID: 2707639 DOI: 10.1136/gut.30.3.383]</w:t>
      </w:r>
    </w:p>
    <w:p w14:paraId="0A4D7036"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52 </w:t>
      </w:r>
      <w:r w:rsidRPr="00244CD2">
        <w:rPr>
          <w:rFonts w:ascii="Book Antiqua" w:hAnsi="Book Antiqua"/>
          <w:b/>
          <w:bCs/>
          <w:noProof/>
        </w:rPr>
        <w:t>Zhuang X</w:t>
      </w:r>
      <w:r w:rsidRPr="00244CD2">
        <w:rPr>
          <w:rFonts w:ascii="Book Antiqua" w:hAnsi="Book Antiqua"/>
          <w:noProof/>
        </w:rPr>
        <w:t>, Tian Z, Li L, Zeng Z, Chen M, Xiong L. Fecal Microbiota Alterations Associated With Diarrhea-Predominant Irritable Bowel Syndrome. </w:t>
      </w:r>
      <w:r w:rsidRPr="00244CD2">
        <w:rPr>
          <w:rFonts w:ascii="Book Antiqua" w:hAnsi="Book Antiqua"/>
          <w:i/>
          <w:iCs/>
          <w:noProof/>
        </w:rPr>
        <w:t>Front Microbiol</w:t>
      </w:r>
      <w:r w:rsidRPr="00244CD2">
        <w:rPr>
          <w:rFonts w:ascii="Book Antiqua" w:hAnsi="Book Antiqua"/>
          <w:noProof/>
        </w:rPr>
        <w:t> 2018; </w:t>
      </w:r>
      <w:r w:rsidRPr="00244CD2">
        <w:rPr>
          <w:rFonts w:ascii="Book Antiqua" w:hAnsi="Book Antiqua"/>
          <w:b/>
          <w:bCs/>
          <w:noProof/>
        </w:rPr>
        <w:t>9</w:t>
      </w:r>
      <w:r w:rsidRPr="00244CD2">
        <w:rPr>
          <w:rFonts w:ascii="Book Antiqua" w:hAnsi="Book Antiqua"/>
          <w:noProof/>
        </w:rPr>
        <w:t>: 1600 [PMID: 30090090 DOI: 10.3389/fmicb.2018.01600]</w:t>
      </w:r>
    </w:p>
    <w:p w14:paraId="57D675B2"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53 </w:t>
      </w:r>
      <w:r w:rsidRPr="00244CD2">
        <w:rPr>
          <w:rFonts w:ascii="Book Antiqua" w:hAnsi="Book Antiqua"/>
          <w:b/>
          <w:bCs/>
          <w:noProof/>
        </w:rPr>
        <w:t>Sundin J</w:t>
      </w:r>
      <w:r w:rsidRPr="00244CD2">
        <w:rPr>
          <w:rFonts w:ascii="Book Antiqua" w:hAnsi="Book Antiqua"/>
          <w:noProof/>
        </w:rPr>
        <w:t>, Aziz I, Nordlander S, Polster A, Hu YOO, Hugerth LW, Pennhag AAL, Engstrand L, Törnblom H, Simrén M, Öhman L. Evidence of altered mucosa-associated and fecal microbiota composition in patients with Irritable Bowel Syndrome. </w:t>
      </w:r>
      <w:r w:rsidRPr="00244CD2">
        <w:rPr>
          <w:rFonts w:ascii="Book Antiqua" w:hAnsi="Book Antiqua"/>
          <w:i/>
          <w:iCs/>
          <w:noProof/>
        </w:rPr>
        <w:t>Sci Rep</w:t>
      </w:r>
      <w:r w:rsidRPr="00244CD2">
        <w:rPr>
          <w:rFonts w:ascii="Book Antiqua" w:hAnsi="Book Antiqua"/>
          <w:noProof/>
        </w:rPr>
        <w:t> 2020; </w:t>
      </w:r>
      <w:r w:rsidRPr="00244CD2">
        <w:rPr>
          <w:rFonts w:ascii="Book Antiqua" w:hAnsi="Book Antiqua"/>
          <w:b/>
          <w:bCs/>
          <w:noProof/>
        </w:rPr>
        <w:t>10</w:t>
      </w:r>
      <w:r w:rsidRPr="00244CD2">
        <w:rPr>
          <w:rFonts w:ascii="Book Antiqua" w:hAnsi="Book Antiqua"/>
          <w:noProof/>
        </w:rPr>
        <w:t>: 593 [PMID: 31953505 DOI: 10.1038/s41598-020-57468-y]</w:t>
      </w:r>
    </w:p>
    <w:p w14:paraId="596E22B3"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54 </w:t>
      </w:r>
      <w:r w:rsidRPr="00244CD2">
        <w:rPr>
          <w:rFonts w:ascii="Book Antiqua" w:hAnsi="Book Antiqua"/>
          <w:b/>
          <w:bCs/>
          <w:noProof/>
        </w:rPr>
        <w:t>Jones BV</w:t>
      </w:r>
      <w:r w:rsidRPr="00244CD2">
        <w:rPr>
          <w:rFonts w:ascii="Book Antiqua" w:hAnsi="Book Antiqua"/>
          <w:noProof/>
        </w:rPr>
        <w:t>, Begley M, Hill C, Gahan CG, Marchesi JR. Functional and comparative metagenomic analysis of bile salt hydrolase activity in the human gut microbiome. </w:t>
      </w:r>
      <w:r w:rsidR="00891E90" w:rsidRPr="00244CD2">
        <w:rPr>
          <w:rFonts w:ascii="Book Antiqua" w:hAnsi="Book Antiqua"/>
          <w:i/>
          <w:iCs/>
          <w:noProof/>
        </w:rPr>
        <w:t xml:space="preserve">Proc </w:t>
      </w:r>
      <w:r w:rsidR="00891E90" w:rsidRPr="00244CD2">
        <w:rPr>
          <w:rFonts w:ascii="Book Antiqua" w:hAnsi="Book Antiqua"/>
          <w:i/>
          <w:iCs/>
          <w:noProof/>
        </w:rPr>
        <w:lastRenderedPageBreak/>
        <w:t>Natl Acad Sci US</w:t>
      </w:r>
      <w:r w:rsidRPr="00244CD2">
        <w:rPr>
          <w:rFonts w:ascii="Book Antiqua" w:hAnsi="Book Antiqua"/>
          <w:i/>
          <w:iCs/>
          <w:noProof/>
        </w:rPr>
        <w:t>A</w:t>
      </w:r>
      <w:r w:rsidRPr="00244CD2">
        <w:rPr>
          <w:rFonts w:ascii="Book Antiqua" w:hAnsi="Book Antiqua"/>
          <w:noProof/>
        </w:rPr>
        <w:t> 2008; </w:t>
      </w:r>
      <w:r w:rsidRPr="00244CD2">
        <w:rPr>
          <w:rFonts w:ascii="Book Antiqua" w:hAnsi="Book Antiqua"/>
          <w:b/>
          <w:bCs/>
          <w:noProof/>
        </w:rPr>
        <w:t>105</w:t>
      </w:r>
      <w:r w:rsidRPr="00244CD2">
        <w:rPr>
          <w:rFonts w:ascii="Book Antiqua" w:hAnsi="Book Antiqua"/>
          <w:noProof/>
        </w:rPr>
        <w:t>: 13580-13585 [PMID: 18757757 DOI: 10.1073/pnas.0804437105]</w:t>
      </w:r>
    </w:p>
    <w:p w14:paraId="71362296"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55 </w:t>
      </w:r>
      <w:r w:rsidRPr="00244CD2">
        <w:rPr>
          <w:rFonts w:ascii="Book Antiqua" w:hAnsi="Book Antiqua"/>
          <w:b/>
          <w:bCs/>
          <w:noProof/>
        </w:rPr>
        <w:t>Vital M</w:t>
      </w:r>
      <w:r w:rsidRPr="00244CD2">
        <w:rPr>
          <w:rFonts w:ascii="Book Antiqua" w:hAnsi="Book Antiqua"/>
          <w:noProof/>
        </w:rPr>
        <w:t>, Rud T, Rath S, Pieper DH, Schlüter D. Diversity of Bacteria Exhibiting Bile Acid-inducible 7α-dehydroxylation Genes in the Human Gut. </w:t>
      </w:r>
      <w:r w:rsidRPr="00244CD2">
        <w:rPr>
          <w:rFonts w:ascii="Book Antiqua" w:hAnsi="Book Antiqua"/>
          <w:i/>
          <w:iCs/>
          <w:noProof/>
        </w:rPr>
        <w:t>Comput Struct Biotechnol J</w:t>
      </w:r>
      <w:r w:rsidRPr="00244CD2">
        <w:rPr>
          <w:rFonts w:ascii="Book Antiqua" w:hAnsi="Book Antiqua"/>
          <w:noProof/>
        </w:rPr>
        <w:t> 2019; </w:t>
      </w:r>
      <w:r w:rsidRPr="00244CD2">
        <w:rPr>
          <w:rFonts w:ascii="Book Antiqua" w:hAnsi="Book Antiqua"/>
          <w:b/>
          <w:bCs/>
          <w:noProof/>
        </w:rPr>
        <w:t>17</w:t>
      </w:r>
      <w:r w:rsidRPr="00244CD2">
        <w:rPr>
          <w:rFonts w:ascii="Book Antiqua" w:hAnsi="Book Antiqua"/>
          <w:noProof/>
        </w:rPr>
        <w:t>: 1016-1019 [PMID: 31428294 DOI: 10.1016/j.csbj.2019.07.012]</w:t>
      </w:r>
    </w:p>
    <w:p w14:paraId="44D9D478"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56 </w:t>
      </w:r>
      <w:r w:rsidRPr="00244CD2">
        <w:rPr>
          <w:rFonts w:ascii="Book Antiqua" w:hAnsi="Book Antiqua"/>
          <w:b/>
          <w:bCs/>
          <w:noProof/>
        </w:rPr>
        <w:t>Almeida A</w:t>
      </w:r>
      <w:r w:rsidRPr="00244CD2">
        <w:rPr>
          <w:rFonts w:ascii="Book Antiqua" w:hAnsi="Book Antiqua"/>
          <w:noProof/>
        </w:rPr>
        <w:t>, Mitchell AL, Boland M, Forster SC, Gloor GB, Tarkowska A, Lawley TD, Finn RD. A new genomic blueprint of the human gut microbiota. </w:t>
      </w:r>
      <w:r w:rsidRPr="00244CD2">
        <w:rPr>
          <w:rFonts w:ascii="Book Antiqua" w:hAnsi="Book Antiqua"/>
          <w:i/>
          <w:iCs/>
          <w:noProof/>
        </w:rPr>
        <w:t>Nature</w:t>
      </w:r>
      <w:r w:rsidRPr="00244CD2">
        <w:rPr>
          <w:rFonts w:ascii="Book Antiqua" w:hAnsi="Book Antiqua"/>
          <w:noProof/>
        </w:rPr>
        <w:t> 2019; </w:t>
      </w:r>
      <w:r w:rsidRPr="00244CD2">
        <w:rPr>
          <w:rFonts w:ascii="Book Antiqua" w:hAnsi="Book Antiqua"/>
          <w:b/>
          <w:bCs/>
          <w:noProof/>
        </w:rPr>
        <w:t>568</w:t>
      </w:r>
      <w:r w:rsidRPr="00244CD2">
        <w:rPr>
          <w:rFonts w:ascii="Book Antiqua" w:hAnsi="Book Antiqua"/>
          <w:noProof/>
        </w:rPr>
        <w:t>: 499-504 [PMID: 30745586 DOI: 10.1038/s41586-019-0965-1]</w:t>
      </w:r>
    </w:p>
    <w:p w14:paraId="73B8E2B9"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57 </w:t>
      </w:r>
      <w:r w:rsidRPr="00244CD2">
        <w:rPr>
          <w:rFonts w:ascii="Book Antiqua" w:hAnsi="Book Antiqua"/>
          <w:b/>
          <w:bCs/>
          <w:noProof/>
        </w:rPr>
        <w:t>Pasolli E</w:t>
      </w:r>
      <w:r w:rsidRPr="00244CD2">
        <w:rPr>
          <w:rFonts w:ascii="Book Antiqua" w:hAnsi="Book Antiqua"/>
          <w:noProof/>
        </w:rPr>
        <w:t>, Asnicar F, Manara S, Zolfo M, Karcher N, Armanini F, Beghini F, Manghi P, Tett A, Ghensi P, Collado MC, Rice BL, DuLong C, Morgan XC, Golden CD, Quince C, Huttenhower C, Segata N. Extensive Unexplored Human Microbiome Diversity Revealed by Over 150,000 Genomes from Metagenomes Spanning Age, Geography, and Lifestyle. </w:t>
      </w:r>
      <w:r w:rsidRPr="00244CD2">
        <w:rPr>
          <w:rFonts w:ascii="Book Antiqua" w:hAnsi="Book Antiqua"/>
          <w:i/>
          <w:iCs/>
          <w:noProof/>
        </w:rPr>
        <w:t>Cell</w:t>
      </w:r>
      <w:r w:rsidRPr="00244CD2">
        <w:rPr>
          <w:rFonts w:ascii="Book Antiqua" w:hAnsi="Book Antiqua"/>
          <w:noProof/>
        </w:rPr>
        <w:t> 2019; </w:t>
      </w:r>
      <w:r w:rsidRPr="00244CD2">
        <w:rPr>
          <w:rFonts w:ascii="Book Antiqua" w:hAnsi="Book Antiqua"/>
          <w:b/>
          <w:bCs/>
          <w:noProof/>
        </w:rPr>
        <w:t>176</w:t>
      </w:r>
      <w:r w:rsidRPr="00244CD2">
        <w:rPr>
          <w:rFonts w:ascii="Book Antiqua" w:hAnsi="Book Antiqua"/>
          <w:noProof/>
        </w:rPr>
        <w:t>: 649-662.e20 [PMID: 30661755 DOI: 10.1016/j.cell.2019.01.001]</w:t>
      </w:r>
    </w:p>
    <w:p w14:paraId="16DEB8F6"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58 </w:t>
      </w:r>
      <w:r w:rsidRPr="00244CD2">
        <w:rPr>
          <w:rFonts w:ascii="Book Antiqua" w:hAnsi="Book Antiqua"/>
          <w:b/>
          <w:bCs/>
          <w:noProof/>
        </w:rPr>
        <w:t>Kakiyama G</w:t>
      </w:r>
      <w:r w:rsidRPr="00244CD2">
        <w:rPr>
          <w:rFonts w:ascii="Book Antiqua" w:hAnsi="Book Antiqua"/>
          <w:noProof/>
        </w:rPr>
        <w:t>, Pandak WM, Gillevet PM, Hylemon PB, Heuman DM, Daita K, Takei H, Muto A, Nittono H, Ridlon JM, White MB, Noble NA, Monteith P, Fuchs M, Thacker LR, Sikaroodi M, Bajaj JS. Modulation of the fecal bile acid profile by gut microbiota in cirrhosis. </w:t>
      </w:r>
      <w:r w:rsidRPr="00244CD2">
        <w:rPr>
          <w:rFonts w:ascii="Book Antiqua" w:hAnsi="Book Antiqua"/>
          <w:i/>
          <w:iCs/>
          <w:noProof/>
        </w:rPr>
        <w:t>J Hepatol</w:t>
      </w:r>
      <w:r w:rsidRPr="00244CD2">
        <w:rPr>
          <w:rFonts w:ascii="Book Antiqua" w:hAnsi="Book Antiqua"/>
          <w:noProof/>
        </w:rPr>
        <w:t> 2013; </w:t>
      </w:r>
      <w:r w:rsidRPr="00244CD2">
        <w:rPr>
          <w:rFonts w:ascii="Book Antiqua" w:hAnsi="Book Antiqua"/>
          <w:b/>
          <w:bCs/>
          <w:noProof/>
        </w:rPr>
        <w:t>58</w:t>
      </w:r>
      <w:r w:rsidRPr="00244CD2">
        <w:rPr>
          <w:rFonts w:ascii="Book Antiqua" w:hAnsi="Book Antiqua"/>
          <w:noProof/>
        </w:rPr>
        <w:t>: 949-955 [PMID: 23333527 DOI: 10.1016/j.jhep.2013.01.003]</w:t>
      </w:r>
    </w:p>
    <w:p w14:paraId="796A829D"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59 </w:t>
      </w:r>
      <w:r w:rsidRPr="00244CD2">
        <w:rPr>
          <w:rFonts w:ascii="Book Antiqua" w:hAnsi="Book Antiqua"/>
          <w:b/>
          <w:bCs/>
          <w:noProof/>
        </w:rPr>
        <w:t>Kwan SY</w:t>
      </w:r>
      <w:r w:rsidRPr="00244CD2">
        <w:rPr>
          <w:rFonts w:ascii="Book Antiqua" w:hAnsi="Book Antiqua"/>
          <w:noProof/>
        </w:rPr>
        <w:t>, Jiao J, Qi J, Wang Y, Wei P, McCormick JB, Fisher-Hoch SP, Beretta L. Bile Acid Changes Associated With Liver Fibrosis and Steatosis in the Mexican-American Population of South Texas. </w:t>
      </w:r>
      <w:r w:rsidRPr="00244CD2">
        <w:rPr>
          <w:rFonts w:ascii="Book Antiqua" w:hAnsi="Book Antiqua"/>
          <w:i/>
          <w:iCs/>
          <w:noProof/>
        </w:rPr>
        <w:t>Hepatol Commun</w:t>
      </w:r>
      <w:r w:rsidRPr="00244CD2">
        <w:rPr>
          <w:rFonts w:ascii="Book Antiqua" w:hAnsi="Book Antiqua"/>
          <w:noProof/>
        </w:rPr>
        <w:t> 2020; </w:t>
      </w:r>
      <w:r w:rsidRPr="00244CD2">
        <w:rPr>
          <w:rFonts w:ascii="Book Antiqua" w:hAnsi="Book Antiqua"/>
          <w:b/>
          <w:bCs/>
          <w:noProof/>
        </w:rPr>
        <w:t>4</w:t>
      </w:r>
      <w:r w:rsidRPr="00244CD2">
        <w:rPr>
          <w:rFonts w:ascii="Book Antiqua" w:hAnsi="Book Antiqua"/>
          <w:noProof/>
        </w:rPr>
        <w:t>: 555-568 [PMID: 32258950 DOI: 10.1002/hep4.1490]</w:t>
      </w:r>
    </w:p>
    <w:p w14:paraId="0621CBA8"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60 </w:t>
      </w:r>
      <w:r w:rsidRPr="00244CD2">
        <w:rPr>
          <w:rFonts w:ascii="Book Antiqua" w:hAnsi="Book Antiqua"/>
          <w:b/>
          <w:bCs/>
          <w:noProof/>
        </w:rPr>
        <w:t>Wang C</w:t>
      </w:r>
      <w:r w:rsidRPr="00244CD2">
        <w:rPr>
          <w:rFonts w:ascii="Book Antiqua" w:hAnsi="Book Antiqua"/>
          <w:noProof/>
        </w:rPr>
        <w:t>, Zhu C, Shao L, Ye J, Shen Y, Ren Y. Role of Bile Acids in Dysbiosis and Treatment of Nonalcoholic Fatty Liver Disease. </w:t>
      </w:r>
      <w:r w:rsidRPr="00244CD2">
        <w:rPr>
          <w:rFonts w:ascii="Book Antiqua" w:hAnsi="Book Antiqua"/>
          <w:i/>
          <w:iCs/>
          <w:noProof/>
        </w:rPr>
        <w:t>Mediators Inflamm</w:t>
      </w:r>
      <w:r w:rsidRPr="00244CD2">
        <w:rPr>
          <w:rFonts w:ascii="Book Antiqua" w:hAnsi="Book Antiqua"/>
          <w:noProof/>
        </w:rPr>
        <w:t> 2019; </w:t>
      </w:r>
      <w:r w:rsidRPr="00244CD2">
        <w:rPr>
          <w:rFonts w:ascii="Book Antiqua" w:hAnsi="Book Antiqua"/>
          <w:b/>
          <w:bCs/>
          <w:noProof/>
        </w:rPr>
        <w:t>2019</w:t>
      </w:r>
      <w:r w:rsidRPr="00244CD2">
        <w:rPr>
          <w:rFonts w:ascii="Book Antiqua" w:hAnsi="Book Antiqua"/>
          <w:noProof/>
        </w:rPr>
        <w:t>: 7659509 [PMID: 31341422 DOI: 10.1155/2019/7659509]</w:t>
      </w:r>
    </w:p>
    <w:p w14:paraId="598EA101"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61 </w:t>
      </w:r>
      <w:r w:rsidRPr="00244CD2">
        <w:rPr>
          <w:rFonts w:ascii="Book Antiqua" w:hAnsi="Book Antiqua"/>
          <w:b/>
          <w:bCs/>
          <w:noProof/>
        </w:rPr>
        <w:t>Ridlon JM</w:t>
      </w:r>
      <w:r w:rsidRPr="00244CD2">
        <w:rPr>
          <w:rFonts w:ascii="Book Antiqua" w:hAnsi="Book Antiqua"/>
          <w:noProof/>
        </w:rPr>
        <w:t>, Kang DJ, Hylemon PB, Bajaj JS. Bile acids and the gut microbiome. </w:t>
      </w:r>
      <w:r w:rsidRPr="00244CD2">
        <w:rPr>
          <w:rFonts w:ascii="Book Antiqua" w:hAnsi="Book Antiqua"/>
          <w:i/>
          <w:iCs/>
          <w:noProof/>
        </w:rPr>
        <w:t>Curr Opin Gastroenterol</w:t>
      </w:r>
      <w:r w:rsidRPr="00244CD2">
        <w:rPr>
          <w:rFonts w:ascii="Book Antiqua" w:hAnsi="Book Antiqua"/>
          <w:noProof/>
        </w:rPr>
        <w:t> 2014; </w:t>
      </w:r>
      <w:r w:rsidRPr="00244CD2">
        <w:rPr>
          <w:rFonts w:ascii="Book Antiqua" w:hAnsi="Book Antiqua"/>
          <w:b/>
          <w:bCs/>
          <w:noProof/>
        </w:rPr>
        <w:t>30</w:t>
      </w:r>
      <w:r w:rsidRPr="00244CD2">
        <w:rPr>
          <w:rFonts w:ascii="Book Antiqua" w:hAnsi="Book Antiqua"/>
          <w:noProof/>
        </w:rPr>
        <w:t>: 332-338 [PMID: 24625896 DOI: 10.1097/MOG.0000000000000057]</w:t>
      </w:r>
    </w:p>
    <w:p w14:paraId="4FC38D50"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lastRenderedPageBreak/>
        <w:t>62 </w:t>
      </w:r>
      <w:r w:rsidRPr="00244CD2">
        <w:rPr>
          <w:rFonts w:ascii="Book Antiqua" w:hAnsi="Book Antiqua"/>
          <w:b/>
          <w:bCs/>
          <w:noProof/>
        </w:rPr>
        <w:t>Sung JY</w:t>
      </w:r>
      <w:r w:rsidRPr="00244CD2">
        <w:rPr>
          <w:rFonts w:ascii="Book Antiqua" w:hAnsi="Book Antiqua"/>
          <w:noProof/>
        </w:rPr>
        <w:t>, Shaffer EA, Costerton JW. Antibacterial activity of bile salts against common biliary pathogens. Effects of hydrophobicity of the molecule and in the presence of phospholipids. </w:t>
      </w:r>
      <w:r w:rsidRPr="00244CD2">
        <w:rPr>
          <w:rFonts w:ascii="Book Antiqua" w:hAnsi="Book Antiqua"/>
          <w:i/>
          <w:iCs/>
          <w:noProof/>
        </w:rPr>
        <w:t>Dig Dis Sci</w:t>
      </w:r>
      <w:r w:rsidRPr="00244CD2">
        <w:rPr>
          <w:rFonts w:ascii="Book Antiqua" w:hAnsi="Book Antiqua"/>
          <w:noProof/>
        </w:rPr>
        <w:t> 1993; </w:t>
      </w:r>
      <w:r w:rsidRPr="00244CD2">
        <w:rPr>
          <w:rFonts w:ascii="Book Antiqua" w:hAnsi="Book Antiqua"/>
          <w:b/>
          <w:bCs/>
          <w:noProof/>
        </w:rPr>
        <w:t>38</w:t>
      </w:r>
      <w:r w:rsidRPr="00244CD2">
        <w:rPr>
          <w:rFonts w:ascii="Book Antiqua" w:hAnsi="Book Antiqua"/>
          <w:noProof/>
        </w:rPr>
        <w:t>: 2104-2112 [PMID: 8223087 DOI: 10.1007/BF01297092]</w:t>
      </w:r>
    </w:p>
    <w:p w14:paraId="1C1109C3"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63 </w:t>
      </w:r>
      <w:r w:rsidRPr="00244CD2">
        <w:rPr>
          <w:rFonts w:ascii="Book Antiqua" w:hAnsi="Book Antiqua"/>
          <w:b/>
          <w:bCs/>
          <w:noProof/>
        </w:rPr>
        <w:t>Sannasiddappa TH</w:t>
      </w:r>
      <w:r w:rsidRPr="00244CD2">
        <w:rPr>
          <w:rFonts w:ascii="Book Antiqua" w:hAnsi="Book Antiqua"/>
          <w:noProof/>
        </w:rPr>
        <w:t>, Lund PA, Clarke SR. </w:t>
      </w:r>
      <w:r w:rsidRPr="00244CD2">
        <w:rPr>
          <w:rFonts w:ascii="Book Antiqua" w:hAnsi="Book Antiqua"/>
          <w:i/>
          <w:iCs/>
          <w:noProof/>
        </w:rPr>
        <w:t>In Vitro</w:t>
      </w:r>
      <w:r w:rsidRPr="00244CD2">
        <w:rPr>
          <w:rFonts w:ascii="Book Antiqua" w:hAnsi="Book Antiqua"/>
          <w:noProof/>
        </w:rPr>
        <w:t> Antibacterial Activity of Unconjugated and Conjugated Bile Salts on </w:t>
      </w:r>
      <w:r w:rsidRPr="00244CD2">
        <w:rPr>
          <w:rFonts w:ascii="Book Antiqua" w:hAnsi="Book Antiqua"/>
          <w:i/>
          <w:iCs/>
          <w:noProof/>
        </w:rPr>
        <w:t>Staphylococcus aureus</w:t>
      </w:r>
      <w:r w:rsidRPr="00244CD2">
        <w:rPr>
          <w:rFonts w:ascii="Book Antiqua" w:hAnsi="Book Antiqua"/>
          <w:noProof/>
        </w:rPr>
        <w:t>. </w:t>
      </w:r>
      <w:r w:rsidRPr="00244CD2">
        <w:rPr>
          <w:rFonts w:ascii="Book Antiqua" w:hAnsi="Book Antiqua"/>
          <w:i/>
          <w:iCs/>
          <w:noProof/>
        </w:rPr>
        <w:t>Front Microbiol</w:t>
      </w:r>
      <w:r w:rsidRPr="00244CD2">
        <w:rPr>
          <w:rFonts w:ascii="Book Antiqua" w:hAnsi="Book Antiqua"/>
          <w:noProof/>
        </w:rPr>
        <w:t> 2017; </w:t>
      </w:r>
      <w:r w:rsidRPr="00244CD2">
        <w:rPr>
          <w:rFonts w:ascii="Book Antiqua" w:hAnsi="Book Antiqua"/>
          <w:b/>
          <w:bCs/>
          <w:noProof/>
        </w:rPr>
        <w:t>8</w:t>
      </w:r>
      <w:r w:rsidRPr="00244CD2">
        <w:rPr>
          <w:rFonts w:ascii="Book Antiqua" w:hAnsi="Book Antiqua"/>
          <w:noProof/>
        </w:rPr>
        <w:t>: 1581 [PMID: 28878747 DOI: 10.3389/fmicb.2017.01581]</w:t>
      </w:r>
    </w:p>
    <w:p w14:paraId="54B02D32"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64 </w:t>
      </w:r>
      <w:r w:rsidRPr="00244CD2">
        <w:rPr>
          <w:rFonts w:ascii="Book Antiqua" w:hAnsi="Book Antiqua"/>
          <w:b/>
          <w:bCs/>
          <w:noProof/>
        </w:rPr>
        <w:t>Islam KB</w:t>
      </w:r>
      <w:r w:rsidRPr="00244CD2">
        <w:rPr>
          <w:rFonts w:ascii="Book Antiqua" w:hAnsi="Book Antiqua"/>
          <w:noProof/>
        </w:rPr>
        <w:t>, Fukiya S, Hagio M, Fujii N, Ishizuka S, Ooka T, Ogura Y, Hayashi T, Yokota A. Bile acid is a host factor that regulates the composition of the cecal microbiota in rats. </w:t>
      </w:r>
      <w:r w:rsidRPr="00244CD2">
        <w:rPr>
          <w:rFonts w:ascii="Book Antiqua" w:hAnsi="Book Antiqua"/>
          <w:i/>
          <w:iCs/>
          <w:noProof/>
        </w:rPr>
        <w:t>Gastroenterology</w:t>
      </w:r>
      <w:r w:rsidRPr="00244CD2">
        <w:rPr>
          <w:rFonts w:ascii="Book Antiqua" w:hAnsi="Book Antiqua"/>
          <w:noProof/>
        </w:rPr>
        <w:t> 2011; </w:t>
      </w:r>
      <w:r w:rsidRPr="00244CD2">
        <w:rPr>
          <w:rFonts w:ascii="Book Antiqua" w:hAnsi="Book Antiqua"/>
          <w:b/>
          <w:bCs/>
          <w:noProof/>
        </w:rPr>
        <w:t>141</w:t>
      </w:r>
      <w:r w:rsidRPr="00244CD2">
        <w:rPr>
          <w:rFonts w:ascii="Book Antiqua" w:hAnsi="Book Antiqua"/>
          <w:noProof/>
        </w:rPr>
        <w:t>: 1773-1781 [PMID: 21839040 DOI: 10.1053/j.gastro.2011.07.046]</w:t>
      </w:r>
    </w:p>
    <w:p w14:paraId="05C2A937"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65 </w:t>
      </w:r>
      <w:r w:rsidRPr="00244CD2">
        <w:rPr>
          <w:rFonts w:ascii="Book Antiqua" w:hAnsi="Book Antiqua"/>
          <w:b/>
          <w:bCs/>
          <w:noProof/>
        </w:rPr>
        <w:t>Ridlon JM</w:t>
      </w:r>
      <w:r w:rsidRPr="00244CD2">
        <w:rPr>
          <w:rFonts w:ascii="Book Antiqua" w:hAnsi="Book Antiqua"/>
          <w:noProof/>
        </w:rPr>
        <w:t>, Alves JM, Hylemon PB, Bajaj JS. Cirrhosis, bile acids and gut microbiota: unraveling a complex relationship. </w:t>
      </w:r>
      <w:r w:rsidRPr="00244CD2">
        <w:rPr>
          <w:rFonts w:ascii="Book Antiqua" w:hAnsi="Book Antiqua"/>
          <w:i/>
          <w:iCs/>
          <w:noProof/>
        </w:rPr>
        <w:t>Gut Microbes</w:t>
      </w:r>
      <w:r w:rsidRPr="00244CD2">
        <w:rPr>
          <w:rFonts w:ascii="Book Antiqua" w:hAnsi="Book Antiqua"/>
          <w:noProof/>
        </w:rPr>
        <w:t> 2013; </w:t>
      </w:r>
      <w:r w:rsidRPr="00244CD2">
        <w:rPr>
          <w:rFonts w:ascii="Book Antiqua" w:hAnsi="Book Antiqua"/>
          <w:b/>
          <w:bCs/>
          <w:noProof/>
        </w:rPr>
        <w:t>4</w:t>
      </w:r>
      <w:r w:rsidRPr="00244CD2">
        <w:rPr>
          <w:rFonts w:ascii="Book Antiqua" w:hAnsi="Book Antiqua"/>
          <w:noProof/>
        </w:rPr>
        <w:t>: 382-387 [PMID: 23851335 DOI: 10.4161/gmic.25723]</w:t>
      </w:r>
    </w:p>
    <w:p w14:paraId="17E2527D"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66 </w:t>
      </w:r>
      <w:r w:rsidRPr="00244CD2">
        <w:rPr>
          <w:rFonts w:ascii="Book Antiqua" w:hAnsi="Book Antiqua"/>
          <w:b/>
          <w:bCs/>
          <w:noProof/>
        </w:rPr>
        <w:t>Lovell RM</w:t>
      </w:r>
      <w:r w:rsidRPr="00244CD2">
        <w:rPr>
          <w:rFonts w:ascii="Book Antiqua" w:hAnsi="Book Antiqua"/>
          <w:noProof/>
        </w:rPr>
        <w:t>, Ford AC. Effect of gender on prevalence of irritable bowel syndrome in the community: systematic review and meta-analysis. </w:t>
      </w:r>
      <w:r w:rsidRPr="00244CD2">
        <w:rPr>
          <w:rFonts w:ascii="Book Antiqua" w:hAnsi="Book Antiqua"/>
          <w:i/>
          <w:iCs/>
          <w:noProof/>
        </w:rPr>
        <w:t>Am J Gastroenterol</w:t>
      </w:r>
      <w:r w:rsidRPr="00244CD2">
        <w:rPr>
          <w:rFonts w:ascii="Book Antiqua" w:hAnsi="Book Antiqua"/>
          <w:noProof/>
        </w:rPr>
        <w:t> 2012; </w:t>
      </w:r>
      <w:r w:rsidRPr="00244CD2">
        <w:rPr>
          <w:rFonts w:ascii="Book Antiqua" w:hAnsi="Book Antiqua"/>
          <w:b/>
          <w:bCs/>
          <w:noProof/>
        </w:rPr>
        <w:t>107</w:t>
      </w:r>
      <w:r w:rsidRPr="00244CD2">
        <w:rPr>
          <w:rFonts w:ascii="Book Antiqua" w:hAnsi="Book Antiqua"/>
          <w:noProof/>
        </w:rPr>
        <w:t>: 991-1000 [PMID: 22613905 DOI: 10.1038/ajg.2012.131]</w:t>
      </w:r>
    </w:p>
    <w:p w14:paraId="60833F07"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67 </w:t>
      </w:r>
      <w:r w:rsidRPr="00244CD2">
        <w:rPr>
          <w:rFonts w:ascii="Book Antiqua" w:hAnsi="Book Antiqua"/>
          <w:b/>
          <w:bCs/>
          <w:noProof/>
        </w:rPr>
        <w:t>Kim YS</w:t>
      </w:r>
      <w:r w:rsidRPr="00244CD2">
        <w:rPr>
          <w:rFonts w:ascii="Book Antiqua" w:hAnsi="Book Antiqua"/>
          <w:noProof/>
        </w:rPr>
        <w:t>, Kim N. Sex-Gender Differences in Irritable Bowel Syndrome. </w:t>
      </w:r>
      <w:r w:rsidRPr="00244CD2">
        <w:rPr>
          <w:rFonts w:ascii="Book Antiqua" w:hAnsi="Book Antiqua"/>
          <w:i/>
          <w:iCs/>
          <w:noProof/>
        </w:rPr>
        <w:t>J Neurogastroenterol Motil</w:t>
      </w:r>
      <w:r w:rsidRPr="00244CD2">
        <w:rPr>
          <w:rFonts w:ascii="Book Antiqua" w:hAnsi="Book Antiqua"/>
          <w:noProof/>
        </w:rPr>
        <w:t> 2018; </w:t>
      </w:r>
      <w:r w:rsidRPr="00244CD2">
        <w:rPr>
          <w:rFonts w:ascii="Book Antiqua" w:hAnsi="Book Antiqua"/>
          <w:b/>
          <w:bCs/>
          <w:noProof/>
        </w:rPr>
        <w:t>24</w:t>
      </w:r>
      <w:r w:rsidRPr="00244CD2">
        <w:rPr>
          <w:rFonts w:ascii="Book Antiqua" w:hAnsi="Book Antiqua"/>
          <w:noProof/>
        </w:rPr>
        <w:t>: 544-558 [PMID: 30347934 DOI: 10.5056/jnm18082]</w:t>
      </w:r>
    </w:p>
    <w:p w14:paraId="2615E389"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68 </w:t>
      </w:r>
      <w:r w:rsidRPr="00244CD2">
        <w:rPr>
          <w:rFonts w:ascii="Book Antiqua" w:hAnsi="Book Antiqua"/>
          <w:b/>
          <w:bCs/>
          <w:noProof/>
        </w:rPr>
        <w:t>David LA</w:t>
      </w:r>
      <w:r w:rsidRPr="00244CD2">
        <w:rPr>
          <w:rFonts w:ascii="Book Antiqua" w:hAnsi="Book Antiqua"/>
          <w:noProof/>
        </w:rPr>
        <w:t>, Maurice CF, Carmody RN, Gootenberg DB, Button JE, Wolfe BE, Ling AV, Devlin AS, Varma Y, Fischbach MA, Biddinger SB, Dutton RJ, Turnbaugh PJ. Diet rapidly and reproducibly alters the human gut microbiome. </w:t>
      </w:r>
      <w:r w:rsidRPr="00244CD2">
        <w:rPr>
          <w:rFonts w:ascii="Book Antiqua" w:hAnsi="Book Antiqua"/>
          <w:i/>
          <w:iCs/>
          <w:noProof/>
        </w:rPr>
        <w:t>Nature</w:t>
      </w:r>
      <w:r w:rsidRPr="00244CD2">
        <w:rPr>
          <w:rFonts w:ascii="Book Antiqua" w:hAnsi="Book Antiqua"/>
          <w:noProof/>
        </w:rPr>
        <w:t> 2014; </w:t>
      </w:r>
      <w:r w:rsidRPr="00244CD2">
        <w:rPr>
          <w:rFonts w:ascii="Book Antiqua" w:hAnsi="Book Antiqua"/>
          <w:b/>
          <w:bCs/>
          <w:noProof/>
        </w:rPr>
        <w:t>505</w:t>
      </w:r>
      <w:r w:rsidRPr="00244CD2">
        <w:rPr>
          <w:rFonts w:ascii="Book Antiqua" w:hAnsi="Book Antiqua"/>
          <w:noProof/>
        </w:rPr>
        <w:t>: 559-563 [PMID: 24336217 DOI: 10.1038/nature12820]</w:t>
      </w:r>
    </w:p>
    <w:p w14:paraId="30C6B924" w14:textId="77777777" w:rsidR="00000000" w:rsidRPr="00244CD2" w:rsidRDefault="00843570" w:rsidP="00244CD2">
      <w:pPr>
        <w:snapToGrid w:val="0"/>
        <w:spacing w:line="360" w:lineRule="auto"/>
        <w:ind w:hanging="480"/>
        <w:jc w:val="both"/>
        <w:rPr>
          <w:noProof/>
        </w:rPr>
        <w:sectPr w:rsidR="00000000" w:rsidRPr="00244CD2">
          <w:pgSz w:w="12240" w:h="15840"/>
          <w:pgMar w:top="1440" w:right="1440" w:bottom="1440" w:left="1440" w:header="720" w:footer="720" w:gutter="0"/>
          <w:cols w:space="720"/>
          <w:docGrid w:linePitch="360"/>
        </w:sectPr>
      </w:pPr>
    </w:p>
    <w:p w14:paraId="52B960A9"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noProof/>
        </w:rPr>
        <w:lastRenderedPageBreak/>
        <w:t>Footnotes</w:t>
      </w:r>
    </w:p>
    <w:p w14:paraId="2CBE1148"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bCs/>
          <w:noProof/>
        </w:rPr>
        <w:t xml:space="preserve">Institutional review board statement: </w:t>
      </w:r>
      <w:r w:rsidRPr="00244CD2">
        <w:rPr>
          <w:rFonts w:ascii="Book Antiqua" w:eastAsia="Book Antiqua" w:hAnsi="Book Antiqua" w:cs="Book Antiqua"/>
          <w:noProof/>
        </w:rPr>
        <w:t>This study was approved by the Ethics Committee of China-Japan Friendship Hospital (No. 2019-64-K44).</w:t>
      </w:r>
    </w:p>
    <w:p w14:paraId="12A9C17D" w14:textId="77777777" w:rsidR="00A77B3E" w:rsidRPr="00244CD2" w:rsidRDefault="00A77B3E" w:rsidP="00244CD2">
      <w:pPr>
        <w:snapToGrid w:val="0"/>
        <w:spacing w:line="360" w:lineRule="auto"/>
        <w:jc w:val="both"/>
        <w:rPr>
          <w:noProof/>
        </w:rPr>
      </w:pPr>
    </w:p>
    <w:p w14:paraId="15709315"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bCs/>
          <w:noProof/>
        </w:rPr>
        <w:t xml:space="preserve">Informed consent statement: </w:t>
      </w:r>
      <w:r w:rsidRPr="00244CD2">
        <w:rPr>
          <w:rFonts w:ascii="Book Antiqua" w:eastAsia="Book Antiqua" w:hAnsi="Book Antiqua" w:cs="Book Antiqua"/>
          <w:noProof/>
        </w:rPr>
        <w:t>All study participants provided written informed consent prior to study enrollment.</w:t>
      </w:r>
    </w:p>
    <w:p w14:paraId="1AC748B9" w14:textId="77777777" w:rsidR="00A77B3E" w:rsidRPr="00244CD2" w:rsidRDefault="00A77B3E" w:rsidP="00244CD2">
      <w:pPr>
        <w:snapToGrid w:val="0"/>
        <w:spacing w:line="360" w:lineRule="auto"/>
        <w:jc w:val="both"/>
        <w:rPr>
          <w:noProof/>
        </w:rPr>
      </w:pPr>
    </w:p>
    <w:p w14:paraId="6A3DAE9B"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bCs/>
          <w:noProof/>
        </w:rPr>
        <w:t xml:space="preserve">Conflict-of-interest statement: </w:t>
      </w:r>
      <w:r w:rsidRPr="00244CD2">
        <w:rPr>
          <w:rFonts w:ascii="Book Antiqua" w:eastAsia="Book Antiqua" w:hAnsi="Book Antiqua" w:cs="Book Antiqua"/>
          <w:noProof/>
        </w:rPr>
        <w:t>All authors report no conflicts of interest.</w:t>
      </w:r>
    </w:p>
    <w:p w14:paraId="5B60627F" w14:textId="77777777" w:rsidR="00A77B3E" w:rsidRPr="00244CD2" w:rsidRDefault="00A77B3E" w:rsidP="00244CD2">
      <w:pPr>
        <w:snapToGrid w:val="0"/>
        <w:spacing w:line="360" w:lineRule="auto"/>
        <w:jc w:val="both"/>
        <w:rPr>
          <w:noProof/>
        </w:rPr>
      </w:pPr>
    </w:p>
    <w:p w14:paraId="1BAF9B73"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bCs/>
          <w:noProof/>
        </w:rPr>
        <w:t xml:space="preserve">Data sharing statement: </w:t>
      </w:r>
      <w:r w:rsidRPr="00244CD2">
        <w:rPr>
          <w:rFonts w:ascii="Book Antiqua" w:eastAsia="Book Antiqua" w:hAnsi="Book Antiqua" w:cs="Book Antiqua"/>
          <w:noProof/>
        </w:rPr>
        <w:t>No additional data are available.</w:t>
      </w:r>
    </w:p>
    <w:p w14:paraId="3AEB412D" w14:textId="77777777" w:rsidR="00A77B3E" w:rsidRPr="00244CD2" w:rsidRDefault="00A77B3E" w:rsidP="00244CD2">
      <w:pPr>
        <w:snapToGrid w:val="0"/>
        <w:spacing w:line="360" w:lineRule="auto"/>
        <w:jc w:val="both"/>
        <w:rPr>
          <w:noProof/>
        </w:rPr>
      </w:pPr>
    </w:p>
    <w:p w14:paraId="6E30303D"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bCs/>
          <w:noProof/>
        </w:rPr>
        <w:t xml:space="preserve">STROBE statement: </w:t>
      </w:r>
      <w:r w:rsidRPr="00244CD2">
        <w:rPr>
          <w:rFonts w:ascii="Book Antiqua" w:eastAsia="Book Antiqua" w:hAnsi="Book Antiqua" w:cs="Book Antiqua"/>
          <w:noProof/>
        </w:rPr>
        <w:t>The authors</w:t>
      </w:r>
      <w:r w:rsidR="00830FB3" w:rsidRPr="00244CD2">
        <w:rPr>
          <w:rFonts w:ascii="Book Antiqua" w:eastAsia="Book Antiqua" w:hAnsi="Book Antiqua" w:cs="Book Antiqua"/>
          <w:noProof/>
        </w:rPr>
        <w:t xml:space="preserve"> have read the STROBE Statement</w:t>
      </w:r>
      <w:r w:rsidR="00830FB3" w:rsidRPr="00244CD2">
        <w:rPr>
          <w:rFonts w:ascii="Book Antiqua" w:hAnsi="Book Antiqua" w:cs="Book Antiqua"/>
          <w:noProof/>
          <w:lang w:eastAsia="zh-CN"/>
        </w:rPr>
        <w:t>-</w:t>
      </w:r>
      <w:r w:rsidRPr="00244CD2">
        <w:rPr>
          <w:rFonts w:ascii="Book Antiqua" w:eastAsia="Book Antiqua" w:hAnsi="Book Antiqua" w:cs="Book Antiqua"/>
          <w:noProof/>
        </w:rPr>
        <w:t>checklist of items, and the manuscript was prepared and revised ac</w:t>
      </w:r>
      <w:r w:rsidR="00830FB3" w:rsidRPr="00244CD2">
        <w:rPr>
          <w:rFonts w:ascii="Book Antiqua" w:eastAsia="Book Antiqua" w:hAnsi="Book Antiqua" w:cs="Book Antiqua"/>
          <w:noProof/>
        </w:rPr>
        <w:t>cording to the STROBE Statement</w:t>
      </w:r>
      <w:r w:rsidR="00830FB3" w:rsidRPr="00244CD2">
        <w:rPr>
          <w:rFonts w:ascii="Book Antiqua" w:hAnsi="Book Antiqua" w:cs="Book Antiqua"/>
          <w:noProof/>
          <w:lang w:eastAsia="zh-CN"/>
        </w:rPr>
        <w:t>-</w:t>
      </w:r>
      <w:r w:rsidRPr="00244CD2">
        <w:rPr>
          <w:rFonts w:ascii="Book Antiqua" w:eastAsia="Book Antiqua" w:hAnsi="Book Antiqua" w:cs="Book Antiqua"/>
          <w:noProof/>
        </w:rPr>
        <w:t>checklist of items.</w:t>
      </w:r>
    </w:p>
    <w:p w14:paraId="49B78CA5" w14:textId="77777777" w:rsidR="00A77B3E" w:rsidRPr="00244CD2" w:rsidRDefault="00A77B3E" w:rsidP="00244CD2">
      <w:pPr>
        <w:snapToGrid w:val="0"/>
        <w:spacing w:line="360" w:lineRule="auto"/>
        <w:jc w:val="both"/>
        <w:rPr>
          <w:noProof/>
        </w:rPr>
      </w:pPr>
    </w:p>
    <w:p w14:paraId="219B72C8"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bCs/>
          <w:noProof/>
        </w:rPr>
        <w:t xml:space="preserve">Open-Access: </w:t>
      </w:r>
      <w:r w:rsidRPr="00244CD2">
        <w:rPr>
          <w:rFonts w:ascii="Book Antiqua" w:eastAsia="Book Antiqua" w:hAnsi="Book Antiqua" w:cs="Book Antiqua"/>
          <w:noProof/>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38F1827" w14:textId="77777777" w:rsidR="00A77B3E" w:rsidRPr="00244CD2" w:rsidRDefault="00A77B3E" w:rsidP="00244CD2">
      <w:pPr>
        <w:snapToGrid w:val="0"/>
        <w:spacing w:line="360" w:lineRule="auto"/>
        <w:jc w:val="both"/>
        <w:rPr>
          <w:noProof/>
        </w:rPr>
      </w:pPr>
    </w:p>
    <w:p w14:paraId="039E8489"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noProof/>
        </w:rPr>
        <w:t xml:space="preserve">Manuscript source: </w:t>
      </w:r>
      <w:r w:rsidRPr="00244CD2">
        <w:rPr>
          <w:rFonts w:ascii="Book Antiqua" w:eastAsia="Book Antiqua" w:hAnsi="Book Antiqua" w:cs="Book Antiqua"/>
          <w:noProof/>
        </w:rPr>
        <w:t xml:space="preserve">Unsolicited </w:t>
      </w:r>
      <w:r w:rsidR="008325CB" w:rsidRPr="00244CD2">
        <w:rPr>
          <w:rFonts w:ascii="Book Antiqua" w:eastAsia="Book Antiqua" w:hAnsi="Book Antiqua" w:cs="Book Antiqua"/>
          <w:noProof/>
        </w:rPr>
        <w:t>m</w:t>
      </w:r>
      <w:r w:rsidRPr="00244CD2">
        <w:rPr>
          <w:rFonts w:ascii="Book Antiqua" w:eastAsia="Book Antiqua" w:hAnsi="Book Antiqua" w:cs="Book Antiqua"/>
          <w:noProof/>
        </w:rPr>
        <w:t>anuscript</w:t>
      </w:r>
    </w:p>
    <w:p w14:paraId="734F329D" w14:textId="77777777" w:rsidR="00A77B3E" w:rsidRPr="00244CD2" w:rsidRDefault="00A77B3E" w:rsidP="00244CD2">
      <w:pPr>
        <w:snapToGrid w:val="0"/>
        <w:spacing w:line="360" w:lineRule="auto"/>
        <w:jc w:val="both"/>
        <w:rPr>
          <w:noProof/>
        </w:rPr>
      </w:pPr>
    </w:p>
    <w:p w14:paraId="4055AFBD"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noProof/>
        </w:rPr>
        <w:t xml:space="preserve">Peer-review started: </w:t>
      </w:r>
      <w:r w:rsidRPr="00244CD2">
        <w:rPr>
          <w:rFonts w:ascii="Book Antiqua" w:eastAsia="Book Antiqua" w:hAnsi="Book Antiqua" w:cs="Book Antiqua"/>
          <w:noProof/>
        </w:rPr>
        <w:t>August 17, 2020</w:t>
      </w:r>
    </w:p>
    <w:p w14:paraId="3243C57F"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noProof/>
        </w:rPr>
        <w:t xml:space="preserve">First decision: </w:t>
      </w:r>
      <w:r w:rsidRPr="00244CD2">
        <w:rPr>
          <w:rFonts w:ascii="Book Antiqua" w:eastAsia="Book Antiqua" w:hAnsi="Book Antiqua" w:cs="Book Antiqua"/>
          <w:noProof/>
        </w:rPr>
        <w:t>September 12, 2020</w:t>
      </w:r>
    </w:p>
    <w:p w14:paraId="6CFC58D3"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noProof/>
        </w:rPr>
        <w:t xml:space="preserve">Article in press: </w:t>
      </w:r>
    </w:p>
    <w:p w14:paraId="27E87FA1" w14:textId="77777777" w:rsidR="00A77B3E" w:rsidRPr="00244CD2" w:rsidRDefault="00A77B3E" w:rsidP="00244CD2">
      <w:pPr>
        <w:snapToGrid w:val="0"/>
        <w:spacing w:line="360" w:lineRule="auto"/>
        <w:jc w:val="both"/>
        <w:rPr>
          <w:noProof/>
        </w:rPr>
      </w:pPr>
    </w:p>
    <w:p w14:paraId="1D750966"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noProof/>
        </w:rPr>
        <w:t xml:space="preserve">Specialty type: </w:t>
      </w:r>
      <w:r w:rsidRPr="00244CD2">
        <w:rPr>
          <w:rFonts w:ascii="Book Antiqua" w:eastAsia="Book Antiqua" w:hAnsi="Book Antiqua" w:cs="Book Antiqua"/>
          <w:noProof/>
        </w:rPr>
        <w:t xml:space="preserve">Gastroenterology and </w:t>
      </w:r>
      <w:r w:rsidR="008325CB" w:rsidRPr="00244CD2">
        <w:rPr>
          <w:rFonts w:ascii="Book Antiqua" w:eastAsia="Book Antiqua" w:hAnsi="Book Antiqua" w:cs="Book Antiqua"/>
          <w:noProof/>
        </w:rPr>
        <w:t>h</w:t>
      </w:r>
      <w:r w:rsidRPr="00244CD2">
        <w:rPr>
          <w:rFonts w:ascii="Book Antiqua" w:eastAsia="Book Antiqua" w:hAnsi="Book Antiqua" w:cs="Book Antiqua"/>
          <w:noProof/>
        </w:rPr>
        <w:t>epatology</w:t>
      </w:r>
    </w:p>
    <w:p w14:paraId="2DF65397"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noProof/>
        </w:rPr>
        <w:lastRenderedPageBreak/>
        <w:t xml:space="preserve">Country/Territory of origin: </w:t>
      </w:r>
      <w:r w:rsidRPr="00244CD2">
        <w:rPr>
          <w:rFonts w:ascii="Book Antiqua" w:eastAsia="Book Antiqua" w:hAnsi="Book Antiqua" w:cs="Book Antiqua"/>
          <w:noProof/>
        </w:rPr>
        <w:t>China</w:t>
      </w:r>
    </w:p>
    <w:p w14:paraId="5DF190E9"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noProof/>
        </w:rPr>
        <w:t>Peer-review report’s scientific quality classification</w:t>
      </w:r>
    </w:p>
    <w:p w14:paraId="1751184F"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noProof/>
        </w:rPr>
        <w:t>Grade A (Excellent): A</w:t>
      </w:r>
    </w:p>
    <w:p w14:paraId="1D1E4420"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noProof/>
        </w:rPr>
        <w:t>Grade B (Very good): 0</w:t>
      </w:r>
    </w:p>
    <w:p w14:paraId="2D2846A9"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noProof/>
        </w:rPr>
        <w:t>Grade C (Good): 0</w:t>
      </w:r>
    </w:p>
    <w:p w14:paraId="7D2B7C5C"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noProof/>
        </w:rPr>
        <w:t>Grade D (Fair): 0</w:t>
      </w:r>
    </w:p>
    <w:p w14:paraId="084ED3C1"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noProof/>
        </w:rPr>
        <w:t>Grade E (Poor): 0</w:t>
      </w:r>
    </w:p>
    <w:p w14:paraId="531E502E" w14:textId="77777777" w:rsidR="00A77B3E" w:rsidRPr="00244CD2" w:rsidRDefault="00A77B3E" w:rsidP="00244CD2">
      <w:pPr>
        <w:snapToGrid w:val="0"/>
        <w:spacing w:line="360" w:lineRule="auto"/>
        <w:jc w:val="both"/>
        <w:rPr>
          <w:noProof/>
        </w:rPr>
      </w:pPr>
    </w:p>
    <w:p w14:paraId="4CF6CFF9" w14:textId="2187495B" w:rsidR="00E2247B" w:rsidRPr="00244CD2" w:rsidRDefault="007356D0" w:rsidP="00244CD2">
      <w:pPr>
        <w:snapToGrid w:val="0"/>
        <w:spacing w:line="360" w:lineRule="auto"/>
        <w:jc w:val="both"/>
        <w:rPr>
          <w:rFonts w:ascii="Book Antiqua" w:eastAsia="Book Antiqua" w:hAnsi="Book Antiqua" w:cs="Book Antiqua"/>
          <w:b/>
          <w:noProof/>
        </w:rPr>
      </w:pPr>
      <w:r w:rsidRPr="00244CD2">
        <w:rPr>
          <w:rFonts w:ascii="Book Antiqua" w:eastAsia="Book Antiqua" w:hAnsi="Book Antiqua" w:cs="Book Antiqua"/>
          <w:b/>
          <w:noProof/>
        </w:rPr>
        <w:t xml:space="preserve">P-Reviewer: </w:t>
      </w:r>
      <w:r w:rsidRPr="00244CD2">
        <w:rPr>
          <w:rFonts w:ascii="Book Antiqua" w:eastAsia="Book Antiqua" w:hAnsi="Book Antiqua" w:cs="Book Antiqua"/>
          <w:noProof/>
        </w:rPr>
        <w:t>O'Malley D</w:t>
      </w:r>
      <w:r w:rsidRPr="00244CD2">
        <w:rPr>
          <w:rFonts w:ascii="Book Antiqua" w:eastAsia="Book Antiqua" w:hAnsi="Book Antiqua" w:cs="Book Antiqua"/>
          <w:b/>
          <w:noProof/>
        </w:rPr>
        <w:t xml:space="preserve"> S-Editor: </w:t>
      </w:r>
      <w:r w:rsidRPr="00244CD2">
        <w:rPr>
          <w:rFonts w:ascii="Book Antiqua" w:eastAsia="Book Antiqua" w:hAnsi="Book Antiqua" w:cs="Book Antiqua"/>
          <w:noProof/>
        </w:rPr>
        <w:t>Zhang H</w:t>
      </w:r>
      <w:r w:rsidR="0044615E" w:rsidRPr="00244CD2">
        <w:rPr>
          <w:rFonts w:ascii="Book Antiqua" w:eastAsia="Book Antiqua" w:hAnsi="Book Antiqua" w:cs="Book Antiqua"/>
          <w:b/>
          <w:noProof/>
        </w:rPr>
        <w:t xml:space="preserve"> L-Editor:</w:t>
      </w:r>
      <w:r w:rsidRPr="00244CD2">
        <w:rPr>
          <w:rFonts w:ascii="Book Antiqua" w:eastAsia="Book Antiqua" w:hAnsi="Book Antiqua" w:cs="Book Antiqua"/>
          <w:b/>
          <w:noProof/>
        </w:rPr>
        <w:t xml:space="preserve"> </w:t>
      </w:r>
      <w:r w:rsidR="00F33E39" w:rsidRPr="00244CD2">
        <w:rPr>
          <w:rFonts w:ascii="Book Antiqua" w:eastAsia="Book Antiqua" w:hAnsi="Book Antiqua" w:cs="Book Antiqua"/>
          <w:bCs/>
          <w:noProof/>
        </w:rPr>
        <w:t xml:space="preserve">Filipodia </w:t>
      </w:r>
      <w:r w:rsidRPr="00244CD2">
        <w:rPr>
          <w:rFonts w:ascii="Book Antiqua" w:eastAsia="Book Antiqua" w:hAnsi="Book Antiqua" w:cs="Book Antiqua"/>
          <w:b/>
          <w:noProof/>
        </w:rPr>
        <w:t xml:space="preserve">P-Editor: </w:t>
      </w:r>
    </w:p>
    <w:p w14:paraId="33956670" w14:textId="77777777" w:rsidR="00A77B3E" w:rsidRPr="00244CD2" w:rsidRDefault="00E2247B" w:rsidP="00244CD2">
      <w:pPr>
        <w:snapToGrid w:val="0"/>
        <w:spacing w:line="360" w:lineRule="auto"/>
        <w:jc w:val="both"/>
        <w:rPr>
          <w:rFonts w:ascii="Book Antiqua" w:hAnsi="Book Antiqua" w:cs="Book Antiqua"/>
          <w:b/>
          <w:noProof/>
          <w:lang w:eastAsia="zh-CN"/>
        </w:rPr>
      </w:pPr>
      <w:r w:rsidRPr="00244CD2">
        <w:rPr>
          <w:rFonts w:ascii="Book Antiqua" w:eastAsia="Book Antiqua" w:hAnsi="Book Antiqua" w:cs="Book Antiqua"/>
          <w:b/>
          <w:noProof/>
        </w:rPr>
        <w:br w:type="page"/>
      </w:r>
      <w:r w:rsidRPr="00244CD2">
        <w:rPr>
          <w:rFonts w:ascii="Book Antiqua" w:hAnsi="Book Antiqua" w:cs="Book Antiqua"/>
          <w:b/>
          <w:noProof/>
          <w:lang w:eastAsia="zh-CN"/>
        </w:rPr>
        <w:lastRenderedPageBreak/>
        <w:t>Figure Legends</w:t>
      </w:r>
    </w:p>
    <w:p w14:paraId="0587AE82" w14:textId="77777777" w:rsidR="00E2247B" w:rsidRPr="00244CD2" w:rsidRDefault="002D00F9" w:rsidP="00244CD2">
      <w:pPr>
        <w:snapToGrid w:val="0"/>
        <w:spacing w:line="360" w:lineRule="auto"/>
        <w:jc w:val="both"/>
        <w:rPr>
          <w:noProof/>
          <w:lang w:eastAsia="zh-CN"/>
        </w:rPr>
      </w:pPr>
      <w:r w:rsidRPr="004B4DAE">
        <w:rPr>
          <w:noProof/>
          <w:lang w:eastAsia="zh-CN"/>
        </w:rPr>
        <w:drawing>
          <wp:inline distT="0" distB="0" distL="0" distR="0" wp14:anchorId="02C719E4" wp14:editId="2B39001E">
            <wp:extent cx="5994071" cy="3055639"/>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96201" cy="3056725"/>
                    </a:xfrm>
                    <a:prstGeom prst="rect">
                      <a:avLst/>
                    </a:prstGeom>
                    <a:noFill/>
                  </pic:spPr>
                </pic:pic>
              </a:graphicData>
            </a:graphic>
          </wp:inline>
        </w:drawing>
      </w:r>
    </w:p>
    <w:p w14:paraId="413E6035" w14:textId="77777777" w:rsidR="002D00F9" w:rsidRPr="00244CD2" w:rsidRDefault="002D00F9" w:rsidP="00244CD2">
      <w:pPr>
        <w:snapToGrid w:val="0"/>
        <w:spacing w:line="360" w:lineRule="auto"/>
        <w:jc w:val="both"/>
        <w:rPr>
          <w:rFonts w:ascii="宋体" w:eastAsia="宋体" w:hAnsi="宋体" w:cs="宋体"/>
          <w:noProof/>
          <w:kern w:val="2"/>
          <w:lang w:eastAsia="zh-CN"/>
        </w:rPr>
      </w:pPr>
      <w:r w:rsidRPr="00244CD2">
        <w:rPr>
          <w:rFonts w:ascii="Book Antiqua" w:eastAsia="AdvOT1ef757c0" w:hAnsi="Book Antiqua"/>
          <w:b/>
          <w:noProof/>
          <w:kern w:val="2"/>
          <w:lang w:eastAsia="zh-CN"/>
        </w:rPr>
        <w:t xml:space="preserve">Figure 1 Correlations between fecal bile acids and clinical parameters in patients with diarrhea-predominant irritable bowel syndrome. </w:t>
      </w:r>
      <w:r w:rsidRPr="00244CD2">
        <w:rPr>
          <w:rFonts w:ascii="Book Antiqua" w:eastAsia="AdvOT1ef757c0" w:hAnsi="Book Antiqua"/>
          <w:noProof/>
          <w:kern w:val="2"/>
          <w:lang w:eastAsia="zh-CN"/>
        </w:rPr>
        <w:t xml:space="preserve">A-D: </w:t>
      </w:r>
      <w:r w:rsidRPr="00244CD2">
        <w:rPr>
          <w:rFonts w:ascii="Book Antiqua" w:eastAsia="等线" w:hAnsi="Book Antiqua"/>
          <w:noProof/>
          <w:lang w:eastAsia="zh-CN"/>
        </w:rPr>
        <w:t xml:space="preserve">Defecation frequency was positively correlated with the level of </w:t>
      </w:r>
      <w:r w:rsidR="00052A41" w:rsidRPr="00244CD2">
        <w:rPr>
          <w:rFonts w:ascii="Book Antiqua" w:eastAsia="AdvOT1ef757c0" w:hAnsi="Book Antiqua"/>
          <w:noProof/>
          <w:kern w:val="2"/>
          <w:lang w:eastAsia="zh-CN"/>
        </w:rPr>
        <w:t>cholic acid</w:t>
      </w:r>
      <w:r w:rsidR="00052A41" w:rsidRPr="00244CD2">
        <w:rPr>
          <w:rFonts w:ascii="Book Antiqua" w:eastAsia="等线" w:hAnsi="Book Antiqua"/>
          <w:noProof/>
          <w:lang w:eastAsia="zh-CN"/>
        </w:rPr>
        <w:t xml:space="preserve"> </w:t>
      </w:r>
      <w:r w:rsidRPr="00244CD2">
        <w:rPr>
          <w:rFonts w:ascii="Book Antiqua" w:eastAsia="等线" w:hAnsi="Book Antiqua"/>
          <w:noProof/>
          <w:lang w:eastAsia="zh-CN"/>
        </w:rPr>
        <w:t xml:space="preserve">and </w:t>
      </w:r>
      <w:r w:rsidR="00052A41" w:rsidRPr="00244CD2">
        <w:rPr>
          <w:rFonts w:ascii="Book Antiqua" w:eastAsia="AdvOT1ef757c0" w:hAnsi="Book Antiqua"/>
          <w:noProof/>
          <w:kern w:val="2"/>
          <w:lang w:eastAsia="zh-CN"/>
        </w:rPr>
        <w:t>chenodeoxycholic acid</w:t>
      </w:r>
      <w:r w:rsidR="00052A41" w:rsidRPr="00244CD2">
        <w:rPr>
          <w:rFonts w:ascii="Book Antiqua" w:eastAsia="等线" w:hAnsi="Book Antiqua"/>
          <w:noProof/>
          <w:lang w:eastAsia="zh-CN"/>
        </w:rPr>
        <w:t xml:space="preserve"> (</w:t>
      </w:r>
      <w:r w:rsidRPr="00244CD2">
        <w:rPr>
          <w:rFonts w:ascii="Book Antiqua" w:eastAsia="等线" w:hAnsi="Book Antiqua"/>
          <w:noProof/>
          <w:lang w:eastAsia="zh-CN"/>
        </w:rPr>
        <w:t>CDCA</w:t>
      </w:r>
      <w:r w:rsidR="00052A41" w:rsidRPr="00244CD2">
        <w:rPr>
          <w:rFonts w:ascii="Book Antiqua" w:eastAsia="等线" w:hAnsi="Book Antiqua"/>
          <w:noProof/>
          <w:lang w:eastAsia="zh-CN"/>
        </w:rPr>
        <w:t>)</w:t>
      </w:r>
      <w:r w:rsidRPr="00244CD2">
        <w:rPr>
          <w:rFonts w:ascii="Book Antiqua" w:eastAsia="等线" w:hAnsi="Book Antiqua"/>
          <w:noProof/>
          <w:lang w:eastAsia="zh-CN"/>
        </w:rPr>
        <w:t xml:space="preserve">, and negatively correlated with the level of </w:t>
      </w:r>
      <w:r w:rsidR="00052A41" w:rsidRPr="00244CD2">
        <w:rPr>
          <w:rFonts w:ascii="Book Antiqua" w:eastAsia="AdvOT1ef757c0" w:hAnsi="Book Antiqua"/>
          <w:noProof/>
          <w:kern w:val="2"/>
          <w:lang w:eastAsia="zh-CN"/>
        </w:rPr>
        <w:t xml:space="preserve">deoxycholic acid </w:t>
      </w:r>
      <w:r w:rsidRPr="00244CD2">
        <w:rPr>
          <w:rFonts w:ascii="Book Antiqua" w:eastAsia="AdvOT1ef757c0" w:hAnsi="Book Antiqua"/>
          <w:noProof/>
          <w:kern w:val="2"/>
          <w:lang w:eastAsia="zh-CN"/>
        </w:rPr>
        <w:t>and</w:t>
      </w:r>
      <w:r w:rsidRPr="00244CD2">
        <w:rPr>
          <w:rFonts w:ascii="Book Antiqua" w:eastAsia="等线" w:hAnsi="Book Antiqua"/>
          <w:noProof/>
          <w:lang w:eastAsia="zh-CN"/>
        </w:rPr>
        <w:t xml:space="preserve"> </w:t>
      </w:r>
      <w:r w:rsidR="00052A41" w:rsidRPr="00244CD2">
        <w:rPr>
          <w:rFonts w:ascii="Book Antiqua" w:eastAsia="AdvOT1ef757c0" w:hAnsi="Book Antiqua"/>
          <w:noProof/>
          <w:kern w:val="2"/>
          <w:lang w:eastAsia="zh-CN"/>
        </w:rPr>
        <w:t>lithocholic acid</w:t>
      </w:r>
      <w:r w:rsidRPr="00244CD2">
        <w:rPr>
          <w:rFonts w:ascii="Book Antiqua" w:eastAsia="AdvOT1ef757c0" w:hAnsi="Book Antiqua"/>
          <w:noProof/>
          <w:kern w:val="2"/>
          <w:lang w:eastAsia="zh-CN"/>
        </w:rPr>
        <w:t xml:space="preserve">; E: </w:t>
      </w:r>
      <w:r w:rsidRPr="00244CD2">
        <w:rPr>
          <w:rFonts w:ascii="Book Antiqua" w:eastAsia="等线" w:hAnsi="Book Antiqua"/>
          <w:noProof/>
          <w:lang w:eastAsia="zh-CN"/>
        </w:rPr>
        <w:t>The first sensation threshold was negatively correlated with CDCA; F: The defecating sensation threshold tended to be negatively correlated with CDCA</w:t>
      </w:r>
      <w:r w:rsidRPr="00244CD2">
        <w:rPr>
          <w:rFonts w:ascii="Book Antiqua" w:eastAsia="等线" w:hAnsi="Book Antiqua"/>
          <w:noProof/>
          <w:kern w:val="2"/>
          <w:lang w:eastAsia="zh-CN"/>
        </w:rPr>
        <w:t xml:space="preserve">. </w:t>
      </w:r>
      <w:r w:rsidRPr="00244CD2">
        <w:rPr>
          <w:rFonts w:ascii="Book Antiqua" w:eastAsia="AdvOT1ef757c0" w:hAnsi="Book Antiqua"/>
          <w:noProof/>
          <w:kern w:val="2"/>
          <w:lang w:eastAsia="zh-CN"/>
        </w:rPr>
        <w:t xml:space="preserve">CA: </w:t>
      </w:r>
      <w:bookmarkStart w:id="41" w:name="OLE_LINK71"/>
      <w:bookmarkStart w:id="42" w:name="OLE_LINK72"/>
      <w:r w:rsidR="00052A41" w:rsidRPr="00244CD2">
        <w:rPr>
          <w:rFonts w:ascii="Book Antiqua" w:eastAsia="AdvOT1ef757c0" w:hAnsi="Book Antiqua"/>
          <w:noProof/>
          <w:kern w:val="2"/>
          <w:lang w:eastAsia="zh-CN"/>
        </w:rPr>
        <w:t>C</w:t>
      </w:r>
      <w:r w:rsidRPr="00244CD2">
        <w:rPr>
          <w:rFonts w:ascii="Book Antiqua" w:eastAsia="AdvOT1ef757c0" w:hAnsi="Book Antiqua"/>
          <w:noProof/>
          <w:kern w:val="2"/>
          <w:lang w:eastAsia="zh-CN"/>
        </w:rPr>
        <w:t>holic acid</w:t>
      </w:r>
      <w:bookmarkEnd w:id="41"/>
      <w:bookmarkEnd w:id="42"/>
      <w:r w:rsidRPr="00244CD2">
        <w:rPr>
          <w:rFonts w:ascii="Book Antiqua" w:eastAsia="AdvOT1ef757c0" w:hAnsi="Book Antiqua"/>
          <w:noProof/>
          <w:kern w:val="2"/>
          <w:lang w:eastAsia="zh-CN"/>
        </w:rPr>
        <w:t xml:space="preserve">; CDCA: </w:t>
      </w:r>
      <w:bookmarkStart w:id="43" w:name="OLE_LINK73"/>
      <w:bookmarkStart w:id="44" w:name="OLE_LINK74"/>
      <w:r w:rsidR="00052A41" w:rsidRPr="00244CD2">
        <w:rPr>
          <w:rFonts w:ascii="Book Antiqua" w:eastAsia="AdvOT1ef757c0" w:hAnsi="Book Antiqua"/>
          <w:noProof/>
          <w:kern w:val="2"/>
          <w:lang w:eastAsia="zh-CN"/>
        </w:rPr>
        <w:t>C</w:t>
      </w:r>
      <w:r w:rsidRPr="00244CD2">
        <w:rPr>
          <w:rFonts w:ascii="Book Antiqua" w:eastAsia="AdvOT1ef757c0" w:hAnsi="Book Antiqua"/>
          <w:noProof/>
          <w:kern w:val="2"/>
          <w:lang w:eastAsia="zh-CN"/>
        </w:rPr>
        <w:t>henodeoxycholic acid</w:t>
      </w:r>
      <w:bookmarkEnd w:id="43"/>
      <w:bookmarkEnd w:id="44"/>
      <w:r w:rsidRPr="00244CD2">
        <w:rPr>
          <w:rFonts w:ascii="Book Antiqua" w:eastAsia="AdvOT1ef757c0" w:hAnsi="Book Antiqua"/>
          <w:noProof/>
          <w:kern w:val="2"/>
          <w:lang w:eastAsia="zh-CN"/>
        </w:rPr>
        <w:t xml:space="preserve">; DCA: </w:t>
      </w:r>
      <w:bookmarkStart w:id="45" w:name="OLE_LINK75"/>
      <w:r w:rsidR="00052A41" w:rsidRPr="00244CD2">
        <w:rPr>
          <w:rFonts w:ascii="Book Antiqua" w:eastAsia="AdvOT1ef757c0" w:hAnsi="Book Antiqua"/>
          <w:noProof/>
          <w:kern w:val="2"/>
          <w:lang w:eastAsia="zh-CN"/>
        </w:rPr>
        <w:t>D</w:t>
      </w:r>
      <w:r w:rsidRPr="00244CD2">
        <w:rPr>
          <w:rFonts w:ascii="Book Antiqua" w:eastAsia="AdvOT1ef757c0" w:hAnsi="Book Antiqua"/>
          <w:noProof/>
          <w:kern w:val="2"/>
          <w:lang w:eastAsia="zh-CN"/>
        </w:rPr>
        <w:t>eoxycholic acid</w:t>
      </w:r>
      <w:bookmarkEnd w:id="45"/>
      <w:r w:rsidRPr="00244CD2">
        <w:rPr>
          <w:rFonts w:ascii="Book Antiqua" w:eastAsia="AdvOT1ef757c0" w:hAnsi="Book Antiqua"/>
          <w:noProof/>
          <w:kern w:val="2"/>
          <w:lang w:eastAsia="zh-CN"/>
        </w:rPr>
        <w:t xml:space="preserve">; LCA: </w:t>
      </w:r>
      <w:bookmarkStart w:id="46" w:name="OLE_LINK76"/>
      <w:bookmarkStart w:id="47" w:name="OLE_LINK77"/>
      <w:r w:rsidR="00052A41" w:rsidRPr="00244CD2">
        <w:rPr>
          <w:rFonts w:ascii="Book Antiqua" w:eastAsia="AdvOT1ef757c0" w:hAnsi="Book Antiqua"/>
          <w:noProof/>
          <w:kern w:val="2"/>
          <w:lang w:eastAsia="zh-CN"/>
        </w:rPr>
        <w:t>L</w:t>
      </w:r>
      <w:r w:rsidRPr="00244CD2">
        <w:rPr>
          <w:rFonts w:ascii="Book Antiqua" w:eastAsia="AdvOT1ef757c0" w:hAnsi="Book Antiqua"/>
          <w:noProof/>
          <w:kern w:val="2"/>
          <w:lang w:eastAsia="zh-CN"/>
        </w:rPr>
        <w:t>ithocholic acid</w:t>
      </w:r>
      <w:bookmarkEnd w:id="46"/>
      <w:bookmarkEnd w:id="47"/>
      <w:r w:rsidRPr="00244CD2">
        <w:rPr>
          <w:rFonts w:ascii="宋体" w:eastAsia="宋体" w:hAnsi="宋体" w:cs="宋体"/>
          <w:noProof/>
          <w:kern w:val="2"/>
          <w:lang w:eastAsia="zh-CN"/>
        </w:rPr>
        <w:t>.</w:t>
      </w:r>
    </w:p>
    <w:p w14:paraId="10FDA6D3" w14:textId="77777777" w:rsidR="002D00F9" w:rsidRPr="00244CD2" w:rsidRDefault="002D00F9" w:rsidP="00244CD2">
      <w:pPr>
        <w:snapToGrid w:val="0"/>
        <w:spacing w:line="360" w:lineRule="auto"/>
        <w:jc w:val="both"/>
        <w:rPr>
          <w:rFonts w:ascii="宋体" w:eastAsia="宋体" w:hAnsi="宋体" w:cs="宋体"/>
          <w:noProof/>
          <w:kern w:val="2"/>
          <w:lang w:eastAsia="zh-CN"/>
        </w:rPr>
      </w:pPr>
      <w:r w:rsidRPr="00244CD2">
        <w:rPr>
          <w:rFonts w:ascii="宋体" w:eastAsia="宋体" w:hAnsi="宋体" w:cs="宋体"/>
          <w:noProof/>
          <w:kern w:val="2"/>
          <w:lang w:eastAsia="zh-CN"/>
        </w:rPr>
        <w:br w:type="page"/>
      </w:r>
      <w:r w:rsidR="00B7137F" w:rsidRPr="004B4DAE">
        <w:rPr>
          <w:rFonts w:ascii="宋体" w:eastAsia="宋体" w:hAnsi="宋体" w:cs="宋体"/>
          <w:noProof/>
          <w:kern w:val="2"/>
          <w:lang w:eastAsia="zh-CN"/>
        </w:rPr>
        <w:lastRenderedPageBreak/>
        <w:drawing>
          <wp:inline distT="0" distB="0" distL="0" distR="0" wp14:anchorId="44C652E5" wp14:editId="0766FD6D">
            <wp:extent cx="2552700" cy="2607567"/>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7490" cy="2612460"/>
                    </a:xfrm>
                    <a:prstGeom prst="rect">
                      <a:avLst/>
                    </a:prstGeom>
                    <a:noFill/>
                  </pic:spPr>
                </pic:pic>
              </a:graphicData>
            </a:graphic>
          </wp:inline>
        </w:drawing>
      </w:r>
      <w:r w:rsidR="00B7137F" w:rsidRPr="004B4DAE">
        <w:rPr>
          <w:rFonts w:ascii="宋体" w:eastAsia="宋体" w:hAnsi="宋体" w:cs="宋体"/>
          <w:noProof/>
          <w:kern w:val="2"/>
          <w:lang w:eastAsia="zh-CN"/>
        </w:rPr>
        <w:drawing>
          <wp:inline distT="0" distB="0" distL="0" distR="0" wp14:anchorId="1514F719" wp14:editId="60582BE8">
            <wp:extent cx="3003099" cy="2531708"/>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5000" cy="2533310"/>
                    </a:xfrm>
                    <a:prstGeom prst="rect">
                      <a:avLst/>
                    </a:prstGeom>
                    <a:noFill/>
                  </pic:spPr>
                </pic:pic>
              </a:graphicData>
            </a:graphic>
          </wp:inline>
        </w:drawing>
      </w:r>
    </w:p>
    <w:p w14:paraId="6DF5B0C2" w14:textId="77777777" w:rsidR="002D00F9" w:rsidRPr="00244CD2" w:rsidRDefault="00B7137F" w:rsidP="00244CD2">
      <w:pPr>
        <w:snapToGrid w:val="0"/>
        <w:spacing w:line="360" w:lineRule="auto"/>
        <w:jc w:val="both"/>
        <w:rPr>
          <w:rFonts w:ascii="宋体" w:eastAsia="宋体" w:hAnsi="宋体" w:cs="宋体"/>
          <w:noProof/>
          <w:kern w:val="2"/>
          <w:lang w:eastAsia="zh-CN"/>
        </w:rPr>
      </w:pPr>
      <w:r w:rsidRPr="004B4DAE">
        <w:rPr>
          <w:rFonts w:ascii="宋体" w:eastAsia="宋体" w:hAnsi="宋体" w:cs="宋体"/>
          <w:noProof/>
          <w:kern w:val="2"/>
          <w:lang w:eastAsia="zh-CN"/>
        </w:rPr>
        <w:drawing>
          <wp:inline distT="0" distB="0" distL="0" distR="0" wp14:anchorId="31995B78" wp14:editId="6356CB8E">
            <wp:extent cx="2638425" cy="2224276"/>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1680" cy="2227020"/>
                    </a:xfrm>
                    <a:prstGeom prst="rect">
                      <a:avLst/>
                    </a:prstGeom>
                    <a:noFill/>
                  </pic:spPr>
                </pic:pic>
              </a:graphicData>
            </a:graphic>
          </wp:inline>
        </w:drawing>
      </w:r>
    </w:p>
    <w:p w14:paraId="058B06F4" w14:textId="18CE1D9A" w:rsidR="002D00F9" w:rsidRPr="00244CD2" w:rsidRDefault="002D00F9" w:rsidP="00244CD2">
      <w:pPr>
        <w:snapToGrid w:val="0"/>
        <w:spacing w:line="360" w:lineRule="auto"/>
        <w:jc w:val="both"/>
        <w:rPr>
          <w:rFonts w:ascii="Book Antiqua" w:eastAsia="等线" w:hAnsi="Book Antiqua"/>
          <w:noProof/>
          <w:kern w:val="2"/>
          <w:lang w:eastAsia="zh-CN"/>
        </w:rPr>
      </w:pPr>
      <w:r w:rsidRPr="00244CD2">
        <w:rPr>
          <w:rFonts w:ascii="Book Antiqua" w:eastAsia="AdvOT1ef757c0" w:hAnsi="Book Antiqua"/>
          <w:b/>
          <w:noProof/>
          <w:kern w:val="2"/>
          <w:lang w:eastAsia="zh-CN"/>
        </w:rPr>
        <w:t xml:space="preserve">Figure 2 Fecal bacterial </w:t>
      </w:r>
      <w:r w:rsidR="00E868E0" w:rsidRPr="00244CD2">
        <w:rPr>
          <w:rFonts w:ascii="Book Antiqua" w:eastAsia="AdvOT1ef757c0" w:hAnsi="Book Antiqua"/>
          <w:b/>
          <w:noProof/>
          <w:kern w:val="2"/>
          <w:lang w:eastAsia="zh-CN"/>
        </w:rPr>
        <w:t>structures</w:t>
      </w:r>
      <w:r w:rsidRPr="00244CD2">
        <w:rPr>
          <w:rFonts w:ascii="Book Antiqua" w:eastAsia="AdvOT1ef757c0" w:hAnsi="Book Antiqua"/>
          <w:b/>
          <w:noProof/>
          <w:kern w:val="2"/>
          <w:lang w:eastAsia="zh-CN"/>
        </w:rPr>
        <w:t xml:space="preserve"> of patients with diarrhea-predominant irritable bowel syndrome and healthy controls. </w:t>
      </w:r>
      <w:r w:rsidRPr="00244CD2">
        <w:rPr>
          <w:rFonts w:ascii="Book Antiqua" w:eastAsia="AdvOT1ef757c0" w:hAnsi="Book Antiqua"/>
          <w:noProof/>
          <w:kern w:val="2"/>
          <w:lang w:eastAsia="zh-CN"/>
        </w:rPr>
        <w:t xml:space="preserve">A: </w:t>
      </w:r>
      <w:r w:rsidRPr="00244CD2">
        <w:rPr>
          <w:rFonts w:ascii="Book Antiqua" w:eastAsia="等线" w:hAnsi="Book Antiqua"/>
          <w:noProof/>
          <w:lang w:eastAsia="zh-CN"/>
        </w:rPr>
        <w:t xml:space="preserve">Chao1 index in the </w:t>
      </w:r>
      <w:r w:rsidR="00E868E0" w:rsidRPr="00244CD2">
        <w:rPr>
          <w:rFonts w:ascii="Book Antiqua" w:eastAsia="Book Antiqua" w:hAnsi="Book Antiqua" w:cs="Book Antiqua"/>
          <w:noProof/>
        </w:rPr>
        <w:t>irritable bowel syndrome with predominant diarrhea</w:t>
      </w:r>
      <w:r w:rsidR="00E868E0" w:rsidRPr="00244CD2">
        <w:rPr>
          <w:rFonts w:ascii="Book Antiqua" w:eastAsia="AdvOT1ef757c0" w:hAnsi="Book Antiqua"/>
          <w:noProof/>
        </w:rPr>
        <w:t xml:space="preserve"> </w:t>
      </w:r>
      <w:r w:rsidR="00E868E0" w:rsidRPr="00244CD2">
        <w:rPr>
          <w:rFonts w:ascii="Book Antiqua" w:eastAsia="AdvOT1ef757c0" w:hAnsi="Book Antiqua"/>
          <w:noProof/>
          <w:lang w:eastAsia="zh-CN"/>
        </w:rPr>
        <w:t>(</w:t>
      </w:r>
      <w:r w:rsidR="00E868E0" w:rsidRPr="00244CD2">
        <w:rPr>
          <w:rFonts w:ascii="Book Antiqua" w:eastAsia="AdvOT1ef757c0" w:hAnsi="Book Antiqua"/>
          <w:noProof/>
        </w:rPr>
        <w:t>IBS-D</w:t>
      </w:r>
      <w:r w:rsidR="00E868E0" w:rsidRPr="00244CD2">
        <w:rPr>
          <w:rFonts w:ascii="Book Antiqua" w:eastAsia="AdvOT1ef757c0" w:hAnsi="Book Antiqua"/>
          <w:noProof/>
          <w:lang w:eastAsia="zh-CN"/>
        </w:rPr>
        <w:t>)</w:t>
      </w:r>
      <w:r w:rsidRPr="00244CD2">
        <w:rPr>
          <w:rFonts w:ascii="Book Antiqua" w:eastAsia="等线" w:hAnsi="Book Antiqua"/>
          <w:noProof/>
          <w:lang w:eastAsia="zh-CN"/>
        </w:rPr>
        <w:t xml:space="preserve"> </w:t>
      </w:r>
      <w:r w:rsidR="003C0914">
        <w:rPr>
          <w:rFonts w:ascii="Book Antiqua" w:eastAsia="等线" w:hAnsi="Book Antiqua"/>
          <w:noProof/>
          <w:lang w:eastAsia="zh-CN"/>
        </w:rPr>
        <w:t xml:space="preserve">group </w:t>
      </w:r>
      <w:r w:rsidRPr="00244CD2">
        <w:rPr>
          <w:rFonts w:ascii="Book Antiqua" w:eastAsia="等线" w:hAnsi="Book Antiqua"/>
          <w:noProof/>
          <w:lang w:eastAsia="zh-CN"/>
        </w:rPr>
        <w:t xml:space="preserve">and </w:t>
      </w:r>
      <w:r w:rsidR="003C0914">
        <w:rPr>
          <w:rFonts w:ascii="Book Antiqua" w:eastAsia="等线" w:hAnsi="Book Antiqua"/>
          <w:noProof/>
          <w:lang w:eastAsia="zh-CN"/>
        </w:rPr>
        <w:t xml:space="preserve">the </w:t>
      </w:r>
      <w:r w:rsidR="00E868E0" w:rsidRPr="00244CD2">
        <w:rPr>
          <w:rFonts w:ascii="Book Antiqua" w:eastAsia="等线" w:hAnsi="Book Antiqua"/>
          <w:noProof/>
          <w:kern w:val="2"/>
          <w:lang w:eastAsia="zh-CN"/>
        </w:rPr>
        <w:t>healthy control</w:t>
      </w:r>
      <w:r w:rsidR="00E868E0" w:rsidRPr="00244CD2">
        <w:rPr>
          <w:rFonts w:ascii="Book Antiqua" w:eastAsia="等线" w:hAnsi="Book Antiqua"/>
          <w:noProof/>
          <w:lang w:eastAsia="zh-CN"/>
        </w:rPr>
        <w:t xml:space="preserve"> (</w:t>
      </w:r>
      <w:r w:rsidRPr="00244CD2">
        <w:rPr>
          <w:rFonts w:ascii="Book Antiqua" w:eastAsia="等线" w:hAnsi="Book Antiqua"/>
          <w:noProof/>
          <w:lang w:eastAsia="zh-CN"/>
        </w:rPr>
        <w:t>HC</w:t>
      </w:r>
      <w:r w:rsidR="00E868E0" w:rsidRPr="00244CD2">
        <w:rPr>
          <w:rFonts w:ascii="Book Antiqua" w:eastAsia="等线" w:hAnsi="Book Antiqua"/>
          <w:noProof/>
          <w:lang w:eastAsia="zh-CN"/>
        </w:rPr>
        <w:t>)</w:t>
      </w:r>
      <w:r w:rsidRPr="00244CD2">
        <w:rPr>
          <w:rFonts w:ascii="Book Antiqua" w:eastAsia="等线" w:hAnsi="Book Antiqua"/>
          <w:noProof/>
          <w:lang w:eastAsia="zh-CN"/>
        </w:rPr>
        <w:t xml:space="preserve"> group, Chao1 index was decreased significantly in the IBS-D group; </w:t>
      </w:r>
      <w:r w:rsidR="00E868E0" w:rsidRPr="00244CD2">
        <w:rPr>
          <w:rFonts w:ascii="Book Antiqua" w:eastAsia="AdvOT1ef757c0" w:hAnsi="Book Antiqua"/>
          <w:noProof/>
          <w:kern w:val="2"/>
          <w:lang w:eastAsia="zh-CN"/>
        </w:rPr>
        <w:t xml:space="preserve">B and </w:t>
      </w:r>
      <w:r w:rsidRPr="00244CD2">
        <w:rPr>
          <w:rFonts w:ascii="Book Antiqua" w:eastAsia="AdvOT1ef757c0" w:hAnsi="Book Antiqua"/>
          <w:noProof/>
          <w:kern w:val="2"/>
          <w:lang w:eastAsia="zh-CN"/>
        </w:rPr>
        <w:t xml:space="preserve">C: </w:t>
      </w:r>
      <w:r w:rsidRPr="00244CD2">
        <w:rPr>
          <w:rFonts w:ascii="Book Antiqua" w:eastAsia="等线" w:hAnsi="Book Antiqua"/>
          <w:noProof/>
          <w:lang w:eastAsia="zh-CN"/>
        </w:rPr>
        <w:t xml:space="preserve">Weighted and unweighted </w:t>
      </w:r>
      <w:r w:rsidR="00E868E0" w:rsidRPr="00244CD2">
        <w:rPr>
          <w:rFonts w:ascii="Book Antiqua" w:eastAsia="等线" w:hAnsi="Book Antiqua"/>
          <w:noProof/>
          <w:lang w:eastAsia="zh-CN"/>
        </w:rPr>
        <w:t>principal coordinate analysis</w:t>
      </w:r>
      <w:r w:rsidRPr="00244CD2">
        <w:rPr>
          <w:rFonts w:ascii="Book Antiqua" w:eastAsia="等线" w:hAnsi="Book Antiqua"/>
          <w:noProof/>
          <w:lang w:eastAsia="zh-CN"/>
        </w:rPr>
        <w:t xml:space="preserve"> of fecal bacterial in the IBS-D and HC group</w:t>
      </w:r>
      <w:r w:rsidR="003C0914">
        <w:rPr>
          <w:rFonts w:ascii="Book Antiqua" w:eastAsia="等线" w:hAnsi="Book Antiqua"/>
          <w:noProof/>
          <w:lang w:eastAsia="zh-CN"/>
        </w:rPr>
        <w:t>s</w:t>
      </w:r>
      <w:r w:rsidRPr="00244CD2">
        <w:rPr>
          <w:rFonts w:ascii="Book Antiqua" w:eastAsia="等线" w:hAnsi="Book Antiqua"/>
          <w:noProof/>
          <w:lang w:eastAsia="zh-CN"/>
        </w:rPr>
        <w:t xml:space="preserve">, both differed significantly between the two groups. </w:t>
      </w:r>
      <w:r w:rsidRPr="00244CD2">
        <w:rPr>
          <w:rFonts w:ascii="Book Antiqua" w:eastAsia="AdvOT1ef757c0" w:hAnsi="Book Antiqua"/>
          <w:noProof/>
          <w:kern w:val="2"/>
          <w:lang w:eastAsia="zh-CN"/>
        </w:rPr>
        <w:t>Boxes indicate</w:t>
      </w:r>
      <w:r w:rsidRPr="00244CD2">
        <w:rPr>
          <w:rFonts w:ascii="Book Antiqua" w:eastAsia="等线" w:hAnsi="Book Antiqua"/>
          <w:noProof/>
          <w:kern w:val="2"/>
          <w:lang w:eastAsia="zh-CN"/>
        </w:rPr>
        <w:t xml:space="preserve"> the interquartile range; lines inside the boxes indicate the medians; the two whiskers indicate the maximum and minimum of the data; the points outside the</w:t>
      </w:r>
      <w:r w:rsidR="00E868E0" w:rsidRPr="00244CD2">
        <w:rPr>
          <w:rFonts w:ascii="Book Antiqua" w:eastAsia="等线" w:hAnsi="Book Antiqua"/>
          <w:noProof/>
          <w:kern w:val="2"/>
          <w:lang w:eastAsia="zh-CN"/>
        </w:rPr>
        <w:t xml:space="preserve"> box indicate outliers. </w:t>
      </w:r>
      <w:r w:rsidRPr="00244CD2">
        <w:rPr>
          <w:rFonts w:ascii="Book Antiqua" w:eastAsia="等线" w:hAnsi="Book Antiqua"/>
          <w:noProof/>
          <w:kern w:val="2"/>
          <w:lang w:eastAsia="zh-CN"/>
        </w:rPr>
        <w:t>PCo</w:t>
      </w:r>
      <w:r w:rsidR="00E868E0" w:rsidRPr="00244CD2">
        <w:rPr>
          <w:rFonts w:ascii="Book Antiqua" w:eastAsia="等线" w:hAnsi="Book Antiqua"/>
          <w:noProof/>
          <w:kern w:val="2"/>
          <w:lang w:eastAsia="zh-CN"/>
        </w:rPr>
        <w:t xml:space="preserve">A: </w:t>
      </w:r>
      <w:bookmarkStart w:id="48" w:name="OLE_LINK69"/>
      <w:bookmarkStart w:id="49" w:name="OLE_LINK70"/>
      <w:r w:rsidR="00E868E0" w:rsidRPr="00244CD2">
        <w:rPr>
          <w:rFonts w:ascii="Book Antiqua" w:eastAsia="等线" w:hAnsi="Book Antiqua"/>
          <w:noProof/>
          <w:kern w:val="2"/>
          <w:lang w:eastAsia="zh-CN"/>
        </w:rPr>
        <w:t>P</w:t>
      </w:r>
      <w:r w:rsidRPr="00244CD2">
        <w:rPr>
          <w:rFonts w:ascii="Book Antiqua" w:eastAsia="等线" w:hAnsi="Book Antiqua"/>
          <w:noProof/>
          <w:kern w:val="2"/>
          <w:lang w:eastAsia="zh-CN"/>
        </w:rPr>
        <w:t>rincipal coordinate analysis</w:t>
      </w:r>
      <w:bookmarkEnd w:id="48"/>
      <w:bookmarkEnd w:id="49"/>
      <w:r w:rsidRPr="00244CD2">
        <w:rPr>
          <w:rFonts w:ascii="Book Antiqua" w:eastAsia="等线" w:hAnsi="Book Antiqua"/>
          <w:noProof/>
          <w:kern w:val="2"/>
          <w:lang w:eastAsia="zh-CN"/>
        </w:rPr>
        <w:t>.</w:t>
      </w:r>
      <w:r w:rsidRPr="00244CD2">
        <w:rPr>
          <w:rFonts w:ascii="Book Antiqua" w:eastAsia="等线" w:hAnsi="Book Antiqua"/>
          <w:noProof/>
          <w:kern w:val="2"/>
          <w:lang w:eastAsia="zh-CN"/>
        </w:rPr>
        <w:br w:type="page"/>
      </w:r>
      <w:bookmarkStart w:id="50" w:name="OLE_LINK38"/>
      <w:r w:rsidRPr="004C475F">
        <w:rPr>
          <w:noProof/>
          <w:lang w:eastAsia="zh-CN"/>
        </w:rPr>
        <w:lastRenderedPageBreak/>
        <w:drawing>
          <wp:inline distT="0" distB="0" distL="0" distR="0" wp14:anchorId="13CBF2EF" wp14:editId="12338754">
            <wp:extent cx="2610000" cy="2088000"/>
            <wp:effectExtent l="0" t="0" r="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hylum-bar_plo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0000" cy="2088000"/>
                    </a:xfrm>
                    <a:prstGeom prst="rect">
                      <a:avLst/>
                    </a:prstGeom>
                  </pic:spPr>
                </pic:pic>
              </a:graphicData>
            </a:graphic>
          </wp:inline>
        </w:drawing>
      </w:r>
      <w:r w:rsidRPr="004C475F">
        <w:rPr>
          <w:noProof/>
          <w:lang w:eastAsia="zh-CN"/>
        </w:rPr>
        <w:drawing>
          <wp:inline distT="0" distB="0" distL="0" distR="0" wp14:anchorId="5DDB6673" wp14:editId="44F627D0">
            <wp:extent cx="2609999" cy="2087999"/>
            <wp:effectExtent l="0" t="0" r="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lass-bar_plo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09999" cy="2087999"/>
                    </a:xfrm>
                    <a:prstGeom prst="rect">
                      <a:avLst/>
                    </a:prstGeom>
                  </pic:spPr>
                </pic:pic>
              </a:graphicData>
            </a:graphic>
          </wp:inline>
        </w:drawing>
      </w:r>
    </w:p>
    <w:p w14:paraId="41967783" w14:textId="77777777" w:rsidR="002D00F9" w:rsidRPr="00244CD2" w:rsidRDefault="002D00F9" w:rsidP="00244CD2">
      <w:pPr>
        <w:snapToGrid w:val="0"/>
        <w:spacing w:line="360" w:lineRule="auto"/>
        <w:jc w:val="both"/>
        <w:rPr>
          <w:noProof/>
        </w:rPr>
      </w:pPr>
      <w:r w:rsidRPr="004C475F">
        <w:rPr>
          <w:noProof/>
          <w:lang w:eastAsia="zh-CN"/>
        </w:rPr>
        <w:drawing>
          <wp:inline distT="0" distB="0" distL="0" distR="0" wp14:anchorId="32622ED4" wp14:editId="7BAB53CD">
            <wp:extent cx="2610000" cy="2088000"/>
            <wp:effectExtent l="0" t="0" r="0"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rder-bar_plo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10000" cy="2088000"/>
                    </a:xfrm>
                    <a:prstGeom prst="rect">
                      <a:avLst/>
                    </a:prstGeom>
                  </pic:spPr>
                </pic:pic>
              </a:graphicData>
            </a:graphic>
          </wp:inline>
        </w:drawing>
      </w:r>
      <w:r w:rsidRPr="004C475F">
        <w:rPr>
          <w:noProof/>
          <w:lang w:eastAsia="zh-CN"/>
        </w:rPr>
        <w:drawing>
          <wp:inline distT="0" distB="0" distL="0" distR="0" wp14:anchorId="76BAE90A" wp14:editId="7B8B115A">
            <wp:extent cx="2610000" cy="2088000"/>
            <wp:effectExtent l="0" t="0" r="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amily-bar_plo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10000" cy="2088000"/>
                    </a:xfrm>
                    <a:prstGeom prst="rect">
                      <a:avLst/>
                    </a:prstGeom>
                  </pic:spPr>
                </pic:pic>
              </a:graphicData>
            </a:graphic>
          </wp:inline>
        </w:drawing>
      </w:r>
    </w:p>
    <w:p w14:paraId="4473B142" w14:textId="77777777" w:rsidR="002D00F9" w:rsidRPr="00244CD2" w:rsidRDefault="002D00F9" w:rsidP="00244CD2">
      <w:pPr>
        <w:snapToGrid w:val="0"/>
        <w:spacing w:line="360" w:lineRule="auto"/>
        <w:jc w:val="both"/>
        <w:rPr>
          <w:noProof/>
        </w:rPr>
      </w:pPr>
      <w:r w:rsidRPr="004C475F">
        <w:rPr>
          <w:noProof/>
          <w:lang w:eastAsia="zh-CN"/>
        </w:rPr>
        <w:drawing>
          <wp:inline distT="0" distB="0" distL="0" distR="0" wp14:anchorId="2125991E" wp14:editId="3A6FCB45">
            <wp:extent cx="2610000" cy="2088000"/>
            <wp:effectExtent l="0" t="0" r="0" b="76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enus-bar_plo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10000" cy="2088000"/>
                    </a:xfrm>
                    <a:prstGeom prst="rect">
                      <a:avLst/>
                    </a:prstGeom>
                  </pic:spPr>
                </pic:pic>
              </a:graphicData>
            </a:graphic>
          </wp:inline>
        </w:drawing>
      </w:r>
    </w:p>
    <w:bookmarkEnd w:id="50"/>
    <w:p w14:paraId="2564148F" w14:textId="7A6231B8" w:rsidR="002D00F9" w:rsidRPr="00244CD2" w:rsidRDefault="002D00F9" w:rsidP="00244CD2">
      <w:pPr>
        <w:widowControl w:val="0"/>
        <w:snapToGrid w:val="0"/>
        <w:spacing w:line="360" w:lineRule="auto"/>
        <w:jc w:val="both"/>
        <w:rPr>
          <w:rFonts w:ascii="Book Antiqua" w:eastAsia="等线" w:hAnsi="Book Antiqua"/>
          <w:noProof/>
          <w:kern w:val="2"/>
          <w:lang w:eastAsia="zh-CN"/>
        </w:rPr>
      </w:pPr>
      <w:r w:rsidRPr="00244CD2">
        <w:rPr>
          <w:rFonts w:ascii="Book Antiqua" w:eastAsia="AdvOT1ef757c0" w:hAnsi="Book Antiqua"/>
          <w:b/>
          <w:noProof/>
          <w:kern w:val="2"/>
          <w:lang w:eastAsia="zh-CN"/>
        </w:rPr>
        <w:t xml:space="preserve">Figure 3 </w:t>
      </w:r>
      <w:r w:rsidR="007E1F62" w:rsidRPr="00244CD2">
        <w:rPr>
          <w:rFonts w:ascii="Book Antiqua" w:eastAsia="AdvOT1ef757c0" w:hAnsi="Book Antiqua"/>
          <w:b/>
          <w:noProof/>
          <w:kern w:val="2"/>
          <w:lang w:eastAsia="zh-CN"/>
        </w:rPr>
        <w:t>C</w:t>
      </w:r>
      <w:r w:rsidRPr="00244CD2">
        <w:rPr>
          <w:rFonts w:ascii="Book Antiqua" w:eastAsia="AdvOT1ef757c0" w:hAnsi="Book Antiqua"/>
          <w:b/>
          <w:noProof/>
          <w:kern w:val="2"/>
          <w:lang w:eastAsia="zh-CN"/>
        </w:rPr>
        <w:t xml:space="preserve">onfiguration of fecal bacterial of patients with diarrhea-predominant irritable bowel syndrome and healthy controls. </w:t>
      </w:r>
      <w:r w:rsidRPr="00244CD2">
        <w:rPr>
          <w:rFonts w:ascii="Book Antiqua" w:eastAsia="AdvOT1ef757c0" w:hAnsi="Book Antiqua"/>
          <w:noProof/>
          <w:kern w:val="2"/>
          <w:lang w:eastAsia="zh-CN"/>
        </w:rPr>
        <w:t xml:space="preserve">Relative bacterial abundance of fecal bacterial </w:t>
      </w:r>
      <w:r w:rsidR="003C0914">
        <w:rPr>
          <w:rFonts w:ascii="Book Antiqua" w:eastAsia="AdvOT1ef757c0" w:hAnsi="Book Antiqua"/>
          <w:noProof/>
          <w:kern w:val="2"/>
          <w:lang w:eastAsia="zh-CN"/>
        </w:rPr>
        <w:t>at</w:t>
      </w:r>
      <w:r w:rsidR="003C0914" w:rsidRPr="00244CD2">
        <w:rPr>
          <w:rFonts w:ascii="Book Antiqua" w:eastAsia="AdvOT1ef757c0" w:hAnsi="Book Antiqua"/>
          <w:noProof/>
          <w:kern w:val="2"/>
          <w:lang w:eastAsia="zh-CN"/>
        </w:rPr>
        <w:t xml:space="preserve"> </w:t>
      </w:r>
      <w:r w:rsidRPr="00244CD2">
        <w:rPr>
          <w:rFonts w:ascii="Book Antiqua" w:eastAsia="AdvOT1ef757c0" w:hAnsi="Book Antiqua"/>
          <w:noProof/>
          <w:kern w:val="2"/>
          <w:lang w:eastAsia="zh-CN"/>
        </w:rPr>
        <w:t xml:space="preserve">phylum, class, order, family, and genus levels </w:t>
      </w:r>
      <w:r w:rsidRPr="00244CD2">
        <w:rPr>
          <w:rFonts w:ascii="Book Antiqua" w:eastAsia="等线" w:hAnsi="Book Antiqua"/>
          <w:noProof/>
          <w:lang w:eastAsia="zh-CN"/>
        </w:rPr>
        <w:t xml:space="preserve">in the </w:t>
      </w:r>
      <w:r w:rsidR="007E1F62" w:rsidRPr="00244CD2">
        <w:rPr>
          <w:rFonts w:ascii="Book Antiqua" w:eastAsia="等线" w:hAnsi="Book Antiqua"/>
          <w:noProof/>
          <w:kern w:val="2"/>
          <w:lang w:eastAsia="zh-CN"/>
        </w:rPr>
        <w:t>irritable bowel syndrome with predominant diarrhea</w:t>
      </w:r>
      <w:r w:rsidRPr="00244CD2">
        <w:rPr>
          <w:rFonts w:ascii="Book Antiqua" w:eastAsia="等线" w:hAnsi="Book Antiqua"/>
          <w:noProof/>
          <w:lang w:eastAsia="zh-CN"/>
        </w:rPr>
        <w:t xml:space="preserve"> </w:t>
      </w:r>
      <w:r w:rsidR="003C0914">
        <w:rPr>
          <w:rFonts w:ascii="Book Antiqua" w:eastAsia="等线" w:hAnsi="Book Antiqua"/>
          <w:noProof/>
          <w:lang w:eastAsia="zh-CN"/>
        </w:rPr>
        <w:t xml:space="preserve">group </w:t>
      </w:r>
      <w:r w:rsidRPr="00244CD2">
        <w:rPr>
          <w:rFonts w:ascii="Book Antiqua" w:eastAsia="等线" w:hAnsi="Book Antiqua"/>
          <w:noProof/>
          <w:lang w:eastAsia="zh-CN"/>
        </w:rPr>
        <w:t xml:space="preserve">and </w:t>
      </w:r>
      <w:r w:rsidR="003C0914">
        <w:rPr>
          <w:rFonts w:ascii="Book Antiqua" w:eastAsia="等线" w:hAnsi="Book Antiqua"/>
          <w:noProof/>
          <w:lang w:eastAsia="zh-CN"/>
        </w:rPr>
        <w:t xml:space="preserve">the </w:t>
      </w:r>
      <w:r w:rsidR="007E1F62" w:rsidRPr="00244CD2">
        <w:rPr>
          <w:rFonts w:ascii="Book Antiqua" w:eastAsia="等线" w:hAnsi="Book Antiqua"/>
          <w:noProof/>
          <w:lang w:eastAsia="zh-CN"/>
        </w:rPr>
        <w:t>h</w:t>
      </w:r>
      <w:r w:rsidR="007E1F62" w:rsidRPr="00244CD2">
        <w:rPr>
          <w:rFonts w:ascii="Book Antiqua" w:eastAsia="等线" w:hAnsi="Book Antiqua"/>
          <w:noProof/>
          <w:kern w:val="2"/>
          <w:lang w:eastAsia="zh-CN"/>
        </w:rPr>
        <w:t>ealthy control</w:t>
      </w:r>
      <w:r w:rsidR="007E1F62" w:rsidRPr="00244CD2">
        <w:rPr>
          <w:rFonts w:ascii="Book Antiqua" w:eastAsia="等线" w:hAnsi="Book Antiqua"/>
          <w:noProof/>
          <w:lang w:eastAsia="zh-CN"/>
        </w:rPr>
        <w:t xml:space="preserve"> </w:t>
      </w:r>
      <w:r w:rsidRPr="00244CD2">
        <w:rPr>
          <w:rFonts w:ascii="Book Antiqua" w:eastAsia="等线" w:hAnsi="Book Antiqua"/>
          <w:noProof/>
          <w:lang w:eastAsia="zh-CN"/>
        </w:rPr>
        <w:t xml:space="preserve">group. IBS-D: </w:t>
      </w:r>
      <w:bookmarkStart w:id="51" w:name="OLE_LINK63"/>
      <w:bookmarkStart w:id="52" w:name="OLE_LINK64"/>
      <w:r w:rsidR="007E1F62" w:rsidRPr="00244CD2">
        <w:rPr>
          <w:rFonts w:ascii="Book Antiqua" w:eastAsia="等线" w:hAnsi="Book Antiqua"/>
          <w:noProof/>
          <w:kern w:val="2"/>
          <w:lang w:eastAsia="zh-CN"/>
        </w:rPr>
        <w:t>I</w:t>
      </w:r>
      <w:r w:rsidRPr="00244CD2">
        <w:rPr>
          <w:rFonts w:ascii="Book Antiqua" w:eastAsia="等线" w:hAnsi="Book Antiqua"/>
          <w:noProof/>
          <w:kern w:val="2"/>
          <w:lang w:eastAsia="zh-CN"/>
        </w:rPr>
        <w:t>rritable bowel syndrome with predominant diarrhea</w:t>
      </w:r>
      <w:bookmarkStart w:id="53" w:name="OLE_LINK65"/>
      <w:bookmarkStart w:id="54" w:name="OLE_LINK66"/>
      <w:bookmarkEnd w:id="51"/>
      <w:bookmarkEnd w:id="52"/>
      <w:r w:rsidR="007E1F62" w:rsidRPr="00244CD2">
        <w:rPr>
          <w:rFonts w:ascii="Book Antiqua" w:eastAsia="等线" w:hAnsi="Book Antiqua"/>
          <w:noProof/>
          <w:kern w:val="2"/>
          <w:lang w:eastAsia="zh-CN"/>
        </w:rPr>
        <w:t>; HC: H</w:t>
      </w:r>
      <w:r w:rsidRPr="00244CD2">
        <w:rPr>
          <w:rFonts w:ascii="Book Antiqua" w:eastAsia="等线" w:hAnsi="Book Antiqua"/>
          <w:noProof/>
          <w:kern w:val="2"/>
          <w:lang w:eastAsia="zh-CN"/>
        </w:rPr>
        <w:t>ealthy control</w:t>
      </w:r>
      <w:bookmarkEnd w:id="53"/>
      <w:bookmarkEnd w:id="54"/>
      <w:r w:rsidRPr="00244CD2">
        <w:rPr>
          <w:rFonts w:ascii="Book Antiqua" w:eastAsia="等线" w:hAnsi="Book Antiqua"/>
          <w:noProof/>
          <w:kern w:val="2"/>
          <w:lang w:eastAsia="zh-CN"/>
        </w:rPr>
        <w:t>.</w:t>
      </w:r>
    </w:p>
    <w:p w14:paraId="0B7574CA" w14:textId="77777777" w:rsidR="002D00F9" w:rsidRPr="00244CD2" w:rsidRDefault="002D00F9" w:rsidP="00244CD2">
      <w:pPr>
        <w:snapToGrid w:val="0"/>
        <w:spacing w:line="360" w:lineRule="auto"/>
        <w:jc w:val="both"/>
        <w:rPr>
          <w:noProof/>
          <w:lang w:eastAsia="zh-CN"/>
        </w:rPr>
      </w:pPr>
      <w:r w:rsidRPr="00244CD2">
        <w:rPr>
          <w:noProof/>
          <w:lang w:eastAsia="zh-CN"/>
        </w:rPr>
        <w:br w:type="page"/>
      </w:r>
      <w:r w:rsidRPr="004B4DAE">
        <w:rPr>
          <w:noProof/>
          <w:lang w:eastAsia="zh-CN"/>
        </w:rPr>
        <w:lastRenderedPageBreak/>
        <w:drawing>
          <wp:inline distT="0" distB="0" distL="0" distR="0" wp14:anchorId="6DD5F8D2" wp14:editId="44B77990">
            <wp:extent cx="5924550" cy="3910232"/>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DA.cladogra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28077" cy="3912560"/>
                    </a:xfrm>
                    <a:prstGeom prst="rect">
                      <a:avLst/>
                    </a:prstGeom>
                  </pic:spPr>
                </pic:pic>
              </a:graphicData>
            </a:graphic>
          </wp:inline>
        </w:drawing>
      </w:r>
    </w:p>
    <w:p w14:paraId="340E1DC2" w14:textId="77777777" w:rsidR="002D00F9" w:rsidRPr="00244CD2" w:rsidRDefault="002D00F9" w:rsidP="00244CD2">
      <w:pPr>
        <w:snapToGrid w:val="0"/>
        <w:spacing w:line="360" w:lineRule="auto"/>
        <w:jc w:val="both"/>
        <w:rPr>
          <w:noProof/>
          <w:lang w:eastAsia="zh-CN"/>
        </w:rPr>
      </w:pPr>
      <w:r w:rsidRPr="004C475F">
        <w:rPr>
          <w:noProof/>
          <w:lang w:eastAsia="zh-CN"/>
        </w:rPr>
        <w:lastRenderedPageBreak/>
        <w:drawing>
          <wp:inline distT="0" distB="0" distL="0" distR="0" wp14:anchorId="4DBF6B18" wp14:editId="437C5322">
            <wp:extent cx="4981575" cy="542597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DA.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84479" cy="5429142"/>
                    </a:xfrm>
                    <a:prstGeom prst="rect">
                      <a:avLst/>
                    </a:prstGeom>
                  </pic:spPr>
                </pic:pic>
              </a:graphicData>
            </a:graphic>
          </wp:inline>
        </w:drawing>
      </w:r>
    </w:p>
    <w:p w14:paraId="1C98740B" w14:textId="41FEDBC3" w:rsidR="002D00F9" w:rsidRPr="00244CD2" w:rsidRDefault="002D00F9" w:rsidP="00244CD2">
      <w:pPr>
        <w:snapToGrid w:val="0"/>
        <w:spacing w:line="360" w:lineRule="auto"/>
        <w:jc w:val="both"/>
        <w:rPr>
          <w:rFonts w:ascii="Book Antiqua" w:eastAsia="等线" w:hAnsi="Book Antiqua"/>
          <w:noProof/>
        </w:rPr>
      </w:pPr>
      <w:r w:rsidRPr="00244CD2">
        <w:rPr>
          <w:rFonts w:ascii="Book Antiqua" w:eastAsia="AdvOT1ef757c0" w:hAnsi="Book Antiqua"/>
          <w:b/>
          <w:noProof/>
        </w:rPr>
        <w:t xml:space="preserve">Figure 4 </w:t>
      </w:r>
      <w:r w:rsidR="00DD10D1" w:rsidRPr="00244CD2">
        <w:rPr>
          <w:rFonts w:ascii="Book Antiqua" w:eastAsia="AdvOT1ef757c0" w:hAnsi="Book Antiqua"/>
          <w:b/>
          <w:noProof/>
        </w:rPr>
        <w:t>Linear discriminant analysis effect size</w:t>
      </w:r>
      <w:r w:rsidRPr="00244CD2">
        <w:rPr>
          <w:rFonts w:ascii="Book Antiqua" w:eastAsia="AdvOT1ef757c0" w:hAnsi="Book Antiqua"/>
          <w:b/>
          <w:noProof/>
        </w:rPr>
        <w:t xml:space="preserve"> analysis of fecal bacterial of patients with diarrhea-predominant irritable bowel syndrome and healthy controls. </w:t>
      </w:r>
      <w:r w:rsidRPr="00244CD2">
        <w:rPr>
          <w:rFonts w:ascii="Book Antiqua" w:eastAsia="AdvOT1ef757c0" w:hAnsi="Book Antiqua"/>
          <w:noProof/>
        </w:rPr>
        <w:t xml:space="preserve">A: The cladogram showed enriched taxa in the </w:t>
      </w:r>
      <w:bookmarkStart w:id="55" w:name="OLE_LINK67"/>
      <w:bookmarkStart w:id="56" w:name="OLE_LINK68"/>
      <w:r w:rsidR="00DD10D1" w:rsidRPr="00244CD2">
        <w:rPr>
          <w:rFonts w:ascii="Book Antiqua" w:eastAsia="Book Antiqua" w:hAnsi="Book Antiqua" w:cs="Book Antiqua"/>
          <w:noProof/>
        </w:rPr>
        <w:t>irritable bowel syndrome with predominant diarrhea</w:t>
      </w:r>
      <w:r w:rsidR="00DD10D1" w:rsidRPr="00244CD2">
        <w:rPr>
          <w:rFonts w:ascii="Book Antiqua" w:eastAsia="AdvOT1ef757c0" w:hAnsi="Book Antiqua"/>
          <w:noProof/>
        </w:rPr>
        <w:t xml:space="preserve"> </w:t>
      </w:r>
      <w:r w:rsidR="00DD10D1" w:rsidRPr="00244CD2">
        <w:rPr>
          <w:rFonts w:ascii="Book Antiqua" w:eastAsia="AdvOT1ef757c0" w:hAnsi="Book Antiqua"/>
          <w:noProof/>
          <w:lang w:eastAsia="zh-CN"/>
        </w:rPr>
        <w:t>(</w:t>
      </w:r>
      <w:r w:rsidR="00DD10D1" w:rsidRPr="00244CD2">
        <w:rPr>
          <w:rFonts w:ascii="Book Antiqua" w:eastAsia="AdvOT1ef757c0" w:hAnsi="Book Antiqua"/>
          <w:noProof/>
        </w:rPr>
        <w:t>IBS-D</w:t>
      </w:r>
      <w:r w:rsidR="00DD10D1" w:rsidRPr="00244CD2">
        <w:rPr>
          <w:rFonts w:ascii="Book Antiqua" w:eastAsia="AdvOT1ef757c0" w:hAnsi="Book Antiqua"/>
          <w:noProof/>
          <w:lang w:eastAsia="zh-CN"/>
        </w:rPr>
        <w:t>)</w:t>
      </w:r>
      <w:bookmarkEnd w:id="55"/>
      <w:bookmarkEnd w:id="56"/>
      <w:r w:rsidRPr="00244CD2">
        <w:rPr>
          <w:rFonts w:ascii="Book Antiqua" w:eastAsia="AdvOT1ef757c0" w:hAnsi="Book Antiqua"/>
          <w:noProof/>
        </w:rPr>
        <w:t xml:space="preserve"> group (blue) and </w:t>
      </w:r>
      <w:r w:rsidR="00D870A6">
        <w:rPr>
          <w:rFonts w:ascii="Book Antiqua" w:eastAsia="AdvOT1ef757c0" w:hAnsi="Book Antiqua"/>
          <w:noProof/>
        </w:rPr>
        <w:t xml:space="preserve">the </w:t>
      </w:r>
      <w:r w:rsidR="00DD10D1" w:rsidRPr="00244CD2">
        <w:rPr>
          <w:rFonts w:ascii="Book Antiqua" w:eastAsia="AdvOT1ef757c0" w:hAnsi="Book Antiqua"/>
          <w:noProof/>
          <w:lang w:eastAsia="zh-CN"/>
        </w:rPr>
        <w:t>h</w:t>
      </w:r>
      <w:r w:rsidR="00DD10D1" w:rsidRPr="00244CD2">
        <w:rPr>
          <w:rFonts w:ascii="Book Antiqua" w:eastAsia="AdvOT1ef757c0" w:hAnsi="Book Antiqua"/>
          <w:noProof/>
        </w:rPr>
        <w:t xml:space="preserve">ealthy control </w:t>
      </w:r>
      <w:r w:rsidR="00DD10D1" w:rsidRPr="00244CD2">
        <w:rPr>
          <w:rFonts w:ascii="Book Antiqua" w:eastAsia="AdvOT1ef757c0" w:hAnsi="Book Antiqua"/>
          <w:noProof/>
          <w:lang w:eastAsia="zh-CN"/>
        </w:rPr>
        <w:t>(</w:t>
      </w:r>
      <w:r w:rsidRPr="00244CD2">
        <w:rPr>
          <w:rFonts w:ascii="Book Antiqua" w:eastAsia="AdvOT1ef757c0" w:hAnsi="Book Antiqua"/>
          <w:noProof/>
        </w:rPr>
        <w:t>HC</w:t>
      </w:r>
      <w:r w:rsidR="00DD10D1" w:rsidRPr="00244CD2">
        <w:rPr>
          <w:rFonts w:ascii="Book Antiqua" w:eastAsia="AdvOT1ef757c0" w:hAnsi="Book Antiqua"/>
          <w:noProof/>
          <w:lang w:eastAsia="zh-CN"/>
        </w:rPr>
        <w:t>)</w:t>
      </w:r>
      <w:r w:rsidRPr="00244CD2">
        <w:rPr>
          <w:rFonts w:ascii="Book Antiqua" w:eastAsia="AdvOT1ef757c0" w:hAnsi="Book Antiqua"/>
          <w:noProof/>
        </w:rPr>
        <w:t xml:space="preserve"> group (yellow)</w:t>
      </w:r>
      <w:r w:rsidRPr="00244CD2">
        <w:rPr>
          <w:rFonts w:ascii="Book Antiqua" w:eastAsia="等线" w:hAnsi="Book Antiqua"/>
          <w:noProof/>
        </w:rPr>
        <w:t xml:space="preserve">; the taxa represented by the English letters in the </w:t>
      </w:r>
      <w:r w:rsidRPr="00244CD2">
        <w:rPr>
          <w:rFonts w:ascii="Book Antiqua" w:eastAsia="AdvOT1ef757c0" w:hAnsi="Book Antiqua"/>
          <w:noProof/>
        </w:rPr>
        <w:t>cladogram</w:t>
      </w:r>
      <w:r w:rsidRPr="00244CD2">
        <w:rPr>
          <w:rFonts w:ascii="Book Antiqua" w:eastAsia="等线" w:hAnsi="Book Antiqua"/>
          <w:noProof/>
        </w:rPr>
        <w:t xml:space="preserve"> are shown in the legend on the right; B: Taxa enriched in the IBS-D group are indicated with a positive</w:t>
      </w:r>
      <w:bookmarkStart w:id="57" w:name="OLE_LINK58"/>
      <w:r w:rsidRPr="00244CD2">
        <w:rPr>
          <w:rFonts w:ascii="Book Antiqua" w:eastAsia="等线" w:hAnsi="Book Antiqua"/>
          <w:noProof/>
        </w:rPr>
        <w:t xml:space="preserve"> </w:t>
      </w:r>
      <w:r w:rsidR="00DD10D1" w:rsidRPr="00244CD2">
        <w:rPr>
          <w:rFonts w:ascii="Book Antiqua" w:eastAsia="等线" w:hAnsi="Book Antiqua"/>
          <w:noProof/>
        </w:rPr>
        <w:t>linear discriminant analysis</w:t>
      </w:r>
      <w:bookmarkEnd w:id="57"/>
      <w:r w:rsidR="00DD10D1" w:rsidRPr="00244CD2">
        <w:rPr>
          <w:rFonts w:ascii="Book Antiqua" w:eastAsia="等线" w:hAnsi="Book Antiqua"/>
          <w:noProof/>
        </w:rPr>
        <w:t xml:space="preserve"> </w:t>
      </w:r>
      <w:r w:rsidR="00DD10D1" w:rsidRPr="00244CD2">
        <w:rPr>
          <w:rFonts w:ascii="Book Antiqua" w:eastAsia="等线" w:hAnsi="Book Antiqua"/>
          <w:noProof/>
          <w:lang w:eastAsia="zh-CN"/>
        </w:rPr>
        <w:t>(</w:t>
      </w:r>
      <w:r w:rsidRPr="00244CD2">
        <w:rPr>
          <w:rFonts w:ascii="Book Antiqua" w:eastAsia="等线" w:hAnsi="Book Antiqua"/>
          <w:noProof/>
        </w:rPr>
        <w:t>LDA</w:t>
      </w:r>
      <w:r w:rsidR="00DD10D1" w:rsidRPr="00244CD2">
        <w:rPr>
          <w:rFonts w:ascii="Book Antiqua" w:eastAsia="等线" w:hAnsi="Book Antiqua"/>
          <w:noProof/>
          <w:lang w:eastAsia="zh-CN"/>
        </w:rPr>
        <w:t>)</w:t>
      </w:r>
      <w:r w:rsidRPr="00244CD2">
        <w:rPr>
          <w:rFonts w:ascii="Book Antiqua" w:eastAsia="等线" w:hAnsi="Book Antiqua"/>
          <w:noProof/>
        </w:rPr>
        <w:t xml:space="preserve"> score (blue) and taxa enriched in </w:t>
      </w:r>
      <w:r w:rsidR="00D870A6">
        <w:rPr>
          <w:rFonts w:ascii="Book Antiqua" w:eastAsia="等线" w:hAnsi="Book Antiqua"/>
          <w:noProof/>
        </w:rPr>
        <w:t xml:space="preserve">the </w:t>
      </w:r>
      <w:r w:rsidRPr="00244CD2">
        <w:rPr>
          <w:rFonts w:ascii="Book Antiqua" w:eastAsia="等线" w:hAnsi="Book Antiqua"/>
          <w:noProof/>
        </w:rPr>
        <w:t xml:space="preserve">HC </w:t>
      </w:r>
      <w:r w:rsidR="00D870A6">
        <w:rPr>
          <w:rFonts w:ascii="Book Antiqua" w:eastAsia="等线" w:hAnsi="Book Antiqua"/>
          <w:noProof/>
        </w:rPr>
        <w:t xml:space="preserve">group </w:t>
      </w:r>
      <w:r w:rsidRPr="00244CD2">
        <w:rPr>
          <w:rFonts w:ascii="Book Antiqua" w:eastAsia="等线" w:hAnsi="Book Antiqua"/>
          <w:noProof/>
        </w:rPr>
        <w:t xml:space="preserve">are indicated with a negative score (yellow); only taxa with </w:t>
      </w:r>
      <w:r w:rsidR="00D870A6">
        <w:rPr>
          <w:rFonts w:ascii="Book Antiqua" w:eastAsia="等线" w:hAnsi="Book Antiqua"/>
          <w:noProof/>
          <w:lang w:eastAsia="zh-CN"/>
        </w:rPr>
        <w:t>LDA</w:t>
      </w:r>
      <w:r w:rsidR="00DD10D1" w:rsidRPr="00244CD2">
        <w:rPr>
          <w:rFonts w:ascii="Book Antiqua" w:eastAsia="等线" w:hAnsi="Book Antiqua"/>
          <w:noProof/>
        </w:rPr>
        <w:t xml:space="preserve"> effect size </w:t>
      </w:r>
      <w:r w:rsidR="00DD10D1" w:rsidRPr="00244CD2">
        <w:rPr>
          <w:rFonts w:ascii="Book Antiqua" w:eastAsia="等线" w:hAnsi="Book Antiqua"/>
          <w:noProof/>
          <w:lang w:eastAsia="zh-CN"/>
        </w:rPr>
        <w:t>(</w:t>
      </w:r>
      <w:r w:rsidRPr="00244CD2">
        <w:rPr>
          <w:rFonts w:ascii="Book Antiqua" w:eastAsia="等线" w:hAnsi="Book Antiqua"/>
          <w:noProof/>
        </w:rPr>
        <w:t>LEfSe</w:t>
      </w:r>
      <w:r w:rsidR="00DD10D1" w:rsidRPr="00244CD2">
        <w:rPr>
          <w:rFonts w:ascii="Book Antiqua" w:eastAsia="等线" w:hAnsi="Book Antiqua"/>
          <w:noProof/>
          <w:lang w:eastAsia="zh-CN"/>
        </w:rPr>
        <w:t>)</w:t>
      </w:r>
      <w:r w:rsidRPr="00244CD2">
        <w:rPr>
          <w:rFonts w:ascii="Book Antiqua" w:eastAsia="等线" w:hAnsi="Book Antiqua"/>
          <w:noProof/>
        </w:rPr>
        <w:t xml:space="preserve"> </w:t>
      </w:r>
      <w:r w:rsidRPr="00244CD2">
        <w:rPr>
          <w:rFonts w:ascii="Book Antiqua" w:eastAsia="等线" w:hAnsi="Book Antiqua"/>
          <w:i/>
          <w:noProof/>
        </w:rPr>
        <w:t>P</w:t>
      </w:r>
      <w:r w:rsidRPr="00244CD2">
        <w:rPr>
          <w:rFonts w:ascii="Book Antiqua" w:eastAsia="等线" w:hAnsi="Book Antiqua"/>
          <w:noProof/>
        </w:rPr>
        <w:t xml:space="preserve"> value</w:t>
      </w:r>
      <w:r w:rsidR="00C07DF0">
        <w:rPr>
          <w:rFonts w:ascii="Book Antiqua" w:eastAsia="等线" w:hAnsi="Book Antiqua"/>
          <w:noProof/>
        </w:rPr>
        <w:t>s</w:t>
      </w:r>
      <w:r w:rsidRPr="00244CD2">
        <w:rPr>
          <w:rFonts w:ascii="Book Antiqua" w:eastAsia="等线" w:hAnsi="Book Antiqua"/>
          <w:noProof/>
        </w:rPr>
        <w:t xml:space="preserve"> </w:t>
      </w:r>
      <w:r w:rsidRPr="00244CD2">
        <w:rPr>
          <w:rFonts w:ascii="Book Antiqua" w:eastAsia="等线" w:hAnsi="Book Antiqua" w:hint="eastAsia"/>
          <w:noProof/>
        </w:rPr>
        <w:t>＜</w:t>
      </w:r>
      <w:r w:rsidRPr="00244CD2">
        <w:rPr>
          <w:rFonts w:ascii="Book Antiqua" w:eastAsia="等线" w:hAnsi="Book Antiqua"/>
          <w:noProof/>
        </w:rPr>
        <w:t xml:space="preserve"> 0.05 and </w:t>
      </w:r>
      <w:bookmarkStart w:id="58" w:name="OLE_LINK56"/>
      <w:bookmarkStart w:id="59" w:name="OLE_LINK57"/>
      <w:r w:rsidRPr="00244CD2">
        <w:rPr>
          <w:rFonts w:ascii="Book Antiqua" w:eastAsia="等线" w:hAnsi="Book Antiqua"/>
          <w:noProof/>
        </w:rPr>
        <w:t xml:space="preserve">LDA </w:t>
      </w:r>
      <w:bookmarkEnd w:id="58"/>
      <w:bookmarkEnd w:id="59"/>
      <w:r w:rsidRPr="00244CD2">
        <w:rPr>
          <w:rFonts w:ascii="Book Antiqua" w:eastAsia="等线" w:hAnsi="Book Antiqua"/>
          <w:noProof/>
        </w:rPr>
        <w:t>score</w:t>
      </w:r>
      <w:r w:rsidR="00C07DF0">
        <w:rPr>
          <w:rFonts w:ascii="Book Antiqua" w:eastAsia="等线" w:hAnsi="Book Antiqua"/>
          <w:noProof/>
        </w:rPr>
        <w:t>s</w:t>
      </w:r>
      <w:r w:rsidRPr="00244CD2">
        <w:rPr>
          <w:rFonts w:ascii="Book Antiqua" w:eastAsia="等线" w:hAnsi="Book Antiqua"/>
          <w:noProof/>
        </w:rPr>
        <w:t xml:space="preserve"> </w:t>
      </w:r>
      <w:r w:rsidRPr="00244CD2">
        <w:rPr>
          <w:rFonts w:ascii="Book Antiqua" w:eastAsia="等线" w:hAnsi="Book Antiqua" w:hint="eastAsia"/>
          <w:noProof/>
        </w:rPr>
        <w:t>≥</w:t>
      </w:r>
      <w:r w:rsidRPr="00244CD2">
        <w:rPr>
          <w:rFonts w:ascii="Book Antiqua" w:eastAsia="等线" w:hAnsi="Book Antiqua"/>
          <w:noProof/>
        </w:rPr>
        <w:t xml:space="preserve"> 2.0 are presented. </w:t>
      </w:r>
    </w:p>
    <w:p w14:paraId="1FA8984C" w14:textId="77777777" w:rsidR="002D00F9" w:rsidRPr="00244CD2" w:rsidRDefault="002D00F9" w:rsidP="00244CD2">
      <w:pPr>
        <w:snapToGrid w:val="0"/>
        <w:spacing w:line="360" w:lineRule="auto"/>
        <w:jc w:val="both"/>
        <w:rPr>
          <w:rFonts w:ascii="Book Antiqua" w:eastAsia="等线" w:hAnsi="Book Antiqua"/>
          <w:noProof/>
          <w:lang w:eastAsia="zh-CN"/>
        </w:rPr>
      </w:pPr>
      <w:r w:rsidRPr="00244CD2">
        <w:rPr>
          <w:rFonts w:ascii="Book Antiqua" w:eastAsia="等线" w:hAnsi="Book Antiqua"/>
          <w:noProof/>
        </w:rPr>
        <w:br w:type="page"/>
      </w:r>
      <w:r w:rsidRPr="004B4DAE">
        <w:rPr>
          <w:noProof/>
          <w:lang w:eastAsia="zh-CN"/>
        </w:rPr>
        <w:lastRenderedPageBreak/>
        <w:drawing>
          <wp:inline distT="0" distB="0" distL="0" distR="0" wp14:anchorId="138E09E9" wp14:editId="4B1ED8DB">
            <wp:extent cx="5934075" cy="3431268"/>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nv_genus.png"/>
                    <pic:cNvPicPr/>
                  </pic:nvPicPr>
                  <pic:blipFill>
                    <a:blip r:embed="rId18">
                      <a:extLst>
                        <a:ext uri="{28A0092B-C50C-407E-A947-70E740481C1C}">
                          <a14:useLocalDpi xmlns:a14="http://schemas.microsoft.com/office/drawing/2010/main" val="0"/>
                        </a:ext>
                      </a:extLst>
                    </a:blip>
                    <a:stretch>
                      <a:fillRect/>
                    </a:stretch>
                  </pic:blipFill>
                  <pic:spPr>
                    <a:xfrm>
                      <a:off x="0" y="0"/>
                      <a:ext cx="6008239" cy="3474152"/>
                    </a:xfrm>
                    <a:prstGeom prst="rect">
                      <a:avLst/>
                    </a:prstGeom>
                  </pic:spPr>
                </pic:pic>
              </a:graphicData>
            </a:graphic>
          </wp:inline>
        </w:drawing>
      </w:r>
    </w:p>
    <w:p w14:paraId="21E76E55" w14:textId="33198691" w:rsidR="004D257F" w:rsidRPr="00244CD2" w:rsidRDefault="002D00F9" w:rsidP="00244CD2">
      <w:pPr>
        <w:snapToGrid w:val="0"/>
        <w:spacing w:line="360" w:lineRule="auto"/>
        <w:jc w:val="both"/>
        <w:rPr>
          <w:rFonts w:ascii="Book Antiqua" w:eastAsia="AdvOT1ef757c0" w:hAnsi="Book Antiqua"/>
          <w:noProof/>
          <w:lang w:eastAsia="zh-CN"/>
        </w:rPr>
      </w:pPr>
      <w:r w:rsidRPr="00244CD2">
        <w:rPr>
          <w:rFonts w:ascii="Book Antiqua" w:eastAsia="AdvOT1ef757c0" w:hAnsi="Book Antiqua"/>
          <w:b/>
          <w:noProof/>
        </w:rPr>
        <w:t xml:space="preserve">Figure 5 Correlations between fecal </w:t>
      </w:r>
      <w:r w:rsidR="00455C4B" w:rsidRPr="00244CD2">
        <w:rPr>
          <w:rFonts w:ascii="Book Antiqua" w:eastAsia="AdvOT1ef757c0" w:hAnsi="Book Antiqua"/>
          <w:b/>
          <w:noProof/>
          <w:lang w:eastAsia="zh-CN"/>
        </w:rPr>
        <w:t>b</w:t>
      </w:r>
      <w:r w:rsidR="00455C4B" w:rsidRPr="00244CD2">
        <w:rPr>
          <w:rFonts w:ascii="Book Antiqua" w:eastAsia="AdvOT1ef757c0" w:hAnsi="Book Antiqua"/>
          <w:b/>
          <w:noProof/>
        </w:rPr>
        <w:t>ile acids</w:t>
      </w:r>
      <w:r w:rsidRPr="00244CD2">
        <w:rPr>
          <w:rFonts w:ascii="Book Antiqua" w:eastAsia="AdvOT1ef757c0" w:hAnsi="Book Antiqua"/>
          <w:b/>
          <w:noProof/>
        </w:rPr>
        <w:t xml:space="preserve"> and microbiota composition in all subjects. </w:t>
      </w:r>
      <w:r w:rsidRPr="00244CD2">
        <w:rPr>
          <w:rFonts w:ascii="Book Antiqua" w:eastAsia="AdvOT1ef757c0" w:hAnsi="Book Antiqua"/>
          <w:noProof/>
        </w:rPr>
        <w:t xml:space="preserve">The heatmap presents the Spearman correlation coefficients between unconjugated fecal </w:t>
      </w:r>
      <w:r w:rsidR="00455C4B" w:rsidRPr="00244CD2">
        <w:rPr>
          <w:rFonts w:ascii="Book Antiqua" w:eastAsia="AdvOT1ef757c0" w:hAnsi="Book Antiqua"/>
          <w:noProof/>
          <w:lang w:eastAsia="zh-CN"/>
        </w:rPr>
        <w:t>b</w:t>
      </w:r>
      <w:r w:rsidR="00455C4B" w:rsidRPr="00244CD2">
        <w:rPr>
          <w:rFonts w:ascii="Book Antiqua" w:eastAsia="AdvOT1ef757c0" w:hAnsi="Book Antiqua"/>
          <w:noProof/>
        </w:rPr>
        <w:t xml:space="preserve">ile acids </w:t>
      </w:r>
      <w:r w:rsidRPr="00244CD2">
        <w:rPr>
          <w:rFonts w:ascii="Book Antiqua" w:eastAsia="AdvOT1ef757c0" w:hAnsi="Book Antiqua"/>
          <w:noProof/>
        </w:rPr>
        <w:t xml:space="preserve">and </w:t>
      </w:r>
      <w:r w:rsidR="00D870A6">
        <w:rPr>
          <w:rFonts w:ascii="Book Antiqua" w:eastAsia="AdvOT1ef757c0" w:hAnsi="Book Antiqua"/>
          <w:noProof/>
        </w:rPr>
        <w:t xml:space="preserve">the distinguishing </w:t>
      </w:r>
      <w:r w:rsidRPr="00244CD2">
        <w:rPr>
          <w:rFonts w:ascii="Book Antiqua" w:eastAsia="AdvOT1ef757c0" w:hAnsi="Book Antiqua"/>
          <w:noProof/>
        </w:rPr>
        <w:t xml:space="preserve">genera </w:t>
      </w:r>
      <w:r w:rsidR="00B22599">
        <w:rPr>
          <w:rFonts w:ascii="Book Antiqua" w:eastAsia="AdvOT1ef757c0" w:hAnsi="Book Antiqua"/>
          <w:noProof/>
        </w:rPr>
        <w:t>in all subject</w:t>
      </w:r>
      <w:r w:rsidRPr="00244CD2">
        <w:rPr>
          <w:rFonts w:ascii="Book Antiqua" w:eastAsia="AdvOT1ef757c0" w:hAnsi="Book Antiqua"/>
          <w:noProof/>
        </w:rPr>
        <w:t>.</w:t>
      </w:r>
      <w:r w:rsidRPr="00244CD2">
        <w:rPr>
          <w:rFonts w:ascii="Book Antiqua" w:hAnsi="Book Antiqua"/>
          <w:noProof/>
        </w:rPr>
        <w:t xml:space="preserve"> Seven genera belong to the family </w:t>
      </w:r>
      <w:r w:rsidRPr="00244CD2">
        <w:rPr>
          <w:rFonts w:ascii="Book Antiqua" w:hAnsi="Book Antiqua"/>
          <w:i/>
          <w:noProof/>
        </w:rPr>
        <w:t>Ruminococcaceae</w:t>
      </w:r>
      <w:r w:rsidRPr="00244CD2">
        <w:rPr>
          <w:rFonts w:ascii="Book Antiqua" w:hAnsi="Book Antiqua"/>
          <w:noProof/>
        </w:rPr>
        <w:t xml:space="preserve"> (</w:t>
      </w:r>
      <w:r w:rsidR="007A2ACF" w:rsidRPr="00244CD2">
        <w:rPr>
          <w:rFonts w:ascii="Book Antiqua" w:hAnsi="Book Antiqua"/>
          <w:i/>
          <w:noProof/>
        </w:rPr>
        <w:t>O</w:t>
      </w:r>
      <w:r w:rsidRPr="00244CD2">
        <w:rPr>
          <w:rFonts w:ascii="Book Antiqua" w:hAnsi="Book Antiqua"/>
          <w:i/>
          <w:noProof/>
        </w:rPr>
        <w:t xml:space="preserve">scillibacter, </w:t>
      </w:r>
      <w:r w:rsidR="007A2ACF" w:rsidRPr="00244CD2">
        <w:rPr>
          <w:rFonts w:ascii="Book Antiqua" w:hAnsi="Book Antiqua"/>
          <w:i/>
          <w:noProof/>
        </w:rPr>
        <w:t>C</w:t>
      </w:r>
      <w:r w:rsidRPr="00244CD2">
        <w:rPr>
          <w:rFonts w:ascii="Book Antiqua" w:hAnsi="Book Antiqua"/>
          <w:i/>
          <w:noProof/>
        </w:rPr>
        <w:t>lostridium IV</w:t>
      </w:r>
      <w:r w:rsidRPr="00244CD2">
        <w:rPr>
          <w:rFonts w:ascii="Book Antiqua" w:hAnsi="Book Antiqua"/>
          <w:noProof/>
        </w:rPr>
        <w:t xml:space="preserve">, </w:t>
      </w:r>
      <w:r w:rsidR="007A2ACF" w:rsidRPr="00244CD2">
        <w:rPr>
          <w:rFonts w:ascii="Book Antiqua" w:hAnsi="Book Antiqua"/>
          <w:i/>
          <w:noProof/>
        </w:rPr>
        <w:t>G</w:t>
      </w:r>
      <w:r w:rsidRPr="00244CD2">
        <w:rPr>
          <w:rFonts w:ascii="Book Antiqua" w:hAnsi="Book Antiqua"/>
          <w:i/>
          <w:noProof/>
        </w:rPr>
        <w:t>emmiger</w:t>
      </w:r>
      <w:r w:rsidRPr="00244CD2">
        <w:rPr>
          <w:rFonts w:ascii="Book Antiqua" w:hAnsi="Book Antiqua"/>
          <w:noProof/>
        </w:rPr>
        <w:t xml:space="preserve">, </w:t>
      </w:r>
      <w:r w:rsidR="007A2ACF" w:rsidRPr="00244CD2">
        <w:rPr>
          <w:rFonts w:ascii="Book Antiqua" w:hAnsi="Book Antiqua"/>
          <w:i/>
          <w:noProof/>
        </w:rPr>
        <w:t>A</w:t>
      </w:r>
      <w:r w:rsidRPr="00244CD2">
        <w:rPr>
          <w:rFonts w:ascii="Book Antiqua" w:hAnsi="Book Antiqua"/>
          <w:i/>
          <w:noProof/>
        </w:rPr>
        <w:t>naerofilum</w:t>
      </w:r>
      <w:r w:rsidRPr="00244CD2">
        <w:rPr>
          <w:rFonts w:ascii="Book Antiqua" w:hAnsi="Book Antiqua"/>
          <w:noProof/>
        </w:rPr>
        <w:t xml:space="preserve">, </w:t>
      </w:r>
      <w:r w:rsidR="007A2ACF" w:rsidRPr="00244CD2">
        <w:rPr>
          <w:rFonts w:ascii="Book Antiqua" w:hAnsi="Book Antiqua"/>
          <w:i/>
          <w:noProof/>
        </w:rPr>
        <w:t>A</w:t>
      </w:r>
      <w:r w:rsidRPr="00244CD2">
        <w:rPr>
          <w:rFonts w:ascii="Book Antiqua" w:hAnsi="Book Antiqua"/>
          <w:i/>
          <w:noProof/>
        </w:rPr>
        <w:t>naerotruncus</w:t>
      </w:r>
      <w:r w:rsidRPr="00244CD2">
        <w:rPr>
          <w:rFonts w:ascii="Book Antiqua" w:hAnsi="Book Antiqua"/>
          <w:noProof/>
        </w:rPr>
        <w:t xml:space="preserve">, </w:t>
      </w:r>
      <w:r w:rsidR="007A2ACF" w:rsidRPr="00244CD2">
        <w:rPr>
          <w:rFonts w:ascii="Book Antiqua" w:hAnsi="Book Antiqua"/>
          <w:i/>
          <w:noProof/>
        </w:rPr>
        <w:t>F</w:t>
      </w:r>
      <w:r w:rsidRPr="00244CD2">
        <w:rPr>
          <w:rFonts w:ascii="Book Antiqua" w:hAnsi="Book Antiqua"/>
          <w:i/>
          <w:noProof/>
        </w:rPr>
        <w:t>aecalibacterium</w:t>
      </w:r>
      <w:r w:rsidRPr="00244CD2">
        <w:rPr>
          <w:rFonts w:ascii="Book Antiqua" w:hAnsi="Book Antiqua"/>
          <w:noProof/>
        </w:rPr>
        <w:t xml:space="preserve">, and </w:t>
      </w:r>
      <w:r w:rsidR="007A2ACF" w:rsidRPr="00244CD2">
        <w:rPr>
          <w:rFonts w:ascii="Book Antiqua" w:hAnsi="Book Antiqua"/>
          <w:i/>
          <w:noProof/>
        </w:rPr>
        <w:t>R</w:t>
      </w:r>
      <w:r w:rsidRPr="00244CD2">
        <w:rPr>
          <w:rFonts w:ascii="Book Antiqua" w:hAnsi="Book Antiqua"/>
          <w:i/>
          <w:noProof/>
        </w:rPr>
        <w:t>uminococcus</w:t>
      </w:r>
      <w:r w:rsidRPr="00244CD2">
        <w:rPr>
          <w:rFonts w:ascii="Book Antiqua" w:hAnsi="Book Antiqua"/>
          <w:noProof/>
        </w:rPr>
        <w:t xml:space="preserve">); one genus belongs to the family </w:t>
      </w:r>
      <w:r w:rsidRPr="00244CD2">
        <w:rPr>
          <w:rFonts w:ascii="Book Antiqua" w:hAnsi="Book Antiqua"/>
          <w:i/>
          <w:noProof/>
        </w:rPr>
        <w:t>Rikenellaceae</w:t>
      </w:r>
      <w:r w:rsidRPr="00244CD2">
        <w:rPr>
          <w:rFonts w:ascii="Book Antiqua" w:hAnsi="Book Antiqua"/>
          <w:noProof/>
        </w:rPr>
        <w:t xml:space="preserve"> (</w:t>
      </w:r>
      <w:r w:rsidR="007A2ACF" w:rsidRPr="00244CD2">
        <w:rPr>
          <w:rFonts w:ascii="Book Antiqua" w:hAnsi="Book Antiqua"/>
          <w:i/>
          <w:noProof/>
        </w:rPr>
        <w:t>A</w:t>
      </w:r>
      <w:r w:rsidRPr="00244CD2">
        <w:rPr>
          <w:rFonts w:ascii="Book Antiqua" w:hAnsi="Book Antiqua"/>
          <w:i/>
          <w:noProof/>
        </w:rPr>
        <w:t>listipes</w:t>
      </w:r>
      <w:r w:rsidRPr="00244CD2">
        <w:rPr>
          <w:rFonts w:ascii="Book Antiqua" w:eastAsia="AdvOT1ef757c0" w:hAnsi="Book Antiqua"/>
          <w:noProof/>
        </w:rPr>
        <w:t xml:space="preserve">); two genera belong to </w:t>
      </w:r>
      <w:r w:rsidRPr="00244CD2">
        <w:rPr>
          <w:rFonts w:ascii="Book Antiqua" w:hAnsi="Book Antiqua"/>
          <w:noProof/>
        </w:rPr>
        <w:t xml:space="preserve">the family </w:t>
      </w:r>
      <w:r w:rsidRPr="00244CD2">
        <w:rPr>
          <w:rFonts w:ascii="Book Antiqua" w:hAnsi="Book Antiqua"/>
          <w:i/>
          <w:noProof/>
        </w:rPr>
        <w:t>Porphyromonadaceae</w:t>
      </w:r>
      <w:r w:rsidRPr="00244CD2">
        <w:rPr>
          <w:rFonts w:ascii="Book Antiqua" w:hAnsi="Book Antiqua"/>
          <w:noProof/>
        </w:rPr>
        <w:t xml:space="preserve"> (</w:t>
      </w:r>
      <w:r w:rsidR="007A2ACF" w:rsidRPr="00244CD2">
        <w:rPr>
          <w:rFonts w:ascii="Book Antiqua" w:hAnsi="Book Antiqua"/>
          <w:i/>
          <w:noProof/>
        </w:rPr>
        <w:t>O</w:t>
      </w:r>
      <w:r w:rsidRPr="00244CD2">
        <w:rPr>
          <w:rFonts w:ascii="Book Antiqua" w:hAnsi="Book Antiqua"/>
          <w:i/>
          <w:noProof/>
        </w:rPr>
        <w:t>doribacter</w:t>
      </w:r>
      <w:r w:rsidRPr="00244CD2">
        <w:rPr>
          <w:rFonts w:ascii="Book Antiqua" w:hAnsi="Book Antiqua"/>
          <w:noProof/>
        </w:rPr>
        <w:t xml:space="preserve"> and</w:t>
      </w:r>
      <w:r w:rsidRPr="00244CD2">
        <w:rPr>
          <w:rFonts w:ascii="Book Antiqua" w:hAnsi="Book Antiqua"/>
          <w:i/>
          <w:noProof/>
        </w:rPr>
        <w:t xml:space="preserve"> </w:t>
      </w:r>
      <w:r w:rsidR="007A2ACF" w:rsidRPr="00244CD2">
        <w:rPr>
          <w:rFonts w:ascii="Book Antiqua" w:hAnsi="Book Antiqua"/>
          <w:i/>
          <w:noProof/>
        </w:rPr>
        <w:t>B</w:t>
      </w:r>
      <w:r w:rsidRPr="00244CD2">
        <w:rPr>
          <w:rFonts w:ascii="Book Antiqua" w:hAnsi="Book Antiqua"/>
          <w:i/>
          <w:noProof/>
        </w:rPr>
        <w:t>arnesiella</w:t>
      </w:r>
      <w:r w:rsidRPr="00244CD2">
        <w:rPr>
          <w:rFonts w:ascii="Book Antiqua" w:hAnsi="Book Antiqua"/>
          <w:noProof/>
        </w:rPr>
        <w:t xml:space="preserve">); </w:t>
      </w:r>
      <w:r w:rsidRPr="00244CD2">
        <w:rPr>
          <w:rFonts w:ascii="Book Antiqua" w:eastAsia="AdvOT1ef757c0" w:hAnsi="Book Antiqua"/>
          <w:noProof/>
        </w:rPr>
        <w:t xml:space="preserve">two genera belong to </w:t>
      </w:r>
      <w:r w:rsidRPr="00244CD2">
        <w:rPr>
          <w:rFonts w:ascii="Book Antiqua" w:hAnsi="Book Antiqua"/>
          <w:noProof/>
        </w:rPr>
        <w:t xml:space="preserve">the family </w:t>
      </w:r>
      <w:r w:rsidRPr="00244CD2">
        <w:rPr>
          <w:rFonts w:ascii="Book Antiqua" w:hAnsi="Book Antiqua"/>
          <w:i/>
          <w:noProof/>
        </w:rPr>
        <w:t xml:space="preserve">Lachnospiraceae </w:t>
      </w:r>
      <w:r w:rsidRPr="00244CD2">
        <w:rPr>
          <w:rFonts w:ascii="Book Antiqua" w:hAnsi="Book Antiqua"/>
          <w:noProof/>
        </w:rPr>
        <w:t>(</w:t>
      </w:r>
      <w:r w:rsidR="007A2ACF" w:rsidRPr="00244CD2">
        <w:rPr>
          <w:rFonts w:ascii="Book Antiqua" w:hAnsi="Book Antiqua"/>
          <w:i/>
          <w:noProof/>
        </w:rPr>
        <w:t>C</w:t>
      </w:r>
      <w:r w:rsidRPr="00244CD2">
        <w:rPr>
          <w:rFonts w:ascii="Book Antiqua" w:hAnsi="Book Antiqua"/>
          <w:i/>
          <w:noProof/>
        </w:rPr>
        <w:t>oprococcus</w:t>
      </w:r>
      <w:r w:rsidRPr="00244CD2">
        <w:rPr>
          <w:rFonts w:ascii="Book Antiqua" w:hAnsi="Book Antiqua"/>
          <w:noProof/>
        </w:rPr>
        <w:t xml:space="preserve"> and </w:t>
      </w:r>
      <w:r w:rsidR="007A2ACF" w:rsidRPr="00244CD2">
        <w:rPr>
          <w:rFonts w:ascii="Book Antiqua" w:hAnsi="Book Antiqua"/>
          <w:i/>
          <w:noProof/>
        </w:rPr>
        <w:t>C</w:t>
      </w:r>
      <w:r w:rsidRPr="00244CD2">
        <w:rPr>
          <w:rFonts w:ascii="Book Antiqua" w:hAnsi="Book Antiqua"/>
          <w:i/>
          <w:noProof/>
        </w:rPr>
        <w:t>lostridium XlVb</w:t>
      </w:r>
      <w:r w:rsidRPr="00244CD2">
        <w:rPr>
          <w:rFonts w:ascii="Book Antiqua" w:hAnsi="Book Antiqua"/>
          <w:noProof/>
        </w:rPr>
        <w:t>).</w:t>
      </w:r>
      <w:r w:rsidRPr="00244CD2">
        <w:rPr>
          <w:rFonts w:ascii="Book Antiqua" w:eastAsia="AdvOT1ef757c0" w:hAnsi="Book Antiqua"/>
          <w:noProof/>
        </w:rPr>
        <w:t xml:space="preserve"> All of the genera were decreased significantly in the IBS-D group except for </w:t>
      </w:r>
      <w:r w:rsidRPr="00244CD2">
        <w:rPr>
          <w:rFonts w:ascii="Book Antiqua" w:hAnsi="Book Antiqua"/>
          <w:i/>
          <w:noProof/>
        </w:rPr>
        <w:t>Ruminococcus</w:t>
      </w:r>
      <w:r w:rsidRPr="00244CD2">
        <w:rPr>
          <w:rFonts w:ascii="Book Antiqua" w:hAnsi="Book Antiqua"/>
          <w:noProof/>
        </w:rPr>
        <w:t>.</w:t>
      </w:r>
      <w:r w:rsidRPr="00244CD2">
        <w:rPr>
          <w:rFonts w:ascii="Book Antiqua" w:eastAsia="AdvOT1ef757c0" w:hAnsi="Book Antiqua"/>
          <w:noProof/>
        </w:rPr>
        <w:t xml:space="preserve"> </w:t>
      </w:r>
      <w:r w:rsidR="00E750F9" w:rsidRPr="00244CD2">
        <w:rPr>
          <w:rFonts w:ascii="Book Antiqua" w:eastAsia="AdvOT1ef757c0" w:hAnsi="Book Antiqua"/>
          <w:noProof/>
          <w:vertAlign w:val="superscript"/>
        </w:rPr>
        <w:t>a</w:t>
      </w:r>
      <w:r w:rsidRPr="00244CD2">
        <w:rPr>
          <w:rFonts w:ascii="Book Antiqua" w:eastAsia="AdvOT1ef757c0" w:hAnsi="Book Antiqua"/>
          <w:i/>
          <w:noProof/>
        </w:rPr>
        <w:t>P</w:t>
      </w:r>
      <w:r w:rsidRPr="00244CD2">
        <w:rPr>
          <w:rFonts w:ascii="Book Antiqua" w:eastAsia="AdvOT1ef757c0" w:hAnsi="Book Antiqua"/>
          <w:noProof/>
        </w:rPr>
        <w:t xml:space="preserve"> </w:t>
      </w:r>
      <w:r w:rsidR="00455C4B" w:rsidRPr="00244CD2">
        <w:rPr>
          <w:rFonts w:ascii="Book Antiqua" w:eastAsia="宋体" w:hAnsi="Book Antiqua" w:cs="宋体"/>
          <w:noProof/>
          <w:lang w:eastAsia="zh-CN"/>
        </w:rPr>
        <w:t>&lt;</w:t>
      </w:r>
      <w:r w:rsidRPr="00244CD2">
        <w:rPr>
          <w:rFonts w:ascii="Book Antiqua" w:eastAsia="宋体" w:hAnsi="Book Antiqua" w:cs="宋体"/>
          <w:noProof/>
        </w:rPr>
        <w:t xml:space="preserve"> 0.0</w:t>
      </w:r>
      <w:r w:rsidR="001C7773" w:rsidRPr="00244CD2">
        <w:rPr>
          <w:rFonts w:ascii="Book Antiqua" w:eastAsia="宋体" w:hAnsi="Book Antiqua" w:cs="宋体"/>
          <w:noProof/>
        </w:rPr>
        <w:t>5</w:t>
      </w:r>
      <w:r w:rsidRPr="00244CD2">
        <w:rPr>
          <w:rFonts w:ascii="Book Antiqua" w:eastAsia="宋体" w:hAnsi="Book Antiqua" w:cs="宋体"/>
          <w:noProof/>
        </w:rPr>
        <w:t xml:space="preserve">, </w:t>
      </w:r>
      <w:r w:rsidR="00E750F9" w:rsidRPr="00244CD2">
        <w:rPr>
          <w:rFonts w:ascii="Book Antiqua" w:eastAsia="宋体" w:hAnsi="Book Antiqua" w:cs="宋体"/>
          <w:noProof/>
          <w:vertAlign w:val="superscript"/>
        </w:rPr>
        <w:t>b</w:t>
      </w:r>
      <w:r w:rsidRPr="00244CD2">
        <w:rPr>
          <w:rFonts w:ascii="Book Antiqua" w:eastAsia="AdvOT1ef757c0" w:hAnsi="Book Antiqua"/>
          <w:i/>
          <w:noProof/>
        </w:rPr>
        <w:t>P</w:t>
      </w:r>
      <w:r w:rsidRPr="00244CD2">
        <w:rPr>
          <w:rFonts w:ascii="Book Antiqua" w:eastAsia="AdvOT1ef757c0" w:hAnsi="Book Antiqua"/>
          <w:noProof/>
        </w:rPr>
        <w:t xml:space="preserve"> </w:t>
      </w:r>
      <w:r w:rsidR="00455C4B" w:rsidRPr="00244CD2">
        <w:rPr>
          <w:rFonts w:ascii="Book Antiqua" w:eastAsia="宋体" w:hAnsi="Book Antiqua" w:cs="宋体"/>
          <w:noProof/>
          <w:lang w:eastAsia="zh-CN"/>
        </w:rPr>
        <w:t>&lt;</w:t>
      </w:r>
      <w:r w:rsidRPr="00244CD2">
        <w:rPr>
          <w:rFonts w:ascii="Book Antiqua" w:eastAsia="宋体" w:hAnsi="Book Antiqua" w:cs="宋体"/>
          <w:noProof/>
        </w:rPr>
        <w:t xml:space="preserve"> 0.0</w:t>
      </w:r>
      <w:r w:rsidR="001C7773" w:rsidRPr="00244CD2">
        <w:rPr>
          <w:rFonts w:ascii="Book Antiqua" w:eastAsia="宋体" w:hAnsi="Book Antiqua" w:cs="宋体"/>
          <w:noProof/>
        </w:rPr>
        <w:t>1</w:t>
      </w:r>
      <w:r w:rsidRPr="00244CD2">
        <w:rPr>
          <w:rFonts w:ascii="Book Antiqua" w:eastAsia="宋体" w:hAnsi="Book Antiqua" w:cs="宋体"/>
          <w:noProof/>
        </w:rPr>
        <w:t>.</w:t>
      </w:r>
      <w:r w:rsidR="00455C4B" w:rsidRPr="00244CD2">
        <w:rPr>
          <w:rFonts w:ascii="Book Antiqua" w:eastAsia="AdvOT1ef757c0" w:hAnsi="Book Antiqua"/>
          <w:noProof/>
        </w:rPr>
        <w:t xml:space="preserve"> CA: </w:t>
      </w:r>
      <w:r w:rsidR="00455C4B" w:rsidRPr="00244CD2">
        <w:rPr>
          <w:rFonts w:ascii="Book Antiqua" w:eastAsia="AdvOT1ef757c0" w:hAnsi="Book Antiqua"/>
          <w:noProof/>
          <w:lang w:eastAsia="zh-CN"/>
        </w:rPr>
        <w:t>C</w:t>
      </w:r>
      <w:r w:rsidR="00455C4B" w:rsidRPr="00244CD2">
        <w:rPr>
          <w:rFonts w:ascii="Book Antiqua" w:eastAsia="AdvOT1ef757c0" w:hAnsi="Book Antiqua"/>
          <w:noProof/>
        </w:rPr>
        <w:t xml:space="preserve">holic acid; CDCA: </w:t>
      </w:r>
      <w:r w:rsidR="00455C4B" w:rsidRPr="00244CD2">
        <w:rPr>
          <w:rFonts w:ascii="Book Antiqua" w:eastAsia="AdvOT1ef757c0" w:hAnsi="Book Antiqua"/>
          <w:noProof/>
          <w:lang w:eastAsia="zh-CN"/>
        </w:rPr>
        <w:t>C</w:t>
      </w:r>
      <w:r w:rsidR="00455C4B" w:rsidRPr="00244CD2">
        <w:rPr>
          <w:rFonts w:ascii="Book Antiqua" w:eastAsia="AdvOT1ef757c0" w:hAnsi="Book Antiqua"/>
          <w:noProof/>
        </w:rPr>
        <w:t xml:space="preserve">henodeoxycholic acid; DCA: </w:t>
      </w:r>
      <w:r w:rsidR="00455C4B" w:rsidRPr="00244CD2">
        <w:rPr>
          <w:rFonts w:ascii="Book Antiqua" w:eastAsia="AdvOT1ef757c0" w:hAnsi="Book Antiqua"/>
          <w:noProof/>
          <w:lang w:eastAsia="zh-CN"/>
        </w:rPr>
        <w:t>D</w:t>
      </w:r>
      <w:r w:rsidR="00455C4B" w:rsidRPr="00244CD2">
        <w:rPr>
          <w:rFonts w:ascii="Book Antiqua" w:eastAsia="AdvOT1ef757c0" w:hAnsi="Book Antiqua"/>
          <w:noProof/>
        </w:rPr>
        <w:t xml:space="preserve">eoxycholic acid; LCA: </w:t>
      </w:r>
      <w:r w:rsidR="00455C4B" w:rsidRPr="00244CD2">
        <w:rPr>
          <w:rFonts w:ascii="Book Antiqua" w:eastAsia="AdvOT1ef757c0" w:hAnsi="Book Antiqua"/>
          <w:noProof/>
          <w:lang w:eastAsia="zh-CN"/>
        </w:rPr>
        <w:t>L</w:t>
      </w:r>
      <w:r w:rsidRPr="00244CD2">
        <w:rPr>
          <w:rFonts w:ascii="Book Antiqua" w:eastAsia="AdvOT1ef757c0" w:hAnsi="Book Antiqua"/>
          <w:noProof/>
        </w:rPr>
        <w:t xml:space="preserve">ithocholic acid; </w:t>
      </w:r>
      <w:r w:rsidR="00455C4B" w:rsidRPr="00244CD2">
        <w:rPr>
          <w:rFonts w:ascii="Book Antiqua" w:hAnsi="Book Antiqua"/>
          <w:noProof/>
        </w:rPr>
        <w:t xml:space="preserve">UDCA: </w:t>
      </w:r>
      <w:r w:rsidR="00455C4B" w:rsidRPr="00244CD2">
        <w:rPr>
          <w:rFonts w:ascii="Book Antiqua" w:hAnsi="Book Antiqua"/>
          <w:noProof/>
          <w:lang w:eastAsia="zh-CN"/>
        </w:rPr>
        <w:t>U</w:t>
      </w:r>
      <w:r w:rsidRPr="00244CD2">
        <w:rPr>
          <w:rFonts w:ascii="Book Antiqua" w:hAnsi="Book Antiqua"/>
          <w:noProof/>
        </w:rPr>
        <w:t>rsodeoxycholic acid</w:t>
      </w:r>
      <w:r w:rsidRPr="00244CD2">
        <w:rPr>
          <w:rFonts w:ascii="Book Antiqua" w:eastAsia="AdvOT1ef757c0" w:hAnsi="Book Antiqua"/>
          <w:noProof/>
        </w:rPr>
        <w:t>.</w:t>
      </w:r>
    </w:p>
    <w:p w14:paraId="46807ABC" w14:textId="77777777" w:rsidR="004D257F" w:rsidRPr="00244CD2" w:rsidRDefault="004D257F" w:rsidP="00244CD2">
      <w:pPr>
        <w:snapToGrid w:val="0"/>
        <w:spacing w:line="360" w:lineRule="auto"/>
        <w:jc w:val="both"/>
        <w:rPr>
          <w:rFonts w:ascii="Book Antiqua" w:eastAsia="AdvOT1ef757c0" w:hAnsi="Book Antiqua"/>
          <w:noProof/>
          <w:lang w:eastAsia="zh-CN"/>
        </w:rPr>
      </w:pPr>
    </w:p>
    <w:p w14:paraId="49F15F8E" w14:textId="77777777" w:rsidR="002D00F9" w:rsidRPr="00244CD2" w:rsidRDefault="002D00F9">
      <w:pPr>
        <w:adjustRightInd w:val="0"/>
        <w:snapToGrid w:val="0"/>
        <w:spacing w:line="360" w:lineRule="auto"/>
        <w:jc w:val="both"/>
        <w:rPr>
          <w:rFonts w:ascii="Book Antiqua" w:eastAsia="AdvOT1ef757c0" w:hAnsi="Book Antiqua"/>
          <w:noProof/>
        </w:rPr>
      </w:pPr>
      <w:r w:rsidRPr="00244CD2">
        <w:rPr>
          <w:rFonts w:ascii="Book Antiqua" w:eastAsia="AdvOT1ef757c0" w:hAnsi="Book Antiqua"/>
          <w:noProof/>
        </w:rPr>
        <w:br w:type="page"/>
      </w:r>
      <w:r w:rsidRPr="00244CD2">
        <w:rPr>
          <w:rFonts w:ascii="Book Antiqua" w:hAnsi="Book Antiqua"/>
          <w:b/>
          <w:noProof/>
        </w:rPr>
        <w:lastRenderedPageBreak/>
        <w:t xml:space="preserve">Table 1 </w:t>
      </w:r>
      <w:r w:rsidRPr="00244CD2">
        <w:rPr>
          <w:rFonts w:ascii="Book Antiqua" w:eastAsia="宋体" w:hAnsi="Book Antiqua"/>
          <w:b/>
          <w:noProof/>
        </w:rPr>
        <w:t>Demographics and clinical characteristics of</w:t>
      </w:r>
      <w:r w:rsidRPr="00244CD2">
        <w:rPr>
          <w:rFonts w:ascii="Book Antiqua" w:hAnsi="Book Antiqua"/>
          <w:b/>
          <w:noProof/>
        </w:rPr>
        <w:t xml:space="preserve"> patients with diarrhea-predominant irritable bowel syndrome and healthy controls</w:t>
      </w:r>
    </w:p>
    <w:tbl>
      <w:tblPr>
        <w:tblStyle w:val="a6"/>
        <w:tblW w:w="5000" w:type="pct"/>
        <w:tblLook w:val="04A0" w:firstRow="1" w:lastRow="0" w:firstColumn="1" w:lastColumn="0" w:noHBand="0" w:noVBand="1"/>
      </w:tblPr>
      <w:tblGrid>
        <w:gridCol w:w="4156"/>
        <w:gridCol w:w="2237"/>
        <w:gridCol w:w="1760"/>
        <w:gridCol w:w="1207"/>
      </w:tblGrid>
      <w:tr w:rsidR="004B4DAE" w:rsidRPr="004B4DAE" w14:paraId="58DA2125" w14:textId="77777777" w:rsidTr="00BC217F">
        <w:trPr>
          <w:trHeight w:val="278"/>
        </w:trPr>
        <w:tc>
          <w:tcPr>
            <w:tcW w:w="2220" w:type="pct"/>
            <w:tcBorders>
              <w:left w:val="nil"/>
              <w:bottom w:val="single" w:sz="4" w:space="0" w:color="auto"/>
              <w:right w:val="nil"/>
            </w:tcBorders>
            <w:vAlign w:val="center"/>
          </w:tcPr>
          <w:p w14:paraId="4BEB9B95" w14:textId="77777777" w:rsidR="002D00F9" w:rsidRPr="00244CD2" w:rsidRDefault="002D00F9">
            <w:pPr>
              <w:adjustRightInd w:val="0"/>
              <w:snapToGrid w:val="0"/>
              <w:spacing w:line="360" w:lineRule="auto"/>
              <w:jc w:val="both"/>
              <w:rPr>
                <w:rFonts w:ascii="Book Antiqua" w:hAnsi="Book Antiqua"/>
                <w:b/>
                <w:noProof/>
              </w:rPr>
            </w:pPr>
            <w:r w:rsidRPr="00244CD2">
              <w:rPr>
                <w:rFonts w:ascii="Book Antiqua" w:hAnsi="Book Antiqua"/>
                <w:b/>
                <w:noProof/>
              </w:rPr>
              <w:t>Features</w:t>
            </w:r>
          </w:p>
        </w:tc>
        <w:tc>
          <w:tcPr>
            <w:tcW w:w="1195" w:type="pct"/>
            <w:tcBorders>
              <w:left w:val="nil"/>
              <w:bottom w:val="single" w:sz="4" w:space="0" w:color="auto"/>
              <w:right w:val="nil"/>
            </w:tcBorders>
            <w:vAlign w:val="center"/>
          </w:tcPr>
          <w:p w14:paraId="28BC8A88" w14:textId="77777777" w:rsidR="002D00F9" w:rsidRPr="00244CD2" w:rsidRDefault="002D00F9">
            <w:pPr>
              <w:adjustRightInd w:val="0"/>
              <w:snapToGrid w:val="0"/>
              <w:spacing w:line="360" w:lineRule="auto"/>
              <w:jc w:val="both"/>
              <w:rPr>
                <w:rFonts w:ascii="Book Antiqua" w:hAnsi="Book Antiqua"/>
                <w:b/>
                <w:noProof/>
              </w:rPr>
            </w:pPr>
            <w:r w:rsidRPr="00244CD2">
              <w:rPr>
                <w:rFonts w:ascii="Book Antiqua" w:hAnsi="Book Antiqua"/>
                <w:b/>
                <w:noProof/>
              </w:rPr>
              <w:t>IBS-D patients</w:t>
            </w:r>
          </w:p>
        </w:tc>
        <w:tc>
          <w:tcPr>
            <w:tcW w:w="940" w:type="pct"/>
            <w:tcBorders>
              <w:left w:val="nil"/>
              <w:bottom w:val="single" w:sz="4" w:space="0" w:color="auto"/>
              <w:right w:val="nil"/>
            </w:tcBorders>
            <w:vAlign w:val="center"/>
          </w:tcPr>
          <w:p w14:paraId="641B505B" w14:textId="77777777" w:rsidR="002D00F9" w:rsidRPr="00244CD2" w:rsidRDefault="002D00F9">
            <w:pPr>
              <w:adjustRightInd w:val="0"/>
              <w:snapToGrid w:val="0"/>
              <w:spacing w:line="360" w:lineRule="auto"/>
              <w:jc w:val="both"/>
              <w:rPr>
                <w:rFonts w:ascii="Book Antiqua" w:hAnsi="Book Antiqua"/>
                <w:b/>
                <w:noProof/>
              </w:rPr>
            </w:pPr>
            <w:r w:rsidRPr="00244CD2">
              <w:rPr>
                <w:rFonts w:ascii="Book Antiqua" w:hAnsi="Book Antiqua"/>
                <w:b/>
                <w:noProof/>
              </w:rPr>
              <w:t>Controls</w:t>
            </w:r>
          </w:p>
        </w:tc>
        <w:tc>
          <w:tcPr>
            <w:tcW w:w="645" w:type="pct"/>
            <w:tcBorders>
              <w:left w:val="nil"/>
              <w:bottom w:val="single" w:sz="4" w:space="0" w:color="auto"/>
              <w:right w:val="nil"/>
            </w:tcBorders>
            <w:vAlign w:val="center"/>
          </w:tcPr>
          <w:p w14:paraId="06E6A1CE" w14:textId="77777777" w:rsidR="002D00F9" w:rsidRPr="00244CD2" w:rsidRDefault="002D00F9">
            <w:pPr>
              <w:adjustRightInd w:val="0"/>
              <w:snapToGrid w:val="0"/>
              <w:spacing w:line="360" w:lineRule="auto"/>
              <w:jc w:val="both"/>
              <w:rPr>
                <w:rFonts w:ascii="Book Antiqua" w:hAnsi="Book Antiqua"/>
                <w:b/>
                <w:noProof/>
              </w:rPr>
            </w:pPr>
            <w:r w:rsidRPr="00244CD2">
              <w:rPr>
                <w:rFonts w:ascii="Book Antiqua" w:hAnsi="Book Antiqua"/>
                <w:b/>
                <w:i/>
                <w:noProof/>
              </w:rPr>
              <w:t>P</w:t>
            </w:r>
            <w:r w:rsidR="00E72F30" w:rsidRPr="00244CD2">
              <w:rPr>
                <w:rFonts w:ascii="Book Antiqua" w:hAnsi="Book Antiqua"/>
                <w:b/>
                <w:noProof/>
              </w:rPr>
              <w:t xml:space="preserve"> </w:t>
            </w:r>
            <w:r w:rsidRPr="00244CD2">
              <w:rPr>
                <w:rFonts w:ascii="Book Antiqua" w:hAnsi="Book Antiqua"/>
                <w:b/>
                <w:noProof/>
              </w:rPr>
              <w:t>value</w:t>
            </w:r>
          </w:p>
        </w:tc>
      </w:tr>
      <w:tr w:rsidR="004B4DAE" w:rsidRPr="004B4DAE" w14:paraId="49ED15CD" w14:textId="77777777" w:rsidTr="00BC217F">
        <w:trPr>
          <w:trHeight w:val="278"/>
        </w:trPr>
        <w:tc>
          <w:tcPr>
            <w:tcW w:w="2220" w:type="pct"/>
            <w:tcBorders>
              <w:left w:val="nil"/>
              <w:bottom w:val="nil"/>
              <w:right w:val="nil"/>
            </w:tcBorders>
            <w:vAlign w:val="center"/>
          </w:tcPr>
          <w:p w14:paraId="433662F4" w14:textId="77777777" w:rsidR="002D00F9" w:rsidRPr="00244CD2" w:rsidRDefault="008931CB" w:rsidP="004B4DAE">
            <w:pPr>
              <w:adjustRightInd w:val="0"/>
              <w:snapToGrid w:val="0"/>
              <w:spacing w:line="360" w:lineRule="auto"/>
              <w:jc w:val="both"/>
              <w:rPr>
                <w:rFonts w:ascii="Book Antiqua" w:hAnsi="Book Antiqua"/>
                <w:i/>
                <w:noProof/>
              </w:rPr>
            </w:pPr>
            <w:r w:rsidRPr="00244CD2">
              <w:rPr>
                <w:rFonts w:ascii="Book Antiqua" w:hAnsi="Book Antiqua"/>
                <w:i/>
                <w:noProof/>
              </w:rPr>
              <w:t>n</w:t>
            </w:r>
          </w:p>
        </w:tc>
        <w:tc>
          <w:tcPr>
            <w:tcW w:w="1195" w:type="pct"/>
            <w:tcBorders>
              <w:left w:val="nil"/>
              <w:bottom w:val="nil"/>
              <w:right w:val="nil"/>
            </w:tcBorders>
            <w:vAlign w:val="center"/>
          </w:tcPr>
          <w:p w14:paraId="187F14AB" w14:textId="77777777" w:rsidR="002D00F9" w:rsidRPr="00244CD2" w:rsidRDefault="002D00F9">
            <w:pPr>
              <w:adjustRightInd w:val="0"/>
              <w:snapToGrid w:val="0"/>
              <w:spacing w:line="360" w:lineRule="auto"/>
              <w:jc w:val="both"/>
              <w:rPr>
                <w:rFonts w:ascii="Book Antiqua" w:hAnsi="Book Antiqua"/>
                <w:noProof/>
              </w:rPr>
            </w:pPr>
            <w:r w:rsidRPr="00244CD2">
              <w:rPr>
                <w:rFonts w:ascii="Book Antiqua" w:hAnsi="Book Antiqua"/>
                <w:noProof/>
              </w:rPr>
              <w:t>55</w:t>
            </w:r>
          </w:p>
        </w:tc>
        <w:tc>
          <w:tcPr>
            <w:tcW w:w="940" w:type="pct"/>
            <w:tcBorders>
              <w:left w:val="nil"/>
              <w:bottom w:val="nil"/>
              <w:right w:val="nil"/>
            </w:tcBorders>
            <w:vAlign w:val="center"/>
          </w:tcPr>
          <w:p w14:paraId="5E48986B" w14:textId="77777777" w:rsidR="002D00F9" w:rsidRPr="00244CD2" w:rsidRDefault="002D00F9">
            <w:pPr>
              <w:adjustRightInd w:val="0"/>
              <w:snapToGrid w:val="0"/>
              <w:spacing w:line="360" w:lineRule="auto"/>
              <w:jc w:val="both"/>
              <w:rPr>
                <w:rFonts w:ascii="Book Antiqua" w:hAnsi="Book Antiqua"/>
                <w:noProof/>
              </w:rPr>
            </w:pPr>
            <w:r w:rsidRPr="00244CD2">
              <w:rPr>
                <w:rFonts w:ascii="Book Antiqua" w:hAnsi="Book Antiqua"/>
                <w:noProof/>
              </w:rPr>
              <w:t>28</w:t>
            </w:r>
          </w:p>
        </w:tc>
        <w:tc>
          <w:tcPr>
            <w:tcW w:w="645" w:type="pct"/>
            <w:tcBorders>
              <w:left w:val="nil"/>
              <w:bottom w:val="nil"/>
              <w:right w:val="nil"/>
            </w:tcBorders>
            <w:vAlign w:val="center"/>
          </w:tcPr>
          <w:p w14:paraId="220C38D5" w14:textId="77777777" w:rsidR="002D00F9" w:rsidRPr="00244CD2" w:rsidRDefault="002D00F9">
            <w:pPr>
              <w:adjustRightInd w:val="0"/>
              <w:snapToGrid w:val="0"/>
              <w:spacing w:line="360" w:lineRule="auto"/>
              <w:jc w:val="both"/>
              <w:rPr>
                <w:rFonts w:ascii="Book Antiqua" w:hAnsi="Book Antiqua"/>
                <w:noProof/>
              </w:rPr>
            </w:pPr>
            <w:r w:rsidRPr="00244CD2">
              <w:rPr>
                <w:rFonts w:ascii="Book Antiqua" w:hAnsi="Book Antiqua"/>
                <w:noProof/>
              </w:rPr>
              <w:t>NA</w:t>
            </w:r>
          </w:p>
        </w:tc>
      </w:tr>
      <w:tr w:rsidR="004B4DAE" w:rsidRPr="004B4DAE" w14:paraId="03D9421D" w14:textId="77777777" w:rsidTr="00BC217F">
        <w:trPr>
          <w:trHeight w:val="278"/>
        </w:trPr>
        <w:tc>
          <w:tcPr>
            <w:tcW w:w="2220" w:type="pct"/>
            <w:tcBorders>
              <w:top w:val="nil"/>
              <w:left w:val="nil"/>
              <w:bottom w:val="nil"/>
              <w:right w:val="nil"/>
            </w:tcBorders>
            <w:vAlign w:val="center"/>
          </w:tcPr>
          <w:p w14:paraId="276A2BD2" w14:textId="09BA7277" w:rsidR="002D00F9" w:rsidRPr="00244CD2" w:rsidRDefault="008931CB" w:rsidP="004B4DAE">
            <w:pPr>
              <w:adjustRightInd w:val="0"/>
              <w:snapToGrid w:val="0"/>
              <w:spacing w:line="360" w:lineRule="auto"/>
              <w:jc w:val="both"/>
              <w:rPr>
                <w:rFonts w:ascii="Book Antiqua" w:hAnsi="Book Antiqua"/>
                <w:noProof/>
              </w:rPr>
            </w:pPr>
            <w:r w:rsidRPr="00244CD2">
              <w:rPr>
                <w:rFonts w:ascii="Book Antiqua" w:hAnsi="Book Antiqua"/>
                <w:noProof/>
              </w:rPr>
              <w:t xml:space="preserve">Age </w:t>
            </w:r>
            <w:r w:rsidR="004B4DAE">
              <w:rPr>
                <w:rFonts w:ascii="Book Antiqua" w:hAnsi="Book Antiqua"/>
                <w:noProof/>
              </w:rPr>
              <w:t xml:space="preserve">in </w:t>
            </w:r>
            <w:r w:rsidRPr="00244CD2">
              <w:rPr>
                <w:rFonts w:ascii="Book Antiqua" w:hAnsi="Book Antiqua"/>
                <w:noProof/>
              </w:rPr>
              <w:t>yr</w:t>
            </w:r>
          </w:p>
        </w:tc>
        <w:tc>
          <w:tcPr>
            <w:tcW w:w="1195" w:type="pct"/>
            <w:tcBorders>
              <w:top w:val="nil"/>
              <w:left w:val="nil"/>
              <w:bottom w:val="nil"/>
              <w:right w:val="nil"/>
            </w:tcBorders>
            <w:vAlign w:val="center"/>
          </w:tcPr>
          <w:p w14:paraId="2F1FE2AB" w14:textId="77777777" w:rsidR="002D00F9" w:rsidRPr="00244CD2" w:rsidRDefault="002D00F9" w:rsidP="004B4DAE">
            <w:pPr>
              <w:adjustRightInd w:val="0"/>
              <w:snapToGrid w:val="0"/>
              <w:spacing w:line="360" w:lineRule="auto"/>
              <w:jc w:val="both"/>
              <w:rPr>
                <w:rFonts w:ascii="Book Antiqua" w:hAnsi="Book Antiqua"/>
                <w:noProof/>
              </w:rPr>
            </w:pPr>
            <w:r w:rsidRPr="00244CD2">
              <w:rPr>
                <w:rFonts w:ascii="Book Antiqua" w:hAnsi="Book Antiqua"/>
                <w:noProof/>
              </w:rPr>
              <w:t>35.1</w:t>
            </w:r>
            <w:r w:rsidR="008931CB" w:rsidRPr="00244CD2">
              <w:rPr>
                <w:rFonts w:ascii="Book Antiqua" w:hAnsi="Book Antiqua"/>
                <w:noProof/>
              </w:rPr>
              <w:t xml:space="preserve"> </w:t>
            </w:r>
            <w:r w:rsidRPr="00244CD2">
              <w:rPr>
                <w:rFonts w:ascii="Book Antiqua" w:hAnsi="Book Antiqua"/>
                <w:noProof/>
              </w:rPr>
              <w:t>±</w:t>
            </w:r>
            <w:r w:rsidR="008931CB" w:rsidRPr="00244CD2">
              <w:rPr>
                <w:rFonts w:ascii="Book Antiqua" w:hAnsi="Book Antiqua"/>
                <w:noProof/>
              </w:rPr>
              <w:t xml:space="preserve"> </w:t>
            </w:r>
            <w:r w:rsidRPr="00244CD2">
              <w:rPr>
                <w:rFonts w:ascii="Book Antiqua" w:hAnsi="Book Antiqua"/>
                <w:noProof/>
              </w:rPr>
              <w:t>9.8</w:t>
            </w:r>
          </w:p>
        </w:tc>
        <w:tc>
          <w:tcPr>
            <w:tcW w:w="940" w:type="pct"/>
            <w:tcBorders>
              <w:top w:val="nil"/>
              <w:left w:val="nil"/>
              <w:bottom w:val="nil"/>
              <w:right w:val="nil"/>
            </w:tcBorders>
            <w:vAlign w:val="center"/>
          </w:tcPr>
          <w:p w14:paraId="7547899E" w14:textId="77777777" w:rsidR="002D00F9" w:rsidRPr="00244CD2" w:rsidRDefault="002D00F9" w:rsidP="004B4DAE">
            <w:pPr>
              <w:adjustRightInd w:val="0"/>
              <w:snapToGrid w:val="0"/>
              <w:spacing w:line="360" w:lineRule="auto"/>
              <w:jc w:val="both"/>
              <w:rPr>
                <w:rFonts w:ascii="Book Antiqua" w:hAnsi="Book Antiqua"/>
                <w:noProof/>
              </w:rPr>
            </w:pPr>
            <w:r w:rsidRPr="00244CD2">
              <w:rPr>
                <w:rFonts w:ascii="Book Antiqua" w:hAnsi="Book Antiqua"/>
                <w:noProof/>
              </w:rPr>
              <w:t>34.4</w:t>
            </w:r>
            <w:r w:rsidR="008931CB" w:rsidRPr="00244CD2">
              <w:rPr>
                <w:rFonts w:ascii="Book Antiqua" w:hAnsi="Book Antiqua"/>
                <w:noProof/>
              </w:rPr>
              <w:t xml:space="preserve"> </w:t>
            </w:r>
            <w:r w:rsidRPr="00244CD2">
              <w:rPr>
                <w:rFonts w:ascii="Book Antiqua" w:hAnsi="Book Antiqua"/>
                <w:noProof/>
              </w:rPr>
              <w:t>±</w:t>
            </w:r>
            <w:r w:rsidR="008931CB" w:rsidRPr="00244CD2">
              <w:rPr>
                <w:rFonts w:ascii="Book Antiqua" w:hAnsi="Book Antiqua"/>
                <w:noProof/>
              </w:rPr>
              <w:t xml:space="preserve"> </w:t>
            </w:r>
            <w:r w:rsidRPr="00244CD2">
              <w:rPr>
                <w:rFonts w:ascii="Book Antiqua" w:hAnsi="Book Antiqua"/>
                <w:noProof/>
              </w:rPr>
              <w:t>10.6</w:t>
            </w:r>
          </w:p>
        </w:tc>
        <w:tc>
          <w:tcPr>
            <w:tcW w:w="645" w:type="pct"/>
            <w:tcBorders>
              <w:top w:val="nil"/>
              <w:left w:val="nil"/>
              <w:bottom w:val="nil"/>
              <w:right w:val="nil"/>
            </w:tcBorders>
            <w:vAlign w:val="center"/>
          </w:tcPr>
          <w:p w14:paraId="547767E3" w14:textId="77777777" w:rsidR="002D00F9" w:rsidRPr="00244CD2" w:rsidRDefault="002D00F9">
            <w:pPr>
              <w:adjustRightInd w:val="0"/>
              <w:snapToGrid w:val="0"/>
              <w:spacing w:line="360" w:lineRule="auto"/>
              <w:jc w:val="both"/>
              <w:rPr>
                <w:rFonts w:ascii="Book Antiqua" w:hAnsi="Book Antiqua"/>
                <w:noProof/>
              </w:rPr>
            </w:pPr>
            <w:r w:rsidRPr="00244CD2">
              <w:rPr>
                <w:rFonts w:ascii="Book Antiqua" w:hAnsi="Book Antiqua"/>
                <w:noProof/>
              </w:rPr>
              <w:t>0.754</w:t>
            </w:r>
          </w:p>
        </w:tc>
      </w:tr>
      <w:tr w:rsidR="004B4DAE" w:rsidRPr="004B4DAE" w14:paraId="7A050332" w14:textId="77777777" w:rsidTr="00BC217F">
        <w:trPr>
          <w:trHeight w:val="278"/>
        </w:trPr>
        <w:tc>
          <w:tcPr>
            <w:tcW w:w="2220" w:type="pct"/>
            <w:tcBorders>
              <w:top w:val="nil"/>
              <w:left w:val="nil"/>
              <w:bottom w:val="nil"/>
              <w:right w:val="nil"/>
            </w:tcBorders>
            <w:vAlign w:val="center"/>
          </w:tcPr>
          <w:p w14:paraId="40CA136C" w14:textId="551F59DF" w:rsidR="002D00F9" w:rsidRPr="00244CD2" w:rsidRDefault="002D00F9" w:rsidP="004B4DAE">
            <w:pPr>
              <w:adjustRightInd w:val="0"/>
              <w:snapToGrid w:val="0"/>
              <w:spacing w:line="360" w:lineRule="auto"/>
              <w:jc w:val="both"/>
              <w:rPr>
                <w:rFonts w:ascii="Book Antiqua" w:hAnsi="Book Antiqua"/>
                <w:noProof/>
              </w:rPr>
            </w:pPr>
            <w:r w:rsidRPr="00244CD2">
              <w:rPr>
                <w:rFonts w:ascii="Book Antiqua" w:hAnsi="Book Antiqua"/>
                <w:noProof/>
              </w:rPr>
              <w:t>Gender</w:t>
            </w:r>
            <w:r w:rsidR="004B4DAE">
              <w:rPr>
                <w:rFonts w:ascii="Book Antiqua" w:hAnsi="Book Antiqua"/>
                <w:noProof/>
              </w:rPr>
              <w:t>,</w:t>
            </w:r>
            <w:r w:rsidRPr="00244CD2">
              <w:rPr>
                <w:rFonts w:ascii="Book Antiqua" w:hAnsi="Book Antiqua"/>
                <w:noProof/>
              </w:rPr>
              <w:t xml:space="preserve"> male: female</w:t>
            </w:r>
          </w:p>
        </w:tc>
        <w:tc>
          <w:tcPr>
            <w:tcW w:w="1195" w:type="pct"/>
            <w:tcBorders>
              <w:top w:val="nil"/>
              <w:left w:val="nil"/>
              <w:bottom w:val="nil"/>
              <w:right w:val="nil"/>
            </w:tcBorders>
            <w:vAlign w:val="center"/>
          </w:tcPr>
          <w:p w14:paraId="2357FB9D" w14:textId="77777777" w:rsidR="002D00F9" w:rsidRPr="00244CD2" w:rsidRDefault="002D00F9" w:rsidP="004B4DAE">
            <w:pPr>
              <w:adjustRightInd w:val="0"/>
              <w:snapToGrid w:val="0"/>
              <w:spacing w:line="360" w:lineRule="auto"/>
              <w:jc w:val="both"/>
              <w:rPr>
                <w:rFonts w:ascii="Book Antiqua" w:hAnsi="Book Antiqua"/>
                <w:noProof/>
              </w:rPr>
            </w:pPr>
            <w:r w:rsidRPr="00244CD2">
              <w:rPr>
                <w:rFonts w:ascii="Book Antiqua" w:hAnsi="Book Antiqua"/>
                <w:noProof/>
              </w:rPr>
              <w:t>41:</w:t>
            </w:r>
            <w:r w:rsidR="008931CB" w:rsidRPr="00244CD2">
              <w:rPr>
                <w:rFonts w:ascii="Book Antiqua" w:hAnsi="Book Antiqua"/>
                <w:noProof/>
              </w:rPr>
              <w:t xml:space="preserve"> </w:t>
            </w:r>
            <w:r w:rsidRPr="00244CD2">
              <w:rPr>
                <w:rFonts w:ascii="Book Antiqua" w:hAnsi="Book Antiqua"/>
                <w:noProof/>
              </w:rPr>
              <w:t>14</w:t>
            </w:r>
          </w:p>
        </w:tc>
        <w:tc>
          <w:tcPr>
            <w:tcW w:w="940" w:type="pct"/>
            <w:tcBorders>
              <w:top w:val="nil"/>
              <w:left w:val="nil"/>
              <w:bottom w:val="nil"/>
              <w:right w:val="nil"/>
            </w:tcBorders>
            <w:vAlign w:val="center"/>
          </w:tcPr>
          <w:p w14:paraId="015C86AA" w14:textId="77777777" w:rsidR="002D00F9" w:rsidRPr="00244CD2" w:rsidRDefault="002D00F9" w:rsidP="004B4DAE">
            <w:pPr>
              <w:adjustRightInd w:val="0"/>
              <w:snapToGrid w:val="0"/>
              <w:spacing w:line="360" w:lineRule="auto"/>
              <w:jc w:val="both"/>
              <w:rPr>
                <w:rFonts w:ascii="Book Antiqua" w:hAnsi="Book Antiqua"/>
                <w:noProof/>
              </w:rPr>
            </w:pPr>
            <w:r w:rsidRPr="00244CD2">
              <w:rPr>
                <w:rFonts w:ascii="Book Antiqua" w:hAnsi="Book Antiqua"/>
                <w:noProof/>
              </w:rPr>
              <w:t>5:</w:t>
            </w:r>
            <w:r w:rsidR="008931CB" w:rsidRPr="00244CD2">
              <w:rPr>
                <w:rFonts w:ascii="Book Antiqua" w:hAnsi="Book Antiqua"/>
                <w:noProof/>
              </w:rPr>
              <w:t xml:space="preserve"> </w:t>
            </w:r>
            <w:r w:rsidRPr="00244CD2">
              <w:rPr>
                <w:rFonts w:ascii="Book Antiqua" w:hAnsi="Book Antiqua"/>
                <w:noProof/>
              </w:rPr>
              <w:t>2</w:t>
            </w:r>
          </w:p>
        </w:tc>
        <w:tc>
          <w:tcPr>
            <w:tcW w:w="645" w:type="pct"/>
            <w:tcBorders>
              <w:top w:val="nil"/>
              <w:left w:val="nil"/>
              <w:bottom w:val="nil"/>
              <w:right w:val="nil"/>
            </w:tcBorders>
            <w:vAlign w:val="center"/>
          </w:tcPr>
          <w:p w14:paraId="55A6C5F4" w14:textId="77777777" w:rsidR="002D00F9" w:rsidRPr="00244CD2" w:rsidRDefault="002D00F9">
            <w:pPr>
              <w:adjustRightInd w:val="0"/>
              <w:snapToGrid w:val="0"/>
              <w:spacing w:line="360" w:lineRule="auto"/>
              <w:jc w:val="both"/>
              <w:rPr>
                <w:rFonts w:ascii="Book Antiqua" w:hAnsi="Book Antiqua"/>
                <w:noProof/>
              </w:rPr>
            </w:pPr>
            <w:r w:rsidRPr="00244CD2">
              <w:rPr>
                <w:rFonts w:ascii="Book Antiqua" w:hAnsi="Book Antiqua"/>
                <w:noProof/>
              </w:rPr>
              <w:t>0.761</w:t>
            </w:r>
          </w:p>
        </w:tc>
      </w:tr>
      <w:tr w:rsidR="004B4DAE" w:rsidRPr="004B4DAE" w14:paraId="431F5D1A" w14:textId="77777777" w:rsidTr="00BC217F">
        <w:trPr>
          <w:trHeight w:val="278"/>
        </w:trPr>
        <w:tc>
          <w:tcPr>
            <w:tcW w:w="2220" w:type="pct"/>
            <w:tcBorders>
              <w:top w:val="nil"/>
              <w:left w:val="nil"/>
              <w:bottom w:val="nil"/>
              <w:right w:val="nil"/>
            </w:tcBorders>
            <w:vAlign w:val="center"/>
          </w:tcPr>
          <w:p w14:paraId="2D588D80" w14:textId="3E6B2392" w:rsidR="002D00F9" w:rsidRPr="00244CD2" w:rsidRDefault="002D00F9" w:rsidP="004B4DAE">
            <w:pPr>
              <w:adjustRightInd w:val="0"/>
              <w:snapToGrid w:val="0"/>
              <w:spacing w:line="360" w:lineRule="auto"/>
              <w:jc w:val="both"/>
              <w:rPr>
                <w:rFonts w:ascii="Book Antiqua" w:hAnsi="Book Antiqua"/>
                <w:noProof/>
              </w:rPr>
            </w:pPr>
            <w:r w:rsidRPr="00244CD2">
              <w:rPr>
                <w:rFonts w:ascii="Book Antiqua" w:hAnsi="Book Antiqua"/>
                <w:noProof/>
              </w:rPr>
              <w:t>Body mass index</w:t>
            </w:r>
            <w:r w:rsidR="004B4DAE">
              <w:rPr>
                <w:rFonts w:ascii="Book Antiqua" w:hAnsi="Book Antiqua"/>
                <w:noProof/>
              </w:rPr>
              <w:t xml:space="preserve"> in</w:t>
            </w:r>
            <w:r w:rsidRPr="00244CD2">
              <w:rPr>
                <w:rFonts w:ascii="Book Antiqua" w:hAnsi="Book Antiqua"/>
                <w:noProof/>
              </w:rPr>
              <w:t xml:space="preserve"> kg/m</w:t>
            </w:r>
            <w:r w:rsidRPr="00244CD2">
              <w:rPr>
                <w:rFonts w:ascii="Book Antiqua" w:hAnsi="Book Antiqua"/>
                <w:noProof/>
                <w:vertAlign w:val="superscript"/>
              </w:rPr>
              <w:t>2</w:t>
            </w:r>
          </w:p>
        </w:tc>
        <w:tc>
          <w:tcPr>
            <w:tcW w:w="1195" w:type="pct"/>
            <w:tcBorders>
              <w:top w:val="nil"/>
              <w:left w:val="nil"/>
              <w:bottom w:val="nil"/>
              <w:right w:val="nil"/>
            </w:tcBorders>
            <w:vAlign w:val="center"/>
          </w:tcPr>
          <w:p w14:paraId="3939368D" w14:textId="77777777" w:rsidR="002D00F9" w:rsidRPr="00244CD2" w:rsidRDefault="002D00F9" w:rsidP="004B4DAE">
            <w:pPr>
              <w:adjustRightInd w:val="0"/>
              <w:snapToGrid w:val="0"/>
              <w:spacing w:line="360" w:lineRule="auto"/>
              <w:jc w:val="both"/>
              <w:rPr>
                <w:rFonts w:ascii="Book Antiqua" w:hAnsi="Book Antiqua"/>
                <w:noProof/>
              </w:rPr>
            </w:pPr>
            <w:r w:rsidRPr="00244CD2">
              <w:rPr>
                <w:rFonts w:ascii="Book Antiqua" w:hAnsi="Book Antiqua"/>
                <w:noProof/>
              </w:rPr>
              <w:t>23.3</w:t>
            </w:r>
            <w:r w:rsidR="008931CB" w:rsidRPr="00244CD2">
              <w:rPr>
                <w:rFonts w:ascii="Book Antiqua" w:hAnsi="Book Antiqua"/>
                <w:noProof/>
              </w:rPr>
              <w:t xml:space="preserve"> </w:t>
            </w:r>
            <w:r w:rsidRPr="00244CD2">
              <w:rPr>
                <w:rFonts w:ascii="Book Antiqua" w:hAnsi="Book Antiqua"/>
                <w:noProof/>
              </w:rPr>
              <w:t>±</w:t>
            </w:r>
            <w:r w:rsidR="008931CB" w:rsidRPr="00244CD2">
              <w:rPr>
                <w:rFonts w:ascii="Book Antiqua" w:hAnsi="Book Antiqua"/>
                <w:noProof/>
              </w:rPr>
              <w:t xml:space="preserve"> </w:t>
            </w:r>
            <w:r w:rsidRPr="00244CD2">
              <w:rPr>
                <w:rFonts w:ascii="Book Antiqua" w:hAnsi="Book Antiqua"/>
                <w:noProof/>
              </w:rPr>
              <w:t>3.4</w:t>
            </w:r>
          </w:p>
        </w:tc>
        <w:tc>
          <w:tcPr>
            <w:tcW w:w="940" w:type="pct"/>
            <w:tcBorders>
              <w:top w:val="nil"/>
              <w:left w:val="nil"/>
              <w:bottom w:val="nil"/>
              <w:right w:val="nil"/>
            </w:tcBorders>
            <w:vAlign w:val="center"/>
          </w:tcPr>
          <w:p w14:paraId="62EE8AE6" w14:textId="77777777" w:rsidR="002D00F9" w:rsidRPr="00244CD2" w:rsidRDefault="002D00F9" w:rsidP="004B4DAE">
            <w:pPr>
              <w:adjustRightInd w:val="0"/>
              <w:snapToGrid w:val="0"/>
              <w:spacing w:line="360" w:lineRule="auto"/>
              <w:jc w:val="both"/>
              <w:rPr>
                <w:rFonts w:ascii="Book Antiqua" w:hAnsi="Book Antiqua"/>
                <w:noProof/>
              </w:rPr>
            </w:pPr>
            <w:r w:rsidRPr="00244CD2">
              <w:rPr>
                <w:rFonts w:ascii="Book Antiqua" w:hAnsi="Book Antiqua"/>
                <w:noProof/>
              </w:rPr>
              <w:t>22.6</w:t>
            </w:r>
            <w:r w:rsidR="00BC217F" w:rsidRPr="00244CD2">
              <w:rPr>
                <w:rFonts w:ascii="Book Antiqua" w:hAnsi="Book Antiqua"/>
                <w:noProof/>
              </w:rPr>
              <w:t xml:space="preserve"> </w:t>
            </w:r>
            <w:r w:rsidRPr="00244CD2">
              <w:rPr>
                <w:rFonts w:ascii="Book Antiqua" w:hAnsi="Book Antiqua"/>
                <w:noProof/>
              </w:rPr>
              <w:t>±</w:t>
            </w:r>
            <w:r w:rsidR="00BC217F" w:rsidRPr="00244CD2">
              <w:rPr>
                <w:rFonts w:ascii="Book Antiqua" w:hAnsi="Book Antiqua"/>
                <w:noProof/>
              </w:rPr>
              <w:t xml:space="preserve"> </w:t>
            </w:r>
            <w:r w:rsidRPr="00244CD2">
              <w:rPr>
                <w:rFonts w:ascii="Book Antiqua" w:hAnsi="Book Antiqua"/>
                <w:noProof/>
              </w:rPr>
              <w:t>3.1</w:t>
            </w:r>
          </w:p>
        </w:tc>
        <w:tc>
          <w:tcPr>
            <w:tcW w:w="645" w:type="pct"/>
            <w:tcBorders>
              <w:top w:val="nil"/>
              <w:left w:val="nil"/>
              <w:bottom w:val="nil"/>
              <w:right w:val="nil"/>
            </w:tcBorders>
            <w:vAlign w:val="center"/>
          </w:tcPr>
          <w:p w14:paraId="745384ED" w14:textId="77777777" w:rsidR="002D00F9" w:rsidRPr="00244CD2" w:rsidRDefault="002D00F9">
            <w:pPr>
              <w:adjustRightInd w:val="0"/>
              <w:snapToGrid w:val="0"/>
              <w:spacing w:line="360" w:lineRule="auto"/>
              <w:jc w:val="both"/>
              <w:rPr>
                <w:rFonts w:ascii="Book Antiqua" w:hAnsi="Book Antiqua"/>
                <w:noProof/>
              </w:rPr>
            </w:pPr>
            <w:r w:rsidRPr="00244CD2">
              <w:rPr>
                <w:rFonts w:ascii="Book Antiqua" w:hAnsi="Book Antiqua"/>
                <w:noProof/>
              </w:rPr>
              <w:t>0.335</w:t>
            </w:r>
          </w:p>
        </w:tc>
      </w:tr>
      <w:tr w:rsidR="004B4DAE" w:rsidRPr="004B4DAE" w14:paraId="462C0140" w14:textId="77777777" w:rsidTr="00BC217F">
        <w:trPr>
          <w:trHeight w:val="278"/>
        </w:trPr>
        <w:tc>
          <w:tcPr>
            <w:tcW w:w="2220" w:type="pct"/>
            <w:tcBorders>
              <w:top w:val="nil"/>
              <w:left w:val="nil"/>
              <w:bottom w:val="nil"/>
              <w:right w:val="nil"/>
            </w:tcBorders>
            <w:vAlign w:val="center"/>
          </w:tcPr>
          <w:p w14:paraId="25438297" w14:textId="53ABB573" w:rsidR="002D00F9" w:rsidRPr="00244CD2" w:rsidRDefault="008931CB" w:rsidP="004B4DAE">
            <w:pPr>
              <w:adjustRightInd w:val="0"/>
              <w:snapToGrid w:val="0"/>
              <w:spacing w:line="360" w:lineRule="auto"/>
              <w:jc w:val="both"/>
              <w:rPr>
                <w:rFonts w:ascii="Book Antiqua" w:hAnsi="Book Antiqua"/>
                <w:noProof/>
              </w:rPr>
            </w:pPr>
            <w:r w:rsidRPr="00244CD2">
              <w:rPr>
                <w:rFonts w:ascii="Book Antiqua" w:hAnsi="Book Antiqua"/>
                <w:noProof/>
              </w:rPr>
              <w:t>Duration of disease</w:t>
            </w:r>
            <w:r w:rsidR="002969B5" w:rsidRPr="00244CD2">
              <w:rPr>
                <w:rFonts w:ascii="Book Antiqua" w:hAnsi="Book Antiqua"/>
                <w:noProof/>
              </w:rPr>
              <w:t xml:space="preserve"> </w:t>
            </w:r>
            <w:r w:rsidR="004B4DAE">
              <w:rPr>
                <w:rFonts w:ascii="Book Antiqua" w:hAnsi="Book Antiqua"/>
                <w:noProof/>
              </w:rPr>
              <w:t xml:space="preserve">in </w:t>
            </w:r>
            <w:r w:rsidRPr="00244CD2">
              <w:rPr>
                <w:rFonts w:ascii="Book Antiqua" w:hAnsi="Book Antiqua"/>
                <w:noProof/>
              </w:rPr>
              <w:t>yr</w:t>
            </w:r>
          </w:p>
        </w:tc>
        <w:tc>
          <w:tcPr>
            <w:tcW w:w="1195" w:type="pct"/>
            <w:tcBorders>
              <w:top w:val="nil"/>
              <w:left w:val="nil"/>
              <w:bottom w:val="nil"/>
              <w:right w:val="nil"/>
            </w:tcBorders>
            <w:vAlign w:val="center"/>
          </w:tcPr>
          <w:p w14:paraId="29F5B406" w14:textId="77777777" w:rsidR="002D00F9" w:rsidRPr="00244CD2" w:rsidRDefault="002D00F9" w:rsidP="004B4DAE">
            <w:pPr>
              <w:adjustRightInd w:val="0"/>
              <w:snapToGrid w:val="0"/>
              <w:spacing w:line="360" w:lineRule="auto"/>
              <w:jc w:val="both"/>
              <w:rPr>
                <w:rFonts w:ascii="Book Antiqua" w:hAnsi="Book Antiqua"/>
                <w:noProof/>
              </w:rPr>
            </w:pPr>
            <w:r w:rsidRPr="00244CD2">
              <w:rPr>
                <w:rFonts w:ascii="Book Antiqua" w:hAnsi="Book Antiqua"/>
                <w:noProof/>
              </w:rPr>
              <w:t>3.0</w:t>
            </w:r>
            <w:r w:rsidR="008931CB" w:rsidRPr="00244CD2">
              <w:rPr>
                <w:rFonts w:ascii="Book Antiqua" w:hAnsi="Book Antiqua"/>
                <w:noProof/>
              </w:rPr>
              <w:t xml:space="preserve"> </w:t>
            </w:r>
            <w:r w:rsidRPr="00244CD2">
              <w:rPr>
                <w:rFonts w:ascii="Book Antiqua" w:hAnsi="Book Antiqua"/>
                <w:noProof/>
              </w:rPr>
              <w:t>(1.5, 7.0)</w:t>
            </w:r>
          </w:p>
        </w:tc>
        <w:tc>
          <w:tcPr>
            <w:tcW w:w="940" w:type="pct"/>
            <w:tcBorders>
              <w:top w:val="nil"/>
              <w:left w:val="nil"/>
              <w:bottom w:val="nil"/>
              <w:right w:val="nil"/>
            </w:tcBorders>
            <w:vAlign w:val="center"/>
          </w:tcPr>
          <w:p w14:paraId="52080380" w14:textId="77777777" w:rsidR="002D00F9" w:rsidRPr="00244CD2" w:rsidRDefault="002D00F9">
            <w:pPr>
              <w:adjustRightInd w:val="0"/>
              <w:snapToGrid w:val="0"/>
              <w:spacing w:line="360" w:lineRule="auto"/>
              <w:jc w:val="both"/>
              <w:rPr>
                <w:rFonts w:ascii="Book Antiqua" w:hAnsi="Book Antiqua"/>
                <w:noProof/>
              </w:rPr>
            </w:pPr>
            <w:r w:rsidRPr="00244CD2">
              <w:rPr>
                <w:rFonts w:ascii="Book Antiqua" w:hAnsi="Book Antiqua"/>
                <w:noProof/>
              </w:rPr>
              <w:t>NA</w:t>
            </w:r>
          </w:p>
        </w:tc>
        <w:tc>
          <w:tcPr>
            <w:tcW w:w="645" w:type="pct"/>
            <w:tcBorders>
              <w:top w:val="nil"/>
              <w:left w:val="nil"/>
              <w:bottom w:val="nil"/>
              <w:right w:val="nil"/>
            </w:tcBorders>
            <w:vAlign w:val="center"/>
          </w:tcPr>
          <w:p w14:paraId="187B1D9E" w14:textId="77777777" w:rsidR="002D00F9" w:rsidRPr="00244CD2" w:rsidRDefault="002D00F9">
            <w:pPr>
              <w:adjustRightInd w:val="0"/>
              <w:snapToGrid w:val="0"/>
              <w:spacing w:line="360" w:lineRule="auto"/>
              <w:jc w:val="both"/>
              <w:rPr>
                <w:rFonts w:ascii="Book Antiqua" w:hAnsi="Book Antiqua"/>
                <w:noProof/>
              </w:rPr>
            </w:pPr>
            <w:r w:rsidRPr="00244CD2">
              <w:rPr>
                <w:rFonts w:ascii="Book Antiqua" w:hAnsi="Book Antiqua"/>
                <w:noProof/>
              </w:rPr>
              <w:t>NA</w:t>
            </w:r>
          </w:p>
        </w:tc>
      </w:tr>
      <w:tr w:rsidR="004B4DAE" w:rsidRPr="004B4DAE" w14:paraId="26A58431" w14:textId="77777777" w:rsidTr="00BC217F">
        <w:trPr>
          <w:trHeight w:val="278"/>
        </w:trPr>
        <w:tc>
          <w:tcPr>
            <w:tcW w:w="2220" w:type="pct"/>
            <w:tcBorders>
              <w:top w:val="nil"/>
              <w:left w:val="nil"/>
              <w:bottom w:val="nil"/>
              <w:right w:val="nil"/>
            </w:tcBorders>
            <w:vAlign w:val="center"/>
          </w:tcPr>
          <w:p w14:paraId="2138DFB3" w14:textId="77777777" w:rsidR="002D00F9" w:rsidRPr="00244CD2" w:rsidRDefault="002D00F9" w:rsidP="004B4DAE">
            <w:pPr>
              <w:adjustRightInd w:val="0"/>
              <w:snapToGrid w:val="0"/>
              <w:spacing w:line="360" w:lineRule="auto"/>
              <w:jc w:val="both"/>
              <w:rPr>
                <w:rFonts w:ascii="Book Antiqua" w:hAnsi="Book Antiqua"/>
                <w:noProof/>
              </w:rPr>
            </w:pPr>
            <w:r w:rsidRPr="00244CD2">
              <w:rPr>
                <w:rFonts w:ascii="Book Antiqua" w:hAnsi="Book Antiqua"/>
                <w:noProof/>
              </w:rPr>
              <w:t>Defecation frequency</w:t>
            </w:r>
          </w:p>
        </w:tc>
        <w:tc>
          <w:tcPr>
            <w:tcW w:w="1195" w:type="pct"/>
            <w:tcBorders>
              <w:top w:val="nil"/>
              <w:left w:val="nil"/>
              <w:bottom w:val="nil"/>
              <w:right w:val="nil"/>
            </w:tcBorders>
            <w:vAlign w:val="center"/>
          </w:tcPr>
          <w:p w14:paraId="1DEA9BA3" w14:textId="77777777" w:rsidR="002D00F9" w:rsidRPr="00244CD2" w:rsidRDefault="002D00F9" w:rsidP="004B4DAE">
            <w:pPr>
              <w:adjustRightInd w:val="0"/>
              <w:snapToGrid w:val="0"/>
              <w:spacing w:line="360" w:lineRule="auto"/>
              <w:jc w:val="both"/>
              <w:rPr>
                <w:rFonts w:ascii="Book Antiqua" w:hAnsi="Book Antiqua"/>
                <w:noProof/>
              </w:rPr>
            </w:pPr>
            <w:r w:rsidRPr="00244CD2">
              <w:rPr>
                <w:rFonts w:ascii="Book Antiqua" w:hAnsi="Book Antiqua"/>
                <w:noProof/>
              </w:rPr>
              <w:t>3.5</w:t>
            </w:r>
            <w:r w:rsidR="008931CB" w:rsidRPr="00244CD2">
              <w:rPr>
                <w:rFonts w:ascii="Book Antiqua" w:hAnsi="Book Antiqua"/>
                <w:noProof/>
              </w:rPr>
              <w:t xml:space="preserve"> </w:t>
            </w:r>
            <w:r w:rsidRPr="00244CD2">
              <w:rPr>
                <w:rFonts w:ascii="Book Antiqua" w:hAnsi="Book Antiqua"/>
                <w:noProof/>
              </w:rPr>
              <w:t>(2.5,</w:t>
            </w:r>
            <w:r w:rsidR="00BC217F" w:rsidRPr="00244CD2">
              <w:rPr>
                <w:rFonts w:ascii="Book Antiqua" w:hAnsi="Book Antiqua"/>
                <w:noProof/>
              </w:rPr>
              <w:t xml:space="preserve"> </w:t>
            </w:r>
            <w:r w:rsidRPr="00244CD2">
              <w:rPr>
                <w:rFonts w:ascii="Book Antiqua" w:hAnsi="Book Antiqua"/>
                <w:noProof/>
              </w:rPr>
              <w:t>4.0)</w:t>
            </w:r>
          </w:p>
        </w:tc>
        <w:tc>
          <w:tcPr>
            <w:tcW w:w="940" w:type="pct"/>
            <w:tcBorders>
              <w:top w:val="nil"/>
              <w:left w:val="nil"/>
              <w:bottom w:val="nil"/>
              <w:right w:val="nil"/>
            </w:tcBorders>
            <w:vAlign w:val="center"/>
          </w:tcPr>
          <w:p w14:paraId="4C618C3D" w14:textId="77777777" w:rsidR="002D00F9" w:rsidRPr="00244CD2" w:rsidRDefault="002D00F9" w:rsidP="004B4DAE">
            <w:pPr>
              <w:adjustRightInd w:val="0"/>
              <w:snapToGrid w:val="0"/>
              <w:spacing w:line="360" w:lineRule="auto"/>
              <w:jc w:val="both"/>
              <w:rPr>
                <w:rFonts w:ascii="Book Antiqua" w:hAnsi="Book Antiqua"/>
                <w:noProof/>
              </w:rPr>
            </w:pPr>
            <w:r w:rsidRPr="00244CD2">
              <w:rPr>
                <w:rFonts w:ascii="Book Antiqua" w:hAnsi="Book Antiqua"/>
                <w:noProof/>
              </w:rPr>
              <w:t>1.0</w:t>
            </w:r>
            <w:r w:rsidR="008931CB" w:rsidRPr="00244CD2">
              <w:rPr>
                <w:rFonts w:ascii="Book Antiqua" w:hAnsi="Book Antiqua"/>
                <w:noProof/>
              </w:rPr>
              <w:t xml:space="preserve"> </w:t>
            </w:r>
            <w:r w:rsidRPr="00244CD2">
              <w:rPr>
                <w:rFonts w:ascii="Book Antiqua" w:hAnsi="Book Antiqua"/>
                <w:noProof/>
              </w:rPr>
              <w:t>(0.7,</w:t>
            </w:r>
            <w:r w:rsidR="00BC217F" w:rsidRPr="00244CD2">
              <w:rPr>
                <w:rFonts w:ascii="Book Antiqua" w:hAnsi="Book Antiqua"/>
                <w:noProof/>
              </w:rPr>
              <w:t xml:space="preserve"> </w:t>
            </w:r>
            <w:r w:rsidRPr="00244CD2">
              <w:rPr>
                <w:rFonts w:ascii="Book Antiqua" w:hAnsi="Book Antiqua"/>
                <w:noProof/>
              </w:rPr>
              <w:t>1.0)</w:t>
            </w:r>
          </w:p>
        </w:tc>
        <w:tc>
          <w:tcPr>
            <w:tcW w:w="645" w:type="pct"/>
            <w:tcBorders>
              <w:top w:val="nil"/>
              <w:left w:val="nil"/>
              <w:bottom w:val="nil"/>
              <w:right w:val="nil"/>
            </w:tcBorders>
            <w:vAlign w:val="center"/>
          </w:tcPr>
          <w:p w14:paraId="554DD9B3" w14:textId="77777777" w:rsidR="002D00F9" w:rsidRPr="00244CD2" w:rsidRDefault="002D00F9">
            <w:pPr>
              <w:adjustRightInd w:val="0"/>
              <w:snapToGrid w:val="0"/>
              <w:spacing w:line="360" w:lineRule="auto"/>
              <w:jc w:val="both"/>
              <w:rPr>
                <w:rFonts w:ascii="Book Antiqua" w:hAnsi="Book Antiqua"/>
                <w:noProof/>
              </w:rPr>
            </w:pPr>
            <w:r w:rsidRPr="00244CD2">
              <w:rPr>
                <w:rFonts w:ascii="Book Antiqua" w:hAnsi="Book Antiqua"/>
                <w:noProof/>
              </w:rPr>
              <w:t>&lt; 0.001</w:t>
            </w:r>
          </w:p>
        </w:tc>
      </w:tr>
      <w:tr w:rsidR="004B4DAE" w:rsidRPr="004B4DAE" w14:paraId="173D3180" w14:textId="77777777" w:rsidTr="00BC217F">
        <w:trPr>
          <w:trHeight w:val="278"/>
        </w:trPr>
        <w:tc>
          <w:tcPr>
            <w:tcW w:w="2220" w:type="pct"/>
            <w:tcBorders>
              <w:top w:val="nil"/>
              <w:left w:val="nil"/>
              <w:bottom w:val="nil"/>
              <w:right w:val="nil"/>
            </w:tcBorders>
            <w:vAlign w:val="center"/>
          </w:tcPr>
          <w:p w14:paraId="36CD0F50" w14:textId="77777777" w:rsidR="002D00F9" w:rsidRPr="00244CD2" w:rsidRDefault="002D00F9" w:rsidP="004B4DAE">
            <w:pPr>
              <w:adjustRightInd w:val="0"/>
              <w:snapToGrid w:val="0"/>
              <w:spacing w:line="360" w:lineRule="auto"/>
              <w:jc w:val="both"/>
              <w:rPr>
                <w:rFonts w:ascii="Book Antiqua" w:hAnsi="Book Antiqua"/>
                <w:noProof/>
              </w:rPr>
            </w:pPr>
            <w:r w:rsidRPr="00244CD2">
              <w:rPr>
                <w:rFonts w:ascii="Book Antiqua" w:hAnsi="Book Antiqua"/>
                <w:noProof/>
              </w:rPr>
              <w:t>BSFS score</w:t>
            </w:r>
          </w:p>
        </w:tc>
        <w:tc>
          <w:tcPr>
            <w:tcW w:w="1195" w:type="pct"/>
            <w:tcBorders>
              <w:top w:val="nil"/>
              <w:left w:val="nil"/>
              <w:bottom w:val="nil"/>
              <w:right w:val="nil"/>
            </w:tcBorders>
            <w:vAlign w:val="center"/>
          </w:tcPr>
          <w:p w14:paraId="73D13CC9" w14:textId="77777777" w:rsidR="002D00F9" w:rsidRPr="00244CD2" w:rsidRDefault="002D00F9" w:rsidP="004B4DAE">
            <w:pPr>
              <w:adjustRightInd w:val="0"/>
              <w:snapToGrid w:val="0"/>
              <w:spacing w:line="360" w:lineRule="auto"/>
              <w:jc w:val="both"/>
              <w:rPr>
                <w:rFonts w:ascii="Book Antiqua" w:hAnsi="Book Antiqua"/>
                <w:noProof/>
                <w:vertAlign w:val="superscript"/>
              </w:rPr>
            </w:pPr>
            <w:r w:rsidRPr="00244CD2">
              <w:rPr>
                <w:rFonts w:ascii="Book Antiqua" w:hAnsi="Book Antiqua"/>
                <w:noProof/>
              </w:rPr>
              <w:t>5.5</w:t>
            </w:r>
            <w:r w:rsidR="008931CB" w:rsidRPr="00244CD2">
              <w:rPr>
                <w:rFonts w:ascii="Book Antiqua" w:hAnsi="Book Antiqua"/>
                <w:noProof/>
              </w:rPr>
              <w:t xml:space="preserve"> </w:t>
            </w:r>
            <w:r w:rsidRPr="00244CD2">
              <w:rPr>
                <w:rFonts w:ascii="Book Antiqua" w:hAnsi="Book Antiqua"/>
                <w:noProof/>
              </w:rPr>
              <w:t>(5.0,</w:t>
            </w:r>
            <w:r w:rsidR="00BC217F" w:rsidRPr="00244CD2">
              <w:rPr>
                <w:rFonts w:ascii="Book Antiqua" w:hAnsi="Book Antiqua"/>
                <w:noProof/>
              </w:rPr>
              <w:t xml:space="preserve"> </w:t>
            </w:r>
            <w:r w:rsidRPr="00244CD2">
              <w:rPr>
                <w:rFonts w:ascii="Book Antiqua" w:hAnsi="Book Antiqua"/>
                <w:noProof/>
              </w:rPr>
              <w:t>6.0)</w:t>
            </w:r>
          </w:p>
        </w:tc>
        <w:tc>
          <w:tcPr>
            <w:tcW w:w="940" w:type="pct"/>
            <w:tcBorders>
              <w:top w:val="nil"/>
              <w:left w:val="nil"/>
              <w:bottom w:val="nil"/>
              <w:right w:val="nil"/>
            </w:tcBorders>
            <w:vAlign w:val="center"/>
          </w:tcPr>
          <w:p w14:paraId="3D15EB39" w14:textId="77777777" w:rsidR="002D00F9" w:rsidRPr="00244CD2" w:rsidRDefault="002D00F9" w:rsidP="004B4DAE">
            <w:pPr>
              <w:adjustRightInd w:val="0"/>
              <w:snapToGrid w:val="0"/>
              <w:spacing w:line="360" w:lineRule="auto"/>
              <w:jc w:val="both"/>
              <w:rPr>
                <w:rFonts w:ascii="Book Antiqua" w:hAnsi="Book Antiqua"/>
                <w:noProof/>
              </w:rPr>
            </w:pPr>
            <w:r w:rsidRPr="00244CD2">
              <w:rPr>
                <w:rFonts w:ascii="Book Antiqua" w:hAnsi="Book Antiqua"/>
                <w:noProof/>
              </w:rPr>
              <w:t>4.0</w:t>
            </w:r>
            <w:r w:rsidR="008931CB" w:rsidRPr="00244CD2">
              <w:rPr>
                <w:rFonts w:ascii="Book Antiqua" w:hAnsi="Book Antiqua"/>
                <w:noProof/>
              </w:rPr>
              <w:t xml:space="preserve"> </w:t>
            </w:r>
            <w:r w:rsidRPr="00244CD2">
              <w:rPr>
                <w:rFonts w:ascii="Book Antiqua" w:hAnsi="Book Antiqua"/>
                <w:noProof/>
              </w:rPr>
              <w:t>(4.0,</w:t>
            </w:r>
            <w:r w:rsidR="00BC217F" w:rsidRPr="00244CD2">
              <w:rPr>
                <w:rFonts w:ascii="Book Antiqua" w:hAnsi="Book Antiqua"/>
                <w:noProof/>
              </w:rPr>
              <w:t xml:space="preserve"> </w:t>
            </w:r>
            <w:r w:rsidRPr="00244CD2">
              <w:rPr>
                <w:rFonts w:ascii="Book Antiqua" w:hAnsi="Book Antiqua"/>
                <w:noProof/>
              </w:rPr>
              <w:t>4.0)</w:t>
            </w:r>
          </w:p>
        </w:tc>
        <w:tc>
          <w:tcPr>
            <w:tcW w:w="645" w:type="pct"/>
            <w:tcBorders>
              <w:top w:val="nil"/>
              <w:left w:val="nil"/>
              <w:bottom w:val="nil"/>
              <w:right w:val="nil"/>
            </w:tcBorders>
            <w:vAlign w:val="center"/>
          </w:tcPr>
          <w:p w14:paraId="0CEDBB75" w14:textId="77777777" w:rsidR="002D00F9" w:rsidRPr="00244CD2" w:rsidRDefault="002D00F9">
            <w:pPr>
              <w:adjustRightInd w:val="0"/>
              <w:snapToGrid w:val="0"/>
              <w:spacing w:line="360" w:lineRule="auto"/>
              <w:jc w:val="both"/>
              <w:rPr>
                <w:rFonts w:ascii="Book Antiqua" w:hAnsi="Book Antiqua"/>
                <w:noProof/>
              </w:rPr>
            </w:pPr>
            <w:r w:rsidRPr="00244CD2">
              <w:rPr>
                <w:rFonts w:ascii="Book Antiqua" w:hAnsi="Book Antiqua"/>
                <w:noProof/>
              </w:rPr>
              <w:t>&lt; 0.001</w:t>
            </w:r>
          </w:p>
        </w:tc>
      </w:tr>
      <w:tr w:rsidR="004B4DAE" w:rsidRPr="004B4DAE" w14:paraId="58E7D03C" w14:textId="77777777" w:rsidTr="00BC217F">
        <w:trPr>
          <w:trHeight w:val="278"/>
        </w:trPr>
        <w:tc>
          <w:tcPr>
            <w:tcW w:w="2220" w:type="pct"/>
            <w:tcBorders>
              <w:top w:val="nil"/>
              <w:left w:val="nil"/>
              <w:bottom w:val="nil"/>
              <w:right w:val="nil"/>
            </w:tcBorders>
            <w:vAlign w:val="center"/>
          </w:tcPr>
          <w:p w14:paraId="21A0C59B" w14:textId="77777777" w:rsidR="002D00F9" w:rsidRPr="00244CD2" w:rsidRDefault="002D00F9" w:rsidP="004B4DAE">
            <w:pPr>
              <w:adjustRightInd w:val="0"/>
              <w:snapToGrid w:val="0"/>
              <w:spacing w:line="360" w:lineRule="auto"/>
              <w:jc w:val="both"/>
              <w:rPr>
                <w:rFonts w:ascii="Book Antiqua" w:hAnsi="Book Antiqua"/>
                <w:noProof/>
              </w:rPr>
            </w:pPr>
            <w:r w:rsidRPr="00244CD2">
              <w:rPr>
                <w:rFonts w:ascii="Book Antiqua" w:hAnsi="Book Antiqua"/>
                <w:noProof/>
              </w:rPr>
              <w:t>IBS-SSS</w:t>
            </w:r>
          </w:p>
        </w:tc>
        <w:tc>
          <w:tcPr>
            <w:tcW w:w="1195" w:type="pct"/>
            <w:tcBorders>
              <w:top w:val="nil"/>
              <w:left w:val="nil"/>
              <w:bottom w:val="nil"/>
              <w:right w:val="nil"/>
            </w:tcBorders>
            <w:vAlign w:val="center"/>
          </w:tcPr>
          <w:p w14:paraId="2FC99770" w14:textId="77777777" w:rsidR="002D00F9" w:rsidRPr="00244CD2" w:rsidRDefault="002D00F9" w:rsidP="004B4DAE">
            <w:pPr>
              <w:adjustRightInd w:val="0"/>
              <w:snapToGrid w:val="0"/>
              <w:spacing w:line="360" w:lineRule="auto"/>
              <w:jc w:val="both"/>
              <w:rPr>
                <w:rFonts w:ascii="Book Antiqua" w:hAnsi="Book Antiqua"/>
                <w:noProof/>
              </w:rPr>
            </w:pPr>
            <w:r w:rsidRPr="00244CD2">
              <w:rPr>
                <w:rFonts w:ascii="Book Antiqua" w:hAnsi="Book Antiqua"/>
                <w:noProof/>
              </w:rPr>
              <w:t>180.0</w:t>
            </w:r>
            <w:r w:rsidR="008931CB" w:rsidRPr="00244CD2">
              <w:rPr>
                <w:rFonts w:ascii="Book Antiqua" w:hAnsi="Book Antiqua"/>
                <w:noProof/>
              </w:rPr>
              <w:t xml:space="preserve"> </w:t>
            </w:r>
            <w:r w:rsidRPr="00244CD2">
              <w:rPr>
                <w:rFonts w:ascii="Book Antiqua" w:hAnsi="Book Antiqua"/>
                <w:noProof/>
              </w:rPr>
              <w:t>(150.0,</w:t>
            </w:r>
            <w:r w:rsidR="00BC217F" w:rsidRPr="00244CD2">
              <w:rPr>
                <w:rFonts w:ascii="Book Antiqua" w:hAnsi="Book Antiqua"/>
                <w:noProof/>
              </w:rPr>
              <w:t xml:space="preserve"> </w:t>
            </w:r>
            <w:r w:rsidRPr="00244CD2">
              <w:rPr>
                <w:rFonts w:ascii="Book Antiqua" w:hAnsi="Book Antiqua"/>
                <w:noProof/>
              </w:rPr>
              <w:t>240.0)</w:t>
            </w:r>
          </w:p>
        </w:tc>
        <w:tc>
          <w:tcPr>
            <w:tcW w:w="940" w:type="pct"/>
            <w:tcBorders>
              <w:top w:val="nil"/>
              <w:left w:val="nil"/>
              <w:bottom w:val="nil"/>
              <w:right w:val="nil"/>
            </w:tcBorders>
            <w:vAlign w:val="center"/>
          </w:tcPr>
          <w:p w14:paraId="63C36C24" w14:textId="77777777" w:rsidR="002D00F9" w:rsidRPr="00244CD2" w:rsidRDefault="002D00F9">
            <w:pPr>
              <w:adjustRightInd w:val="0"/>
              <w:snapToGrid w:val="0"/>
              <w:spacing w:line="360" w:lineRule="auto"/>
              <w:jc w:val="both"/>
              <w:rPr>
                <w:rFonts w:ascii="Book Antiqua" w:hAnsi="Book Antiqua"/>
                <w:noProof/>
              </w:rPr>
            </w:pPr>
            <w:r w:rsidRPr="00244CD2">
              <w:rPr>
                <w:rFonts w:ascii="Book Antiqua" w:hAnsi="Book Antiqua"/>
                <w:noProof/>
              </w:rPr>
              <w:t>NA</w:t>
            </w:r>
          </w:p>
        </w:tc>
        <w:tc>
          <w:tcPr>
            <w:tcW w:w="645" w:type="pct"/>
            <w:tcBorders>
              <w:top w:val="nil"/>
              <w:left w:val="nil"/>
              <w:bottom w:val="nil"/>
              <w:right w:val="nil"/>
            </w:tcBorders>
            <w:vAlign w:val="center"/>
          </w:tcPr>
          <w:p w14:paraId="5B1893B8" w14:textId="77777777" w:rsidR="002D00F9" w:rsidRPr="00244CD2" w:rsidRDefault="002D00F9">
            <w:pPr>
              <w:adjustRightInd w:val="0"/>
              <w:snapToGrid w:val="0"/>
              <w:spacing w:line="360" w:lineRule="auto"/>
              <w:jc w:val="both"/>
              <w:rPr>
                <w:rFonts w:ascii="Book Antiqua" w:hAnsi="Book Antiqua"/>
                <w:noProof/>
              </w:rPr>
            </w:pPr>
            <w:r w:rsidRPr="00244CD2">
              <w:rPr>
                <w:rFonts w:ascii="Book Antiqua" w:hAnsi="Book Antiqua"/>
                <w:noProof/>
              </w:rPr>
              <w:t>NA</w:t>
            </w:r>
          </w:p>
        </w:tc>
      </w:tr>
      <w:tr w:rsidR="004B4DAE" w:rsidRPr="004B4DAE" w14:paraId="39016C52" w14:textId="77777777" w:rsidTr="00BC217F">
        <w:trPr>
          <w:trHeight w:val="278"/>
        </w:trPr>
        <w:tc>
          <w:tcPr>
            <w:tcW w:w="2220" w:type="pct"/>
            <w:tcBorders>
              <w:top w:val="nil"/>
              <w:left w:val="nil"/>
              <w:bottom w:val="nil"/>
              <w:right w:val="nil"/>
            </w:tcBorders>
            <w:vAlign w:val="center"/>
          </w:tcPr>
          <w:p w14:paraId="502C7832" w14:textId="77777777" w:rsidR="002D00F9" w:rsidRPr="00244CD2" w:rsidRDefault="002D00F9" w:rsidP="004B4DAE">
            <w:pPr>
              <w:adjustRightInd w:val="0"/>
              <w:snapToGrid w:val="0"/>
              <w:spacing w:line="360" w:lineRule="auto"/>
              <w:jc w:val="both"/>
              <w:rPr>
                <w:rFonts w:ascii="Book Antiqua" w:hAnsi="Book Antiqua"/>
                <w:noProof/>
              </w:rPr>
            </w:pPr>
            <w:r w:rsidRPr="00244CD2">
              <w:rPr>
                <w:rFonts w:ascii="Book Antiqua" w:hAnsi="Book Antiqua"/>
                <w:noProof/>
              </w:rPr>
              <w:t xml:space="preserve"> Abdominal pain severity</w:t>
            </w:r>
          </w:p>
        </w:tc>
        <w:tc>
          <w:tcPr>
            <w:tcW w:w="1195" w:type="pct"/>
            <w:tcBorders>
              <w:top w:val="nil"/>
              <w:left w:val="nil"/>
              <w:bottom w:val="nil"/>
              <w:right w:val="nil"/>
            </w:tcBorders>
            <w:vAlign w:val="center"/>
          </w:tcPr>
          <w:p w14:paraId="550BED4E" w14:textId="77777777" w:rsidR="002D00F9" w:rsidRPr="00244CD2" w:rsidRDefault="002D00F9">
            <w:pPr>
              <w:adjustRightInd w:val="0"/>
              <w:snapToGrid w:val="0"/>
              <w:spacing w:line="360" w:lineRule="auto"/>
              <w:jc w:val="both"/>
              <w:rPr>
                <w:rFonts w:ascii="Book Antiqua" w:hAnsi="Book Antiqua"/>
                <w:noProof/>
              </w:rPr>
            </w:pPr>
            <w:r w:rsidRPr="00244CD2">
              <w:rPr>
                <w:rFonts w:ascii="Book Antiqua" w:hAnsi="Book Antiqua"/>
                <w:noProof/>
              </w:rPr>
              <w:t>40.0 (20.0, 50.0)</w:t>
            </w:r>
          </w:p>
        </w:tc>
        <w:tc>
          <w:tcPr>
            <w:tcW w:w="940" w:type="pct"/>
            <w:tcBorders>
              <w:top w:val="nil"/>
              <w:left w:val="nil"/>
              <w:bottom w:val="nil"/>
              <w:right w:val="nil"/>
            </w:tcBorders>
            <w:vAlign w:val="center"/>
          </w:tcPr>
          <w:p w14:paraId="459BACB1" w14:textId="77777777" w:rsidR="002D00F9" w:rsidRPr="00244CD2" w:rsidRDefault="002D00F9">
            <w:pPr>
              <w:adjustRightInd w:val="0"/>
              <w:snapToGrid w:val="0"/>
              <w:spacing w:line="360" w:lineRule="auto"/>
              <w:jc w:val="both"/>
              <w:rPr>
                <w:rFonts w:ascii="Book Antiqua" w:hAnsi="Book Antiqua"/>
                <w:noProof/>
              </w:rPr>
            </w:pPr>
            <w:r w:rsidRPr="00244CD2">
              <w:rPr>
                <w:rFonts w:ascii="Book Antiqua" w:hAnsi="Book Antiqua"/>
                <w:noProof/>
              </w:rPr>
              <w:t>NA</w:t>
            </w:r>
          </w:p>
        </w:tc>
        <w:tc>
          <w:tcPr>
            <w:tcW w:w="645" w:type="pct"/>
            <w:tcBorders>
              <w:top w:val="nil"/>
              <w:left w:val="nil"/>
              <w:bottom w:val="nil"/>
              <w:right w:val="nil"/>
            </w:tcBorders>
            <w:vAlign w:val="center"/>
          </w:tcPr>
          <w:p w14:paraId="003CD699" w14:textId="77777777" w:rsidR="002D00F9" w:rsidRPr="00244CD2" w:rsidRDefault="002D00F9">
            <w:pPr>
              <w:adjustRightInd w:val="0"/>
              <w:snapToGrid w:val="0"/>
              <w:spacing w:line="360" w:lineRule="auto"/>
              <w:jc w:val="both"/>
              <w:rPr>
                <w:rFonts w:ascii="Book Antiqua" w:hAnsi="Book Antiqua"/>
                <w:noProof/>
              </w:rPr>
            </w:pPr>
            <w:r w:rsidRPr="00244CD2">
              <w:rPr>
                <w:rFonts w:ascii="Book Antiqua" w:hAnsi="Book Antiqua"/>
                <w:noProof/>
              </w:rPr>
              <w:t>NA</w:t>
            </w:r>
          </w:p>
        </w:tc>
      </w:tr>
      <w:tr w:rsidR="004B4DAE" w:rsidRPr="004B4DAE" w14:paraId="18926344" w14:textId="77777777" w:rsidTr="00BC217F">
        <w:trPr>
          <w:trHeight w:val="278"/>
        </w:trPr>
        <w:tc>
          <w:tcPr>
            <w:tcW w:w="2220" w:type="pct"/>
            <w:tcBorders>
              <w:top w:val="nil"/>
              <w:left w:val="nil"/>
              <w:bottom w:val="nil"/>
              <w:right w:val="nil"/>
            </w:tcBorders>
            <w:vAlign w:val="center"/>
          </w:tcPr>
          <w:p w14:paraId="06A55D3C" w14:textId="77777777" w:rsidR="002D00F9" w:rsidRPr="00244CD2" w:rsidRDefault="002D00F9" w:rsidP="004B4DAE">
            <w:pPr>
              <w:adjustRightInd w:val="0"/>
              <w:snapToGrid w:val="0"/>
              <w:spacing w:line="360" w:lineRule="auto"/>
              <w:jc w:val="both"/>
              <w:rPr>
                <w:rFonts w:ascii="Book Antiqua" w:hAnsi="Book Antiqua"/>
                <w:noProof/>
              </w:rPr>
            </w:pPr>
            <w:r w:rsidRPr="00244CD2">
              <w:rPr>
                <w:rFonts w:ascii="Book Antiqua" w:hAnsi="Book Antiqua"/>
                <w:noProof/>
              </w:rPr>
              <w:t xml:space="preserve"> Abdominal pain frequency</w:t>
            </w:r>
          </w:p>
        </w:tc>
        <w:tc>
          <w:tcPr>
            <w:tcW w:w="1195" w:type="pct"/>
            <w:tcBorders>
              <w:top w:val="nil"/>
              <w:left w:val="nil"/>
              <w:bottom w:val="nil"/>
              <w:right w:val="nil"/>
            </w:tcBorders>
            <w:vAlign w:val="center"/>
          </w:tcPr>
          <w:p w14:paraId="10F687B0" w14:textId="77777777" w:rsidR="002D00F9" w:rsidRPr="00244CD2" w:rsidRDefault="002D00F9">
            <w:pPr>
              <w:adjustRightInd w:val="0"/>
              <w:snapToGrid w:val="0"/>
              <w:spacing w:line="360" w:lineRule="auto"/>
              <w:jc w:val="both"/>
              <w:rPr>
                <w:rFonts w:ascii="Book Antiqua" w:hAnsi="Book Antiqua"/>
                <w:noProof/>
              </w:rPr>
            </w:pPr>
            <w:r w:rsidRPr="00244CD2">
              <w:rPr>
                <w:rFonts w:ascii="Book Antiqua" w:hAnsi="Book Antiqua"/>
                <w:noProof/>
              </w:rPr>
              <w:t>30.0 (20.0, 40.0)</w:t>
            </w:r>
          </w:p>
        </w:tc>
        <w:tc>
          <w:tcPr>
            <w:tcW w:w="940" w:type="pct"/>
            <w:tcBorders>
              <w:top w:val="nil"/>
              <w:left w:val="nil"/>
              <w:bottom w:val="nil"/>
              <w:right w:val="nil"/>
            </w:tcBorders>
            <w:vAlign w:val="center"/>
          </w:tcPr>
          <w:p w14:paraId="5CC029F3" w14:textId="77777777" w:rsidR="002D00F9" w:rsidRPr="00244CD2" w:rsidRDefault="002D00F9">
            <w:pPr>
              <w:adjustRightInd w:val="0"/>
              <w:snapToGrid w:val="0"/>
              <w:spacing w:line="360" w:lineRule="auto"/>
              <w:jc w:val="both"/>
              <w:rPr>
                <w:rFonts w:ascii="Book Antiqua" w:hAnsi="Book Antiqua"/>
                <w:noProof/>
              </w:rPr>
            </w:pPr>
            <w:r w:rsidRPr="00244CD2">
              <w:rPr>
                <w:rFonts w:ascii="Book Antiqua" w:hAnsi="Book Antiqua"/>
                <w:noProof/>
              </w:rPr>
              <w:t>NA</w:t>
            </w:r>
          </w:p>
        </w:tc>
        <w:tc>
          <w:tcPr>
            <w:tcW w:w="645" w:type="pct"/>
            <w:tcBorders>
              <w:top w:val="nil"/>
              <w:left w:val="nil"/>
              <w:bottom w:val="nil"/>
              <w:right w:val="nil"/>
            </w:tcBorders>
            <w:vAlign w:val="center"/>
          </w:tcPr>
          <w:p w14:paraId="53164643" w14:textId="77777777" w:rsidR="002D00F9" w:rsidRPr="00244CD2" w:rsidRDefault="002D00F9">
            <w:pPr>
              <w:adjustRightInd w:val="0"/>
              <w:snapToGrid w:val="0"/>
              <w:spacing w:line="360" w:lineRule="auto"/>
              <w:jc w:val="both"/>
              <w:rPr>
                <w:rFonts w:ascii="Book Antiqua" w:hAnsi="Book Antiqua"/>
                <w:noProof/>
              </w:rPr>
            </w:pPr>
            <w:r w:rsidRPr="00244CD2">
              <w:rPr>
                <w:rFonts w:ascii="Book Antiqua" w:hAnsi="Book Antiqua"/>
                <w:noProof/>
              </w:rPr>
              <w:t>NA</w:t>
            </w:r>
          </w:p>
        </w:tc>
      </w:tr>
      <w:tr w:rsidR="004B4DAE" w:rsidRPr="004B4DAE" w14:paraId="15836856" w14:textId="77777777" w:rsidTr="00BC217F">
        <w:trPr>
          <w:trHeight w:val="278"/>
        </w:trPr>
        <w:tc>
          <w:tcPr>
            <w:tcW w:w="2220" w:type="pct"/>
            <w:tcBorders>
              <w:top w:val="nil"/>
              <w:left w:val="nil"/>
              <w:bottom w:val="nil"/>
              <w:right w:val="nil"/>
            </w:tcBorders>
            <w:vAlign w:val="center"/>
          </w:tcPr>
          <w:p w14:paraId="42F6E2E6" w14:textId="77777777" w:rsidR="002D00F9" w:rsidRPr="00244CD2" w:rsidRDefault="002D00F9" w:rsidP="004B4DAE">
            <w:pPr>
              <w:adjustRightInd w:val="0"/>
              <w:snapToGrid w:val="0"/>
              <w:spacing w:line="360" w:lineRule="auto"/>
              <w:jc w:val="both"/>
              <w:rPr>
                <w:rFonts w:ascii="Book Antiqua" w:hAnsi="Book Antiqua"/>
                <w:noProof/>
              </w:rPr>
            </w:pPr>
            <w:r w:rsidRPr="00244CD2">
              <w:rPr>
                <w:rFonts w:ascii="Book Antiqua" w:hAnsi="Book Antiqua"/>
                <w:noProof/>
              </w:rPr>
              <w:t xml:space="preserve"> Abdominal bloating</w:t>
            </w:r>
          </w:p>
        </w:tc>
        <w:tc>
          <w:tcPr>
            <w:tcW w:w="1195" w:type="pct"/>
            <w:tcBorders>
              <w:top w:val="nil"/>
              <w:left w:val="nil"/>
              <w:bottom w:val="nil"/>
              <w:right w:val="nil"/>
            </w:tcBorders>
            <w:vAlign w:val="center"/>
          </w:tcPr>
          <w:p w14:paraId="146B5811" w14:textId="77777777" w:rsidR="002D00F9" w:rsidRPr="00244CD2" w:rsidRDefault="002D00F9">
            <w:pPr>
              <w:adjustRightInd w:val="0"/>
              <w:snapToGrid w:val="0"/>
              <w:spacing w:line="360" w:lineRule="auto"/>
              <w:jc w:val="both"/>
              <w:rPr>
                <w:rFonts w:ascii="Book Antiqua" w:hAnsi="Book Antiqua"/>
                <w:noProof/>
              </w:rPr>
            </w:pPr>
            <w:r w:rsidRPr="00244CD2">
              <w:rPr>
                <w:rFonts w:ascii="Book Antiqua" w:hAnsi="Book Antiqua"/>
                <w:noProof/>
              </w:rPr>
              <w:t>10.0 (0.0, 20.0)</w:t>
            </w:r>
          </w:p>
        </w:tc>
        <w:tc>
          <w:tcPr>
            <w:tcW w:w="940" w:type="pct"/>
            <w:tcBorders>
              <w:top w:val="nil"/>
              <w:left w:val="nil"/>
              <w:bottom w:val="nil"/>
              <w:right w:val="nil"/>
            </w:tcBorders>
            <w:vAlign w:val="center"/>
          </w:tcPr>
          <w:p w14:paraId="751E34BA" w14:textId="77777777" w:rsidR="002D00F9" w:rsidRPr="00244CD2" w:rsidRDefault="002D00F9">
            <w:pPr>
              <w:adjustRightInd w:val="0"/>
              <w:snapToGrid w:val="0"/>
              <w:spacing w:line="360" w:lineRule="auto"/>
              <w:jc w:val="both"/>
              <w:rPr>
                <w:rFonts w:ascii="Book Antiqua" w:hAnsi="Book Antiqua"/>
                <w:noProof/>
              </w:rPr>
            </w:pPr>
            <w:r w:rsidRPr="00244CD2">
              <w:rPr>
                <w:rFonts w:ascii="Book Antiqua" w:hAnsi="Book Antiqua"/>
                <w:noProof/>
              </w:rPr>
              <w:t>NA</w:t>
            </w:r>
          </w:p>
        </w:tc>
        <w:tc>
          <w:tcPr>
            <w:tcW w:w="645" w:type="pct"/>
            <w:tcBorders>
              <w:top w:val="nil"/>
              <w:left w:val="nil"/>
              <w:bottom w:val="nil"/>
              <w:right w:val="nil"/>
            </w:tcBorders>
            <w:vAlign w:val="center"/>
          </w:tcPr>
          <w:p w14:paraId="22D9B863" w14:textId="77777777" w:rsidR="002D00F9" w:rsidRPr="00244CD2" w:rsidRDefault="002D00F9">
            <w:pPr>
              <w:adjustRightInd w:val="0"/>
              <w:snapToGrid w:val="0"/>
              <w:spacing w:line="360" w:lineRule="auto"/>
              <w:jc w:val="both"/>
              <w:rPr>
                <w:rFonts w:ascii="Book Antiqua" w:hAnsi="Book Antiqua"/>
                <w:noProof/>
              </w:rPr>
            </w:pPr>
            <w:r w:rsidRPr="00244CD2">
              <w:rPr>
                <w:rFonts w:ascii="Book Antiqua" w:hAnsi="Book Antiqua"/>
                <w:noProof/>
              </w:rPr>
              <w:t>NA</w:t>
            </w:r>
          </w:p>
        </w:tc>
      </w:tr>
      <w:tr w:rsidR="004B4DAE" w:rsidRPr="004B4DAE" w14:paraId="22609BE7" w14:textId="77777777" w:rsidTr="00BC217F">
        <w:trPr>
          <w:trHeight w:val="278"/>
        </w:trPr>
        <w:tc>
          <w:tcPr>
            <w:tcW w:w="2220" w:type="pct"/>
            <w:tcBorders>
              <w:top w:val="nil"/>
              <w:left w:val="nil"/>
              <w:bottom w:val="nil"/>
              <w:right w:val="nil"/>
            </w:tcBorders>
            <w:vAlign w:val="center"/>
          </w:tcPr>
          <w:p w14:paraId="6D4671D2" w14:textId="77777777" w:rsidR="002D00F9" w:rsidRPr="00244CD2" w:rsidRDefault="002D00F9" w:rsidP="004B4DAE">
            <w:pPr>
              <w:adjustRightInd w:val="0"/>
              <w:snapToGrid w:val="0"/>
              <w:spacing w:line="360" w:lineRule="auto"/>
              <w:jc w:val="both"/>
              <w:rPr>
                <w:rFonts w:ascii="Book Antiqua" w:hAnsi="Book Antiqua"/>
                <w:noProof/>
              </w:rPr>
            </w:pPr>
            <w:r w:rsidRPr="00244CD2">
              <w:rPr>
                <w:rFonts w:ascii="Book Antiqua" w:hAnsi="Book Antiqua"/>
                <w:noProof/>
              </w:rPr>
              <w:t xml:space="preserve"> Bowel habit dissatisfaction</w:t>
            </w:r>
          </w:p>
        </w:tc>
        <w:tc>
          <w:tcPr>
            <w:tcW w:w="1195" w:type="pct"/>
            <w:tcBorders>
              <w:top w:val="nil"/>
              <w:left w:val="nil"/>
              <w:bottom w:val="nil"/>
              <w:right w:val="nil"/>
            </w:tcBorders>
            <w:vAlign w:val="center"/>
          </w:tcPr>
          <w:p w14:paraId="4289898A" w14:textId="77777777" w:rsidR="002D00F9" w:rsidRPr="00244CD2" w:rsidRDefault="002D00F9">
            <w:pPr>
              <w:adjustRightInd w:val="0"/>
              <w:snapToGrid w:val="0"/>
              <w:spacing w:line="360" w:lineRule="auto"/>
              <w:jc w:val="both"/>
              <w:rPr>
                <w:rFonts w:ascii="Book Antiqua" w:hAnsi="Book Antiqua"/>
                <w:noProof/>
              </w:rPr>
            </w:pPr>
            <w:r w:rsidRPr="00244CD2">
              <w:rPr>
                <w:rFonts w:ascii="Book Antiqua" w:hAnsi="Book Antiqua"/>
                <w:noProof/>
              </w:rPr>
              <w:t>60.0 (60.0, 70.0)</w:t>
            </w:r>
          </w:p>
        </w:tc>
        <w:tc>
          <w:tcPr>
            <w:tcW w:w="940" w:type="pct"/>
            <w:tcBorders>
              <w:top w:val="nil"/>
              <w:left w:val="nil"/>
              <w:bottom w:val="nil"/>
              <w:right w:val="nil"/>
            </w:tcBorders>
            <w:vAlign w:val="center"/>
          </w:tcPr>
          <w:p w14:paraId="316E3D8A" w14:textId="77777777" w:rsidR="002D00F9" w:rsidRPr="00244CD2" w:rsidRDefault="002D00F9">
            <w:pPr>
              <w:adjustRightInd w:val="0"/>
              <w:snapToGrid w:val="0"/>
              <w:spacing w:line="360" w:lineRule="auto"/>
              <w:jc w:val="both"/>
              <w:rPr>
                <w:rFonts w:ascii="Book Antiqua" w:hAnsi="Book Antiqua"/>
                <w:noProof/>
              </w:rPr>
            </w:pPr>
            <w:r w:rsidRPr="00244CD2">
              <w:rPr>
                <w:rFonts w:ascii="Book Antiqua" w:hAnsi="Book Antiqua"/>
                <w:noProof/>
              </w:rPr>
              <w:t>NA</w:t>
            </w:r>
          </w:p>
        </w:tc>
        <w:tc>
          <w:tcPr>
            <w:tcW w:w="645" w:type="pct"/>
            <w:tcBorders>
              <w:top w:val="nil"/>
              <w:left w:val="nil"/>
              <w:bottom w:val="nil"/>
              <w:right w:val="nil"/>
            </w:tcBorders>
            <w:vAlign w:val="center"/>
          </w:tcPr>
          <w:p w14:paraId="6D3B98C4" w14:textId="77777777" w:rsidR="002D00F9" w:rsidRPr="00244CD2" w:rsidRDefault="002D00F9">
            <w:pPr>
              <w:adjustRightInd w:val="0"/>
              <w:snapToGrid w:val="0"/>
              <w:spacing w:line="360" w:lineRule="auto"/>
              <w:jc w:val="both"/>
              <w:rPr>
                <w:rFonts w:ascii="Book Antiqua" w:hAnsi="Book Antiqua"/>
                <w:noProof/>
              </w:rPr>
            </w:pPr>
            <w:r w:rsidRPr="00244CD2">
              <w:rPr>
                <w:rFonts w:ascii="Book Antiqua" w:hAnsi="Book Antiqua"/>
                <w:noProof/>
              </w:rPr>
              <w:t>NA</w:t>
            </w:r>
          </w:p>
        </w:tc>
      </w:tr>
      <w:tr w:rsidR="004B4DAE" w:rsidRPr="004B4DAE" w14:paraId="4BD0B9B1" w14:textId="77777777" w:rsidTr="00BC217F">
        <w:trPr>
          <w:trHeight w:val="278"/>
        </w:trPr>
        <w:tc>
          <w:tcPr>
            <w:tcW w:w="2220" w:type="pct"/>
            <w:tcBorders>
              <w:top w:val="nil"/>
              <w:left w:val="nil"/>
              <w:bottom w:val="nil"/>
              <w:right w:val="nil"/>
            </w:tcBorders>
            <w:vAlign w:val="center"/>
          </w:tcPr>
          <w:p w14:paraId="6F49BAC4" w14:textId="77777777" w:rsidR="002D00F9" w:rsidRPr="00244CD2" w:rsidRDefault="002D00F9" w:rsidP="004B4DAE">
            <w:pPr>
              <w:adjustRightInd w:val="0"/>
              <w:snapToGrid w:val="0"/>
              <w:spacing w:line="360" w:lineRule="auto"/>
              <w:jc w:val="both"/>
              <w:rPr>
                <w:rFonts w:ascii="Book Antiqua" w:hAnsi="Book Antiqua"/>
                <w:noProof/>
              </w:rPr>
            </w:pPr>
            <w:r w:rsidRPr="00244CD2">
              <w:rPr>
                <w:rFonts w:ascii="Book Antiqua" w:hAnsi="Book Antiqua"/>
                <w:noProof/>
              </w:rPr>
              <w:t xml:space="preserve"> Overall interference with QOL</w:t>
            </w:r>
          </w:p>
        </w:tc>
        <w:tc>
          <w:tcPr>
            <w:tcW w:w="1195" w:type="pct"/>
            <w:tcBorders>
              <w:top w:val="nil"/>
              <w:left w:val="nil"/>
              <w:bottom w:val="nil"/>
              <w:right w:val="nil"/>
            </w:tcBorders>
            <w:vAlign w:val="center"/>
          </w:tcPr>
          <w:p w14:paraId="7A8EE6D6" w14:textId="77777777" w:rsidR="002D00F9" w:rsidRPr="00244CD2" w:rsidRDefault="002D00F9">
            <w:pPr>
              <w:adjustRightInd w:val="0"/>
              <w:snapToGrid w:val="0"/>
              <w:spacing w:line="360" w:lineRule="auto"/>
              <w:jc w:val="both"/>
              <w:rPr>
                <w:rFonts w:ascii="Book Antiqua" w:hAnsi="Book Antiqua"/>
                <w:noProof/>
              </w:rPr>
            </w:pPr>
            <w:r w:rsidRPr="00244CD2">
              <w:rPr>
                <w:rFonts w:ascii="Book Antiqua" w:hAnsi="Book Antiqua"/>
                <w:noProof/>
              </w:rPr>
              <w:t>30.0 (30.0, 50.0)</w:t>
            </w:r>
          </w:p>
        </w:tc>
        <w:tc>
          <w:tcPr>
            <w:tcW w:w="940" w:type="pct"/>
            <w:tcBorders>
              <w:top w:val="nil"/>
              <w:left w:val="nil"/>
              <w:bottom w:val="nil"/>
              <w:right w:val="nil"/>
            </w:tcBorders>
            <w:vAlign w:val="center"/>
          </w:tcPr>
          <w:p w14:paraId="573AA6D6" w14:textId="77777777" w:rsidR="002D00F9" w:rsidRPr="00244CD2" w:rsidRDefault="002D00F9">
            <w:pPr>
              <w:adjustRightInd w:val="0"/>
              <w:snapToGrid w:val="0"/>
              <w:spacing w:line="360" w:lineRule="auto"/>
              <w:jc w:val="both"/>
              <w:rPr>
                <w:rFonts w:ascii="Book Antiqua" w:hAnsi="Book Antiqua"/>
                <w:noProof/>
              </w:rPr>
            </w:pPr>
            <w:r w:rsidRPr="00244CD2">
              <w:rPr>
                <w:rFonts w:ascii="Book Antiqua" w:hAnsi="Book Antiqua"/>
                <w:noProof/>
              </w:rPr>
              <w:t>NA</w:t>
            </w:r>
          </w:p>
        </w:tc>
        <w:tc>
          <w:tcPr>
            <w:tcW w:w="645" w:type="pct"/>
            <w:tcBorders>
              <w:top w:val="nil"/>
              <w:left w:val="nil"/>
              <w:bottom w:val="nil"/>
              <w:right w:val="nil"/>
            </w:tcBorders>
            <w:vAlign w:val="center"/>
          </w:tcPr>
          <w:p w14:paraId="001F4CC4" w14:textId="77777777" w:rsidR="002D00F9" w:rsidRPr="00244CD2" w:rsidRDefault="002D00F9">
            <w:pPr>
              <w:adjustRightInd w:val="0"/>
              <w:snapToGrid w:val="0"/>
              <w:spacing w:line="360" w:lineRule="auto"/>
              <w:jc w:val="both"/>
              <w:rPr>
                <w:rFonts w:ascii="Book Antiqua" w:hAnsi="Book Antiqua"/>
                <w:noProof/>
              </w:rPr>
            </w:pPr>
            <w:r w:rsidRPr="00244CD2">
              <w:rPr>
                <w:rFonts w:ascii="Book Antiqua" w:hAnsi="Book Antiqua"/>
                <w:noProof/>
              </w:rPr>
              <w:t>NA</w:t>
            </w:r>
          </w:p>
        </w:tc>
      </w:tr>
      <w:tr w:rsidR="004B4DAE" w:rsidRPr="004B4DAE" w14:paraId="4210E624" w14:textId="77777777" w:rsidTr="00BC217F">
        <w:trPr>
          <w:trHeight w:val="278"/>
        </w:trPr>
        <w:tc>
          <w:tcPr>
            <w:tcW w:w="2220" w:type="pct"/>
            <w:tcBorders>
              <w:top w:val="nil"/>
              <w:left w:val="nil"/>
              <w:bottom w:val="nil"/>
              <w:right w:val="nil"/>
            </w:tcBorders>
            <w:vAlign w:val="center"/>
          </w:tcPr>
          <w:p w14:paraId="2170A7E0" w14:textId="77777777" w:rsidR="002D00F9" w:rsidRPr="00244CD2" w:rsidRDefault="002D00F9" w:rsidP="004B4DAE">
            <w:pPr>
              <w:adjustRightInd w:val="0"/>
              <w:snapToGrid w:val="0"/>
              <w:spacing w:line="360" w:lineRule="auto"/>
              <w:jc w:val="both"/>
              <w:rPr>
                <w:rFonts w:ascii="Book Antiqua" w:hAnsi="Book Antiqua"/>
                <w:noProof/>
              </w:rPr>
            </w:pPr>
            <w:r w:rsidRPr="00244CD2">
              <w:rPr>
                <w:rFonts w:ascii="Book Antiqua" w:hAnsi="Book Antiqua"/>
                <w:noProof/>
              </w:rPr>
              <w:t>HADS anxiety score</w:t>
            </w:r>
          </w:p>
        </w:tc>
        <w:tc>
          <w:tcPr>
            <w:tcW w:w="1195" w:type="pct"/>
            <w:tcBorders>
              <w:top w:val="nil"/>
              <w:left w:val="nil"/>
              <w:bottom w:val="nil"/>
              <w:right w:val="nil"/>
            </w:tcBorders>
            <w:vAlign w:val="center"/>
          </w:tcPr>
          <w:p w14:paraId="79E505CD" w14:textId="77777777" w:rsidR="002D00F9" w:rsidRPr="00244CD2" w:rsidRDefault="002D00F9" w:rsidP="004B4DAE">
            <w:pPr>
              <w:adjustRightInd w:val="0"/>
              <w:snapToGrid w:val="0"/>
              <w:spacing w:line="360" w:lineRule="auto"/>
              <w:jc w:val="both"/>
              <w:rPr>
                <w:rFonts w:ascii="Book Antiqua" w:hAnsi="Book Antiqua"/>
                <w:noProof/>
                <w:vertAlign w:val="superscript"/>
              </w:rPr>
            </w:pPr>
            <w:r w:rsidRPr="00244CD2">
              <w:rPr>
                <w:rFonts w:ascii="Book Antiqua" w:hAnsi="Book Antiqua"/>
                <w:noProof/>
              </w:rPr>
              <w:t>5.0</w:t>
            </w:r>
            <w:r w:rsidR="008931CB" w:rsidRPr="00244CD2">
              <w:rPr>
                <w:rFonts w:ascii="Book Antiqua" w:hAnsi="Book Antiqua"/>
                <w:noProof/>
              </w:rPr>
              <w:t xml:space="preserve"> </w:t>
            </w:r>
            <w:r w:rsidRPr="00244CD2">
              <w:rPr>
                <w:rFonts w:ascii="Book Antiqua" w:hAnsi="Book Antiqua"/>
                <w:noProof/>
              </w:rPr>
              <w:t>(3.0, 10.0)</w:t>
            </w:r>
            <w:r w:rsidRPr="00244CD2">
              <w:rPr>
                <w:rFonts w:ascii="Book Antiqua" w:hAnsi="Book Antiqua"/>
                <w:noProof/>
                <w:vertAlign w:val="superscript"/>
              </w:rPr>
              <w:t xml:space="preserve"> </w:t>
            </w:r>
          </w:p>
        </w:tc>
        <w:tc>
          <w:tcPr>
            <w:tcW w:w="940" w:type="pct"/>
            <w:tcBorders>
              <w:top w:val="nil"/>
              <w:left w:val="nil"/>
              <w:bottom w:val="nil"/>
              <w:right w:val="nil"/>
            </w:tcBorders>
            <w:vAlign w:val="center"/>
          </w:tcPr>
          <w:p w14:paraId="621C89F9" w14:textId="77777777" w:rsidR="002D00F9" w:rsidRPr="00244CD2" w:rsidRDefault="002D00F9" w:rsidP="004B4DAE">
            <w:pPr>
              <w:adjustRightInd w:val="0"/>
              <w:snapToGrid w:val="0"/>
              <w:spacing w:line="360" w:lineRule="auto"/>
              <w:jc w:val="both"/>
              <w:rPr>
                <w:rFonts w:ascii="Book Antiqua" w:hAnsi="Book Antiqua"/>
                <w:noProof/>
              </w:rPr>
            </w:pPr>
            <w:r w:rsidRPr="00244CD2">
              <w:rPr>
                <w:rFonts w:ascii="Book Antiqua" w:hAnsi="Book Antiqua"/>
                <w:noProof/>
              </w:rPr>
              <w:t>2.0</w:t>
            </w:r>
            <w:r w:rsidR="008931CB" w:rsidRPr="00244CD2">
              <w:rPr>
                <w:rFonts w:ascii="Book Antiqua" w:hAnsi="Book Antiqua"/>
                <w:noProof/>
              </w:rPr>
              <w:t xml:space="preserve"> </w:t>
            </w:r>
            <w:r w:rsidRPr="00244CD2">
              <w:rPr>
                <w:rFonts w:ascii="Book Antiqua" w:hAnsi="Book Antiqua"/>
                <w:noProof/>
              </w:rPr>
              <w:t>(0.0, 3.8)</w:t>
            </w:r>
          </w:p>
        </w:tc>
        <w:tc>
          <w:tcPr>
            <w:tcW w:w="645" w:type="pct"/>
            <w:tcBorders>
              <w:top w:val="nil"/>
              <w:left w:val="nil"/>
              <w:bottom w:val="nil"/>
              <w:right w:val="nil"/>
            </w:tcBorders>
            <w:vAlign w:val="center"/>
          </w:tcPr>
          <w:p w14:paraId="7BE60313" w14:textId="77777777" w:rsidR="002D00F9" w:rsidRPr="00244CD2" w:rsidRDefault="002D00F9">
            <w:pPr>
              <w:adjustRightInd w:val="0"/>
              <w:snapToGrid w:val="0"/>
              <w:spacing w:line="360" w:lineRule="auto"/>
              <w:jc w:val="both"/>
              <w:rPr>
                <w:rFonts w:ascii="Book Antiqua" w:hAnsi="Book Antiqua"/>
                <w:noProof/>
              </w:rPr>
            </w:pPr>
            <w:r w:rsidRPr="00244CD2">
              <w:rPr>
                <w:rFonts w:ascii="Book Antiqua" w:hAnsi="Book Antiqua"/>
                <w:noProof/>
              </w:rPr>
              <w:t>&lt; 0.001</w:t>
            </w:r>
          </w:p>
        </w:tc>
      </w:tr>
      <w:tr w:rsidR="004B4DAE" w:rsidRPr="004B4DAE" w14:paraId="74D8FE2E" w14:textId="77777777" w:rsidTr="00BC217F">
        <w:trPr>
          <w:trHeight w:val="278"/>
        </w:trPr>
        <w:tc>
          <w:tcPr>
            <w:tcW w:w="2220" w:type="pct"/>
            <w:tcBorders>
              <w:top w:val="nil"/>
              <w:left w:val="nil"/>
              <w:bottom w:val="nil"/>
              <w:right w:val="nil"/>
            </w:tcBorders>
            <w:vAlign w:val="center"/>
          </w:tcPr>
          <w:p w14:paraId="1D59BED5" w14:textId="77777777" w:rsidR="002D00F9" w:rsidRPr="00244CD2" w:rsidRDefault="002D00F9" w:rsidP="004B4DAE">
            <w:pPr>
              <w:adjustRightInd w:val="0"/>
              <w:snapToGrid w:val="0"/>
              <w:spacing w:line="360" w:lineRule="auto"/>
              <w:jc w:val="both"/>
              <w:rPr>
                <w:rFonts w:ascii="Book Antiqua" w:hAnsi="Book Antiqua"/>
                <w:noProof/>
              </w:rPr>
            </w:pPr>
            <w:r w:rsidRPr="00244CD2">
              <w:rPr>
                <w:rFonts w:ascii="Book Antiqua" w:hAnsi="Book Antiqua"/>
                <w:noProof/>
              </w:rPr>
              <w:t>HADS depression score</w:t>
            </w:r>
          </w:p>
        </w:tc>
        <w:tc>
          <w:tcPr>
            <w:tcW w:w="1195" w:type="pct"/>
            <w:tcBorders>
              <w:top w:val="nil"/>
              <w:left w:val="nil"/>
              <w:bottom w:val="nil"/>
              <w:right w:val="nil"/>
            </w:tcBorders>
            <w:vAlign w:val="center"/>
          </w:tcPr>
          <w:p w14:paraId="16FABD5C" w14:textId="77777777" w:rsidR="002D00F9" w:rsidRPr="00244CD2" w:rsidRDefault="002D00F9" w:rsidP="004B4DAE">
            <w:pPr>
              <w:adjustRightInd w:val="0"/>
              <w:snapToGrid w:val="0"/>
              <w:spacing w:line="360" w:lineRule="auto"/>
              <w:jc w:val="both"/>
              <w:rPr>
                <w:rFonts w:ascii="Book Antiqua" w:hAnsi="Book Antiqua"/>
                <w:noProof/>
              </w:rPr>
            </w:pPr>
            <w:r w:rsidRPr="00244CD2">
              <w:rPr>
                <w:rFonts w:ascii="Book Antiqua" w:hAnsi="Book Antiqua"/>
                <w:noProof/>
              </w:rPr>
              <w:t>4.0</w:t>
            </w:r>
            <w:r w:rsidR="008931CB" w:rsidRPr="00244CD2">
              <w:rPr>
                <w:rFonts w:ascii="Book Antiqua" w:hAnsi="Book Antiqua"/>
                <w:noProof/>
              </w:rPr>
              <w:t xml:space="preserve"> </w:t>
            </w:r>
            <w:r w:rsidRPr="00244CD2">
              <w:rPr>
                <w:rFonts w:ascii="Book Antiqua" w:hAnsi="Book Antiqua"/>
                <w:noProof/>
              </w:rPr>
              <w:t>(1.0, 7.0)</w:t>
            </w:r>
          </w:p>
        </w:tc>
        <w:tc>
          <w:tcPr>
            <w:tcW w:w="940" w:type="pct"/>
            <w:tcBorders>
              <w:top w:val="nil"/>
              <w:left w:val="nil"/>
              <w:bottom w:val="nil"/>
              <w:right w:val="nil"/>
            </w:tcBorders>
            <w:vAlign w:val="center"/>
          </w:tcPr>
          <w:p w14:paraId="2C3F2CF1" w14:textId="77777777" w:rsidR="002D00F9" w:rsidRPr="00244CD2" w:rsidRDefault="002D00F9" w:rsidP="004B4DAE">
            <w:pPr>
              <w:adjustRightInd w:val="0"/>
              <w:snapToGrid w:val="0"/>
              <w:spacing w:line="360" w:lineRule="auto"/>
              <w:jc w:val="both"/>
              <w:rPr>
                <w:rFonts w:ascii="Book Antiqua" w:hAnsi="Book Antiqua"/>
                <w:noProof/>
              </w:rPr>
            </w:pPr>
            <w:r w:rsidRPr="00244CD2">
              <w:rPr>
                <w:rFonts w:ascii="Book Antiqua" w:hAnsi="Book Antiqua"/>
                <w:noProof/>
              </w:rPr>
              <w:t>1.5</w:t>
            </w:r>
            <w:r w:rsidR="008931CB" w:rsidRPr="00244CD2">
              <w:rPr>
                <w:rFonts w:ascii="Book Antiqua" w:hAnsi="Book Antiqua"/>
                <w:noProof/>
              </w:rPr>
              <w:t xml:space="preserve"> </w:t>
            </w:r>
            <w:r w:rsidRPr="00244CD2">
              <w:rPr>
                <w:rFonts w:ascii="Book Antiqua" w:hAnsi="Book Antiqua"/>
                <w:noProof/>
              </w:rPr>
              <w:t>(0.0, 3.8)</w:t>
            </w:r>
          </w:p>
        </w:tc>
        <w:tc>
          <w:tcPr>
            <w:tcW w:w="645" w:type="pct"/>
            <w:tcBorders>
              <w:top w:val="nil"/>
              <w:left w:val="nil"/>
              <w:bottom w:val="nil"/>
              <w:right w:val="nil"/>
            </w:tcBorders>
            <w:vAlign w:val="center"/>
          </w:tcPr>
          <w:p w14:paraId="0EABEE13" w14:textId="77777777" w:rsidR="002D00F9" w:rsidRPr="00244CD2" w:rsidRDefault="002D00F9" w:rsidP="00C17B39">
            <w:pPr>
              <w:adjustRightInd w:val="0"/>
              <w:snapToGrid w:val="0"/>
              <w:spacing w:line="360" w:lineRule="auto"/>
              <w:jc w:val="both"/>
              <w:rPr>
                <w:rFonts w:ascii="Book Antiqua" w:hAnsi="Book Antiqua"/>
                <w:noProof/>
              </w:rPr>
            </w:pPr>
            <w:r w:rsidRPr="00244CD2">
              <w:rPr>
                <w:rFonts w:ascii="Book Antiqua" w:hAnsi="Book Antiqua"/>
                <w:noProof/>
              </w:rPr>
              <w:t>0.009</w:t>
            </w:r>
          </w:p>
        </w:tc>
      </w:tr>
      <w:tr w:rsidR="004B4DAE" w:rsidRPr="004B4DAE" w14:paraId="572A6286" w14:textId="77777777" w:rsidTr="00BC217F">
        <w:trPr>
          <w:trHeight w:val="278"/>
        </w:trPr>
        <w:tc>
          <w:tcPr>
            <w:tcW w:w="2220" w:type="pct"/>
            <w:tcBorders>
              <w:top w:val="nil"/>
              <w:left w:val="nil"/>
              <w:bottom w:val="single" w:sz="4" w:space="0" w:color="auto"/>
              <w:right w:val="nil"/>
            </w:tcBorders>
            <w:vAlign w:val="center"/>
          </w:tcPr>
          <w:p w14:paraId="439C1C27" w14:textId="77777777" w:rsidR="002D00F9" w:rsidRPr="00244CD2" w:rsidRDefault="002D00F9" w:rsidP="004B4DAE">
            <w:pPr>
              <w:adjustRightInd w:val="0"/>
              <w:snapToGrid w:val="0"/>
              <w:spacing w:line="360" w:lineRule="auto"/>
              <w:jc w:val="both"/>
              <w:rPr>
                <w:rFonts w:ascii="Book Antiqua" w:hAnsi="Book Antiqua"/>
                <w:noProof/>
              </w:rPr>
            </w:pPr>
            <w:r w:rsidRPr="00244CD2">
              <w:rPr>
                <w:rFonts w:ascii="Book Antiqua" w:hAnsi="Book Antiqua"/>
                <w:noProof/>
              </w:rPr>
              <w:t>VSI score</w:t>
            </w:r>
          </w:p>
        </w:tc>
        <w:tc>
          <w:tcPr>
            <w:tcW w:w="1195" w:type="pct"/>
            <w:tcBorders>
              <w:top w:val="nil"/>
              <w:left w:val="nil"/>
              <w:bottom w:val="single" w:sz="4" w:space="0" w:color="auto"/>
              <w:right w:val="nil"/>
            </w:tcBorders>
            <w:vAlign w:val="center"/>
          </w:tcPr>
          <w:p w14:paraId="56F0DE4E" w14:textId="77777777" w:rsidR="002D00F9" w:rsidRPr="00244CD2" w:rsidRDefault="002D00F9" w:rsidP="004B4DAE">
            <w:pPr>
              <w:adjustRightInd w:val="0"/>
              <w:snapToGrid w:val="0"/>
              <w:spacing w:line="360" w:lineRule="auto"/>
              <w:jc w:val="both"/>
              <w:rPr>
                <w:rFonts w:ascii="Book Antiqua" w:hAnsi="Book Antiqua"/>
                <w:noProof/>
                <w:vertAlign w:val="superscript"/>
              </w:rPr>
            </w:pPr>
            <w:r w:rsidRPr="00244CD2">
              <w:rPr>
                <w:rFonts w:ascii="Book Antiqua" w:hAnsi="Book Antiqua"/>
                <w:noProof/>
              </w:rPr>
              <w:t>30.0</w:t>
            </w:r>
            <w:r w:rsidR="008931CB" w:rsidRPr="00244CD2">
              <w:rPr>
                <w:rFonts w:ascii="Book Antiqua" w:hAnsi="Book Antiqua"/>
                <w:noProof/>
              </w:rPr>
              <w:t xml:space="preserve"> </w:t>
            </w:r>
            <w:r w:rsidRPr="00244CD2">
              <w:rPr>
                <w:rFonts w:ascii="Book Antiqua" w:hAnsi="Book Antiqua"/>
                <w:noProof/>
              </w:rPr>
              <w:t>(19.0, 42.0)</w:t>
            </w:r>
          </w:p>
        </w:tc>
        <w:tc>
          <w:tcPr>
            <w:tcW w:w="940" w:type="pct"/>
            <w:tcBorders>
              <w:top w:val="nil"/>
              <w:left w:val="nil"/>
              <w:bottom w:val="single" w:sz="4" w:space="0" w:color="auto"/>
              <w:right w:val="nil"/>
            </w:tcBorders>
            <w:vAlign w:val="center"/>
          </w:tcPr>
          <w:p w14:paraId="718D43E1" w14:textId="77777777" w:rsidR="002D00F9" w:rsidRPr="00244CD2" w:rsidRDefault="002D00F9" w:rsidP="004B4DAE">
            <w:pPr>
              <w:adjustRightInd w:val="0"/>
              <w:snapToGrid w:val="0"/>
              <w:spacing w:line="360" w:lineRule="auto"/>
              <w:jc w:val="both"/>
              <w:rPr>
                <w:rFonts w:ascii="Book Antiqua" w:hAnsi="Book Antiqua"/>
                <w:noProof/>
              </w:rPr>
            </w:pPr>
            <w:r w:rsidRPr="00244CD2">
              <w:rPr>
                <w:rFonts w:ascii="Book Antiqua" w:hAnsi="Book Antiqua"/>
                <w:noProof/>
              </w:rPr>
              <w:t>4.0</w:t>
            </w:r>
            <w:r w:rsidR="008931CB" w:rsidRPr="00244CD2">
              <w:rPr>
                <w:rFonts w:ascii="Book Antiqua" w:hAnsi="Book Antiqua"/>
                <w:noProof/>
              </w:rPr>
              <w:t xml:space="preserve"> </w:t>
            </w:r>
            <w:r w:rsidRPr="00244CD2">
              <w:rPr>
                <w:rFonts w:ascii="Book Antiqua" w:hAnsi="Book Antiqua"/>
                <w:noProof/>
              </w:rPr>
              <w:t>(0.0,</w:t>
            </w:r>
            <w:r w:rsidR="00BC217F" w:rsidRPr="00244CD2">
              <w:rPr>
                <w:rFonts w:ascii="Book Antiqua" w:hAnsi="Book Antiqua"/>
                <w:noProof/>
              </w:rPr>
              <w:t xml:space="preserve"> </w:t>
            </w:r>
            <w:r w:rsidRPr="00244CD2">
              <w:rPr>
                <w:rFonts w:ascii="Book Antiqua" w:hAnsi="Book Antiqua"/>
                <w:noProof/>
              </w:rPr>
              <w:t>13.3)</w:t>
            </w:r>
          </w:p>
        </w:tc>
        <w:tc>
          <w:tcPr>
            <w:tcW w:w="645" w:type="pct"/>
            <w:tcBorders>
              <w:top w:val="nil"/>
              <w:left w:val="nil"/>
              <w:bottom w:val="single" w:sz="4" w:space="0" w:color="auto"/>
              <w:right w:val="nil"/>
            </w:tcBorders>
            <w:vAlign w:val="center"/>
          </w:tcPr>
          <w:p w14:paraId="5371FE02" w14:textId="77777777" w:rsidR="002D00F9" w:rsidRPr="00244CD2" w:rsidRDefault="002D00F9" w:rsidP="00C17B39">
            <w:pPr>
              <w:adjustRightInd w:val="0"/>
              <w:snapToGrid w:val="0"/>
              <w:spacing w:line="360" w:lineRule="auto"/>
              <w:jc w:val="both"/>
              <w:rPr>
                <w:rFonts w:ascii="Book Antiqua" w:hAnsi="Book Antiqua"/>
                <w:noProof/>
              </w:rPr>
            </w:pPr>
            <w:r w:rsidRPr="00244CD2">
              <w:rPr>
                <w:rFonts w:ascii="Book Antiqua" w:hAnsi="Book Antiqua"/>
                <w:noProof/>
              </w:rPr>
              <w:t>&lt; 0.001</w:t>
            </w:r>
          </w:p>
        </w:tc>
      </w:tr>
    </w:tbl>
    <w:p w14:paraId="101299AE" w14:textId="00A3F1D8" w:rsidR="002D00F9" w:rsidRPr="00244CD2" w:rsidRDefault="002D00F9" w:rsidP="004B4DAE">
      <w:pPr>
        <w:adjustRightInd w:val="0"/>
        <w:snapToGrid w:val="0"/>
        <w:spacing w:line="360" w:lineRule="auto"/>
        <w:jc w:val="both"/>
        <w:rPr>
          <w:rFonts w:ascii="Book Antiqua" w:hAnsi="Book Antiqua"/>
          <w:noProof/>
        </w:rPr>
      </w:pPr>
      <w:r w:rsidRPr="00244CD2">
        <w:rPr>
          <w:rFonts w:ascii="Book Antiqua" w:hAnsi="Book Antiqua"/>
          <w:noProof/>
        </w:rPr>
        <w:t xml:space="preserve">The data are presented as the mean ± SD </w:t>
      </w:r>
      <w:r w:rsidR="00395080" w:rsidRPr="00244CD2">
        <w:rPr>
          <w:rFonts w:ascii="Book Antiqua" w:hAnsi="Book Antiqua"/>
          <w:noProof/>
        </w:rPr>
        <w:t xml:space="preserve">or the median (Q1, Q3). </w:t>
      </w:r>
      <w:r w:rsidR="004B4DAE" w:rsidRPr="00DE4527">
        <w:rPr>
          <w:rFonts w:ascii="Book Antiqua" w:hAnsi="Book Antiqua"/>
          <w:noProof/>
        </w:rPr>
        <w:t xml:space="preserve">BSFS: Bristol stool form scale; </w:t>
      </w:r>
      <w:r w:rsidR="004B4DAE" w:rsidRPr="004E7464">
        <w:rPr>
          <w:rFonts w:ascii="Book Antiqua" w:hAnsi="Book Antiqua"/>
          <w:noProof/>
        </w:rPr>
        <w:t xml:space="preserve">HADS: Hospital anxiety and depression scale; </w:t>
      </w:r>
      <w:r w:rsidR="00395080" w:rsidRPr="00244CD2">
        <w:rPr>
          <w:rFonts w:ascii="Book Antiqua" w:hAnsi="Book Antiqua"/>
          <w:noProof/>
        </w:rPr>
        <w:t xml:space="preserve">IBS-D: </w:t>
      </w:r>
      <w:bookmarkStart w:id="60" w:name="OLE_LINK78"/>
      <w:bookmarkStart w:id="61" w:name="OLE_LINK79"/>
      <w:r w:rsidR="00395080" w:rsidRPr="00244CD2">
        <w:rPr>
          <w:rFonts w:ascii="Book Antiqua" w:hAnsi="Book Antiqua"/>
          <w:noProof/>
          <w:lang w:eastAsia="zh-CN"/>
        </w:rPr>
        <w:t>I</w:t>
      </w:r>
      <w:r w:rsidRPr="00244CD2">
        <w:rPr>
          <w:rFonts w:ascii="Book Antiqua" w:hAnsi="Book Antiqua"/>
          <w:noProof/>
        </w:rPr>
        <w:t>rritable bowel syndrome</w:t>
      </w:r>
      <w:bookmarkEnd w:id="60"/>
      <w:bookmarkEnd w:id="61"/>
      <w:r w:rsidRPr="00244CD2">
        <w:rPr>
          <w:rFonts w:ascii="Book Antiqua" w:hAnsi="Book Antiqua"/>
          <w:noProof/>
        </w:rPr>
        <w:t xml:space="preserve"> with predominant diarrhea; IBS-SSS: </w:t>
      </w:r>
      <w:r w:rsidR="00395080" w:rsidRPr="00244CD2">
        <w:rPr>
          <w:rFonts w:ascii="Book Antiqua" w:hAnsi="Book Antiqua"/>
          <w:noProof/>
          <w:lang w:eastAsia="zh-CN"/>
        </w:rPr>
        <w:t>I</w:t>
      </w:r>
      <w:r w:rsidR="00395080" w:rsidRPr="00244CD2">
        <w:rPr>
          <w:rFonts w:ascii="Book Antiqua" w:hAnsi="Book Antiqua"/>
          <w:noProof/>
        </w:rPr>
        <w:t>rritable bowel syndrome symptom severity s</w:t>
      </w:r>
      <w:r w:rsidRPr="00244CD2">
        <w:rPr>
          <w:rFonts w:ascii="Book Antiqua" w:hAnsi="Book Antiqua"/>
          <w:noProof/>
        </w:rPr>
        <w:t xml:space="preserve">cale; </w:t>
      </w:r>
      <w:r w:rsidR="004B4DAE" w:rsidRPr="000C7210">
        <w:rPr>
          <w:rFonts w:ascii="Book Antiqua" w:hAnsi="Book Antiqua"/>
          <w:noProof/>
        </w:rPr>
        <w:t>NA: Not applicable</w:t>
      </w:r>
      <w:r w:rsidR="004B4DAE">
        <w:rPr>
          <w:rFonts w:ascii="Book Antiqua" w:hAnsi="Book Antiqua"/>
          <w:noProof/>
        </w:rPr>
        <w:t>;</w:t>
      </w:r>
      <w:r w:rsidR="004B4DAE" w:rsidRPr="004B4DAE" w:rsidDel="004B4DAE">
        <w:rPr>
          <w:rFonts w:ascii="Book Antiqua" w:hAnsi="Book Antiqua"/>
          <w:noProof/>
        </w:rPr>
        <w:t xml:space="preserve"> </w:t>
      </w:r>
      <w:r w:rsidR="00395080" w:rsidRPr="00244CD2">
        <w:rPr>
          <w:rFonts w:ascii="Book Antiqua" w:hAnsi="Book Antiqua"/>
          <w:noProof/>
        </w:rPr>
        <w:t xml:space="preserve">QOL: </w:t>
      </w:r>
      <w:r w:rsidR="00395080" w:rsidRPr="00244CD2">
        <w:rPr>
          <w:rFonts w:ascii="Book Antiqua" w:hAnsi="Book Antiqua"/>
          <w:noProof/>
          <w:lang w:eastAsia="zh-CN"/>
        </w:rPr>
        <w:t>Q</w:t>
      </w:r>
      <w:r w:rsidRPr="00244CD2">
        <w:rPr>
          <w:rFonts w:ascii="Book Antiqua" w:hAnsi="Book Antiqua"/>
          <w:noProof/>
        </w:rPr>
        <w:t xml:space="preserve">uality of life; VSI: Visceral </w:t>
      </w:r>
      <w:r w:rsidR="00395080" w:rsidRPr="00244CD2">
        <w:rPr>
          <w:rFonts w:ascii="Book Antiqua" w:hAnsi="Book Antiqua"/>
          <w:noProof/>
        </w:rPr>
        <w:t>sensitivity in</w:t>
      </w:r>
      <w:r w:rsidRPr="00244CD2">
        <w:rPr>
          <w:rFonts w:ascii="Book Antiqua" w:hAnsi="Book Antiqua"/>
          <w:noProof/>
        </w:rPr>
        <w:t>dex.</w:t>
      </w:r>
    </w:p>
    <w:p w14:paraId="349E6A60" w14:textId="77777777" w:rsidR="002D00F9" w:rsidRPr="00244CD2" w:rsidRDefault="00C012E6">
      <w:pPr>
        <w:adjustRightInd w:val="0"/>
        <w:snapToGrid w:val="0"/>
        <w:spacing w:line="360" w:lineRule="auto"/>
        <w:jc w:val="both"/>
        <w:rPr>
          <w:rFonts w:ascii="Book Antiqua" w:hAnsi="Book Antiqua"/>
          <w:b/>
          <w:noProof/>
        </w:rPr>
      </w:pPr>
      <w:r w:rsidRPr="00244CD2">
        <w:rPr>
          <w:rFonts w:ascii="Book Antiqua" w:hAnsi="Book Antiqua"/>
          <w:noProof/>
        </w:rPr>
        <w:br w:type="page"/>
      </w:r>
      <w:r w:rsidR="002D00F9" w:rsidRPr="00244CD2">
        <w:rPr>
          <w:rFonts w:ascii="Book Antiqua" w:hAnsi="Book Antiqua"/>
          <w:b/>
          <w:noProof/>
        </w:rPr>
        <w:lastRenderedPageBreak/>
        <w:t>Table 2 Visceral sensation thresholds in patients with diarrhea-predominant irritable bowel syndrome and healthy controls</w:t>
      </w:r>
    </w:p>
    <w:tbl>
      <w:tblPr>
        <w:tblStyle w:val="a6"/>
        <w:tblW w:w="9386" w:type="dxa"/>
        <w:tblLook w:val="04A0" w:firstRow="1" w:lastRow="0" w:firstColumn="1" w:lastColumn="0" w:noHBand="0" w:noVBand="1"/>
      </w:tblPr>
      <w:tblGrid>
        <w:gridCol w:w="4247"/>
        <w:gridCol w:w="2044"/>
        <w:gridCol w:w="1842"/>
        <w:gridCol w:w="1253"/>
      </w:tblGrid>
      <w:tr w:rsidR="004B4DAE" w:rsidRPr="004B4DAE" w14:paraId="777FD1A9" w14:textId="77777777" w:rsidTr="00C012E6">
        <w:trPr>
          <w:trHeight w:val="786"/>
        </w:trPr>
        <w:tc>
          <w:tcPr>
            <w:tcW w:w="4247" w:type="dxa"/>
            <w:tcBorders>
              <w:top w:val="single" w:sz="4" w:space="0" w:color="auto"/>
              <w:left w:val="nil"/>
              <w:bottom w:val="single" w:sz="4" w:space="0" w:color="auto"/>
              <w:right w:val="nil"/>
            </w:tcBorders>
            <w:vAlign w:val="center"/>
          </w:tcPr>
          <w:p w14:paraId="3C63A743" w14:textId="035F7FBB" w:rsidR="002D00F9" w:rsidRPr="00244CD2" w:rsidRDefault="002D00F9">
            <w:pPr>
              <w:adjustRightInd w:val="0"/>
              <w:snapToGrid w:val="0"/>
              <w:spacing w:line="360" w:lineRule="auto"/>
              <w:jc w:val="both"/>
              <w:rPr>
                <w:rFonts w:ascii="Book Antiqua" w:hAnsi="Book Antiqua"/>
                <w:b/>
                <w:noProof/>
              </w:rPr>
            </w:pPr>
            <w:r w:rsidRPr="00244CD2">
              <w:rPr>
                <w:rFonts w:ascii="Book Antiqua" w:hAnsi="Book Antiqua"/>
                <w:b/>
                <w:noProof/>
              </w:rPr>
              <w:t>Visceral sensation threshold</w:t>
            </w:r>
            <w:r w:rsidR="005F57C0" w:rsidRPr="00244CD2">
              <w:rPr>
                <w:rFonts w:ascii="Book Antiqua" w:hAnsi="Book Antiqua"/>
                <w:b/>
                <w:noProof/>
              </w:rPr>
              <w:t xml:space="preserve"> </w:t>
            </w:r>
            <w:r w:rsidR="004B4DAE">
              <w:rPr>
                <w:rFonts w:ascii="Book Antiqua" w:hAnsi="Book Antiqua"/>
                <w:b/>
                <w:noProof/>
              </w:rPr>
              <w:t xml:space="preserve">in </w:t>
            </w:r>
            <w:r w:rsidRPr="00244CD2">
              <w:rPr>
                <w:rFonts w:ascii="Book Antiqua" w:hAnsi="Book Antiqua"/>
                <w:b/>
                <w:noProof/>
              </w:rPr>
              <w:t>mL</w:t>
            </w:r>
          </w:p>
        </w:tc>
        <w:tc>
          <w:tcPr>
            <w:tcW w:w="2044" w:type="dxa"/>
            <w:tcBorders>
              <w:top w:val="single" w:sz="4" w:space="0" w:color="auto"/>
              <w:left w:val="nil"/>
              <w:bottom w:val="single" w:sz="4" w:space="0" w:color="auto"/>
              <w:right w:val="nil"/>
            </w:tcBorders>
            <w:vAlign w:val="center"/>
          </w:tcPr>
          <w:p w14:paraId="56148CA1" w14:textId="0E59D6AA" w:rsidR="002D00F9" w:rsidRPr="00244CD2" w:rsidRDefault="002D00F9">
            <w:pPr>
              <w:adjustRightInd w:val="0"/>
              <w:snapToGrid w:val="0"/>
              <w:spacing w:line="360" w:lineRule="auto"/>
              <w:jc w:val="both"/>
              <w:rPr>
                <w:rFonts w:ascii="Book Antiqua" w:hAnsi="Book Antiqua"/>
                <w:b/>
                <w:noProof/>
              </w:rPr>
            </w:pPr>
            <w:r w:rsidRPr="00244CD2">
              <w:rPr>
                <w:rFonts w:ascii="Book Antiqua" w:hAnsi="Book Antiqua"/>
                <w:b/>
                <w:noProof/>
              </w:rPr>
              <w:t>IBS-D patients</w:t>
            </w:r>
            <w:r w:rsidR="004B4DAE">
              <w:rPr>
                <w:rFonts w:ascii="Book Antiqua" w:hAnsi="Book Antiqua"/>
                <w:b/>
                <w:noProof/>
              </w:rPr>
              <w:t>,</w:t>
            </w:r>
          </w:p>
          <w:p w14:paraId="6D63EDC7" w14:textId="6A879BFC" w:rsidR="002D00F9" w:rsidRPr="00244CD2" w:rsidRDefault="00BC217F">
            <w:pPr>
              <w:adjustRightInd w:val="0"/>
              <w:snapToGrid w:val="0"/>
              <w:spacing w:line="360" w:lineRule="auto"/>
              <w:jc w:val="both"/>
              <w:rPr>
                <w:rFonts w:ascii="Book Antiqua" w:hAnsi="Book Antiqua"/>
                <w:b/>
                <w:noProof/>
              </w:rPr>
            </w:pPr>
            <w:r w:rsidRPr="00244CD2">
              <w:rPr>
                <w:rFonts w:ascii="Book Antiqua" w:hAnsi="Book Antiqua"/>
                <w:b/>
                <w:i/>
                <w:noProof/>
              </w:rPr>
              <w:t>n</w:t>
            </w:r>
            <w:r w:rsidRPr="00244CD2">
              <w:rPr>
                <w:rFonts w:ascii="Book Antiqua" w:hAnsi="Book Antiqua"/>
                <w:b/>
                <w:noProof/>
              </w:rPr>
              <w:t xml:space="preserve"> </w:t>
            </w:r>
            <w:r w:rsidR="002D00F9" w:rsidRPr="00244CD2">
              <w:rPr>
                <w:rFonts w:ascii="Book Antiqua" w:hAnsi="Book Antiqua"/>
                <w:b/>
                <w:noProof/>
              </w:rPr>
              <w:t>=</w:t>
            </w:r>
            <w:r w:rsidRPr="00244CD2">
              <w:rPr>
                <w:rFonts w:ascii="Book Antiqua" w:hAnsi="Book Antiqua"/>
                <w:b/>
                <w:noProof/>
              </w:rPr>
              <w:t xml:space="preserve"> </w:t>
            </w:r>
            <w:r w:rsidR="002D00F9" w:rsidRPr="00244CD2">
              <w:rPr>
                <w:rFonts w:ascii="Book Antiqua" w:hAnsi="Book Antiqua"/>
                <w:b/>
                <w:noProof/>
              </w:rPr>
              <w:t>23</w:t>
            </w:r>
          </w:p>
        </w:tc>
        <w:tc>
          <w:tcPr>
            <w:tcW w:w="1842" w:type="dxa"/>
            <w:tcBorders>
              <w:top w:val="single" w:sz="4" w:space="0" w:color="auto"/>
              <w:left w:val="nil"/>
              <w:bottom w:val="single" w:sz="4" w:space="0" w:color="auto"/>
              <w:right w:val="nil"/>
            </w:tcBorders>
            <w:vAlign w:val="center"/>
          </w:tcPr>
          <w:p w14:paraId="2DA5DDB6" w14:textId="728E8402" w:rsidR="002D00F9" w:rsidRPr="00244CD2" w:rsidRDefault="002D00F9">
            <w:pPr>
              <w:adjustRightInd w:val="0"/>
              <w:snapToGrid w:val="0"/>
              <w:spacing w:line="360" w:lineRule="auto"/>
              <w:jc w:val="both"/>
              <w:rPr>
                <w:rFonts w:ascii="Book Antiqua" w:hAnsi="Book Antiqua"/>
                <w:b/>
                <w:noProof/>
              </w:rPr>
            </w:pPr>
            <w:r w:rsidRPr="00244CD2">
              <w:rPr>
                <w:rFonts w:ascii="Book Antiqua" w:hAnsi="Book Antiqua"/>
                <w:b/>
                <w:noProof/>
              </w:rPr>
              <w:t>Controls</w:t>
            </w:r>
            <w:r w:rsidR="004B4DAE">
              <w:rPr>
                <w:rFonts w:ascii="Book Antiqua" w:hAnsi="Book Antiqua"/>
                <w:b/>
                <w:noProof/>
              </w:rPr>
              <w:t>,</w:t>
            </w:r>
          </w:p>
          <w:p w14:paraId="4F3750AE" w14:textId="6A0BA420" w:rsidR="002D00F9" w:rsidRPr="00244CD2" w:rsidRDefault="00BC217F">
            <w:pPr>
              <w:adjustRightInd w:val="0"/>
              <w:snapToGrid w:val="0"/>
              <w:spacing w:line="360" w:lineRule="auto"/>
              <w:jc w:val="both"/>
              <w:rPr>
                <w:rFonts w:ascii="Book Antiqua" w:hAnsi="Book Antiqua"/>
                <w:b/>
                <w:noProof/>
              </w:rPr>
            </w:pPr>
            <w:r w:rsidRPr="00244CD2">
              <w:rPr>
                <w:rFonts w:ascii="Book Antiqua" w:hAnsi="Book Antiqua"/>
                <w:b/>
                <w:i/>
                <w:noProof/>
              </w:rPr>
              <w:t>n</w:t>
            </w:r>
            <w:r w:rsidRPr="00244CD2">
              <w:rPr>
                <w:rFonts w:ascii="Book Antiqua" w:hAnsi="Book Antiqua"/>
                <w:b/>
                <w:noProof/>
              </w:rPr>
              <w:t xml:space="preserve"> </w:t>
            </w:r>
            <w:r w:rsidR="002D00F9" w:rsidRPr="00244CD2">
              <w:rPr>
                <w:rFonts w:ascii="Book Antiqua" w:hAnsi="Book Antiqua"/>
                <w:b/>
                <w:noProof/>
              </w:rPr>
              <w:t>=</w:t>
            </w:r>
            <w:r w:rsidRPr="00244CD2">
              <w:rPr>
                <w:rFonts w:ascii="Book Antiqua" w:hAnsi="Book Antiqua"/>
                <w:b/>
                <w:noProof/>
              </w:rPr>
              <w:t xml:space="preserve"> </w:t>
            </w:r>
            <w:r w:rsidR="002D00F9" w:rsidRPr="00244CD2">
              <w:rPr>
                <w:rFonts w:ascii="Book Antiqua" w:hAnsi="Book Antiqua"/>
                <w:b/>
                <w:noProof/>
              </w:rPr>
              <w:t>15</w:t>
            </w:r>
          </w:p>
        </w:tc>
        <w:tc>
          <w:tcPr>
            <w:tcW w:w="1253" w:type="dxa"/>
            <w:tcBorders>
              <w:top w:val="single" w:sz="4" w:space="0" w:color="auto"/>
              <w:left w:val="nil"/>
              <w:bottom w:val="single" w:sz="4" w:space="0" w:color="auto"/>
              <w:right w:val="nil"/>
            </w:tcBorders>
            <w:vAlign w:val="center"/>
          </w:tcPr>
          <w:p w14:paraId="181EFA95" w14:textId="77777777" w:rsidR="002D00F9" w:rsidRPr="00244CD2" w:rsidRDefault="002D00F9">
            <w:pPr>
              <w:adjustRightInd w:val="0"/>
              <w:snapToGrid w:val="0"/>
              <w:spacing w:line="360" w:lineRule="auto"/>
              <w:jc w:val="both"/>
              <w:rPr>
                <w:rFonts w:ascii="Book Antiqua" w:hAnsi="Book Antiqua"/>
                <w:noProof/>
              </w:rPr>
            </w:pPr>
            <w:r w:rsidRPr="00244CD2">
              <w:rPr>
                <w:rFonts w:ascii="Book Antiqua" w:hAnsi="Book Antiqua"/>
                <w:b/>
                <w:i/>
                <w:noProof/>
              </w:rPr>
              <w:t>P</w:t>
            </w:r>
            <w:r w:rsidRPr="00244CD2">
              <w:rPr>
                <w:rFonts w:ascii="Book Antiqua" w:hAnsi="Book Antiqua"/>
                <w:b/>
                <w:noProof/>
              </w:rPr>
              <w:t xml:space="preserve"> value</w:t>
            </w:r>
          </w:p>
        </w:tc>
      </w:tr>
      <w:tr w:rsidR="004B4DAE" w:rsidRPr="004B4DAE" w14:paraId="18CEF350" w14:textId="77777777" w:rsidTr="00C012E6">
        <w:trPr>
          <w:trHeight w:val="469"/>
        </w:trPr>
        <w:tc>
          <w:tcPr>
            <w:tcW w:w="4247" w:type="dxa"/>
            <w:tcBorders>
              <w:top w:val="single" w:sz="4" w:space="0" w:color="auto"/>
              <w:left w:val="nil"/>
              <w:bottom w:val="nil"/>
              <w:right w:val="nil"/>
            </w:tcBorders>
            <w:vAlign w:val="center"/>
          </w:tcPr>
          <w:p w14:paraId="7D9B2EAF" w14:textId="77777777" w:rsidR="002D00F9" w:rsidRPr="00244CD2" w:rsidRDefault="002D00F9" w:rsidP="004B4DAE">
            <w:pPr>
              <w:adjustRightInd w:val="0"/>
              <w:snapToGrid w:val="0"/>
              <w:spacing w:line="360" w:lineRule="auto"/>
              <w:jc w:val="both"/>
              <w:rPr>
                <w:rFonts w:ascii="Book Antiqua" w:hAnsi="Book Antiqua"/>
                <w:noProof/>
              </w:rPr>
            </w:pPr>
            <w:r w:rsidRPr="00244CD2">
              <w:rPr>
                <w:rFonts w:ascii="Book Antiqua" w:hAnsi="Book Antiqua"/>
                <w:noProof/>
              </w:rPr>
              <w:t>First sensation threshold</w:t>
            </w:r>
          </w:p>
        </w:tc>
        <w:tc>
          <w:tcPr>
            <w:tcW w:w="2044" w:type="dxa"/>
            <w:tcBorders>
              <w:top w:val="single" w:sz="4" w:space="0" w:color="auto"/>
              <w:left w:val="nil"/>
              <w:bottom w:val="nil"/>
              <w:right w:val="nil"/>
            </w:tcBorders>
            <w:vAlign w:val="center"/>
          </w:tcPr>
          <w:p w14:paraId="455AFE2A" w14:textId="77777777" w:rsidR="002D00F9" w:rsidRPr="00244CD2" w:rsidRDefault="002D00F9" w:rsidP="004B4DAE">
            <w:pPr>
              <w:adjustRightInd w:val="0"/>
              <w:snapToGrid w:val="0"/>
              <w:spacing w:line="360" w:lineRule="auto"/>
              <w:jc w:val="both"/>
              <w:rPr>
                <w:rFonts w:ascii="Book Antiqua" w:hAnsi="Book Antiqua"/>
                <w:noProof/>
                <w:vertAlign w:val="superscript"/>
              </w:rPr>
            </w:pPr>
            <w:r w:rsidRPr="00244CD2">
              <w:rPr>
                <w:rFonts w:ascii="Book Antiqua" w:hAnsi="Book Antiqua"/>
                <w:noProof/>
              </w:rPr>
              <w:t>40</w:t>
            </w:r>
            <w:r w:rsidR="00BC217F" w:rsidRPr="00244CD2">
              <w:rPr>
                <w:rFonts w:ascii="Book Antiqua" w:hAnsi="Book Antiqua"/>
                <w:noProof/>
              </w:rPr>
              <w:t xml:space="preserve"> </w:t>
            </w:r>
            <w:r w:rsidRPr="00244CD2">
              <w:rPr>
                <w:rFonts w:ascii="Book Antiqua" w:hAnsi="Book Antiqua"/>
                <w:noProof/>
              </w:rPr>
              <w:t>(20,</w:t>
            </w:r>
            <w:r w:rsidR="00BC217F" w:rsidRPr="00244CD2">
              <w:rPr>
                <w:rFonts w:ascii="Book Antiqua" w:hAnsi="Book Antiqua"/>
                <w:noProof/>
              </w:rPr>
              <w:t xml:space="preserve"> </w:t>
            </w:r>
            <w:r w:rsidRPr="00244CD2">
              <w:rPr>
                <w:rFonts w:ascii="Book Antiqua" w:hAnsi="Book Antiqua"/>
                <w:noProof/>
              </w:rPr>
              <w:t>50)</w:t>
            </w:r>
          </w:p>
        </w:tc>
        <w:tc>
          <w:tcPr>
            <w:tcW w:w="1842" w:type="dxa"/>
            <w:tcBorders>
              <w:top w:val="single" w:sz="4" w:space="0" w:color="auto"/>
              <w:left w:val="nil"/>
              <w:bottom w:val="nil"/>
              <w:right w:val="nil"/>
            </w:tcBorders>
            <w:vAlign w:val="center"/>
          </w:tcPr>
          <w:p w14:paraId="4ED55E35" w14:textId="77777777" w:rsidR="002D00F9" w:rsidRPr="00244CD2" w:rsidRDefault="002D00F9" w:rsidP="004B4DAE">
            <w:pPr>
              <w:adjustRightInd w:val="0"/>
              <w:snapToGrid w:val="0"/>
              <w:spacing w:line="360" w:lineRule="auto"/>
              <w:jc w:val="both"/>
              <w:rPr>
                <w:rFonts w:ascii="Book Antiqua" w:hAnsi="Book Antiqua"/>
                <w:noProof/>
              </w:rPr>
            </w:pPr>
            <w:r w:rsidRPr="00244CD2">
              <w:rPr>
                <w:rFonts w:ascii="Book Antiqua" w:hAnsi="Book Antiqua"/>
                <w:noProof/>
              </w:rPr>
              <w:t>40</w:t>
            </w:r>
            <w:r w:rsidR="007E01B6" w:rsidRPr="00244CD2">
              <w:rPr>
                <w:rFonts w:ascii="Book Antiqua" w:hAnsi="Book Antiqua"/>
                <w:noProof/>
              </w:rPr>
              <w:t xml:space="preserve"> </w:t>
            </w:r>
            <w:r w:rsidRPr="00244CD2">
              <w:rPr>
                <w:rFonts w:ascii="Book Antiqua" w:hAnsi="Book Antiqua"/>
                <w:noProof/>
              </w:rPr>
              <w:t>(35,</w:t>
            </w:r>
            <w:r w:rsidR="007E01B6" w:rsidRPr="00244CD2">
              <w:rPr>
                <w:rFonts w:ascii="Book Antiqua" w:hAnsi="Book Antiqua"/>
                <w:noProof/>
              </w:rPr>
              <w:t xml:space="preserve"> </w:t>
            </w:r>
            <w:r w:rsidRPr="00244CD2">
              <w:rPr>
                <w:rFonts w:ascii="Book Antiqua" w:hAnsi="Book Antiqua"/>
                <w:noProof/>
              </w:rPr>
              <w:t>60)</w:t>
            </w:r>
          </w:p>
        </w:tc>
        <w:tc>
          <w:tcPr>
            <w:tcW w:w="1253" w:type="dxa"/>
            <w:tcBorders>
              <w:top w:val="single" w:sz="4" w:space="0" w:color="auto"/>
              <w:left w:val="nil"/>
              <w:bottom w:val="nil"/>
              <w:right w:val="nil"/>
            </w:tcBorders>
            <w:vAlign w:val="center"/>
          </w:tcPr>
          <w:p w14:paraId="6A8C05FF" w14:textId="77777777" w:rsidR="002D00F9" w:rsidRPr="00244CD2" w:rsidRDefault="002D00F9">
            <w:pPr>
              <w:adjustRightInd w:val="0"/>
              <w:snapToGrid w:val="0"/>
              <w:spacing w:line="360" w:lineRule="auto"/>
              <w:jc w:val="both"/>
              <w:rPr>
                <w:rFonts w:ascii="Book Antiqua" w:hAnsi="Book Antiqua"/>
                <w:noProof/>
              </w:rPr>
            </w:pPr>
            <w:r w:rsidRPr="00244CD2">
              <w:rPr>
                <w:rFonts w:ascii="Book Antiqua" w:hAnsi="Book Antiqua"/>
                <w:noProof/>
              </w:rPr>
              <w:t>0.235</w:t>
            </w:r>
          </w:p>
        </w:tc>
      </w:tr>
      <w:tr w:rsidR="004B4DAE" w:rsidRPr="004B4DAE" w14:paraId="4C767EAF" w14:textId="77777777" w:rsidTr="00C012E6">
        <w:trPr>
          <w:trHeight w:val="458"/>
        </w:trPr>
        <w:tc>
          <w:tcPr>
            <w:tcW w:w="4247" w:type="dxa"/>
            <w:tcBorders>
              <w:top w:val="nil"/>
              <w:left w:val="nil"/>
              <w:bottom w:val="nil"/>
              <w:right w:val="nil"/>
            </w:tcBorders>
            <w:vAlign w:val="center"/>
          </w:tcPr>
          <w:p w14:paraId="5658F836" w14:textId="77777777" w:rsidR="002D00F9" w:rsidRPr="00244CD2" w:rsidRDefault="002D00F9" w:rsidP="004B4DAE">
            <w:pPr>
              <w:adjustRightInd w:val="0"/>
              <w:snapToGrid w:val="0"/>
              <w:spacing w:line="360" w:lineRule="auto"/>
              <w:jc w:val="both"/>
              <w:rPr>
                <w:rFonts w:ascii="Book Antiqua" w:hAnsi="Book Antiqua"/>
                <w:noProof/>
              </w:rPr>
            </w:pPr>
            <w:r w:rsidRPr="00244CD2">
              <w:rPr>
                <w:rFonts w:ascii="Book Antiqua" w:hAnsi="Book Antiqua"/>
                <w:noProof/>
              </w:rPr>
              <w:t>Defecating sensation threshold</w:t>
            </w:r>
          </w:p>
        </w:tc>
        <w:tc>
          <w:tcPr>
            <w:tcW w:w="2044" w:type="dxa"/>
            <w:tcBorders>
              <w:top w:val="nil"/>
              <w:left w:val="nil"/>
              <w:bottom w:val="nil"/>
              <w:right w:val="nil"/>
            </w:tcBorders>
            <w:vAlign w:val="center"/>
          </w:tcPr>
          <w:p w14:paraId="2E3719A4" w14:textId="77777777" w:rsidR="002D00F9" w:rsidRPr="00244CD2" w:rsidRDefault="002D00F9" w:rsidP="004B4DAE">
            <w:pPr>
              <w:adjustRightInd w:val="0"/>
              <w:snapToGrid w:val="0"/>
              <w:spacing w:line="360" w:lineRule="auto"/>
              <w:jc w:val="both"/>
              <w:rPr>
                <w:rFonts w:ascii="Book Antiqua" w:hAnsi="Book Antiqua"/>
                <w:noProof/>
              </w:rPr>
            </w:pPr>
            <w:r w:rsidRPr="00244CD2">
              <w:rPr>
                <w:rFonts w:ascii="Book Antiqua" w:hAnsi="Book Antiqua"/>
                <w:noProof/>
              </w:rPr>
              <w:t>60</w:t>
            </w:r>
            <w:r w:rsidR="00BC217F" w:rsidRPr="00244CD2">
              <w:rPr>
                <w:rFonts w:ascii="Book Antiqua" w:hAnsi="Book Antiqua"/>
                <w:noProof/>
              </w:rPr>
              <w:t xml:space="preserve"> </w:t>
            </w:r>
            <w:r w:rsidRPr="00244CD2">
              <w:rPr>
                <w:rFonts w:ascii="Book Antiqua" w:hAnsi="Book Antiqua"/>
                <w:noProof/>
              </w:rPr>
              <w:t>(50,</w:t>
            </w:r>
            <w:r w:rsidR="00BC217F" w:rsidRPr="00244CD2">
              <w:rPr>
                <w:rFonts w:ascii="Book Antiqua" w:hAnsi="Book Antiqua"/>
                <w:noProof/>
              </w:rPr>
              <w:t xml:space="preserve"> </w:t>
            </w:r>
            <w:r w:rsidRPr="00244CD2">
              <w:rPr>
                <w:rFonts w:ascii="Book Antiqua" w:hAnsi="Book Antiqua"/>
                <w:noProof/>
              </w:rPr>
              <w:t>85)</w:t>
            </w:r>
          </w:p>
        </w:tc>
        <w:tc>
          <w:tcPr>
            <w:tcW w:w="1842" w:type="dxa"/>
            <w:tcBorders>
              <w:top w:val="nil"/>
              <w:left w:val="nil"/>
              <w:bottom w:val="nil"/>
              <w:right w:val="nil"/>
            </w:tcBorders>
            <w:vAlign w:val="center"/>
          </w:tcPr>
          <w:p w14:paraId="12DF833F" w14:textId="77777777" w:rsidR="002D00F9" w:rsidRPr="00244CD2" w:rsidRDefault="002D00F9" w:rsidP="004B4DAE">
            <w:pPr>
              <w:adjustRightInd w:val="0"/>
              <w:snapToGrid w:val="0"/>
              <w:spacing w:line="360" w:lineRule="auto"/>
              <w:jc w:val="both"/>
              <w:rPr>
                <w:rFonts w:ascii="Book Antiqua" w:hAnsi="Book Antiqua"/>
                <w:noProof/>
              </w:rPr>
            </w:pPr>
            <w:r w:rsidRPr="00244CD2">
              <w:rPr>
                <w:rFonts w:ascii="Book Antiqua" w:hAnsi="Book Antiqua"/>
                <w:noProof/>
              </w:rPr>
              <w:t>70</w:t>
            </w:r>
            <w:r w:rsidR="007E01B6" w:rsidRPr="00244CD2">
              <w:rPr>
                <w:rFonts w:ascii="Book Antiqua" w:hAnsi="Book Antiqua"/>
                <w:noProof/>
              </w:rPr>
              <w:t xml:space="preserve"> </w:t>
            </w:r>
            <w:r w:rsidRPr="00244CD2">
              <w:rPr>
                <w:rFonts w:ascii="Book Antiqua" w:hAnsi="Book Antiqua"/>
                <w:noProof/>
              </w:rPr>
              <w:t>(65,</w:t>
            </w:r>
            <w:r w:rsidR="007E01B6" w:rsidRPr="00244CD2">
              <w:rPr>
                <w:rFonts w:ascii="Book Antiqua" w:hAnsi="Book Antiqua"/>
                <w:noProof/>
              </w:rPr>
              <w:t xml:space="preserve"> </w:t>
            </w:r>
            <w:r w:rsidRPr="00244CD2">
              <w:rPr>
                <w:rFonts w:ascii="Book Antiqua" w:hAnsi="Book Antiqua"/>
                <w:noProof/>
              </w:rPr>
              <w:t>100)</w:t>
            </w:r>
          </w:p>
        </w:tc>
        <w:tc>
          <w:tcPr>
            <w:tcW w:w="1253" w:type="dxa"/>
            <w:tcBorders>
              <w:top w:val="nil"/>
              <w:left w:val="nil"/>
              <w:bottom w:val="nil"/>
              <w:right w:val="nil"/>
            </w:tcBorders>
            <w:vAlign w:val="center"/>
          </w:tcPr>
          <w:p w14:paraId="23BAB31F" w14:textId="77777777" w:rsidR="002D00F9" w:rsidRPr="00244CD2" w:rsidRDefault="002D00F9">
            <w:pPr>
              <w:adjustRightInd w:val="0"/>
              <w:snapToGrid w:val="0"/>
              <w:spacing w:line="360" w:lineRule="auto"/>
              <w:jc w:val="both"/>
              <w:rPr>
                <w:rFonts w:ascii="Book Antiqua" w:hAnsi="Book Antiqua"/>
                <w:noProof/>
              </w:rPr>
            </w:pPr>
            <w:r w:rsidRPr="00244CD2">
              <w:rPr>
                <w:rFonts w:ascii="Book Antiqua" w:hAnsi="Book Antiqua"/>
                <w:noProof/>
              </w:rPr>
              <w:t>0.073</w:t>
            </w:r>
          </w:p>
        </w:tc>
      </w:tr>
      <w:tr w:rsidR="004B4DAE" w:rsidRPr="004B4DAE" w14:paraId="4E3E271E" w14:textId="77777777" w:rsidTr="00C012E6">
        <w:trPr>
          <w:trHeight w:val="482"/>
        </w:trPr>
        <w:tc>
          <w:tcPr>
            <w:tcW w:w="4247" w:type="dxa"/>
            <w:tcBorders>
              <w:top w:val="nil"/>
              <w:left w:val="nil"/>
              <w:bottom w:val="single" w:sz="4" w:space="0" w:color="auto"/>
              <w:right w:val="nil"/>
            </w:tcBorders>
            <w:vAlign w:val="center"/>
          </w:tcPr>
          <w:p w14:paraId="78E6D1EB" w14:textId="77777777" w:rsidR="002D00F9" w:rsidRPr="00244CD2" w:rsidRDefault="002D00F9" w:rsidP="004B4DAE">
            <w:pPr>
              <w:adjustRightInd w:val="0"/>
              <w:snapToGrid w:val="0"/>
              <w:spacing w:line="360" w:lineRule="auto"/>
              <w:jc w:val="both"/>
              <w:rPr>
                <w:rFonts w:ascii="Book Antiqua" w:hAnsi="Book Antiqua"/>
                <w:noProof/>
              </w:rPr>
            </w:pPr>
            <w:r w:rsidRPr="00244CD2">
              <w:rPr>
                <w:rFonts w:ascii="Book Antiqua" w:hAnsi="Book Antiqua"/>
                <w:noProof/>
              </w:rPr>
              <w:t>Maximum sensation threshold</w:t>
            </w:r>
          </w:p>
        </w:tc>
        <w:tc>
          <w:tcPr>
            <w:tcW w:w="2044" w:type="dxa"/>
            <w:tcBorders>
              <w:top w:val="nil"/>
              <w:left w:val="nil"/>
              <w:bottom w:val="single" w:sz="4" w:space="0" w:color="auto"/>
              <w:right w:val="nil"/>
            </w:tcBorders>
            <w:vAlign w:val="center"/>
          </w:tcPr>
          <w:p w14:paraId="4A10161D" w14:textId="77777777" w:rsidR="002D00F9" w:rsidRPr="00244CD2" w:rsidRDefault="002D00F9" w:rsidP="004B4DAE">
            <w:pPr>
              <w:adjustRightInd w:val="0"/>
              <w:snapToGrid w:val="0"/>
              <w:spacing w:line="360" w:lineRule="auto"/>
              <w:jc w:val="both"/>
              <w:rPr>
                <w:rFonts w:ascii="Book Antiqua" w:hAnsi="Book Antiqua"/>
                <w:noProof/>
                <w:vertAlign w:val="superscript"/>
              </w:rPr>
            </w:pPr>
            <w:r w:rsidRPr="00244CD2">
              <w:rPr>
                <w:rFonts w:ascii="Book Antiqua" w:hAnsi="Book Antiqua"/>
                <w:noProof/>
              </w:rPr>
              <w:t>105</w:t>
            </w:r>
            <w:r w:rsidR="007E01B6" w:rsidRPr="00244CD2">
              <w:rPr>
                <w:rFonts w:ascii="Book Antiqua" w:hAnsi="Book Antiqua"/>
                <w:noProof/>
              </w:rPr>
              <w:t xml:space="preserve"> </w:t>
            </w:r>
            <w:r w:rsidRPr="00244CD2">
              <w:rPr>
                <w:rFonts w:ascii="Book Antiqua" w:hAnsi="Book Antiqua"/>
                <w:noProof/>
              </w:rPr>
              <w:t>(90,</w:t>
            </w:r>
            <w:r w:rsidR="007E01B6" w:rsidRPr="00244CD2">
              <w:rPr>
                <w:rFonts w:ascii="Book Antiqua" w:hAnsi="Book Antiqua"/>
                <w:noProof/>
              </w:rPr>
              <w:t xml:space="preserve"> </w:t>
            </w:r>
            <w:r w:rsidRPr="00244CD2">
              <w:rPr>
                <w:rFonts w:ascii="Book Antiqua" w:hAnsi="Book Antiqua"/>
                <w:noProof/>
              </w:rPr>
              <w:t>120)</w:t>
            </w:r>
          </w:p>
        </w:tc>
        <w:tc>
          <w:tcPr>
            <w:tcW w:w="1842" w:type="dxa"/>
            <w:tcBorders>
              <w:top w:val="nil"/>
              <w:left w:val="nil"/>
              <w:bottom w:val="single" w:sz="4" w:space="0" w:color="auto"/>
              <w:right w:val="nil"/>
            </w:tcBorders>
            <w:vAlign w:val="center"/>
          </w:tcPr>
          <w:p w14:paraId="662D262F" w14:textId="77777777" w:rsidR="002D00F9" w:rsidRPr="00244CD2" w:rsidRDefault="002D00F9" w:rsidP="004B4DAE">
            <w:pPr>
              <w:adjustRightInd w:val="0"/>
              <w:snapToGrid w:val="0"/>
              <w:spacing w:line="360" w:lineRule="auto"/>
              <w:jc w:val="both"/>
              <w:rPr>
                <w:rFonts w:ascii="Book Antiqua" w:hAnsi="Book Antiqua"/>
                <w:noProof/>
              </w:rPr>
            </w:pPr>
            <w:r w:rsidRPr="00244CD2">
              <w:rPr>
                <w:rFonts w:ascii="Book Antiqua" w:hAnsi="Book Antiqua"/>
                <w:noProof/>
              </w:rPr>
              <w:t>160</w:t>
            </w:r>
            <w:r w:rsidR="007E01B6" w:rsidRPr="00244CD2">
              <w:rPr>
                <w:rFonts w:ascii="Book Antiqua" w:hAnsi="Book Antiqua"/>
                <w:noProof/>
              </w:rPr>
              <w:t xml:space="preserve"> </w:t>
            </w:r>
            <w:r w:rsidRPr="00244CD2">
              <w:rPr>
                <w:rFonts w:ascii="Book Antiqua" w:hAnsi="Book Antiqua"/>
                <w:noProof/>
              </w:rPr>
              <w:t>(145,</w:t>
            </w:r>
            <w:r w:rsidR="007E01B6" w:rsidRPr="00244CD2">
              <w:rPr>
                <w:rFonts w:ascii="Book Antiqua" w:hAnsi="Book Antiqua"/>
                <w:noProof/>
              </w:rPr>
              <w:t xml:space="preserve"> </w:t>
            </w:r>
            <w:r w:rsidRPr="00244CD2">
              <w:rPr>
                <w:rFonts w:ascii="Book Antiqua" w:hAnsi="Book Antiqua"/>
                <w:noProof/>
              </w:rPr>
              <w:t>190)</w:t>
            </w:r>
          </w:p>
        </w:tc>
        <w:tc>
          <w:tcPr>
            <w:tcW w:w="1253" w:type="dxa"/>
            <w:tcBorders>
              <w:top w:val="nil"/>
              <w:left w:val="nil"/>
              <w:bottom w:val="single" w:sz="4" w:space="0" w:color="auto"/>
              <w:right w:val="nil"/>
            </w:tcBorders>
            <w:vAlign w:val="center"/>
          </w:tcPr>
          <w:p w14:paraId="6D1EB622" w14:textId="77777777" w:rsidR="002D00F9" w:rsidRPr="00244CD2" w:rsidRDefault="007E01B6" w:rsidP="004B4DAE">
            <w:pPr>
              <w:adjustRightInd w:val="0"/>
              <w:snapToGrid w:val="0"/>
              <w:spacing w:line="360" w:lineRule="auto"/>
              <w:jc w:val="both"/>
              <w:rPr>
                <w:rFonts w:ascii="Book Antiqua" w:hAnsi="Book Antiqua"/>
                <w:noProof/>
              </w:rPr>
            </w:pPr>
            <w:r w:rsidRPr="00244CD2">
              <w:rPr>
                <w:rFonts w:ascii="Book Antiqua" w:hAnsi="Book Antiqua"/>
                <w:noProof/>
              </w:rPr>
              <w:t xml:space="preserve">&lt; </w:t>
            </w:r>
            <w:r w:rsidR="002D00F9" w:rsidRPr="00244CD2">
              <w:rPr>
                <w:rFonts w:ascii="Book Antiqua" w:hAnsi="Book Antiqua"/>
                <w:noProof/>
              </w:rPr>
              <w:t>0.001</w:t>
            </w:r>
          </w:p>
        </w:tc>
      </w:tr>
    </w:tbl>
    <w:p w14:paraId="416F91F9" w14:textId="77777777" w:rsidR="002D00F9" w:rsidRPr="00244CD2" w:rsidRDefault="002D00F9" w:rsidP="004B4DAE">
      <w:pPr>
        <w:adjustRightInd w:val="0"/>
        <w:snapToGrid w:val="0"/>
        <w:spacing w:line="360" w:lineRule="auto"/>
        <w:jc w:val="both"/>
        <w:rPr>
          <w:rFonts w:ascii="Book Antiqua" w:hAnsi="Book Antiqua"/>
          <w:noProof/>
        </w:rPr>
      </w:pPr>
      <w:r w:rsidRPr="00244CD2">
        <w:rPr>
          <w:rFonts w:ascii="Book Antiqua" w:hAnsi="Book Antiqua"/>
          <w:noProof/>
        </w:rPr>
        <w:t>The data are expres</w:t>
      </w:r>
      <w:r w:rsidR="00826D35" w:rsidRPr="00244CD2">
        <w:rPr>
          <w:rFonts w:ascii="Book Antiqua" w:hAnsi="Book Antiqua"/>
          <w:noProof/>
        </w:rPr>
        <w:t xml:space="preserve">sed as median (Q1, Q3). IBS-D: </w:t>
      </w:r>
      <w:r w:rsidR="00826D35" w:rsidRPr="00244CD2">
        <w:rPr>
          <w:rFonts w:ascii="Book Antiqua" w:hAnsi="Book Antiqua"/>
          <w:noProof/>
          <w:lang w:eastAsia="zh-CN"/>
        </w:rPr>
        <w:t>I</w:t>
      </w:r>
      <w:r w:rsidRPr="00244CD2">
        <w:rPr>
          <w:rFonts w:ascii="Book Antiqua" w:hAnsi="Book Antiqua"/>
          <w:noProof/>
        </w:rPr>
        <w:t>rritable bowel syndrome with predominant diarrhea.</w:t>
      </w:r>
    </w:p>
    <w:p w14:paraId="703FE2C2" w14:textId="77777777" w:rsidR="002D00F9" w:rsidRPr="00244CD2" w:rsidRDefault="002D00F9">
      <w:pPr>
        <w:adjustRightInd w:val="0"/>
        <w:snapToGrid w:val="0"/>
        <w:spacing w:line="360" w:lineRule="auto"/>
        <w:jc w:val="both"/>
        <w:rPr>
          <w:rFonts w:ascii="Book Antiqua" w:hAnsi="Book Antiqua"/>
          <w:noProof/>
        </w:rPr>
      </w:pPr>
    </w:p>
    <w:p w14:paraId="5DEB1C7E" w14:textId="77777777" w:rsidR="002D00F9" w:rsidRPr="00244CD2" w:rsidRDefault="00C012E6">
      <w:pPr>
        <w:adjustRightInd w:val="0"/>
        <w:snapToGrid w:val="0"/>
        <w:spacing w:line="360" w:lineRule="auto"/>
        <w:jc w:val="both"/>
        <w:rPr>
          <w:rFonts w:ascii="Book Antiqua" w:hAnsi="Book Antiqua"/>
          <w:b/>
          <w:noProof/>
        </w:rPr>
      </w:pPr>
      <w:r w:rsidRPr="00244CD2">
        <w:rPr>
          <w:rFonts w:ascii="Book Antiqua" w:hAnsi="Book Antiqua"/>
          <w:noProof/>
        </w:rPr>
        <w:br w:type="page"/>
      </w:r>
      <w:r w:rsidR="002D00F9" w:rsidRPr="00244CD2">
        <w:rPr>
          <w:rFonts w:ascii="Book Antiqua" w:hAnsi="Book Antiqua"/>
          <w:b/>
          <w:noProof/>
        </w:rPr>
        <w:lastRenderedPageBreak/>
        <w:t>Table 3 Levels of fecal bile acids in patients with diarrhea-predominant irritable bowel syndrome and controls</w:t>
      </w:r>
    </w:p>
    <w:tbl>
      <w:tblPr>
        <w:tblStyle w:val="a6"/>
        <w:tblW w:w="5149" w:type="pct"/>
        <w:tblLook w:val="04A0" w:firstRow="1" w:lastRow="0" w:firstColumn="1" w:lastColumn="0" w:noHBand="0" w:noVBand="1"/>
      </w:tblPr>
      <w:tblGrid>
        <w:gridCol w:w="2462"/>
        <w:gridCol w:w="3050"/>
        <w:gridCol w:w="2907"/>
        <w:gridCol w:w="1220"/>
      </w:tblGrid>
      <w:tr w:rsidR="004B4DAE" w:rsidRPr="004B4DAE" w14:paraId="7BDF6271" w14:textId="77777777" w:rsidTr="00244CD2">
        <w:trPr>
          <w:trHeight w:hRule="exact" w:val="964"/>
        </w:trPr>
        <w:tc>
          <w:tcPr>
            <w:tcW w:w="1277" w:type="pct"/>
            <w:tcBorders>
              <w:left w:val="nil"/>
              <w:bottom w:val="single" w:sz="4" w:space="0" w:color="auto"/>
              <w:right w:val="nil"/>
            </w:tcBorders>
            <w:vAlign w:val="center"/>
          </w:tcPr>
          <w:p w14:paraId="1FB0FCE5" w14:textId="4A482D58" w:rsidR="002D00F9" w:rsidRPr="00244CD2" w:rsidRDefault="002D00F9">
            <w:pPr>
              <w:widowControl w:val="0"/>
              <w:adjustRightInd w:val="0"/>
              <w:snapToGrid w:val="0"/>
              <w:spacing w:line="360" w:lineRule="auto"/>
              <w:jc w:val="both"/>
              <w:rPr>
                <w:rFonts w:ascii="Book Antiqua" w:hAnsi="Book Antiqua"/>
                <w:b/>
                <w:noProof/>
              </w:rPr>
            </w:pPr>
            <w:r w:rsidRPr="00244CD2">
              <w:rPr>
                <w:rFonts w:ascii="Book Antiqua" w:hAnsi="Book Antiqua"/>
                <w:b/>
                <w:noProof/>
              </w:rPr>
              <w:t>Bile acids</w:t>
            </w:r>
            <w:r w:rsidR="004B4DAE">
              <w:rPr>
                <w:rFonts w:ascii="Book Antiqua" w:hAnsi="Book Antiqua"/>
                <w:b/>
                <w:noProof/>
              </w:rPr>
              <w:t xml:space="preserve"> in</w:t>
            </w:r>
            <w:r w:rsidR="005F57C0" w:rsidRPr="00244CD2">
              <w:rPr>
                <w:rFonts w:ascii="Book Antiqua" w:hAnsi="Book Antiqua"/>
                <w:b/>
                <w:noProof/>
              </w:rPr>
              <w:t xml:space="preserve"> </w:t>
            </w:r>
            <w:r w:rsidRPr="00244CD2">
              <w:rPr>
                <w:rFonts w:ascii="Book Antiqua" w:hAnsi="Book Antiqua"/>
                <w:b/>
                <w:noProof/>
              </w:rPr>
              <w:t>nmol/g</w:t>
            </w:r>
          </w:p>
        </w:tc>
        <w:tc>
          <w:tcPr>
            <w:tcW w:w="1582" w:type="pct"/>
            <w:tcBorders>
              <w:left w:val="nil"/>
              <w:bottom w:val="single" w:sz="4" w:space="0" w:color="auto"/>
              <w:right w:val="nil"/>
            </w:tcBorders>
            <w:vAlign w:val="center"/>
          </w:tcPr>
          <w:p w14:paraId="63E29EFA" w14:textId="606B425A" w:rsidR="002D00F9" w:rsidRPr="00244CD2" w:rsidRDefault="002D00F9">
            <w:pPr>
              <w:widowControl w:val="0"/>
              <w:adjustRightInd w:val="0"/>
              <w:snapToGrid w:val="0"/>
              <w:spacing w:line="360" w:lineRule="auto"/>
              <w:jc w:val="both"/>
              <w:rPr>
                <w:rFonts w:ascii="Book Antiqua" w:hAnsi="Book Antiqua"/>
                <w:b/>
                <w:noProof/>
              </w:rPr>
            </w:pPr>
            <w:r w:rsidRPr="00244CD2">
              <w:rPr>
                <w:rFonts w:ascii="Book Antiqua" w:hAnsi="Book Antiqua"/>
                <w:b/>
                <w:noProof/>
              </w:rPr>
              <w:t>IBS-D patients</w:t>
            </w:r>
            <w:r w:rsidR="004B4DAE">
              <w:rPr>
                <w:rFonts w:ascii="Book Antiqua" w:hAnsi="Book Antiqua"/>
                <w:b/>
                <w:noProof/>
              </w:rPr>
              <w:t>,</w:t>
            </w:r>
          </w:p>
          <w:p w14:paraId="07F9C918" w14:textId="01AD1BED" w:rsidR="002D00F9" w:rsidRPr="00244CD2" w:rsidRDefault="005F57C0">
            <w:pPr>
              <w:widowControl w:val="0"/>
              <w:adjustRightInd w:val="0"/>
              <w:snapToGrid w:val="0"/>
              <w:spacing w:line="360" w:lineRule="auto"/>
              <w:jc w:val="both"/>
              <w:rPr>
                <w:rFonts w:ascii="Book Antiqua" w:hAnsi="Book Antiqua"/>
                <w:b/>
                <w:noProof/>
              </w:rPr>
            </w:pPr>
            <w:r w:rsidRPr="00244CD2">
              <w:rPr>
                <w:rFonts w:ascii="Book Antiqua" w:hAnsi="Book Antiqua"/>
                <w:b/>
                <w:i/>
                <w:noProof/>
              </w:rPr>
              <w:t>n</w:t>
            </w:r>
            <w:r w:rsidRPr="00244CD2">
              <w:rPr>
                <w:rFonts w:ascii="Book Antiqua" w:hAnsi="Book Antiqua"/>
                <w:b/>
                <w:noProof/>
              </w:rPr>
              <w:t xml:space="preserve"> </w:t>
            </w:r>
            <w:r w:rsidR="002D00F9" w:rsidRPr="00244CD2">
              <w:rPr>
                <w:rFonts w:ascii="Book Antiqua" w:hAnsi="Book Antiqua"/>
                <w:b/>
                <w:noProof/>
              </w:rPr>
              <w:t>=</w:t>
            </w:r>
            <w:r w:rsidRPr="00244CD2">
              <w:rPr>
                <w:rFonts w:ascii="Book Antiqua" w:hAnsi="Book Antiqua"/>
                <w:b/>
                <w:noProof/>
              </w:rPr>
              <w:t xml:space="preserve"> </w:t>
            </w:r>
            <w:r w:rsidR="002D00F9" w:rsidRPr="00244CD2">
              <w:rPr>
                <w:rFonts w:ascii="Book Antiqua" w:hAnsi="Book Antiqua"/>
                <w:b/>
                <w:noProof/>
              </w:rPr>
              <w:t>55</w:t>
            </w:r>
          </w:p>
        </w:tc>
        <w:tc>
          <w:tcPr>
            <w:tcW w:w="1508" w:type="pct"/>
            <w:tcBorders>
              <w:left w:val="nil"/>
              <w:bottom w:val="single" w:sz="4" w:space="0" w:color="auto"/>
              <w:right w:val="nil"/>
            </w:tcBorders>
            <w:vAlign w:val="center"/>
          </w:tcPr>
          <w:p w14:paraId="14A46341" w14:textId="0DDD59D4" w:rsidR="002D00F9" w:rsidRPr="00244CD2" w:rsidRDefault="002D00F9">
            <w:pPr>
              <w:widowControl w:val="0"/>
              <w:adjustRightInd w:val="0"/>
              <w:snapToGrid w:val="0"/>
              <w:spacing w:line="360" w:lineRule="auto"/>
              <w:jc w:val="both"/>
              <w:rPr>
                <w:rFonts w:ascii="Book Antiqua" w:hAnsi="Book Antiqua"/>
                <w:b/>
                <w:noProof/>
              </w:rPr>
            </w:pPr>
            <w:r w:rsidRPr="00244CD2">
              <w:rPr>
                <w:rFonts w:ascii="Book Antiqua" w:hAnsi="Book Antiqua"/>
                <w:b/>
                <w:noProof/>
              </w:rPr>
              <w:t>Controls</w:t>
            </w:r>
            <w:r w:rsidR="004B4DAE">
              <w:rPr>
                <w:rFonts w:ascii="Book Antiqua" w:hAnsi="Book Antiqua"/>
                <w:b/>
                <w:noProof/>
              </w:rPr>
              <w:t>,</w:t>
            </w:r>
          </w:p>
          <w:p w14:paraId="01807DAC" w14:textId="6448A27E" w:rsidR="002D00F9" w:rsidRPr="00244CD2" w:rsidRDefault="005F57C0">
            <w:pPr>
              <w:widowControl w:val="0"/>
              <w:adjustRightInd w:val="0"/>
              <w:snapToGrid w:val="0"/>
              <w:spacing w:line="360" w:lineRule="auto"/>
              <w:jc w:val="both"/>
              <w:rPr>
                <w:rFonts w:ascii="Book Antiqua" w:hAnsi="Book Antiqua"/>
                <w:b/>
                <w:noProof/>
              </w:rPr>
            </w:pPr>
            <w:r w:rsidRPr="00244CD2">
              <w:rPr>
                <w:rFonts w:ascii="Book Antiqua" w:hAnsi="Book Antiqua"/>
                <w:b/>
                <w:i/>
                <w:noProof/>
              </w:rPr>
              <w:t>n</w:t>
            </w:r>
            <w:r w:rsidRPr="00244CD2">
              <w:rPr>
                <w:rFonts w:ascii="Book Antiqua" w:hAnsi="Book Antiqua"/>
                <w:b/>
                <w:noProof/>
              </w:rPr>
              <w:t xml:space="preserve"> </w:t>
            </w:r>
            <w:r w:rsidR="002D00F9" w:rsidRPr="00244CD2">
              <w:rPr>
                <w:rFonts w:ascii="Book Antiqua" w:hAnsi="Book Antiqua"/>
                <w:b/>
                <w:noProof/>
              </w:rPr>
              <w:t>=</w:t>
            </w:r>
            <w:r w:rsidRPr="00244CD2">
              <w:rPr>
                <w:rFonts w:ascii="Book Antiqua" w:hAnsi="Book Antiqua"/>
                <w:b/>
                <w:noProof/>
              </w:rPr>
              <w:t xml:space="preserve"> </w:t>
            </w:r>
            <w:r w:rsidR="002D00F9" w:rsidRPr="00244CD2">
              <w:rPr>
                <w:rFonts w:ascii="Book Antiqua" w:hAnsi="Book Antiqua"/>
                <w:b/>
                <w:noProof/>
              </w:rPr>
              <w:t>28</w:t>
            </w:r>
          </w:p>
        </w:tc>
        <w:tc>
          <w:tcPr>
            <w:tcW w:w="633" w:type="pct"/>
            <w:tcBorders>
              <w:left w:val="nil"/>
              <w:bottom w:val="single" w:sz="4" w:space="0" w:color="auto"/>
              <w:right w:val="nil"/>
            </w:tcBorders>
            <w:vAlign w:val="center"/>
          </w:tcPr>
          <w:p w14:paraId="3961E6C8" w14:textId="77777777" w:rsidR="002D00F9" w:rsidRPr="00244CD2" w:rsidRDefault="002D00F9">
            <w:pPr>
              <w:widowControl w:val="0"/>
              <w:adjustRightInd w:val="0"/>
              <w:snapToGrid w:val="0"/>
              <w:spacing w:line="360" w:lineRule="auto"/>
              <w:jc w:val="both"/>
              <w:rPr>
                <w:rFonts w:ascii="Book Antiqua" w:hAnsi="Book Antiqua"/>
                <w:b/>
                <w:noProof/>
              </w:rPr>
            </w:pPr>
            <w:r w:rsidRPr="00244CD2">
              <w:rPr>
                <w:rFonts w:ascii="Book Antiqua" w:hAnsi="Book Antiqua"/>
                <w:b/>
                <w:i/>
                <w:noProof/>
              </w:rPr>
              <w:t>P</w:t>
            </w:r>
            <w:r w:rsidRPr="00244CD2">
              <w:rPr>
                <w:rFonts w:ascii="Book Antiqua" w:hAnsi="Book Antiqua"/>
                <w:b/>
                <w:noProof/>
              </w:rPr>
              <w:t xml:space="preserve"> value</w:t>
            </w:r>
          </w:p>
        </w:tc>
      </w:tr>
      <w:tr w:rsidR="004B4DAE" w:rsidRPr="004B4DAE" w14:paraId="3F2761E1" w14:textId="77777777" w:rsidTr="00244CD2">
        <w:trPr>
          <w:trHeight w:hRule="exact" w:val="567"/>
        </w:trPr>
        <w:tc>
          <w:tcPr>
            <w:tcW w:w="1277" w:type="pct"/>
            <w:tcBorders>
              <w:left w:val="nil"/>
              <w:bottom w:val="nil"/>
              <w:right w:val="nil"/>
            </w:tcBorders>
            <w:vAlign w:val="center"/>
          </w:tcPr>
          <w:p w14:paraId="43D081E9"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CA</w:t>
            </w:r>
          </w:p>
        </w:tc>
        <w:tc>
          <w:tcPr>
            <w:tcW w:w="1582" w:type="pct"/>
            <w:tcBorders>
              <w:left w:val="nil"/>
              <w:bottom w:val="nil"/>
              <w:right w:val="nil"/>
            </w:tcBorders>
            <w:vAlign w:val="center"/>
          </w:tcPr>
          <w:p w14:paraId="3114A109" w14:textId="77777777" w:rsidR="002D00F9" w:rsidRPr="00244CD2" w:rsidRDefault="002D00F9" w:rsidP="004B4DAE">
            <w:pPr>
              <w:widowControl w:val="0"/>
              <w:adjustRightInd w:val="0"/>
              <w:snapToGrid w:val="0"/>
              <w:spacing w:line="360" w:lineRule="auto"/>
              <w:jc w:val="both"/>
              <w:rPr>
                <w:rFonts w:ascii="Book Antiqua" w:hAnsi="Book Antiqua"/>
                <w:noProof/>
                <w:vertAlign w:val="superscript"/>
              </w:rPr>
            </w:pPr>
            <w:r w:rsidRPr="00244CD2">
              <w:rPr>
                <w:rFonts w:ascii="Book Antiqua" w:hAnsi="Book Antiqua"/>
                <w:noProof/>
              </w:rPr>
              <w:t>3037.66</w:t>
            </w:r>
            <w:r w:rsidR="005F57C0" w:rsidRPr="00244CD2">
              <w:rPr>
                <w:rFonts w:ascii="Book Antiqua" w:hAnsi="Book Antiqua"/>
                <w:noProof/>
              </w:rPr>
              <w:t xml:space="preserve"> </w:t>
            </w:r>
            <w:r w:rsidRPr="00244CD2">
              <w:rPr>
                <w:rFonts w:ascii="Book Antiqua" w:hAnsi="Book Antiqua"/>
                <w:noProof/>
              </w:rPr>
              <w:t>(282.82,</w:t>
            </w:r>
            <w:r w:rsidR="005F57C0" w:rsidRPr="00244CD2">
              <w:rPr>
                <w:rFonts w:ascii="Book Antiqua" w:hAnsi="Book Antiqua"/>
                <w:noProof/>
              </w:rPr>
              <w:t xml:space="preserve"> </w:t>
            </w:r>
            <w:r w:rsidRPr="00244CD2">
              <w:rPr>
                <w:rFonts w:ascii="Book Antiqua" w:hAnsi="Book Antiqua"/>
                <w:noProof/>
              </w:rPr>
              <w:t>6917.47)</w:t>
            </w:r>
          </w:p>
        </w:tc>
        <w:tc>
          <w:tcPr>
            <w:tcW w:w="1508" w:type="pct"/>
            <w:tcBorders>
              <w:left w:val="nil"/>
              <w:bottom w:val="nil"/>
              <w:right w:val="nil"/>
            </w:tcBorders>
            <w:vAlign w:val="center"/>
          </w:tcPr>
          <w:p w14:paraId="7F72A47E"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20.19</w:t>
            </w:r>
            <w:r w:rsidR="005F57C0" w:rsidRPr="00244CD2">
              <w:rPr>
                <w:rFonts w:ascii="Book Antiqua" w:hAnsi="Book Antiqua"/>
                <w:noProof/>
              </w:rPr>
              <w:t xml:space="preserve"> </w:t>
            </w:r>
            <w:r w:rsidRPr="00244CD2">
              <w:rPr>
                <w:rFonts w:ascii="Book Antiqua" w:hAnsi="Book Antiqua"/>
                <w:noProof/>
              </w:rPr>
              <w:t>(5.03,</w:t>
            </w:r>
            <w:r w:rsidR="005F57C0" w:rsidRPr="00244CD2">
              <w:rPr>
                <w:rFonts w:ascii="Book Antiqua" w:hAnsi="Book Antiqua"/>
                <w:noProof/>
              </w:rPr>
              <w:t xml:space="preserve"> </w:t>
            </w:r>
            <w:r w:rsidRPr="00244CD2">
              <w:rPr>
                <w:rFonts w:ascii="Book Antiqua" w:hAnsi="Book Antiqua"/>
                <w:noProof/>
              </w:rPr>
              <w:t>1304.28)</w:t>
            </w:r>
          </w:p>
        </w:tc>
        <w:tc>
          <w:tcPr>
            <w:tcW w:w="633" w:type="pct"/>
            <w:tcBorders>
              <w:left w:val="nil"/>
              <w:bottom w:val="nil"/>
              <w:right w:val="nil"/>
            </w:tcBorders>
            <w:vAlign w:val="center"/>
          </w:tcPr>
          <w:p w14:paraId="6C1D67E3" w14:textId="77777777" w:rsidR="002D00F9" w:rsidRPr="00244CD2" w:rsidRDefault="002D00F9">
            <w:pPr>
              <w:widowControl w:val="0"/>
              <w:adjustRightInd w:val="0"/>
              <w:snapToGrid w:val="0"/>
              <w:spacing w:line="360" w:lineRule="auto"/>
              <w:jc w:val="both"/>
              <w:rPr>
                <w:rFonts w:ascii="Book Antiqua" w:hAnsi="Book Antiqua"/>
                <w:noProof/>
              </w:rPr>
            </w:pPr>
            <w:r w:rsidRPr="00244CD2">
              <w:rPr>
                <w:rFonts w:ascii="Book Antiqua" w:hAnsi="Book Antiqua"/>
                <w:noProof/>
              </w:rPr>
              <w:t>&lt;</w:t>
            </w:r>
            <w:r w:rsidR="005F57C0" w:rsidRPr="00244CD2">
              <w:rPr>
                <w:rFonts w:ascii="Book Antiqua" w:hAnsi="Book Antiqua"/>
                <w:noProof/>
              </w:rPr>
              <w:t xml:space="preserve"> </w:t>
            </w:r>
            <w:r w:rsidRPr="00244CD2">
              <w:rPr>
                <w:rFonts w:ascii="Book Antiqua" w:hAnsi="Book Antiqua"/>
                <w:noProof/>
              </w:rPr>
              <w:t>0.001</w:t>
            </w:r>
          </w:p>
        </w:tc>
      </w:tr>
      <w:tr w:rsidR="004B4DAE" w:rsidRPr="004B4DAE" w14:paraId="193D8AD8" w14:textId="77777777" w:rsidTr="00244CD2">
        <w:trPr>
          <w:trHeight w:hRule="exact" w:val="567"/>
        </w:trPr>
        <w:tc>
          <w:tcPr>
            <w:tcW w:w="1277" w:type="pct"/>
            <w:tcBorders>
              <w:top w:val="nil"/>
              <w:left w:val="nil"/>
              <w:bottom w:val="nil"/>
              <w:right w:val="nil"/>
            </w:tcBorders>
            <w:vAlign w:val="center"/>
          </w:tcPr>
          <w:p w14:paraId="64E2DCA9"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CDCA</w:t>
            </w:r>
          </w:p>
        </w:tc>
        <w:tc>
          <w:tcPr>
            <w:tcW w:w="1582" w:type="pct"/>
            <w:tcBorders>
              <w:top w:val="nil"/>
              <w:left w:val="nil"/>
              <w:bottom w:val="nil"/>
              <w:right w:val="nil"/>
            </w:tcBorders>
            <w:vAlign w:val="center"/>
          </w:tcPr>
          <w:p w14:paraId="6E383D1F" w14:textId="77777777" w:rsidR="002D00F9" w:rsidRPr="00244CD2" w:rsidRDefault="002D00F9" w:rsidP="004B4DAE">
            <w:pPr>
              <w:widowControl w:val="0"/>
              <w:adjustRightInd w:val="0"/>
              <w:snapToGrid w:val="0"/>
              <w:spacing w:line="360" w:lineRule="auto"/>
              <w:jc w:val="both"/>
              <w:rPr>
                <w:rFonts w:ascii="Book Antiqua" w:hAnsi="Book Antiqua"/>
                <w:noProof/>
                <w:vertAlign w:val="superscript"/>
              </w:rPr>
            </w:pPr>
            <w:r w:rsidRPr="00244CD2">
              <w:rPr>
                <w:rFonts w:ascii="Book Antiqua" w:hAnsi="Book Antiqua"/>
                <w:noProof/>
              </w:rPr>
              <w:t>1721.86</w:t>
            </w:r>
            <w:r w:rsidR="005F57C0" w:rsidRPr="00244CD2">
              <w:rPr>
                <w:rFonts w:ascii="Book Antiqua" w:hAnsi="Book Antiqua"/>
                <w:noProof/>
              </w:rPr>
              <w:t xml:space="preserve"> </w:t>
            </w:r>
            <w:r w:rsidRPr="00244CD2">
              <w:rPr>
                <w:rFonts w:ascii="Book Antiqua" w:hAnsi="Book Antiqua"/>
                <w:noProof/>
              </w:rPr>
              <w:t>(352.80,</w:t>
            </w:r>
            <w:r w:rsidR="005F57C0" w:rsidRPr="00244CD2">
              <w:rPr>
                <w:rFonts w:ascii="Book Antiqua" w:hAnsi="Book Antiqua"/>
                <w:noProof/>
              </w:rPr>
              <w:t xml:space="preserve"> </w:t>
            </w:r>
            <w:r w:rsidRPr="00244CD2">
              <w:rPr>
                <w:rFonts w:ascii="Book Antiqua" w:hAnsi="Book Antiqua"/>
                <w:noProof/>
              </w:rPr>
              <w:t>2613.83)</w:t>
            </w:r>
          </w:p>
        </w:tc>
        <w:tc>
          <w:tcPr>
            <w:tcW w:w="1508" w:type="pct"/>
            <w:tcBorders>
              <w:top w:val="nil"/>
              <w:left w:val="nil"/>
              <w:bottom w:val="nil"/>
              <w:right w:val="nil"/>
            </w:tcBorders>
            <w:vAlign w:val="center"/>
          </w:tcPr>
          <w:p w14:paraId="7E8DC685"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57.16</w:t>
            </w:r>
            <w:r w:rsidR="005F57C0" w:rsidRPr="00244CD2">
              <w:rPr>
                <w:rFonts w:ascii="Book Antiqua" w:hAnsi="Book Antiqua"/>
                <w:noProof/>
              </w:rPr>
              <w:t xml:space="preserve"> </w:t>
            </w:r>
            <w:r w:rsidRPr="00244CD2">
              <w:rPr>
                <w:rFonts w:ascii="Book Antiqua" w:hAnsi="Book Antiqua"/>
                <w:noProof/>
              </w:rPr>
              <w:t>(13.76,</w:t>
            </w:r>
            <w:r w:rsidR="005F57C0" w:rsidRPr="00244CD2">
              <w:rPr>
                <w:rFonts w:ascii="Book Antiqua" w:hAnsi="Book Antiqua"/>
                <w:noProof/>
              </w:rPr>
              <w:t xml:space="preserve"> </w:t>
            </w:r>
            <w:r w:rsidRPr="00244CD2">
              <w:rPr>
                <w:rFonts w:ascii="Book Antiqua" w:hAnsi="Book Antiqua"/>
                <w:noProof/>
              </w:rPr>
              <w:t>1639.92)</w:t>
            </w:r>
          </w:p>
        </w:tc>
        <w:tc>
          <w:tcPr>
            <w:tcW w:w="633" w:type="pct"/>
            <w:tcBorders>
              <w:top w:val="nil"/>
              <w:left w:val="nil"/>
              <w:bottom w:val="nil"/>
              <w:right w:val="nil"/>
            </w:tcBorders>
            <w:vAlign w:val="center"/>
          </w:tcPr>
          <w:p w14:paraId="2005CAB0" w14:textId="77777777" w:rsidR="002D00F9" w:rsidRPr="00244CD2" w:rsidRDefault="002D00F9">
            <w:pPr>
              <w:widowControl w:val="0"/>
              <w:adjustRightInd w:val="0"/>
              <w:snapToGrid w:val="0"/>
              <w:spacing w:line="360" w:lineRule="auto"/>
              <w:jc w:val="both"/>
              <w:rPr>
                <w:rFonts w:ascii="Book Antiqua" w:hAnsi="Book Antiqua"/>
                <w:noProof/>
              </w:rPr>
            </w:pPr>
            <w:r w:rsidRPr="00244CD2">
              <w:rPr>
                <w:rFonts w:ascii="Book Antiqua" w:hAnsi="Book Antiqua"/>
                <w:noProof/>
              </w:rPr>
              <w:t>&lt;</w:t>
            </w:r>
            <w:r w:rsidR="005F57C0" w:rsidRPr="00244CD2">
              <w:rPr>
                <w:rFonts w:ascii="Book Antiqua" w:hAnsi="Book Antiqua"/>
                <w:noProof/>
              </w:rPr>
              <w:t xml:space="preserve"> </w:t>
            </w:r>
            <w:r w:rsidRPr="00244CD2">
              <w:rPr>
                <w:rFonts w:ascii="Book Antiqua" w:hAnsi="Book Antiqua"/>
                <w:noProof/>
              </w:rPr>
              <w:t>0.001</w:t>
            </w:r>
          </w:p>
        </w:tc>
      </w:tr>
      <w:tr w:rsidR="004B4DAE" w:rsidRPr="004B4DAE" w14:paraId="77C63F60" w14:textId="77777777" w:rsidTr="00244CD2">
        <w:trPr>
          <w:trHeight w:hRule="exact" w:val="922"/>
        </w:trPr>
        <w:tc>
          <w:tcPr>
            <w:tcW w:w="1277" w:type="pct"/>
            <w:tcBorders>
              <w:top w:val="nil"/>
              <w:left w:val="nil"/>
              <w:bottom w:val="nil"/>
              <w:right w:val="nil"/>
            </w:tcBorders>
            <w:vAlign w:val="center"/>
          </w:tcPr>
          <w:p w14:paraId="69045031"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DCA</w:t>
            </w:r>
          </w:p>
        </w:tc>
        <w:tc>
          <w:tcPr>
            <w:tcW w:w="1582" w:type="pct"/>
            <w:tcBorders>
              <w:top w:val="nil"/>
              <w:left w:val="nil"/>
              <w:bottom w:val="nil"/>
              <w:right w:val="nil"/>
            </w:tcBorders>
            <w:vAlign w:val="center"/>
          </w:tcPr>
          <w:p w14:paraId="65854BD4" w14:textId="77777777" w:rsidR="002D00F9" w:rsidRPr="00244CD2" w:rsidRDefault="002D00F9" w:rsidP="004B4DAE">
            <w:pPr>
              <w:widowControl w:val="0"/>
              <w:adjustRightInd w:val="0"/>
              <w:snapToGrid w:val="0"/>
              <w:spacing w:line="360" w:lineRule="auto"/>
              <w:jc w:val="both"/>
              <w:rPr>
                <w:rFonts w:ascii="Book Antiqua" w:hAnsi="Book Antiqua"/>
                <w:noProof/>
                <w:vertAlign w:val="superscript"/>
              </w:rPr>
            </w:pPr>
            <w:r w:rsidRPr="00244CD2">
              <w:rPr>
                <w:rFonts w:ascii="Book Antiqua" w:hAnsi="Book Antiqua"/>
                <w:noProof/>
              </w:rPr>
              <w:t>2012.66</w:t>
            </w:r>
            <w:r w:rsidR="005F57C0" w:rsidRPr="00244CD2">
              <w:rPr>
                <w:rFonts w:ascii="Book Antiqua" w:hAnsi="Book Antiqua"/>
                <w:noProof/>
              </w:rPr>
              <w:t xml:space="preserve"> </w:t>
            </w:r>
            <w:r w:rsidRPr="00244CD2">
              <w:rPr>
                <w:rFonts w:ascii="Book Antiqua" w:hAnsi="Book Antiqua"/>
                <w:noProof/>
              </w:rPr>
              <w:t>(232.57,</w:t>
            </w:r>
            <w:r w:rsidR="005F57C0" w:rsidRPr="00244CD2">
              <w:rPr>
                <w:rFonts w:ascii="Book Antiqua" w:hAnsi="Book Antiqua"/>
                <w:noProof/>
              </w:rPr>
              <w:t xml:space="preserve"> </w:t>
            </w:r>
            <w:r w:rsidRPr="00244CD2">
              <w:rPr>
                <w:rFonts w:ascii="Book Antiqua" w:hAnsi="Book Antiqua"/>
                <w:noProof/>
              </w:rPr>
              <w:t>2659.34)</w:t>
            </w:r>
          </w:p>
        </w:tc>
        <w:tc>
          <w:tcPr>
            <w:tcW w:w="1508" w:type="pct"/>
            <w:tcBorders>
              <w:top w:val="nil"/>
              <w:left w:val="nil"/>
              <w:bottom w:val="nil"/>
              <w:right w:val="nil"/>
            </w:tcBorders>
            <w:vAlign w:val="center"/>
          </w:tcPr>
          <w:p w14:paraId="45BAF0A9"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2159.78</w:t>
            </w:r>
            <w:r w:rsidR="005F57C0" w:rsidRPr="00244CD2">
              <w:rPr>
                <w:rFonts w:ascii="Book Antiqua" w:hAnsi="Book Antiqua"/>
                <w:noProof/>
              </w:rPr>
              <w:t xml:space="preserve"> </w:t>
            </w:r>
            <w:r w:rsidRPr="00244CD2">
              <w:rPr>
                <w:rFonts w:ascii="Book Antiqua" w:hAnsi="Book Antiqua"/>
                <w:noProof/>
              </w:rPr>
              <w:t>(1676.03,</w:t>
            </w:r>
            <w:r w:rsidR="005F57C0" w:rsidRPr="00244CD2">
              <w:rPr>
                <w:rFonts w:ascii="Book Antiqua" w:hAnsi="Book Antiqua"/>
                <w:noProof/>
              </w:rPr>
              <w:t xml:space="preserve"> </w:t>
            </w:r>
            <w:r w:rsidRPr="00244CD2">
              <w:rPr>
                <w:rFonts w:ascii="Book Antiqua" w:hAnsi="Book Antiqua"/>
                <w:noProof/>
              </w:rPr>
              <w:t>3094.08)</w:t>
            </w:r>
          </w:p>
        </w:tc>
        <w:tc>
          <w:tcPr>
            <w:tcW w:w="633" w:type="pct"/>
            <w:tcBorders>
              <w:top w:val="nil"/>
              <w:left w:val="nil"/>
              <w:bottom w:val="nil"/>
              <w:right w:val="nil"/>
            </w:tcBorders>
            <w:vAlign w:val="center"/>
          </w:tcPr>
          <w:p w14:paraId="2FAF6BC5" w14:textId="77777777" w:rsidR="002D00F9" w:rsidRPr="00244CD2" w:rsidRDefault="002D00F9">
            <w:pPr>
              <w:widowControl w:val="0"/>
              <w:adjustRightInd w:val="0"/>
              <w:snapToGrid w:val="0"/>
              <w:spacing w:line="360" w:lineRule="auto"/>
              <w:jc w:val="both"/>
              <w:rPr>
                <w:rFonts w:ascii="Book Antiqua" w:hAnsi="Book Antiqua"/>
                <w:noProof/>
              </w:rPr>
            </w:pPr>
            <w:r w:rsidRPr="00244CD2">
              <w:rPr>
                <w:rFonts w:ascii="Book Antiqua" w:hAnsi="Book Antiqua"/>
                <w:noProof/>
              </w:rPr>
              <w:t>0.084</w:t>
            </w:r>
          </w:p>
        </w:tc>
      </w:tr>
      <w:tr w:rsidR="004B4DAE" w:rsidRPr="004B4DAE" w14:paraId="58EB9103" w14:textId="77777777" w:rsidTr="00244CD2">
        <w:trPr>
          <w:trHeight w:hRule="exact" w:val="864"/>
        </w:trPr>
        <w:tc>
          <w:tcPr>
            <w:tcW w:w="1277" w:type="pct"/>
            <w:tcBorders>
              <w:top w:val="nil"/>
              <w:left w:val="nil"/>
              <w:bottom w:val="nil"/>
              <w:right w:val="nil"/>
            </w:tcBorders>
            <w:vAlign w:val="center"/>
          </w:tcPr>
          <w:p w14:paraId="0B7A4BC7"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LCA</w:t>
            </w:r>
          </w:p>
        </w:tc>
        <w:tc>
          <w:tcPr>
            <w:tcW w:w="1582" w:type="pct"/>
            <w:tcBorders>
              <w:top w:val="nil"/>
              <w:left w:val="nil"/>
              <w:bottom w:val="nil"/>
              <w:right w:val="nil"/>
            </w:tcBorders>
            <w:vAlign w:val="center"/>
          </w:tcPr>
          <w:p w14:paraId="6DB9B52E" w14:textId="77777777" w:rsidR="002D00F9" w:rsidRPr="00244CD2" w:rsidRDefault="002D00F9" w:rsidP="004B4DAE">
            <w:pPr>
              <w:widowControl w:val="0"/>
              <w:adjustRightInd w:val="0"/>
              <w:snapToGrid w:val="0"/>
              <w:spacing w:line="360" w:lineRule="auto"/>
              <w:jc w:val="both"/>
              <w:rPr>
                <w:rFonts w:ascii="Book Antiqua" w:hAnsi="Book Antiqua"/>
                <w:noProof/>
                <w:vertAlign w:val="superscript"/>
              </w:rPr>
            </w:pPr>
            <w:r w:rsidRPr="00244CD2">
              <w:rPr>
                <w:rFonts w:ascii="Book Antiqua" w:hAnsi="Book Antiqua"/>
                <w:noProof/>
              </w:rPr>
              <w:t>1621.65</w:t>
            </w:r>
            <w:r w:rsidR="005F57C0" w:rsidRPr="00244CD2">
              <w:rPr>
                <w:rFonts w:ascii="Book Antiqua" w:hAnsi="Book Antiqua"/>
                <w:noProof/>
              </w:rPr>
              <w:t xml:space="preserve"> </w:t>
            </w:r>
            <w:r w:rsidRPr="00244CD2">
              <w:rPr>
                <w:rFonts w:ascii="Book Antiqua" w:hAnsi="Book Antiqua"/>
                <w:noProof/>
              </w:rPr>
              <w:t>(58.99,</w:t>
            </w:r>
            <w:r w:rsidR="005F57C0" w:rsidRPr="00244CD2">
              <w:rPr>
                <w:rFonts w:ascii="Book Antiqua" w:hAnsi="Book Antiqua"/>
                <w:noProof/>
              </w:rPr>
              <w:t xml:space="preserve"> </w:t>
            </w:r>
            <w:r w:rsidRPr="00244CD2">
              <w:rPr>
                <w:rFonts w:ascii="Book Antiqua" w:hAnsi="Book Antiqua"/>
                <w:noProof/>
              </w:rPr>
              <w:t>2396.49)</w:t>
            </w:r>
          </w:p>
        </w:tc>
        <w:tc>
          <w:tcPr>
            <w:tcW w:w="1508" w:type="pct"/>
            <w:tcBorders>
              <w:top w:val="nil"/>
              <w:left w:val="nil"/>
              <w:bottom w:val="nil"/>
              <w:right w:val="nil"/>
            </w:tcBorders>
            <w:vAlign w:val="center"/>
          </w:tcPr>
          <w:p w14:paraId="0868A624"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2339.24</w:t>
            </w:r>
            <w:r w:rsidR="005F57C0" w:rsidRPr="00244CD2">
              <w:rPr>
                <w:rFonts w:ascii="Book Antiqua" w:hAnsi="Book Antiqua"/>
                <w:noProof/>
              </w:rPr>
              <w:t xml:space="preserve"> </w:t>
            </w:r>
            <w:r w:rsidRPr="00244CD2">
              <w:rPr>
                <w:rFonts w:ascii="Book Antiqua" w:hAnsi="Book Antiqua"/>
                <w:noProof/>
              </w:rPr>
              <w:t>(1737.09,</w:t>
            </w:r>
            <w:r w:rsidR="005F57C0" w:rsidRPr="00244CD2">
              <w:rPr>
                <w:rFonts w:ascii="Book Antiqua" w:hAnsi="Book Antiqua"/>
                <w:noProof/>
              </w:rPr>
              <w:t xml:space="preserve"> </w:t>
            </w:r>
            <w:r w:rsidRPr="00244CD2">
              <w:rPr>
                <w:rFonts w:ascii="Book Antiqua" w:hAnsi="Book Antiqua"/>
                <w:noProof/>
              </w:rPr>
              <w:t>2782.40)</w:t>
            </w:r>
          </w:p>
        </w:tc>
        <w:tc>
          <w:tcPr>
            <w:tcW w:w="633" w:type="pct"/>
            <w:tcBorders>
              <w:top w:val="nil"/>
              <w:left w:val="nil"/>
              <w:bottom w:val="nil"/>
              <w:right w:val="nil"/>
            </w:tcBorders>
            <w:vAlign w:val="center"/>
          </w:tcPr>
          <w:p w14:paraId="31BA7371" w14:textId="77777777" w:rsidR="002D00F9" w:rsidRPr="00244CD2" w:rsidRDefault="002D00F9">
            <w:pPr>
              <w:widowControl w:val="0"/>
              <w:adjustRightInd w:val="0"/>
              <w:snapToGrid w:val="0"/>
              <w:spacing w:line="360" w:lineRule="auto"/>
              <w:jc w:val="both"/>
              <w:rPr>
                <w:rFonts w:ascii="Book Antiqua" w:hAnsi="Book Antiqua"/>
                <w:noProof/>
              </w:rPr>
            </w:pPr>
            <w:r w:rsidRPr="00244CD2">
              <w:rPr>
                <w:rFonts w:ascii="Book Antiqua" w:hAnsi="Book Antiqua"/>
                <w:noProof/>
              </w:rPr>
              <w:t>0.002</w:t>
            </w:r>
          </w:p>
        </w:tc>
      </w:tr>
      <w:tr w:rsidR="004B4DAE" w:rsidRPr="004B4DAE" w14:paraId="1C1186AF" w14:textId="77777777" w:rsidTr="00244CD2">
        <w:trPr>
          <w:trHeight w:hRule="exact" w:val="567"/>
        </w:trPr>
        <w:tc>
          <w:tcPr>
            <w:tcW w:w="1277" w:type="pct"/>
            <w:tcBorders>
              <w:top w:val="nil"/>
              <w:left w:val="nil"/>
              <w:bottom w:val="nil"/>
              <w:right w:val="nil"/>
            </w:tcBorders>
            <w:vAlign w:val="center"/>
          </w:tcPr>
          <w:p w14:paraId="60270D8F"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UDCA</w:t>
            </w:r>
          </w:p>
        </w:tc>
        <w:tc>
          <w:tcPr>
            <w:tcW w:w="1582" w:type="pct"/>
            <w:tcBorders>
              <w:top w:val="nil"/>
              <w:left w:val="nil"/>
              <w:bottom w:val="nil"/>
              <w:right w:val="nil"/>
            </w:tcBorders>
            <w:vAlign w:val="center"/>
          </w:tcPr>
          <w:p w14:paraId="55400F40" w14:textId="77777777" w:rsidR="002D00F9" w:rsidRPr="00244CD2" w:rsidRDefault="002D00F9" w:rsidP="004B4DAE">
            <w:pPr>
              <w:widowControl w:val="0"/>
              <w:adjustRightInd w:val="0"/>
              <w:snapToGrid w:val="0"/>
              <w:spacing w:line="360" w:lineRule="auto"/>
              <w:jc w:val="both"/>
              <w:rPr>
                <w:rFonts w:ascii="Book Antiqua" w:hAnsi="Book Antiqua"/>
                <w:noProof/>
                <w:vertAlign w:val="superscript"/>
              </w:rPr>
            </w:pPr>
            <w:r w:rsidRPr="00244CD2">
              <w:rPr>
                <w:rFonts w:ascii="Book Antiqua" w:hAnsi="Book Antiqua"/>
                <w:noProof/>
              </w:rPr>
              <w:t>8.92</w:t>
            </w:r>
            <w:r w:rsidR="005F57C0" w:rsidRPr="00244CD2">
              <w:rPr>
                <w:rFonts w:ascii="Book Antiqua" w:hAnsi="Book Antiqua"/>
                <w:noProof/>
              </w:rPr>
              <w:t xml:space="preserve"> </w:t>
            </w:r>
            <w:r w:rsidRPr="00244CD2">
              <w:rPr>
                <w:rFonts w:ascii="Book Antiqua" w:hAnsi="Book Antiqua"/>
                <w:noProof/>
              </w:rPr>
              <w:t>(2.33,</w:t>
            </w:r>
            <w:r w:rsidR="005F57C0" w:rsidRPr="00244CD2">
              <w:rPr>
                <w:rFonts w:ascii="Book Antiqua" w:hAnsi="Book Antiqua"/>
                <w:noProof/>
              </w:rPr>
              <w:t xml:space="preserve"> </w:t>
            </w:r>
            <w:r w:rsidRPr="00244CD2">
              <w:rPr>
                <w:rFonts w:ascii="Book Antiqua" w:hAnsi="Book Antiqua"/>
                <w:noProof/>
              </w:rPr>
              <w:t>23.93)</w:t>
            </w:r>
          </w:p>
        </w:tc>
        <w:tc>
          <w:tcPr>
            <w:tcW w:w="1508" w:type="pct"/>
            <w:tcBorders>
              <w:top w:val="nil"/>
              <w:left w:val="nil"/>
              <w:bottom w:val="nil"/>
              <w:right w:val="nil"/>
            </w:tcBorders>
            <w:vAlign w:val="center"/>
          </w:tcPr>
          <w:p w14:paraId="1595DE19"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17.21</w:t>
            </w:r>
            <w:r w:rsidR="005F57C0" w:rsidRPr="00244CD2">
              <w:rPr>
                <w:rFonts w:ascii="Book Antiqua" w:hAnsi="Book Antiqua"/>
                <w:noProof/>
              </w:rPr>
              <w:t xml:space="preserve"> </w:t>
            </w:r>
            <w:r w:rsidRPr="00244CD2">
              <w:rPr>
                <w:rFonts w:ascii="Book Antiqua" w:hAnsi="Book Antiqua"/>
                <w:noProof/>
              </w:rPr>
              <w:t>(8.76,</w:t>
            </w:r>
            <w:r w:rsidR="005F57C0" w:rsidRPr="00244CD2">
              <w:rPr>
                <w:rFonts w:ascii="Book Antiqua" w:hAnsi="Book Antiqua"/>
                <w:noProof/>
              </w:rPr>
              <w:t xml:space="preserve"> </w:t>
            </w:r>
            <w:r w:rsidRPr="00244CD2">
              <w:rPr>
                <w:rFonts w:ascii="Book Antiqua" w:hAnsi="Book Antiqua"/>
                <w:noProof/>
              </w:rPr>
              <w:t>33.48)</w:t>
            </w:r>
          </w:p>
        </w:tc>
        <w:tc>
          <w:tcPr>
            <w:tcW w:w="633" w:type="pct"/>
            <w:tcBorders>
              <w:top w:val="nil"/>
              <w:left w:val="nil"/>
              <w:bottom w:val="nil"/>
              <w:right w:val="nil"/>
            </w:tcBorders>
            <w:vAlign w:val="center"/>
          </w:tcPr>
          <w:p w14:paraId="31762260" w14:textId="77777777" w:rsidR="002D00F9" w:rsidRPr="00244CD2" w:rsidRDefault="002D00F9">
            <w:pPr>
              <w:widowControl w:val="0"/>
              <w:adjustRightInd w:val="0"/>
              <w:snapToGrid w:val="0"/>
              <w:spacing w:line="360" w:lineRule="auto"/>
              <w:jc w:val="both"/>
              <w:rPr>
                <w:rFonts w:ascii="Book Antiqua" w:hAnsi="Book Antiqua"/>
                <w:noProof/>
              </w:rPr>
            </w:pPr>
            <w:r w:rsidRPr="00244CD2">
              <w:rPr>
                <w:rFonts w:ascii="Book Antiqua" w:hAnsi="Book Antiqua"/>
                <w:noProof/>
              </w:rPr>
              <w:t>0.025</w:t>
            </w:r>
          </w:p>
        </w:tc>
      </w:tr>
      <w:tr w:rsidR="004B4DAE" w:rsidRPr="004B4DAE" w14:paraId="2638F272" w14:textId="77777777" w:rsidTr="00244CD2">
        <w:trPr>
          <w:trHeight w:hRule="exact" w:val="567"/>
        </w:trPr>
        <w:tc>
          <w:tcPr>
            <w:tcW w:w="1277" w:type="pct"/>
            <w:tcBorders>
              <w:top w:val="nil"/>
              <w:left w:val="nil"/>
              <w:bottom w:val="nil"/>
              <w:right w:val="nil"/>
            </w:tcBorders>
            <w:vAlign w:val="center"/>
          </w:tcPr>
          <w:p w14:paraId="676897D3"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TCA</w:t>
            </w:r>
          </w:p>
        </w:tc>
        <w:tc>
          <w:tcPr>
            <w:tcW w:w="1582" w:type="pct"/>
            <w:tcBorders>
              <w:top w:val="nil"/>
              <w:left w:val="nil"/>
              <w:bottom w:val="nil"/>
              <w:right w:val="nil"/>
            </w:tcBorders>
            <w:vAlign w:val="center"/>
          </w:tcPr>
          <w:p w14:paraId="329578F5"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5.36</w:t>
            </w:r>
            <w:r w:rsidR="005F57C0" w:rsidRPr="00244CD2">
              <w:rPr>
                <w:rFonts w:ascii="Book Antiqua" w:hAnsi="Book Antiqua"/>
                <w:noProof/>
              </w:rPr>
              <w:t xml:space="preserve"> </w:t>
            </w:r>
            <w:r w:rsidRPr="00244CD2">
              <w:rPr>
                <w:rFonts w:ascii="Book Antiqua" w:hAnsi="Book Antiqua"/>
                <w:noProof/>
              </w:rPr>
              <w:t>(0.62,</w:t>
            </w:r>
            <w:r w:rsidR="005F57C0" w:rsidRPr="00244CD2">
              <w:rPr>
                <w:rFonts w:ascii="Book Antiqua" w:hAnsi="Book Antiqua"/>
                <w:noProof/>
              </w:rPr>
              <w:t xml:space="preserve"> </w:t>
            </w:r>
            <w:r w:rsidRPr="00244CD2">
              <w:rPr>
                <w:rFonts w:ascii="Book Antiqua" w:hAnsi="Book Antiqua"/>
                <w:noProof/>
              </w:rPr>
              <w:t>26.39)</w:t>
            </w:r>
          </w:p>
        </w:tc>
        <w:tc>
          <w:tcPr>
            <w:tcW w:w="1508" w:type="pct"/>
            <w:tcBorders>
              <w:top w:val="nil"/>
              <w:left w:val="nil"/>
              <w:bottom w:val="nil"/>
              <w:right w:val="nil"/>
            </w:tcBorders>
            <w:vAlign w:val="center"/>
          </w:tcPr>
          <w:p w14:paraId="2B4E19C9"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0.72</w:t>
            </w:r>
            <w:r w:rsidR="005F57C0" w:rsidRPr="00244CD2">
              <w:rPr>
                <w:rFonts w:ascii="Book Antiqua" w:hAnsi="Book Antiqua"/>
                <w:noProof/>
              </w:rPr>
              <w:t xml:space="preserve"> </w:t>
            </w:r>
            <w:r w:rsidRPr="00244CD2">
              <w:rPr>
                <w:rFonts w:ascii="Book Antiqua" w:hAnsi="Book Antiqua"/>
                <w:noProof/>
              </w:rPr>
              <w:t>(0.46,</w:t>
            </w:r>
            <w:r w:rsidR="005F57C0" w:rsidRPr="00244CD2">
              <w:rPr>
                <w:rFonts w:ascii="Book Antiqua" w:hAnsi="Book Antiqua"/>
                <w:noProof/>
              </w:rPr>
              <w:t xml:space="preserve"> </w:t>
            </w:r>
            <w:r w:rsidRPr="00244CD2">
              <w:rPr>
                <w:rFonts w:ascii="Book Antiqua" w:hAnsi="Book Antiqua"/>
                <w:noProof/>
              </w:rPr>
              <w:t>2.11)</w:t>
            </w:r>
          </w:p>
        </w:tc>
        <w:tc>
          <w:tcPr>
            <w:tcW w:w="633" w:type="pct"/>
            <w:tcBorders>
              <w:top w:val="nil"/>
              <w:left w:val="nil"/>
              <w:bottom w:val="nil"/>
              <w:right w:val="nil"/>
            </w:tcBorders>
            <w:vAlign w:val="center"/>
          </w:tcPr>
          <w:p w14:paraId="6E3FF222" w14:textId="77777777" w:rsidR="002D00F9" w:rsidRPr="00244CD2" w:rsidRDefault="002D00F9">
            <w:pPr>
              <w:widowControl w:val="0"/>
              <w:adjustRightInd w:val="0"/>
              <w:snapToGrid w:val="0"/>
              <w:spacing w:line="360" w:lineRule="auto"/>
              <w:jc w:val="both"/>
              <w:rPr>
                <w:rFonts w:ascii="Book Antiqua" w:hAnsi="Book Antiqua"/>
                <w:noProof/>
              </w:rPr>
            </w:pPr>
            <w:r w:rsidRPr="00244CD2">
              <w:rPr>
                <w:rFonts w:ascii="Book Antiqua" w:hAnsi="Book Antiqua"/>
                <w:noProof/>
              </w:rPr>
              <w:t>0.004</w:t>
            </w:r>
          </w:p>
        </w:tc>
      </w:tr>
      <w:tr w:rsidR="004B4DAE" w:rsidRPr="004B4DAE" w14:paraId="77324BBF" w14:textId="77777777" w:rsidTr="00244CD2">
        <w:trPr>
          <w:trHeight w:hRule="exact" w:val="567"/>
        </w:trPr>
        <w:tc>
          <w:tcPr>
            <w:tcW w:w="1277" w:type="pct"/>
            <w:tcBorders>
              <w:top w:val="nil"/>
              <w:left w:val="nil"/>
              <w:bottom w:val="nil"/>
              <w:right w:val="nil"/>
            </w:tcBorders>
            <w:vAlign w:val="center"/>
          </w:tcPr>
          <w:p w14:paraId="71B9CF0F"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TCDCA</w:t>
            </w:r>
          </w:p>
        </w:tc>
        <w:tc>
          <w:tcPr>
            <w:tcW w:w="1582" w:type="pct"/>
            <w:tcBorders>
              <w:top w:val="nil"/>
              <w:left w:val="nil"/>
              <w:bottom w:val="nil"/>
              <w:right w:val="nil"/>
            </w:tcBorders>
            <w:vAlign w:val="center"/>
          </w:tcPr>
          <w:p w14:paraId="004975E1"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6.85</w:t>
            </w:r>
            <w:r w:rsidR="005F57C0" w:rsidRPr="00244CD2">
              <w:rPr>
                <w:rFonts w:ascii="Book Antiqua" w:hAnsi="Book Antiqua"/>
                <w:noProof/>
              </w:rPr>
              <w:t xml:space="preserve"> </w:t>
            </w:r>
            <w:r w:rsidRPr="00244CD2">
              <w:rPr>
                <w:rFonts w:ascii="Book Antiqua" w:hAnsi="Book Antiqua"/>
                <w:noProof/>
              </w:rPr>
              <w:t>(1.54,</w:t>
            </w:r>
            <w:r w:rsidR="005F57C0" w:rsidRPr="00244CD2">
              <w:rPr>
                <w:rFonts w:ascii="Book Antiqua" w:hAnsi="Book Antiqua"/>
                <w:noProof/>
              </w:rPr>
              <w:t xml:space="preserve"> </w:t>
            </w:r>
            <w:r w:rsidRPr="00244CD2">
              <w:rPr>
                <w:rFonts w:ascii="Book Antiqua" w:hAnsi="Book Antiqua"/>
                <w:noProof/>
              </w:rPr>
              <w:t>22.89)</w:t>
            </w:r>
          </w:p>
        </w:tc>
        <w:tc>
          <w:tcPr>
            <w:tcW w:w="1508" w:type="pct"/>
            <w:tcBorders>
              <w:top w:val="nil"/>
              <w:left w:val="nil"/>
              <w:bottom w:val="nil"/>
              <w:right w:val="nil"/>
            </w:tcBorders>
            <w:vAlign w:val="center"/>
          </w:tcPr>
          <w:p w14:paraId="1D3BDCEE"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1.41</w:t>
            </w:r>
            <w:r w:rsidR="005F57C0" w:rsidRPr="00244CD2">
              <w:rPr>
                <w:rFonts w:ascii="Book Antiqua" w:hAnsi="Book Antiqua"/>
                <w:noProof/>
              </w:rPr>
              <w:t xml:space="preserve"> </w:t>
            </w:r>
            <w:r w:rsidRPr="00244CD2">
              <w:rPr>
                <w:rFonts w:ascii="Book Antiqua" w:hAnsi="Book Antiqua"/>
                <w:noProof/>
              </w:rPr>
              <w:t>(0.37,</w:t>
            </w:r>
            <w:r w:rsidR="005F57C0" w:rsidRPr="00244CD2">
              <w:rPr>
                <w:rFonts w:ascii="Book Antiqua" w:hAnsi="Book Antiqua"/>
                <w:noProof/>
              </w:rPr>
              <w:t xml:space="preserve"> </w:t>
            </w:r>
            <w:r w:rsidRPr="00244CD2">
              <w:rPr>
                <w:rFonts w:ascii="Book Antiqua" w:hAnsi="Book Antiqua"/>
                <w:noProof/>
              </w:rPr>
              <w:t>3.58)</w:t>
            </w:r>
          </w:p>
        </w:tc>
        <w:tc>
          <w:tcPr>
            <w:tcW w:w="633" w:type="pct"/>
            <w:tcBorders>
              <w:top w:val="nil"/>
              <w:left w:val="nil"/>
              <w:bottom w:val="nil"/>
              <w:right w:val="nil"/>
            </w:tcBorders>
            <w:vAlign w:val="center"/>
          </w:tcPr>
          <w:p w14:paraId="1C97660A" w14:textId="77777777" w:rsidR="002D00F9" w:rsidRPr="00244CD2" w:rsidRDefault="002D00F9">
            <w:pPr>
              <w:widowControl w:val="0"/>
              <w:adjustRightInd w:val="0"/>
              <w:snapToGrid w:val="0"/>
              <w:spacing w:line="360" w:lineRule="auto"/>
              <w:jc w:val="both"/>
              <w:rPr>
                <w:rFonts w:ascii="Book Antiqua" w:hAnsi="Book Antiqua"/>
                <w:noProof/>
              </w:rPr>
            </w:pPr>
            <w:r w:rsidRPr="00244CD2">
              <w:rPr>
                <w:rFonts w:ascii="Book Antiqua" w:hAnsi="Book Antiqua"/>
                <w:noProof/>
              </w:rPr>
              <w:t>0.001</w:t>
            </w:r>
          </w:p>
        </w:tc>
      </w:tr>
      <w:tr w:rsidR="004B4DAE" w:rsidRPr="004B4DAE" w14:paraId="2473E8A5" w14:textId="77777777" w:rsidTr="00244CD2">
        <w:trPr>
          <w:trHeight w:hRule="exact" w:val="567"/>
        </w:trPr>
        <w:tc>
          <w:tcPr>
            <w:tcW w:w="1277" w:type="pct"/>
            <w:tcBorders>
              <w:top w:val="nil"/>
              <w:left w:val="nil"/>
              <w:bottom w:val="nil"/>
              <w:right w:val="nil"/>
            </w:tcBorders>
            <w:vAlign w:val="center"/>
          </w:tcPr>
          <w:p w14:paraId="5F90CE7A"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TDCA</w:t>
            </w:r>
          </w:p>
        </w:tc>
        <w:tc>
          <w:tcPr>
            <w:tcW w:w="1582" w:type="pct"/>
            <w:tcBorders>
              <w:top w:val="nil"/>
              <w:left w:val="nil"/>
              <w:bottom w:val="nil"/>
              <w:right w:val="nil"/>
            </w:tcBorders>
          </w:tcPr>
          <w:p w14:paraId="514E1455"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1.53</w:t>
            </w:r>
            <w:r w:rsidR="005F57C0" w:rsidRPr="00244CD2">
              <w:rPr>
                <w:rFonts w:ascii="Book Antiqua" w:hAnsi="Book Antiqua"/>
                <w:noProof/>
              </w:rPr>
              <w:t xml:space="preserve"> </w:t>
            </w:r>
            <w:r w:rsidRPr="00244CD2">
              <w:rPr>
                <w:rFonts w:ascii="Book Antiqua" w:hAnsi="Book Antiqua"/>
                <w:noProof/>
              </w:rPr>
              <w:t>(0.93,</w:t>
            </w:r>
            <w:r w:rsidR="005F57C0" w:rsidRPr="00244CD2">
              <w:rPr>
                <w:rFonts w:ascii="Book Antiqua" w:hAnsi="Book Antiqua"/>
                <w:noProof/>
              </w:rPr>
              <w:t xml:space="preserve"> </w:t>
            </w:r>
            <w:r w:rsidRPr="00244CD2">
              <w:rPr>
                <w:rFonts w:ascii="Book Antiqua" w:hAnsi="Book Antiqua"/>
                <w:noProof/>
              </w:rPr>
              <w:t>8.08)</w:t>
            </w:r>
          </w:p>
        </w:tc>
        <w:tc>
          <w:tcPr>
            <w:tcW w:w="1508" w:type="pct"/>
            <w:tcBorders>
              <w:top w:val="nil"/>
              <w:left w:val="nil"/>
              <w:bottom w:val="nil"/>
              <w:right w:val="nil"/>
            </w:tcBorders>
          </w:tcPr>
          <w:p w14:paraId="3B6EDDF1"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1.75</w:t>
            </w:r>
            <w:r w:rsidR="005F57C0" w:rsidRPr="00244CD2">
              <w:rPr>
                <w:rFonts w:ascii="Book Antiqua" w:hAnsi="Book Antiqua"/>
                <w:noProof/>
              </w:rPr>
              <w:t xml:space="preserve"> </w:t>
            </w:r>
            <w:r w:rsidRPr="00244CD2">
              <w:rPr>
                <w:rFonts w:ascii="Book Antiqua" w:hAnsi="Book Antiqua"/>
                <w:noProof/>
              </w:rPr>
              <w:t>(0.86,</w:t>
            </w:r>
            <w:r w:rsidR="005F57C0" w:rsidRPr="00244CD2">
              <w:rPr>
                <w:rFonts w:ascii="Book Antiqua" w:hAnsi="Book Antiqua"/>
                <w:noProof/>
              </w:rPr>
              <w:t xml:space="preserve"> </w:t>
            </w:r>
            <w:r w:rsidRPr="00244CD2">
              <w:rPr>
                <w:rFonts w:ascii="Book Antiqua" w:hAnsi="Book Antiqua"/>
                <w:noProof/>
              </w:rPr>
              <w:t>6.63)</w:t>
            </w:r>
          </w:p>
        </w:tc>
        <w:tc>
          <w:tcPr>
            <w:tcW w:w="633" w:type="pct"/>
            <w:tcBorders>
              <w:top w:val="nil"/>
              <w:left w:val="nil"/>
              <w:bottom w:val="nil"/>
              <w:right w:val="nil"/>
            </w:tcBorders>
          </w:tcPr>
          <w:p w14:paraId="274530F5" w14:textId="77777777" w:rsidR="002D00F9" w:rsidRPr="00244CD2" w:rsidRDefault="002D00F9">
            <w:pPr>
              <w:widowControl w:val="0"/>
              <w:adjustRightInd w:val="0"/>
              <w:snapToGrid w:val="0"/>
              <w:spacing w:line="360" w:lineRule="auto"/>
              <w:jc w:val="both"/>
              <w:rPr>
                <w:rFonts w:ascii="Book Antiqua" w:hAnsi="Book Antiqua"/>
                <w:noProof/>
              </w:rPr>
            </w:pPr>
            <w:r w:rsidRPr="00244CD2">
              <w:rPr>
                <w:rFonts w:ascii="Book Antiqua" w:hAnsi="Book Antiqua"/>
                <w:noProof/>
              </w:rPr>
              <w:t>1.000</w:t>
            </w:r>
          </w:p>
        </w:tc>
      </w:tr>
      <w:tr w:rsidR="004B4DAE" w:rsidRPr="004B4DAE" w14:paraId="5F28F231" w14:textId="77777777" w:rsidTr="00244CD2">
        <w:trPr>
          <w:trHeight w:hRule="exact" w:val="567"/>
        </w:trPr>
        <w:tc>
          <w:tcPr>
            <w:tcW w:w="1277" w:type="pct"/>
            <w:tcBorders>
              <w:top w:val="nil"/>
              <w:left w:val="nil"/>
              <w:bottom w:val="nil"/>
              <w:right w:val="nil"/>
            </w:tcBorders>
            <w:vAlign w:val="center"/>
          </w:tcPr>
          <w:p w14:paraId="0DB0B9EB"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TLCA</w:t>
            </w:r>
          </w:p>
        </w:tc>
        <w:tc>
          <w:tcPr>
            <w:tcW w:w="1582" w:type="pct"/>
            <w:tcBorders>
              <w:top w:val="nil"/>
              <w:left w:val="nil"/>
              <w:bottom w:val="nil"/>
              <w:right w:val="nil"/>
            </w:tcBorders>
            <w:vAlign w:val="center"/>
          </w:tcPr>
          <w:p w14:paraId="4FD913C8"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0.88</w:t>
            </w:r>
            <w:r w:rsidR="005F57C0" w:rsidRPr="00244CD2">
              <w:rPr>
                <w:rFonts w:ascii="Book Antiqua" w:hAnsi="Book Antiqua"/>
                <w:noProof/>
              </w:rPr>
              <w:t xml:space="preserve"> </w:t>
            </w:r>
            <w:r w:rsidRPr="00244CD2">
              <w:rPr>
                <w:rFonts w:ascii="Book Antiqua" w:hAnsi="Book Antiqua"/>
                <w:noProof/>
              </w:rPr>
              <w:t>(0.57,</w:t>
            </w:r>
            <w:r w:rsidR="005F57C0" w:rsidRPr="00244CD2">
              <w:rPr>
                <w:rFonts w:ascii="Book Antiqua" w:hAnsi="Book Antiqua"/>
                <w:noProof/>
              </w:rPr>
              <w:t xml:space="preserve"> </w:t>
            </w:r>
            <w:r w:rsidRPr="00244CD2">
              <w:rPr>
                <w:rFonts w:ascii="Book Antiqua" w:hAnsi="Book Antiqua"/>
                <w:noProof/>
              </w:rPr>
              <w:t>1.85)</w:t>
            </w:r>
          </w:p>
        </w:tc>
        <w:tc>
          <w:tcPr>
            <w:tcW w:w="1508" w:type="pct"/>
            <w:tcBorders>
              <w:top w:val="nil"/>
              <w:left w:val="nil"/>
              <w:bottom w:val="nil"/>
              <w:right w:val="nil"/>
            </w:tcBorders>
            <w:vAlign w:val="center"/>
          </w:tcPr>
          <w:p w14:paraId="55D8CE53"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1.03</w:t>
            </w:r>
            <w:r w:rsidR="005F57C0" w:rsidRPr="00244CD2">
              <w:rPr>
                <w:rFonts w:ascii="Book Antiqua" w:hAnsi="Book Antiqua"/>
                <w:noProof/>
              </w:rPr>
              <w:t xml:space="preserve"> </w:t>
            </w:r>
            <w:r w:rsidRPr="00244CD2">
              <w:rPr>
                <w:rFonts w:ascii="Book Antiqua" w:hAnsi="Book Antiqua"/>
                <w:noProof/>
              </w:rPr>
              <w:t>(0.36,</w:t>
            </w:r>
            <w:r w:rsidR="005F57C0" w:rsidRPr="00244CD2">
              <w:rPr>
                <w:rFonts w:ascii="Book Antiqua" w:hAnsi="Book Antiqua"/>
                <w:noProof/>
              </w:rPr>
              <w:t xml:space="preserve"> </w:t>
            </w:r>
            <w:r w:rsidRPr="00244CD2">
              <w:rPr>
                <w:rFonts w:ascii="Book Antiqua" w:hAnsi="Book Antiqua"/>
                <w:noProof/>
              </w:rPr>
              <w:t>2.80)</w:t>
            </w:r>
          </w:p>
        </w:tc>
        <w:tc>
          <w:tcPr>
            <w:tcW w:w="633" w:type="pct"/>
            <w:tcBorders>
              <w:top w:val="nil"/>
              <w:left w:val="nil"/>
              <w:bottom w:val="nil"/>
              <w:right w:val="nil"/>
            </w:tcBorders>
            <w:vAlign w:val="center"/>
          </w:tcPr>
          <w:p w14:paraId="79702ADA" w14:textId="77777777" w:rsidR="002D00F9" w:rsidRPr="00244CD2" w:rsidRDefault="002D00F9">
            <w:pPr>
              <w:widowControl w:val="0"/>
              <w:adjustRightInd w:val="0"/>
              <w:snapToGrid w:val="0"/>
              <w:spacing w:line="360" w:lineRule="auto"/>
              <w:jc w:val="both"/>
              <w:rPr>
                <w:rFonts w:ascii="Book Antiqua" w:hAnsi="Book Antiqua"/>
                <w:noProof/>
              </w:rPr>
            </w:pPr>
            <w:r w:rsidRPr="00244CD2">
              <w:rPr>
                <w:rFonts w:ascii="Book Antiqua" w:hAnsi="Book Antiqua"/>
                <w:noProof/>
              </w:rPr>
              <w:t>0.908</w:t>
            </w:r>
          </w:p>
        </w:tc>
      </w:tr>
      <w:tr w:rsidR="004B4DAE" w:rsidRPr="004B4DAE" w14:paraId="661F15AF" w14:textId="77777777" w:rsidTr="00244CD2">
        <w:trPr>
          <w:trHeight w:hRule="exact" w:val="567"/>
        </w:trPr>
        <w:tc>
          <w:tcPr>
            <w:tcW w:w="1277" w:type="pct"/>
            <w:tcBorders>
              <w:top w:val="nil"/>
              <w:left w:val="nil"/>
              <w:bottom w:val="nil"/>
              <w:right w:val="nil"/>
            </w:tcBorders>
            <w:vAlign w:val="center"/>
          </w:tcPr>
          <w:p w14:paraId="40E02B86"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TUDCA</w:t>
            </w:r>
          </w:p>
        </w:tc>
        <w:tc>
          <w:tcPr>
            <w:tcW w:w="1582" w:type="pct"/>
            <w:tcBorders>
              <w:top w:val="nil"/>
              <w:left w:val="nil"/>
              <w:bottom w:val="nil"/>
              <w:right w:val="nil"/>
            </w:tcBorders>
            <w:vAlign w:val="center"/>
          </w:tcPr>
          <w:p w14:paraId="72F298D5"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1.43</w:t>
            </w:r>
            <w:r w:rsidR="005F57C0" w:rsidRPr="00244CD2">
              <w:rPr>
                <w:rFonts w:ascii="Book Antiqua" w:hAnsi="Book Antiqua"/>
                <w:noProof/>
              </w:rPr>
              <w:t xml:space="preserve"> </w:t>
            </w:r>
            <w:r w:rsidRPr="00244CD2">
              <w:rPr>
                <w:rFonts w:ascii="Book Antiqua" w:hAnsi="Book Antiqua"/>
                <w:noProof/>
              </w:rPr>
              <w:t>(0.68,</w:t>
            </w:r>
            <w:r w:rsidR="005F57C0" w:rsidRPr="00244CD2">
              <w:rPr>
                <w:rFonts w:ascii="Book Antiqua" w:hAnsi="Book Antiqua"/>
                <w:noProof/>
              </w:rPr>
              <w:t xml:space="preserve"> </w:t>
            </w:r>
            <w:r w:rsidRPr="00244CD2">
              <w:rPr>
                <w:rFonts w:ascii="Book Antiqua" w:hAnsi="Book Antiqua"/>
                <w:noProof/>
              </w:rPr>
              <w:t>2.61)</w:t>
            </w:r>
          </w:p>
        </w:tc>
        <w:tc>
          <w:tcPr>
            <w:tcW w:w="1508" w:type="pct"/>
            <w:tcBorders>
              <w:top w:val="nil"/>
              <w:left w:val="nil"/>
              <w:bottom w:val="nil"/>
              <w:right w:val="nil"/>
            </w:tcBorders>
            <w:vAlign w:val="center"/>
          </w:tcPr>
          <w:p w14:paraId="5FDE0575"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0.37</w:t>
            </w:r>
            <w:r w:rsidR="005F57C0" w:rsidRPr="00244CD2">
              <w:rPr>
                <w:rFonts w:ascii="Book Antiqua" w:hAnsi="Book Antiqua"/>
                <w:noProof/>
              </w:rPr>
              <w:t xml:space="preserve"> </w:t>
            </w:r>
            <w:r w:rsidRPr="00244CD2">
              <w:rPr>
                <w:rFonts w:ascii="Book Antiqua" w:hAnsi="Book Antiqua"/>
                <w:noProof/>
              </w:rPr>
              <w:t>(0.07,</w:t>
            </w:r>
            <w:r w:rsidR="005F57C0" w:rsidRPr="00244CD2">
              <w:rPr>
                <w:rFonts w:ascii="Book Antiqua" w:hAnsi="Book Antiqua"/>
                <w:noProof/>
              </w:rPr>
              <w:t xml:space="preserve"> </w:t>
            </w:r>
            <w:r w:rsidRPr="00244CD2">
              <w:rPr>
                <w:rFonts w:ascii="Book Antiqua" w:hAnsi="Book Antiqua"/>
                <w:noProof/>
              </w:rPr>
              <w:t>1.23)</w:t>
            </w:r>
          </w:p>
        </w:tc>
        <w:tc>
          <w:tcPr>
            <w:tcW w:w="633" w:type="pct"/>
            <w:tcBorders>
              <w:top w:val="nil"/>
              <w:left w:val="nil"/>
              <w:bottom w:val="nil"/>
              <w:right w:val="nil"/>
            </w:tcBorders>
            <w:vAlign w:val="center"/>
          </w:tcPr>
          <w:p w14:paraId="638450DD" w14:textId="77777777" w:rsidR="002D00F9" w:rsidRPr="00244CD2" w:rsidRDefault="002D00F9">
            <w:pPr>
              <w:widowControl w:val="0"/>
              <w:adjustRightInd w:val="0"/>
              <w:snapToGrid w:val="0"/>
              <w:spacing w:line="360" w:lineRule="auto"/>
              <w:jc w:val="both"/>
              <w:rPr>
                <w:rFonts w:ascii="Book Antiqua" w:hAnsi="Book Antiqua"/>
                <w:noProof/>
              </w:rPr>
            </w:pPr>
            <w:r w:rsidRPr="00244CD2">
              <w:rPr>
                <w:rFonts w:ascii="Book Antiqua" w:hAnsi="Book Antiqua"/>
                <w:noProof/>
              </w:rPr>
              <w:t>0.002</w:t>
            </w:r>
          </w:p>
        </w:tc>
      </w:tr>
      <w:tr w:rsidR="004B4DAE" w:rsidRPr="004B4DAE" w14:paraId="081B48B3" w14:textId="77777777" w:rsidTr="00244CD2">
        <w:trPr>
          <w:trHeight w:hRule="exact" w:val="567"/>
        </w:trPr>
        <w:tc>
          <w:tcPr>
            <w:tcW w:w="1277" w:type="pct"/>
            <w:tcBorders>
              <w:top w:val="nil"/>
              <w:left w:val="nil"/>
              <w:bottom w:val="nil"/>
              <w:right w:val="nil"/>
            </w:tcBorders>
            <w:vAlign w:val="center"/>
          </w:tcPr>
          <w:p w14:paraId="518FCDE3"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GCA</w:t>
            </w:r>
          </w:p>
        </w:tc>
        <w:tc>
          <w:tcPr>
            <w:tcW w:w="1582" w:type="pct"/>
            <w:tcBorders>
              <w:top w:val="nil"/>
              <w:left w:val="nil"/>
              <w:bottom w:val="nil"/>
              <w:right w:val="nil"/>
            </w:tcBorders>
            <w:vAlign w:val="center"/>
          </w:tcPr>
          <w:p w14:paraId="14DA6C36"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4.36</w:t>
            </w:r>
            <w:r w:rsidR="005F57C0" w:rsidRPr="00244CD2">
              <w:rPr>
                <w:rFonts w:ascii="Book Antiqua" w:hAnsi="Book Antiqua"/>
                <w:noProof/>
              </w:rPr>
              <w:t xml:space="preserve"> </w:t>
            </w:r>
            <w:r w:rsidRPr="00244CD2">
              <w:rPr>
                <w:rFonts w:ascii="Book Antiqua" w:hAnsi="Book Antiqua"/>
                <w:noProof/>
              </w:rPr>
              <w:t>(2.31,</w:t>
            </w:r>
            <w:r w:rsidR="005F57C0" w:rsidRPr="00244CD2">
              <w:rPr>
                <w:rFonts w:ascii="Book Antiqua" w:hAnsi="Book Antiqua"/>
                <w:noProof/>
              </w:rPr>
              <w:t xml:space="preserve"> </w:t>
            </w:r>
            <w:r w:rsidRPr="00244CD2">
              <w:rPr>
                <w:rFonts w:ascii="Book Antiqua" w:hAnsi="Book Antiqua"/>
                <w:noProof/>
              </w:rPr>
              <w:t>17.52)</w:t>
            </w:r>
          </w:p>
        </w:tc>
        <w:tc>
          <w:tcPr>
            <w:tcW w:w="1508" w:type="pct"/>
            <w:tcBorders>
              <w:top w:val="nil"/>
              <w:left w:val="nil"/>
              <w:bottom w:val="nil"/>
              <w:right w:val="nil"/>
            </w:tcBorders>
            <w:vAlign w:val="center"/>
          </w:tcPr>
          <w:p w14:paraId="1A7618EE"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2.23</w:t>
            </w:r>
            <w:r w:rsidR="005F57C0" w:rsidRPr="00244CD2">
              <w:rPr>
                <w:rFonts w:ascii="Book Antiqua" w:hAnsi="Book Antiqua"/>
                <w:noProof/>
              </w:rPr>
              <w:t xml:space="preserve"> </w:t>
            </w:r>
            <w:r w:rsidRPr="00244CD2">
              <w:rPr>
                <w:rFonts w:ascii="Book Antiqua" w:hAnsi="Book Antiqua"/>
                <w:noProof/>
              </w:rPr>
              <w:t>(1.39,</w:t>
            </w:r>
            <w:r w:rsidR="005F57C0" w:rsidRPr="00244CD2">
              <w:rPr>
                <w:rFonts w:ascii="Book Antiqua" w:hAnsi="Book Antiqua"/>
                <w:noProof/>
              </w:rPr>
              <w:t xml:space="preserve"> </w:t>
            </w:r>
            <w:r w:rsidRPr="00244CD2">
              <w:rPr>
                <w:rFonts w:ascii="Book Antiqua" w:hAnsi="Book Antiqua"/>
                <w:noProof/>
              </w:rPr>
              <w:t>3.55)</w:t>
            </w:r>
          </w:p>
        </w:tc>
        <w:tc>
          <w:tcPr>
            <w:tcW w:w="633" w:type="pct"/>
            <w:tcBorders>
              <w:top w:val="nil"/>
              <w:left w:val="nil"/>
              <w:bottom w:val="nil"/>
              <w:right w:val="nil"/>
            </w:tcBorders>
            <w:vAlign w:val="center"/>
          </w:tcPr>
          <w:p w14:paraId="3FA7169D" w14:textId="77777777" w:rsidR="002D00F9" w:rsidRPr="00244CD2" w:rsidRDefault="002D00F9">
            <w:pPr>
              <w:widowControl w:val="0"/>
              <w:adjustRightInd w:val="0"/>
              <w:snapToGrid w:val="0"/>
              <w:spacing w:line="360" w:lineRule="auto"/>
              <w:jc w:val="both"/>
              <w:rPr>
                <w:rFonts w:ascii="Book Antiqua" w:hAnsi="Book Antiqua"/>
                <w:noProof/>
              </w:rPr>
            </w:pPr>
            <w:r w:rsidRPr="00244CD2">
              <w:rPr>
                <w:rFonts w:ascii="Book Antiqua" w:hAnsi="Book Antiqua"/>
                <w:noProof/>
              </w:rPr>
              <w:t>&lt;</w:t>
            </w:r>
            <w:r w:rsidR="005F57C0" w:rsidRPr="00244CD2">
              <w:rPr>
                <w:rFonts w:ascii="Book Antiqua" w:hAnsi="Book Antiqua"/>
                <w:noProof/>
              </w:rPr>
              <w:t xml:space="preserve"> </w:t>
            </w:r>
            <w:r w:rsidRPr="00244CD2">
              <w:rPr>
                <w:rFonts w:ascii="Book Antiqua" w:hAnsi="Book Antiqua"/>
                <w:noProof/>
              </w:rPr>
              <w:t>0.001</w:t>
            </w:r>
          </w:p>
        </w:tc>
      </w:tr>
      <w:tr w:rsidR="004B4DAE" w:rsidRPr="004B4DAE" w14:paraId="1E61EE13" w14:textId="77777777" w:rsidTr="00244CD2">
        <w:trPr>
          <w:trHeight w:hRule="exact" w:val="567"/>
        </w:trPr>
        <w:tc>
          <w:tcPr>
            <w:tcW w:w="1277" w:type="pct"/>
            <w:tcBorders>
              <w:top w:val="nil"/>
              <w:left w:val="nil"/>
              <w:bottom w:val="nil"/>
              <w:right w:val="nil"/>
            </w:tcBorders>
            <w:vAlign w:val="center"/>
          </w:tcPr>
          <w:p w14:paraId="19C0AF54"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GCDCA</w:t>
            </w:r>
          </w:p>
        </w:tc>
        <w:tc>
          <w:tcPr>
            <w:tcW w:w="1582" w:type="pct"/>
            <w:tcBorders>
              <w:top w:val="nil"/>
              <w:left w:val="nil"/>
              <w:bottom w:val="nil"/>
              <w:right w:val="nil"/>
            </w:tcBorders>
            <w:vAlign w:val="center"/>
          </w:tcPr>
          <w:p w14:paraId="1012FB1E"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17.47</w:t>
            </w:r>
            <w:r w:rsidR="005F57C0" w:rsidRPr="00244CD2">
              <w:rPr>
                <w:rFonts w:ascii="Book Antiqua" w:hAnsi="Book Antiqua"/>
                <w:noProof/>
              </w:rPr>
              <w:t xml:space="preserve"> </w:t>
            </w:r>
            <w:r w:rsidRPr="00244CD2">
              <w:rPr>
                <w:rFonts w:ascii="Book Antiqua" w:hAnsi="Book Antiqua"/>
                <w:noProof/>
              </w:rPr>
              <w:t>(5.61,</w:t>
            </w:r>
            <w:r w:rsidR="005F57C0" w:rsidRPr="00244CD2">
              <w:rPr>
                <w:rFonts w:ascii="Book Antiqua" w:hAnsi="Book Antiqua"/>
                <w:noProof/>
              </w:rPr>
              <w:t xml:space="preserve"> </w:t>
            </w:r>
            <w:r w:rsidRPr="00244CD2">
              <w:rPr>
                <w:rFonts w:ascii="Book Antiqua" w:hAnsi="Book Antiqua"/>
                <w:noProof/>
              </w:rPr>
              <w:t>51.56)</w:t>
            </w:r>
          </w:p>
        </w:tc>
        <w:tc>
          <w:tcPr>
            <w:tcW w:w="1508" w:type="pct"/>
            <w:tcBorders>
              <w:top w:val="nil"/>
              <w:left w:val="nil"/>
              <w:bottom w:val="nil"/>
              <w:right w:val="nil"/>
            </w:tcBorders>
            <w:vAlign w:val="center"/>
          </w:tcPr>
          <w:p w14:paraId="433859F5"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5.17</w:t>
            </w:r>
            <w:r w:rsidR="005F57C0" w:rsidRPr="00244CD2">
              <w:rPr>
                <w:rFonts w:ascii="Book Antiqua" w:hAnsi="Book Antiqua"/>
                <w:noProof/>
              </w:rPr>
              <w:t xml:space="preserve"> </w:t>
            </w:r>
            <w:r w:rsidRPr="00244CD2">
              <w:rPr>
                <w:rFonts w:ascii="Book Antiqua" w:hAnsi="Book Antiqua"/>
                <w:noProof/>
              </w:rPr>
              <w:t>(2.56,</w:t>
            </w:r>
            <w:r w:rsidR="005F57C0" w:rsidRPr="00244CD2">
              <w:rPr>
                <w:rFonts w:ascii="Book Antiqua" w:hAnsi="Book Antiqua"/>
                <w:noProof/>
              </w:rPr>
              <w:t xml:space="preserve"> </w:t>
            </w:r>
            <w:r w:rsidRPr="00244CD2">
              <w:rPr>
                <w:rFonts w:ascii="Book Antiqua" w:hAnsi="Book Antiqua"/>
                <w:noProof/>
              </w:rPr>
              <w:t>10.51)</w:t>
            </w:r>
          </w:p>
        </w:tc>
        <w:tc>
          <w:tcPr>
            <w:tcW w:w="633" w:type="pct"/>
            <w:tcBorders>
              <w:top w:val="nil"/>
              <w:left w:val="nil"/>
              <w:bottom w:val="nil"/>
              <w:right w:val="nil"/>
            </w:tcBorders>
            <w:vAlign w:val="center"/>
          </w:tcPr>
          <w:p w14:paraId="63DFDE59" w14:textId="77777777" w:rsidR="002D00F9" w:rsidRPr="00244CD2" w:rsidRDefault="002D00F9">
            <w:pPr>
              <w:widowControl w:val="0"/>
              <w:adjustRightInd w:val="0"/>
              <w:snapToGrid w:val="0"/>
              <w:spacing w:line="360" w:lineRule="auto"/>
              <w:jc w:val="both"/>
              <w:rPr>
                <w:rFonts w:ascii="Book Antiqua" w:hAnsi="Book Antiqua"/>
                <w:noProof/>
              </w:rPr>
            </w:pPr>
            <w:r w:rsidRPr="00244CD2">
              <w:rPr>
                <w:rFonts w:ascii="Book Antiqua" w:hAnsi="Book Antiqua"/>
                <w:noProof/>
              </w:rPr>
              <w:t>&lt;</w:t>
            </w:r>
            <w:r w:rsidR="005F57C0" w:rsidRPr="00244CD2">
              <w:rPr>
                <w:rFonts w:ascii="Book Antiqua" w:hAnsi="Book Antiqua"/>
                <w:noProof/>
              </w:rPr>
              <w:t xml:space="preserve"> </w:t>
            </w:r>
            <w:r w:rsidRPr="00244CD2">
              <w:rPr>
                <w:rFonts w:ascii="Book Antiqua" w:hAnsi="Book Antiqua"/>
                <w:noProof/>
              </w:rPr>
              <w:t>0.001</w:t>
            </w:r>
          </w:p>
        </w:tc>
      </w:tr>
      <w:tr w:rsidR="004B4DAE" w:rsidRPr="004B4DAE" w14:paraId="4C8FCAC4" w14:textId="77777777" w:rsidTr="00244CD2">
        <w:trPr>
          <w:trHeight w:hRule="exact" w:val="567"/>
        </w:trPr>
        <w:tc>
          <w:tcPr>
            <w:tcW w:w="1277" w:type="pct"/>
            <w:tcBorders>
              <w:top w:val="nil"/>
              <w:left w:val="nil"/>
              <w:bottom w:val="nil"/>
              <w:right w:val="nil"/>
            </w:tcBorders>
            <w:vAlign w:val="center"/>
          </w:tcPr>
          <w:p w14:paraId="2DF71E67"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GDCA</w:t>
            </w:r>
          </w:p>
        </w:tc>
        <w:tc>
          <w:tcPr>
            <w:tcW w:w="1582" w:type="pct"/>
            <w:tcBorders>
              <w:top w:val="nil"/>
              <w:left w:val="nil"/>
              <w:bottom w:val="nil"/>
              <w:right w:val="nil"/>
            </w:tcBorders>
            <w:vAlign w:val="center"/>
          </w:tcPr>
          <w:p w14:paraId="7C56248A"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3.32</w:t>
            </w:r>
            <w:r w:rsidR="005F57C0" w:rsidRPr="00244CD2">
              <w:rPr>
                <w:rFonts w:ascii="Book Antiqua" w:hAnsi="Book Antiqua"/>
                <w:noProof/>
              </w:rPr>
              <w:t xml:space="preserve"> </w:t>
            </w:r>
            <w:r w:rsidRPr="00244CD2">
              <w:rPr>
                <w:rFonts w:ascii="Book Antiqua" w:hAnsi="Book Antiqua"/>
                <w:noProof/>
              </w:rPr>
              <w:t>(0.63,</w:t>
            </w:r>
            <w:r w:rsidR="005F57C0" w:rsidRPr="00244CD2">
              <w:rPr>
                <w:rFonts w:ascii="Book Antiqua" w:hAnsi="Book Antiqua"/>
                <w:noProof/>
              </w:rPr>
              <w:t xml:space="preserve"> </w:t>
            </w:r>
            <w:r w:rsidRPr="00244CD2">
              <w:rPr>
                <w:rFonts w:ascii="Book Antiqua" w:hAnsi="Book Antiqua"/>
                <w:noProof/>
              </w:rPr>
              <w:t>10.63)</w:t>
            </w:r>
          </w:p>
        </w:tc>
        <w:tc>
          <w:tcPr>
            <w:tcW w:w="1508" w:type="pct"/>
            <w:tcBorders>
              <w:top w:val="nil"/>
              <w:left w:val="nil"/>
              <w:bottom w:val="nil"/>
              <w:right w:val="nil"/>
            </w:tcBorders>
            <w:vAlign w:val="center"/>
          </w:tcPr>
          <w:p w14:paraId="0FC4BB25"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2.67</w:t>
            </w:r>
            <w:r w:rsidR="005F57C0" w:rsidRPr="00244CD2">
              <w:rPr>
                <w:rFonts w:ascii="Book Antiqua" w:hAnsi="Book Antiqua"/>
                <w:noProof/>
              </w:rPr>
              <w:t xml:space="preserve"> </w:t>
            </w:r>
            <w:r w:rsidRPr="00244CD2">
              <w:rPr>
                <w:rFonts w:ascii="Book Antiqua" w:hAnsi="Book Antiqua"/>
                <w:noProof/>
              </w:rPr>
              <w:t>(1.44,</w:t>
            </w:r>
            <w:r w:rsidR="005F57C0" w:rsidRPr="00244CD2">
              <w:rPr>
                <w:rFonts w:ascii="Book Antiqua" w:hAnsi="Book Antiqua"/>
                <w:noProof/>
              </w:rPr>
              <w:t xml:space="preserve"> </w:t>
            </w:r>
            <w:r w:rsidRPr="00244CD2">
              <w:rPr>
                <w:rFonts w:ascii="Book Antiqua" w:hAnsi="Book Antiqua"/>
                <w:noProof/>
              </w:rPr>
              <w:t>6.83)</w:t>
            </w:r>
          </w:p>
        </w:tc>
        <w:tc>
          <w:tcPr>
            <w:tcW w:w="633" w:type="pct"/>
            <w:tcBorders>
              <w:top w:val="nil"/>
              <w:left w:val="nil"/>
              <w:bottom w:val="nil"/>
              <w:right w:val="nil"/>
            </w:tcBorders>
            <w:vAlign w:val="center"/>
          </w:tcPr>
          <w:p w14:paraId="094C3B68" w14:textId="77777777" w:rsidR="002D00F9" w:rsidRPr="00244CD2" w:rsidRDefault="002D00F9">
            <w:pPr>
              <w:widowControl w:val="0"/>
              <w:adjustRightInd w:val="0"/>
              <w:snapToGrid w:val="0"/>
              <w:spacing w:line="360" w:lineRule="auto"/>
              <w:jc w:val="both"/>
              <w:rPr>
                <w:rFonts w:ascii="Book Antiqua" w:hAnsi="Book Antiqua"/>
                <w:noProof/>
              </w:rPr>
            </w:pPr>
            <w:r w:rsidRPr="00244CD2">
              <w:rPr>
                <w:rFonts w:ascii="Book Antiqua" w:hAnsi="Book Antiqua"/>
                <w:noProof/>
              </w:rPr>
              <w:t>0.867</w:t>
            </w:r>
          </w:p>
        </w:tc>
      </w:tr>
      <w:tr w:rsidR="004B4DAE" w:rsidRPr="004B4DAE" w14:paraId="23409000" w14:textId="77777777" w:rsidTr="00244CD2">
        <w:trPr>
          <w:trHeight w:hRule="exact" w:val="567"/>
        </w:trPr>
        <w:tc>
          <w:tcPr>
            <w:tcW w:w="1277" w:type="pct"/>
            <w:tcBorders>
              <w:top w:val="nil"/>
              <w:left w:val="nil"/>
              <w:bottom w:val="nil"/>
              <w:right w:val="nil"/>
            </w:tcBorders>
            <w:vAlign w:val="center"/>
          </w:tcPr>
          <w:p w14:paraId="43628DB4"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GLCA</w:t>
            </w:r>
          </w:p>
        </w:tc>
        <w:tc>
          <w:tcPr>
            <w:tcW w:w="1582" w:type="pct"/>
            <w:tcBorders>
              <w:top w:val="nil"/>
              <w:left w:val="nil"/>
              <w:bottom w:val="nil"/>
              <w:right w:val="nil"/>
            </w:tcBorders>
            <w:vAlign w:val="center"/>
          </w:tcPr>
          <w:p w14:paraId="36E31DB0"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0.64</w:t>
            </w:r>
            <w:r w:rsidR="005F57C0" w:rsidRPr="00244CD2">
              <w:rPr>
                <w:rFonts w:ascii="Book Antiqua" w:hAnsi="Book Antiqua"/>
                <w:noProof/>
              </w:rPr>
              <w:t xml:space="preserve"> </w:t>
            </w:r>
            <w:r w:rsidRPr="00244CD2">
              <w:rPr>
                <w:rFonts w:ascii="Book Antiqua" w:hAnsi="Book Antiqua"/>
                <w:noProof/>
              </w:rPr>
              <w:t>(0.39,</w:t>
            </w:r>
            <w:r w:rsidR="005F57C0" w:rsidRPr="00244CD2">
              <w:rPr>
                <w:rFonts w:ascii="Book Antiqua" w:hAnsi="Book Antiqua"/>
                <w:noProof/>
              </w:rPr>
              <w:t xml:space="preserve"> </w:t>
            </w:r>
            <w:r w:rsidRPr="00244CD2">
              <w:rPr>
                <w:rFonts w:ascii="Book Antiqua" w:hAnsi="Book Antiqua"/>
                <w:noProof/>
              </w:rPr>
              <w:t>1.61)</w:t>
            </w:r>
          </w:p>
        </w:tc>
        <w:tc>
          <w:tcPr>
            <w:tcW w:w="1508" w:type="pct"/>
            <w:tcBorders>
              <w:top w:val="nil"/>
              <w:left w:val="nil"/>
              <w:bottom w:val="nil"/>
              <w:right w:val="nil"/>
            </w:tcBorders>
            <w:vAlign w:val="center"/>
          </w:tcPr>
          <w:p w14:paraId="41F6C6F9"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0.91</w:t>
            </w:r>
            <w:r w:rsidR="005F57C0" w:rsidRPr="00244CD2">
              <w:rPr>
                <w:rFonts w:ascii="Book Antiqua" w:hAnsi="Book Antiqua"/>
                <w:noProof/>
              </w:rPr>
              <w:t xml:space="preserve"> </w:t>
            </w:r>
            <w:r w:rsidRPr="00244CD2">
              <w:rPr>
                <w:rFonts w:ascii="Book Antiqua" w:hAnsi="Book Antiqua"/>
                <w:noProof/>
              </w:rPr>
              <w:t>(0.41,</w:t>
            </w:r>
            <w:r w:rsidR="005F57C0" w:rsidRPr="00244CD2">
              <w:rPr>
                <w:rFonts w:ascii="Book Antiqua" w:hAnsi="Book Antiqua"/>
                <w:noProof/>
              </w:rPr>
              <w:t xml:space="preserve"> </w:t>
            </w:r>
            <w:r w:rsidRPr="00244CD2">
              <w:rPr>
                <w:rFonts w:ascii="Book Antiqua" w:hAnsi="Book Antiqua"/>
                <w:noProof/>
              </w:rPr>
              <w:t>1.28)</w:t>
            </w:r>
          </w:p>
        </w:tc>
        <w:tc>
          <w:tcPr>
            <w:tcW w:w="633" w:type="pct"/>
            <w:tcBorders>
              <w:top w:val="nil"/>
              <w:left w:val="nil"/>
              <w:bottom w:val="nil"/>
              <w:right w:val="nil"/>
            </w:tcBorders>
            <w:vAlign w:val="center"/>
          </w:tcPr>
          <w:p w14:paraId="333C16B9" w14:textId="77777777" w:rsidR="002D00F9" w:rsidRPr="00244CD2" w:rsidRDefault="002D00F9">
            <w:pPr>
              <w:widowControl w:val="0"/>
              <w:adjustRightInd w:val="0"/>
              <w:snapToGrid w:val="0"/>
              <w:spacing w:line="360" w:lineRule="auto"/>
              <w:jc w:val="both"/>
              <w:rPr>
                <w:rFonts w:ascii="Book Antiqua" w:hAnsi="Book Antiqua"/>
                <w:noProof/>
              </w:rPr>
            </w:pPr>
            <w:r w:rsidRPr="00244CD2">
              <w:rPr>
                <w:rFonts w:ascii="Book Antiqua" w:hAnsi="Book Antiqua"/>
                <w:noProof/>
              </w:rPr>
              <w:t>0.282</w:t>
            </w:r>
          </w:p>
        </w:tc>
      </w:tr>
      <w:tr w:rsidR="004B4DAE" w:rsidRPr="004B4DAE" w14:paraId="057DCE52" w14:textId="77777777" w:rsidTr="00244CD2">
        <w:trPr>
          <w:trHeight w:hRule="exact" w:val="567"/>
        </w:trPr>
        <w:tc>
          <w:tcPr>
            <w:tcW w:w="1277" w:type="pct"/>
            <w:tcBorders>
              <w:top w:val="nil"/>
              <w:left w:val="nil"/>
              <w:bottom w:val="nil"/>
              <w:right w:val="nil"/>
            </w:tcBorders>
            <w:vAlign w:val="center"/>
          </w:tcPr>
          <w:p w14:paraId="7EE10CD7"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GUDCA</w:t>
            </w:r>
          </w:p>
        </w:tc>
        <w:tc>
          <w:tcPr>
            <w:tcW w:w="1582" w:type="pct"/>
            <w:tcBorders>
              <w:top w:val="nil"/>
              <w:left w:val="nil"/>
              <w:bottom w:val="nil"/>
              <w:right w:val="nil"/>
            </w:tcBorders>
            <w:vAlign w:val="center"/>
          </w:tcPr>
          <w:p w14:paraId="1AB680D4" w14:textId="77777777" w:rsidR="002D00F9" w:rsidRPr="00244CD2" w:rsidRDefault="002D00F9" w:rsidP="004B4DAE">
            <w:pPr>
              <w:widowControl w:val="0"/>
              <w:adjustRightInd w:val="0"/>
              <w:snapToGrid w:val="0"/>
              <w:spacing w:line="360" w:lineRule="auto"/>
              <w:jc w:val="both"/>
              <w:rPr>
                <w:rFonts w:ascii="Book Antiqua" w:hAnsi="Book Antiqua"/>
                <w:noProof/>
                <w:vertAlign w:val="superscript"/>
              </w:rPr>
            </w:pPr>
            <w:r w:rsidRPr="00244CD2">
              <w:rPr>
                <w:rFonts w:ascii="Book Antiqua" w:hAnsi="Book Antiqua"/>
                <w:noProof/>
              </w:rPr>
              <w:t>1.27</w:t>
            </w:r>
            <w:r w:rsidR="005F57C0" w:rsidRPr="00244CD2">
              <w:rPr>
                <w:rFonts w:ascii="Book Antiqua" w:hAnsi="Book Antiqua"/>
                <w:noProof/>
              </w:rPr>
              <w:t xml:space="preserve"> </w:t>
            </w:r>
            <w:r w:rsidRPr="00244CD2">
              <w:rPr>
                <w:rFonts w:ascii="Book Antiqua" w:hAnsi="Book Antiqua"/>
                <w:noProof/>
              </w:rPr>
              <w:t>(0.56,</w:t>
            </w:r>
            <w:r w:rsidR="005F57C0" w:rsidRPr="00244CD2">
              <w:rPr>
                <w:rFonts w:ascii="Book Antiqua" w:hAnsi="Book Antiqua"/>
                <w:noProof/>
              </w:rPr>
              <w:t xml:space="preserve"> </w:t>
            </w:r>
            <w:r w:rsidRPr="00244CD2">
              <w:rPr>
                <w:rFonts w:ascii="Book Antiqua" w:hAnsi="Book Antiqua"/>
                <w:noProof/>
              </w:rPr>
              <w:t>4.76)</w:t>
            </w:r>
          </w:p>
        </w:tc>
        <w:tc>
          <w:tcPr>
            <w:tcW w:w="1508" w:type="pct"/>
            <w:tcBorders>
              <w:top w:val="nil"/>
              <w:left w:val="nil"/>
              <w:bottom w:val="nil"/>
              <w:right w:val="nil"/>
            </w:tcBorders>
            <w:vAlign w:val="center"/>
          </w:tcPr>
          <w:p w14:paraId="66790E12"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0.65</w:t>
            </w:r>
            <w:r w:rsidR="005F57C0" w:rsidRPr="00244CD2">
              <w:rPr>
                <w:rFonts w:ascii="Book Antiqua" w:hAnsi="Book Antiqua"/>
                <w:noProof/>
              </w:rPr>
              <w:t xml:space="preserve"> </w:t>
            </w:r>
            <w:r w:rsidRPr="00244CD2">
              <w:rPr>
                <w:rFonts w:ascii="Book Antiqua" w:hAnsi="Book Antiqua"/>
                <w:noProof/>
              </w:rPr>
              <w:t>(0.38,</w:t>
            </w:r>
            <w:r w:rsidR="005F57C0" w:rsidRPr="00244CD2">
              <w:rPr>
                <w:rFonts w:ascii="Book Antiqua" w:hAnsi="Book Antiqua"/>
                <w:noProof/>
              </w:rPr>
              <w:t xml:space="preserve"> </w:t>
            </w:r>
            <w:r w:rsidRPr="00244CD2">
              <w:rPr>
                <w:rFonts w:ascii="Book Antiqua" w:hAnsi="Book Antiqua"/>
                <w:noProof/>
              </w:rPr>
              <w:t>0.87)</w:t>
            </w:r>
          </w:p>
        </w:tc>
        <w:tc>
          <w:tcPr>
            <w:tcW w:w="633" w:type="pct"/>
            <w:tcBorders>
              <w:top w:val="nil"/>
              <w:left w:val="nil"/>
              <w:bottom w:val="nil"/>
              <w:right w:val="nil"/>
            </w:tcBorders>
            <w:vAlign w:val="center"/>
          </w:tcPr>
          <w:p w14:paraId="4D1DA633" w14:textId="77777777" w:rsidR="002D00F9" w:rsidRPr="00244CD2" w:rsidRDefault="002D00F9">
            <w:pPr>
              <w:widowControl w:val="0"/>
              <w:adjustRightInd w:val="0"/>
              <w:snapToGrid w:val="0"/>
              <w:spacing w:line="360" w:lineRule="auto"/>
              <w:jc w:val="both"/>
              <w:rPr>
                <w:rFonts w:ascii="Book Antiqua" w:hAnsi="Book Antiqua"/>
                <w:noProof/>
              </w:rPr>
            </w:pPr>
            <w:r w:rsidRPr="00244CD2">
              <w:rPr>
                <w:rFonts w:ascii="Book Antiqua" w:hAnsi="Book Antiqua"/>
                <w:noProof/>
              </w:rPr>
              <w:t>0.002</w:t>
            </w:r>
          </w:p>
        </w:tc>
      </w:tr>
      <w:tr w:rsidR="004B4DAE" w:rsidRPr="004B4DAE" w14:paraId="752DFB98" w14:textId="77777777" w:rsidTr="00244CD2">
        <w:trPr>
          <w:trHeight w:hRule="exact" w:val="810"/>
        </w:trPr>
        <w:tc>
          <w:tcPr>
            <w:tcW w:w="1277" w:type="pct"/>
            <w:tcBorders>
              <w:top w:val="nil"/>
              <w:left w:val="nil"/>
              <w:bottom w:val="nil"/>
              <w:right w:val="nil"/>
            </w:tcBorders>
            <w:vAlign w:val="center"/>
          </w:tcPr>
          <w:p w14:paraId="4660C075"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Total BAs</w:t>
            </w:r>
          </w:p>
        </w:tc>
        <w:tc>
          <w:tcPr>
            <w:tcW w:w="1582" w:type="pct"/>
            <w:tcBorders>
              <w:top w:val="nil"/>
              <w:left w:val="nil"/>
              <w:bottom w:val="nil"/>
              <w:right w:val="nil"/>
            </w:tcBorders>
            <w:vAlign w:val="center"/>
          </w:tcPr>
          <w:p w14:paraId="08C429D7"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8227.35</w:t>
            </w:r>
            <w:r w:rsidR="005F57C0" w:rsidRPr="00244CD2">
              <w:rPr>
                <w:rFonts w:ascii="Book Antiqua" w:hAnsi="Book Antiqua"/>
                <w:noProof/>
              </w:rPr>
              <w:t xml:space="preserve"> </w:t>
            </w:r>
            <w:r w:rsidRPr="00244CD2">
              <w:rPr>
                <w:rFonts w:ascii="Book Antiqua" w:hAnsi="Book Antiqua"/>
                <w:noProof/>
              </w:rPr>
              <w:t>(5218.49,</w:t>
            </w:r>
            <w:r w:rsidR="005F57C0" w:rsidRPr="00244CD2">
              <w:rPr>
                <w:rFonts w:ascii="Book Antiqua" w:hAnsi="Book Antiqua"/>
                <w:noProof/>
              </w:rPr>
              <w:t xml:space="preserve"> </w:t>
            </w:r>
            <w:r w:rsidRPr="00244CD2">
              <w:rPr>
                <w:rFonts w:ascii="Book Antiqua" w:hAnsi="Book Antiqua"/>
                <w:noProof/>
              </w:rPr>
              <w:t>12464.03)</w:t>
            </w:r>
          </w:p>
        </w:tc>
        <w:tc>
          <w:tcPr>
            <w:tcW w:w="1508" w:type="pct"/>
            <w:tcBorders>
              <w:top w:val="nil"/>
              <w:left w:val="nil"/>
              <w:bottom w:val="nil"/>
              <w:right w:val="nil"/>
            </w:tcBorders>
            <w:vAlign w:val="center"/>
          </w:tcPr>
          <w:p w14:paraId="6885CEB5"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5220.28</w:t>
            </w:r>
            <w:r w:rsidR="005F57C0" w:rsidRPr="00244CD2">
              <w:rPr>
                <w:rFonts w:ascii="Book Antiqua" w:hAnsi="Book Antiqua"/>
                <w:noProof/>
              </w:rPr>
              <w:t xml:space="preserve"> </w:t>
            </w:r>
            <w:r w:rsidRPr="00244CD2">
              <w:rPr>
                <w:rFonts w:ascii="Book Antiqua" w:hAnsi="Book Antiqua"/>
                <w:noProof/>
              </w:rPr>
              <w:t>(3971.35,</w:t>
            </w:r>
            <w:r w:rsidR="005F57C0" w:rsidRPr="00244CD2">
              <w:rPr>
                <w:rFonts w:ascii="Book Antiqua" w:hAnsi="Book Antiqua"/>
                <w:noProof/>
              </w:rPr>
              <w:t xml:space="preserve"> </w:t>
            </w:r>
            <w:r w:rsidRPr="00244CD2">
              <w:rPr>
                <w:rFonts w:ascii="Book Antiqua" w:hAnsi="Book Antiqua"/>
                <w:noProof/>
              </w:rPr>
              <w:t>8272.29)</w:t>
            </w:r>
          </w:p>
        </w:tc>
        <w:tc>
          <w:tcPr>
            <w:tcW w:w="633" w:type="pct"/>
            <w:tcBorders>
              <w:top w:val="nil"/>
              <w:left w:val="nil"/>
              <w:bottom w:val="nil"/>
              <w:right w:val="nil"/>
            </w:tcBorders>
            <w:vAlign w:val="center"/>
          </w:tcPr>
          <w:p w14:paraId="7057D908" w14:textId="77777777" w:rsidR="002D00F9" w:rsidRPr="00244CD2" w:rsidRDefault="002D00F9">
            <w:pPr>
              <w:widowControl w:val="0"/>
              <w:adjustRightInd w:val="0"/>
              <w:snapToGrid w:val="0"/>
              <w:spacing w:line="360" w:lineRule="auto"/>
              <w:jc w:val="both"/>
              <w:rPr>
                <w:rFonts w:ascii="Book Antiqua" w:hAnsi="Book Antiqua"/>
                <w:noProof/>
              </w:rPr>
            </w:pPr>
            <w:r w:rsidRPr="00244CD2">
              <w:rPr>
                <w:rFonts w:ascii="Book Antiqua" w:hAnsi="Book Antiqua"/>
                <w:noProof/>
              </w:rPr>
              <w:t>0.011</w:t>
            </w:r>
          </w:p>
        </w:tc>
      </w:tr>
      <w:tr w:rsidR="004B4DAE" w:rsidRPr="004B4DAE" w14:paraId="109D9A09" w14:textId="77777777" w:rsidTr="00244CD2">
        <w:trPr>
          <w:trHeight w:hRule="exact" w:val="753"/>
        </w:trPr>
        <w:tc>
          <w:tcPr>
            <w:tcW w:w="1277" w:type="pct"/>
            <w:tcBorders>
              <w:top w:val="nil"/>
              <w:left w:val="nil"/>
              <w:bottom w:val="nil"/>
              <w:right w:val="nil"/>
            </w:tcBorders>
            <w:vAlign w:val="center"/>
          </w:tcPr>
          <w:p w14:paraId="0019E172"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Unconjugated BAs</w:t>
            </w:r>
          </w:p>
        </w:tc>
        <w:tc>
          <w:tcPr>
            <w:tcW w:w="1582" w:type="pct"/>
            <w:tcBorders>
              <w:top w:val="nil"/>
              <w:left w:val="nil"/>
              <w:bottom w:val="nil"/>
              <w:right w:val="nil"/>
            </w:tcBorders>
            <w:vAlign w:val="center"/>
          </w:tcPr>
          <w:p w14:paraId="7BEA8330"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8197.73</w:t>
            </w:r>
            <w:r w:rsidR="005F57C0" w:rsidRPr="00244CD2">
              <w:rPr>
                <w:rFonts w:ascii="Book Antiqua" w:hAnsi="Book Antiqua"/>
                <w:noProof/>
              </w:rPr>
              <w:t xml:space="preserve"> </w:t>
            </w:r>
            <w:r w:rsidRPr="00244CD2">
              <w:rPr>
                <w:rFonts w:ascii="Book Antiqua" w:hAnsi="Book Antiqua"/>
                <w:noProof/>
              </w:rPr>
              <w:t>(5135.49,</w:t>
            </w:r>
            <w:r w:rsidR="005F57C0" w:rsidRPr="00244CD2">
              <w:rPr>
                <w:rFonts w:ascii="Book Antiqua" w:hAnsi="Book Antiqua"/>
                <w:noProof/>
              </w:rPr>
              <w:t xml:space="preserve"> </w:t>
            </w:r>
            <w:r w:rsidRPr="00244CD2">
              <w:rPr>
                <w:rFonts w:ascii="Book Antiqua" w:hAnsi="Book Antiqua"/>
                <w:noProof/>
              </w:rPr>
              <w:t>11622.72)</w:t>
            </w:r>
          </w:p>
        </w:tc>
        <w:tc>
          <w:tcPr>
            <w:tcW w:w="1508" w:type="pct"/>
            <w:tcBorders>
              <w:top w:val="nil"/>
              <w:left w:val="nil"/>
              <w:bottom w:val="nil"/>
              <w:right w:val="nil"/>
            </w:tcBorders>
            <w:vAlign w:val="center"/>
          </w:tcPr>
          <w:p w14:paraId="6EB7D228"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5183.71</w:t>
            </w:r>
            <w:r w:rsidR="005F57C0" w:rsidRPr="00244CD2">
              <w:rPr>
                <w:rFonts w:ascii="Book Antiqua" w:hAnsi="Book Antiqua"/>
                <w:noProof/>
              </w:rPr>
              <w:t xml:space="preserve"> </w:t>
            </w:r>
            <w:r w:rsidRPr="00244CD2">
              <w:rPr>
                <w:rFonts w:ascii="Book Antiqua" w:hAnsi="Book Antiqua"/>
                <w:noProof/>
              </w:rPr>
              <w:t>(3945.65,</w:t>
            </w:r>
            <w:r w:rsidR="005F57C0" w:rsidRPr="00244CD2">
              <w:rPr>
                <w:rFonts w:ascii="Book Antiqua" w:hAnsi="Book Antiqua"/>
                <w:noProof/>
              </w:rPr>
              <w:t xml:space="preserve"> </w:t>
            </w:r>
            <w:r w:rsidRPr="00244CD2">
              <w:rPr>
                <w:rFonts w:ascii="Book Antiqua" w:hAnsi="Book Antiqua"/>
                <w:noProof/>
              </w:rPr>
              <w:t>8253.23)</w:t>
            </w:r>
          </w:p>
        </w:tc>
        <w:tc>
          <w:tcPr>
            <w:tcW w:w="633" w:type="pct"/>
            <w:tcBorders>
              <w:top w:val="nil"/>
              <w:left w:val="nil"/>
              <w:bottom w:val="nil"/>
              <w:right w:val="nil"/>
            </w:tcBorders>
            <w:vAlign w:val="center"/>
          </w:tcPr>
          <w:p w14:paraId="1D062A9D" w14:textId="77777777" w:rsidR="002D00F9" w:rsidRPr="00244CD2" w:rsidRDefault="002D00F9">
            <w:pPr>
              <w:widowControl w:val="0"/>
              <w:adjustRightInd w:val="0"/>
              <w:snapToGrid w:val="0"/>
              <w:spacing w:line="360" w:lineRule="auto"/>
              <w:jc w:val="both"/>
              <w:rPr>
                <w:rFonts w:ascii="Book Antiqua" w:hAnsi="Book Antiqua"/>
                <w:noProof/>
              </w:rPr>
            </w:pPr>
            <w:r w:rsidRPr="00244CD2">
              <w:rPr>
                <w:rFonts w:ascii="Book Antiqua" w:hAnsi="Book Antiqua"/>
                <w:noProof/>
              </w:rPr>
              <w:t>0.017</w:t>
            </w:r>
          </w:p>
        </w:tc>
      </w:tr>
      <w:tr w:rsidR="004B4DAE" w:rsidRPr="004B4DAE" w14:paraId="12E7F4DC" w14:textId="77777777" w:rsidTr="00244CD2">
        <w:trPr>
          <w:trHeight w:hRule="exact" w:val="567"/>
        </w:trPr>
        <w:tc>
          <w:tcPr>
            <w:tcW w:w="1277" w:type="pct"/>
            <w:tcBorders>
              <w:top w:val="nil"/>
              <w:left w:val="nil"/>
              <w:bottom w:val="nil"/>
              <w:right w:val="nil"/>
            </w:tcBorders>
            <w:vAlign w:val="center"/>
          </w:tcPr>
          <w:p w14:paraId="092B0C50"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lastRenderedPageBreak/>
              <w:t>Conjugated BAs</w:t>
            </w:r>
          </w:p>
        </w:tc>
        <w:tc>
          <w:tcPr>
            <w:tcW w:w="1582" w:type="pct"/>
            <w:tcBorders>
              <w:top w:val="nil"/>
              <w:left w:val="nil"/>
              <w:bottom w:val="nil"/>
              <w:right w:val="nil"/>
            </w:tcBorders>
            <w:vAlign w:val="center"/>
          </w:tcPr>
          <w:p w14:paraId="5383FFA6"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55.28</w:t>
            </w:r>
            <w:r w:rsidR="005F57C0" w:rsidRPr="00244CD2">
              <w:rPr>
                <w:rFonts w:ascii="Book Antiqua" w:hAnsi="Book Antiqua"/>
                <w:noProof/>
              </w:rPr>
              <w:t xml:space="preserve"> </w:t>
            </w:r>
            <w:r w:rsidRPr="00244CD2">
              <w:rPr>
                <w:rFonts w:ascii="Book Antiqua" w:hAnsi="Book Antiqua"/>
                <w:noProof/>
              </w:rPr>
              <w:t>(27.09,</w:t>
            </w:r>
            <w:r w:rsidR="005F57C0" w:rsidRPr="00244CD2">
              <w:rPr>
                <w:rFonts w:ascii="Book Antiqua" w:hAnsi="Book Antiqua"/>
                <w:noProof/>
              </w:rPr>
              <w:t xml:space="preserve"> </w:t>
            </w:r>
            <w:r w:rsidRPr="00244CD2">
              <w:rPr>
                <w:rFonts w:ascii="Book Antiqua" w:hAnsi="Book Antiqua"/>
                <w:noProof/>
              </w:rPr>
              <w:t>198.08)</w:t>
            </w:r>
          </w:p>
        </w:tc>
        <w:tc>
          <w:tcPr>
            <w:tcW w:w="1508" w:type="pct"/>
            <w:tcBorders>
              <w:top w:val="nil"/>
              <w:left w:val="nil"/>
              <w:bottom w:val="nil"/>
              <w:right w:val="nil"/>
            </w:tcBorders>
            <w:vAlign w:val="center"/>
          </w:tcPr>
          <w:p w14:paraId="09F3720D"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28.51</w:t>
            </w:r>
            <w:r w:rsidR="005F57C0" w:rsidRPr="00244CD2">
              <w:rPr>
                <w:rFonts w:ascii="Book Antiqua" w:hAnsi="Book Antiqua"/>
                <w:noProof/>
              </w:rPr>
              <w:t xml:space="preserve"> </w:t>
            </w:r>
            <w:r w:rsidRPr="00244CD2">
              <w:rPr>
                <w:rFonts w:ascii="Book Antiqua" w:hAnsi="Book Antiqua"/>
                <w:noProof/>
              </w:rPr>
              <w:t>(9.68,</w:t>
            </w:r>
            <w:r w:rsidR="005F57C0" w:rsidRPr="00244CD2">
              <w:rPr>
                <w:rFonts w:ascii="Book Antiqua" w:hAnsi="Book Antiqua"/>
                <w:noProof/>
              </w:rPr>
              <w:t xml:space="preserve"> </w:t>
            </w:r>
            <w:r w:rsidRPr="00244CD2">
              <w:rPr>
                <w:rFonts w:ascii="Book Antiqua" w:hAnsi="Book Antiqua"/>
                <w:noProof/>
              </w:rPr>
              <w:t>36.32)</w:t>
            </w:r>
          </w:p>
        </w:tc>
        <w:tc>
          <w:tcPr>
            <w:tcW w:w="633" w:type="pct"/>
            <w:tcBorders>
              <w:top w:val="nil"/>
              <w:left w:val="nil"/>
              <w:bottom w:val="nil"/>
              <w:right w:val="nil"/>
            </w:tcBorders>
            <w:vAlign w:val="center"/>
          </w:tcPr>
          <w:p w14:paraId="5B6B2208" w14:textId="77777777" w:rsidR="002D00F9" w:rsidRPr="00244CD2" w:rsidRDefault="002D00F9">
            <w:pPr>
              <w:widowControl w:val="0"/>
              <w:adjustRightInd w:val="0"/>
              <w:snapToGrid w:val="0"/>
              <w:spacing w:line="360" w:lineRule="auto"/>
              <w:jc w:val="both"/>
              <w:rPr>
                <w:rFonts w:ascii="Book Antiqua" w:hAnsi="Book Antiqua"/>
                <w:noProof/>
              </w:rPr>
            </w:pPr>
            <w:r w:rsidRPr="00244CD2">
              <w:rPr>
                <w:rFonts w:ascii="Book Antiqua" w:hAnsi="Book Antiqua"/>
                <w:noProof/>
              </w:rPr>
              <w:t>0.002</w:t>
            </w:r>
          </w:p>
          <w:p w14:paraId="3805676C" w14:textId="77777777" w:rsidR="002D00F9" w:rsidRPr="00244CD2" w:rsidRDefault="002D00F9">
            <w:pPr>
              <w:widowControl w:val="0"/>
              <w:adjustRightInd w:val="0"/>
              <w:snapToGrid w:val="0"/>
              <w:spacing w:line="360" w:lineRule="auto"/>
              <w:jc w:val="both"/>
              <w:rPr>
                <w:rFonts w:ascii="Book Antiqua" w:hAnsi="Book Antiqua"/>
                <w:noProof/>
              </w:rPr>
            </w:pPr>
          </w:p>
          <w:p w14:paraId="425D5DE5" w14:textId="77777777" w:rsidR="002D00F9" w:rsidRPr="00244CD2" w:rsidRDefault="002D00F9">
            <w:pPr>
              <w:widowControl w:val="0"/>
              <w:adjustRightInd w:val="0"/>
              <w:snapToGrid w:val="0"/>
              <w:spacing w:line="360" w:lineRule="auto"/>
              <w:jc w:val="both"/>
              <w:rPr>
                <w:rFonts w:ascii="Book Antiqua" w:hAnsi="Book Antiqua"/>
                <w:noProof/>
              </w:rPr>
            </w:pPr>
          </w:p>
        </w:tc>
      </w:tr>
      <w:tr w:rsidR="004B4DAE" w:rsidRPr="004B4DAE" w14:paraId="3723A062" w14:textId="77777777" w:rsidTr="00244CD2">
        <w:trPr>
          <w:trHeight w:hRule="exact" w:val="567"/>
        </w:trPr>
        <w:tc>
          <w:tcPr>
            <w:tcW w:w="1277" w:type="pct"/>
            <w:tcBorders>
              <w:top w:val="nil"/>
              <w:left w:val="nil"/>
              <w:bottom w:val="nil"/>
              <w:right w:val="nil"/>
            </w:tcBorders>
            <w:vAlign w:val="center"/>
          </w:tcPr>
          <w:p w14:paraId="67A94727"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Tauro-BAs</w:t>
            </w:r>
          </w:p>
        </w:tc>
        <w:tc>
          <w:tcPr>
            <w:tcW w:w="1582" w:type="pct"/>
            <w:tcBorders>
              <w:top w:val="nil"/>
              <w:left w:val="nil"/>
              <w:bottom w:val="nil"/>
              <w:right w:val="nil"/>
            </w:tcBorders>
            <w:vAlign w:val="center"/>
          </w:tcPr>
          <w:p w14:paraId="641B9BF3"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23.00</w:t>
            </w:r>
            <w:r w:rsidR="005F57C0" w:rsidRPr="00244CD2">
              <w:rPr>
                <w:rFonts w:ascii="Book Antiqua" w:hAnsi="Book Antiqua"/>
                <w:noProof/>
              </w:rPr>
              <w:t xml:space="preserve"> </w:t>
            </w:r>
            <w:r w:rsidRPr="00244CD2">
              <w:rPr>
                <w:rFonts w:ascii="Book Antiqua" w:hAnsi="Book Antiqua"/>
                <w:noProof/>
              </w:rPr>
              <w:t>(5.03,</w:t>
            </w:r>
            <w:r w:rsidR="005F57C0" w:rsidRPr="00244CD2">
              <w:rPr>
                <w:rFonts w:ascii="Book Antiqua" w:hAnsi="Book Antiqua"/>
                <w:noProof/>
              </w:rPr>
              <w:t xml:space="preserve"> </w:t>
            </w:r>
            <w:r w:rsidRPr="00244CD2">
              <w:rPr>
                <w:rFonts w:ascii="Book Antiqua" w:hAnsi="Book Antiqua"/>
                <w:noProof/>
              </w:rPr>
              <w:t>58.65)</w:t>
            </w:r>
          </w:p>
        </w:tc>
        <w:tc>
          <w:tcPr>
            <w:tcW w:w="1508" w:type="pct"/>
            <w:tcBorders>
              <w:top w:val="nil"/>
              <w:left w:val="nil"/>
              <w:bottom w:val="nil"/>
              <w:right w:val="nil"/>
            </w:tcBorders>
            <w:vAlign w:val="center"/>
          </w:tcPr>
          <w:p w14:paraId="123AB1FD"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6.34</w:t>
            </w:r>
            <w:r w:rsidR="005F57C0" w:rsidRPr="00244CD2">
              <w:rPr>
                <w:rFonts w:ascii="Book Antiqua" w:hAnsi="Book Antiqua"/>
                <w:noProof/>
              </w:rPr>
              <w:t xml:space="preserve"> </w:t>
            </w:r>
            <w:r w:rsidRPr="00244CD2">
              <w:rPr>
                <w:rFonts w:ascii="Book Antiqua" w:hAnsi="Book Antiqua"/>
                <w:noProof/>
              </w:rPr>
              <w:t>(2.52,</w:t>
            </w:r>
            <w:r w:rsidR="005F57C0" w:rsidRPr="00244CD2">
              <w:rPr>
                <w:rFonts w:ascii="Book Antiqua" w:hAnsi="Book Antiqua"/>
                <w:noProof/>
              </w:rPr>
              <w:t xml:space="preserve"> </w:t>
            </w:r>
            <w:r w:rsidRPr="00244CD2">
              <w:rPr>
                <w:rFonts w:ascii="Book Antiqua" w:hAnsi="Book Antiqua"/>
                <w:noProof/>
              </w:rPr>
              <w:t>18.05)</w:t>
            </w:r>
          </w:p>
        </w:tc>
        <w:tc>
          <w:tcPr>
            <w:tcW w:w="633" w:type="pct"/>
            <w:tcBorders>
              <w:top w:val="nil"/>
              <w:left w:val="nil"/>
              <w:bottom w:val="nil"/>
              <w:right w:val="nil"/>
            </w:tcBorders>
            <w:vAlign w:val="center"/>
          </w:tcPr>
          <w:p w14:paraId="70CB0249" w14:textId="77777777" w:rsidR="002D00F9" w:rsidRPr="00244CD2" w:rsidRDefault="002D00F9">
            <w:pPr>
              <w:widowControl w:val="0"/>
              <w:adjustRightInd w:val="0"/>
              <w:snapToGrid w:val="0"/>
              <w:spacing w:line="360" w:lineRule="auto"/>
              <w:jc w:val="both"/>
              <w:rPr>
                <w:rFonts w:ascii="Book Antiqua" w:hAnsi="Book Antiqua"/>
                <w:noProof/>
              </w:rPr>
            </w:pPr>
            <w:r w:rsidRPr="00244CD2">
              <w:rPr>
                <w:rFonts w:ascii="Book Antiqua" w:hAnsi="Book Antiqua"/>
                <w:noProof/>
              </w:rPr>
              <w:t>0.006</w:t>
            </w:r>
          </w:p>
        </w:tc>
      </w:tr>
      <w:tr w:rsidR="004B4DAE" w:rsidRPr="004B4DAE" w14:paraId="1CFFB005" w14:textId="77777777" w:rsidTr="00244CD2">
        <w:trPr>
          <w:trHeight w:hRule="exact" w:val="567"/>
        </w:trPr>
        <w:tc>
          <w:tcPr>
            <w:tcW w:w="1277" w:type="pct"/>
            <w:tcBorders>
              <w:top w:val="nil"/>
              <w:left w:val="nil"/>
              <w:bottom w:val="nil"/>
              <w:right w:val="nil"/>
            </w:tcBorders>
            <w:vAlign w:val="center"/>
          </w:tcPr>
          <w:p w14:paraId="6CCC9ECC"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Glyco-BAs</w:t>
            </w:r>
          </w:p>
        </w:tc>
        <w:tc>
          <w:tcPr>
            <w:tcW w:w="1582" w:type="pct"/>
            <w:tcBorders>
              <w:top w:val="nil"/>
              <w:left w:val="nil"/>
              <w:bottom w:val="nil"/>
              <w:right w:val="nil"/>
            </w:tcBorders>
            <w:vAlign w:val="center"/>
          </w:tcPr>
          <w:p w14:paraId="00F4F817"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28.03</w:t>
            </w:r>
            <w:r w:rsidR="005F57C0" w:rsidRPr="00244CD2">
              <w:rPr>
                <w:rFonts w:ascii="Book Antiqua" w:hAnsi="Book Antiqua"/>
                <w:noProof/>
              </w:rPr>
              <w:t xml:space="preserve"> </w:t>
            </w:r>
            <w:r w:rsidRPr="00244CD2">
              <w:rPr>
                <w:rFonts w:ascii="Book Antiqua" w:hAnsi="Book Antiqua"/>
                <w:noProof/>
              </w:rPr>
              <w:t>(13.20,</w:t>
            </w:r>
            <w:r w:rsidR="005F57C0" w:rsidRPr="00244CD2">
              <w:rPr>
                <w:rFonts w:ascii="Book Antiqua" w:hAnsi="Book Antiqua"/>
                <w:noProof/>
              </w:rPr>
              <w:t xml:space="preserve"> </w:t>
            </w:r>
            <w:r w:rsidRPr="00244CD2">
              <w:rPr>
                <w:rFonts w:ascii="Book Antiqua" w:hAnsi="Book Antiqua"/>
                <w:noProof/>
              </w:rPr>
              <w:t>69.07)</w:t>
            </w:r>
          </w:p>
        </w:tc>
        <w:tc>
          <w:tcPr>
            <w:tcW w:w="1508" w:type="pct"/>
            <w:tcBorders>
              <w:top w:val="nil"/>
              <w:left w:val="nil"/>
              <w:bottom w:val="nil"/>
              <w:right w:val="nil"/>
            </w:tcBorders>
            <w:vAlign w:val="center"/>
          </w:tcPr>
          <w:p w14:paraId="50DE471F"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12.77</w:t>
            </w:r>
            <w:r w:rsidR="005F57C0" w:rsidRPr="00244CD2">
              <w:rPr>
                <w:rFonts w:ascii="Book Antiqua" w:hAnsi="Book Antiqua"/>
                <w:noProof/>
              </w:rPr>
              <w:t xml:space="preserve"> </w:t>
            </w:r>
            <w:r w:rsidRPr="00244CD2">
              <w:rPr>
                <w:rFonts w:ascii="Book Antiqua" w:hAnsi="Book Antiqua"/>
                <w:noProof/>
              </w:rPr>
              <w:t>(6.18,</w:t>
            </w:r>
            <w:r w:rsidR="005F57C0" w:rsidRPr="00244CD2">
              <w:rPr>
                <w:rFonts w:ascii="Book Antiqua" w:hAnsi="Book Antiqua"/>
                <w:noProof/>
              </w:rPr>
              <w:t xml:space="preserve"> </w:t>
            </w:r>
            <w:r w:rsidRPr="00244CD2">
              <w:rPr>
                <w:rFonts w:ascii="Book Antiqua" w:hAnsi="Book Antiqua"/>
                <w:noProof/>
              </w:rPr>
              <w:t>23.15)</w:t>
            </w:r>
          </w:p>
        </w:tc>
        <w:tc>
          <w:tcPr>
            <w:tcW w:w="633" w:type="pct"/>
            <w:tcBorders>
              <w:top w:val="nil"/>
              <w:left w:val="nil"/>
              <w:bottom w:val="nil"/>
              <w:right w:val="nil"/>
            </w:tcBorders>
            <w:vAlign w:val="center"/>
          </w:tcPr>
          <w:p w14:paraId="7A5B5603"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&lt;</w:t>
            </w:r>
            <w:r w:rsidR="005F57C0" w:rsidRPr="00244CD2">
              <w:rPr>
                <w:rFonts w:ascii="Book Antiqua" w:hAnsi="Book Antiqua"/>
                <w:noProof/>
              </w:rPr>
              <w:t xml:space="preserve"> </w:t>
            </w:r>
            <w:r w:rsidRPr="00244CD2">
              <w:rPr>
                <w:rFonts w:ascii="Book Antiqua" w:hAnsi="Book Antiqua"/>
                <w:noProof/>
              </w:rPr>
              <w:t>0.001</w:t>
            </w:r>
          </w:p>
        </w:tc>
      </w:tr>
      <w:tr w:rsidR="004B4DAE" w:rsidRPr="004B4DAE" w14:paraId="46B768C4" w14:textId="77777777" w:rsidTr="00244CD2">
        <w:trPr>
          <w:trHeight w:hRule="exact" w:val="567"/>
        </w:trPr>
        <w:tc>
          <w:tcPr>
            <w:tcW w:w="1277" w:type="pct"/>
            <w:tcBorders>
              <w:top w:val="nil"/>
              <w:left w:val="nil"/>
              <w:bottom w:val="nil"/>
              <w:right w:val="nil"/>
            </w:tcBorders>
            <w:shd w:val="clear" w:color="auto" w:fill="auto"/>
            <w:vAlign w:val="center"/>
          </w:tcPr>
          <w:p w14:paraId="18107E45"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CBA/UBA ratio</w:t>
            </w:r>
          </w:p>
        </w:tc>
        <w:tc>
          <w:tcPr>
            <w:tcW w:w="1582" w:type="pct"/>
            <w:tcBorders>
              <w:top w:val="nil"/>
              <w:left w:val="nil"/>
              <w:bottom w:val="nil"/>
              <w:right w:val="nil"/>
            </w:tcBorders>
            <w:vAlign w:val="center"/>
          </w:tcPr>
          <w:p w14:paraId="4BC8D75C"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0.0080</w:t>
            </w:r>
            <w:r w:rsidR="005F57C0" w:rsidRPr="00244CD2">
              <w:rPr>
                <w:rFonts w:ascii="Book Antiqua" w:hAnsi="Book Antiqua"/>
                <w:noProof/>
              </w:rPr>
              <w:t xml:space="preserve"> </w:t>
            </w:r>
            <w:r w:rsidRPr="00244CD2">
              <w:rPr>
                <w:rFonts w:ascii="Book Antiqua" w:hAnsi="Book Antiqua"/>
                <w:noProof/>
              </w:rPr>
              <w:t>(0.0036,</w:t>
            </w:r>
            <w:r w:rsidR="005F57C0" w:rsidRPr="00244CD2">
              <w:rPr>
                <w:rFonts w:ascii="Book Antiqua" w:hAnsi="Book Antiqua"/>
                <w:noProof/>
              </w:rPr>
              <w:t xml:space="preserve"> </w:t>
            </w:r>
            <w:r w:rsidRPr="00244CD2">
              <w:rPr>
                <w:rFonts w:ascii="Book Antiqua" w:hAnsi="Book Antiqua"/>
                <w:noProof/>
              </w:rPr>
              <w:t>0.0172)</w:t>
            </w:r>
          </w:p>
        </w:tc>
        <w:tc>
          <w:tcPr>
            <w:tcW w:w="1508" w:type="pct"/>
            <w:tcBorders>
              <w:top w:val="nil"/>
              <w:left w:val="nil"/>
              <w:bottom w:val="nil"/>
              <w:right w:val="nil"/>
            </w:tcBorders>
            <w:vAlign w:val="center"/>
          </w:tcPr>
          <w:p w14:paraId="72FACA66"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0.0035</w:t>
            </w:r>
            <w:r w:rsidR="005F57C0" w:rsidRPr="00244CD2">
              <w:rPr>
                <w:rFonts w:ascii="Book Antiqua" w:hAnsi="Book Antiqua"/>
                <w:noProof/>
              </w:rPr>
              <w:t xml:space="preserve"> </w:t>
            </w:r>
            <w:r w:rsidRPr="00244CD2">
              <w:rPr>
                <w:rFonts w:ascii="Book Antiqua" w:hAnsi="Book Antiqua"/>
                <w:noProof/>
              </w:rPr>
              <w:t>(0.0019,</w:t>
            </w:r>
            <w:r w:rsidR="005F57C0" w:rsidRPr="00244CD2">
              <w:rPr>
                <w:rFonts w:ascii="Book Antiqua" w:hAnsi="Book Antiqua"/>
                <w:noProof/>
              </w:rPr>
              <w:t xml:space="preserve"> </w:t>
            </w:r>
            <w:r w:rsidRPr="00244CD2">
              <w:rPr>
                <w:rFonts w:ascii="Book Antiqua" w:hAnsi="Book Antiqua"/>
                <w:noProof/>
              </w:rPr>
              <w:t>0.0058)</w:t>
            </w:r>
          </w:p>
        </w:tc>
        <w:tc>
          <w:tcPr>
            <w:tcW w:w="633" w:type="pct"/>
            <w:tcBorders>
              <w:top w:val="nil"/>
              <w:left w:val="nil"/>
              <w:bottom w:val="nil"/>
              <w:right w:val="nil"/>
            </w:tcBorders>
            <w:vAlign w:val="center"/>
          </w:tcPr>
          <w:p w14:paraId="1A338D10" w14:textId="77777777" w:rsidR="002D00F9" w:rsidRPr="00244CD2" w:rsidRDefault="002D00F9">
            <w:pPr>
              <w:widowControl w:val="0"/>
              <w:adjustRightInd w:val="0"/>
              <w:snapToGrid w:val="0"/>
              <w:spacing w:line="360" w:lineRule="auto"/>
              <w:jc w:val="both"/>
              <w:rPr>
                <w:rFonts w:ascii="Book Antiqua" w:hAnsi="Book Antiqua"/>
                <w:noProof/>
              </w:rPr>
            </w:pPr>
            <w:r w:rsidRPr="00244CD2">
              <w:rPr>
                <w:rFonts w:ascii="Book Antiqua" w:hAnsi="Book Antiqua"/>
                <w:noProof/>
              </w:rPr>
              <w:t>0.004</w:t>
            </w:r>
          </w:p>
        </w:tc>
      </w:tr>
      <w:tr w:rsidR="004B4DAE" w:rsidRPr="004B4DAE" w14:paraId="05A3E373" w14:textId="77777777" w:rsidTr="00244CD2">
        <w:trPr>
          <w:trHeight w:hRule="exact" w:val="899"/>
        </w:trPr>
        <w:tc>
          <w:tcPr>
            <w:tcW w:w="1277" w:type="pct"/>
            <w:tcBorders>
              <w:top w:val="nil"/>
              <w:left w:val="nil"/>
              <w:bottom w:val="nil"/>
              <w:right w:val="nil"/>
            </w:tcBorders>
            <w:vAlign w:val="center"/>
          </w:tcPr>
          <w:p w14:paraId="053B0BC3"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 xml:space="preserve">Primary </w:t>
            </w:r>
            <w:bookmarkStart w:id="62" w:name="OLE_LINK84"/>
            <w:bookmarkStart w:id="63" w:name="OLE_LINK85"/>
            <w:r w:rsidRPr="00244CD2">
              <w:rPr>
                <w:rFonts w:ascii="Book Antiqua" w:hAnsi="Book Antiqua"/>
                <w:noProof/>
              </w:rPr>
              <w:t>BAs</w:t>
            </w:r>
            <w:bookmarkEnd w:id="62"/>
            <w:bookmarkEnd w:id="63"/>
          </w:p>
        </w:tc>
        <w:tc>
          <w:tcPr>
            <w:tcW w:w="1582" w:type="pct"/>
            <w:tcBorders>
              <w:top w:val="nil"/>
              <w:left w:val="nil"/>
              <w:bottom w:val="nil"/>
              <w:right w:val="nil"/>
            </w:tcBorders>
            <w:vAlign w:val="center"/>
          </w:tcPr>
          <w:p w14:paraId="453EE22D"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5534.22</w:t>
            </w:r>
            <w:r w:rsidR="005F57C0" w:rsidRPr="00244CD2">
              <w:rPr>
                <w:rFonts w:ascii="Book Antiqua" w:hAnsi="Book Antiqua"/>
                <w:noProof/>
              </w:rPr>
              <w:t xml:space="preserve"> </w:t>
            </w:r>
            <w:r w:rsidRPr="00244CD2">
              <w:rPr>
                <w:rFonts w:ascii="Book Antiqua" w:hAnsi="Book Antiqua"/>
                <w:noProof/>
              </w:rPr>
              <w:t>(672.24,</w:t>
            </w:r>
            <w:r w:rsidR="005F57C0" w:rsidRPr="00244CD2">
              <w:rPr>
                <w:rFonts w:ascii="Book Antiqua" w:hAnsi="Book Antiqua"/>
                <w:noProof/>
              </w:rPr>
              <w:t xml:space="preserve"> </w:t>
            </w:r>
            <w:r w:rsidRPr="00244CD2">
              <w:rPr>
                <w:rFonts w:ascii="Book Antiqua" w:hAnsi="Book Antiqua"/>
                <w:noProof/>
              </w:rPr>
              <w:t>10546.54)</w:t>
            </w:r>
          </w:p>
        </w:tc>
        <w:tc>
          <w:tcPr>
            <w:tcW w:w="1508" w:type="pct"/>
            <w:tcBorders>
              <w:top w:val="nil"/>
              <w:left w:val="nil"/>
              <w:bottom w:val="nil"/>
              <w:right w:val="nil"/>
            </w:tcBorders>
            <w:vAlign w:val="center"/>
          </w:tcPr>
          <w:p w14:paraId="1877A3E1"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85.88</w:t>
            </w:r>
            <w:r w:rsidR="005F57C0" w:rsidRPr="00244CD2">
              <w:rPr>
                <w:rFonts w:ascii="Book Antiqua" w:hAnsi="Book Antiqua"/>
                <w:noProof/>
              </w:rPr>
              <w:t xml:space="preserve"> </w:t>
            </w:r>
            <w:r w:rsidRPr="00244CD2">
              <w:rPr>
                <w:rFonts w:ascii="Book Antiqua" w:hAnsi="Book Antiqua"/>
                <w:noProof/>
              </w:rPr>
              <w:t>(27.08,</w:t>
            </w:r>
            <w:r w:rsidR="005F57C0" w:rsidRPr="00244CD2">
              <w:rPr>
                <w:rFonts w:ascii="Book Antiqua" w:hAnsi="Book Antiqua"/>
                <w:noProof/>
              </w:rPr>
              <w:t xml:space="preserve"> </w:t>
            </w:r>
            <w:r w:rsidRPr="00244CD2">
              <w:rPr>
                <w:rFonts w:ascii="Book Antiqua" w:hAnsi="Book Antiqua"/>
                <w:noProof/>
              </w:rPr>
              <w:t>3197.10)</w:t>
            </w:r>
          </w:p>
        </w:tc>
        <w:tc>
          <w:tcPr>
            <w:tcW w:w="633" w:type="pct"/>
            <w:tcBorders>
              <w:top w:val="nil"/>
              <w:left w:val="nil"/>
              <w:bottom w:val="nil"/>
              <w:right w:val="nil"/>
            </w:tcBorders>
            <w:vAlign w:val="center"/>
          </w:tcPr>
          <w:p w14:paraId="40D6A5D0"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&lt;</w:t>
            </w:r>
            <w:r w:rsidR="005F57C0" w:rsidRPr="00244CD2">
              <w:rPr>
                <w:rFonts w:ascii="Book Antiqua" w:hAnsi="Book Antiqua"/>
                <w:noProof/>
              </w:rPr>
              <w:t xml:space="preserve"> </w:t>
            </w:r>
            <w:r w:rsidRPr="00244CD2">
              <w:rPr>
                <w:rFonts w:ascii="Book Antiqua" w:hAnsi="Book Antiqua"/>
                <w:noProof/>
              </w:rPr>
              <w:t>0.001</w:t>
            </w:r>
          </w:p>
        </w:tc>
      </w:tr>
      <w:tr w:rsidR="004B4DAE" w:rsidRPr="004B4DAE" w14:paraId="130C9709" w14:textId="77777777" w:rsidTr="00244CD2">
        <w:trPr>
          <w:trHeight w:hRule="exact" w:val="996"/>
        </w:trPr>
        <w:tc>
          <w:tcPr>
            <w:tcW w:w="1277" w:type="pct"/>
            <w:tcBorders>
              <w:top w:val="nil"/>
              <w:left w:val="nil"/>
              <w:bottom w:val="nil"/>
              <w:right w:val="nil"/>
            </w:tcBorders>
            <w:vAlign w:val="center"/>
          </w:tcPr>
          <w:p w14:paraId="7B595FCE"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Secondary BAs</w:t>
            </w:r>
          </w:p>
        </w:tc>
        <w:tc>
          <w:tcPr>
            <w:tcW w:w="1582" w:type="pct"/>
            <w:tcBorders>
              <w:top w:val="nil"/>
              <w:left w:val="nil"/>
              <w:bottom w:val="nil"/>
              <w:right w:val="nil"/>
            </w:tcBorders>
            <w:vAlign w:val="center"/>
          </w:tcPr>
          <w:p w14:paraId="2EBD6869"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3759.10</w:t>
            </w:r>
            <w:r w:rsidR="005F57C0" w:rsidRPr="00244CD2">
              <w:rPr>
                <w:rFonts w:ascii="Book Antiqua" w:hAnsi="Book Antiqua"/>
                <w:noProof/>
              </w:rPr>
              <w:t xml:space="preserve"> </w:t>
            </w:r>
            <w:r w:rsidRPr="00244CD2">
              <w:rPr>
                <w:rFonts w:ascii="Book Antiqua" w:hAnsi="Book Antiqua"/>
                <w:noProof/>
              </w:rPr>
              <w:t>(336.36,</w:t>
            </w:r>
            <w:r w:rsidR="005F57C0" w:rsidRPr="00244CD2">
              <w:rPr>
                <w:rFonts w:ascii="Book Antiqua" w:hAnsi="Book Antiqua"/>
                <w:noProof/>
              </w:rPr>
              <w:t xml:space="preserve"> </w:t>
            </w:r>
            <w:r w:rsidRPr="00244CD2">
              <w:rPr>
                <w:rFonts w:ascii="Book Antiqua" w:hAnsi="Book Antiqua"/>
                <w:noProof/>
              </w:rPr>
              <w:t>4694.96)</w:t>
            </w:r>
          </w:p>
        </w:tc>
        <w:tc>
          <w:tcPr>
            <w:tcW w:w="1508" w:type="pct"/>
            <w:tcBorders>
              <w:top w:val="nil"/>
              <w:left w:val="nil"/>
              <w:bottom w:val="nil"/>
              <w:right w:val="nil"/>
            </w:tcBorders>
            <w:vAlign w:val="center"/>
          </w:tcPr>
          <w:p w14:paraId="335B4050"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4675.59</w:t>
            </w:r>
            <w:r w:rsidR="005F57C0" w:rsidRPr="00244CD2">
              <w:rPr>
                <w:rFonts w:ascii="Book Antiqua" w:hAnsi="Book Antiqua"/>
                <w:noProof/>
              </w:rPr>
              <w:t xml:space="preserve"> </w:t>
            </w:r>
            <w:r w:rsidRPr="00244CD2">
              <w:rPr>
                <w:rFonts w:ascii="Book Antiqua" w:hAnsi="Book Antiqua"/>
                <w:noProof/>
              </w:rPr>
              <w:t>(3543.60,</w:t>
            </w:r>
            <w:r w:rsidR="005F57C0" w:rsidRPr="00244CD2">
              <w:rPr>
                <w:rFonts w:ascii="Book Antiqua" w:hAnsi="Book Antiqua"/>
                <w:noProof/>
              </w:rPr>
              <w:t xml:space="preserve"> </w:t>
            </w:r>
            <w:r w:rsidRPr="00244CD2">
              <w:rPr>
                <w:rFonts w:ascii="Book Antiqua" w:hAnsi="Book Antiqua"/>
                <w:noProof/>
              </w:rPr>
              <w:t>5623.73)</w:t>
            </w:r>
          </w:p>
        </w:tc>
        <w:tc>
          <w:tcPr>
            <w:tcW w:w="633" w:type="pct"/>
            <w:tcBorders>
              <w:top w:val="nil"/>
              <w:left w:val="nil"/>
              <w:bottom w:val="nil"/>
              <w:right w:val="nil"/>
            </w:tcBorders>
            <w:vAlign w:val="center"/>
          </w:tcPr>
          <w:p w14:paraId="4EBF116E" w14:textId="77777777" w:rsidR="002D00F9" w:rsidRPr="00244CD2" w:rsidRDefault="002D00F9">
            <w:pPr>
              <w:widowControl w:val="0"/>
              <w:adjustRightInd w:val="0"/>
              <w:snapToGrid w:val="0"/>
              <w:spacing w:line="360" w:lineRule="auto"/>
              <w:jc w:val="both"/>
              <w:rPr>
                <w:rFonts w:ascii="Book Antiqua" w:hAnsi="Book Antiqua"/>
                <w:noProof/>
              </w:rPr>
            </w:pPr>
            <w:r w:rsidRPr="00244CD2">
              <w:rPr>
                <w:rFonts w:ascii="Book Antiqua" w:hAnsi="Book Antiqua"/>
                <w:noProof/>
              </w:rPr>
              <w:t>0.009</w:t>
            </w:r>
          </w:p>
        </w:tc>
      </w:tr>
      <w:tr w:rsidR="004B4DAE" w:rsidRPr="004B4DAE" w14:paraId="0035E946" w14:textId="77777777" w:rsidTr="00244CD2">
        <w:trPr>
          <w:trHeight w:hRule="exact" w:val="567"/>
        </w:trPr>
        <w:tc>
          <w:tcPr>
            <w:tcW w:w="1277" w:type="pct"/>
            <w:tcBorders>
              <w:top w:val="nil"/>
              <w:left w:val="nil"/>
              <w:bottom w:val="single" w:sz="4" w:space="0" w:color="auto"/>
              <w:right w:val="nil"/>
            </w:tcBorders>
            <w:shd w:val="clear" w:color="auto" w:fill="auto"/>
            <w:vAlign w:val="center"/>
          </w:tcPr>
          <w:p w14:paraId="650AE139" w14:textId="50DDC531" w:rsidR="002D00F9" w:rsidRPr="00244CD2" w:rsidRDefault="002D00F9" w:rsidP="004B4DAE">
            <w:pPr>
              <w:widowControl w:val="0"/>
              <w:adjustRightInd w:val="0"/>
              <w:snapToGrid w:val="0"/>
              <w:spacing w:line="360" w:lineRule="auto"/>
              <w:jc w:val="both"/>
              <w:rPr>
                <w:rFonts w:ascii="Book Antiqua" w:hAnsi="Book Antiqua"/>
                <w:noProof/>
              </w:rPr>
            </w:pPr>
            <w:bookmarkStart w:id="64" w:name="OLE_LINK82"/>
            <w:r w:rsidRPr="00244CD2">
              <w:rPr>
                <w:rFonts w:ascii="Book Antiqua" w:hAnsi="Book Antiqua"/>
                <w:noProof/>
              </w:rPr>
              <w:t>PBA/SBA</w:t>
            </w:r>
            <w:bookmarkEnd w:id="64"/>
            <w:r w:rsidRPr="00244CD2">
              <w:rPr>
                <w:rFonts w:ascii="Book Antiqua" w:hAnsi="Book Antiqua"/>
                <w:noProof/>
              </w:rPr>
              <w:t xml:space="preserve"> ratio</w:t>
            </w:r>
          </w:p>
        </w:tc>
        <w:tc>
          <w:tcPr>
            <w:tcW w:w="1582" w:type="pct"/>
            <w:tcBorders>
              <w:top w:val="nil"/>
              <w:left w:val="nil"/>
              <w:bottom w:val="single" w:sz="4" w:space="0" w:color="auto"/>
              <w:right w:val="nil"/>
            </w:tcBorders>
            <w:vAlign w:val="center"/>
          </w:tcPr>
          <w:p w14:paraId="6D6F474F"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1.66</w:t>
            </w:r>
            <w:r w:rsidR="005F57C0" w:rsidRPr="00244CD2">
              <w:rPr>
                <w:rFonts w:ascii="Book Antiqua" w:hAnsi="Book Antiqua"/>
                <w:noProof/>
              </w:rPr>
              <w:t xml:space="preserve"> </w:t>
            </w:r>
            <w:r w:rsidRPr="00244CD2">
              <w:rPr>
                <w:rFonts w:ascii="Book Antiqua" w:hAnsi="Book Antiqua"/>
                <w:noProof/>
              </w:rPr>
              <w:t>(0.22,</w:t>
            </w:r>
            <w:r w:rsidR="005F57C0" w:rsidRPr="00244CD2">
              <w:rPr>
                <w:rFonts w:ascii="Book Antiqua" w:hAnsi="Book Antiqua"/>
                <w:noProof/>
              </w:rPr>
              <w:t xml:space="preserve"> </w:t>
            </w:r>
            <w:r w:rsidRPr="00244CD2">
              <w:rPr>
                <w:rFonts w:ascii="Book Antiqua" w:hAnsi="Book Antiqua"/>
                <w:noProof/>
              </w:rPr>
              <w:t>11.14)</w:t>
            </w:r>
          </w:p>
        </w:tc>
        <w:tc>
          <w:tcPr>
            <w:tcW w:w="1508" w:type="pct"/>
            <w:tcBorders>
              <w:top w:val="nil"/>
              <w:left w:val="nil"/>
              <w:bottom w:val="single" w:sz="4" w:space="0" w:color="auto"/>
              <w:right w:val="nil"/>
            </w:tcBorders>
            <w:vAlign w:val="center"/>
          </w:tcPr>
          <w:p w14:paraId="610F8859"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0.02</w:t>
            </w:r>
            <w:r w:rsidR="005F57C0" w:rsidRPr="00244CD2">
              <w:rPr>
                <w:rFonts w:ascii="Book Antiqua" w:hAnsi="Book Antiqua"/>
                <w:noProof/>
              </w:rPr>
              <w:t xml:space="preserve"> </w:t>
            </w:r>
            <w:r w:rsidRPr="00244CD2">
              <w:rPr>
                <w:rFonts w:ascii="Book Antiqua" w:hAnsi="Book Antiqua"/>
                <w:noProof/>
              </w:rPr>
              <w:t>(0.01,</w:t>
            </w:r>
            <w:r w:rsidR="005F57C0" w:rsidRPr="00244CD2">
              <w:rPr>
                <w:rFonts w:ascii="Book Antiqua" w:hAnsi="Book Antiqua"/>
                <w:noProof/>
              </w:rPr>
              <w:t xml:space="preserve"> </w:t>
            </w:r>
            <w:r w:rsidRPr="00244CD2">
              <w:rPr>
                <w:rFonts w:ascii="Book Antiqua" w:hAnsi="Book Antiqua"/>
                <w:noProof/>
              </w:rPr>
              <w:t>0.57)</w:t>
            </w:r>
          </w:p>
        </w:tc>
        <w:tc>
          <w:tcPr>
            <w:tcW w:w="633" w:type="pct"/>
            <w:tcBorders>
              <w:top w:val="nil"/>
              <w:left w:val="nil"/>
              <w:bottom w:val="single" w:sz="4" w:space="0" w:color="auto"/>
              <w:right w:val="nil"/>
            </w:tcBorders>
            <w:vAlign w:val="center"/>
          </w:tcPr>
          <w:p w14:paraId="2BEEB8D7"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&lt;</w:t>
            </w:r>
            <w:r w:rsidR="005F57C0" w:rsidRPr="00244CD2">
              <w:rPr>
                <w:rFonts w:ascii="Book Antiqua" w:hAnsi="Book Antiqua"/>
                <w:noProof/>
              </w:rPr>
              <w:t xml:space="preserve"> </w:t>
            </w:r>
            <w:r w:rsidRPr="00244CD2">
              <w:rPr>
                <w:rFonts w:ascii="Book Antiqua" w:hAnsi="Book Antiqua"/>
                <w:noProof/>
              </w:rPr>
              <w:t>0.001</w:t>
            </w:r>
          </w:p>
        </w:tc>
      </w:tr>
    </w:tbl>
    <w:p w14:paraId="2F42DBC0" w14:textId="681E1680" w:rsidR="002D00F9" w:rsidRPr="00244CD2" w:rsidRDefault="002D00F9" w:rsidP="004B4DAE">
      <w:pPr>
        <w:adjustRightInd w:val="0"/>
        <w:snapToGrid w:val="0"/>
        <w:spacing w:line="360" w:lineRule="auto"/>
        <w:jc w:val="both"/>
        <w:rPr>
          <w:rFonts w:ascii="Book Antiqua" w:hAnsi="Book Antiqua"/>
          <w:noProof/>
          <w:lang w:eastAsia="zh-CN"/>
        </w:rPr>
      </w:pPr>
      <w:r w:rsidRPr="00244CD2">
        <w:rPr>
          <w:rFonts w:ascii="Book Antiqua" w:hAnsi="Book Antiqua"/>
          <w:noProof/>
        </w:rPr>
        <w:t xml:space="preserve">The bile acids data are presented as the median (Q1, Q3). The </w:t>
      </w:r>
      <w:r w:rsidRPr="00244CD2">
        <w:rPr>
          <w:rFonts w:ascii="Book Antiqua" w:hAnsi="Book Antiqua"/>
          <w:i/>
          <w:noProof/>
        </w:rPr>
        <w:t>P</w:t>
      </w:r>
      <w:r w:rsidRPr="00244CD2">
        <w:rPr>
          <w:rFonts w:ascii="Book Antiqua" w:hAnsi="Book Antiqua"/>
          <w:noProof/>
        </w:rPr>
        <w:t xml:space="preserve"> value </w:t>
      </w:r>
      <w:r w:rsidR="00F7442E" w:rsidRPr="00244CD2">
        <w:rPr>
          <w:rFonts w:ascii="Book Antiqua" w:hAnsi="Book Antiqua"/>
          <w:noProof/>
          <w:lang w:eastAsia="zh-CN"/>
        </w:rPr>
        <w:t>after</w:t>
      </w:r>
      <w:r w:rsidRPr="00244CD2">
        <w:rPr>
          <w:rFonts w:ascii="Book Antiqua" w:hAnsi="Book Antiqua"/>
          <w:noProof/>
        </w:rPr>
        <w:t xml:space="preserve"> FDR correction was presented in the table. </w:t>
      </w:r>
      <w:r w:rsidR="00863802" w:rsidRPr="00244CD2">
        <w:rPr>
          <w:rFonts w:ascii="Book Antiqua" w:hAnsi="Book Antiqua"/>
          <w:noProof/>
        </w:rPr>
        <w:t>B</w:t>
      </w:r>
      <w:r w:rsidR="00863802" w:rsidRPr="00244CD2">
        <w:rPr>
          <w:rFonts w:ascii="Book Antiqua" w:hAnsi="Book Antiqua"/>
          <w:noProof/>
          <w:lang w:eastAsia="zh-CN"/>
        </w:rPr>
        <w:t>A</w:t>
      </w:r>
      <w:r w:rsidR="00863802" w:rsidRPr="00244CD2">
        <w:rPr>
          <w:rFonts w:ascii="Book Antiqua" w:hAnsi="Book Antiqua"/>
          <w:noProof/>
        </w:rPr>
        <w:t>s</w:t>
      </w:r>
      <w:r w:rsidR="00863802" w:rsidRPr="00244CD2">
        <w:rPr>
          <w:rFonts w:ascii="Book Antiqua" w:hAnsi="Book Antiqua"/>
          <w:noProof/>
          <w:lang w:eastAsia="zh-CN"/>
        </w:rPr>
        <w:t>: Bile acids;</w:t>
      </w:r>
      <w:r w:rsidR="0037608A" w:rsidRPr="00244CD2">
        <w:rPr>
          <w:rFonts w:ascii="Book Antiqua" w:hAnsi="Book Antiqua"/>
          <w:noProof/>
        </w:rPr>
        <w:t xml:space="preserve"> CA: </w:t>
      </w:r>
      <w:r w:rsidR="0037608A" w:rsidRPr="00244CD2">
        <w:rPr>
          <w:rFonts w:ascii="Book Antiqua" w:hAnsi="Book Antiqua"/>
          <w:noProof/>
          <w:lang w:eastAsia="zh-CN"/>
        </w:rPr>
        <w:t>C</w:t>
      </w:r>
      <w:r w:rsidR="0037608A" w:rsidRPr="00244CD2">
        <w:rPr>
          <w:rFonts w:ascii="Book Antiqua" w:hAnsi="Book Antiqua"/>
          <w:noProof/>
        </w:rPr>
        <w:t xml:space="preserve">holic acid; </w:t>
      </w:r>
      <w:r w:rsidR="004B4DAE" w:rsidRPr="00160BAD">
        <w:rPr>
          <w:rFonts w:ascii="Book Antiqua" w:hAnsi="Book Antiqua"/>
          <w:noProof/>
          <w:lang w:eastAsia="zh-CN"/>
        </w:rPr>
        <w:t xml:space="preserve">CBA/UBA ratio: </w:t>
      </w:r>
      <w:r w:rsidR="004B4DAE" w:rsidRPr="00160BAD">
        <w:rPr>
          <w:rFonts w:ascii="Book Antiqua" w:eastAsia="Book Antiqua" w:hAnsi="Book Antiqua" w:cs="Book Antiqua"/>
          <w:noProof/>
        </w:rPr>
        <w:t xml:space="preserve">The </w:t>
      </w:r>
      <w:r w:rsidR="004B4DAE" w:rsidRPr="00160BAD">
        <w:rPr>
          <w:rFonts w:ascii="Book Antiqua" w:eastAsia="Book Antiqua" w:hAnsi="Book Antiqua" w:cs="Book Antiqua"/>
          <w:noProof/>
          <w:lang w:eastAsia="zh-CN"/>
        </w:rPr>
        <w:t xml:space="preserve">ratio of </w:t>
      </w:r>
      <w:r w:rsidR="004B4DAE" w:rsidRPr="00160BAD">
        <w:rPr>
          <w:rFonts w:ascii="Book Antiqua" w:hAnsi="Book Antiqua" w:cs="Book Antiqua"/>
          <w:noProof/>
          <w:lang w:eastAsia="zh-CN"/>
        </w:rPr>
        <w:t>conjugated</w:t>
      </w:r>
      <w:r w:rsidR="004B4DAE" w:rsidRPr="00160BAD">
        <w:rPr>
          <w:rFonts w:ascii="Book Antiqua" w:eastAsia="Book Antiqua" w:hAnsi="Book Antiqua" w:cs="Book Antiqua"/>
          <w:noProof/>
        </w:rPr>
        <w:t xml:space="preserve"> </w:t>
      </w:r>
      <w:r w:rsidR="004B4DAE" w:rsidRPr="00160BAD">
        <w:rPr>
          <w:rFonts w:ascii="Book Antiqua" w:hAnsi="Book Antiqua" w:cs="Book Antiqua"/>
          <w:noProof/>
          <w:lang w:eastAsia="zh-CN"/>
        </w:rPr>
        <w:t>BAs</w:t>
      </w:r>
      <w:r w:rsidR="004B4DAE" w:rsidRPr="00160BAD">
        <w:rPr>
          <w:rFonts w:ascii="Book Antiqua" w:eastAsia="Book Antiqua" w:hAnsi="Book Antiqua" w:cs="Book Antiqua"/>
          <w:noProof/>
        </w:rPr>
        <w:t xml:space="preserve"> to unconjugated </w:t>
      </w:r>
      <w:r w:rsidR="004B4DAE" w:rsidRPr="00160BAD">
        <w:rPr>
          <w:rFonts w:ascii="Book Antiqua" w:hAnsi="Book Antiqua" w:cs="Book Antiqua"/>
          <w:noProof/>
          <w:lang w:eastAsia="zh-CN"/>
        </w:rPr>
        <w:t>BAs</w:t>
      </w:r>
      <w:r w:rsidR="004B4DAE" w:rsidRPr="00160BAD">
        <w:rPr>
          <w:rFonts w:ascii="Book Antiqua" w:eastAsia="Book Antiqua" w:hAnsi="Book Antiqua" w:cs="Book Antiqua"/>
          <w:noProof/>
        </w:rPr>
        <w:t>;</w:t>
      </w:r>
      <w:r w:rsidR="004B4DAE" w:rsidRPr="00160BAD">
        <w:rPr>
          <w:rFonts w:ascii="Book Antiqua" w:hAnsi="Book Antiqua"/>
          <w:noProof/>
        </w:rPr>
        <w:t xml:space="preserve"> </w:t>
      </w:r>
      <w:r w:rsidR="0037608A" w:rsidRPr="00244CD2">
        <w:rPr>
          <w:rFonts w:ascii="Book Antiqua" w:hAnsi="Book Antiqua"/>
          <w:noProof/>
        </w:rPr>
        <w:t xml:space="preserve">CDCA: </w:t>
      </w:r>
      <w:r w:rsidR="0037608A" w:rsidRPr="00244CD2">
        <w:rPr>
          <w:rFonts w:ascii="Book Antiqua" w:hAnsi="Book Antiqua"/>
          <w:noProof/>
          <w:lang w:eastAsia="zh-CN"/>
        </w:rPr>
        <w:t>C</w:t>
      </w:r>
      <w:r w:rsidR="0037608A" w:rsidRPr="00244CD2">
        <w:rPr>
          <w:rFonts w:ascii="Book Antiqua" w:hAnsi="Book Antiqua"/>
          <w:noProof/>
        </w:rPr>
        <w:t xml:space="preserve">henodeoxycholic acid; DCA: </w:t>
      </w:r>
      <w:r w:rsidR="0037608A" w:rsidRPr="00244CD2">
        <w:rPr>
          <w:rFonts w:ascii="Book Antiqua" w:hAnsi="Book Antiqua"/>
          <w:noProof/>
          <w:lang w:eastAsia="zh-CN"/>
        </w:rPr>
        <w:t>D</w:t>
      </w:r>
      <w:r w:rsidR="0037608A" w:rsidRPr="00244CD2">
        <w:rPr>
          <w:rFonts w:ascii="Book Antiqua" w:hAnsi="Book Antiqua"/>
          <w:noProof/>
        </w:rPr>
        <w:t xml:space="preserve">eoxycholic acid; GCA: </w:t>
      </w:r>
      <w:r w:rsidR="0037608A" w:rsidRPr="00244CD2">
        <w:rPr>
          <w:rFonts w:ascii="Book Antiqua" w:hAnsi="Book Antiqua"/>
          <w:noProof/>
          <w:lang w:eastAsia="zh-CN"/>
        </w:rPr>
        <w:t>G</w:t>
      </w:r>
      <w:r w:rsidR="0037608A" w:rsidRPr="00244CD2">
        <w:rPr>
          <w:rFonts w:ascii="Book Antiqua" w:hAnsi="Book Antiqua"/>
          <w:noProof/>
        </w:rPr>
        <w:t xml:space="preserve">lyco-cholic acid; GCDCA: </w:t>
      </w:r>
      <w:r w:rsidR="0037608A" w:rsidRPr="00244CD2">
        <w:rPr>
          <w:rFonts w:ascii="Book Antiqua" w:hAnsi="Book Antiqua"/>
          <w:noProof/>
          <w:lang w:eastAsia="zh-CN"/>
        </w:rPr>
        <w:t>G</w:t>
      </w:r>
      <w:r w:rsidRPr="00244CD2">
        <w:rPr>
          <w:rFonts w:ascii="Book Antiqua" w:hAnsi="Book Antiqua"/>
          <w:noProof/>
        </w:rPr>
        <w:t>lyc</w:t>
      </w:r>
      <w:r w:rsidR="0037608A" w:rsidRPr="00244CD2">
        <w:rPr>
          <w:rFonts w:ascii="Book Antiqua" w:hAnsi="Book Antiqua"/>
          <w:noProof/>
        </w:rPr>
        <w:t xml:space="preserve">o-chenodeoxycholic acid; GDCA: </w:t>
      </w:r>
      <w:r w:rsidR="0037608A" w:rsidRPr="00244CD2">
        <w:rPr>
          <w:rFonts w:ascii="Book Antiqua" w:hAnsi="Book Antiqua"/>
          <w:noProof/>
          <w:lang w:eastAsia="zh-CN"/>
        </w:rPr>
        <w:t>G</w:t>
      </w:r>
      <w:r w:rsidRPr="00244CD2">
        <w:rPr>
          <w:rFonts w:ascii="Book Antiqua" w:hAnsi="Book Antiqua"/>
          <w:noProof/>
        </w:rPr>
        <w:t>lyco-deoxycholic acid; G</w:t>
      </w:r>
      <w:r w:rsidR="0037608A" w:rsidRPr="00244CD2">
        <w:rPr>
          <w:rFonts w:ascii="Book Antiqua" w:hAnsi="Book Antiqua"/>
          <w:noProof/>
        </w:rPr>
        <w:t xml:space="preserve">LCA: </w:t>
      </w:r>
      <w:r w:rsidR="0037608A" w:rsidRPr="00244CD2">
        <w:rPr>
          <w:rFonts w:ascii="Book Antiqua" w:hAnsi="Book Antiqua"/>
          <w:noProof/>
          <w:lang w:eastAsia="zh-CN"/>
        </w:rPr>
        <w:t>G</w:t>
      </w:r>
      <w:r w:rsidR="0037608A" w:rsidRPr="00244CD2">
        <w:rPr>
          <w:rFonts w:ascii="Book Antiqua" w:hAnsi="Book Antiqua"/>
          <w:noProof/>
        </w:rPr>
        <w:t xml:space="preserve">lyco-lithocholic acid; GUDCA: </w:t>
      </w:r>
      <w:r w:rsidR="0037608A" w:rsidRPr="00244CD2">
        <w:rPr>
          <w:rFonts w:ascii="Book Antiqua" w:hAnsi="Book Antiqua"/>
          <w:noProof/>
          <w:lang w:eastAsia="zh-CN"/>
        </w:rPr>
        <w:t>G</w:t>
      </w:r>
      <w:r w:rsidRPr="00244CD2">
        <w:rPr>
          <w:rFonts w:ascii="Book Antiqua" w:hAnsi="Book Antiqua"/>
          <w:noProof/>
        </w:rPr>
        <w:t>l</w:t>
      </w:r>
      <w:r w:rsidR="0037608A" w:rsidRPr="00244CD2">
        <w:rPr>
          <w:rFonts w:ascii="Book Antiqua" w:hAnsi="Book Antiqua"/>
          <w:noProof/>
        </w:rPr>
        <w:t xml:space="preserve">yco-ursodeoxycholic acid; </w:t>
      </w:r>
      <w:r w:rsidR="004B4DAE" w:rsidRPr="005B13F6">
        <w:rPr>
          <w:rFonts w:ascii="Book Antiqua" w:hAnsi="Book Antiqua"/>
          <w:noProof/>
        </w:rPr>
        <w:t xml:space="preserve">IBS-D: Irritable bowel syndrome with predominant diarrhea; </w:t>
      </w:r>
      <w:r w:rsidR="004B4DAE" w:rsidRPr="004209A5">
        <w:rPr>
          <w:rFonts w:ascii="Book Antiqua" w:hAnsi="Book Antiqua"/>
          <w:noProof/>
        </w:rPr>
        <w:t xml:space="preserve">LCA: </w:t>
      </w:r>
      <w:r w:rsidR="004B4DAE" w:rsidRPr="004209A5">
        <w:rPr>
          <w:rFonts w:ascii="Book Antiqua" w:hAnsi="Book Antiqua"/>
          <w:noProof/>
          <w:lang w:eastAsia="zh-CN"/>
        </w:rPr>
        <w:t>L</w:t>
      </w:r>
      <w:r w:rsidR="004B4DAE" w:rsidRPr="004209A5">
        <w:rPr>
          <w:rFonts w:ascii="Book Antiqua" w:hAnsi="Book Antiqua"/>
          <w:noProof/>
        </w:rPr>
        <w:t xml:space="preserve">ithocholic acid; </w:t>
      </w:r>
      <w:r w:rsidR="004B4DAE" w:rsidRPr="00160BAD">
        <w:rPr>
          <w:rFonts w:ascii="Book Antiqua" w:hAnsi="Book Antiqua"/>
          <w:noProof/>
        </w:rPr>
        <w:t xml:space="preserve">PBA/SBA </w:t>
      </w:r>
      <w:r w:rsidR="004B4DAE" w:rsidRPr="00160BAD">
        <w:rPr>
          <w:rFonts w:ascii="Book Antiqua" w:hAnsi="Book Antiqua"/>
          <w:noProof/>
          <w:lang w:eastAsia="zh-CN"/>
        </w:rPr>
        <w:t>ratio:</w:t>
      </w:r>
      <w:r w:rsidR="004B4DAE" w:rsidRPr="00160BAD">
        <w:rPr>
          <w:rFonts w:ascii="Book Antiqua" w:eastAsia="Book Antiqua" w:hAnsi="Book Antiqua" w:cs="Book Antiqua"/>
          <w:noProof/>
        </w:rPr>
        <w:t xml:space="preserve"> The </w:t>
      </w:r>
      <w:r w:rsidR="004B4DAE" w:rsidRPr="00160BAD">
        <w:rPr>
          <w:rFonts w:ascii="Book Antiqua" w:eastAsia="Book Antiqua" w:hAnsi="Book Antiqua" w:cs="Book Antiqua"/>
          <w:noProof/>
          <w:lang w:eastAsia="zh-CN"/>
        </w:rPr>
        <w:t xml:space="preserve">ratio of </w:t>
      </w:r>
      <w:r w:rsidR="004B4DAE" w:rsidRPr="00160BAD">
        <w:rPr>
          <w:rFonts w:ascii="Book Antiqua" w:hAnsi="Book Antiqua" w:cs="Book Antiqua"/>
          <w:noProof/>
          <w:lang w:eastAsia="zh-CN"/>
        </w:rPr>
        <w:t>p</w:t>
      </w:r>
      <w:r w:rsidR="004B4DAE" w:rsidRPr="00160BAD">
        <w:rPr>
          <w:rFonts w:ascii="Book Antiqua" w:eastAsia="Book Antiqua" w:hAnsi="Book Antiqua" w:cs="Book Antiqua"/>
          <w:noProof/>
        </w:rPr>
        <w:t xml:space="preserve">rimary </w:t>
      </w:r>
      <w:r w:rsidR="004B4DAE" w:rsidRPr="00160BAD">
        <w:rPr>
          <w:rFonts w:ascii="Book Antiqua" w:hAnsi="Book Antiqua" w:cs="Book Antiqua"/>
          <w:noProof/>
          <w:lang w:eastAsia="zh-CN"/>
        </w:rPr>
        <w:t>BAs</w:t>
      </w:r>
      <w:r w:rsidR="004B4DAE" w:rsidRPr="00160BAD">
        <w:rPr>
          <w:rFonts w:ascii="Book Antiqua" w:eastAsia="Book Antiqua" w:hAnsi="Book Antiqua" w:cs="Book Antiqua"/>
          <w:noProof/>
        </w:rPr>
        <w:t xml:space="preserve"> to secondary </w:t>
      </w:r>
      <w:r w:rsidR="004B4DAE" w:rsidRPr="00160BAD">
        <w:rPr>
          <w:rFonts w:ascii="Book Antiqua" w:hAnsi="Book Antiqua" w:cs="Book Antiqua"/>
          <w:noProof/>
          <w:lang w:eastAsia="zh-CN"/>
        </w:rPr>
        <w:t>Bas</w:t>
      </w:r>
      <w:r w:rsidR="004B4DAE">
        <w:rPr>
          <w:rFonts w:ascii="Book Antiqua" w:hAnsi="Book Antiqua"/>
          <w:noProof/>
        </w:rPr>
        <w:t xml:space="preserve">; </w:t>
      </w:r>
      <w:r w:rsidR="0037608A" w:rsidRPr="00244CD2">
        <w:rPr>
          <w:rFonts w:ascii="Book Antiqua" w:hAnsi="Book Antiqua"/>
          <w:noProof/>
        </w:rPr>
        <w:t xml:space="preserve">TCA: </w:t>
      </w:r>
      <w:r w:rsidR="0037608A" w:rsidRPr="00244CD2">
        <w:rPr>
          <w:rFonts w:ascii="Book Antiqua" w:hAnsi="Book Antiqua"/>
          <w:noProof/>
          <w:lang w:eastAsia="zh-CN"/>
        </w:rPr>
        <w:t>T</w:t>
      </w:r>
      <w:r w:rsidR="0037608A" w:rsidRPr="00244CD2">
        <w:rPr>
          <w:rFonts w:ascii="Book Antiqua" w:hAnsi="Book Antiqua"/>
          <w:noProof/>
        </w:rPr>
        <w:t xml:space="preserve">auro-cholic acid; TCDCA: </w:t>
      </w:r>
      <w:r w:rsidR="0037608A" w:rsidRPr="00244CD2">
        <w:rPr>
          <w:rFonts w:ascii="Book Antiqua" w:hAnsi="Book Antiqua"/>
          <w:noProof/>
          <w:lang w:eastAsia="zh-CN"/>
        </w:rPr>
        <w:t>T</w:t>
      </w:r>
      <w:r w:rsidRPr="00244CD2">
        <w:rPr>
          <w:rFonts w:ascii="Book Antiqua" w:hAnsi="Book Antiqua"/>
          <w:noProof/>
        </w:rPr>
        <w:t>aur</w:t>
      </w:r>
      <w:r w:rsidR="0037608A" w:rsidRPr="00244CD2">
        <w:rPr>
          <w:rFonts w:ascii="Book Antiqua" w:hAnsi="Book Antiqua"/>
          <w:noProof/>
        </w:rPr>
        <w:t xml:space="preserve">o-chenodeoxycholic acid; TDCA: </w:t>
      </w:r>
      <w:r w:rsidR="0037608A" w:rsidRPr="00244CD2">
        <w:rPr>
          <w:rFonts w:ascii="Book Antiqua" w:hAnsi="Book Antiqua"/>
          <w:noProof/>
          <w:lang w:eastAsia="zh-CN"/>
        </w:rPr>
        <w:t>T</w:t>
      </w:r>
      <w:r w:rsidR="0037608A" w:rsidRPr="00244CD2">
        <w:rPr>
          <w:rFonts w:ascii="Book Antiqua" w:hAnsi="Book Antiqua"/>
          <w:noProof/>
        </w:rPr>
        <w:t xml:space="preserve">auro-deoxycholic acid; TLCA: </w:t>
      </w:r>
      <w:r w:rsidR="0037608A" w:rsidRPr="00244CD2">
        <w:rPr>
          <w:rFonts w:ascii="Book Antiqua" w:hAnsi="Book Antiqua"/>
          <w:noProof/>
          <w:lang w:eastAsia="zh-CN"/>
        </w:rPr>
        <w:t>T</w:t>
      </w:r>
      <w:r w:rsidR="0037608A" w:rsidRPr="00244CD2">
        <w:rPr>
          <w:rFonts w:ascii="Book Antiqua" w:hAnsi="Book Antiqua"/>
          <w:noProof/>
        </w:rPr>
        <w:t xml:space="preserve">auro-lithocholic acid; TUDCA: </w:t>
      </w:r>
      <w:r w:rsidR="0037608A" w:rsidRPr="00244CD2">
        <w:rPr>
          <w:rFonts w:ascii="Book Antiqua" w:hAnsi="Book Antiqua"/>
          <w:noProof/>
          <w:lang w:eastAsia="zh-CN"/>
        </w:rPr>
        <w:t>T</w:t>
      </w:r>
      <w:r w:rsidR="00863802" w:rsidRPr="00244CD2">
        <w:rPr>
          <w:rFonts w:ascii="Book Antiqua" w:hAnsi="Book Antiqua"/>
          <w:noProof/>
        </w:rPr>
        <w:t>auro-ursodeoxycholic acid</w:t>
      </w:r>
      <w:r w:rsidR="00863802" w:rsidRPr="00244CD2">
        <w:rPr>
          <w:rFonts w:ascii="Book Antiqua" w:hAnsi="Book Antiqua"/>
          <w:noProof/>
          <w:lang w:eastAsia="zh-CN"/>
        </w:rPr>
        <w:t>;</w:t>
      </w:r>
      <w:r w:rsidR="004B4DAE" w:rsidRPr="004B4DAE">
        <w:rPr>
          <w:rFonts w:ascii="Book Antiqua" w:hAnsi="Book Antiqua"/>
          <w:noProof/>
        </w:rPr>
        <w:t xml:space="preserve"> </w:t>
      </w:r>
      <w:r w:rsidR="004B4DAE" w:rsidRPr="00B51135">
        <w:rPr>
          <w:rFonts w:ascii="Book Antiqua" w:hAnsi="Book Antiqua"/>
          <w:noProof/>
        </w:rPr>
        <w:t xml:space="preserve">UDCA: </w:t>
      </w:r>
      <w:r w:rsidR="004B4DAE" w:rsidRPr="00B51135">
        <w:rPr>
          <w:rFonts w:ascii="Book Antiqua" w:hAnsi="Book Antiqua"/>
          <w:noProof/>
          <w:lang w:eastAsia="zh-CN"/>
        </w:rPr>
        <w:t>U</w:t>
      </w:r>
      <w:r w:rsidR="004B4DAE" w:rsidRPr="00B51135">
        <w:rPr>
          <w:rFonts w:ascii="Book Antiqua" w:hAnsi="Book Antiqua"/>
          <w:noProof/>
        </w:rPr>
        <w:t>rsodeoxycholic acid</w:t>
      </w:r>
      <w:r w:rsidR="004B4DAE">
        <w:rPr>
          <w:rFonts w:ascii="Book Antiqua" w:hAnsi="Book Antiqua"/>
          <w:noProof/>
        </w:rPr>
        <w:t>.</w:t>
      </w:r>
    </w:p>
    <w:p w14:paraId="32F52CDE" w14:textId="77777777" w:rsidR="002D00F9" w:rsidRPr="00244CD2" w:rsidRDefault="002D00F9">
      <w:pPr>
        <w:adjustRightInd w:val="0"/>
        <w:snapToGrid w:val="0"/>
        <w:spacing w:line="360" w:lineRule="auto"/>
        <w:jc w:val="both"/>
        <w:rPr>
          <w:rFonts w:ascii="Book Antiqua" w:hAnsi="Book Antiqua"/>
          <w:noProof/>
          <w:lang w:eastAsia="zh-CN"/>
        </w:rPr>
      </w:pPr>
    </w:p>
    <w:sectPr w:rsidR="002D00F9" w:rsidRPr="00244CD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22EBE6" w14:textId="77777777" w:rsidR="00843570" w:rsidRDefault="00843570" w:rsidP="00022A2B">
      <w:r>
        <w:separator/>
      </w:r>
    </w:p>
  </w:endnote>
  <w:endnote w:type="continuationSeparator" w:id="0">
    <w:p w14:paraId="0C2BD5B6" w14:textId="77777777" w:rsidR="00843570" w:rsidRDefault="00843570" w:rsidP="00022A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CF3C52" w:usb2="00000016" w:usb3="00000000" w:csb0="0004001F" w:csb1="00000000"/>
  </w:font>
  <w:font w:name="Book Antiqua">
    <w:panose1 w:val="02040602050305030304"/>
    <w:charset w:val="00"/>
    <w:family w:val="roman"/>
    <w:pitch w:val="variable"/>
    <w:sig w:usb0="00000287" w:usb1="00000000" w:usb2="00000000" w:usb3="00000000" w:csb0="0000009F" w:csb1="00000000"/>
  </w:font>
  <w:font w:name="AdvOT1ef757c0">
    <w:altName w:val="Times New Roman"/>
    <w:charset w:val="00"/>
    <w:family w:val="roman"/>
    <w:pitch w:val="default"/>
    <w:sig w:usb0="00000003" w:usb1="080E0000" w:usb2="00000010"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0"/>
        <w:szCs w:val="20"/>
      </w:rPr>
      <w:id w:val="272913476"/>
      <w:docPartObj>
        <w:docPartGallery w:val="Page Numbers (Bottom of Page)"/>
        <w:docPartUnique/>
      </w:docPartObj>
    </w:sdtPr>
    <w:sdtEndPr>
      <w:rPr>
        <w:sz w:val="24"/>
        <w:szCs w:val="24"/>
      </w:rPr>
    </w:sdtEndPr>
    <w:sdtContent>
      <w:sdt>
        <w:sdtPr>
          <w:rPr>
            <w:rFonts w:ascii="Book Antiqua" w:hAnsi="Book Antiqua"/>
            <w:sz w:val="20"/>
            <w:szCs w:val="20"/>
          </w:rPr>
          <w:id w:val="860082579"/>
          <w:docPartObj>
            <w:docPartGallery w:val="Page Numbers (Top of Page)"/>
            <w:docPartUnique/>
          </w:docPartObj>
        </w:sdtPr>
        <w:sdtEndPr>
          <w:rPr>
            <w:sz w:val="24"/>
            <w:szCs w:val="24"/>
          </w:rPr>
        </w:sdtEndPr>
        <w:sdtContent>
          <w:p w14:paraId="0305158E" w14:textId="77777777" w:rsidR="00D870A6" w:rsidRPr="00244CD2" w:rsidRDefault="00D870A6">
            <w:pPr>
              <w:pStyle w:val="ae"/>
              <w:jc w:val="right"/>
              <w:rPr>
                <w:rFonts w:ascii="Book Antiqua" w:hAnsi="Book Antiqua"/>
                <w:sz w:val="24"/>
                <w:szCs w:val="24"/>
              </w:rPr>
            </w:pPr>
            <w:r w:rsidRPr="00244CD2">
              <w:rPr>
                <w:rFonts w:ascii="Book Antiqua" w:hAnsi="Book Antiqua"/>
                <w:sz w:val="20"/>
                <w:szCs w:val="20"/>
                <w:lang w:val="zh-CN" w:eastAsia="zh-CN"/>
              </w:rPr>
              <w:t xml:space="preserve"> </w:t>
            </w:r>
            <w:r w:rsidRPr="00244CD2">
              <w:rPr>
                <w:rFonts w:ascii="Book Antiqua" w:hAnsi="Book Antiqua"/>
                <w:sz w:val="24"/>
                <w:szCs w:val="24"/>
              </w:rPr>
              <w:fldChar w:fldCharType="begin"/>
            </w:r>
            <w:r w:rsidRPr="00244CD2">
              <w:rPr>
                <w:rFonts w:ascii="Book Antiqua" w:hAnsi="Book Antiqua"/>
                <w:sz w:val="24"/>
                <w:szCs w:val="24"/>
              </w:rPr>
              <w:instrText>PAGE</w:instrText>
            </w:r>
            <w:r w:rsidRPr="00244CD2">
              <w:rPr>
                <w:rFonts w:ascii="Book Antiqua" w:hAnsi="Book Antiqua"/>
                <w:sz w:val="24"/>
                <w:szCs w:val="24"/>
              </w:rPr>
              <w:fldChar w:fldCharType="separate"/>
            </w:r>
            <w:r w:rsidRPr="00244CD2">
              <w:rPr>
                <w:rFonts w:ascii="Book Antiqua" w:hAnsi="Book Antiqua"/>
                <w:noProof/>
                <w:sz w:val="24"/>
                <w:szCs w:val="24"/>
              </w:rPr>
              <w:t>42</w:t>
            </w:r>
            <w:r w:rsidRPr="00244CD2">
              <w:rPr>
                <w:rFonts w:ascii="Book Antiqua" w:hAnsi="Book Antiqua"/>
                <w:sz w:val="24"/>
                <w:szCs w:val="24"/>
              </w:rPr>
              <w:fldChar w:fldCharType="end"/>
            </w:r>
            <w:r w:rsidRPr="00244CD2">
              <w:rPr>
                <w:rFonts w:ascii="Book Antiqua" w:hAnsi="Book Antiqua"/>
                <w:sz w:val="24"/>
                <w:szCs w:val="24"/>
                <w:lang w:val="zh-CN" w:eastAsia="zh-CN"/>
              </w:rPr>
              <w:t xml:space="preserve"> / </w:t>
            </w:r>
            <w:r w:rsidRPr="00244CD2">
              <w:rPr>
                <w:rFonts w:ascii="Book Antiqua" w:hAnsi="Book Antiqua"/>
                <w:sz w:val="24"/>
                <w:szCs w:val="24"/>
              </w:rPr>
              <w:fldChar w:fldCharType="begin"/>
            </w:r>
            <w:r w:rsidRPr="00244CD2">
              <w:rPr>
                <w:rFonts w:ascii="Book Antiqua" w:hAnsi="Book Antiqua"/>
                <w:sz w:val="24"/>
                <w:szCs w:val="24"/>
              </w:rPr>
              <w:instrText>NUMPAGES</w:instrText>
            </w:r>
            <w:r w:rsidRPr="00244CD2">
              <w:rPr>
                <w:rFonts w:ascii="Book Antiqua" w:hAnsi="Book Antiqua"/>
                <w:sz w:val="24"/>
                <w:szCs w:val="24"/>
              </w:rPr>
              <w:fldChar w:fldCharType="separate"/>
            </w:r>
            <w:r w:rsidRPr="00244CD2">
              <w:rPr>
                <w:rFonts w:ascii="Book Antiqua" w:hAnsi="Book Antiqua"/>
                <w:noProof/>
                <w:sz w:val="24"/>
                <w:szCs w:val="24"/>
              </w:rPr>
              <w:t>45</w:t>
            </w:r>
            <w:r w:rsidRPr="00244CD2">
              <w:rPr>
                <w:rFonts w:ascii="Book Antiqua" w:hAnsi="Book Antiqua"/>
                <w:sz w:val="24"/>
                <w:szCs w:val="24"/>
              </w:rPr>
              <w:fldChar w:fldCharType="end"/>
            </w:r>
          </w:p>
        </w:sdtContent>
      </w:sdt>
    </w:sdtContent>
  </w:sdt>
  <w:p w14:paraId="7518A799" w14:textId="77777777" w:rsidR="00D870A6" w:rsidRDefault="00D870A6">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4C1D8B" w14:textId="77777777" w:rsidR="00843570" w:rsidRDefault="00843570" w:rsidP="00022A2B">
      <w:r>
        <w:separator/>
      </w:r>
    </w:p>
  </w:footnote>
  <w:footnote w:type="continuationSeparator" w:id="0">
    <w:p w14:paraId="7DC293FA" w14:textId="77777777" w:rsidR="00843570" w:rsidRDefault="00843570" w:rsidP="00022A2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6E1A"/>
    <w:rsid w:val="00012716"/>
    <w:rsid w:val="00014794"/>
    <w:rsid w:val="00022A2B"/>
    <w:rsid w:val="0004717C"/>
    <w:rsid w:val="00052A41"/>
    <w:rsid w:val="00080F0A"/>
    <w:rsid w:val="000813BD"/>
    <w:rsid w:val="000854CC"/>
    <w:rsid w:val="00092133"/>
    <w:rsid w:val="00094644"/>
    <w:rsid w:val="00096E5A"/>
    <w:rsid w:val="000A5C07"/>
    <w:rsid w:val="000B66A4"/>
    <w:rsid w:val="000C2D97"/>
    <w:rsid w:val="000D4338"/>
    <w:rsid w:val="000D79F8"/>
    <w:rsid w:val="000E22B5"/>
    <w:rsid w:val="000F02C3"/>
    <w:rsid w:val="000F0C21"/>
    <w:rsid w:val="001044CA"/>
    <w:rsid w:val="00116259"/>
    <w:rsid w:val="00130D6E"/>
    <w:rsid w:val="00133635"/>
    <w:rsid w:val="00140543"/>
    <w:rsid w:val="00140A41"/>
    <w:rsid w:val="001521CA"/>
    <w:rsid w:val="00180889"/>
    <w:rsid w:val="001B1BBE"/>
    <w:rsid w:val="001B559D"/>
    <w:rsid w:val="001C7773"/>
    <w:rsid w:val="001D4397"/>
    <w:rsid w:val="001E118B"/>
    <w:rsid w:val="001F6C43"/>
    <w:rsid w:val="001F7D2F"/>
    <w:rsid w:val="00202D08"/>
    <w:rsid w:val="00225750"/>
    <w:rsid w:val="00244CD2"/>
    <w:rsid w:val="00257036"/>
    <w:rsid w:val="00261D72"/>
    <w:rsid w:val="00262B2E"/>
    <w:rsid w:val="00283C7D"/>
    <w:rsid w:val="002920C3"/>
    <w:rsid w:val="002969B5"/>
    <w:rsid w:val="002A7B1F"/>
    <w:rsid w:val="002B42A8"/>
    <w:rsid w:val="002C25B0"/>
    <w:rsid w:val="002D00F9"/>
    <w:rsid w:val="002E4EF2"/>
    <w:rsid w:val="0032018A"/>
    <w:rsid w:val="0032102A"/>
    <w:rsid w:val="00322B92"/>
    <w:rsid w:val="00325588"/>
    <w:rsid w:val="00337C74"/>
    <w:rsid w:val="00366764"/>
    <w:rsid w:val="00366C1F"/>
    <w:rsid w:val="0037608A"/>
    <w:rsid w:val="003766CA"/>
    <w:rsid w:val="00386EDA"/>
    <w:rsid w:val="00395080"/>
    <w:rsid w:val="003A41F0"/>
    <w:rsid w:val="003C0914"/>
    <w:rsid w:val="003C610A"/>
    <w:rsid w:val="003D4987"/>
    <w:rsid w:val="003E2BC7"/>
    <w:rsid w:val="0042225C"/>
    <w:rsid w:val="00432D45"/>
    <w:rsid w:val="00437CAC"/>
    <w:rsid w:val="0044615E"/>
    <w:rsid w:val="00455C4B"/>
    <w:rsid w:val="00466B2F"/>
    <w:rsid w:val="0047592D"/>
    <w:rsid w:val="004B19F2"/>
    <w:rsid w:val="004B4DAE"/>
    <w:rsid w:val="004C00E7"/>
    <w:rsid w:val="004C475F"/>
    <w:rsid w:val="004C4A93"/>
    <w:rsid w:val="004C5A9C"/>
    <w:rsid w:val="004D1F38"/>
    <w:rsid w:val="004D257F"/>
    <w:rsid w:val="004D2DF5"/>
    <w:rsid w:val="004E1B45"/>
    <w:rsid w:val="004E21F1"/>
    <w:rsid w:val="004E59B2"/>
    <w:rsid w:val="004F1A50"/>
    <w:rsid w:val="004F5507"/>
    <w:rsid w:val="00524847"/>
    <w:rsid w:val="00554C01"/>
    <w:rsid w:val="005710E7"/>
    <w:rsid w:val="00576C65"/>
    <w:rsid w:val="005849EC"/>
    <w:rsid w:val="005854F2"/>
    <w:rsid w:val="00590398"/>
    <w:rsid w:val="005B0D5F"/>
    <w:rsid w:val="005C2527"/>
    <w:rsid w:val="005D4060"/>
    <w:rsid w:val="005D4209"/>
    <w:rsid w:val="005E43B8"/>
    <w:rsid w:val="005F57C0"/>
    <w:rsid w:val="006067F4"/>
    <w:rsid w:val="00663B13"/>
    <w:rsid w:val="006650EA"/>
    <w:rsid w:val="00674DF0"/>
    <w:rsid w:val="00685D75"/>
    <w:rsid w:val="006A0B3A"/>
    <w:rsid w:val="006C1A17"/>
    <w:rsid w:val="006C6CCD"/>
    <w:rsid w:val="006D0D82"/>
    <w:rsid w:val="006D2116"/>
    <w:rsid w:val="006D78BB"/>
    <w:rsid w:val="007041D1"/>
    <w:rsid w:val="0071108A"/>
    <w:rsid w:val="0071113F"/>
    <w:rsid w:val="00715D7E"/>
    <w:rsid w:val="007268CE"/>
    <w:rsid w:val="007356D0"/>
    <w:rsid w:val="007370E6"/>
    <w:rsid w:val="007376D2"/>
    <w:rsid w:val="0074657F"/>
    <w:rsid w:val="007571E6"/>
    <w:rsid w:val="007807F2"/>
    <w:rsid w:val="007A2ACF"/>
    <w:rsid w:val="007A4EF6"/>
    <w:rsid w:val="007B73AC"/>
    <w:rsid w:val="007D1ED2"/>
    <w:rsid w:val="007E01B6"/>
    <w:rsid w:val="007E0BFB"/>
    <w:rsid w:val="007E1F62"/>
    <w:rsid w:val="007E1F73"/>
    <w:rsid w:val="00824439"/>
    <w:rsid w:val="00826D35"/>
    <w:rsid w:val="00830FB3"/>
    <w:rsid w:val="008325CB"/>
    <w:rsid w:val="008404D8"/>
    <w:rsid w:val="00842391"/>
    <w:rsid w:val="00843570"/>
    <w:rsid w:val="00861785"/>
    <w:rsid w:val="00863802"/>
    <w:rsid w:val="0086422C"/>
    <w:rsid w:val="00867421"/>
    <w:rsid w:val="008814E2"/>
    <w:rsid w:val="00884BDE"/>
    <w:rsid w:val="00891E90"/>
    <w:rsid w:val="008931CB"/>
    <w:rsid w:val="00893475"/>
    <w:rsid w:val="008A2606"/>
    <w:rsid w:val="008A7B73"/>
    <w:rsid w:val="008C59B0"/>
    <w:rsid w:val="008E241B"/>
    <w:rsid w:val="00900876"/>
    <w:rsid w:val="00910AAB"/>
    <w:rsid w:val="00912D5E"/>
    <w:rsid w:val="009147A5"/>
    <w:rsid w:val="00914999"/>
    <w:rsid w:val="00924E6A"/>
    <w:rsid w:val="00936617"/>
    <w:rsid w:val="009370D8"/>
    <w:rsid w:val="009808C4"/>
    <w:rsid w:val="009A6538"/>
    <w:rsid w:val="009B1FCA"/>
    <w:rsid w:val="009B4CA2"/>
    <w:rsid w:val="009B6B45"/>
    <w:rsid w:val="009D09EC"/>
    <w:rsid w:val="009F13FA"/>
    <w:rsid w:val="00A12130"/>
    <w:rsid w:val="00A145F3"/>
    <w:rsid w:val="00A21C0F"/>
    <w:rsid w:val="00A403F8"/>
    <w:rsid w:val="00A42152"/>
    <w:rsid w:val="00A42674"/>
    <w:rsid w:val="00A53BC3"/>
    <w:rsid w:val="00A63C76"/>
    <w:rsid w:val="00A64098"/>
    <w:rsid w:val="00A649A4"/>
    <w:rsid w:val="00A7550E"/>
    <w:rsid w:val="00A7716A"/>
    <w:rsid w:val="00A77B3E"/>
    <w:rsid w:val="00A803CE"/>
    <w:rsid w:val="00A83B66"/>
    <w:rsid w:val="00A86299"/>
    <w:rsid w:val="00A95EDC"/>
    <w:rsid w:val="00AB06A7"/>
    <w:rsid w:val="00AC1A7B"/>
    <w:rsid w:val="00AD6080"/>
    <w:rsid w:val="00AF2146"/>
    <w:rsid w:val="00AF65BC"/>
    <w:rsid w:val="00B11AA2"/>
    <w:rsid w:val="00B126C4"/>
    <w:rsid w:val="00B22599"/>
    <w:rsid w:val="00B32822"/>
    <w:rsid w:val="00B4172A"/>
    <w:rsid w:val="00B44E6D"/>
    <w:rsid w:val="00B55EA6"/>
    <w:rsid w:val="00B7137F"/>
    <w:rsid w:val="00B75922"/>
    <w:rsid w:val="00B75AA1"/>
    <w:rsid w:val="00B80A0E"/>
    <w:rsid w:val="00B930D1"/>
    <w:rsid w:val="00BA4227"/>
    <w:rsid w:val="00BB057F"/>
    <w:rsid w:val="00BB6F24"/>
    <w:rsid w:val="00BC217F"/>
    <w:rsid w:val="00BD3E93"/>
    <w:rsid w:val="00BE0720"/>
    <w:rsid w:val="00C012E6"/>
    <w:rsid w:val="00C062D0"/>
    <w:rsid w:val="00C07DF0"/>
    <w:rsid w:val="00C17B39"/>
    <w:rsid w:val="00C30D1B"/>
    <w:rsid w:val="00C321EE"/>
    <w:rsid w:val="00C41B47"/>
    <w:rsid w:val="00C46E32"/>
    <w:rsid w:val="00C84410"/>
    <w:rsid w:val="00C867F2"/>
    <w:rsid w:val="00C94197"/>
    <w:rsid w:val="00CA2A55"/>
    <w:rsid w:val="00CA48E0"/>
    <w:rsid w:val="00D01CA6"/>
    <w:rsid w:val="00D23A89"/>
    <w:rsid w:val="00D50C07"/>
    <w:rsid w:val="00D6079A"/>
    <w:rsid w:val="00D85377"/>
    <w:rsid w:val="00D86F1A"/>
    <w:rsid w:val="00D870A6"/>
    <w:rsid w:val="00DA1A3B"/>
    <w:rsid w:val="00DA3D4E"/>
    <w:rsid w:val="00DC130C"/>
    <w:rsid w:val="00DD10D1"/>
    <w:rsid w:val="00DE5E7D"/>
    <w:rsid w:val="00DE6713"/>
    <w:rsid w:val="00E01D29"/>
    <w:rsid w:val="00E12F59"/>
    <w:rsid w:val="00E14739"/>
    <w:rsid w:val="00E2247B"/>
    <w:rsid w:val="00E37D37"/>
    <w:rsid w:val="00E72F30"/>
    <w:rsid w:val="00E750F9"/>
    <w:rsid w:val="00E868E0"/>
    <w:rsid w:val="00EE7ABC"/>
    <w:rsid w:val="00EE7E15"/>
    <w:rsid w:val="00EF52C8"/>
    <w:rsid w:val="00F02B53"/>
    <w:rsid w:val="00F13850"/>
    <w:rsid w:val="00F24C66"/>
    <w:rsid w:val="00F24C91"/>
    <w:rsid w:val="00F33E39"/>
    <w:rsid w:val="00F43215"/>
    <w:rsid w:val="00F555BD"/>
    <w:rsid w:val="00F7226F"/>
    <w:rsid w:val="00F7442E"/>
    <w:rsid w:val="00F90BF2"/>
    <w:rsid w:val="00F9304A"/>
    <w:rsid w:val="00F96868"/>
    <w:rsid w:val="00FC3BDF"/>
    <w:rsid w:val="00FD3AAB"/>
    <w:rsid w:val="00FE041B"/>
    <w:rsid w:val="00FE0E27"/>
    <w:rsid w:val="00FE69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AF1CE9"/>
  <w15:docId w15:val="{93C3EEC0-1B3C-4F9B-8789-3C64D4615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50C07"/>
    <w:pPr>
      <w:spacing w:before="100" w:beforeAutospacing="1" w:after="100" w:afterAutospacing="1"/>
    </w:pPr>
    <w:rPr>
      <w:rFonts w:ascii="宋体" w:eastAsia="宋体" w:hAnsi="宋体" w:cs="宋体"/>
      <w:lang w:eastAsia="zh-CN"/>
    </w:rPr>
  </w:style>
  <w:style w:type="paragraph" w:styleId="a4">
    <w:name w:val="Balloon Text"/>
    <w:basedOn w:val="a"/>
    <w:link w:val="a5"/>
    <w:rsid w:val="002D00F9"/>
    <w:rPr>
      <w:sz w:val="18"/>
      <w:szCs w:val="18"/>
    </w:rPr>
  </w:style>
  <w:style w:type="character" w:customStyle="1" w:styleId="a5">
    <w:name w:val="批注框文本 字符"/>
    <w:basedOn w:val="a0"/>
    <w:link w:val="a4"/>
    <w:rsid w:val="002D00F9"/>
    <w:rPr>
      <w:sz w:val="18"/>
      <w:szCs w:val="18"/>
    </w:rPr>
  </w:style>
  <w:style w:type="table" w:styleId="a6">
    <w:name w:val="Table Grid"/>
    <w:basedOn w:val="a1"/>
    <w:uiPriority w:val="59"/>
    <w:rsid w:val="002D00F9"/>
    <w:rPr>
      <w:rFonts w:asciiTheme="minorHAnsi" w:eastAsia="微软雅黑" w:hAnsiTheme="minorHAns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annotation reference"/>
    <w:basedOn w:val="a0"/>
    <w:rsid w:val="00455C4B"/>
    <w:rPr>
      <w:sz w:val="21"/>
      <w:szCs w:val="21"/>
    </w:rPr>
  </w:style>
  <w:style w:type="paragraph" w:styleId="a8">
    <w:name w:val="annotation text"/>
    <w:basedOn w:val="a"/>
    <w:link w:val="a9"/>
    <w:rsid w:val="00455C4B"/>
  </w:style>
  <w:style w:type="character" w:customStyle="1" w:styleId="a9">
    <w:name w:val="批注文字 字符"/>
    <w:basedOn w:val="a0"/>
    <w:link w:val="a8"/>
    <w:rsid w:val="00455C4B"/>
    <w:rPr>
      <w:sz w:val="24"/>
      <w:szCs w:val="24"/>
    </w:rPr>
  </w:style>
  <w:style w:type="paragraph" w:styleId="aa">
    <w:name w:val="annotation subject"/>
    <w:basedOn w:val="a8"/>
    <w:next w:val="a8"/>
    <w:link w:val="ab"/>
    <w:rsid w:val="00455C4B"/>
    <w:rPr>
      <w:b/>
      <w:bCs/>
    </w:rPr>
  </w:style>
  <w:style w:type="character" w:customStyle="1" w:styleId="ab">
    <w:name w:val="批注主题 字符"/>
    <w:basedOn w:val="a9"/>
    <w:link w:val="aa"/>
    <w:rsid w:val="00455C4B"/>
    <w:rPr>
      <w:b/>
      <w:bCs/>
      <w:sz w:val="24"/>
      <w:szCs w:val="24"/>
    </w:rPr>
  </w:style>
  <w:style w:type="paragraph" w:styleId="ac">
    <w:name w:val="header"/>
    <w:basedOn w:val="a"/>
    <w:link w:val="ad"/>
    <w:unhideWhenUsed/>
    <w:rsid w:val="00022A2B"/>
    <w:pPr>
      <w:pBdr>
        <w:bottom w:val="single" w:sz="6" w:space="1" w:color="auto"/>
      </w:pBdr>
      <w:tabs>
        <w:tab w:val="center" w:pos="4153"/>
        <w:tab w:val="right" w:pos="8306"/>
      </w:tabs>
      <w:snapToGrid w:val="0"/>
      <w:jc w:val="center"/>
    </w:pPr>
    <w:rPr>
      <w:sz w:val="18"/>
      <w:szCs w:val="18"/>
    </w:rPr>
  </w:style>
  <w:style w:type="character" w:customStyle="1" w:styleId="ad">
    <w:name w:val="页眉 字符"/>
    <w:basedOn w:val="a0"/>
    <w:link w:val="ac"/>
    <w:rsid w:val="00022A2B"/>
    <w:rPr>
      <w:sz w:val="18"/>
      <w:szCs w:val="18"/>
    </w:rPr>
  </w:style>
  <w:style w:type="paragraph" w:styleId="ae">
    <w:name w:val="footer"/>
    <w:basedOn w:val="a"/>
    <w:link w:val="af"/>
    <w:uiPriority w:val="99"/>
    <w:unhideWhenUsed/>
    <w:rsid w:val="00022A2B"/>
    <w:pPr>
      <w:tabs>
        <w:tab w:val="center" w:pos="4153"/>
        <w:tab w:val="right" w:pos="8306"/>
      </w:tabs>
      <w:snapToGrid w:val="0"/>
    </w:pPr>
    <w:rPr>
      <w:sz w:val="18"/>
      <w:szCs w:val="18"/>
    </w:rPr>
  </w:style>
  <w:style w:type="character" w:customStyle="1" w:styleId="af">
    <w:name w:val="页脚 字符"/>
    <w:basedOn w:val="a0"/>
    <w:link w:val="ae"/>
    <w:uiPriority w:val="99"/>
    <w:rsid w:val="00022A2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066349">
      <w:bodyDiv w:val="1"/>
      <w:marLeft w:val="0"/>
      <w:marRight w:val="0"/>
      <w:marTop w:val="0"/>
      <w:marBottom w:val="0"/>
      <w:divBdr>
        <w:top w:val="none" w:sz="0" w:space="0" w:color="auto"/>
        <w:left w:val="none" w:sz="0" w:space="0" w:color="auto"/>
        <w:bottom w:val="none" w:sz="0" w:space="0" w:color="auto"/>
        <w:right w:val="none" w:sz="0" w:space="0" w:color="auto"/>
      </w:divBdr>
    </w:div>
    <w:div w:id="17146923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322</TotalTime>
  <Pages>43</Pages>
  <Words>10411</Words>
  <Characters>59349</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wdm</cp:lastModifiedBy>
  <cp:revision>99</cp:revision>
  <dcterms:created xsi:type="dcterms:W3CDTF">2020-10-14T23:27:00Z</dcterms:created>
  <dcterms:modified xsi:type="dcterms:W3CDTF">2020-10-20T09:02:00Z</dcterms:modified>
</cp:coreProperties>
</file>