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12BB7"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Name of Journal: </w:t>
      </w:r>
      <w:r w:rsidRPr="008A3C82">
        <w:rPr>
          <w:rFonts w:ascii="Book Antiqua" w:eastAsia="Book Antiqua" w:hAnsi="Book Antiqua" w:cs="Book Antiqua"/>
          <w:i/>
          <w:color w:val="000000"/>
        </w:rPr>
        <w:t>World Journal of Cardiology</w:t>
      </w:r>
    </w:p>
    <w:p w14:paraId="6686C77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Manuscript NO: </w:t>
      </w:r>
      <w:r w:rsidRPr="008A3C82">
        <w:rPr>
          <w:rFonts w:ascii="Book Antiqua" w:eastAsia="Book Antiqua" w:hAnsi="Book Antiqua" w:cs="Book Antiqua"/>
          <w:color w:val="000000"/>
        </w:rPr>
        <w:t>58993</w:t>
      </w:r>
    </w:p>
    <w:p w14:paraId="5BA03FEE"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Manuscript Type: </w:t>
      </w:r>
      <w:r w:rsidRPr="008A3C82">
        <w:rPr>
          <w:rFonts w:ascii="Book Antiqua" w:eastAsia="Book Antiqua" w:hAnsi="Book Antiqua" w:cs="Book Antiqua"/>
          <w:color w:val="000000"/>
        </w:rPr>
        <w:t>CASE REPORT</w:t>
      </w:r>
    </w:p>
    <w:p w14:paraId="2DC183C6" w14:textId="77777777" w:rsidR="00A77B3E" w:rsidRPr="008A3C82" w:rsidRDefault="00A77B3E" w:rsidP="008A3C82">
      <w:pPr>
        <w:snapToGrid w:val="0"/>
        <w:spacing w:line="360" w:lineRule="auto"/>
        <w:jc w:val="both"/>
        <w:rPr>
          <w:rFonts w:ascii="Book Antiqua" w:hAnsi="Book Antiqua"/>
        </w:rPr>
      </w:pPr>
    </w:p>
    <w:p w14:paraId="73E9157F" w14:textId="77777777" w:rsidR="00A77B3E" w:rsidRPr="008A3C82" w:rsidRDefault="008C3419" w:rsidP="008A3C82">
      <w:pPr>
        <w:snapToGrid w:val="0"/>
        <w:spacing w:line="360" w:lineRule="auto"/>
        <w:jc w:val="both"/>
        <w:rPr>
          <w:rFonts w:ascii="Book Antiqua" w:hAnsi="Book Antiqua"/>
        </w:rPr>
      </w:pPr>
      <w:bookmarkStart w:id="0" w:name="OLE_LINK8"/>
      <w:bookmarkStart w:id="1" w:name="OLE_LINK9"/>
      <w:r w:rsidRPr="008A3C82">
        <w:rPr>
          <w:rFonts w:ascii="Book Antiqua" w:eastAsia="Book Antiqua" w:hAnsi="Book Antiqua" w:cs="Book Antiqua"/>
          <w:b/>
          <w:color w:val="000000"/>
        </w:rPr>
        <w:t xml:space="preserve">Myasthenic crisis-induced Takotsubo cardiomyopathy in an elderly man: </w:t>
      </w:r>
      <w:r w:rsidR="00480091" w:rsidRPr="008A3C82">
        <w:rPr>
          <w:rFonts w:ascii="Book Antiqua" w:eastAsia="Book Antiqua" w:hAnsi="Book Antiqua" w:cs="Book Antiqua"/>
          <w:b/>
          <w:color w:val="000000"/>
        </w:rPr>
        <w:t xml:space="preserve">A </w:t>
      </w:r>
      <w:r w:rsidRPr="008A3C82">
        <w:rPr>
          <w:rFonts w:ascii="Book Antiqua" w:eastAsia="Book Antiqua" w:hAnsi="Book Antiqua" w:cs="Book Antiqua"/>
          <w:b/>
          <w:color w:val="000000"/>
        </w:rPr>
        <w:t>case report of an underestimated but deadly combination</w:t>
      </w:r>
    </w:p>
    <w:bookmarkEnd w:id="0"/>
    <w:bookmarkEnd w:id="1"/>
    <w:p w14:paraId="4FEAAFC8" w14:textId="77777777" w:rsidR="00A77B3E" w:rsidRPr="008A3C82" w:rsidRDefault="00A77B3E" w:rsidP="008A3C82">
      <w:pPr>
        <w:snapToGrid w:val="0"/>
        <w:spacing w:line="360" w:lineRule="auto"/>
        <w:jc w:val="both"/>
        <w:rPr>
          <w:rFonts w:ascii="Book Antiqua" w:hAnsi="Book Antiqua"/>
        </w:rPr>
      </w:pPr>
    </w:p>
    <w:p w14:paraId="7966753A" w14:textId="77777777" w:rsidR="00A77B3E" w:rsidRPr="008A3C82" w:rsidRDefault="005E6EBD" w:rsidP="008A3C82">
      <w:pPr>
        <w:snapToGrid w:val="0"/>
        <w:spacing w:line="360" w:lineRule="auto"/>
        <w:jc w:val="both"/>
        <w:rPr>
          <w:rFonts w:ascii="Book Antiqua" w:hAnsi="Book Antiqua"/>
        </w:rPr>
      </w:pPr>
      <w:r w:rsidRPr="008A3C82">
        <w:rPr>
          <w:rFonts w:ascii="Book Antiqua" w:eastAsia="Book Antiqua" w:hAnsi="Book Antiqua" w:cs="Book Antiqua"/>
          <w:color w:val="000000"/>
        </w:rPr>
        <w:t xml:space="preserve">Kuo Y </w:t>
      </w:r>
      <w:r w:rsidRPr="008A3C82">
        <w:rPr>
          <w:rFonts w:ascii="Book Antiqua" w:eastAsia="Book Antiqua" w:hAnsi="Book Antiqua" w:cs="Book Antiqua"/>
          <w:i/>
          <w:color w:val="000000"/>
        </w:rPr>
        <w:t>et al</w:t>
      </w:r>
      <w:r w:rsidRPr="008A3C82">
        <w:rPr>
          <w:rFonts w:ascii="Book Antiqua" w:eastAsia="Book Antiqua" w:hAnsi="Book Antiqua" w:cs="Book Antiqua"/>
          <w:color w:val="000000"/>
        </w:rPr>
        <w:t xml:space="preserve">. </w:t>
      </w:r>
      <w:bookmarkStart w:id="2" w:name="OLE_LINK14"/>
      <w:bookmarkStart w:id="3" w:name="OLE_LINK12"/>
      <w:bookmarkStart w:id="4" w:name="OLE_LINK13"/>
      <w:r w:rsidR="009B0415" w:rsidRPr="008A3C82">
        <w:rPr>
          <w:rFonts w:ascii="Book Antiqua" w:eastAsia="Book Antiqua" w:hAnsi="Book Antiqua" w:cs="Book Antiqua"/>
          <w:color w:val="000000"/>
        </w:rPr>
        <w:t>Heart</w:t>
      </w:r>
      <w:r w:rsidR="008C3419" w:rsidRPr="008A3C82">
        <w:rPr>
          <w:rFonts w:ascii="Book Antiqua" w:eastAsia="Book Antiqua" w:hAnsi="Book Antiqua" w:cs="Book Antiqua"/>
          <w:color w:val="000000"/>
        </w:rPr>
        <w:t xml:space="preserve">: </w:t>
      </w:r>
      <w:r w:rsidR="00B91BD5" w:rsidRPr="008A3C82">
        <w:rPr>
          <w:rFonts w:ascii="Book Antiqua" w:eastAsia="Book Antiqua" w:hAnsi="Book Antiqua" w:cs="Book Antiqua"/>
          <w:color w:val="000000"/>
        </w:rPr>
        <w:t xml:space="preserve">Gateway </w:t>
      </w:r>
      <w:r w:rsidR="008C3419" w:rsidRPr="008A3C82">
        <w:rPr>
          <w:rFonts w:ascii="Book Antiqua" w:eastAsia="Book Antiqua" w:hAnsi="Book Antiqua" w:cs="Book Antiqua"/>
          <w:color w:val="000000"/>
        </w:rPr>
        <w:t>to the brain</w:t>
      </w:r>
      <w:bookmarkEnd w:id="2"/>
    </w:p>
    <w:bookmarkEnd w:id="3"/>
    <w:bookmarkEnd w:id="4"/>
    <w:p w14:paraId="6AAC2FA6" w14:textId="77777777" w:rsidR="00A77B3E" w:rsidRPr="008A3C82" w:rsidRDefault="00A77B3E" w:rsidP="008A3C82">
      <w:pPr>
        <w:snapToGrid w:val="0"/>
        <w:spacing w:line="360" w:lineRule="auto"/>
        <w:jc w:val="both"/>
        <w:rPr>
          <w:rFonts w:ascii="Book Antiqua" w:hAnsi="Book Antiqua"/>
        </w:rPr>
      </w:pPr>
    </w:p>
    <w:p w14:paraId="6AACDDA0" w14:textId="7D21D400" w:rsidR="00A77B3E" w:rsidRPr="00985F3B" w:rsidRDefault="005E6EBD" w:rsidP="008A3C82">
      <w:pPr>
        <w:snapToGrid w:val="0"/>
        <w:spacing w:line="360" w:lineRule="auto"/>
        <w:jc w:val="both"/>
        <w:rPr>
          <w:rFonts w:ascii="Book Antiqua" w:hAnsi="Book Antiqua"/>
          <w:lang w:val="nl-NL"/>
        </w:rPr>
      </w:pPr>
      <w:r w:rsidRPr="00985F3B">
        <w:rPr>
          <w:rFonts w:ascii="Book Antiqua" w:eastAsia="Book Antiqua" w:hAnsi="Book Antiqua" w:cs="Book Antiqua"/>
          <w:color w:val="000000"/>
          <w:lang w:val="nl-NL"/>
        </w:rPr>
        <w:t>Yvonne Kuo, Thomas H</w:t>
      </w:r>
      <w:r w:rsidR="008C3419" w:rsidRPr="00985F3B">
        <w:rPr>
          <w:rFonts w:ascii="Book Antiqua" w:eastAsia="Book Antiqua" w:hAnsi="Book Antiqua" w:cs="Book Antiqua"/>
          <w:color w:val="000000"/>
          <w:lang w:val="nl-NL"/>
        </w:rPr>
        <w:t xml:space="preserve"> Ottens, Ivo van der Bilt, R</w:t>
      </w:r>
      <w:r w:rsidR="00985F3B">
        <w:rPr>
          <w:rFonts w:ascii="Book Antiqua" w:eastAsia="Book Antiqua" w:hAnsi="Book Antiqua" w:cs="Book Antiqua"/>
          <w:color w:val="000000"/>
          <w:lang w:val="nl-NL"/>
        </w:rPr>
        <w:t xml:space="preserve">uud </w:t>
      </w:r>
      <w:r w:rsidR="008C3419" w:rsidRPr="00985F3B">
        <w:rPr>
          <w:rFonts w:ascii="Book Antiqua" w:eastAsia="Book Antiqua" w:hAnsi="Book Antiqua" w:cs="Book Antiqua"/>
          <w:color w:val="000000"/>
          <w:lang w:val="nl-NL"/>
        </w:rPr>
        <w:t>WM Keunen, Sakir Akin</w:t>
      </w:r>
    </w:p>
    <w:p w14:paraId="04BF39AA" w14:textId="77777777" w:rsidR="00A77B3E" w:rsidRPr="00985F3B" w:rsidRDefault="00A77B3E" w:rsidP="008A3C82">
      <w:pPr>
        <w:snapToGrid w:val="0"/>
        <w:spacing w:line="360" w:lineRule="auto"/>
        <w:jc w:val="both"/>
        <w:rPr>
          <w:rFonts w:ascii="Book Antiqua" w:hAnsi="Book Antiqua"/>
          <w:lang w:val="nl-NL"/>
        </w:rPr>
      </w:pPr>
    </w:p>
    <w:p w14:paraId="3713EFDF" w14:textId="77777777" w:rsidR="00A77B3E" w:rsidRPr="008A3C82" w:rsidRDefault="005E6EBD"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Yvonne Kuo, Thomas H</w:t>
      </w:r>
      <w:r w:rsidR="008C3419" w:rsidRPr="008A3C82">
        <w:rPr>
          <w:rFonts w:ascii="Book Antiqua" w:eastAsia="Book Antiqua" w:hAnsi="Book Antiqua" w:cs="Book Antiqua"/>
          <w:b/>
          <w:bCs/>
          <w:color w:val="000000"/>
        </w:rPr>
        <w:t xml:space="preserve"> Ottens, Sakir Akin, </w:t>
      </w:r>
      <w:r w:rsidR="008C3419" w:rsidRPr="008A3C82">
        <w:rPr>
          <w:rFonts w:ascii="Book Antiqua" w:eastAsia="Book Antiqua" w:hAnsi="Book Antiqua" w:cs="Book Antiqua"/>
          <w:color w:val="000000"/>
        </w:rPr>
        <w:t>Intensive Care Unit, Hagaziekenhuis, The Hague 2545, Netherlands</w:t>
      </w:r>
    </w:p>
    <w:p w14:paraId="12E611EF" w14:textId="77777777" w:rsidR="00A77B3E" w:rsidRPr="008A3C82" w:rsidRDefault="00A77B3E" w:rsidP="008A3C82">
      <w:pPr>
        <w:snapToGrid w:val="0"/>
        <w:spacing w:line="360" w:lineRule="auto"/>
        <w:jc w:val="both"/>
        <w:rPr>
          <w:rFonts w:ascii="Book Antiqua" w:hAnsi="Book Antiqua"/>
        </w:rPr>
      </w:pPr>
    </w:p>
    <w:p w14:paraId="1F4AC216"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Ivo van der Bilt, </w:t>
      </w:r>
      <w:bookmarkStart w:id="5" w:name="OLE_LINK1"/>
      <w:bookmarkStart w:id="6" w:name="OLE_LINK2"/>
      <w:bookmarkStart w:id="7" w:name="OLE_LINK10"/>
      <w:bookmarkStart w:id="8" w:name="OLE_LINK11"/>
      <w:r w:rsidRPr="008A3C82">
        <w:rPr>
          <w:rFonts w:ascii="Book Antiqua" w:eastAsia="Book Antiqua" w:hAnsi="Book Antiqua" w:cs="Book Antiqua"/>
          <w:bCs/>
          <w:color w:val="000000"/>
        </w:rPr>
        <w:t>Department of</w:t>
      </w:r>
      <w:bookmarkEnd w:id="5"/>
      <w:bookmarkEnd w:id="6"/>
      <w:r w:rsidRPr="008A3C82">
        <w:rPr>
          <w:rFonts w:ascii="Book Antiqua" w:eastAsia="Book Antiqua" w:hAnsi="Book Antiqua" w:cs="Book Antiqua"/>
          <w:b/>
          <w:bCs/>
          <w:color w:val="000000"/>
        </w:rPr>
        <w:t xml:space="preserve"> </w:t>
      </w:r>
      <w:r w:rsidRPr="008A3C82">
        <w:rPr>
          <w:rFonts w:ascii="Book Antiqua" w:eastAsia="Book Antiqua" w:hAnsi="Book Antiqua" w:cs="Book Antiqua"/>
          <w:color w:val="000000"/>
        </w:rPr>
        <w:t>Cardiology</w:t>
      </w:r>
      <w:bookmarkEnd w:id="7"/>
      <w:bookmarkEnd w:id="8"/>
      <w:r w:rsidRPr="008A3C82">
        <w:rPr>
          <w:rFonts w:ascii="Book Antiqua" w:eastAsia="Book Antiqua" w:hAnsi="Book Antiqua" w:cs="Book Antiqua"/>
          <w:color w:val="000000"/>
        </w:rPr>
        <w:t>, Hagaziekenhuis, The Hague 2545, Netherlands</w:t>
      </w:r>
    </w:p>
    <w:p w14:paraId="12048BAE" w14:textId="77777777" w:rsidR="00A77B3E" w:rsidRPr="008A3C82" w:rsidRDefault="00A77B3E" w:rsidP="008A3C82">
      <w:pPr>
        <w:snapToGrid w:val="0"/>
        <w:spacing w:line="360" w:lineRule="auto"/>
        <w:jc w:val="both"/>
        <w:rPr>
          <w:rFonts w:ascii="Book Antiqua" w:hAnsi="Book Antiqua"/>
        </w:rPr>
      </w:pPr>
    </w:p>
    <w:p w14:paraId="536F42D7" w14:textId="53640026" w:rsidR="00A77B3E" w:rsidRPr="008A3C82" w:rsidRDefault="008C3419" w:rsidP="008A3C82">
      <w:pPr>
        <w:snapToGrid w:val="0"/>
        <w:spacing w:line="360" w:lineRule="auto"/>
        <w:jc w:val="both"/>
        <w:rPr>
          <w:rFonts w:ascii="Book Antiqua" w:eastAsia="Book Antiqua" w:hAnsi="Book Antiqua" w:cs="Book Antiqua"/>
          <w:color w:val="000000"/>
        </w:rPr>
      </w:pPr>
      <w:r w:rsidRPr="008A3C82">
        <w:rPr>
          <w:rFonts w:ascii="Book Antiqua" w:eastAsia="Book Antiqua" w:hAnsi="Book Antiqua" w:cs="Book Antiqua"/>
          <w:b/>
          <w:bCs/>
          <w:color w:val="000000"/>
        </w:rPr>
        <w:t>R</w:t>
      </w:r>
      <w:r w:rsidR="00A4613C">
        <w:rPr>
          <w:rFonts w:ascii="Book Antiqua" w:eastAsia="Book Antiqua" w:hAnsi="Book Antiqua" w:cs="Book Antiqua"/>
          <w:b/>
          <w:bCs/>
          <w:color w:val="000000"/>
        </w:rPr>
        <w:t xml:space="preserve">uud </w:t>
      </w:r>
      <w:r w:rsidRPr="008A3C82">
        <w:rPr>
          <w:rFonts w:ascii="Book Antiqua" w:eastAsia="Book Antiqua" w:hAnsi="Book Antiqua" w:cs="Book Antiqua"/>
          <w:b/>
          <w:bCs/>
          <w:color w:val="000000"/>
        </w:rPr>
        <w:t xml:space="preserve">WM Keunen, </w:t>
      </w:r>
      <w:bookmarkStart w:id="9" w:name="OLE_LINK5"/>
      <w:bookmarkStart w:id="10" w:name="OLE_LINK6"/>
      <w:r w:rsidRPr="008A3C82">
        <w:rPr>
          <w:rFonts w:ascii="Book Antiqua" w:eastAsia="Book Antiqua" w:hAnsi="Book Antiqua" w:cs="Book Antiqua"/>
          <w:bCs/>
          <w:color w:val="000000"/>
        </w:rPr>
        <w:t>Department of</w:t>
      </w:r>
      <w:r w:rsidRPr="008A3C82">
        <w:rPr>
          <w:rFonts w:ascii="Book Antiqua" w:eastAsia="Book Antiqua" w:hAnsi="Book Antiqua" w:cs="Book Antiqua"/>
          <w:color w:val="000000"/>
        </w:rPr>
        <w:t xml:space="preserve"> </w:t>
      </w:r>
      <w:bookmarkStart w:id="11" w:name="OLE_LINK3"/>
      <w:bookmarkStart w:id="12" w:name="OLE_LINK4"/>
      <w:r w:rsidRPr="008A3C82">
        <w:rPr>
          <w:rFonts w:ascii="Book Antiqua" w:eastAsia="Book Antiqua" w:hAnsi="Book Antiqua" w:cs="Book Antiqua"/>
          <w:color w:val="000000"/>
        </w:rPr>
        <w:t>Neurology</w:t>
      </w:r>
      <w:bookmarkEnd w:id="9"/>
      <w:bookmarkEnd w:id="10"/>
      <w:r w:rsidRPr="008A3C82">
        <w:rPr>
          <w:rFonts w:ascii="Book Antiqua" w:eastAsia="Book Antiqua" w:hAnsi="Book Antiqua" w:cs="Book Antiqua"/>
          <w:color w:val="000000"/>
        </w:rPr>
        <w:t>,</w:t>
      </w:r>
      <w:bookmarkEnd w:id="11"/>
      <w:bookmarkEnd w:id="12"/>
      <w:r w:rsidRPr="008A3C82">
        <w:rPr>
          <w:rFonts w:ascii="Book Antiqua" w:eastAsia="Book Antiqua" w:hAnsi="Book Antiqua" w:cs="Book Antiqua"/>
          <w:color w:val="000000"/>
        </w:rPr>
        <w:t xml:space="preserve"> </w:t>
      </w:r>
      <w:bookmarkStart w:id="13" w:name="OLE_LINK7"/>
      <w:r w:rsidRPr="008A3C82">
        <w:rPr>
          <w:rFonts w:ascii="Book Antiqua" w:eastAsia="Book Antiqua" w:hAnsi="Book Antiqua" w:cs="Book Antiqua"/>
          <w:color w:val="000000"/>
        </w:rPr>
        <w:t>Haga Teaching Hosp</w:t>
      </w:r>
      <w:r w:rsidR="00B91BD5" w:rsidRPr="008A3C82">
        <w:rPr>
          <w:rFonts w:ascii="Book Antiqua" w:eastAsia="Book Antiqua" w:hAnsi="Book Antiqua" w:cs="Book Antiqua"/>
          <w:color w:val="000000"/>
        </w:rPr>
        <w:t>ital</w:t>
      </w:r>
      <w:bookmarkEnd w:id="13"/>
      <w:r w:rsidRPr="008A3C82">
        <w:rPr>
          <w:rFonts w:ascii="Book Antiqua" w:eastAsia="Book Antiqua" w:hAnsi="Book Antiqua" w:cs="Book Antiqua"/>
          <w:color w:val="000000"/>
        </w:rPr>
        <w:t>, The Hague 2545, Netherlands</w:t>
      </w:r>
    </w:p>
    <w:p w14:paraId="6E640785" w14:textId="77777777" w:rsidR="00A77B3E" w:rsidRPr="008A3C82" w:rsidRDefault="00A77B3E" w:rsidP="008A3C82">
      <w:pPr>
        <w:snapToGrid w:val="0"/>
        <w:spacing w:line="360" w:lineRule="auto"/>
        <w:jc w:val="both"/>
        <w:rPr>
          <w:rFonts w:ascii="Book Antiqua" w:hAnsi="Book Antiqua"/>
        </w:rPr>
      </w:pPr>
    </w:p>
    <w:p w14:paraId="0E817C38" w14:textId="630ACBBE"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Author contributions: </w:t>
      </w:r>
      <w:bookmarkStart w:id="14" w:name="OLE_LINK15"/>
      <w:bookmarkStart w:id="15" w:name="OLE_LINK16"/>
      <w:r w:rsidRPr="008A3C82">
        <w:rPr>
          <w:rFonts w:ascii="Book Antiqua" w:eastAsia="Book Antiqua" w:hAnsi="Book Antiqua" w:cs="Book Antiqua"/>
          <w:color w:val="000000"/>
        </w:rPr>
        <w:t>Kuo Y, Ottens T</w:t>
      </w:r>
      <w:r w:rsidR="00406903" w:rsidRPr="008A3C82">
        <w:rPr>
          <w:rFonts w:ascii="Book Antiqua" w:eastAsia="Book Antiqua" w:hAnsi="Book Antiqua" w:cs="Book Antiqua"/>
          <w:color w:val="000000"/>
        </w:rPr>
        <w:t>H</w:t>
      </w:r>
      <w:r w:rsidRPr="008A3C82">
        <w:rPr>
          <w:rFonts w:ascii="Book Antiqua" w:eastAsia="Book Antiqua" w:hAnsi="Book Antiqua" w:cs="Book Antiqua"/>
          <w:color w:val="000000"/>
        </w:rPr>
        <w:t xml:space="preserve"> and Akin S wrote the original draft of the paper; Kuo Y, Ottens T</w:t>
      </w:r>
      <w:r w:rsidR="00406903" w:rsidRPr="008A3C82">
        <w:rPr>
          <w:rFonts w:ascii="Book Antiqua" w:eastAsia="Book Antiqua" w:hAnsi="Book Antiqua" w:cs="Book Antiqua"/>
          <w:color w:val="000000"/>
        </w:rPr>
        <w:t>H</w:t>
      </w:r>
      <w:r w:rsidRPr="008A3C82">
        <w:rPr>
          <w:rFonts w:ascii="Book Antiqua" w:eastAsia="Book Antiqua" w:hAnsi="Book Antiqua" w:cs="Book Antiqua"/>
          <w:color w:val="000000"/>
        </w:rPr>
        <w:t>, van der Bilt I, Keunen R and Akin S were involved in the management of this patient, contributed to revising and editing of the manuscript, and served in project administration; Ottens T</w:t>
      </w:r>
      <w:r w:rsidR="00406903" w:rsidRPr="008A3C82">
        <w:rPr>
          <w:rFonts w:ascii="Book Antiqua" w:eastAsia="Book Antiqua" w:hAnsi="Book Antiqua" w:cs="Book Antiqua"/>
          <w:color w:val="000000"/>
        </w:rPr>
        <w:t>H</w:t>
      </w:r>
      <w:r w:rsidRPr="008A3C82">
        <w:rPr>
          <w:rFonts w:ascii="Book Antiqua" w:eastAsia="Book Antiqua" w:hAnsi="Book Antiqua" w:cs="Book Antiqua"/>
          <w:color w:val="000000"/>
        </w:rPr>
        <w:t xml:space="preserve"> an</w:t>
      </w:r>
      <w:r w:rsidR="00406903" w:rsidRPr="008A3C82">
        <w:rPr>
          <w:rFonts w:ascii="Book Antiqua" w:eastAsia="Book Antiqua" w:hAnsi="Book Antiqua" w:cs="Book Antiqua"/>
          <w:color w:val="000000"/>
        </w:rPr>
        <w:t>d Akin S supervised the project</w:t>
      </w:r>
      <w:r w:rsidR="00C6525A">
        <w:rPr>
          <w:rFonts w:ascii="Book Antiqua" w:eastAsia="Book Antiqua" w:hAnsi="Book Antiqua" w:cs="Book Antiqua"/>
          <w:color w:val="000000"/>
        </w:rPr>
        <w:t xml:space="preserve">; </w:t>
      </w:r>
      <w:r w:rsidR="00124AAC">
        <w:rPr>
          <w:rFonts w:ascii="Book Antiqua" w:eastAsia="Book Antiqua" w:hAnsi="Book Antiqua" w:cs="Book Antiqua"/>
          <w:color w:val="000000"/>
        </w:rPr>
        <w:t>A</w:t>
      </w:r>
      <w:r w:rsidRPr="008A3C82">
        <w:rPr>
          <w:rFonts w:ascii="Book Antiqua" w:eastAsia="Book Antiqua" w:hAnsi="Book Antiqua" w:cs="Book Antiqua"/>
          <w:color w:val="000000"/>
        </w:rPr>
        <w:t>ll authors read and approved the final manuscript.</w:t>
      </w:r>
    </w:p>
    <w:bookmarkEnd w:id="14"/>
    <w:bookmarkEnd w:id="15"/>
    <w:p w14:paraId="18873069" w14:textId="77777777" w:rsidR="00A77B3E" w:rsidRPr="008A3C82" w:rsidRDefault="00A77B3E" w:rsidP="008A3C82">
      <w:pPr>
        <w:snapToGrid w:val="0"/>
        <w:spacing w:line="360" w:lineRule="auto"/>
        <w:jc w:val="both"/>
        <w:rPr>
          <w:rFonts w:ascii="Book Antiqua" w:hAnsi="Book Antiqua"/>
        </w:rPr>
      </w:pPr>
    </w:p>
    <w:p w14:paraId="1558EB3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Corresponding author: Sakir Akin, MD, PhD, Doctor, Staff Physician, </w:t>
      </w:r>
      <w:r w:rsidRPr="008A3C82">
        <w:rPr>
          <w:rFonts w:ascii="Book Antiqua" w:eastAsia="Book Antiqua" w:hAnsi="Book Antiqua" w:cs="Book Antiqua"/>
          <w:color w:val="000000"/>
        </w:rPr>
        <w:t>Intensive Care Unit, Hagaziekenhuis, Els Borst-Eilersplein 275 2545 AA The Hague, The Hague 2545, Netherlands. s.akin@hagaziekenhuis.nl</w:t>
      </w:r>
    </w:p>
    <w:p w14:paraId="0F453464" w14:textId="77777777" w:rsidR="00A77B3E" w:rsidRPr="008A3C82" w:rsidRDefault="00A77B3E" w:rsidP="008A3C82">
      <w:pPr>
        <w:snapToGrid w:val="0"/>
        <w:spacing w:line="360" w:lineRule="auto"/>
        <w:jc w:val="both"/>
        <w:rPr>
          <w:rFonts w:ascii="Book Antiqua" w:hAnsi="Book Antiqua"/>
        </w:rPr>
      </w:pPr>
    </w:p>
    <w:p w14:paraId="6CF7A0C4"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Received: </w:t>
      </w:r>
      <w:r w:rsidRPr="008A3C82">
        <w:rPr>
          <w:rFonts w:ascii="Book Antiqua" w:eastAsia="Book Antiqua" w:hAnsi="Book Antiqua" w:cs="Book Antiqua"/>
          <w:color w:val="000000"/>
        </w:rPr>
        <w:t>August 17, 2020</w:t>
      </w:r>
    </w:p>
    <w:p w14:paraId="72DF6122"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Revised: </w:t>
      </w:r>
      <w:r w:rsidR="00406903" w:rsidRPr="008A3C82">
        <w:rPr>
          <w:rFonts w:ascii="Book Antiqua" w:eastAsia="Book Antiqua" w:hAnsi="Book Antiqua" w:cs="Book Antiqua"/>
          <w:bCs/>
          <w:color w:val="000000"/>
        </w:rPr>
        <w:t>November 30, 2020</w:t>
      </w:r>
    </w:p>
    <w:p w14:paraId="7E9E3EC6" w14:textId="7D6BA3C6"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Accepted: </w:t>
      </w:r>
      <w:r w:rsidR="0043730E" w:rsidRPr="0043730E">
        <w:rPr>
          <w:rFonts w:ascii="Book Antiqua" w:eastAsia="Book Antiqua" w:hAnsi="Book Antiqua" w:cs="Book Antiqua"/>
          <w:bCs/>
          <w:color w:val="000000"/>
        </w:rPr>
        <w:t>December 13, 2020</w:t>
      </w:r>
    </w:p>
    <w:p w14:paraId="17DB21A7" w14:textId="7292A68F" w:rsidR="00A77B3E" w:rsidRPr="00A47B38" w:rsidRDefault="008C3419" w:rsidP="008A3C82">
      <w:pPr>
        <w:snapToGrid w:val="0"/>
        <w:spacing w:line="360" w:lineRule="auto"/>
        <w:jc w:val="both"/>
        <w:rPr>
          <w:rFonts w:ascii="Book Antiqua" w:hAnsi="Book Antiqua"/>
          <w:lang w:eastAsia="zh-CN"/>
        </w:rPr>
      </w:pPr>
      <w:r w:rsidRPr="008A3C82">
        <w:rPr>
          <w:rFonts w:ascii="Book Antiqua" w:eastAsia="Book Antiqua" w:hAnsi="Book Antiqua" w:cs="Book Antiqua"/>
          <w:b/>
          <w:bCs/>
          <w:color w:val="000000"/>
        </w:rPr>
        <w:t xml:space="preserve">Published online: </w:t>
      </w:r>
      <w:r w:rsidR="00A47B38" w:rsidRPr="00A47B38">
        <w:rPr>
          <w:rFonts w:ascii="Book Antiqua" w:hAnsi="Book Antiqua" w:cs="Book Antiqua" w:hint="eastAsia"/>
          <w:bCs/>
          <w:color w:val="000000"/>
          <w:lang w:eastAsia="zh-CN"/>
        </w:rPr>
        <w:t>January 26, 2021</w:t>
      </w:r>
    </w:p>
    <w:p w14:paraId="4CA6B08D" w14:textId="77777777" w:rsidR="00A77B3E" w:rsidRPr="008A3C82" w:rsidRDefault="00A77B3E" w:rsidP="008A3C82">
      <w:pPr>
        <w:snapToGrid w:val="0"/>
        <w:spacing w:line="360" w:lineRule="auto"/>
        <w:jc w:val="both"/>
        <w:rPr>
          <w:rFonts w:ascii="Book Antiqua" w:hAnsi="Book Antiqua"/>
        </w:rPr>
        <w:sectPr w:rsidR="00A77B3E" w:rsidRPr="008A3C82" w:rsidSect="00480091">
          <w:footerReference w:type="default" r:id="rId7"/>
          <w:pgSz w:w="12240" w:h="15840"/>
          <w:pgMar w:top="1440" w:right="1800" w:bottom="1440" w:left="1800" w:header="720" w:footer="720" w:gutter="0"/>
          <w:cols w:space="720"/>
          <w:docGrid w:linePitch="360"/>
        </w:sectPr>
      </w:pPr>
    </w:p>
    <w:p w14:paraId="31CFE37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lastRenderedPageBreak/>
        <w:t>Abstract</w:t>
      </w:r>
    </w:p>
    <w:p w14:paraId="0F57438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BACKGROUND</w:t>
      </w:r>
    </w:p>
    <w:p w14:paraId="21C7257B" w14:textId="77777777" w:rsidR="00A77B3E" w:rsidRPr="008A3C82" w:rsidRDefault="008C3419" w:rsidP="008A3C82">
      <w:pPr>
        <w:snapToGrid w:val="0"/>
        <w:spacing w:line="360" w:lineRule="auto"/>
        <w:jc w:val="both"/>
        <w:rPr>
          <w:rFonts w:ascii="Book Antiqua" w:hAnsi="Book Antiqua"/>
        </w:rPr>
      </w:pPr>
      <w:bookmarkStart w:id="16" w:name="OLE_LINK21"/>
      <w:bookmarkStart w:id="17" w:name="OLE_LINK22"/>
      <w:r w:rsidRPr="008A3C82">
        <w:rPr>
          <w:rFonts w:ascii="Book Antiqua" w:eastAsia="Book Antiqua" w:hAnsi="Book Antiqua" w:cs="Book Antiqua"/>
          <w:color w:val="000000"/>
        </w:rPr>
        <w:t xml:space="preserve">Patients with myasthenia gravis (MG) are at a higher risk of developing Takotsubo cardiomyopathy (TTC), particularly during a myasthenic crisis. Myasthenic crisis-associated TTC occurs predominantly in women. In this case report, we present a man with metastasized prostate carcinoma who developed TTC after new-onset MG. </w:t>
      </w:r>
    </w:p>
    <w:bookmarkEnd w:id="16"/>
    <w:bookmarkEnd w:id="17"/>
    <w:p w14:paraId="6FF5AE6E" w14:textId="77777777" w:rsidR="00A77B3E" w:rsidRPr="008A3C82" w:rsidRDefault="00A77B3E" w:rsidP="008A3C82">
      <w:pPr>
        <w:snapToGrid w:val="0"/>
        <w:spacing w:line="360" w:lineRule="auto"/>
        <w:jc w:val="both"/>
        <w:rPr>
          <w:rFonts w:ascii="Book Antiqua" w:hAnsi="Book Antiqua"/>
        </w:rPr>
      </w:pPr>
    </w:p>
    <w:p w14:paraId="3F31AE7E"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CASE SUMMARY</w:t>
      </w:r>
    </w:p>
    <w:p w14:paraId="6FFFED6A" w14:textId="3597D548" w:rsidR="00A77B3E" w:rsidRPr="008A3C82" w:rsidRDefault="008C3419" w:rsidP="008A3C82">
      <w:pPr>
        <w:snapToGrid w:val="0"/>
        <w:spacing w:line="360" w:lineRule="auto"/>
        <w:jc w:val="both"/>
        <w:rPr>
          <w:rFonts w:ascii="Book Antiqua" w:hAnsi="Book Antiqua"/>
        </w:rPr>
      </w:pPr>
      <w:bookmarkStart w:id="18" w:name="OLE_LINK23"/>
      <w:bookmarkStart w:id="19" w:name="OLE_LINK24"/>
      <w:r w:rsidRPr="008A3C82">
        <w:rPr>
          <w:rFonts w:ascii="Book Antiqua" w:eastAsia="Book Antiqua" w:hAnsi="Book Antiqua" w:cs="Book Antiqua"/>
          <w:color w:val="000000"/>
        </w:rPr>
        <w:t>An 81</w:t>
      </w:r>
      <w:r w:rsidR="00124AAC">
        <w:rPr>
          <w:rFonts w:ascii="Book Antiqua" w:eastAsia="Book Antiqua" w:hAnsi="Book Antiqua" w:cs="Book Antiqua"/>
          <w:color w:val="000000"/>
        </w:rPr>
        <w:t>-</w:t>
      </w:r>
      <w:r w:rsidRPr="008A3C82">
        <w:rPr>
          <w:rFonts w:ascii="Book Antiqua" w:eastAsia="Book Antiqua" w:hAnsi="Book Antiqua" w:cs="Book Antiqua"/>
          <w:color w:val="000000"/>
        </w:rPr>
        <w:t>year-old man with non-insulin dependent diabetes mellitus and metastasized prostate carcinoma presented with dyspnea. During primary assessment examination at the emergency department, there was evident blepharoptosis of his right eye. His electrocardiograms were suggestive of an acute anterior wall myocardial infarction, for which he underwent emergency coronary angiography. No obstructive coronary artery disease was found. During the coronary angiography, the patient developed respiratory failure and was admitted to the Intensive Care Unit for non-invasive respiratory support. The following day, diagnostic neostigmine test revealed a myasthenic crisis. Bedside echocardiography revealed left ventricular apical ballooning with a typical appearance of TTC. Despite the potentially reversible character of both MG and TTC, the patient and family requested an end of support in the Intensive Care Unit due to age and chronic malignancy with reduced quality of life in recent months after non-chemo-responding prostate carcinoma. The patient died soon after treatment withdrawal.</w:t>
      </w:r>
    </w:p>
    <w:bookmarkEnd w:id="18"/>
    <w:bookmarkEnd w:id="19"/>
    <w:p w14:paraId="4843ECF3" w14:textId="77777777" w:rsidR="00A77B3E" w:rsidRPr="008A3C82" w:rsidRDefault="00A77B3E" w:rsidP="008A3C82">
      <w:pPr>
        <w:snapToGrid w:val="0"/>
        <w:spacing w:line="360" w:lineRule="auto"/>
        <w:jc w:val="both"/>
        <w:rPr>
          <w:rFonts w:ascii="Book Antiqua" w:hAnsi="Book Antiqua"/>
        </w:rPr>
      </w:pPr>
    </w:p>
    <w:p w14:paraId="70E6006A"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CONCLUSION</w:t>
      </w:r>
    </w:p>
    <w:p w14:paraId="42AAD00E" w14:textId="77777777" w:rsidR="00A77B3E" w:rsidRPr="008A3C82" w:rsidRDefault="008C3419" w:rsidP="008A3C82">
      <w:pPr>
        <w:snapToGrid w:val="0"/>
        <w:spacing w:line="360" w:lineRule="auto"/>
        <w:jc w:val="both"/>
        <w:rPr>
          <w:rFonts w:ascii="Book Antiqua" w:hAnsi="Book Antiqua"/>
        </w:rPr>
      </w:pPr>
      <w:bookmarkStart w:id="20" w:name="OLE_LINK25"/>
      <w:bookmarkStart w:id="21" w:name="OLE_LINK26"/>
      <w:r w:rsidRPr="008A3C82">
        <w:rPr>
          <w:rFonts w:ascii="Book Antiqua" w:eastAsia="Book Antiqua" w:hAnsi="Book Antiqua" w:cs="Book Antiqua"/>
          <w:color w:val="000000"/>
        </w:rPr>
        <w:t>Elderly men should be carefully evaluated for TTC when new-onset MG is diagnosed.</w:t>
      </w:r>
    </w:p>
    <w:bookmarkEnd w:id="20"/>
    <w:bookmarkEnd w:id="21"/>
    <w:p w14:paraId="2DFC7224" w14:textId="77777777" w:rsidR="00A77B3E" w:rsidRPr="008A3C82" w:rsidRDefault="00A77B3E" w:rsidP="008A3C82">
      <w:pPr>
        <w:snapToGrid w:val="0"/>
        <w:spacing w:line="360" w:lineRule="auto"/>
        <w:jc w:val="both"/>
        <w:rPr>
          <w:rFonts w:ascii="Book Antiqua" w:hAnsi="Book Antiqua"/>
        </w:rPr>
      </w:pPr>
    </w:p>
    <w:p w14:paraId="48B3ACB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lastRenderedPageBreak/>
        <w:t xml:space="preserve">Key Words: </w:t>
      </w:r>
      <w:bookmarkStart w:id="22" w:name="OLE_LINK17"/>
      <w:bookmarkStart w:id="23" w:name="OLE_LINK18"/>
      <w:r w:rsidRPr="008A3C82">
        <w:rPr>
          <w:rFonts w:ascii="Book Antiqua" w:eastAsia="Book Antiqua" w:hAnsi="Book Antiqua" w:cs="Book Antiqua"/>
          <w:color w:val="000000"/>
        </w:rPr>
        <w:t xml:space="preserve">Takotsubo cardiomyopathy; Broken heart syndrome; Stress-induced cardiomyopathy; Myasthenic crisis; Respiratory failure; Case </w:t>
      </w:r>
      <w:r w:rsidR="00406903" w:rsidRPr="008A3C82">
        <w:rPr>
          <w:rFonts w:ascii="Book Antiqua" w:eastAsia="Book Antiqua" w:hAnsi="Book Antiqua" w:cs="Book Antiqua"/>
          <w:color w:val="000000"/>
        </w:rPr>
        <w:t>report</w:t>
      </w:r>
    </w:p>
    <w:bookmarkEnd w:id="22"/>
    <w:bookmarkEnd w:id="23"/>
    <w:p w14:paraId="0FA029A1" w14:textId="77777777" w:rsidR="00A97A85" w:rsidRDefault="00A97A85" w:rsidP="00A97A85">
      <w:pPr>
        <w:spacing w:line="360" w:lineRule="auto"/>
        <w:jc w:val="both"/>
        <w:rPr>
          <w:lang w:eastAsia="zh-CN"/>
        </w:rPr>
      </w:pPr>
    </w:p>
    <w:p w14:paraId="0E69CAE0" w14:textId="77777777" w:rsidR="00A97A85" w:rsidRDefault="00A97A85" w:rsidP="00A97A85">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B98AE7F" w14:textId="77777777" w:rsidR="00A97A85" w:rsidRDefault="00A97A85" w:rsidP="00A97A85">
      <w:pPr>
        <w:spacing w:line="360" w:lineRule="auto"/>
        <w:jc w:val="both"/>
        <w:rPr>
          <w:lang w:eastAsia="zh-CN"/>
        </w:rPr>
      </w:pPr>
    </w:p>
    <w:p w14:paraId="29D68D5A" w14:textId="101FC391" w:rsidR="005507C4" w:rsidRDefault="00A97A85" w:rsidP="00A97A85">
      <w:pPr>
        <w:snapToGrid w:val="0"/>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proofErr w:type="spellStart"/>
      <w:r w:rsidR="008C3419" w:rsidRPr="008A3C82">
        <w:rPr>
          <w:rFonts w:ascii="Book Antiqua" w:eastAsia="Book Antiqua" w:hAnsi="Book Antiqua" w:cs="Book Antiqua"/>
          <w:color w:val="000000"/>
        </w:rPr>
        <w:t>Kuo</w:t>
      </w:r>
      <w:proofErr w:type="spellEnd"/>
      <w:r w:rsidR="008C3419" w:rsidRPr="008A3C82">
        <w:rPr>
          <w:rFonts w:ascii="Book Antiqua" w:eastAsia="Book Antiqua" w:hAnsi="Book Antiqua" w:cs="Book Antiqua"/>
          <w:color w:val="000000"/>
        </w:rPr>
        <w:t xml:space="preserve"> Y, </w:t>
      </w:r>
      <w:proofErr w:type="spellStart"/>
      <w:r w:rsidR="008C3419" w:rsidRPr="008A3C82">
        <w:rPr>
          <w:rFonts w:ascii="Book Antiqua" w:eastAsia="Book Antiqua" w:hAnsi="Book Antiqua" w:cs="Book Antiqua"/>
          <w:color w:val="000000"/>
        </w:rPr>
        <w:t>Ottens</w:t>
      </w:r>
      <w:proofErr w:type="spellEnd"/>
      <w:r w:rsidR="008C3419" w:rsidRPr="008A3C82">
        <w:rPr>
          <w:rFonts w:ascii="Book Antiqua" w:eastAsia="Book Antiqua" w:hAnsi="Book Antiqua" w:cs="Book Antiqua"/>
          <w:color w:val="000000"/>
        </w:rPr>
        <w:t xml:space="preserve"> TH, </w:t>
      </w:r>
      <w:r w:rsidR="009B0415" w:rsidRPr="008A3C82">
        <w:rPr>
          <w:rFonts w:ascii="Book Antiqua" w:eastAsia="Book Antiqua" w:hAnsi="Book Antiqua" w:cs="Book Antiqua"/>
          <w:color w:val="000000"/>
        </w:rPr>
        <w:t>van der Bilt I</w:t>
      </w:r>
      <w:r w:rsidR="008C3419" w:rsidRPr="008A3C82">
        <w:rPr>
          <w:rFonts w:ascii="Book Antiqua" w:eastAsia="Book Antiqua" w:hAnsi="Book Antiqua" w:cs="Book Antiqua"/>
          <w:color w:val="000000"/>
        </w:rPr>
        <w:t>, Keunen R, Akin S.</w:t>
      </w:r>
      <w:r w:rsidR="00406903" w:rsidRPr="008A3C82">
        <w:rPr>
          <w:rFonts w:ascii="Book Antiqua" w:eastAsia="Book Antiqua" w:hAnsi="Book Antiqua" w:cs="Book Antiqua"/>
          <w:color w:val="000000"/>
        </w:rPr>
        <w:t xml:space="preserve"> Myasthenic crisis-induced Takotsubo cardiomyopathy in an elderly man: A case report of an underestimated but deadly combination.</w:t>
      </w:r>
      <w:r w:rsidR="00406903" w:rsidRPr="008A3C82">
        <w:rPr>
          <w:rFonts w:ascii="Book Antiqua" w:hAnsi="Book Antiqua" w:cs="Book Antiqua"/>
          <w:color w:val="000000"/>
          <w:lang w:eastAsia="zh-CN"/>
        </w:rPr>
        <w:t xml:space="preserve"> </w:t>
      </w:r>
      <w:r w:rsidR="008C3419" w:rsidRPr="008A3C82">
        <w:rPr>
          <w:rFonts w:ascii="Book Antiqua" w:eastAsia="Book Antiqua" w:hAnsi="Book Antiqua" w:cs="Book Antiqua"/>
          <w:i/>
          <w:iCs/>
          <w:color w:val="000000"/>
        </w:rPr>
        <w:t xml:space="preserve">World J </w:t>
      </w:r>
      <w:proofErr w:type="spellStart"/>
      <w:r w:rsidR="008C3419" w:rsidRPr="008A3C82">
        <w:rPr>
          <w:rFonts w:ascii="Book Antiqua" w:eastAsia="Book Antiqua" w:hAnsi="Book Antiqua" w:cs="Book Antiqua"/>
          <w:i/>
          <w:iCs/>
          <w:color w:val="000000"/>
        </w:rPr>
        <w:t>Cardiol</w:t>
      </w:r>
      <w:proofErr w:type="spellEnd"/>
      <w:r w:rsidR="008C3419" w:rsidRPr="008A3C82">
        <w:rPr>
          <w:rFonts w:ascii="Book Antiqua" w:eastAsia="Book Antiqua" w:hAnsi="Book Antiqua" w:cs="Book Antiqua"/>
          <w:color w:val="000000"/>
        </w:rPr>
        <w:t xml:space="preserve"> 202</w:t>
      </w:r>
      <w:r w:rsidR="007D1997">
        <w:rPr>
          <w:rFonts w:ascii="Book Antiqua" w:hAnsi="Book Antiqua" w:cs="Book Antiqua" w:hint="eastAsia"/>
          <w:color w:val="000000"/>
          <w:lang w:eastAsia="zh-CN"/>
        </w:rPr>
        <w:t>1</w:t>
      </w:r>
      <w:r w:rsidR="008C3419" w:rsidRPr="008A3C82">
        <w:rPr>
          <w:rFonts w:ascii="Book Antiqua" w:eastAsia="Book Antiqua" w:hAnsi="Book Antiqua" w:cs="Book Antiqua"/>
          <w:color w:val="000000"/>
        </w:rPr>
        <w:t xml:space="preserve">; </w:t>
      </w:r>
      <w:r w:rsidR="007D1997" w:rsidRPr="007D1997">
        <w:rPr>
          <w:rFonts w:ascii="Book Antiqua" w:eastAsia="Book Antiqua" w:hAnsi="Book Antiqua" w:cs="Book Antiqua"/>
          <w:color w:val="000000"/>
        </w:rPr>
        <w:t xml:space="preserve">13(1): </w:t>
      </w:r>
      <w:r w:rsidR="00CF6067">
        <w:rPr>
          <w:rFonts w:ascii="Book Antiqua" w:hAnsi="Book Antiqua" w:cs="Book Antiqua" w:hint="eastAsia"/>
          <w:color w:val="000000"/>
          <w:lang w:eastAsia="zh-CN"/>
        </w:rPr>
        <w:t>21-27</w:t>
      </w:r>
      <w:r w:rsidR="007D1997" w:rsidRPr="007D1997">
        <w:rPr>
          <w:rFonts w:ascii="Book Antiqua" w:eastAsia="Book Antiqua" w:hAnsi="Book Antiqua" w:cs="Book Antiqua"/>
          <w:color w:val="000000"/>
        </w:rPr>
        <w:t xml:space="preserve">  </w:t>
      </w:r>
    </w:p>
    <w:p w14:paraId="4B4CD73F" w14:textId="655DA959" w:rsidR="005507C4" w:rsidRDefault="007D1997" w:rsidP="00A97A85">
      <w:pPr>
        <w:snapToGrid w:val="0"/>
        <w:spacing w:line="360" w:lineRule="auto"/>
        <w:jc w:val="both"/>
        <w:rPr>
          <w:rFonts w:ascii="Book Antiqua" w:hAnsi="Book Antiqua" w:cs="Book Antiqua" w:hint="eastAsia"/>
          <w:color w:val="000000"/>
          <w:lang w:eastAsia="zh-CN"/>
        </w:rPr>
      </w:pPr>
      <w:r w:rsidRPr="007D1997">
        <w:rPr>
          <w:rFonts w:ascii="Book Antiqua" w:eastAsia="Book Antiqua" w:hAnsi="Book Antiqua" w:cs="Book Antiqua"/>
          <w:color w:val="000000"/>
        </w:rPr>
        <w:t>URL: https://www.wjgnet.com/1949-8462/full/v13/i1/</w:t>
      </w:r>
      <w:r w:rsidR="00CF6067">
        <w:rPr>
          <w:rFonts w:ascii="Book Antiqua" w:hAnsi="Book Antiqua" w:cs="Book Antiqua" w:hint="eastAsia"/>
          <w:color w:val="000000"/>
          <w:lang w:eastAsia="zh-CN"/>
        </w:rPr>
        <w:t>21</w:t>
      </w:r>
      <w:r w:rsidRPr="007D1997">
        <w:rPr>
          <w:rFonts w:ascii="Book Antiqua" w:eastAsia="Book Antiqua" w:hAnsi="Book Antiqua" w:cs="Book Antiqua"/>
          <w:color w:val="000000"/>
        </w:rPr>
        <w:t xml:space="preserve">.htm  </w:t>
      </w:r>
    </w:p>
    <w:p w14:paraId="24F5C4D0" w14:textId="3940B8AD" w:rsidR="00A77B3E" w:rsidRPr="00CF6067" w:rsidRDefault="007D1997" w:rsidP="00A97A85">
      <w:pPr>
        <w:snapToGrid w:val="0"/>
        <w:spacing w:line="360" w:lineRule="auto"/>
        <w:jc w:val="both"/>
        <w:rPr>
          <w:rFonts w:ascii="Book Antiqua" w:hAnsi="Book Antiqua" w:cs="Book Antiqua" w:hint="eastAsia"/>
          <w:color w:val="000000"/>
          <w:lang w:eastAsia="zh-CN"/>
        </w:rPr>
      </w:pPr>
      <w:r w:rsidRPr="007D1997">
        <w:rPr>
          <w:rFonts w:ascii="Book Antiqua" w:eastAsia="Book Antiqua" w:hAnsi="Book Antiqua" w:cs="Book Antiqua"/>
          <w:color w:val="000000"/>
        </w:rPr>
        <w:t>DOI: https://dx.doi.org/10.4330/wjc.v13.i1.</w:t>
      </w:r>
      <w:r w:rsidR="00CF6067">
        <w:rPr>
          <w:rFonts w:ascii="Book Antiqua" w:hAnsi="Book Antiqua" w:cs="Book Antiqua" w:hint="eastAsia"/>
          <w:color w:val="000000"/>
          <w:lang w:eastAsia="zh-CN"/>
        </w:rPr>
        <w:t>21</w:t>
      </w:r>
    </w:p>
    <w:p w14:paraId="038C1A89" w14:textId="77777777" w:rsidR="00A77B3E" w:rsidRPr="008A3C82" w:rsidRDefault="00A77B3E" w:rsidP="008A3C82">
      <w:pPr>
        <w:snapToGrid w:val="0"/>
        <w:spacing w:line="360" w:lineRule="auto"/>
        <w:jc w:val="both"/>
        <w:rPr>
          <w:rFonts w:ascii="Book Antiqua" w:hAnsi="Book Antiqua"/>
        </w:rPr>
      </w:pPr>
    </w:p>
    <w:p w14:paraId="30E2AB60" w14:textId="415569C1"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Core Tip: </w:t>
      </w:r>
      <w:bookmarkStart w:id="24" w:name="OLE_LINK19"/>
      <w:bookmarkStart w:id="25" w:name="OLE_LINK20"/>
      <w:r w:rsidRPr="008A3C82">
        <w:rPr>
          <w:rFonts w:ascii="Book Antiqua" w:eastAsia="Book Antiqua" w:hAnsi="Book Antiqua" w:cs="Book Antiqua"/>
          <w:color w:val="000000"/>
        </w:rPr>
        <w:t>An elderly man presented with dyspnea and neurological symptoms, including blepharoptosis. Simultaneously, the patient had signs of an acute myocardial infarction, but obstructive coronary artery disease was ruled out by coronary angiogram. Due to respiratory failure, the patient was admitted to the Intensive Care Unit for non-invasive support. The next day, bedside echocardiography revealed left ventricular apical ballooning, typical for Takotsubo cardiomyopathy. Meanwhile, second consultation by the neurologist performing a diagnostic neostigmine test confirmed a myasthenic crisis. Altogether, the patient was diagnosed with a new-onset myasthenic crisis-induced Takotsubo cardiomyopathy. Unfortunately, in this elderly man, this combination was fatal.</w:t>
      </w:r>
    </w:p>
    <w:bookmarkEnd w:id="24"/>
    <w:bookmarkEnd w:id="25"/>
    <w:p w14:paraId="02D53ECC" w14:textId="77777777" w:rsidR="00A77B3E" w:rsidRPr="008A3C82" w:rsidRDefault="00406903" w:rsidP="008A3C82">
      <w:pPr>
        <w:snapToGrid w:val="0"/>
        <w:spacing w:line="360" w:lineRule="auto"/>
        <w:jc w:val="both"/>
        <w:rPr>
          <w:rFonts w:ascii="Book Antiqua" w:hAnsi="Book Antiqua"/>
        </w:rPr>
      </w:pPr>
      <w:r w:rsidRPr="008A3C82">
        <w:rPr>
          <w:rFonts w:ascii="Book Antiqua" w:hAnsi="Book Antiqua"/>
        </w:rPr>
        <w:br w:type="page"/>
      </w:r>
      <w:r w:rsidR="008C3419" w:rsidRPr="008A3C82">
        <w:rPr>
          <w:rFonts w:ascii="Book Antiqua" w:eastAsia="Book Antiqua" w:hAnsi="Book Antiqua" w:cs="Book Antiqua"/>
          <w:b/>
          <w:caps/>
          <w:color w:val="000000"/>
          <w:u w:val="single"/>
        </w:rPr>
        <w:lastRenderedPageBreak/>
        <w:t>INTRODUCTION</w:t>
      </w:r>
    </w:p>
    <w:p w14:paraId="49D6BF12" w14:textId="424767FF" w:rsidR="00A77B3E" w:rsidRPr="008A3C82" w:rsidRDefault="008C3419" w:rsidP="008A3C82">
      <w:pPr>
        <w:snapToGrid w:val="0"/>
        <w:spacing w:line="360" w:lineRule="auto"/>
        <w:jc w:val="both"/>
        <w:rPr>
          <w:rFonts w:ascii="Book Antiqua" w:hAnsi="Book Antiqua"/>
        </w:rPr>
      </w:pPr>
      <w:bookmarkStart w:id="26" w:name="OLE_LINK27"/>
      <w:bookmarkStart w:id="27" w:name="OLE_LINK28"/>
      <w:r w:rsidRPr="008A3C82">
        <w:rPr>
          <w:rFonts w:ascii="Book Antiqua" w:eastAsia="Book Antiqua" w:hAnsi="Book Antiqua" w:cs="Book Antiqua"/>
          <w:color w:val="000000"/>
        </w:rPr>
        <w:t>Takotsubo cardiomyopathy (TTC) is a transient cardiac syndrome that typically causes mid-ventricular circumferential and apical hypokinesis mimicking an acute coronary syndrome. In TTC, acute coronary or microvascular spasms can result in stunning of the myocardium with left ventricular dysfunction caused by catecholamine release due to emotion or physical stress</w:t>
      </w:r>
      <w:r w:rsidRPr="008A3C82">
        <w:rPr>
          <w:rFonts w:ascii="Book Antiqua" w:eastAsia="Book Antiqua" w:hAnsi="Book Antiqua" w:cs="Book Antiqua"/>
          <w:color w:val="000000"/>
          <w:vertAlign w:val="superscript"/>
        </w:rPr>
        <w:t>[1]</w:t>
      </w:r>
      <w:r w:rsidRPr="008A3C82">
        <w:rPr>
          <w:rFonts w:ascii="Book Antiqua" w:eastAsia="Book Antiqua" w:hAnsi="Book Antiqua" w:cs="Book Antiqua"/>
          <w:color w:val="000000"/>
        </w:rPr>
        <w:t>. Until 2009, only two cases of patients who had developed TTC after plasmapheresis for a myasthenic crisis were reported</w:t>
      </w:r>
      <w:r w:rsidRPr="008A3C82">
        <w:rPr>
          <w:rFonts w:ascii="Book Antiqua" w:eastAsia="Book Antiqua" w:hAnsi="Book Antiqua" w:cs="Book Antiqua"/>
          <w:color w:val="000000"/>
          <w:vertAlign w:val="superscript"/>
        </w:rPr>
        <w:t>[2]</w:t>
      </w:r>
      <w:r w:rsidRPr="008A3C82">
        <w:rPr>
          <w:rFonts w:ascii="Book Antiqua" w:eastAsia="Book Antiqua" w:hAnsi="Book Antiqua" w:cs="Book Antiqua"/>
          <w:color w:val="000000"/>
        </w:rPr>
        <w:t>. A myasthenic crisis if often the first manifestation of myasthenia gravis</w:t>
      </w:r>
      <w:r w:rsidR="00F82A62">
        <w:rPr>
          <w:rFonts w:ascii="Book Antiqua" w:eastAsia="Book Antiqua" w:hAnsi="Book Antiqua" w:cs="Book Antiqua"/>
          <w:color w:val="000000"/>
        </w:rPr>
        <w:t xml:space="preserve"> (MG)</w:t>
      </w:r>
      <w:r w:rsidRPr="008A3C82">
        <w:rPr>
          <w:rFonts w:ascii="Book Antiqua" w:eastAsia="Book Antiqua" w:hAnsi="Book Antiqua" w:cs="Book Antiqua"/>
          <w:color w:val="000000"/>
        </w:rPr>
        <w:t>. M</w:t>
      </w:r>
      <w:r w:rsidR="00F82A62">
        <w:rPr>
          <w:rFonts w:ascii="Book Antiqua" w:eastAsia="Book Antiqua" w:hAnsi="Book Antiqua" w:cs="Book Antiqua"/>
          <w:color w:val="000000"/>
        </w:rPr>
        <w:t>G</w:t>
      </w:r>
      <w:r w:rsidRPr="008A3C82">
        <w:rPr>
          <w:rFonts w:ascii="Book Antiqua" w:eastAsia="Book Antiqua" w:hAnsi="Book Antiqua" w:cs="Book Antiqua"/>
          <w:color w:val="000000"/>
        </w:rPr>
        <w:t xml:space="preserve"> is a neuromuscular disease in which autoantibodies are formed against the acetylcholine receptors in the neuromuscular junction, causing severe muscular </w:t>
      </w:r>
      <w:proofErr w:type="gramStart"/>
      <w:r w:rsidRPr="008A3C82">
        <w:rPr>
          <w:rFonts w:ascii="Book Antiqua" w:eastAsia="Book Antiqua" w:hAnsi="Book Antiqua" w:cs="Book Antiqua"/>
          <w:color w:val="000000"/>
        </w:rPr>
        <w:t>weakness</w:t>
      </w:r>
      <w:r w:rsidRPr="008A3C82">
        <w:rPr>
          <w:rFonts w:ascii="Book Antiqua" w:eastAsia="Book Antiqua" w:hAnsi="Book Antiqua" w:cs="Book Antiqua"/>
          <w:color w:val="000000"/>
          <w:vertAlign w:val="superscript"/>
        </w:rPr>
        <w:t>[</w:t>
      </w:r>
      <w:proofErr w:type="gramEnd"/>
      <w:r w:rsidRPr="008A3C82">
        <w:rPr>
          <w:rFonts w:ascii="Book Antiqua" w:eastAsia="Book Antiqua" w:hAnsi="Book Antiqua" w:cs="Book Antiqua"/>
          <w:color w:val="000000"/>
          <w:vertAlign w:val="superscript"/>
        </w:rPr>
        <w:t>2]</w:t>
      </w:r>
      <w:r w:rsidR="00406903" w:rsidRPr="008A3C82">
        <w:rPr>
          <w:rFonts w:ascii="Book Antiqua" w:eastAsia="Book Antiqua" w:hAnsi="Book Antiqua" w:cs="Book Antiqua"/>
          <w:color w:val="000000"/>
        </w:rPr>
        <w:t xml:space="preserve">. </w:t>
      </w:r>
      <w:r w:rsidRPr="008A3C82">
        <w:rPr>
          <w:rFonts w:ascii="Book Antiqua" w:eastAsia="Book Antiqua" w:hAnsi="Book Antiqua" w:cs="Book Antiqua"/>
          <w:color w:val="000000"/>
        </w:rPr>
        <w:t xml:space="preserve">The pathophysiology of MG-associated TTC is not exactly clear. A myasthenic crisis can induce severe stress, resulting in excessive catecholamine release. Guaricci </w:t>
      </w:r>
      <w:r w:rsidRPr="008A3C82">
        <w:rPr>
          <w:rFonts w:ascii="Book Antiqua" w:eastAsia="Book Antiqua" w:hAnsi="Book Antiqua" w:cs="Book Antiqua"/>
          <w:i/>
          <w:iCs/>
          <w:color w:val="000000"/>
        </w:rPr>
        <w:t xml:space="preserve">et </w:t>
      </w:r>
      <w:proofErr w:type="gramStart"/>
      <w:r w:rsidRPr="008A3C82">
        <w:rPr>
          <w:rFonts w:ascii="Book Antiqua" w:eastAsia="Book Antiqua" w:hAnsi="Book Antiqua" w:cs="Book Antiqua"/>
          <w:i/>
          <w:iCs/>
          <w:color w:val="000000"/>
        </w:rPr>
        <w:t>al</w:t>
      </w:r>
      <w:r w:rsidR="00406903" w:rsidRPr="008A3C82">
        <w:rPr>
          <w:rFonts w:ascii="Book Antiqua" w:eastAsia="Book Antiqua" w:hAnsi="Book Antiqua" w:cs="Book Antiqua"/>
          <w:iCs/>
          <w:color w:val="000000"/>
          <w:vertAlign w:val="superscript"/>
        </w:rPr>
        <w:t>[</w:t>
      </w:r>
      <w:proofErr w:type="gramEnd"/>
      <w:r w:rsidR="00406903" w:rsidRPr="008A3C82">
        <w:rPr>
          <w:rFonts w:ascii="Book Antiqua" w:eastAsia="Book Antiqua" w:hAnsi="Book Antiqua" w:cs="Book Antiqua"/>
          <w:iCs/>
          <w:color w:val="000000"/>
          <w:vertAlign w:val="superscript"/>
        </w:rPr>
        <w:t>3]</w:t>
      </w:r>
      <w:r w:rsidRPr="008A3C82">
        <w:rPr>
          <w:rFonts w:ascii="Book Antiqua" w:eastAsia="Book Antiqua" w:hAnsi="Book Antiqua" w:cs="Book Antiqua"/>
          <w:color w:val="000000"/>
        </w:rPr>
        <w:t xml:space="preserve"> describe a neurogenic/</w:t>
      </w:r>
      <w:proofErr w:type="spellStart"/>
      <w:r w:rsidRPr="008A3C82">
        <w:rPr>
          <w:rFonts w:ascii="Book Antiqua" w:eastAsia="Book Antiqua" w:hAnsi="Book Antiqua" w:cs="Book Antiqua"/>
          <w:color w:val="000000"/>
        </w:rPr>
        <w:t>catecholaminergic</w:t>
      </w:r>
      <w:proofErr w:type="spellEnd"/>
      <w:r w:rsidRPr="008A3C82">
        <w:rPr>
          <w:rFonts w:ascii="Book Antiqua" w:eastAsia="Book Antiqua" w:hAnsi="Book Antiqua" w:cs="Book Antiqua"/>
          <w:color w:val="000000"/>
        </w:rPr>
        <w:t xml:space="preserve"> hypothesis: </w:t>
      </w:r>
      <w:proofErr w:type="spellStart"/>
      <w:r w:rsidR="00663AB2">
        <w:rPr>
          <w:rFonts w:ascii="Book Antiqua" w:hAnsi="Book Antiqua" w:cs="Book Antiqua" w:hint="eastAsia"/>
          <w:color w:val="000000"/>
          <w:lang w:eastAsia="zh-CN"/>
        </w:rPr>
        <w:t>S</w:t>
      </w:r>
      <w:r w:rsidRPr="008A3C82">
        <w:rPr>
          <w:rFonts w:ascii="Book Antiqua" w:eastAsia="Book Antiqua" w:hAnsi="Book Antiqua" w:cs="Book Antiqua"/>
          <w:color w:val="000000"/>
        </w:rPr>
        <w:t>upraphysiological</w:t>
      </w:r>
      <w:proofErr w:type="spellEnd"/>
      <w:r w:rsidRPr="008A3C82">
        <w:rPr>
          <w:rFonts w:ascii="Book Antiqua" w:eastAsia="Book Antiqua" w:hAnsi="Book Antiqua" w:cs="Book Antiqua"/>
          <w:color w:val="000000"/>
        </w:rPr>
        <w:t xml:space="preserve"> levels of epinephrine can paradoxically lead to negative inotropic effects by reducing myofilament contractility, therefore leading to myocardial stunning</w:t>
      </w:r>
      <w:r w:rsidRPr="008A3C82">
        <w:rPr>
          <w:rFonts w:ascii="Book Antiqua" w:eastAsia="Book Antiqua" w:hAnsi="Book Antiqua" w:cs="Book Antiqua"/>
          <w:color w:val="000000"/>
          <w:vertAlign w:val="superscript"/>
        </w:rPr>
        <w:t>[3]</w:t>
      </w:r>
      <w:r w:rsidRPr="008A3C82">
        <w:rPr>
          <w:rFonts w:ascii="Book Antiqua" w:eastAsia="Book Antiqua" w:hAnsi="Book Antiqua" w:cs="Book Antiqua"/>
          <w:color w:val="000000"/>
        </w:rPr>
        <w:t>. Women are 9-times more likely to develop TTC then men. Post-menopausal women are especially prone to TTC</w:t>
      </w:r>
      <w:r w:rsidR="00406903" w:rsidRPr="008A3C82">
        <w:rPr>
          <w:rFonts w:ascii="Book Antiqua" w:eastAsia="Book Antiqua" w:hAnsi="Book Antiqua" w:cs="Book Antiqua"/>
          <w:color w:val="000000"/>
          <w:vertAlign w:val="superscript"/>
        </w:rPr>
        <w:t>[1,</w:t>
      </w:r>
      <w:r w:rsidRPr="008A3C82">
        <w:rPr>
          <w:rFonts w:ascii="Book Antiqua" w:eastAsia="Book Antiqua" w:hAnsi="Book Antiqua" w:cs="Book Antiqua"/>
          <w:color w:val="000000"/>
          <w:vertAlign w:val="superscript"/>
        </w:rPr>
        <w:t>4]</w:t>
      </w:r>
      <w:r w:rsidRPr="008A3C82">
        <w:rPr>
          <w:rFonts w:ascii="Book Antiqua" w:eastAsia="Book Antiqua" w:hAnsi="Book Antiqua" w:cs="Book Antiqua"/>
          <w:color w:val="000000"/>
        </w:rPr>
        <w:t>.</w:t>
      </w:r>
    </w:p>
    <w:p w14:paraId="4E6D00C3" w14:textId="32283F4A"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Diabetes mellitus is a common comorbidity. When TTC develops during myasthenic crisis, the risk of respiratory failure, intubation and mechanical ventilation (81%) and death (25%) are significant</w:t>
      </w:r>
      <w:r w:rsidR="00406903" w:rsidRPr="008A3C82">
        <w:rPr>
          <w:rFonts w:ascii="Book Antiqua" w:eastAsia="Book Antiqua" w:hAnsi="Book Antiqua" w:cs="Book Antiqua"/>
          <w:color w:val="000000"/>
          <w:vertAlign w:val="superscript"/>
        </w:rPr>
        <w:t>[4,</w:t>
      </w:r>
      <w:r w:rsidRPr="008A3C82">
        <w:rPr>
          <w:rFonts w:ascii="Book Antiqua" w:eastAsia="Book Antiqua" w:hAnsi="Book Antiqua" w:cs="Book Antiqua"/>
          <w:color w:val="000000"/>
          <w:vertAlign w:val="superscript"/>
        </w:rPr>
        <w:t>5]</w:t>
      </w:r>
      <w:r w:rsidRPr="008A3C82">
        <w:rPr>
          <w:rFonts w:ascii="Book Antiqua" w:eastAsia="Book Antiqua" w:hAnsi="Book Antiqua" w:cs="Book Antiqua"/>
          <w:color w:val="000000"/>
        </w:rPr>
        <w:t>. In patients with TTC, respiratory failure is caused by a manifestation of pulmonary edema due to acute heart failure. In MG, however, respiratory distress and failure can be explained by severe skeletal muscle weakness which can lead to hypercapnic failure</w:t>
      </w:r>
      <w:r w:rsidRPr="008A3C82">
        <w:rPr>
          <w:rFonts w:ascii="Book Antiqua" w:eastAsia="Book Antiqua" w:hAnsi="Book Antiqua" w:cs="Book Antiqua"/>
          <w:color w:val="000000"/>
          <w:vertAlign w:val="superscript"/>
        </w:rPr>
        <w:t>[6]</w:t>
      </w:r>
      <w:r w:rsidRPr="008A3C82">
        <w:rPr>
          <w:rFonts w:ascii="Book Antiqua" w:eastAsia="Book Antiqua" w:hAnsi="Book Antiqua" w:cs="Book Antiqua"/>
          <w:color w:val="000000"/>
        </w:rPr>
        <w:t>. However, non-invasive ventilation can successfully stabilize approximately one-third of patients suffering from each of these types of respiratory failure</w:t>
      </w:r>
      <w:r w:rsidR="00406903" w:rsidRPr="008A3C82">
        <w:rPr>
          <w:rFonts w:ascii="Book Antiqua" w:eastAsia="Book Antiqua" w:hAnsi="Book Antiqua" w:cs="Book Antiqua"/>
          <w:color w:val="000000"/>
          <w:vertAlign w:val="superscript"/>
        </w:rPr>
        <w:t>[7,</w:t>
      </w:r>
      <w:r w:rsidRPr="008A3C82">
        <w:rPr>
          <w:rFonts w:ascii="Book Antiqua" w:eastAsia="Book Antiqua" w:hAnsi="Book Antiqua" w:cs="Book Antiqua"/>
          <w:color w:val="000000"/>
          <w:vertAlign w:val="superscript"/>
        </w:rPr>
        <w:t>8]</w:t>
      </w:r>
      <w:r w:rsidRPr="008A3C82">
        <w:rPr>
          <w:rFonts w:ascii="Book Antiqua" w:eastAsia="Book Antiqua" w:hAnsi="Book Antiqua" w:cs="Book Antiqua"/>
          <w:color w:val="000000"/>
        </w:rPr>
        <w:t xml:space="preserve">. This weakens the awareness that both syndromes can arise during a serious physical and/or emotional stress event. Suspicion of MG with development of pulmonary lung edema should prompt evaluation for TTC. Awareness of the possibility that </w:t>
      </w:r>
      <w:r w:rsidRPr="008A3C82">
        <w:rPr>
          <w:rFonts w:ascii="Book Antiqua" w:eastAsia="Book Antiqua" w:hAnsi="Book Antiqua" w:cs="Book Antiqua"/>
          <w:color w:val="000000"/>
        </w:rPr>
        <w:lastRenderedPageBreak/>
        <w:t xml:space="preserve">both MG and TTC may cause respiratory failure, and that an association exists between these conditions, may lead to early recognition, adequate diagnostic work-up and timely treatment. </w:t>
      </w:r>
    </w:p>
    <w:p w14:paraId="46C326E9" w14:textId="77777777"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In this case report, we sought to describe an elderly man with dyspnea who was diagnosed with new-onset MG and TTC.</w:t>
      </w:r>
    </w:p>
    <w:bookmarkEnd w:id="26"/>
    <w:bookmarkEnd w:id="27"/>
    <w:p w14:paraId="47B88BF7" w14:textId="77777777" w:rsidR="00A77B3E" w:rsidRPr="008A3C82" w:rsidRDefault="00A77B3E" w:rsidP="008A3C82">
      <w:pPr>
        <w:snapToGrid w:val="0"/>
        <w:spacing w:line="360" w:lineRule="auto"/>
        <w:jc w:val="both"/>
        <w:rPr>
          <w:rFonts w:ascii="Book Antiqua" w:hAnsi="Book Antiqua"/>
        </w:rPr>
      </w:pPr>
    </w:p>
    <w:p w14:paraId="0DDE5BF9"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CASE PRESENTATION</w:t>
      </w:r>
    </w:p>
    <w:p w14:paraId="267B1FB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Chief complaints</w:t>
      </w:r>
    </w:p>
    <w:p w14:paraId="5C7DB661" w14:textId="77777777" w:rsidR="00A77B3E" w:rsidRPr="008A3C82" w:rsidRDefault="008C3419" w:rsidP="008A3C82">
      <w:pPr>
        <w:snapToGrid w:val="0"/>
        <w:spacing w:line="360" w:lineRule="auto"/>
        <w:jc w:val="both"/>
        <w:rPr>
          <w:rFonts w:ascii="Book Antiqua" w:hAnsi="Book Antiqua"/>
        </w:rPr>
      </w:pPr>
      <w:bookmarkStart w:id="28" w:name="OLE_LINK29"/>
      <w:bookmarkStart w:id="29" w:name="OLE_LINK30"/>
      <w:r w:rsidRPr="008A3C82">
        <w:rPr>
          <w:rFonts w:ascii="Book Antiqua" w:eastAsia="Book Antiqua" w:hAnsi="Book Antiqua" w:cs="Book Antiqua"/>
          <w:color w:val="000000"/>
        </w:rPr>
        <w:t>An 81-year-old man with a medical history of non-insulin dependent diabetes and metastasized prostate carcinoma was referred to our emergency department (ED) by his general practitioner, with complaint of dyspnea and generalized muscle weakness.</w:t>
      </w:r>
    </w:p>
    <w:bookmarkEnd w:id="28"/>
    <w:bookmarkEnd w:id="29"/>
    <w:p w14:paraId="5DCA98D4" w14:textId="77777777" w:rsidR="00A77B3E" w:rsidRPr="008A3C82" w:rsidRDefault="00A77B3E" w:rsidP="008A3C82">
      <w:pPr>
        <w:snapToGrid w:val="0"/>
        <w:spacing w:line="360" w:lineRule="auto"/>
        <w:jc w:val="both"/>
        <w:rPr>
          <w:rFonts w:ascii="Book Antiqua" w:hAnsi="Book Antiqua"/>
        </w:rPr>
      </w:pPr>
    </w:p>
    <w:p w14:paraId="4055E4F1"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History of present illness</w:t>
      </w:r>
    </w:p>
    <w:p w14:paraId="3A3CC8EB" w14:textId="155B3D2C" w:rsidR="00A77B3E" w:rsidRPr="008A3C82" w:rsidRDefault="008C3419" w:rsidP="008A3C82">
      <w:pPr>
        <w:snapToGrid w:val="0"/>
        <w:spacing w:line="360" w:lineRule="auto"/>
        <w:jc w:val="both"/>
        <w:rPr>
          <w:rFonts w:ascii="Book Antiqua" w:hAnsi="Book Antiqua"/>
        </w:rPr>
      </w:pPr>
      <w:bookmarkStart w:id="30" w:name="OLE_LINK31"/>
      <w:bookmarkStart w:id="31" w:name="OLE_LINK32"/>
      <w:r w:rsidRPr="008A3C82">
        <w:rPr>
          <w:rFonts w:ascii="Book Antiqua" w:eastAsia="Book Antiqua" w:hAnsi="Book Antiqua" w:cs="Book Antiqua"/>
          <w:color w:val="000000"/>
        </w:rPr>
        <w:t>The patient had developed walking difficulties, balance impairment and ptosis of his right eye over the past few days, and developed progressive dyspnea in the last few hours before presentation to clinic. The ptosis of the right eye, as well as generalized muscle weakness, were apparent on primary examination in the ED.</w:t>
      </w:r>
    </w:p>
    <w:bookmarkEnd w:id="30"/>
    <w:bookmarkEnd w:id="31"/>
    <w:p w14:paraId="48F4B144" w14:textId="77777777" w:rsidR="00A77B3E" w:rsidRPr="008A3C82" w:rsidRDefault="00A77B3E" w:rsidP="008A3C82">
      <w:pPr>
        <w:snapToGrid w:val="0"/>
        <w:spacing w:line="360" w:lineRule="auto"/>
        <w:jc w:val="both"/>
        <w:rPr>
          <w:rFonts w:ascii="Book Antiqua" w:hAnsi="Book Antiqua"/>
        </w:rPr>
      </w:pPr>
    </w:p>
    <w:p w14:paraId="6E416BF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History of past illness</w:t>
      </w:r>
    </w:p>
    <w:p w14:paraId="5ED8FDDC" w14:textId="77777777" w:rsidR="00A77B3E" w:rsidRPr="008A3C82" w:rsidRDefault="008C3419" w:rsidP="008A3C82">
      <w:pPr>
        <w:snapToGrid w:val="0"/>
        <w:spacing w:line="360" w:lineRule="auto"/>
        <w:jc w:val="both"/>
        <w:rPr>
          <w:rFonts w:ascii="Book Antiqua" w:hAnsi="Book Antiqua"/>
        </w:rPr>
      </w:pPr>
      <w:bookmarkStart w:id="32" w:name="OLE_LINK33"/>
      <w:bookmarkStart w:id="33" w:name="OLE_LINK34"/>
      <w:r w:rsidRPr="008A3C82">
        <w:rPr>
          <w:rFonts w:ascii="Book Antiqua" w:eastAsia="Book Antiqua" w:hAnsi="Book Antiqua" w:cs="Book Antiqua"/>
          <w:color w:val="000000"/>
        </w:rPr>
        <w:t>The patient was known to have ongoing non-insulin dependent diabetes and metastasized prostate carcinoma.</w:t>
      </w:r>
    </w:p>
    <w:bookmarkEnd w:id="32"/>
    <w:bookmarkEnd w:id="33"/>
    <w:p w14:paraId="458FD43D" w14:textId="77777777" w:rsidR="00A77B3E" w:rsidRPr="008A3C82" w:rsidRDefault="00A77B3E" w:rsidP="008A3C82">
      <w:pPr>
        <w:snapToGrid w:val="0"/>
        <w:spacing w:line="360" w:lineRule="auto"/>
        <w:jc w:val="both"/>
        <w:rPr>
          <w:rFonts w:ascii="Book Antiqua" w:hAnsi="Book Antiqua"/>
        </w:rPr>
      </w:pPr>
    </w:p>
    <w:p w14:paraId="39CDF08B"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Physical examination</w:t>
      </w:r>
    </w:p>
    <w:p w14:paraId="2C91C9CE" w14:textId="6603242E" w:rsidR="00A77B3E" w:rsidRPr="008A3C82" w:rsidRDefault="008C3419" w:rsidP="008A3C82">
      <w:pPr>
        <w:snapToGrid w:val="0"/>
        <w:spacing w:line="360" w:lineRule="auto"/>
        <w:jc w:val="both"/>
        <w:rPr>
          <w:rFonts w:ascii="Book Antiqua" w:hAnsi="Book Antiqua"/>
        </w:rPr>
      </w:pPr>
      <w:bookmarkStart w:id="34" w:name="OLE_LINK35"/>
      <w:bookmarkStart w:id="35" w:name="OLE_LINK36"/>
      <w:r w:rsidRPr="008A3C82">
        <w:rPr>
          <w:rFonts w:ascii="Book Antiqua" w:eastAsia="Book Antiqua" w:hAnsi="Book Antiqua" w:cs="Book Antiqua"/>
          <w:color w:val="000000"/>
        </w:rPr>
        <w:t>At the ED, the patient’s temperature was 36.5 °C, heart rate was 95 beats per min, respiratory rate 26 was breaths per min, blood pressure was 190/110 mmHg, and oxygen saturation with 3 L O</w:t>
      </w:r>
      <w:r w:rsidRPr="008A3C82">
        <w:rPr>
          <w:rFonts w:ascii="Book Antiqua" w:eastAsia="Book Antiqua" w:hAnsi="Book Antiqua" w:cs="Book Antiqua"/>
          <w:color w:val="000000"/>
          <w:vertAlign w:val="subscript"/>
        </w:rPr>
        <w:t>2</w:t>
      </w:r>
      <w:r w:rsidRPr="008A3C82">
        <w:rPr>
          <w:rFonts w:ascii="Book Antiqua" w:eastAsia="Book Antiqua" w:hAnsi="Book Antiqua" w:cs="Book Antiqua"/>
          <w:color w:val="000000"/>
        </w:rPr>
        <w:t xml:space="preserve"> was 96%. The initial neurological examination showed a blepharoptosis, general muscular weakness, and disbalance. As such, our differential diagnosis included peripheral neuromuscular disease related to </w:t>
      </w:r>
      <w:r w:rsidRPr="008A3C82">
        <w:rPr>
          <w:rFonts w:ascii="Book Antiqua" w:eastAsia="Book Antiqua" w:hAnsi="Book Antiqua" w:cs="Book Antiqua"/>
          <w:color w:val="000000"/>
        </w:rPr>
        <w:lastRenderedPageBreak/>
        <w:t xml:space="preserve">diabetes mellitus, with considerations for further diagnosis to rule out metastatic disease or paraneoplastic neurological disease. In relation to the patient’s complaint of progressive dyspnea, his electrocardiogram (ECG) showed signs of acute coronary syndrome. </w:t>
      </w:r>
    </w:p>
    <w:bookmarkEnd w:id="34"/>
    <w:bookmarkEnd w:id="35"/>
    <w:p w14:paraId="6FF7BE59" w14:textId="77777777" w:rsidR="00A77B3E" w:rsidRPr="008A3C82" w:rsidRDefault="00A77B3E" w:rsidP="008A3C82">
      <w:pPr>
        <w:snapToGrid w:val="0"/>
        <w:spacing w:line="360" w:lineRule="auto"/>
        <w:jc w:val="both"/>
        <w:rPr>
          <w:rFonts w:ascii="Book Antiqua" w:hAnsi="Book Antiqua"/>
        </w:rPr>
      </w:pPr>
    </w:p>
    <w:p w14:paraId="0E4E465C"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Laboratory examinations</w:t>
      </w:r>
    </w:p>
    <w:p w14:paraId="6BEDEBCB" w14:textId="268B610A" w:rsidR="00A77B3E" w:rsidRPr="008A3C82" w:rsidRDefault="008C3419" w:rsidP="008A3C82">
      <w:pPr>
        <w:snapToGrid w:val="0"/>
        <w:spacing w:line="360" w:lineRule="auto"/>
        <w:jc w:val="both"/>
        <w:rPr>
          <w:rFonts w:ascii="Book Antiqua" w:hAnsi="Book Antiqua"/>
        </w:rPr>
      </w:pPr>
      <w:bookmarkStart w:id="36" w:name="OLE_LINK37"/>
      <w:bookmarkStart w:id="37" w:name="OLE_LINK38"/>
      <w:r w:rsidRPr="008A3C82">
        <w:rPr>
          <w:rFonts w:ascii="Book Antiqua" w:eastAsia="Book Antiqua" w:hAnsi="Book Antiqua" w:cs="Book Antiqua"/>
          <w:color w:val="000000"/>
        </w:rPr>
        <w:t>Serial ECGs revealed signs of acute anterior wall myocardial infarct, although the patient had no typical symptoms of an acute coronary syndrome (Figure 1). This finding was accompanied by raised serum high-sensitivity troponin levels (maximum 0.814</w:t>
      </w:r>
      <w:r w:rsidR="00DF0374">
        <w:rPr>
          <w:rFonts w:ascii="Book Antiqua" w:eastAsia="Book Antiqua" w:hAnsi="Book Antiqua" w:cs="Book Antiqua"/>
          <w:color w:val="000000"/>
        </w:rPr>
        <w:t xml:space="preserve"> </w:t>
      </w:r>
      <w:r w:rsidRPr="008A3C82">
        <w:rPr>
          <w:rFonts w:ascii="Book Antiqua" w:eastAsia="Book Antiqua" w:hAnsi="Book Antiqua" w:cs="Book Antiqua"/>
          <w:color w:val="000000"/>
        </w:rPr>
        <w:t>µg/L; normal range: 0</w:t>
      </w:r>
      <w:r w:rsidR="00406903" w:rsidRPr="008A3C82">
        <w:rPr>
          <w:rFonts w:ascii="Book Antiqua" w:eastAsia="Book Antiqua" w:hAnsi="Book Antiqua" w:cs="Book Antiqua"/>
          <w:color w:val="000000"/>
        </w:rPr>
        <w:t>-</w:t>
      </w:r>
      <w:r w:rsidRPr="008A3C82">
        <w:rPr>
          <w:rFonts w:ascii="Book Antiqua" w:eastAsia="Book Antiqua" w:hAnsi="Book Antiqua" w:cs="Book Antiqua"/>
          <w:color w:val="000000"/>
        </w:rPr>
        <w:t>0.014</w:t>
      </w:r>
      <w:r w:rsidR="00DF0374">
        <w:rPr>
          <w:rFonts w:ascii="Book Antiqua" w:eastAsia="Book Antiqua" w:hAnsi="Book Antiqua" w:cs="Book Antiqua"/>
          <w:color w:val="000000"/>
        </w:rPr>
        <w:t xml:space="preserve"> </w:t>
      </w:r>
      <w:r w:rsidRPr="008A3C82">
        <w:rPr>
          <w:rFonts w:ascii="Book Antiqua" w:eastAsia="Book Antiqua" w:hAnsi="Book Antiqua" w:cs="Book Antiqua"/>
          <w:color w:val="000000"/>
        </w:rPr>
        <w:t xml:space="preserve">µg/L). </w:t>
      </w:r>
    </w:p>
    <w:bookmarkEnd w:id="36"/>
    <w:bookmarkEnd w:id="37"/>
    <w:p w14:paraId="217BC9AD" w14:textId="77777777" w:rsidR="00A77B3E" w:rsidRPr="008A3C82" w:rsidRDefault="00A77B3E" w:rsidP="008A3C82">
      <w:pPr>
        <w:snapToGrid w:val="0"/>
        <w:spacing w:line="360" w:lineRule="auto"/>
        <w:jc w:val="both"/>
        <w:rPr>
          <w:rFonts w:ascii="Book Antiqua" w:hAnsi="Book Antiqua"/>
        </w:rPr>
      </w:pPr>
    </w:p>
    <w:p w14:paraId="24F4C04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Imaging examinations</w:t>
      </w:r>
    </w:p>
    <w:p w14:paraId="5C820444" w14:textId="77777777" w:rsidR="00A77B3E" w:rsidRPr="008A3C82" w:rsidRDefault="008C3419" w:rsidP="008A3C82">
      <w:pPr>
        <w:snapToGrid w:val="0"/>
        <w:spacing w:line="360" w:lineRule="auto"/>
        <w:jc w:val="both"/>
        <w:rPr>
          <w:rFonts w:ascii="Book Antiqua" w:hAnsi="Book Antiqua"/>
        </w:rPr>
      </w:pPr>
      <w:bookmarkStart w:id="38" w:name="OLE_LINK39"/>
      <w:bookmarkStart w:id="39" w:name="OLE_LINK40"/>
      <w:r w:rsidRPr="008A3C82">
        <w:rPr>
          <w:rFonts w:ascii="Book Antiqua" w:eastAsia="Book Antiqua" w:hAnsi="Book Antiqua" w:cs="Book Antiqua"/>
          <w:color w:val="000000"/>
        </w:rPr>
        <w:t xml:space="preserve">A conventional </w:t>
      </w:r>
      <w:r w:rsidRPr="008A3C82">
        <w:rPr>
          <w:rFonts w:ascii="Book Antiqua" w:eastAsia="Book Antiqua" w:hAnsi="Book Antiqua" w:cs="Book Antiqua"/>
          <w:caps/>
          <w:color w:val="000000"/>
        </w:rPr>
        <w:t>x</w:t>
      </w:r>
      <w:r w:rsidRPr="008A3C82">
        <w:rPr>
          <w:rFonts w:ascii="Book Antiqua" w:eastAsia="Book Antiqua" w:hAnsi="Book Antiqua" w:cs="Book Antiqua"/>
          <w:color w:val="000000"/>
        </w:rPr>
        <w:t xml:space="preserve">-ray and computed tomography angiography of the chest showed no pulmonary embolism or parenchymal abnormalities, except for atelectasis of both lower lung fields. An emergency coronary angiography showed no obstructive coronary lesions (Figure 2). </w:t>
      </w:r>
    </w:p>
    <w:bookmarkEnd w:id="38"/>
    <w:bookmarkEnd w:id="39"/>
    <w:p w14:paraId="02EA8AAF" w14:textId="77777777" w:rsidR="00A77B3E" w:rsidRPr="008A3C82" w:rsidRDefault="00A77B3E" w:rsidP="008A3C82">
      <w:pPr>
        <w:snapToGrid w:val="0"/>
        <w:spacing w:line="360" w:lineRule="auto"/>
        <w:jc w:val="both"/>
        <w:rPr>
          <w:rFonts w:ascii="Book Antiqua" w:hAnsi="Book Antiqua"/>
        </w:rPr>
      </w:pPr>
    </w:p>
    <w:p w14:paraId="7AD71737"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i/>
          <w:iCs/>
          <w:color w:val="000000"/>
        </w:rPr>
        <w:t>Further diagnostic work-up</w:t>
      </w:r>
    </w:p>
    <w:p w14:paraId="28A2894D" w14:textId="1F15DB36"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 xml:space="preserve">The patient’s respiratory condition quickly deteriorated and he was admitted to the </w:t>
      </w:r>
      <w:r w:rsidR="00614C4B" w:rsidRPr="008A3C82">
        <w:rPr>
          <w:rFonts w:ascii="Book Antiqua" w:eastAsia="Book Antiqua" w:hAnsi="Book Antiqua" w:cs="Book Antiqua"/>
          <w:color w:val="000000"/>
        </w:rPr>
        <w:t xml:space="preserve">intensive care unit </w:t>
      </w:r>
      <w:r w:rsidRPr="008A3C82">
        <w:rPr>
          <w:rFonts w:ascii="Book Antiqua" w:eastAsia="Book Antiqua" w:hAnsi="Book Antiqua" w:cs="Book Antiqua"/>
          <w:color w:val="000000"/>
        </w:rPr>
        <w:t>(ICU) with hypercapnic failure, where he was successfully stabilized with non-invasive ventilation (bilevel pressure support). The following day, the typical combination of ptosis and generalized weakness progressing to respiratory failure prompted re-consultation with the neurologist.</w:t>
      </w:r>
    </w:p>
    <w:p w14:paraId="7E7A242A" w14:textId="77777777" w:rsidR="00A77B3E" w:rsidRPr="008A3C82" w:rsidRDefault="00A77B3E" w:rsidP="008A3C82">
      <w:pPr>
        <w:snapToGrid w:val="0"/>
        <w:spacing w:line="360" w:lineRule="auto"/>
        <w:jc w:val="both"/>
        <w:rPr>
          <w:rFonts w:ascii="Book Antiqua" w:hAnsi="Book Antiqua"/>
        </w:rPr>
      </w:pPr>
    </w:p>
    <w:p w14:paraId="2ECA4D41"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MULTIDISCIPLINARY EXPERT CONSULTATION</w:t>
      </w:r>
    </w:p>
    <w:p w14:paraId="220282F8" w14:textId="77777777" w:rsidR="00A77B3E" w:rsidRPr="008A3C82" w:rsidRDefault="008C3419" w:rsidP="008A3C82">
      <w:pPr>
        <w:snapToGrid w:val="0"/>
        <w:spacing w:line="360" w:lineRule="auto"/>
        <w:jc w:val="both"/>
        <w:rPr>
          <w:rFonts w:ascii="Book Antiqua" w:hAnsi="Book Antiqua"/>
        </w:rPr>
      </w:pPr>
      <w:bookmarkStart w:id="40" w:name="OLE_LINK41"/>
      <w:bookmarkStart w:id="41" w:name="OLE_LINK42"/>
      <w:r w:rsidRPr="008A3C82">
        <w:rPr>
          <w:rFonts w:ascii="Book Antiqua" w:eastAsia="Book Antiqua" w:hAnsi="Book Antiqua" w:cs="Book Antiqua"/>
          <w:b/>
          <w:bCs/>
          <w:i/>
          <w:iCs/>
          <w:color w:val="000000"/>
        </w:rPr>
        <w:t>Ruud Keunen, MD, PhD, Department of Neurology, Haga Teaching Hospital, The Hague, The Netherlands</w:t>
      </w:r>
    </w:p>
    <w:p w14:paraId="55671B17"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“The patient should start with mestinon and immunoglobulins treatment if the neostigmine test is positive. Further consideration of steroids has been advised.”</w:t>
      </w:r>
    </w:p>
    <w:p w14:paraId="6F8727A1" w14:textId="77777777" w:rsidR="00A77B3E" w:rsidRPr="008A3C82" w:rsidRDefault="00A77B3E" w:rsidP="008A3C82">
      <w:pPr>
        <w:snapToGrid w:val="0"/>
        <w:spacing w:line="360" w:lineRule="auto"/>
        <w:jc w:val="both"/>
        <w:rPr>
          <w:rFonts w:ascii="Book Antiqua" w:hAnsi="Book Antiqua"/>
        </w:rPr>
      </w:pPr>
    </w:p>
    <w:p w14:paraId="2F08495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i/>
          <w:iCs/>
          <w:color w:val="000000"/>
        </w:rPr>
        <w:t>Sakir Akin, MD, PhD, Cardiologist-Intensivist, Department of Intensive Care, Haga Teaching Hospital, The Hague, The Netherlands</w:t>
      </w:r>
    </w:p>
    <w:p w14:paraId="6BF37AFB" w14:textId="6BB1F725"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 xml:space="preserve">“The patient should continue inotropic support during continuing acute heart failure. Beside this, there should be ongoing respiratory </w:t>
      </w:r>
      <w:r w:rsidR="004E79BD">
        <w:rPr>
          <w:rFonts w:ascii="Book Antiqua" w:eastAsia="Book Antiqua" w:hAnsi="Book Antiqua" w:cs="Book Antiqua"/>
          <w:color w:val="000000"/>
        </w:rPr>
        <w:t>bilevel</w:t>
      </w:r>
      <w:r w:rsidRPr="008A3C82">
        <w:rPr>
          <w:rFonts w:ascii="Book Antiqua" w:eastAsia="Book Antiqua" w:hAnsi="Book Antiqua" w:cs="Book Antiqua"/>
          <w:color w:val="000000"/>
        </w:rPr>
        <w:t xml:space="preserve"> non-invasive support to prevent further respiratory complications, accompanied by hypokinetic diaphragm, of myasthenic crisis on top of pulmonary edema by cardiac dysfunction.”</w:t>
      </w:r>
    </w:p>
    <w:bookmarkEnd w:id="40"/>
    <w:bookmarkEnd w:id="41"/>
    <w:p w14:paraId="76C1D53C" w14:textId="77777777" w:rsidR="00A77B3E" w:rsidRPr="008A3C82" w:rsidRDefault="00A77B3E" w:rsidP="008A3C82">
      <w:pPr>
        <w:snapToGrid w:val="0"/>
        <w:spacing w:line="360" w:lineRule="auto"/>
        <w:jc w:val="both"/>
        <w:rPr>
          <w:rFonts w:ascii="Book Antiqua" w:hAnsi="Book Antiqua"/>
        </w:rPr>
      </w:pPr>
    </w:p>
    <w:p w14:paraId="051E47E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FINAL DIAGNOSIS</w:t>
      </w:r>
    </w:p>
    <w:p w14:paraId="75B9FC94" w14:textId="6A9D30A7" w:rsidR="00A77B3E" w:rsidRPr="008A3C82" w:rsidRDefault="008C3419" w:rsidP="008A3C82">
      <w:pPr>
        <w:snapToGrid w:val="0"/>
        <w:spacing w:line="360" w:lineRule="auto"/>
        <w:jc w:val="both"/>
        <w:rPr>
          <w:rFonts w:ascii="Book Antiqua" w:hAnsi="Book Antiqua"/>
        </w:rPr>
      </w:pPr>
      <w:bookmarkStart w:id="42" w:name="OLE_LINK43"/>
      <w:bookmarkStart w:id="43" w:name="OLE_LINK44"/>
      <w:r w:rsidRPr="008A3C82">
        <w:rPr>
          <w:rFonts w:ascii="Book Antiqua" w:eastAsia="Book Antiqua" w:hAnsi="Book Antiqua" w:cs="Book Antiqua"/>
          <w:color w:val="000000"/>
        </w:rPr>
        <w:t xml:space="preserve">A diagnostic neostigmine test confirmed the diagnosis of myasthenic crisis with new-onset MG. The acetylcholine receptor (known as AChR) antibody was also positive. During his treatment in the ICU, the patient showed signs of progressive hemodynamic instability, requiring inotropic support with dobutamine. Although follow-up ECGs showed a persistent and evolving anterior wall myocardial infarction, the patient never developed chest pain (Figure 1). Troponin levels also decreased spontaneously. A repeat transthoracic </w:t>
      </w:r>
      <w:r w:rsidR="004E79BD">
        <w:rPr>
          <w:rFonts w:ascii="Book Antiqua" w:eastAsia="Book Antiqua" w:hAnsi="Book Antiqua" w:cs="Book Antiqua"/>
          <w:color w:val="000000"/>
        </w:rPr>
        <w:t xml:space="preserve">echocardiogram </w:t>
      </w:r>
      <w:r w:rsidRPr="008A3C82">
        <w:rPr>
          <w:rFonts w:ascii="Book Antiqua" w:eastAsia="Book Antiqua" w:hAnsi="Book Antiqua" w:cs="Book Antiqua"/>
          <w:color w:val="000000"/>
        </w:rPr>
        <w:t xml:space="preserve">showed apical ballooning of the left ventricle (resembling a Japanese octopus trap) with hypokinesia of the anterior wall, whilst the right ventricle was hyperdynamic but normal in size (Figures 3 and 4). Compared with the quick-look echo carried out in the ED, there was the same morphologic abnormality of the left ventricle. This was suggestive of stress-induced cardiomyopathy, also known as TTC. Theoretically, the myasthenic crisis may have provoked this rare cardiac complication due to excessive catecholamine release. Both MG and TTC are potentially reversible conditions. However, in this specific case of a patient of advanced age and frail physical condition due to chemotherapy-resistant metastasized prostate carcinoma, the clinical condition deteriorated quickly before the effect of intravenous immunoglobulin could occur. </w:t>
      </w:r>
    </w:p>
    <w:p w14:paraId="7B1B9D6B" w14:textId="77777777" w:rsidR="00A77B3E" w:rsidRPr="008A3C82" w:rsidRDefault="00A77B3E" w:rsidP="008A3C82">
      <w:pPr>
        <w:snapToGrid w:val="0"/>
        <w:spacing w:line="360" w:lineRule="auto"/>
        <w:jc w:val="both"/>
        <w:rPr>
          <w:rFonts w:ascii="Book Antiqua" w:hAnsi="Book Antiqua"/>
        </w:rPr>
      </w:pPr>
    </w:p>
    <w:bookmarkEnd w:id="42"/>
    <w:bookmarkEnd w:id="43"/>
    <w:p w14:paraId="6D73023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TREATMENT</w:t>
      </w:r>
    </w:p>
    <w:p w14:paraId="7027D010" w14:textId="77777777" w:rsidR="00A77B3E" w:rsidRPr="008A3C82" w:rsidRDefault="008C3419" w:rsidP="008A3C82">
      <w:pPr>
        <w:snapToGrid w:val="0"/>
        <w:spacing w:line="360" w:lineRule="auto"/>
        <w:jc w:val="both"/>
        <w:rPr>
          <w:rFonts w:ascii="Book Antiqua" w:hAnsi="Book Antiqua"/>
        </w:rPr>
      </w:pPr>
      <w:bookmarkStart w:id="44" w:name="OLE_LINK45"/>
      <w:bookmarkStart w:id="45" w:name="OLE_LINK46"/>
      <w:r w:rsidRPr="008A3C82">
        <w:rPr>
          <w:rFonts w:ascii="Book Antiqua" w:eastAsia="Book Antiqua" w:hAnsi="Book Antiqua" w:cs="Book Antiqua"/>
          <w:color w:val="000000"/>
        </w:rPr>
        <w:t>The patient was supported for neuromuscular failure by non-invasive ventilation and by dobutamin to address the acute heart failure. Despite these treatments, there was ongoing deterioration of his end-organ functions. </w:t>
      </w:r>
    </w:p>
    <w:bookmarkEnd w:id="44"/>
    <w:bookmarkEnd w:id="45"/>
    <w:p w14:paraId="4265F3EB" w14:textId="77777777" w:rsidR="00A77B3E" w:rsidRPr="008A3C82" w:rsidRDefault="00A77B3E" w:rsidP="008A3C82">
      <w:pPr>
        <w:snapToGrid w:val="0"/>
        <w:spacing w:line="360" w:lineRule="auto"/>
        <w:jc w:val="both"/>
        <w:rPr>
          <w:rFonts w:ascii="Book Antiqua" w:hAnsi="Book Antiqua"/>
        </w:rPr>
      </w:pPr>
    </w:p>
    <w:p w14:paraId="5C4B4CD2"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OUTCOME AND FOLLOW-UP</w:t>
      </w:r>
    </w:p>
    <w:p w14:paraId="4FCEF4F2" w14:textId="5D540C9C" w:rsidR="00A77B3E" w:rsidRPr="008A3C82" w:rsidRDefault="008C3419" w:rsidP="008A3C82">
      <w:pPr>
        <w:snapToGrid w:val="0"/>
        <w:spacing w:line="360" w:lineRule="auto"/>
        <w:jc w:val="both"/>
        <w:rPr>
          <w:rFonts w:ascii="Book Antiqua" w:hAnsi="Book Antiqua"/>
        </w:rPr>
      </w:pPr>
      <w:bookmarkStart w:id="46" w:name="OLE_LINK47"/>
      <w:bookmarkStart w:id="47" w:name="OLE_LINK48"/>
      <w:r w:rsidRPr="008A3C82">
        <w:rPr>
          <w:rFonts w:ascii="Book Antiqua" w:eastAsia="Book Antiqua" w:hAnsi="Book Antiqua" w:cs="Book Antiqua"/>
          <w:color w:val="000000"/>
        </w:rPr>
        <w:t>On day 3 of ICU treatment, the patient no longer tolerated non-invasive ventilation and became agitated. The patient and his family requested withdrawal of supportive ICU treatment considering the patient’s medical history and significantly reduced quality of life in the past few months. After careful evaluation of the patient’s wishes, medical history and rapid clinical deterioration, supportive ICU treatments were withdrawn. The patient was given treatment to relieve symptoms and died quickly after withdrawal of supportive therapies.</w:t>
      </w:r>
    </w:p>
    <w:bookmarkEnd w:id="46"/>
    <w:bookmarkEnd w:id="47"/>
    <w:p w14:paraId="5197CDE4" w14:textId="77777777" w:rsidR="00A77B3E" w:rsidRPr="008A3C82" w:rsidRDefault="00A77B3E" w:rsidP="008A3C82">
      <w:pPr>
        <w:snapToGrid w:val="0"/>
        <w:spacing w:line="360" w:lineRule="auto"/>
        <w:jc w:val="both"/>
        <w:rPr>
          <w:rFonts w:ascii="Book Antiqua" w:hAnsi="Book Antiqua"/>
        </w:rPr>
      </w:pPr>
    </w:p>
    <w:p w14:paraId="47C285D6"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DISCUSSION</w:t>
      </w:r>
    </w:p>
    <w:p w14:paraId="0C952CB3" w14:textId="632CA450" w:rsidR="00A77B3E" w:rsidRPr="008A3C82" w:rsidRDefault="008C3419" w:rsidP="008A3C82">
      <w:pPr>
        <w:snapToGrid w:val="0"/>
        <w:spacing w:line="360" w:lineRule="auto"/>
        <w:jc w:val="both"/>
        <w:rPr>
          <w:rFonts w:ascii="Book Antiqua" w:hAnsi="Book Antiqua"/>
        </w:rPr>
      </w:pPr>
      <w:bookmarkStart w:id="48" w:name="OLE_LINK49"/>
      <w:bookmarkStart w:id="49" w:name="OLE_LINK50"/>
      <w:r w:rsidRPr="008A3C82">
        <w:rPr>
          <w:rFonts w:ascii="Book Antiqua" w:eastAsia="Book Antiqua" w:hAnsi="Book Antiqua" w:cs="Book Antiqua"/>
          <w:color w:val="000000"/>
        </w:rPr>
        <w:t>MG is a rare disease in men and even more rarely leads to TTC</w:t>
      </w:r>
      <w:r w:rsidR="00790A8F" w:rsidRPr="008A3C82">
        <w:rPr>
          <w:rFonts w:ascii="Book Antiqua" w:eastAsia="Book Antiqua" w:hAnsi="Book Antiqua" w:cs="Book Antiqua"/>
          <w:color w:val="000000"/>
          <w:vertAlign w:val="superscript"/>
        </w:rPr>
        <w:t>[4,</w:t>
      </w:r>
      <w:r w:rsidRPr="008A3C82">
        <w:rPr>
          <w:rFonts w:ascii="Book Antiqua" w:eastAsia="Book Antiqua" w:hAnsi="Book Antiqua" w:cs="Book Antiqua"/>
          <w:color w:val="000000"/>
          <w:vertAlign w:val="superscript"/>
        </w:rPr>
        <w:t>9]</w:t>
      </w:r>
      <w:r w:rsidRPr="008A3C82">
        <w:rPr>
          <w:rFonts w:ascii="Book Antiqua" w:eastAsia="Book Antiqua" w:hAnsi="Book Antiqua" w:cs="Book Antiqua"/>
          <w:color w:val="000000"/>
        </w:rPr>
        <w:t>. Symptoms of respiratory failure, blepharoptosis, dysphagia and overall muscle weakness are present in more than half of the patients</w:t>
      </w:r>
      <w:r w:rsidRPr="008A3C82">
        <w:rPr>
          <w:rFonts w:ascii="Book Antiqua" w:eastAsia="Book Antiqua" w:hAnsi="Book Antiqua" w:cs="Book Antiqua"/>
          <w:color w:val="000000"/>
          <w:vertAlign w:val="superscript"/>
        </w:rPr>
        <w:t>[5]</w:t>
      </w:r>
      <w:r w:rsidRPr="008A3C82">
        <w:rPr>
          <w:rFonts w:ascii="Book Antiqua" w:eastAsia="Book Antiqua" w:hAnsi="Book Antiqua" w:cs="Book Antiqua"/>
          <w:color w:val="000000"/>
        </w:rPr>
        <w:t>. In MG patients, women have a higher risk of developing TTC than men</w:t>
      </w:r>
      <w:r w:rsidR="001C3690">
        <w:rPr>
          <w:rFonts w:ascii="Book Antiqua" w:eastAsia="Book Antiqua" w:hAnsi="Book Antiqua" w:cs="Book Antiqua"/>
          <w:color w:val="000000"/>
        </w:rPr>
        <w:t>,</w:t>
      </w:r>
      <w:r w:rsidRPr="008A3C82">
        <w:rPr>
          <w:rFonts w:ascii="Book Antiqua" w:eastAsia="Book Antiqua" w:hAnsi="Book Antiqua" w:cs="Book Antiqua"/>
          <w:color w:val="000000"/>
        </w:rPr>
        <w:t xml:space="preserve"> but men have a poorer prognosis. MG-associated TTC may present differently in men and women</w:t>
      </w:r>
      <w:r w:rsidRPr="008A3C82">
        <w:rPr>
          <w:rFonts w:ascii="Book Antiqua" w:eastAsia="Book Antiqua" w:hAnsi="Book Antiqua" w:cs="Book Antiqua"/>
          <w:color w:val="000000"/>
          <w:vertAlign w:val="superscript"/>
        </w:rPr>
        <w:t>[1]</w:t>
      </w:r>
      <w:r w:rsidRPr="008A3C82">
        <w:rPr>
          <w:rFonts w:ascii="Book Antiqua" w:eastAsia="Book Antiqua" w:hAnsi="Book Antiqua" w:cs="Book Antiqua"/>
          <w:color w:val="000000"/>
        </w:rPr>
        <w:t>.</w:t>
      </w:r>
    </w:p>
    <w:p w14:paraId="042B5654" w14:textId="42A885F3" w:rsidR="004F0DB0" w:rsidRDefault="008C3419" w:rsidP="008A3C82">
      <w:pPr>
        <w:snapToGrid w:val="0"/>
        <w:spacing w:line="360" w:lineRule="auto"/>
        <w:ind w:firstLineChars="100" w:firstLine="240"/>
        <w:jc w:val="both"/>
        <w:rPr>
          <w:rFonts w:ascii="Book Antiqua" w:eastAsia="Book Antiqua" w:hAnsi="Book Antiqua" w:cs="Book Antiqua"/>
          <w:color w:val="000000"/>
        </w:rPr>
      </w:pPr>
      <w:r w:rsidRPr="008A3C82">
        <w:rPr>
          <w:rFonts w:ascii="Book Antiqua" w:eastAsia="Book Antiqua" w:hAnsi="Book Antiqua" w:cs="Book Antiqua"/>
          <w:color w:val="000000"/>
        </w:rPr>
        <w:t xml:space="preserve">In recent years, large cohort studies have attempted to explain the association between MG and TTC. Myasthenic crisis may result in physiologic stress-induced cardiomyopathy, although direct cardiac involvement of MG cannot be ruled out. The golden standard to rule out acute coronary disease is to perform a </w:t>
      </w:r>
      <w:r w:rsidR="00790A8F" w:rsidRPr="008A3C82">
        <w:rPr>
          <w:rFonts w:ascii="Book Antiqua" w:eastAsia="Book Antiqua" w:hAnsi="Book Antiqua" w:cs="Book Antiqua"/>
          <w:color w:val="000000"/>
        </w:rPr>
        <w:t>coronary angiography (</w:t>
      </w:r>
      <w:r w:rsidRPr="008A3C82">
        <w:rPr>
          <w:rFonts w:ascii="Book Antiqua" w:eastAsia="Book Antiqua" w:hAnsi="Book Antiqua" w:cs="Book Antiqua"/>
          <w:color w:val="000000"/>
        </w:rPr>
        <w:t>CAG</w:t>
      </w:r>
      <w:r w:rsidR="00790A8F" w:rsidRPr="008A3C82">
        <w:rPr>
          <w:rFonts w:ascii="Book Antiqua" w:eastAsia="Book Antiqua" w:hAnsi="Book Antiqua" w:cs="Book Antiqua"/>
          <w:color w:val="000000"/>
        </w:rPr>
        <w:t>)</w:t>
      </w:r>
      <w:r w:rsidRPr="008A3C82">
        <w:rPr>
          <w:rFonts w:ascii="Book Antiqua" w:eastAsia="Book Antiqua" w:hAnsi="Book Antiqua" w:cs="Book Antiqua"/>
          <w:color w:val="000000"/>
        </w:rPr>
        <w:t xml:space="preserve">. However, this is a relatively invasive and prolonged procedure in which complications can occur, as in our case where the patient became respiratory insufficient during the CAG. An alternative could </w:t>
      </w:r>
      <w:r w:rsidRPr="008A3C82">
        <w:rPr>
          <w:rFonts w:ascii="Book Antiqua" w:eastAsia="Book Antiqua" w:hAnsi="Book Antiqua" w:cs="Book Antiqua"/>
          <w:color w:val="000000"/>
        </w:rPr>
        <w:lastRenderedPageBreak/>
        <w:t>have been a computed tomography angiography, which is faster and safer as no arterial access is needed, and gives reliable assessment of the coronaries</w:t>
      </w:r>
      <w:r w:rsidRPr="008A3C82">
        <w:rPr>
          <w:rFonts w:ascii="Book Antiqua" w:eastAsia="Book Antiqua" w:hAnsi="Book Antiqua" w:cs="Book Antiqua"/>
          <w:color w:val="000000"/>
          <w:vertAlign w:val="superscript"/>
        </w:rPr>
        <w:t>[10]</w:t>
      </w:r>
      <w:r w:rsidRPr="008A3C82">
        <w:rPr>
          <w:rFonts w:ascii="Book Antiqua" w:eastAsia="Book Antiqua" w:hAnsi="Book Antiqua" w:cs="Book Antiqua"/>
          <w:color w:val="000000"/>
        </w:rPr>
        <w:t>. Although CAG is the golden standard to distinguish acute coronary syndrome from TTC, non-invasive imaging modalities are becoming useful for TTC assessment. Even in emergent situations, echocardiography can provide a good evaluation of TTC</w:t>
      </w:r>
      <w:r w:rsidR="004F0DB0">
        <w:rPr>
          <w:rFonts w:ascii="Book Antiqua" w:eastAsia="Book Antiqua" w:hAnsi="Book Antiqua" w:cs="Book Antiqua"/>
          <w:color w:val="000000"/>
        </w:rPr>
        <w:t>.</w:t>
      </w:r>
      <w:r w:rsidRPr="008A3C82">
        <w:rPr>
          <w:rFonts w:ascii="Book Antiqua" w:eastAsia="Book Antiqua" w:hAnsi="Book Antiqua" w:cs="Book Antiqua"/>
          <w:color w:val="000000"/>
        </w:rPr>
        <w:t xml:space="preserve"> </w:t>
      </w:r>
      <w:r w:rsidR="004F0DB0">
        <w:rPr>
          <w:rFonts w:ascii="Book Antiqua" w:eastAsia="Book Antiqua" w:hAnsi="Book Antiqua" w:cs="Book Antiqua"/>
          <w:color w:val="000000"/>
        </w:rPr>
        <w:t>H</w:t>
      </w:r>
      <w:r w:rsidRPr="008A3C82">
        <w:rPr>
          <w:rFonts w:ascii="Book Antiqua" w:eastAsia="Book Antiqua" w:hAnsi="Book Antiqua" w:cs="Book Antiqua"/>
          <w:color w:val="000000"/>
        </w:rPr>
        <w:t>owever</w:t>
      </w:r>
      <w:r w:rsidR="004F0DB0">
        <w:rPr>
          <w:rFonts w:ascii="Book Antiqua" w:eastAsia="Book Antiqua" w:hAnsi="Book Antiqua" w:cs="Book Antiqua"/>
          <w:color w:val="000000"/>
        </w:rPr>
        <w:t xml:space="preserve">, </w:t>
      </w:r>
      <w:r w:rsidRPr="008A3C82">
        <w:rPr>
          <w:rFonts w:ascii="Book Antiqua" w:eastAsia="Book Antiqua" w:hAnsi="Book Antiqua" w:cs="Book Antiqua"/>
          <w:color w:val="000000"/>
        </w:rPr>
        <w:t>poor echo windows could still influence the visibility of ventricular walls. More accurate non-invasive cardiac imaging modalities known from the field of complex congenital anomalies could help to delineate the ventricular walls and refine the diagnosis</w:t>
      </w:r>
      <w:r w:rsidR="00790A8F" w:rsidRPr="008A3C82">
        <w:rPr>
          <w:rFonts w:ascii="Book Antiqua" w:eastAsia="Book Antiqua" w:hAnsi="Book Antiqua" w:cs="Book Antiqua"/>
          <w:color w:val="000000"/>
          <w:vertAlign w:val="superscript"/>
        </w:rPr>
        <w:t>[11</w:t>
      </w:r>
      <w:r w:rsidRPr="008A3C82">
        <w:rPr>
          <w:rFonts w:ascii="Book Antiqua" w:eastAsia="Book Antiqua" w:hAnsi="Book Antiqua" w:cs="Book Antiqua"/>
          <w:color w:val="000000"/>
          <w:vertAlign w:val="superscript"/>
        </w:rPr>
        <w:t>]</w:t>
      </w:r>
      <w:r w:rsidRPr="008A3C82">
        <w:rPr>
          <w:rFonts w:ascii="Book Antiqua" w:eastAsia="Book Antiqua" w:hAnsi="Book Antiqua" w:cs="Book Antiqua"/>
          <w:color w:val="000000"/>
        </w:rPr>
        <w:t xml:space="preserve">. </w:t>
      </w:r>
    </w:p>
    <w:p w14:paraId="51E08D38" w14:textId="55A3B388"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MG-associated TTC triggered by a myasthenic crisis is rare. No more than 20 cases are described in depth in the published literature. In a Dutch national representative dataset, we found 175 cases with MC-associated TTC</w:t>
      </w:r>
      <w:r w:rsidR="00790A8F" w:rsidRPr="008A3C82">
        <w:rPr>
          <w:rFonts w:ascii="Book Antiqua" w:eastAsia="Book Antiqua" w:hAnsi="Book Antiqua" w:cs="Book Antiqua"/>
          <w:color w:val="000000"/>
          <w:vertAlign w:val="superscript"/>
        </w:rPr>
        <w:t>[4,</w:t>
      </w:r>
      <w:r w:rsidRPr="008A3C82">
        <w:rPr>
          <w:rFonts w:ascii="Book Antiqua" w:eastAsia="Book Antiqua" w:hAnsi="Book Antiqua" w:cs="Book Antiqua"/>
          <w:color w:val="000000"/>
          <w:vertAlign w:val="superscript"/>
        </w:rPr>
        <w:t>5]</w:t>
      </w:r>
      <w:r w:rsidRPr="008A3C82">
        <w:rPr>
          <w:rFonts w:ascii="Book Antiqua" w:eastAsia="Book Antiqua" w:hAnsi="Book Antiqua" w:cs="Book Antiqua"/>
          <w:color w:val="000000"/>
        </w:rPr>
        <w:t>. However, the case we present here is unique because of the patient’s age, male sex and comorbid malignancy. Triggers of myasthenic crisis and development of TTC seem to be heterogeneous. This rare condition should be suspected even in patients without a prior diagnosis of MG, as is demonstrated in the case we present here.</w:t>
      </w:r>
    </w:p>
    <w:p w14:paraId="2E966E0B" w14:textId="41152DDB"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The number of cases describing the combination of these two diseases are increasing. Although, in many of them, development of TTC is a result of the treatment of MG</w:t>
      </w:r>
      <w:r w:rsidR="00790A8F" w:rsidRPr="008A3C82">
        <w:rPr>
          <w:rFonts w:ascii="Book Antiqua" w:eastAsia="Book Antiqua" w:hAnsi="Book Antiqua" w:cs="Book Antiqua"/>
          <w:color w:val="000000"/>
          <w:vertAlign w:val="superscript"/>
        </w:rPr>
        <w:t>[1</w:t>
      </w:r>
      <w:r w:rsidR="00534946" w:rsidRPr="008A3C82">
        <w:rPr>
          <w:rFonts w:ascii="Book Antiqua" w:eastAsia="Book Antiqua" w:hAnsi="Book Antiqua" w:cs="Book Antiqua"/>
          <w:color w:val="000000"/>
          <w:vertAlign w:val="superscript"/>
        </w:rPr>
        <w:t>2</w:t>
      </w:r>
      <w:r w:rsidR="00790A8F" w:rsidRPr="008A3C82">
        <w:rPr>
          <w:rFonts w:ascii="Book Antiqua" w:eastAsia="Book Antiqua" w:hAnsi="Book Antiqua" w:cs="Book Antiqua"/>
          <w:color w:val="000000"/>
          <w:vertAlign w:val="superscript"/>
        </w:rPr>
        <w:t>,</w:t>
      </w:r>
      <w:r w:rsidRPr="008A3C82">
        <w:rPr>
          <w:rFonts w:ascii="Book Antiqua" w:eastAsia="Book Antiqua" w:hAnsi="Book Antiqua" w:cs="Book Antiqua"/>
          <w:color w:val="000000"/>
          <w:vertAlign w:val="superscript"/>
        </w:rPr>
        <w:t>1</w:t>
      </w:r>
      <w:r w:rsidR="00534946" w:rsidRPr="008A3C82">
        <w:rPr>
          <w:rFonts w:ascii="Book Antiqua" w:eastAsia="Book Antiqua" w:hAnsi="Book Antiqua" w:cs="Book Antiqua"/>
          <w:color w:val="000000"/>
          <w:vertAlign w:val="superscript"/>
        </w:rPr>
        <w:t>3</w:t>
      </w:r>
      <w:r w:rsidRPr="008A3C82">
        <w:rPr>
          <w:rFonts w:ascii="Book Antiqua" w:eastAsia="Book Antiqua" w:hAnsi="Book Antiqua" w:cs="Book Antiqua"/>
          <w:color w:val="000000"/>
          <w:vertAlign w:val="superscript"/>
        </w:rPr>
        <w:t>]</w:t>
      </w:r>
      <w:r w:rsidRPr="008A3C82">
        <w:rPr>
          <w:rFonts w:ascii="Book Antiqua" w:eastAsia="Book Antiqua" w:hAnsi="Book Antiqua" w:cs="Book Antiqua"/>
          <w:color w:val="000000"/>
        </w:rPr>
        <w:t xml:space="preserve">. In our case, there was no relation with the treatment of MG since the patient presented with ventricular dysfunction in the ED where the diagnosis of MG was not yet known. We do not consider it likely that the myasthenic crisis in our patient was related to medication use. The patient had been treated with gosereline injections every 3 </w:t>
      </w:r>
      <w:proofErr w:type="spellStart"/>
      <w:r w:rsidRPr="008A3C82">
        <w:rPr>
          <w:rFonts w:ascii="Book Antiqua" w:eastAsia="Book Antiqua" w:hAnsi="Book Antiqua" w:cs="Book Antiqua"/>
          <w:color w:val="000000"/>
        </w:rPr>
        <w:t>mo</w:t>
      </w:r>
      <w:proofErr w:type="spellEnd"/>
      <w:r w:rsidRPr="008A3C82">
        <w:rPr>
          <w:rFonts w:ascii="Book Antiqua" w:eastAsia="Book Antiqua" w:hAnsi="Book Antiqua" w:cs="Book Antiqua"/>
          <w:color w:val="000000"/>
        </w:rPr>
        <w:t xml:space="preserve"> for an extended period uneventfully.</w:t>
      </w:r>
    </w:p>
    <w:p w14:paraId="5C086786" w14:textId="77777777"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 xml:space="preserve">Based on the literature, our collective experiences and experience with the case that we present as an illustration, we propose that patients with neurological symptoms together with ST-elevation myocardial infarction on the ECG without obstructive coronary lesions should be evaluated with left ventricle angiogram </w:t>
      </w:r>
      <w:r w:rsidRPr="008A3C82">
        <w:rPr>
          <w:rFonts w:ascii="Book Antiqua" w:eastAsia="Book Antiqua" w:hAnsi="Book Antiqua" w:cs="Book Antiqua"/>
          <w:color w:val="000000"/>
        </w:rPr>
        <w:lastRenderedPageBreak/>
        <w:t xml:space="preserve">during coronary angiography to exclude TTC. Early initiation of a diagnostic neostigmine test can lead to more awareness of possible new-onset MG in cases of unusual presentation of circulatory instability. </w:t>
      </w:r>
    </w:p>
    <w:bookmarkEnd w:id="48"/>
    <w:bookmarkEnd w:id="49"/>
    <w:p w14:paraId="49785D1D" w14:textId="77777777" w:rsidR="00A77B3E" w:rsidRPr="008A3C82" w:rsidRDefault="00A77B3E" w:rsidP="00F055F1">
      <w:pPr>
        <w:snapToGrid w:val="0"/>
        <w:spacing w:line="360" w:lineRule="auto"/>
        <w:jc w:val="both"/>
        <w:rPr>
          <w:rFonts w:ascii="Book Antiqua" w:hAnsi="Book Antiqua"/>
        </w:rPr>
      </w:pPr>
    </w:p>
    <w:p w14:paraId="29990EC8"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CONCLUSION</w:t>
      </w:r>
    </w:p>
    <w:p w14:paraId="6FD8E20D" w14:textId="351610A5" w:rsidR="00A77B3E" w:rsidRPr="008A3C82" w:rsidRDefault="008C3419" w:rsidP="008A3C82">
      <w:pPr>
        <w:snapToGrid w:val="0"/>
        <w:spacing w:line="360" w:lineRule="auto"/>
        <w:jc w:val="both"/>
        <w:rPr>
          <w:rFonts w:ascii="Book Antiqua" w:hAnsi="Book Antiqua"/>
        </w:rPr>
      </w:pPr>
      <w:bookmarkStart w:id="50" w:name="OLE_LINK51"/>
      <w:bookmarkStart w:id="51" w:name="OLE_LINK52"/>
      <w:r w:rsidRPr="008A3C82">
        <w:rPr>
          <w:rFonts w:ascii="Book Antiqua" w:eastAsia="Book Antiqua" w:hAnsi="Book Antiqua" w:cs="Book Antiqua"/>
          <w:color w:val="000000"/>
        </w:rPr>
        <w:t>We conclude</w:t>
      </w:r>
      <w:r w:rsidR="0045133D">
        <w:rPr>
          <w:rFonts w:ascii="Book Antiqua" w:eastAsia="Book Antiqua" w:hAnsi="Book Antiqua" w:cs="Book Antiqua"/>
          <w:color w:val="000000"/>
        </w:rPr>
        <w:t xml:space="preserve"> </w:t>
      </w:r>
      <w:r w:rsidRPr="008A3C82">
        <w:rPr>
          <w:rFonts w:ascii="Book Antiqua" w:eastAsia="Book Antiqua" w:hAnsi="Book Antiqua" w:cs="Book Antiqua"/>
          <w:color w:val="000000"/>
        </w:rPr>
        <w:t xml:space="preserve">there is a high need for continuous reporting of similar atypical cases to help improve the understanding of this rare entity. Further studies are needed to evaluate possible direct associations between MG and stress-induced TTC. </w:t>
      </w:r>
    </w:p>
    <w:bookmarkEnd w:id="50"/>
    <w:bookmarkEnd w:id="51"/>
    <w:p w14:paraId="6E64ECEE" w14:textId="77777777" w:rsidR="00A77B3E" w:rsidRPr="008A3C82" w:rsidRDefault="00A77B3E" w:rsidP="008A3C82">
      <w:pPr>
        <w:snapToGrid w:val="0"/>
        <w:spacing w:line="360" w:lineRule="auto"/>
        <w:jc w:val="both"/>
        <w:rPr>
          <w:rFonts w:ascii="Book Antiqua" w:hAnsi="Book Antiqua"/>
        </w:rPr>
      </w:pPr>
    </w:p>
    <w:p w14:paraId="30E248FE"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REFERENCES</w:t>
      </w:r>
    </w:p>
    <w:p w14:paraId="74170CB7"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1 </w:t>
      </w:r>
      <w:r w:rsidRPr="008A3C82">
        <w:rPr>
          <w:rFonts w:ascii="Book Antiqua" w:hAnsi="Book Antiqua"/>
          <w:b/>
          <w:bCs/>
        </w:rPr>
        <w:t>Desai R</w:t>
      </w:r>
      <w:r w:rsidRPr="008A3C82">
        <w:rPr>
          <w:rFonts w:ascii="Book Antiqua" w:hAnsi="Book Antiqua"/>
        </w:rPr>
        <w:t xml:space="preserve">, Abbas SA, Fong HK, Lodhi MU, Doshi R, Savani S, Gangani K, Sachdeva R, Kumar G. Burden and impact of takotsubo syndrome in myasthenic crisis: A national inpatient perspective on the under-recognized but potentially fatal association. </w:t>
      </w:r>
      <w:r w:rsidRPr="008A3C82">
        <w:rPr>
          <w:rFonts w:ascii="Book Antiqua" w:hAnsi="Book Antiqua"/>
          <w:i/>
          <w:iCs/>
        </w:rPr>
        <w:t>Int J Cardiol</w:t>
      </w:r>
      <w:r w:rsidRPr="008A3C82">
        <w:rPr>
          <w:rFonts w:ascii="Book Antiqua" w:hAnsi="Book Antiqua"/>
        </w:rPr>
        <w:t xml:space="preserve"> 2020; </w:t>
      </w:r>
      <w:r w:rsidRPr="008A3C82">
        <w:rPr>
          <w:rFonts w:ascii="Book Antiqua" w:hAnsi="Book Antiqua"/>
          <w:b/>
          <w:bCs/>
        </w:rPr>
        <w:t>299</w:t>
      </w:r>
      <w:r w:rsidRPr="008A3C82">
        <w:rPr>
          <w:rFonts w:ascii="Book Antiqua" w:hAnsi="Book Antiqua"/>
        </w:rPr>
        <w:t>: 63-66 [PMID: 31611084 DOI: 10.1016/j.ijcard.2019.09.054]</w:t>
      </w:r>
    </w:p>
    <w:p w14:paraId="334FBD85" w14:textId="687674E2"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2 </w:t>
      </w:r>
      <w:proofErr w:type="spellStart"/>
      <w:r w:rsidRPr="008A3C82">
        <w:rPr>
          <w:rFonts w:ascii="Book Antiqua" w:hAnsi="Book Antiqua"/>
          <w:b/>
          <w:bCs/>
        </w:rPr>
        <w:t>Bijulal</w:t>
      </w:r>
      <w:proofErr w:type="spellEnd"/>
      <w:r w:rsidRPr="008A3C82">
        <w:rPr>
          <w:rFonts w:ascii="Book Antiqua" w:hAnsi="Book Antiqua"/>
          <w:b/>
          <w:bCs/>
        </w:rPr>
        <w:t xml:space="preserve"> S</w:t>
      </w:r>
      <w:r w:rsidRPr="008A3C82">
        <w:rPr>
          <w:rFonts w:ascii="Book Antiqua" w:hAnsi="Book Antiqua"/>
        </w:rPr>
        <w:t xml:space="preserve">, </w:t>
      </w:r>
      <w:proofErr w:type="spellStart"/>
      <w:r w:rsidRPr="008A3C82">
        <w:rPr>
          <w:rFonts w:ascii="Book Antiqua" w:hAnsi="Book Antiqua"/>
        </w:rPr>
        <w:t>Harikrishnan</w:t>
      </w:r>
      <w:proofErr w:type="spellEnd"/>
      <w:r w:rsidRPr="008A3C82">
        <w:rPr>
          <w:rFonts w:ascii="Book Antiqua" w:hAnsi="Book Antiqua"/>
        </w:rPr>
        <w:t xml:space="preserve"> S, </w:t>
      </w:r>
      <w:proofErr w:type="spellStart"/>
      <w:r w:rsidRPr="008A3C82">
        <w:rPr>
          <w:rFonts w:ascii="Book Antiqua" w:hAnsi="Book Antiqua"/>
        </w:rPr>
        <w:t>Namboodiri</w:t>
      </w:r>
      <w:proofErr w:type="spellEnd"/>
      <w:r w:rsidRPr="008A3C82">
        <w:rPr>
          <w:rFonts w:ascii="Book Antiqua" w:hAnsi="Book Antiqua"/>
        </w:rPr>
        <w:t xml:space="preserve"> N, </w:t>
      </w:r>
      <w:proofErr w:type="spellStart"/>
      <w:r w:rsidRPr="008A3C82">
        <w:rPr>
          <w:rFonts w:ascii="Book Antiqua" w:hAnsi="Book Antiqua"/>
        </w:rPr>
        <w:t>Ajitkumar</w:t>
      </w:r>
      <w:proofErr w:type="spellEnd"/>
      <w:r w:rsidRPr="008A3C82">
        <w:rPr>
          <w:rFonts w:ascii="Book Antiqua" w:hAnsi="Book Antiqua"/>
        </w:rPr>
        <w:t xml:space="preserve"> VK, Gupta D, </w:t>
      </w:r>
      <w:proofErr w:type="spellStart"/>
      <w:r w:rsidRPr="008A3C82">
        <w:rPr>
          <w:rFonts w:ascii="Book Antiqua" w:hAnsi="Book Antiqua"/>
        </w:rPr>
        <w:t>Mathuranath</w:t>
      </w:r>
      <w:proofErr w:type="spellEnd"/>
      <w:r w:rsidRPr="008A3C82">
        <w:rPr>
          <w:rFonts w:ascii="Book Antiqua" w:hAnsi="Book Antiqua"/>
        </w:rPr>
        <w:t xml:space="preserve"> PS. </w:t>
      </w:r>
      <w:proofErr w:type="spellStart"/>
      <w:r w:rsidRPr="008A3C82">
        <w:rPr>
          <w:rFonts w:ascii="Book Antiqua" w:hAnsi="Book Antiqua"/>
        </w:rPr>
        <w:t>Tako-tsubo</w:t>
      </w:r>
      <w:proofErr w:type="spellEnd"/>
      <w:r w:rsidRPr="008A3C82">
        <w:rPr>
          <w:rFonts w:ascii="Book Antiqua" w:hAnsi="Book Antiqua"/>
        </w:rPr>
        <w:t xml:space="preserve"> cardiomyopathy in a patient with myasthenia gravis crisis: a rare clinical association. </w:t>
      </w:r>
      <w:r w:rsidRPr="008A3C82">
        <w:rPr>
          <w:rFonts w:ascii="Book Antiqua" w:hAnsi="Book Antiqua"/>
          <w:i/>
          <w:iCs/>
        </w:rPr>
        <w:t>BMJ Case Rep</w:t>
      </w:r>
      <w:r w:rsidRPr="008A3C82">
        <w:rPr>
          <w:rFonts w:ascii="Book Antiqua" w:hAnsi="Book Antiqua"/>
        </w:rPr>
        <w:t xml:space="preserve"> 2009; </w:t>
      </w:r>
      <w:r w:rsidRPr="008A3C82">
        <w:rPr>
          <w:rFonts w:ascii="Book Antiqua" w:hAnsi="Book Antiqua"/>
          <w:b/>
          <w:bCs/>
        </w:rPr>
        <w:t>2009</w:t>
      </w:r>
      <w:r w:rsidRPr="008A3C82">
        <w:rPr>
          <w:rFonts w:ascii="Book Antiqua" w:hAnsi="Book Antiqua"/>
        </w:rPr>
        <w:t xml:space="preserve"> [PMID: 21686907 DOI: 10.1136/bcr.06.2008.0182]</w:t>
      </w:r>
    </w:p>
    <w:p w14:paraId="152666AB"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3 </w:t>
      </w:r>
      <w:proofErr w:type="spellStart"/>
      <w:r w:rsidRPr="008A3C82">
        <w:rPr>
          <w:rFonts w:ascii="Book Antiqua" w:hAnsi="Book Antiqua"/>
          <w:b/>
          <w:bCs/>
        </w:rPr>
        <w:t>Guaricci</w:t>
      </w:r>
      <w:proofErr w:type="spellEnd"/>
      <w:r w:rsidRPr="008A3C82">
        <w:rPr>
          <w:rFonts w:ascii="Book Antiqua" w:hAnsi="Book Antiqua"/>
          <w:b/>
          <w:bCs/>
        </w:rPr>
        <w:t xml:space="preserve"> AI</w:t>
      </w:r>
      <w:r w:rsidRPr="008A3C82">
        <w:rPr>
          <w:rFonts w:ascii="Book Antiqua" w:hAnsi="Book Antiqua"/>
        </w:rPr>
        <w:t xml:space="preserve">, </w:t>
      </w:r>
      <w:proofErr w:type="spellStart"/>
      <w:r w:rsidRPr="008A3C82">
        <w:rPr>
          <w:rFonts w:ascii="Book Antiqua" w:hAnsi="Book Antiqua"/>
        </w:rPr>
        <w:t>Bulzis</w:t>
      </w:r>
      <w:proofErr w:type="spellEnd"/>
      <w:r w:rsidRPr="008A3C82">
        <w:rPr>
          <w:rFonts w:ascii="Book Antiqua" w:hAnsi="Book Antiqua"/>
        </w:rPr>
        <w:t xml:space="preserve"> G, </w:t>
      </w:r>
      <w:proofErr w:type="spellStart"/>
      <w:r w:rsidRPr="008A3C82">
        <w:rPr>
          <w:rFonts w:ascii="Book Antiqua" w:hAnsi="Book Antiqua"/>
        </w:rPr>
        <w:t>Pontone</w:t>
      </w:r>
      <w:proofErr w:type="spellEnd"/>
      <w:r w:rsidRPr="008A3C82">
        <w:rPr>
          <w:rFonts w:ascii="Book Antiqua" w:hAnsi="Book Antiqua"/>
        </w:rPr>
        <w:t xml:space="preserve"> G, </w:t>
      </w:r>
      <w:proofErr w:type="spellStart"/>
      <w:r w:rsidRPr="008A3C82">
        <w:rPr>
          <w:rFonts w:ascii="Book Antiqua" w:hAnsi="Book Antiqua"/>
        </w:rPr>
        <w:t>Scicchitano</w:t>
      </w:r>
      <w:proofErr w:type="spellEnd"/>
      <w:r w:rsidRPr="008A3C82">
        <w:rPr>
          <w:rFonts w:ascii="Book Antiqua" w:hAnsi="Book Antiqua"/>
        </w:rPr>
        <w:t xml:space="preserve"> P, Carbonara R, </w:t>
      </w:r>
      <w:proofErr w:type="spellStart"/>
      <w:r w:rsidRPr="008A3C82">
        <w:rPr>
          <w:rFonts w:ascii="Book Antiqua" w:hAnsi="Book Antiqua"/>
        </w:rPr>
        <w:t>Rabbat</w:t>
      </w:r>
      <w:proofErr w:type="spellEnd"/>
      <w:r w:rsidRPr="008A3C82">
        <w:rPr>
          <w:rFonts w:ascii="Book Antiqua" w:hAnsi="Book Antiqua"/>
        </w:rPr>
        <w:t xml:space="preserve"> M, De </w:t>
      </w:r>
      <w:proofErr w:type="spellStart"/>
      <w:r w:rsidRPr="008A3C82">
        <w:rPr>
          <w:rFonts w:ascii="Book Antiqua" w:hAnsi="Book Antiqua"/>
        </w:rPr>
        <w:t>Santis</w:t>
      </w:r>
      <w:proofErr w:type="spellEnd"/>
      <w:r w:rsidRPr="008A3C82">
        <w:rPr>
          <w:rFonts w:ascii="Book Antiqua" w:hAnsi="Book Antiqua"/>
        </w:rPr>
        <w:t xml:space="preserve"> D, Ciccone MM. Current interpretation of myocardial stunning. </w:t>
      </w:r>
      <w:r w:rsidRPr="008A3C82">
        <w:rPr>
          <w:rFonts w:ascii="Book Antiqua" w:hAnsi="Book Antiqua"/>
          <w:i/>
          <w:iCs/>
        </w:rPr>
        <w:t>Trends Cardiovasc Med</w:t>
      </w:r>
      <w:r w:rsidRPr="008A3C82">
        <w:rPr>
          <w:rFonts w:ascii="Book Antiqua" w:hAnsi="Book Antiqua"/>
        </w:rPr>
        <w:t xml:space="preserve"> 2018; </w:t>
      </w:r>
      <w:r w:rsidRPr="008A3C82">
        <w:rPr>
          <w:rFonts w:ascii="Book Antiqua" w:hAnsi="Book Antiqua"/>
          <w:b/>
          <w:bCs/>
        </w:rPr>
        <w:t>28</w:t>
      </w:r>
      <w:r w:rsidRPr="008A3C82">
        <w:rPr>
          <w:rFonts w:ascii="Book Antiqua" w:hAnsi="Book Antiqua"/>
        </w:rPr>
        <w:t>: 263-271 [PMID: 29221768 DOI: 10.1016/j.tcm.2017.11.005]</w:t>
      </w:r>
    </w:p>
    <w:p w14:paraId="7D3D6F4E"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4 </w:t>
      </w:r>
      <w:r w:rsidRPr="008A3C82">
        <w:rPr>
          <w:rFonts w:ascii="Book Antiqua" w:hAnsi="Book Antiqua"/>
          <w:b/>
          <w:bCs/>
        </w:rPr>
        <w:t>Pérez-Castellanos A</w:t>
      </w:r>
      <w:r w:rsidRPr="008A3C82">
        <w:rPr>
          <w:rFonts w:ascii="Book Antiqua" w:hAnsi="Book Antiqua"/>
        </w:rPr>
        <w:t xml:space="preserve">, </w:t>
      </w:r>
      <w:proofErr w:type="spellStart"/>
      <w:r w:rsidRPr="008A3C82">
        <w:rPr>
          <w:rFonts w:ascii="Book Antiqua" w:hAnsi="Book Antiqua"/>
        </w:rPr>
        <w:t>Martínez-Sellés</w:t>
      </w:r>
      <w:proofErr w:type="spellEnd"/>
      <w:r w:rsidRPr="008A3C82">
        <w:rPr>
          <w:rFonts w:ascii="Book Antiqua" w:hAnsi="Book Antiqua"/>
        </w:rPr>
        <w:t xml:space="preserve"> M, </w:t>
      </w:r>
      <w:proofErr w:type="spellStart"/>
      <w:r w:rsidRPr="008A3C82">
        <w:rPr>
          <w:rFonts w:ascii="Book Antiqua" w:hAnsi="Book Antiqua"/>
        </w:rPr>
        <w:t>Mejía-Rentería</w:t>
      </w:r>
      <w:proofErr w:type="spellEnd"/>
      <w:r w:rsidRPr="008A3C82">
        <w:rPr>
          <w:rFonts w:ascii="Book Antiqua" w:hAnsi="Book Antiqua"/>
        </w:rPr>
        <w:t xml:space="preserve"> H, Andrés M, </w:t>
      </w:r>
      <w:proofErr w:type="spellStart"/>
      <w:r w:rsidRPr="008A3C82">
        <w:rPr>
          <w:rFonts w:ascii="Book Antiqua" w:hAnsi="Book Antiqua"/>
        </w:rPr>
        <w:t>Sionis</w:t>
      </w:r>
      <w:proofErr w:type="spellEnd"/>
      <w:r w:rsidRPr="008A3C82">
        <w:rPr>
          <w:rFonts w:ascii="Book Antiqua" w:hAnsi="Book Antiqua"/>
        </w:rPr>
        <w:t xml:space="preserve"> A, </w:t>
      </w:r>
      <w:proofErr w:type="spellStart"/>
      <w:r w:rsidRPr="008A3C82">
        <w:rPr>
          <w:rFonts w:ascii="Book Antiqua" w:hAnsi="Book Antiqua"/>
        </w:rPr>
        <w:t>Almendro</w:t>
      </w:r>
      <w:proofErr w:type="spellEnd"/>
      <w:r w:rsidRPr="008A3C82">
        <w:rPr>
          <w:rFonts w:ascii="Book Antiqua" w:hAnsi="Book Antiqua"/>
        </w:rPr>
        <w:t xml:space="preserve">-Delia M, Martín-García A, Aguilera MC, Pereyra E, Linares Vicente JA, García de la Villa B, </w:t>
      </w:r>
      <w:proofErr w:type="spellStart"/>
      <w:r w:rsidRPr="008A3C82">
        <w:rPr>
          <w:rFonts w:ascii="Book Antiqua" w:hAnsi="Book Antiqua"/>
        </w:rPr>
        <w:t>Núñez</w:t>
      </w:r>
      <w:proofErr w:type="spellEnd"/>
      <w:r w:rsidRPr="008A3C82">
        <w:rPr>
          <w:rFonts w:ascii="Book Antiqua" w:hAnsi="Book Antiqua"/>
        </w:rPr>
        <w:t xml:space="preserve">-Gil IJ. </w:t>
      </w:r>
      <w:proofErr w:type="spellStart"/>
      <w:r w:rsidRPr="008A3C82">
        <w:rPr>
          <w:rFonts w:ascii="Book Antiqua" w:hAnsi="Book Antiqua"/>
        </w:rPr>
        <w:t>Tako-tsubo</w:t>
      </w:r>
      <w:proofErr w:type="spellEnd"/>
      <w:r w:rsidRPr="008A3C82">
        <w:rPr>
          <w:rFonts w:ascii="Book Antiqua" w:hAnsi="Book Antiqua"/>
        </w:rPr>
        <w:t xml:space="preserve"> Syndrome in Men: Rare, but With Poor Prognosis. </w:t>
      </w:r>
      <w:r w:rsidRPr="008A3C82">
        <w:rPr>
          <w:rFonts w:ascii="Book Antiqua" w:hAnsi="Book Antiqua"/>
          <w:i/>
          <w:iCs/>
        </w:rPr>
        <w:t xml:space="preserve">Rev </w:t>
      </w:r>
      <w:proofErr w:type="spellStart"/>
      <w:r w:rsidRPr="008A3C82">
        <w:rPr>
          <w:rFonts w:ascii="Book Antiqua" w:hAnsi="Book Antiqua"/>
          <w:i/>
          <w:iCs/>
        </w:rPr>
        <w:t>Esp</w:t>
      </w:r>
      <w:proofErr w:type="spellEnd"/>
      <w:r w:rsidRPr="008A3C82">
        <w:rPr>
          <w:rFonts w:ascii="Book Antiqua" w:hAnsi="Book Antiqua"/>
          <w:i/>
          <w:iCs/>
        </w:rPr>
        <w:t xml:space="preserve"> </w:t>
      </w:r>
      <w:proofErr w:type="spellStart"/>
      <w:r w:rsidRPr="008A3C82">
        <w:rPr>
          <w:rFonts w:ascii="Book Antiqua" w:hAnsi="Book Antiqua"/>
          <w:i/>
          <w:iCs/>
        </w:rPr>
        <w:t>Cardiol</w:t>
      </w:r>
      <w:proofErr w:type="spellEnd"/>
      <w:r w:rsidRPr="008A3C82">
        <w:rPr>
          <w:rFonts w:ascii="Book Antiqua" w:hAnsi="Book Antiqua"/>
          <w:i/>
          <w:iCs/>
        </w:rPr>
        <w:t xml:space="preserve"> (</w:t>
      </w:r>
      <w:proofErr w:type="spellStart"/>
      <w:r w:rsidRPr="008A3C82">
        <w:rPr>
          <w:rFonts w:ascii="Book Antiqua" w:hAnsi="Book Antiqua"/>
          <w:i/>
          <w:iCs/>
        </w:rPr>
        <w:t>Engl</w:t>
      </w:r>
      <w:proofErr w:type="spellEnd"/>
      <w:r w:rsidRPr="008A3C82">
        <w:rPr>
          <w:rFonts w:ascii="Book Antiqua" w:hAnsi="Book Antiqua"/>
          <w:i/>
          <w:iCs/>
        </w:rPr>
        <w:t xml:space="preserve"> Ed)</w:t>
      </w:r>
      <w:r w:rsidRPr="008A3C82">
        <w:rPr>
          <w:rFonts w:ascii="Book Antiqua" w:hAnsi="Book Antiqua"/>
        </w:rPr>
        <w:t xml:space="preserve"> 2018; </w:t>
      </w:r>
      <w:r w:rsidRPr="008A3C82">
        <w:rPr>
          <w:rFonts w:ascii="Book Antiqua" w:hAnsi="Book Antiqua"/>
          <w:b/>
          <w:bCs/>
        </w:rPr>
        <w:t>71</w:t>
      </w:r>
      <w:r w:rsidRPr="008A3C82">
        <w:rPr>
          <w:rFonts w:ascii="Book Antiqua" w:hAnsi="Book Antiqua"/>
        </w:rPr>
        <w:t>: 703-708 [PMID: 29122513 DOI: 10.1016/j.rec.2017.07.021]</w:t>
      </w:r>
    </w:p>
    <w:p w14:paraId="38E40497"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lastRenderedPageBreak/>
        <w:t xml:space="preserve">5 </w:t>
      </w:r>
      <w:r w:rsidRPr="008A3C82">
        <w:rPr>
          <w:rFonts w:ascii="Book Antiqua" w:hAnsi="Book Antiqua"/>
          <w:b/>
          <w:bCs/>
        </w:rPr>
        <w:t>Rathish D</w:t>
      </w:r>
      <w:r w:rsidRPr="008A3C82">
        <w:rPr>
          <w:rFonts w:ascii="Book Antiqua" w:hAnsi="Book Antiqua"/>
        </w:rPr>
        <w:t xml:space="preserve">, </w:t>
      </w:r>
      <w:proofErr w:type="spellStart"/>
      <w:r w:rsidRPr="008A3C82">
        <w:rPr>
          <w:rFonts w:ascii="Book Antiqua" w:hAnsi="Book Antiqua"/>
        </w:rPr>
        <w:t>Karalliyadda</w:t>
      </w:r>
      <w:proofErr w:type="spellEnd"/>
      <w:r w:rsidRPr="008A3C82">
        <w:rPr>
          <w:rFonts w:ascii="Book Antiqua" w:hAnsi="Book Antiqua"/>
        </w:rPr>
        <w:t xml:space="preserve"> M. Takotsubo syndrome in patients with myasthenia gravis: a systematic review of previously reported cases. </w:t>
      </w:r>
      <w:r w:rsidRPr="008A3C82">
        <w:rPr>
          <w:rFonts w:ascii="Book Antiqua" w:hAnsi="Book Antiqua"/>
          <w:i/>
          <w:iCs/>
        </w:rPr>
        <w:t>BMC Neurol</w:t>
      </w:r>
      <w:r w:rsidRPr="008A3C82">
        <w:rPr>
          <w:rFonts w:ascii="Book Antiqua" w:hAnsi="Book Antiqua"/>
        </w:rPr>
        <w:t xml:space="preserve"> 2019; </w:t>
      </w:r>
      <w:r w:rsidRPr="008A3C82">
        <w:rPr>
          <w:rFonts w:ascii="Book Antiqua" w:hAnsi="Book Antiqua"/>
          <w:b/>
          <w:bCs/>
        </w:rPr>
        <w:t>19</w:t>
      </w:r>
      <w:r w:rsidRPr="008A3C82">
        <w:rPr>
          <w:rFonts w:ascii="Book Antiqua" w:hAnsi="Book Antiqua"/>
        </w:rPr>
        <w:t>: 281 [PMID: 31718587 DOI: 10.1186/s12883-019-1523-z]</w:t>
      </w:r>
    </w:p>
    <w:p w14:paraId="1E90D512"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6 </w:t>
      </w:r>
      <w:proofErr w:type="spellStart"/>
      <w:r w:rsidRPr="008A3C82">
        <w:rPr>
          <w:rFonts w:ascii="Book Antiqua" w:hAnsi="Book Antiqua"/>
          <w:b/>
          <w:bCs/>
        </w:rPr>
        <w:t>Bedlack</w:t>
      </w:r>
      <w:proofErr w:type="spellEnd"/>
      <w:r w:rsidRPr="008A3C82">
        <w:rPr>
          <w:rFonts w:ascii="Book Antiqua" w:hAnsi="Book Antiqua"/>
          <w:b/>
          <w:bCs/>
        </w:rPr>
        <w:t xml:space="preserve"> RS</w:t>
      </w:r>
      <w:r w:rsidRPr="008A3C82">
        <w:rPr>
          <w:rFonts w:ascii="Book Antiqua" w:hAnsi="Book Antiqua"/>
        </w:rPr>
        <w:t xml:space="preserve">, Sanders DB. On the concept of myasthenic crisis. </w:t>
      </w:r>
      <w:r w:rsidRPr="008A3C82">
        <w:rPr>
          <w:rFonts w:ascii="Book Antiqua" w:hAnsi="Book Antiqua"/>
          <w:i/>
          <w:iCs/>
        </w:rPr>
        <w:t xml:space="preserve">J </w:t>
      </w:r>
      <w:proofErr w:type="spellStart"/>
      <w:r w:rsidRPr="008A3C82">
        <w:rPr>
          <w:rFonts w:ascii="Book Antiqua" w:hAnsi="Book Antiqua"/>
          <w:i/>
          <w:iCs/>
        </w:rPr>
        <w:t>Clin</w:t>
      </w:r>
      <w:proofErr w:type="spellEnd"/>
      <w:r w:rsidRPr="008A3C82">
        <w:rPr>
          <w:rFonts w:ascii="Book Antiqua" w:hAnsi="Book Antiqua"/>
          <w:i/>
          <w:iCs/>
        </w:rPr>
        <w:t xml:space="preserve"> </w:t>
      </w:r>
      <w:proofErr w:type="spellStart"/>
      <w:r w:rsidRPr="008A3C82">
        <w:rPr>
          <w:rFonts w:ascii="Book Antiqua" w:hAnsi="Book Antiqua"/>
          <w:i/>
          <w:iCs/>
        </w:rPr>
        <w:t>Neuromuscul</w:t>
      </w:r>
      <w:proofErr w:type="spellEnd"/>
      <w:r w:rsidRPr="008A3C82">
        <w:rPr>
          <w:rFonts w:ascii="Book Antiqua" w:hAnsi="Book Antiqua"/>
          <w:i/>
          <w:iCs/>
        </w:rPr>
        <w:t xml:space="preserve"> Dis</w:t>
      </w:r>
      <w:r w:rsidRPr="008A3C82">
        <w:rPr>
          <w:rFonts w:ascii="Book Antiqua" w:hAnsi="Book Antiqua"/>
        </w:rPr>
        <w:t xml:space="preserve"> 2002; </w:t>
      </w:r>
      <w:r w:rsidRPr="008A3C82">
        <w:rPr>
          <w:rFonts w:ascii="Book Antiqua" w:hAnsi="Book Antiqua"/>
          <w:b/>
          <w:bCs/>
        </w:rPr>
        <w:t>4</w:t>
      </w:r>
      <w:r w:rsidRPr="008A3C82">
        <w:rPr>
          <w:rFonts w:ascii="Book Antiqua" w:hAnsi="Book Antiqua"/>
        </w:rPr>
        <w:t>: 40-42 [PMID: 19078687 DOI: 10.1097/00131402-200209000-00009]</w:t>
      </w:r>
    </w:p>
    <w:p w14:paraId="354AE091"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7 </w:t>
      </w:r>
      <w:r w:rsidRPr="008A3C82">
        <w:rPr>
          <w:rFonts w:ascii="Book Antiqua" w:hAnsi="Book Antiqua"/>
          <w:b/>
          <w:bCs/>
        </w:rPr>
        <w:t>Neumann B</w:t>
      </w:r>
      <w:r w:rsidRPr="008A3C82">
        <w:rPr>
          <w:rFonts w:ascii="Book Antiqua" w:hAnsi="Book Antiqua"/>
        </w:rPr>
        <w:t xml:space="preserve">, </w:t>
      </w:r>
      <w:proofErr w:type="spellStart"/>
      <w:r w:rsidRPr="008A3C82">
        <w:rPr>
          <w:rFonts w:ascii="Book Antiqua" w:hAnsi="Book Antiqua"/>
        </w:rPr>
        <w:t>Angstwurm</w:t>
      </w:r>
      <w:proofErr w:type="spellEnd"/>
      <w:r w:rsidRPr="008A3C82">
        <w:rPr>
          <w:rFonts w:ascii="Book Antiqua" w:hAnsi="Book Antiqua"/>
        </w:rPr>
        <w:t xml:space="preserve"> K, Mergenthaler P, Kohler S, </w:t>
      </w:r>
      <w:proofErr w:type="spellStart"/>
      <w:r w:rsidRPr="008A3C82">
        <w:rPr>
          <w:rFonts w:ascii="Book Antiqua" w:hAnsi="Book Antiqua"/>
        </w:rPr>
        <w:t>Schönenberger</w:t>
      </w:r>
      <w:proofErr w:type="spellEnd"/>
      <w:r w:rsidRPr="008A3C82">
        <w:rPr>
          <w:rFonts w:ascii="Book Antiqua" w:hAnsi="Book Antiqua"/>
        </w:rPr>
        <w:t xml:space="preserve"> S, </w:t>
      </w:r>
      <w:proofErr w:type="spellStart"/>
      <w:r w:rsidRPr="008A3C82">
        <w:rPr>
          <w:rFonts w:ascii="Book Antiqua" w:hAnsi="Book Antiqua"/>
        </w:rPr>
        <w:t>Bösel</w:t>
      </w:r>
      <w:proofErr w:type="spellEnd"/>
      <w:r w:rsidRPr="008A3C82">
        <w:rPr>
          <w:rFonts w:ascii="Book Antiqua" w:hAnsi="Book Antiqua"/>
        </w:rPr>
        <w:t xml:space="preserve"> J, Neumann U, Vidal A, </w:t>
      </w:r>
      <w:proofErr w:type="spellStart"/>
      <w:r w:rsidRPr="008A3C82">
        <w:rPr>
          <w:rFonts w:ascii="Book Antiqua" w:hAnsi="Book Antiqua"/>
        </w:rPr>
        <w:t>Huttner</w:t>
      </w:r>
      <w:proofErr w:type="spellEnd"/>
      <w:r w:rsidRPr="008A3C82">
        <w:rPr>
          <w:rFonts w:ascii="Book Antiqua" w:hAnsi="Book Antiqua"/>
        </w:rPr>
        <w:t xml:space="preserve"> HB, </w:t>
      </w:r>
      <w:proofErr w:type="spellStart"/>
      <w:r w:rsidRPr="008A3C82">
        <w:rPr>
          <w:rFonts w:ascii="Book Antiqua" w:hAnsi="Book Antiqua"/>
        </w:rPr>
        <w:t>Gerner</w:t>
      </w:r>
      <w:proofErr w:type="spellEnd"/>
      <w:r w:rsidRPr="008A3C82">
        <w:rPr>
          <w:rFonts w:ascii="Book Antiqua" w:hAnsi="Book Antiqua"/>
        </w:rPr>
        <w:t xml:space="preserve"> ST, </w:t>
      </w:r>
      <w:proofErr w:type="spellStart"/>
      <w:r w:rsidRPr="008A3C82">
        <w:rPr>
          <w:rFonts w:ascii="Book Antiqua" w:hAnsi="Book Antiqua"/>
        </w:rPr>
        <w:t>Thieme</w:t>
      </w:r>
      <w:proofErr w:type="spellEnd"/>
      <w:r w:rsidRPr="008A3C82">
        <w:rPr>
          <w:rFonts w:ascii="Book Antiqua" w:hAnsi="Book Antiqua"/>
        </w:rPr>
        <w:t xml:space="preserve"> A, </w:t>
      </w:r>
      <w:proofErr w:type="spellStart"/>
      <w:r w:rsidRPr="008A3C82">
        <w:rPr>
          <w:rFonts w:ascii="Book Antiqua" w:hAnsi="Book Antiqua"/>
        </w:rPr>
        <w:t>Steinbrecher</w:t>
      </w:r>
      <w:proofErr w:type="spellEnd"/>
      <w:r w:rsidRPr="008A3C82">
        <w:rPr>
          <w:rFonts w:ascii="Book Antiqua" w:hAnsi="Book Antiqua"/>
        </w:rPr>
        <w:t xml:space="preserve"> A, </w:t>
      </w:r>
      <w:proofErr w:type="spellStart"/>
      <w:r w:rsidRPr="008A3C82">
        <w:rPr>
          <w:rFonts w:ascii="Book Antiqua" w:hAnsi="Book Antiqua"/>
        </w:rPr>
        <w:t>Dunkel</w:t>
      </w:r>
      <w:proofErr w:type="spellEnd"/>
      <w:r w:rsidRPr="008A3C82">
        <w:rPr>
          <w:rFonts w:ascii="Book Antiqua" w:hAnsi="Book Antiqua"/>
        </w:rPr>
        <w:t xml:space="preserve"> J, Roth C, Schneider H, Schimmel E, Fuhrer H, Fahrendorf C, </w:t>
      </w:r>
      <w:proofErr w:type="spellStart"/>
      <w:r w:rsidRPr="008A3C82">
        <w:rPr>
          <w:rFonts w:ascii="Book Antiqua" w:hAnsi="Book Antiqua"/>
        </w:rPr>
        <w:t>Alberty</w:t>
      </w:r>
      <w:proofErr w:type="spellEnd"/>
      <w:r w:rsidRPr="008A3C82">
        <w:rPr>
          <w:rFonts w:ascii="Book Antiqua" w:hAnsi="Book Antiqua"/>
        </w:rPr>
        <w:t xml:space="preserve"> A, </w:t>
      </w:r>
      <w:proofErr w:type="spellStart"/>
      <w:r w:rsidRPr="008A3C82">
        <w:rPr>
          <w:rFonts w:ascii="Book Antiqua" w:hAnsi="Book Antiqua"/>
        </w:rPr>
        <w:t>Zinke</w:t>
      </w:r>
      <w:proofErr w:type="spellEnd"/>
      <w:r w:rsidRPr="008A3C82">
        <w:rPr>
          <w:rFonts w:ascii="Book Antiqua" w:hAnsi="Book Antiqua"/>
        </w:rPr>
        <w:t xml:space="preserve"> J, </w:t>
      </w:r>
      <w:proofErr w:type="spellStart"/>
      <w:r w:rsidRPr="008A3C82">
        <w:rPr>
          <w:rFonts w:ascii="Book Antiqua" w:hAnsi="Book Antiqua"/>
        </w:rPr>
        <w:t>Meisel</w:t>
      </w:r>
      <w:proofErr w:type="spellEnd"/>
      <w:r w:rsidRPr="008A3C82">
        <w:rPr>
          <w:rFonts w:ascii="Book Antiqua" w:hAnsi="Book Antiqua"/>
        </w:rPr>
        <w:t xml:space="preserve"> A, </w:t>
      </w:r>
      <w:proofErr w:type="spellStart"/>
      <w:r w:rsidRPr="008A3C82">
        <w:rPr>
          <w:rFonts w:ascii="Book Antiqua" w:hAnsi="Book Antiqua"/>
        </w:rPr>
        <w:t>Dohmen</w:t>
      </w:r>
      <w:proofErr w:type="spellEnd"/>
      <w:r w:rsidRPr="008A3C82">
        <w:rPr>
          <w:rFonts w:ascii="Book Antiqua" w:hAnsi="Book Antiqua"/>
        </w:rPr>
        <w:t xml:space="preserve"> C, </w:t>
      </w:r>
      <w:proofErr w:type="spellStart"/>
      <w:r w:rsidRPr="008A3C82">
        <w:rPr>
          <w:rFonts w:ascii="Book Antiqua" w:hAnsi="Book Antiqua"/>
        </w:rPr>
        <w:t>Stetefeld</w:t>
      </w:r>
      <w:proofErr w:type="spellEnd"/>
      <w:r w:rsidRPr="008A3C82">
        <w:rPr>
          <w:rFonts w:ascii="Book Antiqua" w:hAnsi="Book Antiqua"/>
        </w:rPr>
        <w:t xml:space="preserve"> HR; German </w:t>
      </w:r>
      <w:proofErr w:type="spellStart"/>
      <w:r w:rsidRPr="008A3C82">
        <w:rPr>
          <w:rFonts w:ascii="Book Antiqua" w:hAnsi="Book Antiqua"/>
        </w:rPr>
        <w:t>Myasthenic</w:t>
      </w:r>
      <w:proofErr w:type="spellEnd"/>
      <w:r w:rsidRPr="008A3C82">
        <w:rPr>
          <w:rFonts w:ascii="Book Antiqua" w:hAnsi="Book Antiqua"/>
        </w:rPr>
        <w:t xml:space="preserve"> Crisis Study Group. Myasthenic crisis demanding mechanical ventilation: A multicenter analysis of 250 cases. </w:t>
      </w:r>
      <w:r w:rsidRPr="008A3C82">
        <w:rPr>
          <w:rFonts w:ascii="Book Antiqua" w:hAnsi="Book Antiqua"/>
          <w:i/>
          <w:iCs/>
        </w:rPr>
        <w:t>Neurology</w:t>
      </w:r>
      <w:r w:rsidRPr="008A3C82">
        <w:rPr>
          <w:rFonts w:ascii="Book Antiqua" w:hAnsi="Book Antiqua"/>
        </w:rPr>
        <w:t xml:space="preserve"> 2020; </w:t>
      </w:r>
      <w:r w:rsidRPr="008A3C82">
        <w:rPr>
          <w:rFonts w:ascii="Book Antiqua" w:hAnsi="Book Antiqua"/>
          <w:b/>
          <w:bCs/>
        </w:rPr>
        <w:t>94</w:t>
      </w:r>
      <w:r w:rsidRPr="008A3C82">
        <w:rPr>
          <w:rFonts w:ascii="Book Antiqua" w:hAnsi="Book Antiqua"/>
        </w:rPr>
        <w:t>: e299-e313 [PMID: 31801833 DOI: 10.1212/WNL.0000000000008688]</w:t>
      </w:r>
    </w:p>
    <w:p w14:paraId="1495EA07"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8 </w:t>
      </w:r>
      <w:r w:rsidRPr="008A3C82">
        <w:rPr>
          <w:rFonts w:ascii="Book Antiqua" w:hAnsi="Book Antiqua"/>
          <w:b/>
          <w:bCs/>
        </w:rPr>
        <w:t>Anand US</w:t>
      </w:r>
      <w:r w:rsidRPr="008A3C82">
        <w:rPr>
          <w:rFonts w:ascii="Book Antiqua" w:hAnsi="Book Antiqua"/>
        </w:rPr>
        <w:t xml:space="preserve">, Viswanathan S, </w:t>
      </w:r>
      <w:proofErr w:type="spellStart"/>
      <w:r w:rsidRPr="008A3C82">
        <w:rPr>
          <w:rFonts w:ascii="Book Antiqua" w:hAnsi="Book Antiqua"/>
        </w:rPr>
        <w:t>Arulneyam</w:t>
      </w:r>
      <w:proofErr w:type="spellEnd"/>
      <w:r w:rsidRPr="008A3C82">
        <w:rPr>
          <w:rFonts w:ascii="Book Antiqua" w:hAnsi="Book Antiqua"/>
        </w:rPr>
        <w:t xml:space="preserve"> J. Pulmonary edema in myasthenic crisis. </w:t>
      </w:r>
      <w:r w:rsidRPr="008A3C82">
        <w:rPr>
          <w:rFonts w:ascii="Book Antiqua" w:hAnsi="Book Antiqua"/>
          <w:i/>
          <w:iCs/>
        </w:rPr>
        <w:t>Case Rep Crit Care</w:t>
      </w:r>
      <w:r w:rsidRPr="008A3C82">
        <w:rPr>
          <w:rFonts w:ascii="Book Antiqua" w:hAnsi="Book Antiqua"/>
        </w:rPr>
        <w:t xml:space="preserve"> 2013; </w:t>
      </w:r>
      <w:r w:rsidRPr="008A3C82">
        <w:rPr>
          <w:rFonts w:ascii="Book Antiqua" w:hAnsi="Book Antiqua"/>
          <w:b/>
          <w:bCs/>
        </w:rPr>
        <w:t>2013</w:t>
      </w:r>
      <w:r w:rsidRPr="008A3C82">
        <w:rPr>
          <w:rFonts w:ascii="Book Antiqua" w:hAnsi="Book Antiqua"/>
        </w:rPr>
        <w:t>: 863620 [PMID: 24829832 DOI: 10.1155/2013/863620]</w:t>
      </w:r>
    </w:p>
    <w:p w14:paraId="563FCFBB"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9 </w:t>
      </w:r>
      <w:r w:rsidRPr="008A3C82">
        <w:rPr>
          <w:rFonts w:ascii="Book Antiqua" w:hAnsi="Book Antiqua"/>
          <w:b/>
          <w:bCs/>
        </w:rPr>
        <w:t>Ho RYJ</w:t>
      </w:r>
      <w:r w:rsidRPr="008A3C82">
        <w:rPr>
          <w:rFonts w:ascii="Book Antiqua" w:hAnsi="Book Antiqua"/>
        </w:rPr>
        <w:t xml:space="preserve">, </w:t>
      </w:r>
      <w:proofErr w:type="spellStart"/>
      <w:r w:rsidRPr="008A3C82">
        <w:rPr>
          <w:rFonts w:ascii="Book Antiqua" w:hAnsi="Book Antiqua"/>
        </w:rPr>
        <w:t>Chern</w:t>
      </w:r>
      <w:proofErr w:type="spellEnd"/>
      <w:r w:rsidRPr="008A3C82">
        <w:rPr>
          <w:rFonts w:ascii="Book Antiqua" w:hAnsi="Book Antiqua"/>
        </w:rPr>
        <w:t xml:space="preserve"> ZRB, </w:t>
      </w:r>
      <w:proofErr w:type="spellStart"/>
      <w:r w:rsidRPr="008A3C82">
        <w:rPr>
          <w:rFonts w:ascii="Book Antiqua" w:hAnsi="Book Antiqua"/>
        </w:rPr>
        <w:t>Kristanto</w:t>
      </w:r>
      <w:proofErr w:type="spellEnd"/>
      <w:r w:rsidRPr="008A3C82">
        <w:rPr>
          <w:rFonts w:ascii="Book Antiqua" w:hAnsi="Book Antiqua"/>
        </w:rPr>
        <w:t xml:space="preserve"> W. Takotsubo cardiomyopathy, or 'broken-heart syndrome', with concomitant myasthenic crisis. </w:t>
      </w:r>
      <w:r w:rsidRPr="008A3C82">
        <w:rPr>
          <w:rFonts w:ascii="Book Antiqua" w:hAnsi="Book Antiqua"/>
          <w:i/>
          <w:iCs/>
        </w:rPr>
        <w:t>Singapore Med J</w:t>
      </w:r>
      <w:r w:rsidRPr="008A3C82">
        <w:rPr>
          <w:rFonts w:ascii="Book Antiqua" w:hAnsi="Book Antiqua"/>
        </w:rPr>
        <w:t xml:space="preserve"> 2019; </w:t>
      </w:r>
      <w:r w:rsidRPr="008A3C82">
        <w:rPr>
          <w:rFonts w:ascii="Book Antiqua" w:hAnsi="Book Antiqua"/>
          <w:b/>
          <w:bCs/>
        </w:rPr>
        <w:t>60</w:t>
      </w:r>
      <w:r w:rsidRPr="008A3C82">
        <w:rPr>
          <w:rFonts w:ascii="Book Antiqua" w:hAnsi="Book Antiqua"/>
        </w:rPr>
        <w:t>: 267-269 [PMID: 31187145 DOI: 10.11622/smedj.2019046]</w:t>
      </w:r>
    </w:p>
    <w:p w14:paraId="691113D2"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10 </w:t>
      </w:r>
      <w:r w:rsidRPr="008A3C82">
        <w:rPr>
          <w:rFonts w:ascii="Book Antiqua" w:hAnsi="Book Antiqua"/>
          <w:b/>
          <w:bCs/>
        </w:rPr>
        <w:t xml:space="preserve">Abdel </w:t>
      </w:r>
      <w:proofErr w:type="spellStart"/>
      <w:r w:rsidRPr="008A3C82">
        <w:rPr>
          <w:rFonts w:ascii="Book Antiqua" w:hAnsi="Book Antiqua"/>
          <w:b/>
          <w:bCs/>
        </w:rPr>
        <w:t>Razek</w:t>
      </w:r>
      <w:proofErr w:type="spellEnd"/>
      <w:r w:rsidRPr="008A3C82">
        <w:rPr>
          <w:rFonts w:ascii="Book Antiqua" w:hAnsi="Book Antiqua"/>
          <w:b/>
          <w:bCs/>
        </w:rPr>
        <w:t xml:space="preserve"> AAK</w:t>
      </w:r>
      <w:r w:rsidRPr="008A3C82">
        <w:rPr>
          <w:rFonts w:ascii="Book Antiqua" w:hAnsi="Book Antiqua"/>
        </w:rPr>
        <w:t xml:space="preserve">, </w:t>
      </w:r>
      <w:proofErr w:type="spellStart"/>
      <w:r w:rsidRPr="008A3C82">
        <w:rPr>
          <w:rFonts w:ascii="Book Antiqua" w:hAnsi="Book Antiqua"/>
        </w:rPr>
        <w:t>Elrakhawy</w:t>
      </w:r>
      <w:proofErr w:type="spellEnd"/>
      <w:r w:rsidRPr="008A3C82">
        <w:rPr>
          <w:rFonts w:ascii="Book Antiqua" w:hAnsi="Book Antiqua"/>
        </w:rPr>
        <w:t xml:space="preserve"> MM, </w:t>
      </w:r>
      <w:proofErr w:type="spellStart"/>
      <w:r w:rsidRPr="008A3C82">
        <w:rPr>
          <w:rFonts w:ascii="Book Antiqua" w:hAnsi="Book Antiqua"/>
        </w:rPr>
        <w:t>Yossof</w:t>
      </w:r>
      <w:proofErr w:type="spellEnd"/>
      <w:r w:rsidRPr="008A3C82">
        <w:rPr>
          <w:rFonts w:ascii="Book Antiqua" w:hAnsi="Book Antiqua"/>
        </w:rPr>
        <w:t xml:space="preserve"> MM, </w:t>
      </w:r>
      <w:proofErr w:type="spellStart"/>
      <w:r w:rsidRPr="008A3C82">
        <w:rPr>
          <w:rFonts w:ascii="Book Antiqua" w:hAnsi="Book Antiqua"/>
        </w:rPr>
        <w:t>Nageb</w:t>
      </w:r>
      <w:proofErr w:type="spellEnd"/>
      <w:r w:rsidRPr="008A3C82">
        <w:rPr>
          <w:rFonts w:ascii="Book Antiqua" w:hAnsi="Book Antiqua"/>
        </w:rPr>
        <w:t xml:space="preserve"> HM. Inter-observer agreement of the Coronary Artery Disease Reporting and Data System (CAD-RADS</w:t>
      </w:r>
      <w:r w:rsidRPr="008A3C82">
        <w:rPr>
          <w:rFonts w:ascii="Book Antiqua" w:hAnsi="Book Antiqua"/>
          <w:vertAlign w:val="superscript"/>
        </w:rPr>
        <w:t>TM</w:t>
      </w:r>
      <w:r w:rsidRPr="008A3C82">
        <w:rPr>
          <w:rFonts w:ascii="Book Antiqua" w:hAnsi="Book Antiqua"/>
        </w:rPr>
        <w:t xml:space="preserve">) in patients with stable chest pain. </w:t>
      </w:r>
      <w:r w:rsidRPr="008A3C82">
        <w:rPr>
          <w:rFonts w:ascii="Book Antiqua" w:hAnsi="Book Antiqua"/>
          <w:i/>
          <w:iCs/>
        </w:rPr>
        <w:t xml:space="preserve">Pol J </w:t>
      </w:r>
      <w:proofErr w:type="spellStart"/>
      <w:r w:rsidRPr="008A3C82">
        <w:rPr>
          <w:rFonts w:ascii="Book Antiqua" w:hAnsi="Book Antiqua"/>
          <w:i/>
          <w:iCs/>
        </w:rPr>
        <w:t>Radiol</w:t>
      </w:r>
      <w:proofErr w:type="spellEnd"/>
      <w:r w:rsidRPr="008A3C82">
        <w:rPr>
          <w:rFonts w:ascii="Book Antiqua" w:hAnsi="Book Antiqua"/>
        </w:rPr>
        <w:t xml:space="preserve"> 2018; </w:t>
      </w:r>
      <w:r w:rsidRPr="008A3C82">
        <w:rPr>
          <w:rFonts w:ascii="Book Antiqua" w:hAnsi="Book Antiqua"/>
          <w:b/>
          <w:bCs/>
        </w:rPr>
        <w:t>83</w:t>
      </w:r>
      <w:r w:rsidRPr="008A3C82">
        <w:rPr>
          <w:rFonts w:ascii="Book Antiqua" w:hAnsi="Book Antiqua"/>
        </w:rPr>
        <w:t>: e151-e159 [PMID: 30038693 DOI: 10.5114/pjr.2018.75641]</w:t>
      </w:r>
    </w:p>
    <w:p w14:paraId="4F3245CA"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11 </w:t>
      </w:r>
      <w:r w:rsidRPr="008A3C82">
        <w:rPr>
          <w:rFonts w:ascii="Book Antiqua" w:hAnsi="Book Antiqua"/>
          <w:b/>
          <w:bCs/>
        </w:rPr>
        <w:t xml:space="preserve">Abdel </w:t>
      </w:r>
      <w:proofErr w:type="spellStart"/>
      <w:r w:rsidRPr="008A3C82">
        <w:rPr>
          <w:rFonts w:ascii="Book Antiqua" w:hAnsi="Book Antiqua"/>
          <w:b/>
          <w:bCs/>
        </w:rPr>
        <w:t>Razek</w:t>
      </w:r>
      <w:proofErr w:type="spellEnd"/>
      <w:r w:rsidRPr="008A3C82">
        <w:rPr>
          <w:rFonts w:ascii="Book Antiqua" w:hAnsi="Book Antiqua"/>
          <w:b/>
          <w:bCs/>
        </w:rPr>
        <w:t xml:space="preserve"> AAK</w:t>
      </w:r>
      <w:r w:rsidRPr="008A3C82">
        <w:rPr>
          <w:rFonts w:ascii="Book Antiqua" w:hAnsi="Book Antiqua"/>
        </w:rPr>
        <w:t>, Al-</w:t>
      </w:r>
      <w:proofErr w:type="spellStart"/>
      <w:r w:rsidRPr="008A3C82">
        <w:rPr>
          <w:rFonts w:ascii="Book Antiqua" w:hAnsi="Book Antiqua"/>
        </w:rPr>
        <w:t>Marsafawy</w:t>
      </w:r>
      <w:proofErr w:type="spellEnd"/>
      <w:r w:rsidRPr="008A3C82">
        <w:rPr>
          <w:rFonts w:ascii="Book Antiqua" w:hAnsi="Book Antiqua"/>
        </w:rPr>
        <w:t xml:space="preserve"> H, </w:t>
      </w:r>
      <w:proofErr w:type="spellStart"/>
      <w:r w:rsidRPr="008A3C82">
        <w:rPr>
          <w:rFonts w:ascii="Book Antiqua" w:hAnsi="Book Antiqua"/>
        </w:rPr>
        <w:t>Elmansy</w:t>
      </w:r>
      <w:proofErr w:type="spellEnd"/>
      <w:r w:rsidRPr="008A3C82">
        <w:rPr>
          <w:rFonts w:ascii="Book Antiqua" w:hAnsi="Book Antiqua"/>
        </w:rPr>
        <w:t xml:space="preserve"> M. Imaging of Pulmonary Atresia with Ventricular Septal Defect. </w:t>
      </w:r>
      <w:r w:rsidRPr="008A3C82">
        <w:rPr>
          <w:rFonts w:ascii="Book Antiqua" w:hAnsi="Book Antiqua"/>
          <w:i/>
          <w:iCs/>
        </w:rPr>
        <w:t xml:space="preserve">J </w:t>
      </w:r>
      <w:proofErr w:type="spellStart"/>
      <w:r w:rsidRPr="008A3C82">
        <w:rPr>
          <w:rFonts w:ascii="Book Antiqua" w:hAnsi="Book Antiqua"/>
          <w:i/>
          <w:iCs/>
        </w:rPr>
        <w:t>Comput</w:t>
      </w:r>
      <w:proofErr w:type="spellEnd"/>
      <w:r w:rsidRPr="008A3C82">
        <w:rPr>
          <w:rFonts w:ascii="Book Antiqua" w:hAnsi="Book Antiqua"/>
          <w:i/>
          <w:iCs/>
        </w:rPr>
        <w:t xml:space="preserve"> Assist </w:t>
      </w:r>
      <w:proofErr w:type="spellStart"/>
      <w:r w:rsidRPr="008A3C82">
        <w:rPr>
          <w:rFonts w:ascii="Book Antiqua" w:hAnsi="Book Antiqua"/>
          <w:i/>
          <w:iCs/>
        </w:rPr>
        <w:t>Tomogr</w:t>
      </w:r>
      <w:proofErr w:type="spellEnd"/>
      <w:r w:rsidRPr="008A3C82">
        <w:rPr>
          <w:rFonts w:ascii="Book Antiqua" w:hAnsi="Book Antiqua"/>
        </w:rPr>
        <w:t xml:space="preserve"> 2019; </w:t>
      </w:r>
      <w:r w:rsidRPr="008A3C82">
        <w:rPr>
          <w:rFonts w:ascii="Book Antiqua" w:hAnsi="Book Antiqua"/>
          <w:b/>
          <w:bCs/>
        </w:rPr>
        <w:t>43</w:t>
      </w:r>
      <w:r w:rsidRPr="008A3C82">
        <w:rPr>
          <w:rFonts w:ascii="Book Antiqua" w:hAnsi="Book Antiqua"/>
        </w:rPr>
        <w:t>: 906-911 [PMID: 31738213 DOI: 10.1097/RCT.0000000000000938]</w:t>
      </w:r>
    </w:p>
    <w:p w14:paraId="56AC42CE"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12 </w:t>
      </w:r>
      <w:proofErr w:type="spellStart"/>
      <w:r w:rsidRPr="008A3C82">
        <w:rPr>
          <w:rFonts w:ascii="Book Antiqua" w:hAnsi="Book Antiqua"/>
          <w:b/>
          <w:bCs/>
        </w:rPr>
        <w:t>Thanaviratananich</w:t>
      </w:r>
      <w:proofErr w:type="spellEnd"/>
      <w:r w:rsidRPr="008A3C82">
        <w:rPr>
          <w:rFonts w:ascii="Book Antiqua" w:hAnsi="Book Antiqua"/>
          <w:b/>
          <w:bCs/>
        </w:rPr>
        <w:t xml:space="preserve"> S</w:t>
      </w:r>
      <w:r w:rsidRPr="008A3C82">
        <w:rPr>
          <w:rFonts w:ascii="Book Antiqua" w:hAnsi="Book Antiqua"/>
        </w:rPr>
        <w:t xml:space="preserve">, </w:t>
      </w:r>
      <w:proofErr w:type="spellStart"/>
      <w:r w:rsidRPr="008A3C82">
        <w:rPr>
          <w:rFonts w:ascii="Book Antiqua" w:hAnsi="Book Antiqua"/>
        </w:rPr>
        <w:t>Katirji</w:t>
      </w:r>
      <w:proofErr w:type="spellEnd"/>
      <w:r w:rsidRPr="008A3C82">
        <w:rPr>
          <w:rFonts w:ascii="Book Antiqua" w:hAnsi="Book Antiqua"/>
        </w:rPr>
        <w:t xml:space="preserve"> B, </w:t>
      </w:r>
      <w:proofErr w:type="spellStart"/>
      <w:r w:rsidRPr="008A3C82">
        <w:rPr>
          <w:rFonts w:ascii="Book Antiqua" w:hAnsi="Book Antiqua"/>
        </w:rPr>
        <w:t>Alshekhlee</w:t>
      </w:r>
      <w:proofErr w:type="spellEnd"/>
      <w:r w:rsidRPr="008A3C82">
        <w:rPr>
          <w:rFonts w:ascii="Book Antiqua" w:hAnsi="Book Antiqua"/>
        </w:rPr>
        <w:t xml:space="preserve"> A. Broken heart syndrome during myasthenic crisis. </w:t>
      </w:r>
      <w:r w:rsidRPr="008A3C82">
        <w:rPr>
          <w:rFonts w:ascii="Book Antiqua" w:hAnsi="Book Antiqua"/>
          <w:i/>
          <w:iCs/>
        </w:rPr>
        <w:t xml:space="preserve">J </w:t>
      </w:r>
      <w:proofErr w:type="spellStart"/>
      <w:r w:rsidRPr="008A3C82">
        <w:rPr>
          <w:rFonts w:ascii="Book Antiqua" w:hAnsi="Book Antiqua"/>
          <w:i/>
          <w:iCs/>
        </w:rPr>
        <w:t>Clin</w:t>
      </w:r>
      <w:proofErr w:type="spellEnd"/>
      <w:r w:rsidRPr="008A3C82">
        <w:rPr>
          <w:rFonts w:ascii="Book Antiqua" w:hAnsi="Book Antiqua"/>
          <w:i/>
          <w:iCs/>
        </w:rPr>
        <w:t xml:space="preserve"> </w:t>
      </w:r>
      <w:proofErr w:type="spellStart"/>
      <w:r w:rsidRPr="008A3C82">
        <w:rPr>
          <w:rFonts w:ascii="Book Antiqua" w:hAnsi="Book Antiqua"/>
          <w:i/>
          <w:iCs/>
        </w:rPr>
        <w:t>Neuromuscul</w:t>
      </w:r>
      <w:proofErr w:type="spellEnd"/>
      <w:r w:rsidRPr="008A3C82">
        <w:rPr>
          <w:rFonts w:ascii="Book Antiqua" w:hAnsi="Book Antiqua"/>
          <w:i/>
          <w:iCs/>
        </w:rPr>
        <w:t xml:space="preserve"> Dis</w:t>
      </w:r>
      <w:r w:rsidRPr="008A3C82">
        <w:rPr>
          <w:rFonts w:ascii="Book Antiqua" w:hAnsi="Book Antiqua"/>
        </w:rPr>
        <w:t xml:space="preserve"> 2014; </w:t>
      </w:r>
      <w:r w:rsidRPr="008A3C82">
        <w:rPr>
          <w:rFonts w:ascii="Book Antiqua" w:hAnsi="Book Antiqua"/>
          <w:b/>
          <w:bCs/>
        </w:rPr>
        <w:t>15</w:t>
      </w:r>
      <w:r w:rsidRPr="008A3C82">
        <w:rPr>
          <w:rFonts w:ascii="Book Antiqua" w:hAnsi="Book Antiqua"/>
        </w:rPr>
        <w:t>: 90-95 [PMID: 24534829 DOI: 10.1097/CND.0000000000000022]</w:t>
      </w:r>
    </w:p>
    <w:p w14:paraId="298BAC4F"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lastRenderedPageBreak/>
        <w:t xml:space="preserve">13 </w:t>
      </w:r>
      <w:proofErr w:type="spellStart"/>
      <w:r w:rsidRPr="008A3C82">
        <w:rPr>
          <w:rFonts w:ascii="Book Antiqua" w:hAnsi="Book Antiqua"/>
          <w:b/>
          <w:bCs/>
        </w:rPr>
        <w:t>Zis</w:t>
      </w:r>
      <w:proofErr w:type="spellEnd"/>
      <w:r w:rsidRPr="008A3C82">
        <w:rPr>
          <w:rFonts w:ascii="Book Antiqua" w:hAnsi="Book Antiqua"/>
          <w:b/>
          <w:bCs/>
        </w:rPr>
        <w:t xml:space="preserve"> P</w:t>
      </w:r>
      <w:r w:rsidRPr="008A3C82">
        <w:rPr>
          <w:rFonts w:ascii="Book Antiqua" w:hAnsi="Book Antiqua"/>
        </w:rPr>
        <w:t xml:space="preserve">, </w:t>
      </w:r>
      <w:proofErr w:type="spellStart"/>
      <w:r w:rsidRPr="008A3C82">
        <w:rPr>
          <w:rFonts w:ascii="Book Antiqua" w:hAnsi="Book Antiqua"/>
        </w:rPr>
        <w:t>Dimopoulos</w:t>
      </w:r>
      <w:proofErr w:type="spellEnd"/>
      <w:r w:rsidRPr="008A3C82">
        <w:rPr>
          <w:rFonts w:ascii="Book Antiqua" w:hAnsi="Book Antiqua"/>
        </w:rPr>
        <w:t xml:space="preserve"> S, </w:t>
      </w:r>
      <w:proofErr w:type="spellStart"/>
      <w:r w:rsidRPr="008A3C82">
        <w:rPr>
          <w:rFonts w:ascii="Book Antiqua" w:hAnsi="Book Antiqua"/>
        </w:rPr>
        <w:t>Tavernarakis</w:t>
      </w:r>
      <w:proofErr w:type="spellEnd"/>
      <w:r w:rsidRPr="008A3C82">
        <w:rPr>
          <w:rFonts w:ascii="Book Antiqua" w:hAnsi="Book Antiqua"/>
        </w:rPr>
        <w:t xml:space="preserve"> A, Nanas S. Myocardial pathology associated with myasthenia gravis. </w:t>
      </w:r>
      <w:r w:rsidRPr="008A3C82">
        <w:rPr>
          <w:rFonts w:ascii="Book Antiqua" w:hAnsi="Book Antiqua"/>
          <w:i/>
          <w:iCs/>
        </w:rPr>
        <w:t xml:space="preserve">J </w:t>
      </w:r>
      <w:proofErr w:type="spellStart"/>
      <w:r w:rsidRPr="008A3C82">
        <w:rPr>
          <w:rFonts w:ascii="Book Antiqua" w:hAnsi="Book Antiqua"/>
          <w:i/>
          <w:iCs/>
        </w:rPr>
        <w:t>Clin</w:t>
      </w:r>
      <w:proofErr w:type="spellEnd"/>
      <w:r w:rsidRPr="008A3C82">
        <w:rPr>
          <w:rFonts w:ascii="Book Antiqua" w:hAnsi="Book Antiqua"/>
          <w:i/>
          <w:iCs/>
        </w:rPr>
        <w:t xml:space="preserve"> </w:t>
      </w:r>
      <w:proofErr w:type="spellStart"/>
      <w:r w:rsidRPr="008A3C82">
        <w:rPr>
          <w:rFonts w:ascii="Book Antiqua" w:hAnsi="Book Antiqua"/>
          <w:i/>
          <w:iCs/>
        </w:rPr>
        <w:t>Neuromuscul</w:t>
      </w:r>
      <w:proofErr w:type="spellEnd"/>
      <w:r w:rsidRPr="008A3C82">
        <w:rPr>
          <w:rFonts w:ascii="Book Antiqua" w:hAnsi="Book Antiqua"/>
          <w:i/>
          <w:iCs/>
        </w:rPr>
        <w:t xml:space="preserve"> Dis</w:t>
      </w:r>
      <w:r w:rsidRPr="008A3C82">
        <w:rPr>
          <w:rFonts w:ascii="Book Antiqua" w:hAnsi="Book Antiqua"/>
        </w:rPr>
        <w:t xml:space="preserve"> 2015; </w:t>
      </w:r>
      <w:r w:rsidRPr="008A3C82">
        <w:rPr>
          <w:rFonts w:ascii="Book Antiqua" w:hAnsi="Book Antiqua"/>
          <w:b/>
          <w:bCs/>
        </w:rPr>
        <w:t>16</w:t>
      </w:r>
      <w:r w:rsidRPr="008A3C82">
        <w:rPr>
          <w:rFonts w:ascii="Book Antiqua" w:hAnsi="Book Antiqua"/>
        </w:rPr>
        <w:t>: 228 [PMID: 25996972 DOI: 10.1097/CND.0000000000000079]</w:t>
      </w:r>
    </w:p>
    <w:p w14:paraId="6E5E1382" w14:textId="77777777" w:rsidR="00534946" w:rsidRPr="008A3C82" w:rsidRDefault="00534946" w:rsidP="008A3C82">
      <w:pPr>
        <w:snapToGrid w:val="0"/>
        <w:spacing w:line="360" w:lineRule="auto"/>
        <w:jc w:val="both"/>
        <w:rPr>
          <w:rFonts w:ascii="Book Antiqua" w:hAnsi="Book Antiqua"/>
        </w:rPr>
        <w:sectPr w:rsidR="00534946" w:rsidRPr="008A3C82" w:rsidSect="00480091">
          <w:pgSz w:w="12240" w:h="15840"/>
          <w:pgMar w:top="1440" w:right="1800" w:bottom="1440" w:left="1800" w:header="720" w:footer="720" w:gutter="0"/>
          <w:cols w:space="720"/>
          <w:docGrid w:linePitch="360"/>
        </w:sectPr>
      </w:pPr>
    </w:p>
    <w:p w14:paraId="2A1F670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lastRenderedPageBreak/>
        <w:t>Footnotes</w:t>
      </w:r>
    </w:p>
    <w:p w14:paraId="11BF3FB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Informed consent statement: </w:t>
      </w:r>
      <w:bookmarkStart w:id="52" w:name="OLE_LINK53"/>
      <w:bookmarkStart w:id="53" w:name="OLE_LINK54"/>
      <w:r w:rsidRPr="008A3C82">
        <w:rPr>
          <w:rFonts w:ascii="Book Antiqua" w:eastAsia="Book Antiqua" w:hAnsi="Book Antiqua" w:cs="Book Antiqua"/>
          <w:color w:val="000000"/>
        </w:rPr>
        <w:t xml:space="preserve">Written informed consent was obtained from the patient for publication of this case report and any accompanying images. A copy of the written consent is available for review by the Editor of this journal. </w:t>
      </w:r>
    </w:p>
    <w:bookmarkEnd w:id="52"/>
    <w:bookmarkEnd w:id="53"/>
    <w:p w14:paraId="70FD4692" w14:textId="77777777" w:rsidR="00A77B3E" w:rsidRPr="008A3C82" w:rsidRDefault="00A77B3E" w:rsidP="008A3C82">
      <w:pPr>
        <w:snapToGrid w:val="0"/>
        <w:spacing w:line="360" w:lineRule="auto"/>
        <w:jc w:val="both"/>
        <w:rPr>
          <w:rFonts w:ascii="Book Antiqua" w:hAnsi="Book Antiqua"/>
        </w:rPr>
      </w:pPr>
    </w:p>
    <w:p w14:paraId="3F89341E"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Conflict-of-interest statement: </w:t>
      </w:r>
      <w:bookmarkStart w:id="54" w:name="OLE_LINK55"/>
      <w:bookmarkStart w:id="55" w:name="OLE_LINK56"/>
      <w:r w:rsidRPr="008A3C82">
        <w:rPr>
          <w:rFonts w:ascii="Book Antiqua" w:eastAsia="Book Antiqua" w:hAnsi="Book Antiqua" w:cs="Book Antiqua"/>
          <w:color w:val="000000"/>
        </w:rPr>
        <w:t>The authors declare that they have no competing interests.</w:t>
      </w:r>
    </w:p>
    <w:bookmarkEnd w:id="54"/>
    <w:bookmarkEnd w:id="55"/>
    <w:p w14:paraId="0DA13E17" w14:textId="77777777" w:rsidR="00A77B3E" w:rsidRPr="008A3C82" w:rsidRDefault="00A77B3E" w:rsidP="008A3C82">
      <w:pPr>
        <w:snapToGrid w:val="0"/>
        <w:spacing w:line="360" w:lineRule="auto"/>
        <w:jc w:val="both"/>
        <w:rPr>
          <w:rFonts w:ascii="Book Antiqua" w:hAnsi="Book Antiqua"/>
        </w:rPr>
      </w:pPr>
    </w:p>
    <w:p w14:paraId="7DD7AE0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CARE Checklist (2016) statement: </w:t>
      </w:r>
      <w:bookmarkStart w:id="56" w:name="OLE_LINK57"/>
      <w:r w:rsidRPr="008A3C82">
        <w:rPr>
          <w:rFonts w:ascii="Book Antiqua" w:eastAsia="Book Antiqua" w:hAnsi="Book Antiqua" w:cs="Book Antiqua"/>
          <w:color w:val="000000"/>
        </w:rPr>
        <w:t>The authors have read the CARE Checklist (2016), and the manuscript was prepared and revised according to the CARE Checklist (2016).</w:t>
      </w:r>
    </w:p>
    <w:bookmarkEnd w:id="56"/>
    <w:p w14:paraId="563B384D" w14:textId="77777777" w:rsidR="00A77B3E" w:rsidRPr="008A3C82" w:rsidRDefault="00A77B3E" w:rsidP="008A3C82">
      <w:pPr>
        <w:snapToGrid w:val="0"/>
        <w:spacing w:line="360" w:lineRule="auto"/>
        <w:jc w:val="both"/>
        <w:rPr>
          <w:rFonts w:ascii="Book Antiqua" w:hAnsi="Book Antiqua"/>
        </w:rPr>
      </w:pPr>
    </w:p>
    <w:p w14:paraId="38EBB704"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Open-Access: </w:t>
      </w:r>
      <w:r w:rsidRPr="008A3C8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D8F483" w14:textId="77777777" w:rsidR="00A77B3E" w:rsidRPr="008A3C82" w:rsidRDefault="00A77B3E" w:rsidP="008A3C82">
      <w:pPr>
        <w:snapToGrid w:val="0"/>
        <w:spacing w:line="360" w:lineRule="auto"/>
        <w:jc w:val="both"/>
        <w:rPr>
          <w:rFonts w:ascii="Book Antiqua" w:hAnsi="Book Antiqua"/>
        </w:rPr>
      </w:pPr>
    </w:p>
    <w:p w14:paraId="2F291A2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Manuscript source: </w:t>
      </w:r>
      <w:r w:rsidRPr="008A3C82">
        <w:rPr>
          <w:rFonts w:ascii="Book Antiqua" w:eastAsia="Book Antiqua" w:hAnsi="Book Antiqua" w:cs="Book Antiqua"/>
          <w:color w:val="000000"/>
        </w:rPr>
        <w:t xml:space="preserve">Unsolicited </w:t>
      </w:r>
      <w:r w:rsidR="00534946" w:rsidRPr="008A3C82">
        <w:rPr>
          <w:rFonts w:ascii="Book Antiqua" w:eastAsia="Book Antiqua" w:hAnsi="Book Antiqua" w:cs="Book Antiqua"/>
          <w:color w:val="000000"/>
        </w:rPr>
        <w:t>manuscript</w:t>
      </w:r>
    </w:p>
    <w:p w14:paraId="56DE59AF" w14:textId="77777777" w:rsidR="00A77B3E" w:rsidRPr="008A3C82" w:rsidRDefault="00A77B3E" w:rsidP="008A3C82">
      <w:pPr>
        <w:snapToGrid w:val="0"/>
        <w:spacing w:line="360" w:lineRule="auto"/>
        <w:jc w:val="both"/>
        <w:rPr>
          <w:rFonts w:ascii="Book Antiqua" w:hAnsi="Book Antiqua"/>
        </w:rPr>
      </w:pPr>
    </w:p>
    <w:p w14:paraId="2B237BE5"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Peer-review started: </w:t>
      </w:r>
      <w:r w:rsidRPr="008A3C82">
        <w:rPr>
          <w:rFonts w:ascii="Book Antiqua" w:eastAsia="Book Antiqua" w:hAnsi="Book Antiqua" w:cs="Book Antiqua"/>
          <w:color w:val="000000"/>
        </w:rPr>
        <w:t>August 17, 2020</w:t>
      </w:r>
    </w:p>
    <w:p w14:paraId="0B54DA8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First decision: </w:t>
      </w:r>
      <w:r w:rsidRPr="008A3C82">
        <w:rPr>
          <w:rFonts w:ascii="Book Antiqua" w:eastAsia="Book Antiqua" w:hAnsi="Book Antiqua" w:cs="Book Antiqua"/>
          <w:color w:val="000000"/>
        </w:rPr>
        <w:t>November 16, 2020</w:t>
      </w:r>
    </w:p>
    <w:p w14:paraId="515155AC" w14:textId="2E9F209F"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Article in press: </w:t>
      </w:r>
      <w:r w:rsidR="00A47B38" w:rsidRPr="0043730E">
        <w:rPr>
          <w:rFonts w:ascii="Book Antiqua" w:eastAsia="Book Antiqua" w:hAnsi="Book Antiqua" w:cs="Book Antiqua"/>
          <w:bCs/>
          <w:color w:val="000000"/>
        </w:rPr>
        <w:t>December 13, 2020</w:t>
      </w:r>
    </w:p>
    <w:p w14:paraId="38508A64" w14:textId="77777777" w:rsidR="00A77B3E" w:rsidRPr="008A3C82" w:rsidRDefault="00A77B3E" w:rsidP="008A3C82">
      <w:pPr>
        <w:snapToGrid w:val="0"/>
        <w:spacing w:line="360" w:lineRule="auto"/>
        <w:jc w:val="both"/>
        <w:rPr>
          <w:rFonts w:ascii="Book Antiqua" w:hAnsi="Book Antiqua"/>
        </w:rPr>
      </w:pPr>
    </w:p>
    <w:p w14:paraId="04D9EF2E" w14:textId="201436E6"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Specialty type: </w:t>
      </w:r>
      <w:r w:rsidRPr="008A3C82">
        <w:rPr>
          <w:rFonts w:ascii="Book Antiqua" w:eastAsia="Book Antiqua" w:hAnsi="Book Antiqua" w:cs="Book Antiqua"/>
          <w:color w:val="000000"/>
        </w:rPr>
        <w:t xml:space="preserve">Critical </w:t>
      </w:r>
      <w:r w:rsidR="00682C00" w:rsidRPr="008A3C82">
        <w:rPr>
          <w:rFonts w:ascii="Book Antiqua" w:eastAsia="Book Antiqua" w:hAnsi="Book Antiqua" w:cs="Book Antiqua"/>
          <w:color w:val="000000"/>
        </w:rPr>
        <w:t>care medicine</w:t>
      </w:r>
    </w:p>
    <w:p w14:paraId="37B96AD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Country/Territory of origin: </w:t>
      </w:r>
      <w:r w:rsidRPr="008A3C82">
        <w:rPr>
          <w:rFonts w:ascii="Book Antiqua" w:eastAsia="Book Antiqua" w:hAnsi="Book Antiqua" w:cs="Book Antiqua"/>
          <w:color w:val="000000"/>
        </w:rPr>
        <w:t>Netherlands</w:t>
      </w:r>
    </w:p>
    <w:p w14:paraId="5F4382C1"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Peer-review report’s scientific quality classification</w:t>
      </w:r>
    </w:p>
    <w:p w14:paraId="3BFC141C"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lastRenderedPageBreak/>
        <w:t>Grade A (Excellent): 0</w:t>
      </w:r>
    </w:p>
    <w:p w14:paraId="509C4286"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Grade B (Very good): B, B</w:t>
      </w:r>
    </w:p>
    <w:p w14:paraId="15B0EC0B"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Grade C (Good): 0</w:t>
      </w:r>
    </w:p>
    <w:p w14:paraId="3F5C21E9"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Grade D (Fair): 0</w:t>
      </w:r>
    </w:p>
    <w:p w14:paraId="4C8DBF29"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Grade E (Poor): 0</w:t>
      </w:r>
    </w:p>
    <w:p w14:paraId="74EB67BA" w14:textId="77777777" w:rsidR="00A77B3E" w:rsidRPr="008A3C82" w:rsidRDefault="00A77B3E" w:rsidP="008A3C82">
      <w:pPr>
        <w:snapToGrid w:val="0"/>
        <w:spacing w:line="360" w:lineRule="auto"/>
        <w:jc w:val="both"/>
        <w:rPr>
          <w:rFonts w:ascii="Book Antiqua" w:hAnsi="Book Antiqua"/>
        </w:rPr>
      </w:pPr>
    </w:p>
    <w:p w14:paraId="29B33E04" w14:textId="14DB9109" w:rsidR="00A47B38" w:rsidRPr="00A47B38" w:rsidRDefault="008C3419" w:rsidP="008A3C82">
      <w:pPr>
        <w:snapToGrid w:val="0"/>
        <w:spacing w:line="360" w:lineRule="auto"/>
        <w:jc w:val="both"/>
        <w:rPr>
          <w:rFonts w:ascii="Book Antiqua" w:hAnsi="Book Antiqua" w:cs="Book Antiqua"/>
          <w:b/>
          <w:color w:val="000000"/>
          <w:lang w:eastAsia="zh-CN"/>
        </w:rPr>
      </w:pPr>
      <w:r w:rsidRPr="008A3C82">
        <w:rPr>
          <w:rFonts w:ascii="Book Antiqua" w:eastAsia="Book Antiqua" w:hAnsi="Book Antiqua" w:cs="Book Antiqua"/>
          <w:b/>
          <w:color w:val="000000"/>
        </w:rPr>
        <w:t xml:space="preserve">P-Reviewer: </w:t>
      </w:r>
      <w:r w:rsidRPr="008A3C82">
        <w:rPr>
          <w:rFonts w:ascii="Book Antiqua" w:eastAsia="Book Antiqua" w:hAnsi="Book Antiqua" w:cs="Book Antiqua"/>
          <w:color w:val="000000"/>
        </w:rPr>
        <w:t>Abdel Razek AAK, Ciccone MM</w:t>
      </w:r>
      <w:r w:rsidRPr="008A3C82">
        <w:rPr>
          <w:rFonts w:ascii="Book Antiqua" w:eastAsia="Book Antiqua" w:hAnsi="Book Antiqua" w:cs="Book Antiqua"/>
          <w:b/>
          <w:color w:val="000000"/>
        </w:rPr>
        <w:t xml:space="preserve"> S-Editor: </w:t>
      </w:r>
      <w:r w:rsidR="00534946" w:rsidRPr="008A3C82">
        <w:rPr>
          <w:rFonts w:ascii="Book Antiqua" w:eastAsia="Book Antiqua" w:hAnsi="Book Antiqua" w:cs="Book Antiqua"/>
          <w:color w:val="000000"/>
        </w:rPr>
        <w:t>Zhang L</w:t>
      </w:r>
      <w:r w:rsidRPr="008A3C82">
        <w:rPr>
          <w:rFonts w:ascii="Book Antiqua" w:eastAsia="Book Antiqua" w:hAnsi="Book Antiqua" w:cs="Book Antiqua"/>
          <w:b/>
          <w:color w:val="000000"/>
        </w:rPr>
        <w:t xml:space="preserve"> L-Editor: </w:t>
      </w:r>
      <w:proofErr w:type="spellStart"/>
      <w:r w:rsidR="00CB63ED">
        <w:rPr>
          <w:rFonts w:ascii="Book Antiqua" w:eastAsia="Book Antiqua" w:hAnsi="Book Antiqua" w:cs="Book Antiqua"/>
          <w:bCs/>
          <w:color w:val="000000"/>
        </w:rPr>
        <w:t>Filipodia</w:t>
      </w:r>
      <w:proofErr w:type="spellEnd"/>
      <w:r w:rsidRPr="008A3C82">
        <w:rPr>
          <w:rFonts w:ascii="Book Antiqua" w:eastAsia="Book Antiqua" w:hAnsi="Book Antiqua" w:cs="Book Antiqua"/>
          <w:b/>
          <w:color w:val="000000"/>
        </w:rPr>
        <w:t xml:space="preserve"> P-Editor:</w:t>
      </w:r>
      <w:r w:rsidR="00A47B38">
        <w:rPr>
          <w:rFonts w:ascii="Book Antiqua" w:hAnsi="Book Antiqua" w:cs="Book Antiqua" w:hint="eastAsia"/>
          <w:b/>
          <w:color w:val="000000"/>
          <w:lang w:eastAsia="zh-CN"/>
        </w:rPr>
        <w:t xml:space="preserve"> </w:t>
      </w:r>
      <w:r w:rsidR="00A47B38" w:rsidRPr="00A47B38">
        <w:rPr>
          <w:rFonts w:ascii="Book Antiqua" w:hAnsi="Book Antiqua" w:cs="Book Antiqua" w:hint="eastAsia"/>
          <w:color w:val="000000"/>
          <w:lang w:eastAsia="zh-CN"/>
        </w:rPr>
        <w:t>Li JH</w:t>
      </w:r>
    </w:p>
    <w:p w14:paraId="05F730A0" w14:textId="5C5EF984" w:rsidR="00A77B3E" w:rsidRPr="008A3C82" w:rsidRDefault="008C3419" w:rsidP="008A3C82">
      <w:pPr>
        <w:snapToGrid w:val="0"/>
        <w:spacing w:line="360" w:lineRule="auto"/>
        <w:jc w:val="both"/>
        <w:rPr>
          <w:rFonts w:ascii="Book Antiqua" w:hAnsi="Book Antiqua"/>
        </w:rPr>
        <w:sectPr w:rsidR="00A77B3E" w:rsidRPr="008A3C82" w:rsidSect="00480091">
          <w:pgSz w:w="12240" w:h="15840"/>
          <w:pgMar w:top="1440" w:right="1800" w:bottom="1440" w:left="1800" w:header="720" w:footer="720" w:gutter="0"/>
          <w:cols w:space="720"/>
          <w:docGrid w:linePitch="360"/>
        </w:sectPr>
      </w:pPr>
      <w:r w:rsidRPr="008A3C82">
        <w:rPr>
          <w:rFonts w:ascii="Book Antiqua" w:eastAsia="Book Antiqua" w:hAnsi="Book Antiqua" w:cs="Book Antiqua"/>
          <w:b/>
          <w:color w:val="000000"/>
        </w:rPr>
        <w:t xml:space="preserve"> </w:t>
      </w:r>
    </w:p>
    <w:p w14:paraId="77112CE2"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lastRenderedPageBreak/>
        <w:t>Figure Legends</w:t>
      </w:r>
    </w:p>
    <w:p w14:paraId="68F3D43C" w14:textId="77777777" w:rsidR="00534946" w:rsidRPr="008A3C82" w:rsidRDefault="00534946" w:rsidP="008A3C82">
      <w:pPr>
        <w:snapToGrid w:val="0"/>
        <w:spacing w:line="360" w:lineRule="auto"/>
        <w:jc w:val="both"/>
        <w:rPr>
          <w:rFonts w:ascii="Book Antiqua" w:eastAsia="Book Antiqua" w:hAnsi="Book Antiqua" w:cs="Book Antiqua"/>
          <w:b/>
          <w:bCs/>
          <w:color w:val="000000"/>
        </w:rPr>
      </w:pPr>
      <w:r w:rsidRPr="008A3C82">
        <w:rPr>
          <w:rFonts w:ascii="Book Antiqua" w:eastAsia="Book Antiqua" w:hAnsi="Book Antiqua" w:cs="Book Antiqua"/>
          <w:b/>
          <w:bCs/>
          <w:noProof/>
          <w:color w:val="000000"/>
          <w:lang w:eastAsia="zh-CN"/>
        </w:rPr>
        <w:drawing>
          <wp:inline distT="0" distB="0" distL="0" distR="0" wp14:anchorId="783E0983" wp14:editId="77888B50">
            <wp:extent cx="2480807" cy="52033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206" cy="5233510"/>
                    </a:xfrm>
                    <a:prstGeom prst="rect">
                      <a:avLst/>
                    </a:prstGeom>
                  </pic:spPr>
                </pic:pic>
              </a:graphicData>
            </a:graphic>
          </wp:inline>
        </w:drawing>
      </w:r>
    </w:p>
    <w:p w14:paraId="6D21DEA1" w14:textId="72F972FE" w:rsidR="00A77B3E" w:rsidRPr="008A3C82" w:rsidRDefault="008C3419" w:rsidP="008A3C82">
      <w:pPr>
        <w:snapToGrid w:val="0"/>
        <w:spacing w:line="360" w:lineRule="auto"/>
        <w:jc w:val="both"/>
        <w:rPr>
          <w:rFonts w:ascii="Book Antiqua" w:hAnsi="Book Antiqua"/>
        </w:rPr>
      </w:pPr>
      <w:bookmarkStart w:id="57" w:name="OLE_LINK58"/>
      <w:bookmarkStart w:id="58" w:name="OLE_LINK59"/>
      <w:r w:rsidRPr="008A3C82">
        <w:rPr>
          <w:rFonts w:ascii="Book Antiqua" w:eastAsia="Book Antiqua" w:hAnsi="Book Antiqua" w:cs="Book Antiqua"/>
          <w:b/>
          <w:bCs/>
          <w:color w:val="000000"/>
        </w:rPr>
        <w:t xml:space="preserve">Figure 1 Comparison of electrocardiograms during the myasthenic crisis. </w:t>
      </w:r>
      <w:r w:rsidRPr="008A3C82">
        <w:rPr>
          <w:rFonts w:ascii="Book Antiqua" w:eastAsia="Book Antiqua" w:hAnsi="Book Antiqua" w:cs="Book Antiqua"/>
          <w:color w:val="000000"/>
        </w:rPr>
        <w:t>A: The electrocardiogram (ECG) was taken upon presentation in the emergency department and showed normal sinus rhythm, with no signs of pathology; B: The second ECG was taken at 4 h after presentation and showed ST-elevation in anterior leads (V1-V4) and lateral leads (I and aVL), with minimal reciprocal depressions in inferior leads (II and aVF) and new T-wave inversion in aVL; C: The third ECG was taken 1 d after presentation to the emergency department and showed evolving ST-elevations in anterior leads, with biphasic T-waves and new inverted T-waves in I, II, aVL and aVF.</w:t>
      </w:r>
    </w:p>
    <w:bookmarkEnd w:id="57"/>
    <w:bookmarkEnd w:id="58"/>
    <w:p w14:paraId="4766C8B7"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br w:type="page"/>
      </w:r>
      <w:r w:rsidRPr="008A3C82">
        <w:rPr>
          <w:rFonts w:ascii="Book Antiqua" w:hAnsi="Book Antiqua"/>
          <w:noProof/>
          <w:lang w:eastAsia="zh-CN"/>
        </w:rPr>
        <w:lastRenderedPageBreak/>
        <w:drawing>
          <wp:inline distT="0" distB="0" distL="0" distR="0" wp14:anchorId="37C7A834" wp14:editId="018CAD7C">
            <wp:extent cx="2955431" cy="5867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6708" cy="5869935"/>
                    </a:xfrm>
                    <a:prstGeom prst="rect">
                      <a:avLst/>
                    </a:prstGeom>
                  </pic:spPr>
                </pic:pic>
              </a:graphicData>
            </a:graphic>
          </wp:inline>
        </w:drawing>
      </w:r>
    </w:p>
    <w:p w14:paraId="4D2EE2A1"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Figure 2 Coronary angiography showed no significant coronary obstruction. </w:t>
      </w:r>
      <w:r w:rsidRPr="008A3C82">
        <w:rPr>
          <w:rFonts w:ascii="Book Antiqua" w:eastAsia="Book Antiqua" w:hAnsi="Book Antiqua" w:cs="Book Antiqua"/>
          <w:color w:val="000000"/>
        </w:rPr>
        <w:t>A: Left anterior descending artery; B: Right coronary artery.</w:t>
      </w:r>
    </w:p>
    <w:p w14:paraId="1AB925A3"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br w:type="page"/>
      </w:r>
      <w:r w:rsidRPr="008A3C82">
        <w:rPr>
          <w:rFonts w:ascii="Book Antiqua" w:hAnsi="Book Antiqua"/>
          <w:noProof/>
          <w:lang w:eastAsia="zh-CN"/>
        </w:rPr>
        <w:lastRenderedPageBreak/>
        <w:drawing>
          <wp:inline distT="0" distB="0" distL="0" distR="0" wp14:anchorId="0CE81251" wp14:editId="77E4D57E">
            <wp:extent cx="3856382" cy="28963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2343" cy="2900781"/>
                    </a:xfrm>
                    <a:prstGeom prst="rect">
                      <a:avLst/>
                    </a:prstGeom>
                  </pic:spPr>
                </pic:pic>
              </a:graphicData>
            </a:graphic>
          </wp:inline>
        </w:drawing>
      </w:r>
    </w:p>
    <w:p w14:paraId="4BE5AE5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Figure 3 Transthoracic echocardiography in four-chamber view.</w:t>
      </w:r>
      <w:r w:rsidRPr="008A3C82">
        <w:rPr>
          <w:rFonts w:ascii="Book Antiqua" w:eastAsia="Book Antiqua" w:hAnsi="Book Antiqua" w:cs="Book Antiqua"/>
          <w:color w:val="000000"/>
        </w:rPr>
        <w:t xml:space="preserve"> Apical to mid-ventricular segment ballooning was present at end-systole. Please note the endomyocardial board in end systolic contraction forming apical ballooning of the left ventricle, like a Japanese octopus trap (Takotsubo; see inset illustration), and normal right ventricle size.</w:t>
      </w:r>
    </w:p>
    <w:p w14:paraId="455D1392"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br w:type="page"/>
      </w:r>
      <w:r w:rsidRPr="008A3C82">
        <w:rPr>
          <w:rFonts w:ascii="Book Antiqua" w:hAnsi="Book Antiqua"/>
          <w:noProof/>
          <w:lang w:eastAsia="zh-CN"/>
        </w:rPr>
        <w:lastRenderedPageBreak/>
        <w:drawing>
          <wp:inline distT="0" distB="0" distL="0" distR="0" wp14:anchorId="07FAE0C9" wp14:editId="0A746FB4">
            <wp:extent cx="3697356" cy="2835923"/>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2719" cy="2840036"/>
                    </a:xfrm>
                    <a:prstGeom prst="rect">
                      <a:avLst/>
                    </a:prstGeom>
                  </pic:spPr>
                </pic:pic>
              </a:graphicData>
            </a:graphic>
          </wp:inline>
        </w:drawing>
      </w:r>
    </w:p>
    <w:p w14:paraId="1EC4A015" w14:textId="57EBA07C" w:rsidR="0036374F" w:rsidRDefault="008C3419" w:rsidP="008A3C82">
      <w:pPr>
        <w:snapToGrid w:val="0"/>
        <w:spacing w:line="360" w:lineRule="auto"/>
        <w:jc w:val="both"/>
        <w:rPr>
          <w:rFonts w:ascii="Book Antiqua" w:eastAsia="Book Antiqua" w:hAnsi="Book Antiqua" w:cs="Book Antiqua"/>
          <w:color w:val="000000"/>
        </w:rPr>
      </w:pPr>
      <w:r w:rsidRPr="008A3C82">
        <w:rPr>
          <w:rFonts w:ascii="Book Antiqua" w:eastAsia="Book Antiqua" w:hAnsi="Book Antiqua" w:cs="Book Antiqua"/>
          <w:b/>
          <w:bCs/>
          <w:color w:val="000000"/>
        </w:rPr>
        <w:t>Figure 4 Japanese octopus traps, also known as Takotsubo.</w:t>
      </w:r>
      <w:r w:rsidRPr="008A3C82">
        <w:rPr>
          <w:rFonts w:ascii="Book Antiqua" w:eastAsia="Book Antiqua" w:hAnsi="Book Antiqua" w:cs="Book Antiqua"/>
          <w:color w:val="000000"/>
        </w:rPr>
        <w:t xml:space="preserve"> The shape of </w:t>
      </w:r>
      <w:proofErr w:type="spellStart"/>
      <w:r w:rsidRPr="008A3C82">
        <w:rPr>
          <w:rFonts w:ascii="Book Antiqua" w:eastAsia="Book Antiqua" w:hAnsi="Book Antiqua" w:cs="Book Antiqua"/>
          <w:color w:val="000000"/>
        </w:rPr>
        <w:t>Takotsubo</w:t>
      </w:r>
      <w:proofErr w:type="spellEnd"/>
      <w:r w:rsidRPr="008A3C82">
        <w:rPr>
          <w:rFonts w:ascii="Book Antiqua" w:eastAsia="Book Antiqua" w:hAnsi="Book Antiqua" w:cs="Book Antiqua"/>
          <w:color w:val="000000"/>
        </w:rPr>
        <w:t xml:space="preserve"> resembles apical ballooning.</w:t>
      </w:r>
    </w:p>
    <w:p w14:paraId="05788812" w14:textId="77777777" w:rsidR="0036374F" w:rsidRDefault="0036374F">
      <w:pPr>
        <w:rPr>
          <w:rFonts w:ascii="Book Antiqua" w:eastAsia="Book Antiqua" w:hAnsi="Book Antiqua" w:cs="Book Antiqua"/>
          <w:color w:val="000000"/>
        </w:rPr>
      </w:pPr>
      <w:r>
        <w:rPr>
          <w:rFonts w:ascii="Book Antiqua" w:eastAsia="Book Antiqua" w:hAnsi="Book Antiqua" w:cs="Book Antiqua"/>
          <w:color w:val="000000"/>
        </w:rPr>
        <w:br w:type="page"/>
      </w:r>
    </w:p>
    <w:p w14:paraId="5C85C12D" w14:textId="77777777" w:rsidR="0036374F" w:rsidRDefault="0036374F" w:rsidP="0036374F">
      <w:pPr>
        <w:jc w:val="center"/>
        <w:rPr>
          <w:rFonts w:ascii="Book Antiqua" w:hAnsi="Book Antiqua"/>
          <w:lang w:eastAsia="zh-CN"/>
        </w:rPr>
      </w:pPr>
    </w:p>
    <w:p w14:paraId="1250BDF5" w14:textId="77777777" w:rsidR="0036374F" w:rsidRDefault="0036374F" w:rsidP="0036374F">
      <w:pPr>
        <w:jc w:val="center"/>
        <w:rPr>
          <w:rFonts w:ascii="Book Antiqua" w:hAnsi="Book Antiqua"/>
          <w:lang w:eastAsia="zh-CN"/>
        </w:rPr>
      </w:pPr>
    </w:p>
    <w:p w14:paraId="3E9414FB" w14:textId="77777777" w:rsidR="0036374F" w:rsidRDefault="0036374F" w:rsidP="0036374F">
      <w:pPr>
        <w:jc w:val="center"/>
        <w:rPr>
          <w:rFonts w:ascii="Book Antiqua" w:hAnsi="Book Antiqua"/>
          <w:lang w:eastAsia="zh-CN"/>
        </w:rPr>
      </w:pPr>
    </w:p>
    <w:p w14:paraId="51F5A4C5" w14:textId="77777777" w:rsidR="0036374F" w:rsidRDefault="0036374F" w:rsidP="0036374F">
      <w:pPr>
        <w:jc w:val="center"/>
        <w:rPr>
          <w:rFonts w:ascii="Book Antiqua" w:hAnsi="Book Antiqua"/>
          <w:lang w:eastAsia="zh-CN"/>
        </w:rPr>
      </w:pPr>
    </w:p>
    <w:p w14:paraId="57BEED43" w14:textId="77777777" w:rsidR="0036374F" w:rsidRDefault="0036374F" w:rsidP="0036374F">
      <w:pPr>
        <w:jc w:val="center"/>
        <w:rPr>
          <w:rFonts w:ascii="Book Antiqua" w:hAnsi="Book Antiqua"/>
          <w:lang w:eastAsia="zh-CN"/>
        </w:rPr>
      </w:pPr>
    </w:p>
    <w:p w14:paraId="52A0F90F" w14:textId="60317245" w:rsidR="0036374F" w:rsidRDefault="0036374F" w:rsidP="0036374F">
      <w:pPr>
        <w:jc w:val="center"/>
        <w:rPr>
          <w:rFonts w:ascii="Book Antiqua" w:hAnsi="Book Antiqua"/>
          <w:lang w:eastAsia="zh-CN"/>
        </w:rPr>
      </w:pPr>
      <w:r>
        <w:rPr>
          <w:rFonts w:ascii="Book Antiqua" w:hAnsi="Book Antiqua"/>
          <w:noProof/>
          <w:lang w:eastAsia="zh-CN"/>
        </w:rPr>
        <w:drawing>
          <wp:inline distT="0" distB="0" distL="0" distR="0" wp14:anchorId="1A910206" wp14:editId="482F7893">
            <wp:extent cx="2496185" cy="1438275"/>
            <wp:effectExtent l="0" t="0" r="0" b="952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6185" cy="1438275"/>
                    </a:xfrm>
                    <a:prstGeom prst="rect">
                      <a:avLst/>
                    </a:prstGeom>
                    <a:noFill/>
                    <a:ln>
                      <a:noFill/>
                    </a:ln>
                  </pic:spPr>
                </pic:pic>
              </a:graphicData>
            </a:graphic>
          </wp:inline>
        </w:drawing>
      </w:r>
    </w:p>
    <w:p w14:paraId="047F8680" w14:textId="77777777" w:rsidR="0036374F" w:rsidRDefault="0036374F" w:rsidP="0036374F">
      <w:pPr>
        <w:jc w:val="center"/>
        <w:rPr>
          <w:rFonts w:ascii="Book Antiqua" w:hAnsi="Book Antiqua"/>
          <w:lang w:eastAsia="zh-CN"/>
        </w:rPr>
      </w:pPr>
    </w:p>
    <w:p w14:paraId="2B578C02" w14:textId="77777777" w:rsidR="0036374F" w:rsidRDefault="0036374F" w:rsidP="0036374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8A2E258" w14:textId="77777777" w:rsidR="0036374F" w:rsidRDefault="0036374F" w:rsidP="0036374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BD23DF4" w14:textId="77777777" w:rsidR="0036374F" w:rsidRDefault="0036374F" w:rsidP="0036374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9FC0BC" w14:textId="77777777" w:rsidR="0036374F" w:rsidRDefault="0036374F" w:rsidP="0036374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AB1D951" w14:textId="77777777" w:rsidR="0036374F" w:rsidRDefault="0036374F" w:rsidP="0036374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3EADD48" w14:textId="77777777" w:rsidR="0036374F" w:rsidRDefault="0036374F" w:rsidP="0036374F">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437D95E" w14:textId="77777777" w:rsidR="0036374F" w:rsidRDefault="0036374F" w:rsidP="0036374F">
      <w:pPr>
        <w:jc w:val="center"/>
        <w:rPr>
          <w:rFonts w:ascii="Book Antiqua" w:hAnsi="Book Antiqua"/>
          <w:lang w:eastAsia="zh-CN"/>
        </w:rPr>
      </w:pPr>
    </w:p>
    <w:p w14:paraId="6D9AA631" w14:textId="77777777" w:rsidR="0036374F" w:rsidRDefault="0036374F" w:rsidP="0036374F">
      <w:pPr>
        <w:jc w:val="center"/>
        <w:rPr>
          <w:rFonts w:ascii="Book Antiqua" w:hAnsi="Book Antiqua"/>
          <w:lang w:eastAsia="zh-CN"/>
        </w:rPr>
      </w:pPr>
    </w:p>
    <w:p w14:paraId="60E684BC" w14:textId="77777777" w:rsidR="0036374F" w:rsidRDefault="0036374F" w:rsidP="0036374F">
      <w:pPr>
        <w:jc w:val="center"/>
        <w:rPr>
          <w:rFonts w:ascii="Book Antiqua" w:hAnsi="Book Antiqua"/>
          <w:lang w:eastAsia="zh-CN"/>
        </w:rPr>
      </w:pPr>
    </w:p>
    <w:p w14:paraId="067EFF89" w14:textId="55017C76" w:rsidR="0036374F" w:rsidRDefault="0036374F" w:rsidP="0036374F">
      <w:pPr>
        <w:jc w:val="center"/>
        <w:rPr>
          <w:rFonts w:ascii="Book Antiqua" w:hAnsi="Book Antiqua"/>
          <w:lang w:eastAsia="zh-CN"/>
        </w:rPr>
      </w:pPr>
      <w:r>
        <w:rPr>
          <w:rFonts w:ascii="Book Antiqua" w:hAnsi="Book Antiqua"/>
          <w:noProof/>
          <w:lang w:eastAsia="zh-CN"/>
        </w:rPr>
        <w:drawing>
          <wp:inline distT="0" distB="0" distL="0" distR="0" wp14:anchorId="48075647" wp14:editId="39C1A5C6">
            <wp:extent cx="1448435" cy="1438275"/>
            <wp:effectExtent l="0" t="0" r="0" b="952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38275"/>
                    </a:xfrm>
                    <a:prstGeom prst="rect">
                      <a:avLst/>
                    </a:prstGeom>
                    <a:noFill/>
                    <a:ln>
                      <a:noFill/>
                    </a:ln>
                  </pic:spPr>
                </pic:pic>
              </a:graphicData>
            </a:graphic>
          </wp:inline>
        </w:drawing>
      </w:r>
    </w:p>
    <w:p w14:paraId="511DD913" w14:textId="77777777" w:rsidR="0036374F" w:rsidRDefault="0036374F" w:rsidP="0036374F">
      <w:pPr>
        <w:jc w:val="center"/>
        <w:rPr>
          <w:rFonts w:ascii="Book Antiqua" w:hAnsi="Book Antiqua"/>
          <w:lang w:eastAsia="zh-CN"/>
        </w:rPr>
      </w:pPr>
    </w:p>
    <w:p w14:paraId="011D917C" w14:textId="77777777" w:rsidR="0036374F" w:rsidRDefault="0036374F" w:rsidP="0036374F">
      <w:pPr>
        <w:jc w:val="center"/>
        <w:rPr>
          <w:rFonts w:ascii="Book Antiqua" w:hAnsi="Book Antiqua"/>
          <w:lang w:eastAsia="zh-CN"/>
        </w:rPr>
      </w:pPr>
    </w:p>
    <w:p w14:paraId="666304E2" w14:textId="77777777" w:rsidR="0036374F" w:rsidRDefault="0036374F" w:rsidP="0036374F">
      <w:pPr>
        <w:jc w:val="center"/>
        <w:rPr>
          <w:rFonts w:ascii="Book Antiqua" w:hAnsi="Book Antiqua"/>
          <w:lang w:eastAsia="zh-CN"/>
        </w:rPr>
      </w:pPr>
    </w:p>
    <w:p w14:paraId="7FBF2CD6" w14:textId="77777777" w:rsidR="0036374F" w:rsidRDefault="0036374F" w:rsidP="0036374F">
      <w:pPr>
        <w:jc w:val="center"/>
        <w:rPr>
          <w:rFonts w:ascii="Book Antiqua" w:hAnsi="Book Antiqua"/>
          <w:lang w:eastAsia="zh-CN"/>
        </w:rPr>
      </w:pPr>
    </w:p>
    <w:p w14:paraId="64281822" w14:textId="77777777" w:rsidR="0036374F" w:rsidRDefault="0036374F" w:rsidP="0036374F">
      <w:pPr>
        <w:jc w:val="center"/>
        <w:rPr>
          <w:rFonts w:ascii="Book Antiqua" w:hAnsi="Book Antiqua"/>
          <w:lang w:eastAsia="zh-CN"/>
        </w:rPr>
      </w:pPr>
    </w:p>
    <w:p w14:paraId="7132BD12" w14:textId="77777777" w:rsidR="0036374F" w:rsidRDefault="0036374F" w:rsidP="0036374F">
      <w:pPr>
        <w:jc w:val="center"/>
        <w:rPr>
          <w:rFonts w:ascii="Book Antiqua" w:hAnsi="Book Antiqua"/>
          <w:lang w:eastAsia="zh-CN"/>
        </w:rPr>
      </w:pPr>
    </w:p>
    <w:p w14:paraId="428C4AE2" w14:textId="77777777" w:rsidR="0036374F" w:rsidRDefault="0036374F" w:rsidP="0036374F">
      <w:pPr>
        <w:jc w:val="center"/>
        <w:rPr>
          <w:rFonts w:ascii="Book Antiqua" w:hAnsi="Book Antiqua"/>
          <w:lang w:eastAsia="zh-CN"/>
        </w:rPr>
      </w:pPr>
    </w:p>
    <w:p w14:paraId="1B2196CC" w14:textId="77777777" w:rsidR="0036374F" w:rsidRDefault="0036374F" w:rsidP="0036374F">
      <w:pPr>
        <w:jc w:val="center"/>
        <w:rPr>
          <w:rFonts w:ascii="Book Antiqua" w:hAnsi="Book Antiqua"/>
          <w:lang w:eastAsia="zh-CN"/>
        </w:rPr>
      </w:pPr>
    </w:p>
    <w:p w14:paraId="72A2C9A7" w14:textId="77777777" w:rsidR="0036374F" w:rsidRDefault="0036374F" w:rsidP="0036374F">
      <w:pPr>
        <w:jc w:val="center"/>
        <w:rPr>
          <w:rFonts w:ascii="Book Antiqua" w:hAnsi="Book Antiqua"/>
          <w:lang w:eastAsia="zh-CN"/>
        </w:rPr>
      </w:pPr>
    </w:p>
    <w:p w14:paraId="6A1EF8B0" w14:textId="77777777" w:rsidR="0036374F" w:rsidRDefault="0036374F" w:rsidP="0036374F">
      <w:pPr>
        <w:jc w:val="right"/>
        <w:rPr>
          <w:rFonts w:ascii="Book Antiqua" w:hAnsi="Book Antiqua"/>
          <w:color w:val="000000" w:themeColor="text1"/>
          <w:lang w:eastAsia="zh-CN"/>
        </w:rPr>
      </w:pPr>
    </w:p>
    <w:p w14:paraId="41375CDE" w14:textId="77777777" w:rsidR="0036374F" w:rsidRDefault="0036374F" w:rsidP="0036374F">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1A87DB7" w14:textId="77777777" w:rsidR="00A77B3E" w:rsidRPr="008A3C82" w:rsidRDefault="00A77B3E" w:rsidP="008A3C82">
      <w:pPr>
        <w:snapToGrid w:val="0"/>
        <w:spacing w:line="360" w:lineRule="auto"/>
        <w:jc w:val="both"/>
        <w:rPr>
          <w:rFonts w:ascii="Book Antiqua" w:hAnsi="Book Antiqua"/>
        </w:rPr>
      </w:pPr>
      <w:bookmarkStart w:id="59" w:name="_GoBack"/>
      <w:bookmarkEnd w:id="59"/>
    </w:p>
    <w:sectPr w:rsidR="00A77B3E" w:rsidRPr="008A3C82" w:rsidSect="0048009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8F26A" w14:textId="77777777" w:rsidR="0033601C" w:rsidRDefault="0033601C" w:rsidP="008A3C82">
      <w:r>
        <w:separator/>
      </w:r>
    </w:p>
  </w:endnote>
  <w:endnote w:type="continuationSeparator" w:id="0">
    <w:p w14:paraId="22A353CF" w14:textId="77777777" w:rsidR="0033601C" w:rsidRDefault="0033601C" w:rsidP="008A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35050270"/>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361B998" w14:textId="77777777" w:rsidR="008A3C82" w:rsidRPr="00E059F8" w:rsidRDefault="008A3C82">
            <w:pPr>
              <w:pStyle w:val="a4"/>
              <w:jc w:val="right"/>
              <w:rPr>
                <w:rFonts w:ascii="Book Antiqua" w:hAnsi="Book Antiqua"/>
                <w:sz w:val="24"/>
                <w:szCs w:val="24"/>
              </w:rPr>
            </w:pPr>
            <w:r w:rsidRPr="00E059F8">
              <w:rPr>
                <w:rFonts w:ascii="Book Antiqua" w:hAnsi="Book Antiqua"/>
                <w:sz w:val="24"/>
                <w:szCs w:val="24"/>
                <w:lang w:val="zh-CN" w:eastAsia="zh-CN"/>
              </w:rPr>
              <w:t xml:space="preserve"> </w:t>
            </w:r>
            <w:r w:rsidRPr="00E059F8">
              <w:rPr>
                <w:rFonts w:ascii="Book Antiqua" w:hAnsi="Book Antiqua"/>
                <w:sz w:val="24"/>
                <w:szCs w:val="24"/>
              </w:rPr>
              <w:fldChar w:fldCharType="begin"/>
            </w:r>
            <w:r w:rsidRPr="00E059F8">
              <w:rPr>
                <w:rFonts w:ascii="Book Antiqua" w:hAnsi="Book Antiqua"/>
                <w:sz w:val="24"/>
                <w:szCs w:val="24"/>
              </w:rPr>
              <w:instrText>PAGE</w:instrText>
            </w:r>
            <w:r w:rsidRPr="00E059F8">
              <w:rPr>
                <w:rFonts w:ascii="Book Antiqua" w:hAnsi="Book Antiqua"/>
                <w:sz w:val="24"/>
                <w:szCs w:val="24"/>
              </w:rPr>
              <w:fldChar w:fldCharType="separate"/>
            </w:r>
            <w:r w:rsidR="0036374F">
              <w:rPr>
                <w:rFonts w:ascii="Book Antiqua" w:hAnsi="Book Antiqua"/>
                <w:noProof/>
                <w:sz w:val="24"/>
                <w:szCs w:val="24"/>
              </w:rPr>
              <w:t>20</w:t>
            </w:r>
            <w:r w:rsidRPr="00E059F8">
              <w:rPr>
                <w:rFonts w:ascii="Book Antiqua" w:hAnsi="Book Antiqua"/>
                <w:sz w:val="24"/>
                <w:szCs w:val="24"/>
              </w:rPr>
              <w:fldChar w:fldCharType="end"/>
            </w:r>
            <w:r w:rsidRPr="00E059F8">
              <w:rPr>
                <w:rFonts w:ascii="Book Antiqua" w:hAnsi="Book Antiqua"/>
                <w:sz w:val="24"/>
                <w:szCs w:val="24"/>
                <w:lang w:val="zh-CN" w:eastAsia="zh-CN"/>
              </w:rPr>
              <w:t xml:space="preserve"> / </w:t>
            </w:r>
            <w:r w:rsidRPr="00E059F8">
              <w:rPr>
                <w:rFonts w:ascii="Book Antiqua" w:hAnsi="Book Antiqua"/>
                <w:sz w:val="24"/>
                <w:szCs w:val="24"/>
              </w:rPr>
              <w:fldChar w:fldCharType="begin"/>
            </w:r>
            <w:r w:rsidRPr="00E059F8">
              <w:rPr>
                <w:rFonts w:ascii="Book Antiqua" w:hAnsi="Book Antiqua"/>
                <w:sz w:val="24"/>
                <w:szCs w:val="24"/>
              </w:rPr>
              <w:instrText>NUMPAGES</w:instrText>
            </w:r>
            <w:r w:rsidRPr="00E059F8">
              <w:rPr>
                <w:rFonts w:ascii="Book Antiqua" w:hAnsi="Book Antiqua"/>
                <w:sz w:val="24"/>
                <w:szCs w:val="24"/>
              </w:rPr>
              <w:fldChar w:fldCharType="separate"/>
            </w:r>
            <w:r w:rsidR="0036374F">
              <w:rPr>
                <w:rFonts w:ascii="Book Antiqua" w:hAnsi="Book Antiqua"/>
                <w:noProof/>
                <w:sz w:val="24"/>
                <w:szCs w:val="24"/>
              </w:rPr>
              <w:t>20</w:t>
            </w:r>
            <w:r w:rsidRPr="00E059F8">
              <w:rPr>
                <w:rFonts w:ascii="Book Antiqua" w:hAnsi="Book Antiqua"/>
                <w:sz w:val="24"/>
                <w:szCs w:val="24"/>
              </w:rPr>
              <w:fldChar w:fldCharType="end"/>
            </w:r>
          </w:p>
        </w:sdtContent>
      </w:sdt>
    </w:sdtContent>
  </w:sdt>
  <w:p w14:paraId="7719D11C" w14:textId="77777777" w:rsidR="008A3C82" w:rsidRDefault="008A3C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B8C0F" w14:textId="77777777" w:rsidR="0033601C" w:rsidRDefault="0033601C" w:rsidP="008A3C82">
      <w:r>
        <w:separator/>
      </w:r>
    </w:p>
  </w:footnote>
  <w:footnote w:type="continuationSeparator" w:id="0">
    <w:p w14:paraId="329641AB" w14:textId="77777777" w:rsidR="0033601C" w:rsidRDefault="0033601C" w:rsidP="008A3C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A76"/>
    <w:rsid w:val="0002516F"/>
    <w:rsid w:val="00047152"/>
    <w:rsid w:val="00072B31"/>
    <w:rsid w:val="000C67EC"/>
    <w:rsid w:val="00124AAC"/>
    <w:rsid w:val="001375A1"/>
    <w:rsid w:val="00176D4C"/>
    <w:rsid w:val="001C3690"/>
    <w:rsid w:val="001C6164"/>
    <w:rsid w:val="001D6F1D"/>
    <w:rsid w:val="00205D19"/>
    <w:rsid w:val="002319FD"/>
    <w:rsid w:val="00256189"/>
    <w:rsid w:val="002C5579"/>
    <w:rsid w:val="002D3344"/>
    <w:rsid w:val="00307FED"/>
    <w:rsid w:val="0033601C"/>
    <w:rsid w:val="0036374F"/>
    <w:rsid w:val="00377A76"/>
    <w:rsid w:val="00406903"/>
    <w:rsid w:val="00425837"/>
    <w:rsid w:val="0043730E"/>
    <w:rsid w:val="0045133D"/>
    <w:rsid w:val="00455582"/>
    <w:rsid w:val="00480091"/>
    <w:rsid w:val="00482F98"/>
    <w:rsid w:val="004E79BD"/>
    <w:rsid w:val="004F0DB0"/>
    <w:rsid w:val="00533A4D"/>
    <w:rsid w:val="00534946"/>
    <w:rsid w:val="005507C4"/>
    <w:rsid w:val="005E6EBD"/>
    <w:rsid w:val="00614C4B"/>
    <w:rsid w:val="00663AB2"/>
    <w:rsid w:val="00682C00"/>
    <w:rsid w:val="00710704"/>
    <w:rsid w:val="00790A8F"/>
    <w:rsid w:val="007C0DDE"/>
    <w:rsid w:val="007D1997"/>
    <w:rsid w:val="00822944"/>
    <w:rsid w:val="00827ED1"/>
    <w:rsid w:val="008A3C82"/>
    <w:rsid w:val="008C035E"/>
    <w:rsid w:val="008C3419"/>
    <w:rsid w:val="00941C6A"/>
    <w:rsid w:val="00985F3B"/>
    <w:rsid w:val="00993154"/>
    <w:rsid w:val="009B0415"/>
    <w:rsid w:val="00A368BD"/>
    <w:rsid w:val="00A4613C"/>
    <w:rsid w:val="00A47B38"/>
    <w:rsid w:val="00A77B3E"/>
    <w:rsid w:val="00A97A85"/>
    <w:rsid w:val="00B06A13"/>
    <w:rsid w:val="00B35795"/>
    <w:rsid w:val="00B65B12"/>
    <w:rsid w:val="00B91BD5"/>
    <w:rsid w:val="00C6525A"/>
    <w:rsid w:val="00C77AEC"/>
    <w:rsid w:val="00CA2A55"/>
    <w:rsid w:val="00CB63ED"/>
    <w:rsid w:val="00CF6067"/>
    <w:rsid w:val="00D01B47"/>
    <w:rsid w:val="00D13B5C"/>
    <w:rsid w:val="00DB3B55"/>
    <w:rsid w:val="00DF0374"/>
    <w:rsid w:val="00E059F8"/>
    <w:rsid w:val="00F055F1"/>
    <w:rsid w:val="00F82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436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3C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3C82"/>
    <w:rPr>
      <w:sz w:val="18"/>
      <w:szCs w:val="18"/>
    </w:rPr>
  </w:style>
  <w:style w:type="paragraph" w:styleId="a4">
    <w:name w:val="footer"/>
    <w:basedOn w:val="a"/>
    <w:link w:val="Char0"/>
    <w:uiPriority w:val="99"/>
    <w:unhideWhenUsed/>
    <w:rsid w:val="008A3C82"/>
    <w:pPr>
      <w:tabs>
        <w:tab w:val="center" w:pos="4153"/>
        <w:tab w:val="right" w:pos="8306"/>
      </w:tabs>
      <w:snapToGrid w:val="0"/>
    </w:pPr>
    <w:rPr>
      <w:sz w:val="18"/>
      <w:szCs w:val="18"/>
    </w:rPr>
  </w:style>
  <w:style w:type="character" w:customStyle="1" w:styleId="Char0">
    <w:name w:val="页脚 Char"/>
    <w:basedOn w:val="a0"/>
    <w:link w:val="a4"/>
    <w:uiPriority w:val="99"/>
    <w:rsid w:val="008A3C82"/>
    <w:rPr>
      <w:sz w:val="18"/>
      <w:szCs w:val="18"/>
    </w:rPr>
  </w:style>
  <w:style w:type="character" w:styleId="a5">
    <w:name w:val="annotation reference"/>
    <w:basedOn w:val="a0"/>
    <w:semiHidden/>
    <w:unhideWhenUsed/>
    <w:rsid w:val="00307FED"/>
    <w:rPr>
      <w:sz w:val="21"/>
      <w:szCs w:val="21"/>
    </w:rPr>
  </w:style>
  <w:style w:type="paragraph" w:styleId="a6">
    <w:name w:val="annotation text"/>
    <w:basedOn w:val="a"/>
    <w:link w:val="Char1"/>
    <w:semiHidden/>
    <w:unhideWhenUsed/>
    <w:rsid w:val="00307FED"/>
  </w:style>
  <w:style w:type="character" w:customStyle="1" w:styleId="Char1">
    <w:name w:val="批注文字 Char"/>
    <w:basedOn w:val="a0"/>
    <w:link w:val="a6"/>
    <w:semiHidden/>
    <w:rsid w:val="00307FED"/>
    <w:rPr>
      <w:sz w:val="24"/>
      <w:szCs w:val="24"/>
    </w:rPr>
  </w:style>
  <w:style w:type="paragraph" w:styleId="a7">
    <w:name w:val="annotation subject"/>
    <w:basedOn w:val="a6"/>
    <w:next w:val="a6"/>
    <w:link w:val="Char2"/>
    <w:semiHidden/>
    <w:unhideWhenUsed/>
    <w:rsid w:val="00307FED"/>
    <w:rPr>
      <w:b/>
      <w:bCs/>
    </w:rPr>
  </w:style>
  <w:style w:type="character" w:customStyle="1" w:styleId="Char2">
    <w:name w:val="批注主题 Char"/>
    <w:basedOn w:val="Char1"/>
    <w:link w:val="a7"/>
    <w:semiHidden/>
    <w:rsid w:val="00307FED"/>
    <w:rPr>
      <w:b/>
      <w:bCs/>
      <w:sz w:val="24"/>
      <w:szCs w:val="24"/>
    </w:rPr>
  </w:style>
  <w:style w:type="paragraph" w:styleId="a8">
    <w:name w:val="Balloon Text"/>
    <w:basedOn w:val="a"/>
    <w:link w:val="Char3"/>
    <w:semiHidden/>
    <w:unhideWhenUsed/>
    <w:rsid w:val="00307FED"/>
    <w:rPr>
      <w:sz w:val="18"/>
      <w:szCs w:val="18"/>
    </w:rPr>
  </w:style>
  <w:style w:type="character" w:customStyle="1" w:styleId="Char3">
    <w:name w:val="批注框文本 Char"/>
    <w:basedOn w:val="a0"/>
    <w:link w:val="a8"/>
    <w:semiHidden/>
    <w:rsid w:val="00307FE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3C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3C82"/>
    <w:rPr>
      <w:sz w:val="18"/>
      <w:szCs w:val="18"/>
    </w:rPr>
  </w:style>
  <w:style w:type="paragraph" w:styleId="a4">
    <w:name w:val="footer"/>
    <w:basedOn w:val="a"/>
    <w:link w:val="Char0"/>
    <w:uiPriority w:val="99"/>
    <w:unhideWhenUsed/>
    <w:rsid w:val="008A3C82"/>
    <w:pPr>
      <w:tabs>
        <w:tab w:val="center" w:pos="4153"/>
        <w:tab w:val="right" w:pos="8306"/>
      </w:tabs>
      <w:snapToGrid w:val="0"/>
    </w:pPr>
    <w:rPr>
      <w:sz w:val="18"/>
      <w:szCs w:val="18"/>
    </w:rPr>
  </w:style>
  <w:style w:type="character" w:customStyle="1" w:styleId="Char0">
    <w:name w:val="页脚 Char"/>
    <w:basedOn w:val="a0"/>
    <w:link w:val="a4"/>
    <w:uiPriority w:val="99"/>
    <w:rsid w:val="008A3C82"/>
    <w:rPr>
      <w:sz w:val="18"/>
      <w:szCs w:val="18"/>
    </w:rPr>
  </w:style>
  <w:style w:type="character" w:styleId="a5">
    <w:name w:val="annotation reference"/>
    <w:basedOn w:val="a0"/>
    <w:semiHidden/>
    <w:unhideWhenUsed/>
    <w:rsid w:val="00307FED"/>
    <w:rPr>
      <w:sz w:val="21"/>
      <w:szCs w:val="21"/>
    </w:rPr>
  </w:style>
  <w:style w:type="paragraph" w:styleId="a6">
    <w:name w:val="annotation text"/>
    <w:basedOn w:val="a"/>
    <w:link w:val="Char1"/>
    <w:semiHidden/>
    <w:unhideWhenUsed/>
    <w:rsid w:val="00307FED"/>
  </w:style>
  <w:style w:type="character" w:customStyle="1" w:styleId="Char1">
    <w:name w:val="批注文字 Char"/>
    <w:basedOn w:val="a0"/>
    <w:link w:val="a6"/>
    <w:semiHidden/>
    <w:rsid w:val="00307FED"/>
    <w:rPr>
      <w:sz w:val="24"/>
      <w:szCs w:val="24"/>
    </w:rPr>
  </w:style>
  <w:style w:type="paragraph" w:styleId="a7">
    <w:name w:val="annotation subject"/>
    <w:basedOn w:val="a6"/>
    <w:next w:val="a6"/>
    <w:link w:val="Char2"/>
    <w:semiHidden/>
    <w:unhideWhenUsed/>
    <w:rsid w:val="00307FED"/>
    <w:rPr>
      <w:b/>
      <w:bCs/>
    </w:rPr>
  </w:style>
  <w:style w:type="character" w:customStyle="1" w:styleId="Char2">
    <w:name w:val="批注主题 Char"/>
    <w:basedOn w:val="Char1"/>
    <w:link w:val="a7"/>
    <w:semiHidden/>
    <w:rsid w:val="00307FED"/>
    <w:rPr>
      <w:b/>
      <w:bCs/>
      <w:sz w:val="24"/>
      <w:szCs w:val="24"/>
    </w:rPr>
  </w:style>
  <w:style w:type="paragraph" w:styleId="a8">
    <w:name w:val="Balloon Text"/>
    <w:basedOn w:val="a"/>
    <w:link w:val="Char3"/>
    <w:semiHidden/>
    <w:unhideWhenUsed/>
    <w:rsid w:val="00307FED"/>
    <w:rPr>
      <w:sz w:val="18"/>
      <w:szCs w:val="18"/>
    </w:rPr>
  </w:style>
  <w:style w:type="character" w:customStyle="1" w:styleId="Char3">
    <w:name w:val="批注框文本 Char"/>
    <w:basedOn w:val="a0"/>
    <w:link w:val="a8"/>
    <w:semiHidden/>
    <w:rsid w:val="00307F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276954">
      <w:bodyDiv w:val="1"/>
      <w:marLeft w:val="0"/>
      <w:marRight w:val="0"/>
      <w:marTop w:val="0"/>
      <w:marBottom w:val="0"/>
      <w:divBdr>
        <w:top w:val="none" w:sz="0" w:space="0" w:color="auto"/>
        <w:left w:val="none" w:sz="0" w:space="0" w:color="auto"/>
        <w:bottom w:val="none" w:sz="0" w:space="0" w:color="auto"/>
        <w:right w:val="none" w:sz="0" w:space="0" w:color="auto"/>
      </w:divBdr>
    </w:div>
    <w:div w:id="664088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20</Pages>
  <Words>3263</Words>
  <Characters>18603</Characters>
  <Application>Microsoft Office Word</Application>
  <DocSecurity>0</DocSecurity>
  <Lines>155</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Akin</dc:creator>
  <cp:lastModifiedBy>lijiahui</cp:lastModifiedBy>
  <cp:revision>19</cp:revision>
  <dcterms:created xsi:type="dcterms:W3CDTF">2020-12-28T04:18:00Z</dcterms:created>
  <dcterms:modified xsi:type="dcterms:W3CDTF">2021-01-15T06:53:00Z</dcterms:modified>
</cp:coreProperties>
</file>