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B417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Name of Journal: </w:t>
      </w:r>
      <w:r w:rsidRPr="004720B6">
        <w:rPr>
          <w:rFonts w:ascii="Book Antiqua" w:eastAsia="Book Antiqua" w:hAnsi="Book Antiqua" w:cs="Book Antiqua"/>
          <w:i/>
          <w:color w:val="000000"/>
        </w:rPr>
        <w:t>World Journal of Clinical Cases</w:t>
      </w:r>
    </w:p>
    <w:p w14:paraId="1B0B439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NO: </w:t>
      </w:r>
      <w:r w:rsidRPr="004720B6">
        <w:rPr>
          <w:rFonts w:ascii="Book Antiqua" w:eastAsia="Book Antiqua" w:hAnsi="Book Antiqua" w:cs="Book Antiqua"/>
          <w:color w:val="000000"/>
        </w:rPr>
        <w:t>59029</w:t>
      </w:r>
    </w:p>
    <w:p w14:paraId="1A2D4ED4"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Type: </w:t>
      </w:r>
      <w:r w:rsidRPr="004720B6">
        <w:rPr>
          <w:rFonts w:ascii="Book Antiqua" w:eastAsia="Book Antiqua" w:hAnsi="Book Antiqua" w:cs="Book Antiqua"/>
          <w:color w:val="000000"/>
        </w:rPr>
        <w:t>CASE REPORT</w:t>
      </w:r>
    </w:p>
    <w:p w14:paraId="5735D35C" w14:textId="77777777" w:rsidR="00A77B3E" w:rsidRPr="004720B6" w:rsidRDefault="00A77B3E" w:rsidP="004720B6">
      <w:pPr>
        <w:snapToGrid w:val="0"/>
        <w:spacing w:line="360" w:lineRule="auto"/>
        <w:jc w:val="both"/>
        <w:rPr>
          <w:rFonts w:ascii="Book Antiqua" w:hAnsi="Book Antiqua"/>
        </w:rPr>
      </w:pPr>
    </w:p>
    <w:p w14:paraId="46FA610A" w14:textId="77777777" w:rsidR="00A77B3E" w:rsidRPr="004720B6" w:rsidRDefault="008375B4" w:rsidP="004720B6">
      <w:pPr>
        <w:snapToGrid w:val="0"/>
        <w:spacing w:line="360" w:lineRule="auto"/>
        <w:jc w:val="both"/>
        <w:rPr>
          <w:rFonts w:ascii="Book Antiqua" w:hAnsi="Book Antiqua"/>
        </w:rPr>
      </w:pPr>
      <w:bookmarkStart w:id="0" w:name="OLE_LINK59"/>
      <w:r w:rsidRPr="004720B6">
        <w:rPr>
          <w:rFonts w:ascii="Book Antiqua" w:eastAsia="Book Antiqua" w:hAnsi="Book Antiqua" w:cs="Book Antiqua"/>
          <w:b/>
          <w:bCs/>
          <w:color w:val="000000"/>
        </w:rPr>
        <w:t>Unresectable esophageal cancer treated with multiple chemotherapies in combination with chemoradiotherapy: A case report</w:t>
      </w:r>
    </w:p>
    <w:bookmarkEnd w:id="0"/>
    <w:p w14:paraId="0E6996B3" w14:textId="77777777" w:rsidR="00A77B3E" w:rsidRPr="004720B6" w:rsidRDefault="00A77B3E" w:rsidP="004720B6">
      <w:pPr>
        <w:snapToGrid w:val="0"/>
        <w:spacing w:line="360" w:lineRule="auto"/>
        <w:jc w:val="both"/>
        <w:rPr>
          <w:rFonts w:ascii="Book Antiqua" w:hAnsi="Book Antiqua"/>
        </w:rPr>
      </w:pPr>
    </w:p>
    <w:p w14:paraId="03C7113F" w14:textId="3C438D6B" w:rsidR="00A77B3E" w:rsidRPr="004720B6" w:rsidRDefault="00154456"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Yura M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rPr>
        <w:t xml:space="preserve">. </w:t>
      </w:r>
      <w:bookmarkStart w:id="1" w:name="OLE_LINK1"/>
      <w:bookmarkStart w:id="2" w:name="OLE_LINK2"/>
      <w:bookmarkStart w:id="3" w:name="OLE_LINK5"/>
      <w:bookmarkStart w:id="4" w:name="OLE_LINK6"/>
      <w:r w:rsidR="00081803" w:rsidRPr="004720B6">
        <w:rPr>
          <w:rFonts w:ascii="Book Antiqua" w:eastAsia="Book Antiqua" w:hAnsi="Book Antiqua" w:cs="Book Antiqua"/>
          <w:color w:val="000000"/>
        </w:rPr>
        <w:t xml:space="preserve">Unresectable </w:t>
      </w:r>
      <w:r w:rsidR="008375B4" w:rsidRPr="004720B6">
        <w:rPr>
          <w:rFonts w:ascii="Book Antiqua" w:eastAsia="Book Antiqua" w:hAnsi="Book Antiqua" w:cs="Book Antiqua"/>
          <w:color w:val="000000"/>
        </w:rPr>
        <w:t>ESCC treated by combination of chemotherapy and dCRT</w:t>
      </w:r>
      <w:bookmarkEnd w:id="1"/>
      <w:bookmarkEnd w:id="2"/>
    </w:p>
    <w:bookmarkEnd w:id="3"/>
    <w:bookmarkEnd w:id="4"/>
    <w:p w14:paraId="06ED448E" w14:textId="77777777" w:rsidR="00A77B3E" w:rsidRPr="004720B6" w:rsidRDefault="00A77B3E" w:rsidP="004720B6">
      <w:pPr>
        <w:snapToGrid w:val="0"/>
        <w:spacing w:line="360" w:lineRule="auto"/>
        <w:jc w:val="both"/>
        <w:rPr>
          <w:rFonts w:ascii="Book Antiqua" w:hAnsi="Book Antiqua"/>
        </w:rPr>
      </w:pPr>
    </w:p>
    <w:p w14:paraId="576BA49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Masahiro Yura, Kazuo Koyanagi, Asuka Hara, Keita Hayashi, Yuki Tajima, Yasushi Kaneko, Hiroto Fujisaki, Akira Hirata, Kiminori Takano, Kumiko Hongo, Kikuo Yo, Kimiyasu Yoneyama, Yoshifumi Tamai, Reiko Dehari, Motohito Nakagawa</w:t>
      </w:r>
    </w:p>
    <w:p w14:paraId="57955C97" w14:textId="77777777" w:rsidR="00A77B3E" w:rsidRPr="004720B6" w:rsidRDefault="00A77B3E" w:rsidP="004720B6">
      <w:pPr>
        <w:snapToGrid w:val="0"/>
        <w:spacing w:line="360" w:lineRule="auto"/>
        <w:jc w:val="both"/>
        <w:rPr>
          <w:rFonts w:ascii="Book Antiqua" w:hAnsi="Book Antiqua"/>
        </w:rPr>
      </w:pPr>
    </w:p>
    <w:p w14:paraId="180DE7BF"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Masahiro Yura, Asuka Hara, Keita Hayashi, Yuki Tajima, Yasushi Kaneko, Hiroto Fujisaki, Akira Hirata, Kiminori Takano, Kumiko Hongo, Kikuo Yo, Kimiyasu Yoneyama, Motohito Nakagawa, </w:t>
      </w:r>
      <w:r w:rsidRPr="004720B6">
        <w:rPr>
          <w:rFonts w:ascii="Book Antiqua" w:eastAsia="Book Antiqua" w:hAnsi="Book Antiqua" w:cs="Book Antiqua"/>
          <w:color w:val="000000"/>
        </w:rPr>
        <w:t>Department of Surgery, Hiratsuka City Hospital, Kanagawa 2540065, Japan</w:t>
      </w:r>
    </w:p>
    <w:p w14:paraId="68804A86" w14:textId="77777777" w:rsidR="00A77B3E" w:rsidRPr="004720B6" w:rsidRDefault="00A77B3E" w:rsidP="004720B6">
      <w:pPr>
        <w:snapToGrid w:val="0"/>
        <w:spacing w:line="360" w:lineRule="auto"/>
        <w:jc w:val="both"/>
        <w:rPr>
          <w:rFonts w:ascii="Book Antiqua" w:hAnsi="Book Antiqua"/>
        </w:rPr>
      </w:pPr>
    </w:p>
    <w:p w14:paraId="1CB7E31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Kazuo Koyanagi, </w:t>
      </w:r>
      <w:r w:rsidRPr="004720B6">
        <w:rPr>
          <w:rFonts w:ascii="Book Antiqua" w:eastAsia="Book Antiqua" w:hAnsi="Book Antiqua" w:cs="Book Antiqua"/>
          <w:color w:val="000000"/>
        </w:rPr>
        <w:t>Department of Gastroenterological Surgery, Tokai University School of Medicine, Isehara 2591193, Japan</w:t>
      </w:r>
    </w:p>
    <w:p w14:paraId="55902FEA" w14:textId="77777777" w:rsidR="00A77B3E" w:rsidRPr="004720B6" w:rsidRDefault="00A77B3E" w:rsidP="004720B6">
      <w:pPr>
        <w:snapToGrid w:val="0"/>
        <w:spacing w:line="360" w:lineRule="auto"/>
        <w:jc w:val="both"/>
        <w:rPr>
          <w:rFonts w:ascii="Book Antiqua" w:hAnsi="Book Antiqua"/>
        </w:rPr>
      </w:pPr>
    </w:p>
    <w:p w14:paraId="178B0B3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Yoshifumi Tamai, </w:t>
      </w:r>
      <w:r w:rsidRPr="004720B6">
        <w:rPr>
          <w:rFonts w:ascii="Book Antiqua" w:eastAsia="Book Antiqua" w:hAnsi="Book Antiqua" w:cs="Book Antiqua"/>
          <w:color w:val="000000"/>
        </w:rPr>
        <w:t>Department of Radiology, Hiratsuka City Hospital, Kanagawa 2540065, Japan</w:t>
      </w:r>
    </w:p>
    <w:p w14:paraId="4C38E87C" w14:textId="77777777" w:rsidR="00A77B3E" w:rsidRPr="004720B6" w:rsidRDefault="00A77B3E" w:rsidP="004720B6">
      <w:pPr>
        <w:snapToGrid w:val="0"/>
        <w:spacing w:line="360" w:lineRule="auto"/>
        <w:jc w:val="both"/>
        <w:rPr>
          <w:rFonts w:ascii="Book Antiqua" w:hAnsi="Book Antiqua"/>
        </w:rPr>
      </w:pPr>
    </w:p>
    <w:p w14:paraId="3E3BB1C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Reiko Dehari, </w:t>
      </w:r>
      <w:r w:rsidRPr="004720B6">
        <w:rPr>
          <w:rFonts w:ascii="Book Antiqua" w:eastAsia="Book Antiqua" w:hAnsi="Book Antiqua" w:cs="Book Antiqua"/>
          <w:color w:val="000000"/>
        </w:rPr>
        <w:t>Department of Surgical Pathology, Hiratsuka City Hospital, Kanagawa 2540065, Japan</w:t>
      </w:r>
    </w:p>
    <w:p w14:paraId="6C0AFCA0" w14:textId="77777777" w:rsidR="00154456" w:rsidRPr="004720B6" w:rsidRDefault="00154456" w:rsidP="004720B6">
      <w:pPr>
        <w:snapToGrid w:val="0"/>
        <w:spacing w:line="360" w:lineRule="auto"/>
        <w:ind w:hanging="10"/>
        <w:jc w:val="both"/>
        <w:rPr>
          <w:rFonts w:ascii="Book Antiqua" w:hAnsi="Book Antiqua"/>
        </w:rPr>
      </w:pPr>
    </w:p>
    <w:p w14:paraId="60659B8A" w14:textId="70C1BBAE" w:rsidR="00A77B3E" w:rsidRPr="004720B6" w:rsidRDefault="008375B4" w:rsidP="004720B6">
      <w:pPr>
        <w:snapToGrid w:val="0"/>
        <w:spacing w:line="360" w:lineRule="auto"/>
        <w:ind w:hanging="10"/>
        <w:jc w:val="both"/>
        <w:rPr>
          <w:rFonts w:ascii="Book Antiqua" w:hAnsi="Book Antiqua"/>
        </w:rPr>
      </w:pPr>
      <w:r w:rsidRPr="004720B6">
        <w:rPr>
          <w:rFonts w:ascii="Book Antiqua" w:eastAsia="Book Antiqua" w:hAnsi="Book Antiqua" w:cs="Book Antiqua"/>
          <w:b/>
          <w:bCs/>
          <w:color w:val="000000"/>
        </w:rPr>
        <w:lastRenderedPageBreak/>
        <w:t xml:space="preserve">Author contributions: </w:t>
      </w:r>
      <w:r w:rsidR="00154456" w:rsidRPr="004720B6">
        <w:rPr>
          <w:rFonts w:ascii="Book Antiqua" w:eastAsia="Book Antiqua" w:hAnsi="Book Antiqua" w:cs="Book Antiqua"/>
          <w:color w:val="000000"/>
        </w:rPr>
        <w:t>Yura M</w:t>
      </w:r>
      <w:r w:rsidRPr="004720B6">
        <w:rPr>
          <w:rFonts w:ascii="Book Antiqua" w:eastAsia="Book Antiqua" w:hAnsi="Book Antiqua" w:cs="Book Antiqua"/>
          <w:color w:val="000000"/>
        </w:rPr>
        <w:t xml:space="preserve"> and </w:t>
      </w:r>
      <w:r w:rsidR="00154456" w:rsidRPr="004720B6">
        <w:rPr>
          <w:rFonts w:ascii="Book Antiqua" w:eastAsia="Book Antiqua" w:hAnsi="Book Antiqua" w:cs="Book Antiqua"/>
          <w:color w:val="000000"/>
        </w:rPr>
        <w:t>Koyanagi K</w:t>
      </w:r>
      <w:r w:rsidRPr="004720B6">
        <w:rPr>
          <w:rFonts w:ascii="Book Antiqua" w:eastAsia="Book Antiqua" w:hAnsi="Book Antiqua" w:cs="Book Antiqua"/>
          <w:color w:val="000000"/>
        </w:rPr>
        <w:t xml:space="preserve"> wrote this paper; </w:t>
      </w:r>
      <w:r w:rsidR="00154456" w:rsidRPr="004720B6">
        <w:rPr>
          <w:rFonts w:ascii="Book Antiqua" w:eastAsia="Book Antiqua" w:hAnsi="Book Antiqua" w:cs="Book Antiqua"/>
          <w:color w:val="000000"/>
        </w:rPr>
        <w:t>Nakagawa M</w:t>
      </w:r>
      <w:r w:rsidRPr="004720B6">
        <w:rPr>
          <w:rFonts w:ascii="Book Antiqua" w:eastAsia="Book Antiqua" w:hAnsi="Book Antiqua" w:cs="Book Antiqua"/>
          <w:color w:val="000000"/>
        </w:rPr>
        <w:t xml:space="preserve"> reviewed the manuscript; </w:t>
      </w:r>
      <w:r w:rsidR="00154456" w:rsidRPr="004720B6">
        <w:rPr>
          <w:rFonts w:ascii="Book Antiqua" w:eastAsia="Book Antiqua" w:hAnsi="Book Antiqua" w:cs="Book Antiqua"/>
          <w:color w:val="000000"/>
        </w:rPr>
        <w:t>Ta</w:t>
      </w:r>
      <w:r w:rsidR="001B1137" w:rsidRPr="004720B6">
        <w:rPr>
          <w:rFonts w:ascii="Book Antiqua" w:eastAsia="MS Mincho" w:hAnsi="Book Antiqua" w:cs="MS Mincho"/>
          <w:color w:val="000000"/>
          <w:lang w:eastAsia="ja-JP"/>
        </w:rPr>
        <w:t>mai</w:t>
      </w:r>
      <w:r w:rsidR="00154456" w:rsidRPr="004720B6">
        <w:rPr>
          <w:rFonts w:ascii="Book Antiqua" w:eastAsia="Book Antiqua" w:hAnsi="Book Antiqua" w:cs="Book Antiqua"/>
          <w:color w:val="000000"/>
        </w:rPr>
        <w:t xml:space="preserve"> Y</w:t>
      </w:r>
      <w:r w:rsidRPr="004720B6">
        <w:rPr>
          <w:rFonts w:ascii="Book Antiqua" w:eastAsia="Book Antiqua" w:hAnsi="Book Antiqua" w:cs="Book Antiqua"/>
          <w:color w:val="000000"/>
        </w:rPr>
        <w:t xml:space="preserve"> planned and performed radiation therapy</w:t>
      </w:r>
      <w:r w:rsidR="00154456"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r w:rsidR="00154456" w:rsidRPr="004720B6">
        <w:rPr>
          <w:rFonts w:ascii="Book Antiqua" w:eastAsia="Book Antiqua" w:hAnsi="Book Antiqua" w:cs="Book Antiqua"/>
          <w:color w:val="000000"/>
        </w:rPr>
        <w:t>Dehari R</w:t>
      </w:r>
      <w:r w:rsidRPr="004720B6">
        <w:rPr>
          <w:rFonts w:ascii="Book Antiqua" w:eastAsia="Book Antiqua" w:hAnsi="Book Antiqua" w:cs="Book Antiqua"/>
          <w:color w:val="000000"/>
        </w:rPr>
        <w:t xml:space="preserve"> contributed to pathological diagnosis</w:t>
      </w:r>
      <w:r w:rsidR="00CC2653">
        <w:rPr>
          <w:rFonts w:ascii="Book Antiqua" w:eastAsia="Book Antiqua" w:hAnsi="Book Antiqua" w:cs="Book Antiqua"/>
          <w:color w:val="000000"/>
        </w:rPr>
        <w:t xml:space="preserve">; </w:t>
      </w:r>
      <w:r w:rsidRPr="004720B6">
        <w:rPr>
          <w:rFonts w:ascii="Book Antiqua" w:eastAsia="Book Antiqua" w:hAnsi="Book Antiqua" w:cs="Book Antiqua"/>
          <w:color w:val="000000"/>
        </w:rPr>
        <w:t>and all other members equally contributed to medical treatment.</w:t>
      </w:r>
    </w:p>
    <w:p w14:paraId="777D0066" w14:textId="77777777" w:rsidR="001247DB" w:rsidRPr="004720B6" w:rsidRDefault="001247DB" w:rsidP="004720B6">
      <w:pPr>
        <w:snapToGrid w:val="0"/>
        <w:spacing w:line="360" w:lineRule="auto"/>
        <w:jc w:val="both"/>
        <w:rPr>
          <w:rFonts w:ascii="Book Antiqua" w:eastAsia="Book Antiqua" w:hAnsi="Book Antiqua" w:cs="Book Antiqua"/>
          <w:b/>
          <w:bCs/>
          <w:color w:val="000000"/>
        </w:rPr>
      </w:pPr>
    </w:p>
    <w:p w14:paraId="48D0BDE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Corresponding author: Masahiro Yura, MD, Doctor, Surgeon, </w:t>
      </w:r>
      <w:r w:rsidRPr="004720B6">
        <w:rPr>
          <w:rFonts w:ascii="Book Antiqua" w:eastAsia="Book Antiqua" w:hAnsi="Book Antiqua" w:cs="Book Antiqua"/>
          <w:color w:val="000000"/>
        </w:rPr>
        <w:t>Department of Surgery, Hiratsuka City Hospital, 1-19-1, Minamihara, Hiratsuka-shi, Kanagawa 2540065, Japan. myura@ncc.go.jp</w:t>
      </w:r>
    </w:p>
    <w:p w14:paraId="0B133386" w14:textId="77777777" w:rsidR="00A77B3E" w:rsidRPr="004720B6" w:rsidRDefault="00A77B3E" w:rsidP="004720B6">
      <w:pPr>
        <w:snapToGrid w:val="0"/>
        <w:spacing w:line="360" w:lineRule="auto"/>
        <w:jc w:val="both"/>
        <w:rPr>
          <w:rFonts w:ascii="Book Antiqua" w:hAnsi="Book Antiqua"/>
        </w:rPr>
      </w:pPr>
    </w:p>
    <w:p w14:paraId="7AAC49E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Received: </w:t>
      </w:r>
      <w:r w:rsidRPr="004720B6">
        <w:rPr>
          <w:rFonts w:ascii="Book Antiqua" w:eastAsia="Book Antiqua" w:hAnsi="Book Antiqua" w:cs="Book Antiqua"/>
          <w:color w:val="000000"/>
        </w:rPr>
        <w:t>August 27, 2020</w:t>
      </w:r>
    </w:p>
    <w:p w14:paraId="3E9C4C4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Revised: </w:t>
      </w:r>
      <w:r w:rsidRPr="004720B6">
        <w:rPr>
          <w:rFonts w:ascii="Book Antiqua" w:eastAsia="Book Antiqua" w:hAnsi="Book Antiqua" w:cs="Book Antiqua"/>
          <w:color w:val="000000"/>
        </w:rPr>
        <w:t>January 2, 2021</w:t>
      </w:r>
    </w:p>
    <w:p w14:paraId="0D2646F0" w14:textId="2C82F8E5"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Accepted: </w:t>
      </w:r>
      <w:r w:rsidR="0076100D" w:rsidRPr="0076100D">
        <w:rPr>
          <w:rFonts w:ascii="Book Antiqua" w:eastAsia="Book Antiqua" w:hAnsi="Book Antiqua" w:cs="Book Antiqua"/>
          <w:color w:val="000000"/>
        </w:rPr>
        <w:t>March 5, 2021</w:t>
      </w:r>
    </w:p>
    <w:p w14:paraId="107C1931" w14:textId="221B190F"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Published online: </w:t>
      </w:r>
      <w:r w:rsidR="00807185">
        <w:rPr>
          <w:rFonts w:ascii="Book Antiqua" w:hAnsi="Book Antiqua"/>
          <w:color w:val="000000"/>
          <w:shd w:val="clear" w:color="auto" w:fill="FFFFFF"/>
        </w:rPr>
        <w:t>April 26</w:t>
      </w:r>
      <w:r w:rsidR="00807185">
        <w:rPr>
          <w:rFonts w:ascii="Book Antiqua" w:hAnsi="Book Antiqua" w:hint="eastAsia"/>
          <w:color w:val="000000"/>
          <w:shd w:val="clear" w:color="auto" w:fill="FFFFFF"/>
          <w:lang w:eastAsia="zh-CN"/>
        </w:rPr>
        <w:t>, 2021</w:t>
      </w:r>
    </w:p>
    <w:p w14:paraId="03DF2287" w14:textId="77777777" w:rsidR="00A77B3E" w:rsidRPr="004720B6" w:rsidRDefault="00A77B3E" w:rsidP="004720B6">
      <w:pPr>
        <w:snapToGrid w:val="0"/>
        <w:spacing w:line="360" w:lineRule="auto"/>
        <w:jc w:val="both"/>
        <w:rPr>
          <w:rFonts w:ascii="Book Antiqua" w:hAnsi="Book Antiqua"/>
        </w:rPr>
        <w:sectPr w:rsidR="00A77B3E" w:rsidRPr="004720B6" w:rsidSect="00081803">
          <w:footerReference w:type="default" r:id="rId8"/>
          <w:pgSz w:w="12240" w:h="15840"/>
          <w:pgMar w:top="1440" w:right="1800" w:bottom="1440" w:left="1800" w:header="720" w:footer="720" w:gutter="0"/>
          <w:cols w:space="720"/>
          <w:docGrid w:linePitch="360"/>
        </w:sectPr>
      </w:pPr>
    </w:p>
    <w:p w14:paraId="223C519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Abstract</w:t>
      </w:r>
    </w:p>
    <w:p w14:paraId="7F12B85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BACKGROUND</w:t>
      </w:r>
    </w:p>
    <w:p w14:paraId="0C36BB13" w14:textId="67F9CEDC"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Definitive chemoradiotherapy (dCRT) using </w:t>
      </w:r>
      <w:bookmarkStart w:id="5" w:name="_Hlk64727493"/>
      <w:r w:rsidRPr="004720B6">
        <w:rPr>
          <w:rFonts w:ascii="Book Antiqua" w:eastAsia="Book Antiqua" w:hAnsi="Book Antiqua" w:cs="Book Antiqua"/>
          <w:color w:val="000000"/>
        </w:rPr>
        <w:t>cisplatin plus 5</w:t>
      </w:r>
      <w:r w:rsidRPr="004720B6">
        <w:rPr>
          <w:rFonts w:ascii="Book Antiqua" w:eastAsia="Book Antiqua" w:hAnsi="Book Antiqua" w:cs="Book Antiqua"/>
          <w:color w:val="000000"/>
        </w:rPr>
        <w:noBreakHyphen/>
        <w:t>fluorouracil</w:t>
      </w:r>
      <w:bookmarkEnd w:id="5"/>
      <w:r w:rsidRPr="004720B6">
        <w:rPr>
          <w:rFonts w:ascii="Book Antiqua" w:eastAsia="Book Antiqua" w:hAnsi="Book Antiqua" w:cs="Book Antiqua"/>
          <w:color w:val="000000"/>
        </w:rPr>
        <w:t xml:space="preserve"> (CF) with radiation is considered the standard treatment for unresectable locally advanced T4 esophageal squamous cell carcinoma (ESCC). Recently, induction chemo</w:t>
      </w:r>
      <w:r w:rsidR="00603240">
        <w:rPr>
          <w:rFonts w:ascii="Book Antiqua" w:eastAsia="Book Antiqua" w:hAnsi="Book Antiqua" w:cs="Book Antiqua"/>
          <w:color w:val="000000"/>
        </w:rPr>
        <w:t>-</w:t>
      </w:r>
      <w:r w:rsidRPr="004720B6">
        <w:rPr>
          <w:rFonts w:ascii="Book Antiqua" w:eastAsia="Book Antiqua" w:hAnsi="Book Antiqua" w:cs="Book Antiqua"/>
          <w:color w:val="000000"/>
        </w:rPr>
        <w:t>therapy has received attention as an effective treatment strategy.</w:t>
      </w:r>
    </w:p>
    <w:p w14:paraId="2AB376E2" w14:textId="77777777" w:rsidR="00A77B3E" w:rsidRPr="004720B6" w:rsidRDefault="00A77B3E" w:rsidP="004720B6">
      <w:pPr>
        <w:snapToGrid w:val="0"/>
        <w:spacing w:line="360" w:lineRule="auto"/>
        <w:ind w:hanging="11"/>
        <w:jc w:val="both"/>
        <w:rPr>
          <w:rFonts w:ascii="Book Antiqua" w:hAnsi="Book Antiqua"/>
        </w:rPr>
      </w:pPr>
    </w:p>
    <w:p w14:paraId="41E491A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CASE SUMMARY</w:t>
      </w:r>
    </w:p>
    <w:p w14:paraId="78B53797" w14:textId="309F3A58"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We report a successful case of a 59-year-old female with unresectable locally advanced T4 ESCC treated by two additional courses of chemotherapy with CF after induction chemotherapy with </w:t>
      </w:r>
      <w:bookmarkStart w:id="6" w:name="_Hlk64727061"/>
      <w:r w:rsidRPr="004720B6">
        <w:rPr>
          <w:rFonts w:ascii="Book Antiqua" w:eastAsia="Book Antiqua" w:hAnsi="Book Antiqua" w:cs="Book Antiqua"/>
          <w:color w:val="000000"/>
        </w:rPr>
        <w:t>docetaxel, cisplatin and fluorouracil</w:t>
      </w:r>
      <w:bookmarkEnd w:id="6"/>
      <w:r w:rsidRPr="004720B6">
        <w:rPr>
          <w:rFonts w:ascii="Book Antiqua" w:eastAsia="Book Antiqua" w:hAnsi="Book Antiqua" w:cs="Book Antiqua"/>
          <w:color w:val="000000"/>
        </w:rPr>
        <w:t xml:space="preserve"> (DCF) followed by dCRT. Initial esophagogastroduodenoscopy (EGD) detected a type 2 advanced lesion located on the middle part of the esophagus, with stenosis. Computed tomography</w:t>
      </w:r>
      <w:r w:rsidR="001F5F7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detected the primary tumor with suspected invasion of the left bronchus and 90° of direct contact with the aorta, and upper mediastinal lymph node metastasis. Pathological findings from biopsy revealed squamous cell carcinoma. We initially performed induction chemotherapy using three courses of DCF, but the lesion was still evaluated unresectable after DCF chemotherapy. Therefore, we subsequently performed dCRT treatment (CF and radiation). After dCRT, prominent reduction of the primary tumor was recognized but a residual tumor with ulceration was detected by EGD.</w:t>
      </w:r>
      <w:r w:rsidR="009617E2"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Since the patient had some surgical risk, we performed two additional courses of CF and achieved a clinically</w:t>
      </w:r>
      <w:r w:rsidR="00081803" w:rsidRPr="004720B6">
        <w:rPr>
          <w:rFonts w:ascii="Book Antiqua" w:eastAsia="Book Antiqua" w:hAnsi="Book Antiqua" w:cs="Book Antiqua"/>
          <w:color w:val="000000"/>
        </w:rPr>
        <w:t xml:space="preserve"> complete response. After 14 mo</w:t>
      </w:r>
      <w:r w:rsidRPr="004720B6">
        <w:rPr>
          <w:rFonts w:ascii="Book Antiqua" w:eastAsia="Book Antiqua" w:hAnsi="Book Antiqua" w:cs="Book Antiqua"/>
          <w:color w:val="000000"/>
        </w:rPr>
        <w:t xml:space="preserve"> from last administration of CF chemotherapy, recurrence has not been detected by </w:t>
      </w:r>
      <w:r w:rsidR="00921B99"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and EGD, and biopsy from the scar formation has revealed no cancer cells.</w:t>
      </w:r>
    </w:p>
    <w:p w14:paraId="5B22A054" w14:textId="77777777" w:rsidR="00A77B3E" w:rsidRPr="004720B6" w:rsidRDefault="00A77B3E" w:rsidP="004720B6">
      <w:pPr>
        <w:snapToGrid w:val="0"/>
        <w:spacing w:line="360" w:lineRule="auto"/>
        <w:ind w:hanging="11"/>
        <w:jc w:val="both"/>
        <w:rPr>
          <w:rFonts w:ascii="Book Antiqua" w:hAnsi="Book Antiqua"/>
        </w:rPr>
      </w:pPr>
    </w:p>
    <w:p w14:paraId="5A6D95C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CONCLUSION</w:t>
      </w:r>
    </w:p>
    <w:p w14:paraId="3916BB6B"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We report successful case with tumor remnants even after DCF and subsequent dCRT, for whom a complete response was finally achieved with two additional courses of CF chemotherapy. Additional CF chemotherapy could be one radical treatment option for residual ESCC after treatment with induction DCF followed by dCRT to avoid salvage surgery, especially for high-risk patients.</w:t>
      </w:r>
    </w:p>
    <w:p w14:paraId="3820DB74" w14:textId="77777777" w:rsidR="00A77B3E" w:rsidRPr="004720B6" w:rsidRDefault="00A77B3E" w:rsidP="004720B6">
      <w:pPr>
        <w:snapToGrid w:val="0"/>
        <w:spacing w:line="360" w:lineRule="auto"/>
        <w:ind w:hanging="11"/>
        <w:jc w:val="both"/>
        <w:rPr>
          <w:rFonts w:ascii="Book Antiqua" w:hAnsi="Book Antiqua"/>
        </w:rPr>
      </w:pPr>
    </w:p>
    <w:p w14:paraId="5F8FB3FA" w14:textId="49BB246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Key Words: </w:t>
      </w:r>
      <w:r w:rsidRPr="004720B6">
        <w:rPr>
          <w:rFonts w:ascii="Book Antiqua" w:eastAsia="Book Antiqua" w:hAnsi="Book Antiqua" w:cs="Book Antiqua"/>
          <w:color w:val="000000"/>
        </w:rPr>
        <w:t xml:space="preserve">Unresectable esophageal cancer; Induction </w:t>
      </w:r>
      <w:bookmarkStart w:id="7" w:name="_Hlk64727249"/>
      <w:r w:rsidR="00921B99" w:rsidRPr="004720B6">
        <w:rPr>
          <w:rFonts w:ascii="Book Antiqua" w:eastAsia="Book Antiqua" w:hAnsi="Book Antiqua" w:cs="Book Antiqua"/>
          <w:color w:val="000000"/>
        </w:rPr>
        <w:t>docetaxel</w:t>
      </w:r>
      <w:r w:rsidR="00081803" w:rsidRPr="004720B6">
        <w:rPr>
          <w:rFonts w:ascii="Book Antiqua" w:eastAsia="Book Antiqua" w:hAnsi="Book Antiqua" w:cs="Book Antiqua"/>
          <w:color w:val="000000"/>
        </w:rPr>
        <w:t>,</w:t>
      </w:r>
      <w:r w:rsidR="00921B99" w:rsidRPr="004720B6">
        <w:rPr>
          <w:rFonts w:ascii="Book Antiqua" w:eastAsia="Book Antiqua" w:hAnsi="Book Antiqua" w:cs="Book Antiqua"/>
          <w:color w:val="000000"/>
        </w:rPr>
        <w:t xml:space="preserve"> cisplatin and fluorouracil</w:t>
      </w:r>
      <w:bookmarkEnd w:id="7"/>
      <w:r w:rsidRPr="004720B6">
        <w:rPr>
          <w:rFonts w:ascii="Book Antiqua" w:eastAsia="Book Antiqua" w:hAnsi="Book Antiqua" w:cs="Book Antiqua"/>
          <w:color w:val="000000"/>
        </w:rPr>
        <w:t>; Chemoradiotherapy; Complete response; Additional chemotherapy; Case report</w:t>
      </w:r>
    </w:p>
    <w:p w14:paraId="606E42FF" w14:textId="77777777" w:rsidR="000675AB" w:rsidRDefault="000675AB" w:rsidP="000675AB">
      <w:pPr>
        <w:spacing w:line="360" w:lineRule="auto"/>
        <w:jc w:val="both"/>
        <w:rPr>
          <w:lang w:eastAsia="zh-CN"/>
        </w:rPr>
      </w:pPr>
    </w:p>
    <w:p w14:paraId="010D0EAD" w14:textId="77777777" w:rsidR="000675AB" w:rsidRPr="00026CB8" w:rsidRDefault="000675AB" w:rsidP="000675A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6F8588F" w14:textId="77777777" w:rsidR="00A77B3E" w:rsidRPr="004720B6" w:rsidRDefault="00A77B3E" w:rsidP="004720B6">
      <w:pPr>
        <w:snapToGrid w:val="0"/>
        <w:spacing w:line="360" w:lineRule="auto"/>
        <w:jc w:val="both"/>
        <w:rPr>
          <w:rFonts w:ascii="Book Antiqua" w:hAnsi="Book Antiqua"/>
        </w:rPr>
      </w:pPr>
    </w:p>
    <w:p w14:paraId="1577CAA3" w14:textId="047EE2D4" w:rsidR="003B1EA0" w:rsidRDefault="003B1EA0" w:rsidP="004720B6">
      <w:pPr>
        <w:snapToGrid w:val="0"/>
        <w:spacing w:line="360" w:lineRule="auto"/>
        <w:jc w:val="both"/>
        <w:rPr>
          <w:rFonts w:ascii="Book Antiqua" w:hAnsi="Book Antiqua" w:cs="Book Antiqua" w:hint="eastAsia"/>
          <w:color w:val="000000"/>
          <w:lang w:eastAsia="zh-CN"/>
        </w:rPr>
      </w:pPr>
      <w:bookmarkStart w:id="8" w:name="_Hlk64726623"/>
      <w:r w:rsidRPr="003B1EA0">
        <w:rPr>
          <w:rFonts w:ascii="Book Antiqua" w:hAnsi="Book Antiqua" w:cs="Book Antiqua" w:hint="eastAsia"/>
          <w:b/>
          <w:color w:val="000000"/>
          <w:lang w:eastAsia="zh-CN"/>
        </w:rPr>
        <w:t xml:space="preserve">Citation: </w:t>
      </w:r>
      <w:r w:rsidR="008375B4" w:rsidRPr="004720B6">
        <w:rPr>
          <w:rFonts w:ascii="Book Antiqua" w:eastAsia="Book Antiqua" w:hAnsi="Book Antiqua" w:cs="Book Antiqua"/>
          <w:color w:val="000000"/>
        </w:rPr>
        <w:t>Yura M, Koyanagi K, Hara A, Hayashi K, Tajima Y, Kaneko Y, Fujisaki H, Hirata A, Takano K, Hongo K, Yo K, Yoneyama K, Tamai Y, Dehari R, Nakagawa M</w:t>
      </w:r>
      <w:bookmarkEnd w:id="8"/>
      <w:r w:rsidR="008375B4" w:rsidRPr="004720B6">
        <w:rPr>
          <w:rFonts w:ascii="Book Antiqua" w:eastAsia="Book Antiqua" w:hAnsi="Book Antiqua" w:cs="Book Antiqua"/>
          <w:color w:val="000000"/>
        </w:rPr>
        <w:t xml:space="preserve">. Unresectable esophageal cancer treated with multiple chemotherapies in combination with chemoradiotherapy: A case report. </w:t>
      </w:r>
      <w:r w:rsidR="008375B4" w:rsidRPr="004720B6">
        <w:rPr>
          <w:rFonts w:ascii="Book Antiqua" w:eastAsia="Book Antiqua" w:hAnsi="Book Antiqua" w:cs="Book Antiqua"/>
          <w:i/>
          <w:iCs/>
          <w:color w:val="000000"/>
        </w:rPr>
        <w:t>World J Clin Cases</w:t>
      </w:r>
      <w:r w:rsidR="008375B4" w:rsidRPr="004720B6">
        <w:rPr>
          <w:rFonts w:ascii="Book Antiqua" w:eastAsia="Book Antiqua" w:hAnsi="Book Antiqua" w:cs="Book Antiqua"/>
          <w:color w:val="000000"/>
        </w:rPr>
        <w:t xml:space="preserve"> 2021; </w:t>
      </w:r>
      <w:r w:rsidR="00807185">
        <w:rPr>
          <w:rFonts w:ascii="Book Antiqua" w:hAnsi="Book Antiqua" w:cs="Book Antiqua" w:hint="eastAsia"/>
          <w:color w:val="000000"/>
          <w:lang w:eastAsia="zh-CN"/>
        </w:rPr>
        <w:t>9</w:t>
      </w:r>
      <w:r w:rsidR="00807185" w:rsidRPr="008963A2">
        <w:rPr>
          <w:rFonts w:ascii="Book Antiqua" w:eastAsia="Book Antiqua" w:hAnsi="Book Antiqua" w:cs="Book Antiqua"/>
          <w:color w:val="000000"/>
        </w:rPr>
        <w:t>(</w:t>
      </w:r>
      <w:r w:rsidR="00807185">
        <w:rPr>
          <w:rFonts w:ascii="Book Antiqua" w:hAnsi="Book Antiqua" w:cs="Book Antiqua" w:hint="eastAsia"/>
          <w:color w:val="000000"/>
          <w:lang w:eastAsia="zh-CN"/>
        </w:rPr>
        <w:t>12</w:t>
      </w:r>
      <w:r w:rsidR="00807185" w:rsidRPr="008963A2">
        <w:rPr>
          <w:rFonts w:ascii="Book Antiqua" w:eastAsia="Book Antiqua" w:hAnsi="Book Antiqua" w:cs="Book Antiqua"/>
          <w:color w:val="000000"/>
        </w:rPr>
        <w:t xml:space="preserve">): </w:t>
      </w:r>
      <w:r w:rsidR="00573938" w:rsidRPr="00573938">
        <w:rPr>
          <w:rFonts w:ascii="Book Antiqua" w:eastAsia="Book Antiqua" w:hAnsi="Book Antiqua" w:cs="Book Antiqua"/>
          <w:color w:val="000000"/>
        </w:rPr>
        <w:t>2801-2810</w:t>
      </w:r>
      <w:r w:rsidR="00807185" w:rsidRPr="008963A2">
        <w:rPr>
          <w:rFonts w:ascii="Book Antiqua" w:eastAsia="Book Antiqua" w:hAnsi="Book Antiqua" w:cs="Book Antiqua"/>
          <w:color w:val="000000"/>
        </w:rPr>
        <w:t xml:space="preserve">  </w:t>
      </w:r>
    </w:p>
    <w:p w14:paraId="5D8AF835" w14:textId="77777777" w:rsidR="003B1EA0" w:rsidRDefault="00807185" w:rsidP="004720B6">
      <w:pPr>
        <w:snapToGrid w:val="0"/>
        <w:spacing w:line="360" w:lineRule="auto"/>
        <w:jc w:val="both"/>
        <w:rPr>
          <w:rFonts w:ascii="Book Antiqua" w:hAnsi="Book Antiqua" w:cs="Book Antiqua" w:hint="eastAsia"/>
          <w:color w:val="000000"/>
          <w:lang w:eastAsia="zh-CN"/>
        </w:rPr>
      </w:pPr>
      <w:r w:rsidRPr="003B1EA0">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12</w:t>
      </w:r>
      <w:r w:rsidRPr="008963A2">
        <w:rPr>
          <w:rFonts w:ascii="Book Antiqua" w:eastAsia="Book Antiqua" w:hAnsi="Book Antiqua" w:cs="Book Antiqua"/>
          <w:color w:val="000000"/>
        </w:rPr>
        <w:t>/</w:t>
      </w:r>
      <w:r w:rsidR="0005015D">
        <w:rPr>
          <w:rFonts w:ascii="Book Antiqua" w:hAnsi="Book Antiqua" w:cs="Book Antiqua" w:hint="eastAsia"/>
          <w:color w:val="000000"/>
          <w:lang w:eastAsia="zh-CN"/>
        </w:rPr>
        <w:t>2801</w:t>
      </w:r>
      <w:r w:rsidRPr="008963A2">
        <w:rPr>
          <w:rFonts w:ascii="Book Antiqua" w:eastAsia="Book Antiqua" w:hAnsi="Book Antiqua" w:cs="Book Antiqua"/>
          <w:color w:val="000000"/>
        </w:rPr>
        <w:t xml:space="preserve">.htm  </w:t>
      </w:r>
    </w:p>
    <w:p w14:paraId="206A3E84" w14:textId="3760F108" w:rsidR="00A77B3E" w:rsidRPr="0005015D" w:rsidRDefault="00807185" w:rsidP="004720B6">
      <w:pPr>
        <w:snapToGrid w:val="0"/>
        <w:spacing w:line="360" w:lineRule="auto"/>
        <w:jc w:val="both"/>
        <w:rPr>
          <w:rFonts w:ascii="Book Antiqua" w:hAnsi="Book Antiqua" w:hint="eastAsia"/>
          <w:lang w:eastAsia="zh-CN"/>
        </w:rPr>
      </w:pPr>
      <w:r w:rsidRPr="003B1EA0">
        <w:rPr>
          <w:rFonts w:ascii="Book Antiqua" w:eastAsia="Book Antiqua" w:hAnsi="Book Antiqua" w:cs="Book Antiqua"/>
          <w:b/>
          <w:color w:val="000000"/>
        </w:rPr>
        <w:t xml:space="preserve">DOI: </w:t>
      </w:r>
      <w:r w:rsidRPr="008963A2">
        <w:rPr>
          <w:rFonts w:ascii="Book Antiqua" w:eastAsia="Book Antiqua" w:hAnsi="Book Antiqua" w:cs="Book Antiqua"/>
          <w:color w:val="000000"/>
        </w:rPr>
        <w:t>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12</w:t>
      </w:r>
      <w:r w:rsidRPr="008963A2">
        <w:rPr>
          <w:rFonts w:ascii="Book Antiqua" w:eastAsia="Book Antiqua" w:hAnsi="Book Antiqua" w:cs="Book Antiqua"/>
          <w:color w:val="000000"/>
        </w:rPr>
        <w:t>.</w:t>
      </w:r>
      <w:r w:rsidR="0005015D">
        <w:rPr>
          <w:rFonts w:ascii="Book Antiqua" w:hAnsi="Book Antiqua" w:cs="Book Antiqua" w:hint="eastAsia"/>
          <w:color w:val="000000"/>
          <w:lang w:eastAsia="zh-CN"/>
        </w:rPr>
        <w:t>2801</w:t>
      </w:r>
    </w:p>
    <w:p w14:paraId="26ED1C41" w14:textId="77777777" w:rsidR="00A77B3E" w:rsidRPr="004720B6" w:rsidRDefault="00A77B3E" w:rsidP="004720B6">
      <w:pPr>
        <w:snapToGrid w:val="0"/>
        <w:spacing w:line="360" w:lineRule="auto"/>
        <w:jc w:val="both"/>
        <w:rPr>
          <w:rFonts w:ascii="Book Antiqua" w:hAnsi="Book Antiqua"/>
        </w:rPr>
      </w:pPr>
    </w:p>
    <w:p w14:paraId="7161BC55" w14:textId="65AED0CD"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Core Tip: </w:t>
      </w:r>
      <w:r w:rsidRPr="004720B6">
        <w:rPr>
          <w:rFonts w:ascii="Book Antiqua" w:eastAsia="Book Antiqua" w:hAnsi="Book Antiqua" w:cs="Book Antiqua"/>
          <w:color w:val="000000"/>
        </w:rPr>
        <w:t xml:space="preserve">Salvage surgery after </w:t>
      </w:r>
      <w:r w:rsidR="002715DA" w:rsidRPr="004720B6">
        <w:rPr>
          <w:rFonts w:ascii="Book Antiqua" w:eastAsia="Book Antiqua" w:hAnsi="Book Antiqua" w:cs="Book Antiqua"/>
          <w:color w:val="000000"/>
        </w:rPr>
        <w:t>definitive chemoradiotherapy (dCRT)</w:t>
      </w:r>
      <w:r w:rsidRPr="004720B6">
        <w:rPr>
          <w:rFonts w:ascii="Book Antiqua" w:eastAsia="Book Antiqua" w:hAnsi="Book Antiqua" w:cs="Book Antiqua"/>
          <w:color w:val="000000"/>
        </w:rPr>
        <w:t xml:space="preserve"> for T4 esophageal cancer is associated with a high incidence of surgery-related death and severe complication. In the present study, we have described the successful case of an unresectable locally advanced T4</w:t>
      </w:r>
      <w:r w:rsidR="00392332" w:rsidRPr="004720B6">
        <w:rPr>
          <w:rFonts w:ascii="Book Antiqua" w:eastAsia="Book Antiqua" w:hAnsi="Book Antiqua" w:cs="Book Antiqua"/>
          <w:color w:val="000000"/>
        </w:rPr>
        <w:t xml:space="preserve"> esophageal squamous cell carcinoma</w:t>
      </w:r>
      <w:r w:rsidRPr="004720B6">
        <w:rPr>
          <w:rFonts w:ascii="Book Antiqua" w:eastAsia="Book Antiqua" w:hAnsi="Book Antiqua" w:cs="Book Antiqua"/>
          <w:color w:val="000000"/>
        </w:rPr>
        <w:t xml:space="preserve"> treated by additional </w:t>
      </w:r>
      <w:r w:rsidR="00392332" w:rsidRPr="004720B6">
        <w:rPr>
          <w:rFonts w:ascii="Book Antiqua" w:eastAsia="Book Antiqua" w:hAnsi="Book Antiqua" w:cs="Book Antiqua"/>
          <w:color w:val="000000"/>
        </w:rPr>
        <w:t>cisplatin plus 5</w:t>
      </w:r>
      <w:r w:rsidR="00392332" w:rsidRPr="004720B6">
        <w:rPr>
          <w:rFonts w:ascii="Book Antiqua" w:eastAsia="Book Antiqua" w:hAnsi="Book Antiqua" w:cs="Book Antiqua"/>
          <w:color w:val="000000"/>
        </w:rPr>
        <w:noBreakHyphen/>
        <w:t xml:space="preserve">fluorouracil </w:t>
      </w:r>
      <w:r w:rsidRPr="004720B6">
        <w:rPr>
          <w:rFonts w:ascii="Book Antiqua" w:eastAsia="Book Antiqua" w:hAnsi="Book Antiqua" w:cs="Book Antiqua"/>
          <w:color w:val="000000"/>
        </w:rPr>
        <w:t xml:space="preserve">chemotherapy after induction </w:t>
      </w:r>
      <w:r w:rsidR="00E866B9"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dCRT. This case suggests that additional </w:t>
      </w:r>
      <w:r w:rsidR="00392332" w:rsidRPr="004720B6">
        <w:rPr>
          <w:rFonts w:ascii="Book Antiqua" w:eastAsia="Book Antiqua" w:hAnsi="Book Antiqua" w:cs="Book Antiqua"/>
          <w:color w:val="000000"/>
        </w:rPr>
        <w:t>cisplatin plus 5</w:t>
      </w:r>
      <w:r w:rsidR="00392332"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could be one radical treatment option for residual </w:t>
      </w:r>
      <w:r w:rsidR="00392332" w:rsidRPr="004720B6">
        <w:rPr>
          <w:rFonts w:ascii="Book Antiqua" w:eastAsia="Book Antiqua" w:hAnsi="Book Antiqua" w:cs="Book Antiqua"/>
          <w:color w:val="000000"/>
        </w:rPr>
        <w:t>esophageal squamous cell carcinoma</w:t>
      </w:r>
      <w:r w:rsidRPr="004720B6">
        <w:rPr>
          <w:rFonts w:ascii="Book Antiqua" w:eastAsia="Book Antiqua" w:hAnsi="Book Antiqua" w:cs="Book Antiqua"/>
          <w:color w:val="000000"/>
        </w:rPr>
        <w:t xml:space="preserve"> after induction </w:t>
      </w:r>
      <w:r w:rsidR="00E866B9"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dCRT to avoid salvage surgery, especially for high-risk patients.</w:t>
      </w:r>
    </w:p>
    <w:p w14:paraId="4D82F719" w14:textId="77777777" w:rsidR="00A77B3E" w:rsidRPr="004720B6" w:rsidRDefault="00A77B3E" w:rsidP="004720B6">
      <w:pPr>
        <w:snapToGrid w:val="0"/>
        <w:spacing w:line="360" w:lineRule="auto"/>
        <w:jc w:val="both"/>
        <w:rPr>
          <w:rFonts w:ascii="Book Antiqua" w:hAnsi="Book Antiqua"/>
        </w:rPr>
      </w:pPr>
    </w:p>
    <w:p w14:paraId="344E5B6A" w14:textId="7E8D326B" w:rsidR="00A77B3E" w:rsidRPr="004720B6" w:rsidRDefault="00E866B9"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br w:type="page"/>
      </w:r>
      <w:r w:rsidR="008375B4" w:rsidRPr="004720B6">
        <w:rPr>
          <w:rFonts w:ascii="Book Antiqua" w:eastAsia="Book Antiqua" w:hAnsi="Book Antiqua" w:cs="Book Antiqua"/>
          <w:b/>
          <w:caps/>
          <w:color w:val="000000"/>
          <w:u w:val="single"/>
        </w:rPr>
        <w:t>INTRODUCTION</w:t>
      </w:r>
    </w:p>
    <w:p w14:paraId="3D15C979" w14:textId="6ACDD7A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Esophageal cancer is the sixth most common cause of cancer deaths worldwide, according to statistics presented in 2018</w:t>
      </w:r>
      <w:r w:rsidRPr="004720B6">
        <w:rPr>
          <w:rFonts w:ascii="Book Antiqua" w:eastAsia="Book Antiqua" w:hAnsi="Book Antiqua" w:cs="Book Antiqua"/>
          <w:color w:val="000000"/>
          <w:vertAlign w:val="superscript"/>
        </w:rPr>
        <w:t>[1]</w:t>
      </w:r>
      <w:r w:rsidRPr="004720B6">
        <w:rPr>
          <w:rFonts w:ascii="Book Antiqua" w:eastAsia="Book Antiqua" w:hAnsi="Book Antiqua" w:cs="Book Antiqua"/>
          <w:color w:val="000000"/>
        </w:rPr>
        <w:t>. Esophageal squamous cell carcinoma (ESCC) often invades adjacent vital organs such as the trachea, bronchus, lungs and aorta. Approximately 15% of incidents of ESCC are clinically diagnosed at the T4 stage</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Standard treatment for unresectable ESCC without distant metastasis is definitive chemoradiotherapy (dCRT) with cisplatin (CDDP) plus 5</w:t>
      </w:r>
      <w:r w:rsidRPr="004720B6">
        <w:rPr>
          <w:rFonts w:ascii="Book Antiqua" w:eastAsia="Book Antiqua" w:hAnsi="Book Antiqua" w:cs="Book Antiqua"/>
          <w:color w:val="000000"/>
        </w:rPr>
        <w:noBreakHyphen/>
        <w:t xml:space="preserve">fluorouracil </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(5</w:t>
      </w:r>
      <w:r w:rsidRPr="004720B6">
        <w:rPr>
          <w:rFonts w:ascii="Book Antiqua" w:eastAsia="Book Antiqua" w:hAnsi="Book Antiqua" w:cs="Book Antiqua"/>
          <w:color w:val="000000"/>
        </w:rPr>
        <w:noBreakHyphen/>
        <w:t>FU</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 combination denoted</w:t>
      </w:r>
      <w:r w:rsidR="00536FD5" w:rsidRPr="004720B6">
        <w:rPr>
          <w:rFonts w:ascii="Book Antiqua" w:hAnsi="Book Antiqua"/>
        </w:rPr>
        <w:t xml:space="preserve"> </w:t>
      </w:r>
      <w:r w:rsidR="00536FD5" w:rsidRPr="004720B6">
        <w:rPr>
          <w:rFonts w:ascii="Book Antiqua" w:eastAsia="Book Antiqua" w:hAnsi="Book Antiqua" w:cs="Book Antiqua"/>
          <w:color w:val="000000"/>
        </w:rPr>
        <w:t>cisplatin plus 5</w:t>
      </w:r>
      <w:r w:rsidR="00DF6026">
        <w:rPr>
          <w:rFonts w:ascii="Book Antiqua" w:eastAsia="Book Antiqua" w:hAnsi="Book Antiqua" w:cs="Book Antiqua"/>
          <w:color w:val="000000"/>
        </w:rPr>
        <w:t>-FU</w:t>
      </w:r>
      <w:r w:rsidR="00536FD5" w:rsidRPr="004720B6">
        <w:rPr>
          <w:rFonts w:ascii="Book Antiqua" w:eastAsia="Book Antiqua" w:hAnsi="Book Antiqua" w:cs="Book Antiqua"/>
          <w:color w:val="000000"/>
        </w:rPr>
        <w:t xml:space="preserve"> (CF)]</w:t>
      </w:r>
      <w:r w:rsidRPr="004720B6">
        <w:rPr>
          <w:rFonts w:ascii="Book Antiqua" w:eastAsia="Book Antiqua" w:hAnsi="Book Antiqua" w:cs="Book Antiqua"/>
          <w:color w:val="000000"/>
        </w:rPr>
        <w:t>, using a total irradiation dose of 50.4 or 60 Gy</w:t>
      </w:r>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 A study by the Japan Clinical Oncology Group (JCOG9516), a multicenter phase II trial, demonstrated the efficacy of dCRT using CF for unresectable ESCC and reported a complete response rate (CR) of 15% and a 3-year survival rate of 23%</w:t>
      </w:r>
      <w:r w:rsidRPr="004720B6">
        <w:rPr>
          <w:rFonts w:ascii="Book Antiqua" w:eastAsia="Book Antiqua" w:hAnsi="Book Antiqua" w:cs="Book Antiqua"/>
          <w:color w:val="000000"/>
          <w:vertAlign w:val="superscript"/>
        </w:rPr>
        <w:t>[5]</w:t>
      </w:r>
      <w:r w:rsidRPr="004720B6">
        <w:rPr>
          <w:rFonts w:ascii="Book Antiqua" w:eastAsia="Book Antiqua" w:hAnsi="Book Antiqua" w:cs="Book Antiqua"/>
          <w:color w:val="000000"/>
        </w:rPr>
        <w:t>. On the other hand, among patients who fail to achieve CR, salvage esophagectomy is the only modality left that offers a chance for long-term survival</w:t>
      </w:r>
      <w:r w:rsidRPr="004720B6">
        <w:rPr>
          <w:rFonts w:ascii="Book Antiqua" w:eastAsia="Book Antiqua" w:hAnsi="Book Antiqua" w:cs="Book Antiqua"/>
          <w:color w:val="000000"/>
          <w:vertAlign w:val="superscript"/>
        </w:rPr>
        <w:t>[6,7]</w:t>
      </w:r>
      <w:r w:rsidRPr="004720B6">
        <w:rPr>
          <w:rFonts w:ascii="Book Antiqua" w:eastAsia="Book Antiqua" w:hAnsi="Book Antiqua" w:cs="Book Antiqua"/>
          <w:color w:val="000000"/>
        </w:rPr>
        <w:t>. However, previous studies have reported that salvage surgery after dCRT is associated with a high incidence of surgery-related death (8</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10.2%)</w:t>
      </w:r>
      <w:r w:rsidRPr="004720B6">
        <w:rPr>
          <w:rFonts w:ascii="Book Antiqua" w:eastAsia="Book Antiqua" w:hAnsi="Book Antiqua" w:cs="Book Antiqua"/>
          <w:color w:val="000000"/>
          <w:vertAlign w:val="superscript"/>
        </w:rPr>
        <w:t>[6,8,9]</w:t>
      </w:r>
      <w:r w:rsidRPr="004720B6">
        <w:rPr>
          <w:rFonts w:ascii="Book Antiqua" w:eastAsia="Book Antiqua" w:hAnsi="Book Antiqua" w:cs="Book Antiqua"/>
          <w:color w:val="000000"/>
        </w:rPr>
        <w:t>. In addition, not only is the R0 resection rate after dCRT not high but also the prognosis for patients who have failed R0 resection is unfavorable</w:t>
      </w:r>
      <w:r w:rsidRPr="004720B6">
        <w:rPr>
          <w:rFonts w:ascii="Book Antiqua" w:eastAsia="Book Antiqua" w:hAnsi="Book Antiqua" w:cs="Book Antiqua"/>
          <w:color w:val="000000"/>
          <w:vertAlign w:val="superscript"/>
        </w:rPr>
        <w:t>[6,7,10,11]</w:t>
      </w:r>
      <w:r w:rsidRPr="004720B6">
        <w:rPr>
          <w:rFonts w:ascii="Book Antiqua" w:eastAsia="Book Antiqua" w:hAnsi="Book Antiqua" w:cs="Book Antiqua"/>
          <w:color w:val="000000"/>
        </w:rPr>
        <w:t>.</w:t>
      </w:r>
    </w:p>
    <w:p w14:paraId="07DF0A3E" w14:textId="77777777"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Recently, there has been hope that chemotherapy combined with docetaxel (DTX) is a useful treatment for ESCC. Neoadjuvant chemotherapy with DTX, CDDP and 5</w:t>
      </w:r>
      <w:r w:rsidRPr="004720B6">
        <w:rPr>
          <w:rFonts w:ascii="Book Antiqua" w:eastAsia="Book Antiqua" w:hAnsi="Book Antiqua" w:cs="Book Antiqua"/>
          <w:color w:val="000000"/>
        </w:rPr>
        <w:noBreakHyphen/>
        <w:t>FU (DCF) has demonstrated potential, with a pathological CR rate of 17% for resectable stage II/III ESCC</w:t>
      </w:r>
      <w:r w:rsidRPr="004720B6">
        <w:rPr>
          <w:rFonts w:ascii="Book Antiqua" w:eastAsia="Book Antiqua" w:hAnsi="Book Antiqua" w:cs="Book Antiqua"/>
          <w:color w:val="000000"/>
          <w:vertAlign w:val="superscript"/>
        </w:rPr>
        <w:t>[12]</w:t>
      </w:r>
      <w:r w:rsidRPr="004720B6">
        <w:rPr>
          <w:rFonts w:ascii="Book Antiqua" w:eastAsia="Book Antiqua" w:hAnsi="Book Antiqua" w:cs="Book Antiqua"/>
          <w:color w:val="000000"/>
        </w:rPr>
        <w:t>. Furthermore, a prospective multicenter phase I/II study revealed that induction chemotherapy with DCF followed by chemoradiotherapy showed efficacy for unresectable locally advanced ESCC</w:t>
      </w:r>
      <w:r w:rsidRPr="004720B6">
        <w:rPr>
          <w:rFonts w:ascii="Book Antiqua" w:eastAsia="Book Antiqua" w:hAnsi="Book Antiqua" w:cs="Book Antiqua"/>
          <w:color w:val="000000"/>
          <w:vertAlign w:val="superscript"/>
        </w:rPr>
        <w:t>[13]</w:t>
      </w:r>
      <w:r w:rsidRPr="004720B6">
        <w:rPr>
          <w:rFonts w:ascii="Book Antiqua" w:eastAsia="Book Antiqua" w:hAnsi="Book Antiqua" w:cs="Book Antiqua"/>
          <w:color w:val="000000"/>
        </w:rPr>
        <w:t>. In the present case, induction chemotherapy with DCF followed by dCRT did not result in a CR for an initially unresectable locally advanced T4 ESCC, but a CR was finally achieved with two additional courses of CF chemotherapy. No recurrence has been observed for more than 14 mo while maintaining the quality of life after the last chemotherapy. Combination of these treatment could be a useful treatment option for unresectable T4 ESCC.</w:t>
      </w:r>
    </w:p>
    <w:p w14:paraId="1298937D" w14:textId="77777777" w:rsidR="00A77B3E" w:rsidRPr="004720B6" w:rsidRDefault="00A77B3E" w:rsidP="004720B6">
      <w:pPr>
        <w:snapToGrid w:val="0"/>
        <w:spacing w:line="360" w:lineRule="auto"/>
        <w:ind w:hanging="11"/>
        <w:jc w:val="both"/>
        <w:rPr>
          <w:rFonts w:ascii="Book Antiqua" w:hAnsi="Book Antiqua"/>
        </w:rPr>
      </w:pPr>
    </w:p>
    <w:p w14:paraId="025EE74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CASE PRESENTATION</w:t>
      </w:r>
    </w:p>
    <w:p w14:paraId="0DDB192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Chief complaints</w:t>
      </w:r>
    </w:p>
    <w:p w14:paraId="296009BE"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A 59-year-old female had symptoms of dysphagia.</w:t>
      </w:r>
    </w:p>
    <w:p w14:paraId="64628714" w14:textId="77777777" w:rsidR="00A77B3E" w:rsidRPr="004720B6" w:rsidRDefault="00A77B3E" w:rsidP="004720B6">
      <w:pPr>
        <w:snapToGrid w:val="0"/>
        <w:spacing w:line="360" w:lineRule="auto"/>
        <w:ind w:hanging="11"/>
        <w:jc w:val="both"/>
        <w:rPr>
          <w:rFonts w:ascii="Book Antiqua" w:hAnsi="Book Antiqua"/>
        </w:rPr>
      </w:pPr>
    </w:p>
    <w:p w14:paraId="32E4E7E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History of present illness</w:t>
      </w:r>
    </w:p>
    <w:p w14:paraId="12A24AE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The patient complained of dysphagia for a month and visited a former doctor. Esophagogastroduodenoscopy (EGD) was performed and a tumor suspected of esophageal cancer was found in the middle part of the esophagus. After that, she was introduced to our hospital for the purpose of detailed medical examination and treatment.</w:t>
      </w:r>
    </w:p>
    <w:p w14:paraId="771FAD7E" w14:textId="77777777" w:rsidR="00A77B3E" w:rsidRPr="004720B6" w:rsidRDefault="00A77B3E" w:rsidP="004720B6">
      <w:pPr>
        <w:snapToGrid w:val="0"/>
        <w:spacing w:line="360" w:lineRule="auto"/>
        <w:jc w:val="both"/>
        <w:rPr>
          <w:rFonts w:ascii="Book Antiqua" w:hAnsi="Book Antiqua"/>
        </w:rPr>
      </w:pPr>
    </w:p>
    <w:p w14:paraId="154FC27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History of past illness</w:t>
      </w:r>
    </w:p>
    <w:p w14:paraId="2FE44DA3" w14:textId="7877A734"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The patient had a history of hypertension, was a hepatitis B virus carrier, and had experienced a brain stem hemorrhage with sensory paralysis. Her surgical history included total abdominal hysterectomy, bilateral salpingo-oophorectomy, and </w:t>
      </w:r>
      <w:r w:rsidR="00081803" w:rsidRPr="004720B6">
        <w:rPr>
          <w:rFonts w:ascii="Book Antiqua" w:eastAsia="Book Antiqua" w:hAnsi="Book Antiqua" w:cs="Book Antiqua"/>
          <w:color w:val="000000"/>
        </w:rPr>
        <w:t>peri</w:t>
      </w:r>
      <w:r w:rsidRPr="004720B6">
        <w:rPr>
          <w:rFonts w:ascii="Book Antiqua" w:eastAsia="Book Antiqua" w:hAnsi="Book Antiqua" w:cs="Book Antiqua"/>
          <w:color w:val="000000"/>
        </w:rPr>
        <w:t>-arterial lymph node dissection to treat endometrial cancer (endometrial adeno</w:t>
      </w:r>
      <w:r w:rsidR="00603240">
        <w:rPr>
          <w:rFonts w:ascii="Book Antiqua" w:eastAsia="Book Antiqua" w:hAnsi="Book Antiqua" w:cs="Book Antiqua"/>
          <w:color w:val="000000"/>
        </w:rPr>
        <w:t>-</w:t>
      </w:r>
      <w:r w:rsidRPr="004720B6">
        <w:rPr>
          <w:rFonts w:ascii="Book Antiqua" w:eastAsia="Book Antiqua" w:hAnsi="Book Antiqua" w:cs="Book Antiqua"/>
          <w:color w:val="000000"/>
        </w:rPr>
        <w:t>carcinoma, pT1bN0M0) 7 years previously. Six courses of adjuvant chemotherapy (paclitaxel + carboplatin) were prescribed after surgery. Six years ago, a squamous cell carcinoma of the oral tongue (pT1, ly0, v0) was partially resected.</w:t>
      </w:r>
      <w:r w:rsidR="00DC3EE7"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She is also a smoker (Brinkman index 800; 20 cigarettes/day × 40 years).</w:t>
      </w:r>
    </w:p>
    <w:p w14:paraId="64832A19" w14:textId="77777777" w:rsidR="00A77B3E" w:rsidRPr="004720B6" w:rsidRDefault="00A77B3E" w:rsidP="004720B6">
      <w:pPr>
        <w:snapToGrid w:val="0"/>
        <w:spacing w:line="360" w:lineRule="auto"/>
        <w:jc w:val="both"/>
        <w:rPr>
          <w:rFonts w:ascii="Book Antiqua" w:hAnsi="Book Antiqua"/>
        </w:rPr>
      </w:pPr>
    </w:p>
    <w:p w14:paraId="16F2F0A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Personal and family history</w:t>
      </w:r>
    </w:p>
    <w:p w14:paraId="0106FBE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No family history to note.</w:t>
      </w:r>
    </w:p>
    <w:p w14:paraId="03FAA078" w14:textId="77777777" w:rsidR="00A77B3E" w:rsidRPr="004720B6" w:rsidRDefault="00A77B3E" w:rsidP="004720B6">
      <w:pPr>
        <w:snapToGrid w:val="0"/>
        <w:spacing w:line="360" w:lineRule="auto"/>
        <w:jc w:val="both"/>
        <w:rPr>
          <w:rFonts w:ascii="Book Antiqua" w:hAnsi="Book Antiqua"/>
        </w:rPr>
      </w:pPr>
    </w:p>
    <w:p w14:paraId="40EABD0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Physical examination</w:t>
      </w:r>
    </w:p>
    <w:p w14:paraId="086201E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There were no notable abnormal findings related to esophageal cancer on physical examination, and surgical scars during total hysterectomy were found in the lower abdomen.</w:t>
      </w:r>
    </w:p>
    <w:p w14:paraId="32EECA8A" w14:textId="77777777" w:rsidR="00A77B3E" w:rsidRPr="004720B6" w:rsidRDefault="00A77B3E" w:rsidP="004720B6">
      <w:pPr>
        <w:snapToGrid w:val="0"/>
        <w:spacing w:line="360" w:lineRule="auto"/>
        <w:jc w:val="both"/>
        <w:rPr>
          <w:rFonts w:ascii="Book Antiqua" w:hAnsi="Book Antiqua"/>
        </w:rPr>
      </w:pPr>
    </w:p>
    <w:p w14:paraId="0DDCD3A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Laboratory examinations</w:t>
      </w:r>
    </w:p>
    <w:p w14:paraId="6BB02DAA" w14:textId="5D3DA9A3"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Laboratory data revealed a hemoglobin level of 12.9 g/dL, white blood cell count of 5700 cells/µL and platelet count of 339 </w:t>
      </w:r>
      <w:r w:rsidR="0008180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10</w:t>
      </w:r>
      <w:r w:rsidRPr="004720B6">
        <w:rPr>
          <w:rFonts w:ascii="Book Antiqua" w:eastAsia="Book Antiqua" w:hAnsi="Book Antiqua" w:cs="Book Antiqua"/>
          <w:color w:val="000000"/>
          <w:vertAlign w:val="superscript"/>
        </w:rPr>
        <w:t>3</w:t>
      </w:r>
      <w:r w:rsidRPr="004720B6">
        <w:rPr>
          <w:rFonts w:ascii="Book Antiqua" w:eastAsia="Book Antiqua" w:hAnsi="Book Antiqua" w:cs="Book Antiqua"/>
          <w:color w:val="000000"/>
        </w:rPr>
        <w:t>/μ</w:t>
      </w:r>
      <w:r w:rsidR="00DC3EE7" w:rsidRPr="004720B6">
        <w:rPr>
          <w:rFonts w:ascii="Book Antiqua" w:eastAsia="Book Antiqua" w:hAnsi="Book Antiqua" w:cs="Book Antiqua"/>
          <w:color w:val="000000"/>
        </w:rPr>
        <w:t>L</w:t>
      </w:r>
      <w:r w:rsidRPr="004720B6">
        <w:rPr>
          <w:rFonts w:ascii="Book Antiqua" w:eastAsia="Book Antiqua" w:hAnsi="Book Antiqua" w:cs="Book Antiqua"/>
          <w:color w:val="000000"/>
        </w:rPr>
        <w:t>. The creatinine level was 0.54 mg/dL, total bilirubin level 0.4 mg/dL, direct bilirubin level 0.1 mg/dL, glutamic oxaloacetic transaminase level 15 IU/L, glutamic pyruvate transaminase level 7 IU/L, albumin level 3.8 g/dL, and hemoglobin A1c level 6.1%. Tumor marker levels of the carcinoembryonic antigen was 9.2 ng/mL and squamous cell carcinoma antigen was 7.5 ng/mL.</w:t>
      </w:r>
    </w:p>
    <w:p w14:paraId="60D4D2F5" w14:textId="3B31CF71"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Echocardiography showed almost normal cardiac function with moderate tricuspid regurgitation. Pulmonary function examination revealed vital capacity, 102.0% of predicted; forced expiratory volume in 1 s, 79.1% of predicted; </w:t>
      </w:r>
      <w:r w:rsidR="00DC3EE7" w:rsidRPr="004720B6">
        <w:rPr>
          <w:rFonts w:ascii="Book Antiqua" w:eastAsia="Book Antiqua" w:hAnsi="Book Antiqua" w:cs="Book Antiqua"/>
          <w:color w:val="000000"/>
        </w:rPr>
        <w:t>forced expiratory volume in 1 s</w:t>
      </w:r>
      <w:r w:rsidRPr="004720B6">
        <w:rPr>
          <w:rFonts w:ascii="Book Antiqua" w:eastAsia="Book Antiqua" w:hAnsi="Book Antiqua" w:cs="Book Antiqua"/>
          <w:color w:val="000000"/>
        </w:rPr>
        <w:t>, 1.78 L.</w:t>
      </w:r>
    </w:p>
    <w:p w14:paraId="5FADF91D" w14:textId="77777777" w:rsidR="00A77B3E" w:rsidRPr="004720B6" w:rsidRDefault="00A77B3E" w:rsidP="004720B6">
      <w:pPr>
        <w:snapToGrid w:val="0"/>
        <w:spacing w:line="360" w:lineRule="auto"/>
        <w:ind w:hanging="11"/>
        <w:jc w:val="both"/>
        <w:rPr>
          <w:rFonts w:ascii="Book Antiqua" w:hAnsi="Book Antiqua"/>
        </w:rPr>
      </w:pPr>
    </w:p>
    <w:p w14:paraId="303AADE5"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Imaging examinations</w:t>
      </w:r>
    </w:p>
    <w:p w14:paraId="562DF44B" w14:textId="36C897C1"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EGD was performed and detected an advanced type 2 </w:t>
      </w:r>
      <w:r w:rsidR="001B1137" w:rsidRPr="004720B6">
        <w:rPr>
          <w:rFonts w:ascii="Book Antiqua" w:eastAsia="Book Antiqua" w:hAnsi="Book Antiqua" w:cs="Book Antiqua"/>
          <w:color w:val="000000"/>
        </w:rPr>
        <w:t>l</w:t>
      </w:r>
      <w:r w:rsidRPr="004720B6">
        <w:rPr>
          <w:rFonts w:ascii="Book Antiqua" w:eastAsia="Book Antiqua" w:hAnsi="Book Antiqua" w:cs="Book Antiqua"/>
          <w:color w:val="000000"/>
        </w:rPr>
        <w:t xml:space="preserve">esion on the middle part of the esophagus, with stenosis (Figure 1A). Computed tomography (CT) detected the primary tumor (40.7 mm </w:t>
      </w:r>
      <w:r w:rsidR="0008180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30.7 mm) with suspected invasion of the main left bronchus (Fig</w:t>
      </w:r>
      <w:r w:rsidR="008C253F" w:rsidRPr="004720B6">
        <w:rPr>
          <w:rFonts w:ascii="Book Antiqua" w:eastAsia="Book Antiqua" w:hAnsi="Book Antiqua" w:cs="Book Antiqua"/>
          <w:color w:val="000000"/>
        </w:rPr>
        <w:t>ure</w:t>
      </w:r>
      <w:r w:rsidRPr="004720B6">
        <w:rPr>
          <w:rFonts w:ascii="Book Antiqua" w:eastAsia="Book Antiqua" w:hAnsi="Book Antiqua" w:cs="Book Antiqua"/>
          <w:color w:val="000000"/>
        </w:rPr>
        <w:t xml:space="preserve"> 2A), 90° of direct contact with the aorta (Figure 3A). The upper mediastinal lymph node was swollen (10.16</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8.02</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mm) and was suspected to be metastasis to the right recurrent nerve lymph node (#106recR, Figure 4A), and no distant metastasis was detected.</w:t>
      </w:r>
    </w:p>
    <w:p w14:paraId="3C01D3BD" w14:textId="77777777" w:rsidR="00A77B3E" w:rsidRPr="004720B6" w:rsidRDefault="00A77B3E" w:rsidP="004720B6">
      <w:pPr>
        <w:snapToGrid w:val="0"/>
        <w:spacing w:line="360" w:lineRule="auto"/>
        <w:ind w:hanging="11"/>
        <w:jc w:val="both"/>
        <w:rPr>
          <w:rFonts w:ascii="Book Antiqua" w:hAnsi="Book Antiqua"/>
        </w:rPr>
      </w:pPr>
    </w:p>
    <w:p w14:paraId="2D24C21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FINAL DIAGNOSIS</w:t>
      </w:r>
    </w:p>
    <w:p w14:paraId="7637C52C" w14:textId="39C37BB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Biopsies were taken, and the histological examination led to a diagnosis of a squamous cell carcinoma. The clinical diagnosis was esophageal cancer Mt circ cType2 cT4bN1</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(#106recR)</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M0 cStageIVA according to the Union for International Cancer Control TNM Classification of Malignant Tumors, eighth edition</w:t>
      </w:r>
      <w:r w:rsidRPr="004720B6">
        <w:rPr>
          <w:rFonts w:ascii="Book Antiqua" w:eastAsia="Book Antiqua" w:hAnsi="Book Antiqua" w:cs="Book Antiqua"/>
          <w:color w:val="000000"/>
          <w:vertAlign w:val="superscript"/>
        </w:rPr>
        <w:t>[14]</w:t>
      </w:r>
      <w:r w:rsidRPr="004720B6">
        <w:rPr>
          <w:rFonts w:ascii="Book Antiqua" w:eastAsia="Book Antiqua" w:hAnsi="Book Antiqua" w:cs="Book Antiqua"/>
          <w:color w:val="000000"/>
        </w:rPr>
        <w:t>. The lymph node station was defined according to the Japanese Classification of Esophageal Cancer, 11</w:t>
      </w:r>
      <w:r w:rsidRPr="004720B6">
        <w:rPr>
          <w:rFonts w:ascii="Book Antiqua" w:eastAsia="Book Antiqua" w:hAnsi="Book Antiqua" w:cs="Book Antiqua"/>
          <w:color w:val="000000"/>
          <w:vertAlign w:val="superscript"/>
        </w:rPr>
        <w:t>th</w:t>
      </w:r>
      <w:r w:rsidRPr="004720B6">
        <w:rPr>
          <w:rFonts w:ascii="Book Antiqua" w:eastAsia="Book Antiqua" w:hAnsi="Book Antiqua" w:cs="Book Antiqua"/>
          <w:color w:val="000000"/>
        </w:rPr>
        <w:t xml:space="preserve"> Edition</w:t>
      </w:r>
      <w:r w:rsidRPr="004720B6">
        <w:rPr>
          <w:rFonts w:ascii="Book Antiqua" w:eastAsia="Book Antiqua" w:hAnsi="Book Antiqua" w:cs="Book Antiqua"/>
          <w:color w:val="000000"/>
          <w:vertAlign w:val="superscript"/>
        </w:rPr>
        <w:t>[15]</w:t>
      </w:r>
      <w:r w:rsidRPr="004720B6">
        <w:rPr>
          <w:rFonts w:ascii="Book Antiqua" w:eastAsia="Book Antiqua" w:hAnsi="Book Antiqua" w:cs="Book Antiqua"/>
          <w:color w:val="000000"/>
        </w:rPr>
        <w:t>.</w:t>
      </w:r>
    </w:p>
    <w:p w14:paraId="549425BD" w14:textId="77777777" w:rsidR="00A77B3E" w:rsidRPr="004720B6" w:rsidRDefault="00A77B3E" w:rsidP="004720B6">
      <w:pPr>
        <w:snapToGrid w:val="0"/>
        <w:spacing w:line="360" w:lineRule="auto"/>
        <w:ind w:hanging="11"/>
        <w:jc w:val="both"/>
        <w:rPr>
          <w:rFonts w:ascii="Book Antiqua" w:hAnsi="Book Antiqua"/>
        </w:rPr>
      </w:pPr>
    </w:p>
    <w:p w14:paraId="5278AE2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TREATMENT</w:t>
      </w:r>
    </w:p>
    <w:p w14:paraId="7ABD2C75" w14:textId="1B6EE53E" w:rsidR="00A77B3E" w:rsidRPr="004720B6" w:rsidRDefault="008375B4" w:rsidP="004720B6">
      <w:pPr>
        <w:snapToGrid w:val="0"/>
        <w:spacing w:line="360" w:lineRule="auto"/>
        <w:ind w:hanging="11"/>
        <w:jc w:val="both"/>
        <w:rPr>
          <w:rFonts w:ascii="Book Antiqua" w:eastAsia="Book Antiqua" w:hAnsi="Book Antiqua" w:cs="Book Antiqua"/>
          <w:color w:val="000000"/>
        </w:rPr>
      </w:pPr>
      <w:r w:rsidRPr="004720B6">
        <w:rPr>
          <w:rFonts w:ascii="Book Antiqua" w:eastAsia="Book Antiqua" w:hAnsi="Book Antiqua" w:cs="Book Antiqua"/>
          <w:color w:val="000000"/>
        </w:rPr>
        <w:t>First, a gastrostomy was created using an endoscope for the possibility of total occlusion when the tumor grew.</w:t>
      </w:r>
    </w:p>
    <w:p w14:paraId="085D3E5D" w14:textId="77777777" w:rsidR="00D16524" w:rsidRPr="004720B6" w:rsidRDefault="00D16524" w:rsidP="004720B6">
      <w:pPr>
        <w:snapToGrid w:val="0"/>
        <w:spacing w:line="360" w:lineRule="auto"/>
        <w:ind w:hanging="11"/>
        <w:jc w:val="both"/>
        <w:rPr>
          <w:rFonts w:ascii="Book Antiqua" w:hAnsi="Book Antiqua"/>
        </w:rPr>
      </w:pPr>
    </w:p>
    <w:p w14:paraId="465F8A1A" w14:textId="5C7206D3"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Induction chemotherapy with DCF</w:t>
      </w:r>
    </w:p>
    <w:p w14:paraId="5A41DC30" w14:textId="0432BE8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Five days after creating the gastrostomy, induction chemotherapy consisted of intravenous administration of DTX on day 1; infusion of CDDP on day 1; and continuous intravenous administration of 5</w:t>
      </w:r>
      <w:r w:rsidRPr="004720B6">
        <w:rPr>
          <w:rFonts w:ascii="Book Antiqua" w:eastAsia="Book Antiqua" w:hAnsi="Book Antiqua" w:cs="Book Antiqua"/>
          <w:color w:val="000000"/>
        </w:rPr>
        <w:noBreakHyphen/>
        <w:t>FU on days 1</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5. Oral prophylactic antibiotics with ciprofloxacin (200 mg × 3/d) were administered on days 5</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15. This regimen was repeated for three courses. The first course was administered with a full dose of DCF (DTX: 70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CDDP: 70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5</w:t>
      </w:r>
      <w:r w:rsidRPr="004720B6">
        <w:rPr>
          <w:rFonts w:ascii="Book Antiqua" w:eastAsia="Book Antiqua" w:hAnsi="Book Antiqua" w:cs="Book Antiqua"/>
          <w:color w:val="000000"/>
        </w:rPr>
        <w:noBreakHyphen/>
        <w:t>FU: 750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the patient experienced grade 4 neutropenia, for which we used granulocyte-colony stimulating factor. The second and third courses of DCF were administered with the −1 Level of dose (DTX: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CDDP: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5</w:t>
      </w:r>
      <w:r w:rsidRPr="004720B6">
        <w:rPr>
          <w:rFonts w:ascii="Book Antiqua" w:eastAsia="Book Antiqua" w:hAnsi="Book Antiqua" w:cs="Book Antiqua"/>
          <w:color w:val="000000"/>
        </w:rPr>
        <w:noBreakHyphen/>
        <w:t>FU: 600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After three courses of DCF, the CT findings showed shrinkage of the tumor size (36.6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30.5 mm) but invasion of the left bronchus (Figure 2B) and aorta (Figure 3B) was still suspected. Thus, the lesion was still evaluated as unresectable. The #106recR lymph node had slightly shrunk (8.01 </w:t>
      </w:r>
      <w:r w:rsidR="00051F17" w:rsidRPr="004720B6">
        <w:rPr>
          <w:rFonts w:ascii="Book Antiqua" w:eastAsia="Book Antiqua" w:hAnsi="Book Antiqua" w:cs="Book Antiqua"/>
          <w:color w:val="000000"/>
        </w:rPr>
        <w:t xml:space="preserve">mm </w:t>
      </w:r>
      <w:r w:rsidRPr="004720B6">
        <w:rPr>
          <w:rFonts w:ascii="Book Antiqua" w:eastAsia="Book Antiqua" w:hAnsi="Book Antiqua" w:cs="Book Antiqua"/>
          <w:color w:val="000000"/>
        </w:rPr>
        <w:t>× 6.69 mm; Fig</w:t>
      </w:r>
      <w:r w:rsidR="00051F17" w:rsidRPr="004720B6">
        <w:rPr>
          <w:rFonts w:ascii="Book Antiqua" w:eastAsia="Book Antiqua" w:hAnsi="Book Antiqua" w:cs="Book Antiqua"/>
          <w:color w:val="000000"/>
        </w:rPr>
        <w:t>ure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4B). EGD findings also showed a decrease in the primary tumor volume (Figure 1B), and evaluation of the clinical efficacy of the chemotherapy was defined to be stable disease according to the Response Evaluation Criteria in Solid Tumors criteria version 1.0.</w:t>
      </w:r>
    </w:p>
    <w:p w14:paraId="2BA907FD" w14:textId="77777777" w:rsidR="00A77B3E" w:rsidRPr="004720B6" w:rsidRDefault="00A77B3E" w:rsidP="004720B6">
      <w:pPr>
        <w:snapToGrid w:val="0"/>
        <w:spacing w:line="360" w:lineRule="auto"/>
        <w:jc w:val="both"/>
        <w:rPr>
          <w:rFonts w:ascii="Book Antiqua" w:hAnsi="Book Antiqua"/>
        </w:rPr>
      </w:pPr>
    </w:p>
    <w:p w14:paraId="0EA433A1" w14:textId="29C3E6F5"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Definitive chemoradiotherapy with CF</w:t>
      </w:r>
    </w:p>
    <w:p w14:paraId="4C5D5C3D" w14:textId="0352B984" w:rsidR="00A77B3E" w:rsidRPr="004720B6" w:rsidRDefault="008375B4" w:rsidP="004720B6">
      <w:pPr>
        <w:snapToGrid w:val="0"/>
        <w:spacing w:line="360" w:lineRule="auto"/>
        <w:jc w:val="both"/>
        <w:rPr>
          <w:rFonts w:ascii="Book Antiqua" w:eastAsia="Book Antiqua" w:hAnsi="Book Antiqua" w:cs="Book Antiqua"/>
          <w:color w:val="000000"/>
        </w:rPr>
      </w:pPr>
      <w:r w:rsidRPr="004720B6">
        <w:rPr>
          <w:rFonts w:ascii="Book Antiqua" w:eastAsia="Book Antiqua" w:hAnsi="Book Antiqua" w:cs="Book Antiqua"/>
          <w:color w:val="000000"/>
        </w:rPr>
        <w:t>After induction DCF therapy, dCRT with CF was performed, consisting of concurrently administered CDDP on days 1 and 28, and 5</w:t>
      </w:r>
      <w:r w:rsidRPr="004720B6">
        <w:rPr>
          <w:rFonts w:ascii="Book Antiqua" w:eastAsia="Book Antiqua" w:hAnsi="Book Antiqua" w:cs="Book Antiqua"/>
          <w:color w:val="000000"/>
        </w:rPr>
        <w:noBreakHyphen/>
        <w:t>FU on days 1</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4 and 28</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31. The first and second courses of CF were administered with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CDDP and 550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5</w:t>
      </w:r>
      <w:r w:rsidRPr="004720B6">
        <w:rPr>
          <w:rFonts w:ascii="Book Antiqua" w:eastAsia="Book Antiqua" w:hAnsi="Book Antiqua" w:cs="Book Antiqua"/>
          <w:color w:val="000000"/>
        </w:rPr>
        <w:noBreakHyphen/>
        <w:t>FU. Radiotherapy consisted of 60 Gy with a daily dose of 2 Gy delivered with 10 MV X</w:t>
      </w:r>
      <w:r w:rsidRPr="004720B6">
        <w:rPr>
          <w:rFonts w:ascii="Book Antiqua" w:eastAsia="Book Antiqua" w:hAnsi="Book Antiqua" w:cs="Book Antiqua"/>
          <w:color w:val="000000"/>
        </w:rPr>
        <w:noBreakHyphen/>
        <w:t xml:space="preserve">rays. Three-dimensional treatment planning with a CT stimulator was used. The pretreatment gross tumor volume was determined </w:t>
      </w:r>
      <w:r w:rsidRPr="004720B6">
        <w:rPr>
          <w:rFonts w:ascii="Book Antiqua" w:eastAsia="Book Antiqua" w:hAnsi="Book Antiqua" w:cs="Book Antiqua"/>
          <w:i/>
          <w:iCs/>
          <w:color w:val="000000"/>
        </w:rPr>
        <w:t>via</w:t>
      </w:r>
      <w:r w:rsidRPr="004720B6">
        <w:rPr>
          <w:rFonts w:ascii="Book Antiqua" w:eastAsia="Book Antiqua" w:hAnsi="Book Antiqua" w:cs="Book Antiqua"/>
          <w:color w:val="000000"/>
        </w:rPr>
        <w:t xml:space="preserve"> CT and EGD. The clinical target volume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included the gross tumor volume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and a craniocaudal margin of 2.4 cm around the primary tumor. Swollen lymph node (#106recR) was designated as </w:t>
      </w:r>
      <w:r w:rsidR="00EF2B7F" w:rsidRPr="004720B6">
        <w:rPr>
          <w:rFonts w:ascii="Book Antiqua" w:eastAsia="Book Antiqua" w:hAnsi="Book Antiqua" w:cs="Book Antiqua"/>
          <w:color w:val="000000"/>
        </w:rPr>
        <w:t xml:space="preserve">gross tumor volume </w:t>
      </w:r>
      <w:r w:rsidRPr="004720B6">
        <w:rPr>
          <w:rFonts w:ascii="Book Antiqua" w:eastAsia="Book Antiqua" w:hAnsi="Book Antiqua" w:cs="Book Antiqua"/>
          <w:color w:val="000000"/>
        </w:rPr>
        <w:t>node. Prophylactic irradiation of mediastinal lymph node areas was performed (Figure 5). The maximum irradiation of the spinal cord was 43 Gy, and the volume of lungs exposed to 20 Gy was set at 17.1%.</w:t>
      </w:r>
      <w:r w:rsidRPr="004720B6">
        <w:rPr>
          <w:rFonts w:ascii="Book Antiqua" w:eastAsia="宋体" w:hAnsi="Book Antiqua" w:cs="宋体"/>
          <w:color w:val="000000"/>
        </w:rPr>
        <w:t xml:space="preserve">　</w:t>
      </w:r>
      <w:r w:rsidRPr="004720B6">
        <w:rPr>
          <w:rFonts w:ascii="Book Antiqua" w:eastAsia="Book Antiqua" w:hAnsi="Book Antiqua" w:cs="Book Antiqua"/>
          <w:color w:val="000000"/>
        </w:rPr>
        <w:t xml:space="preserve">In the second course of CF, grade 4 neutropenia and grade 3 anorexia were observed. After dCRT, EGD findings showed a prominent reduction of the primary tumor, with ulceration (Figure 1C). The lesion was not stained by iodine staining, and the pink color sign was positive. CT findings showed shrinkage of the primary tumor (23.5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25.1 mm) (Figure 2C</w:t>
      </w:r>
      <w:r w:rsidR="003B6811" w:rsidRPr="004720B6">
        <w:rPr>
          <w:rFonts w:ascii="Book Antiqua" w:eastAsia="Book Antiqua" w:hAnsi="Book Antiqua" w:cs="Book Antiqua"/>
          <w:color w:val="000000"/>
        </w:rPr>
        <w:t xml:space="preserve"> and </w:t>
      </w:r>
      <w:r w:rsidRPr="004720B6">
        <w:rPr>
          <w:rFonts w:ascii="Book Antiqua" w:eastAsia="Book Antiqua" w:hAnsi="Book Antiqua" w:cs="Book Antiqua"/>
          <w:color w:val="000000"/>
        </w:rPr>
        <w:t xml:space="preserve">Figure 3C), which was evaluated to be a partial response. The #106recR lymph node did not change in size (8.31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7.59 mm; Figure 4C). CT also revealed pulmonary embolism and deep vein thrombosis of the left popliteal vein. We began administering direct oral anticoagulant.</w:t>
      </w:r>
    </w:p>
    <w:p w14:paraId="49189E68" w14:textId="77777777" w:rsidR="003B6811" w:rsidRPr="004720B6" w:rsidRDefault="003B6811" w:rsidP="004720B6">
      <w:pPr>
        <w:snapToGrid w:val="0"/>
        <w:spacing w:line="360" w:lineRule="auto"/>
        <w:jc w:val="both"/>
        <w:rPr>
          <w:rFonts w:ascii="Book Antiqua" w:hAnsi="Book Antiqua"/>
        </w:rPr>
      </w:pPr>
    </w:p>
    <w:p w14:paraId="34A86534" w14:textId="77777777"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 xml:space="preserve">Additional CF chemotherapy </w:t>
      </w:r>
    </w:p>
    <w:p w14:paraId="3B3F5BF3" w14:textId="490F202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Considering of the patient’s status and of complication risks of salvage surgery after dCRT, we performed two additional courses of CF treatment, consisting of concurrent administration of CDDP on days 1 and 28, and of 5</w:t>
      </w:r>
      <w:r w:rsidRPr="004720B6">
        <w:rPr>
          <w:rFonts w:ascii="Book Antiqua" w:eastAsia="Book Antiqua" w:hAnsi="Book Antiqua" w:cs="Book Antiqua"/>
          <w:color w:val="000000"/>
        </w:rPr>
        <w:noBreakHyphen/>
        <w:t>FU on days 1</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5 and 28</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32. The first course of CF was administered 4 wk after last irradiation with 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CDDP and 500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5</w:t>
      </w:r>
      <w:r w:rsidRPr="004720B6">
        <w:rPr>
          <w:rFonts w:ascii="Book Antiqua" w:eastAsia="Book Antiqua" w:hAnsi="Book Antiqua" w:cs="Book Antiqua"/>
          <w:color w:val="000000"/>
        </w:rPr>
        <w:noBreakHyphen/>
        <w:t>FU, while the second course was administered with 40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and 400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respectively. After this additional CF, CT findings revealed tumor shrinkage and wall thickening, which was considered to be the effect of radiotherapy.</w:t>
      </w:r>
    </w:p>
    <w:p w14:paraId="08B74DE0" w14:textId="6661AEF4"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#106recR lymph node had significantly shrunk and not be detected (Figure 4D). EGD findings revealed a scarred and flattened primary lesion and biopsy found no cancer cells. Positron emission tomography showed no accumulation and viability of the primary tumor or any metastasis were not indicated.</w:t>
      </w:r>
    </w:p>
    <w:p w14:paraId="7B33409F" w14:textId="77777777" w:rsidR="00A77B3E" w:rsidRPr="004720B6" w:rsidRDefault="00A77B3E" w:rsidP="004720B6">
      <w:pPr>
        <w:snapToGrid w:val="0"/>
        <w:spacing w:line="360" w:lineRule="auto"/>
        <w:ind w:hanging="11"/>
        <w:jc w:val="both"/>
        <w:rPr>
          <w:rFonts w:ascii="Book Antiqua" w:hAnsi="Book Antiqua"/>
        </w:rPr>
      </w:pPr>
    </w:p>
    <w:p w14:paraId="78430114" w14:textId="77777777" w:rsidR="00A77B3E" w:rsidRPr="004720B6" w:rsidRDefault="008375B4" w:rsidP="004720B6">
      <w:pPr>
        <w:snapToGrid w:val="0"/>
        <w:spacing w:line="360" w:lineRule="auto"/>
        <w:ind w:hanging="11"/>
        <w:jc w:val="both"/>
        <w:rPr>
          <w:rFonts w:ascii="Book Antiqua" w:hAnsi="Book Antiqua"/>
          <w:i/>
          <w:iCs/>
        </w:rPr>
      </w:pPr>
      <w:r w:rsidRPr="004720B6">
        <w:rPr>
          <w:rFonts w:ascii="Book Antiqua" w:eastAsia="Book Antiqua" w:hAnsi="Book Antiqua" w:cs="Book Antiqua"/>
          <w:b/>
          <w:bCs/>
          <w:i/>
          <w:iCs/>
          <w:color w:val="000000"/>
        </w:rPr>
        <w:t>Adverse events</w:t>
      </w:r>
    </w:p>
    <w:p w14:paraId="3D8D5D11" w14:textId="4C81AF8A"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Our present case experienced grade 4 neutropenia in the first course of full-dose induction DCF and the second course of dCRT and grade</w:t>
      </w:r>
      <w:r w:rsidR="003B6811"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3 thromboembolic event. Adverse events was defined according to the National Cancer Institute Common Terminology Criteria for Adverse Events version 5.0</w:t>
      </w:r>
      <w:r w:rsidRPr="004720B6">
        <w:rPr>
          <w:rFonts w:ascii="Book Antiqua" w:eastAsia="Book Antiqua" w:hAnsi="Book Antiqua" w:cs="Book Antiqua"/>
          <w:color w:val="000000"/>
          <w:vertAlign w:val="superscript"/>
        </w:rPr>
        <w:t>[16]</w:t>
      </w:r>
      <w:r w:rsidRPr="004720B6">
        <w:rPr>
          <w:rFonts w:ascii="Book Antiqua" w:eastAsia="Book Antiqua" w:hAnsi="Book Antiqua" w:cs="Book Antiqua"/>
          <w:color w:val="000000"/>
        </w:rPr>
        <w:t>.</w:t>
      </w:r>
    </w:p>
    <w:p w14:paraId="7338384E" w14:textId="77777777" w:rsidR="00A77B3E" w:rsidRPr="004720B6" w:rsidRDefault="00A77B3E" w:rsidP="004720B6">
      <w:pPr>
        <w:snapToGrid w:val="0"/>
        <w:spacing w:line="360" w:lineRule="auto"/>
        <w:ind w:hanging="11"/>
        <w:jc w:val="both"/>
        <w:rPr>
          <w:rFonts w:ascii="Book Antiqua" w:hAnsi="Book Antiqua"/>
        </w:rPr>
      </w:pPr>
    </w:p>
    <w:p w14:paraId="4ED4EE1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OUTCOME AND FOLLOW-UP</w:t>
      </w:r>
    </w:p>
    <w:p w14:paraId="59BEB59B" w14:textId="3240D1E9"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Six months later, CT showed no remarkable change, and gadolinium scintigraphy did not produce any findings suggestive of malignant accumulation. Fourteen months after the last chemotherapy, CT and EGD showed no recurrence and maintained clinical CR (Figure</w:t>
      </w:r>
      <w:r w:rsidR="003A4C8B">
        <w:rPr>
          <w:rFonts w:ascii="Book Antiqua" w:eastAsia="Book Antiqua" w:hAnsi="Book Antiqua" w:cs="Book Antiqua"/>
          <w:color w:val="000000"/>
        </w:rPr>
        <w:t>s</w:t>
      </w:r>
      <w:r w:rsidRPr="004720B6">
        <w:rPr>
          <w:rFonts w:ascii="Book Antiqua" w:eastAsia="Book Antiqua" w:hAnsi="Book Antiqua" w:cs="Book Antiqua"/>
          <w:color w:val="000000"/>
        </w:rPr>
        <w:t xml:space="preserve"> 1D, 2D and 3D).</w:t>
      </w:r>
    </w:p>
    <w:p w14:paraId="0449DF91" w14:textId="77777777" w:rsidR="00A77B3E" w:rsidRPr="004720B6" w:rsidRDefault="00A77B3E" w:rsidP="004720B6">
      <w:pPr>
        <w:snapToGrid w:val="0"/>
        <w:spacing w:line="360" w:lineRule="auto"/>
        <w:ind w:hanging="11"/>
        <w:jc w:val="both"/>
        <w:rPr>
          <w:rFonts w:ascii="Book Antiqua" w:hAnsi="Book Antiqua"/>
        </w:rPr>
      </w:pPr>
    </w:p>
    <w:p w14:paraId="21127281" w14:textId="77777777" w:rsidR="00A77B3E" w:rsidRPr="004720B6" w:rsidRDefault="008375B4" w:rsidP="004720B6">
      <w:pPr>
        <w:snapToGrid w:val="0"/>
        <w:spacing w:line="360" w:lineRule="auto"/>
        <w:ind w:hanging="11"/>
        <w:jc w:val="both"/>
        <w:rPr>
          <w:rFonts w:ascii="Book Antiqua" w:hAnsi="Book Antiqua"/>
          <w:i/>
          <w:iCs/>
        </w:rPr>
      </w:pPr>
      <w:r w:rsidRPr="004720B6">
        <w:rPr>
          <w:rFonts w:ascii="Book Antiqua" w:eastAsia="Book Antiqua" w:hAnsi="Book Antiqua" w:cs="Book Antiqua"/>
          <w:b/>
          <w:bCs/>
          <w:i/>
          <w:iCs/>
          <w:color w:val="000000"/>
        </w:rPr>
        <w:t>Pathological examination and classification</w:t>
      </w:r>
    </w:p>
    <w:p w14:paraId="5BBF7483" w14:textId="71B4F561"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Before treatment, biopsy from the primary tumor revealed squamous cell carcinoma (Figure </w:t>
      </w:r>
      <w:r w:rsidR="001B1137" w:rsidRPr="004720B6">
        <w:rPr>
          <w:rFonts w:ascii="Book Antiqua" w:eastAsia="Book Antiqua" w:hAnsi="Book Antiqua" w:cs="Book Antiqua"/>
          <w:color w:val="000000"/>
        </w:rPr>
        <w:t>6</w:t>
      </w:r>
      <w:r w:rsidRPr="004720B6">
        <w:rPr>
          <w:rFonts w:ascii="Book Antiqua" w:eastAsia="Book Antiqua" w:hAnsi="Book Antiqua" w:cs="Book Antiqua"/>
          <w:color w:val="000000"/>
        </w:rPr>
        <w:t>A). Fourteen months after the last chemotherapy, biopsy from the scarred primary lesion revealed no cancer cells (Figure</w:t>
      </w:r>
      <w:r w:rsidR="009617E2" w:rsidRPr="004720B6">
        <w:rPr>
          <w:rFonts w:ascii="Book Antiqua" w:eastAsia="Book Antiqua" w:hAnsi="Book Antiqua" w:cs="Book Antiqua"/>
          <w:color w:val="000000"/>
        </w:rPr>
        <w:t xml:space="preserve"> </w:t>
      </w:r>
      <w:r w:rsidR="001B1137" w:rsidRPr="004720B6">
        <w:rPr>
          <w:rFonts w:ascii="Book Antiqua" w:eastAsia="Book Antiqua" w:hAnsi="Book Antiqua" w:cs="Book Antiqua"/>
          <w:color w:val="000000"/>
        </w:rPr>
        <w:t>6</w:t>
      </w:r>
      <w:r w:rsidRPr="004720B6">
        <w:rPr>
          <w:rFonts w:ascii="Book Antiqua" w:eastAsia="Book Antiqua" w:hAnsi="Book Antiqua" w:cs="Book Antiqua"/>
          <w:color w:val="000000"/>
        </w:rPr>
        <w:t>B).</w:t>
      </w:r>
    </w:p>
    <w:p w14:paraId="5AE5A187" w14:textId="77777777" w:rsidR="00A77B3E" w:rsidRPr="004720B6" w:rsidRDefault="00A77B3E" w:rsidP="004720B6">
      <w:pPr>
        <w:snapToGrid w:val="0"/>
        <w:spacing w:line="360" w:lineRule="auto"/>
        <w:ind w:hanging="11"/>
        <w:jc w:val="both"/>
        <w:rPr>
          <w:rFonts w:ascii="Book Antiqua" w:hAnsi="Book Antiqua"/>
        </w:rPr>
      </w:pPr>
    </w:p>
    <w:p w14:paraId="36728D0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DISCUSSION</w:t>
      </w:r>
    </w:p>
    <w:p w14:paraId="6398852E"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In the present study, we have described the successful case of an unresectable locally advanced T4 ESCC treated by additional CF chemotherapy after induction DCF followed by dCRT. The most characteristic point of this case is that additional CF chemotherapy can be an alternative radical treatment of residual ESCC for salvage surgery after induction DCF followed by dCRT, especially in high-risk patients.</w:t>
      </w:r>
    </w:p>
    <w:p w14:paraId="6D3A0E6C" w14:textId="7E0E3EDC"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The standard treatment for unresectable ESCC without distant metastasis is dCRT with CF, using a total irradiation dose of 50.4 or 60 Gy</w:t>
      </w:r>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 Previous multicenter clinical trials of JCOG (JCOG9516, JCOG0303) with concurrent chemoradiotherapy with CF in patients with ESCC with cT4 tumor or M1 Lymph node showed a CR rate of 1.4</w:t>
      </w:r>
      <w:r w:rsidR="00051F17" w:rsidRPr="004720B6">
        <w:rPr>
          <w:rFonts w:ascii="Book Antiqua" w:eastAsia="Book Antiqua" w:hAnsi="Book Antiqua" w:cs="Book Antiqua"/>
          <w:color w:val="000000"/>
        </w:rPr>
        <w:t>%</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15%</w:t>
      </w:r>
      <w:r w:rsidRPr="004720B6">
        <w:rPr>
          <w:rFonts w:ascii="Book Antiqua" w:eastAsia="Book Antiqua" w:hAnsi="Book Antiqua" w:cs="Book Antiqua"/>
          <w:color w:val="000000"/>
          <w:vertAlign w:val="superscript"/>
        </w:rPr>
        <w:t>[5,17]</w:t>
      </w:r>
      <w:r w:rsidRPr="004720B6">
        <w:rPr>
          <w:rFonts w:ascii="Book Antiqua" w:eastAsia="Book Antiqua" w:hAnsi="Book Antiqua" w:cs="Book Antiqua"/>
          <w:color w:val="000000"/>
        </w:rPr>
        <w:t>. Recently, two high-volume centers reported that the CR rate after dCRT was 22.4</w:t>
      </w:r>
      <w:r w:rsidR="003B6811" w:rsidRPr="004720B6">
        <w:rPr>
          <w:rFonts w:ascii="Book Antiqua" w:eastAsia="Book Antiqua" w:hAnsi="Book Antiqua" w:cs="Book Antiqua"/>
          <w:color w:val="000000"/>
        </w:rPr>
        <w:t>%</w:t>
      </w:r>
      <w:r w:rsidR="00E255C3">
        <w:rPr>
          <w:rFonts w:ascii="Book Antiqua" w:eastAsia="Book Antiqua" w:hAnsi="Book Antiqua" w:cs="Book Antiqua"/>
          <w:color w:val="000000"/>
        </w:rPr>
        <w:t>-</w:t>
      </w:r>
      <w:r w:rsidRPr="004720B6">
        <w:rPr>
          <w:rFonts w:ascii="Book Antiqua" w:eastAsia="Book Antiqua" w:hAnsi="Book Antiqua" w:cs="Book Antiqua"/>
          <w:color w:val="000000"/>
        </w:rPr>
        <w:t>29%</w:t>
      </w:r>
      <w:r w:rsidRPr="004720B6">
        <w:rPr>
          <w:rFonts w:ascii="Book Antiqua" w:eastAsia="Book Antiqua" w:hAnsi="Book Antiqua" w:cs="Book Antiqua"/>
          <w:color w:val="000000"/>
          <w:vertAlign w:val="superscript"/>
        </w:rPr>
        <w:t>[7,11]</w:t>
      </w:r>
      <w:r w:rsidRPr="004720B6">
        <w:rPr>
          <w:rFonts w:ascii="Book Antiqua" w:eastAsia="Book Antiqua" w:hAnsi="Book Antiqua" w:cs="Book Antiqua"/>
          <w:color w:val="000000"/>
        </w:rPr>
        <w:t>. While, salvage esophagectomy may be chosen as the treatment of residual or recurrent tumors after dCRT if the tumor is resectable. However, salvage esophagectomy after dCRT is associated with a high incidence rate of severe postoperative complications (22.9</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29%) and surgery-related death (8.6</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10%)</w:t>
      </w:r>
      <w:r w:rsidRPr="004720B6">
        <w:rPr>
          <w:rFonts w:ascii="Book Antiqua" w:eastAsia="Book Antiqua" w:hAnsi="Book Antiqua" w:cs="Book Antiqua"/>
          <w:color w:val="000000"/>
          <w:vertAlign w:val="superscript"/>
        </w:rPr>
        <w:t>[6,11]</w:t>
      </w:r>
      <w:r w:rsidRPr="004720B6">
        <w:rPr>
          <w:rFonts w:ascii="Book Antiqua" w:eastAsia="Book Antiqua" w:hAnsi="Book Antiqua" w:cs="Book Antiqua"/>
          <w:color w:val="000000"/>
        </w:rPr>
        <w:t>. Although some studies conversely described that the surgery-related mortality rate was zero</w:t>
      </w:r>
      <w:r w:rsidRPr="004720B6">
        <w:rPr>
          <w:rFonts w:ascii="Book Antiqua" w:eastAsia="Book Antiqua" w:hAnsi="Book Antiqua" w:cs="Book Antiqua"/>
          <w:color w:val="000000"/>
          <w:vertAlign w:val="superscript"/>
        </w:rPr>
        <w:t>[7,10]</w:t>
      </w:r>
      <w:r w:rsidRPr="004720B6">
        <w:rPr>
          <w:rFonts w:ascii="Book Antiqua" w:eastAsia="Book Antiqua" w:hAnsi="Book Antiqua" w:cs="Book Antiqua"/>
          <w:color w:val="000000"/>
        </w:rPr>
        <w:t>, this discrepancy may be due to selection bias; thus, the indication for salvage surgery needs to be carefully determined. The Esophageal Cancer Practice Guidelines 2017, edited by the Japan Esophageal Society, weakly recommended against performing salvage surgery for T4 ESCC patients showing residual disease after dCRT</w:t>
      </w:r>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w:t>
      </w:r>
    </w:p>
    <w:p w14:paraId="3FA94942" w14:textId="699CC8DB" w:rsidR="008139AD"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Booka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[7]</w:t>
      </w:r>
      <w:r w:rsidR="003B6811"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reported from their experience of salvage surgery for T4 ESCC that the 5-year overall survival (OS) following a CR after dCRT, salvage esophagectomy, and chemotherapy or best supportive care groups were 83.0</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 51.6</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and 1.3%, respectively. In addition, in the salvage group, R1/R2 resection was a significantly poor prognostic factor, for which the 3-year OS was 0%. Okamura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[6]</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reported their experience regarding the role of salvage surgery after dCRT in 35 patients; the 5-year OS was 5.7% and all patients with incomplete resection died within 2 years. Considering the results of these previous studies, incomplete resection in salvage surgery not only impairs quality of life but also fails to improve the prognosis. Therefore, we should select good candidates for salvage surgery after dCRT. Several studies have described the risk factors for incomplete resection</w:t>
      </w:r>
      <w:r w:rsidR="00E255C3">
        <w:rPr>
          <w:rFonts w:ascii="Book Antiqua" w:eastAsia="Book Antiqua" w:hAnsi="Book Antiqua" w:cs="Book Antiqua"/>
          <w:color w:val="000000"/>
        </w:rPr>
        <w:t>:</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1) Patients with a tumor in the upper thoracic esophagus were up to 50% more likely to undergo incomplete (R1/R2) resection</w:t>
      </w:r>
      <w:r w:rsidRPr="004720B6">
        <w:rPr>
          <w:rFonts w:ascii="Book Antiqua" w:eastAsia="Book Antiqua" w:hAnsi="Book Antiqua" w:cs="Book Antiqua"/>
          <w:color w:val="000000"/>
          <w:vertAlign w:val="superscript"/>
        </w:rPr>
        <w:t>[7]</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r w:rsidR="00E255C3">
        <w:rPr>
          <w:rFonts w:ascii="Book Antiqua" w:eastAsia="Book Antiqua" w:hAnsi="Book Antiqua" w:cs="Book Antiqua"/>
          <w:color w:val="000000"/>
        </w:rPr>
        <w:t xml:space="preserve">and </w:t>
      </w:r>
      <w:r w:rsidR="008139AD" w:rsidRPr="004720B6">
        <w:rPr>
          <w:rFonts w:ascii="Book Antiqua" w:eastAsia="Book Antiqua" w:hAnsi="Book Antiqua" w:cs="Book Antiqua"/>
          <w:color w:val="000000"/>
        </w:rPr>
        <w:t>(</w:t>
      </w:r>
      <w:r w:rsidRPr="004720B6">
        <w:rPr>
          <w:rFonts w:ascii="Book Antiqua" w:eastAsia="Book Antiqua" w:hAnsi="Book Antiqua" w:cs="Book Antiqua"/>
          <w:color w:val="000000"/>
        </w:rPr>
        <w:t>2) Patients with a tumor evaluated T3 or deeper after dCRT were also up to 55.2% likely to undergo incomplete resection</w:t>
      </w:r>
      <w:r w:rsidRPr="004720B6">
        <w:rPr>
          <w:rFonts w:ascii="Book Antiqua" w:eastAsia="Book Antiqua" w:hAnsi="Book Antiqua" w:cs="Book Antiqua"/>
          <w:color w:val="000000"/>
          <w:vertAlign w:val="superscript"/>
        </w:rPr>
        <w:t>[6]</w:t>
      </w:r>
      <w:r w:rsidRPr="004720B6">
        <w:rPr>
          <w:rFonts w:ascii="Book Antiqua" w:eastAsia="Book Antiqua" w:hAnsi="Book Antiqua" w:cs="Book Antiqua"/>
          <w:color w:val="000000"/>
        </w:rPr>
        <w:t>. In our present case, the tumor was located on middle part of the esophagus and remnant tumor was estimated less than T2 after dCRT, therefore salvage surgery may have been the one option if the patient was adequately tolerated for surgery.</w:t>
      </w:r>
    </w:p>
    <w:p w14:paraId="1C5F0298" w14:textId="77777777" w:rsidR="008139AD"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Recently, induction chemotherapy has become another important treatment strategy for unresectable ESCC. Satake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[13]</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conducted a phase I/II trial of induction chemotherapy with DCF followed by dCRT using CF with 60 Gy radiotherapy in patients with unresectable locally advanced ESCC. The CR rate was 39.4% and the 1- and 3-year OS rates were 78.8</w:t>
      </w:r>
      <w:r w:rsidR="008139AD"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and 40.4%, respectively, and 8 out of 33 patients underwent salvage surgery, with 5 patients achieving curative resection (62.5%; 5/8). Yokota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[18]</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conducted a phase II trial of induction chemotherapy using DCF for patients with unresectable locally advanced ESCC. After induction chemotherapy, patients whose cancer was converted to being resectable received conversion surgery, and patients whose cancer remained unresectable received dCRT. The overall rate of R0 resection was 39.6% and the 1-year OS rate was 67.9% across all patients. Four of 17 patients (23.5%) who completed dCRT achieved a CR without conversion surgery.</w:t>
      </w:r>
    </w:p>
    <w:p w14:paraId="2AFBF846" w14:textId="77777777" w:rsidR="00B674D0"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In our present case, the lesion was evaluated to be stable disease and unresectable after three courses of induction DCF. However, after dCRT, prominent tumor volume reduction was observed and evaluated to be partial response. </w:t>
      </w:r>
      <w:bookmarkStart w:id="9" w:name="OLE_LINK3"/>
      <w:bookmarkStart w:id="10" w:name="OLE_LINK4"/>
      <w:r w:rsidRPr="004720B6">
        <w:rPr>
          <w:rFonts w:ascii="Book Antiqua" w:eastAsia="Book Antiqua" w:hAnsi="Book Antiqua" w:cs="Book Antiqua"/>
          <w:color w:val="000000"/>
        </w:rPr>
        <w:t>Satake</w:t>
      </w:r>
      <w:bookmarkEnd w:id="9"/>
      <w:bookmarkEnd w:id="10"/>
      <w:r w:rsidRPr="004720B6">
        <w:rPr>
          <w:rFonts w:ascii="Book Antiqua" w:eastAsia="Book Antiqua" w:hAnsi="Book Antiqua" w:cs="Book Antiqua"/>
          <w:color w:val="000000"/>
        </w:rPr>
        <w:t xml:space="preserve">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[13]</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reported in their phase II study that of 13 patients who had no response after induction DCF, 2 achieved a clinical CR and 4 achieved a clinical partial response after subsequent dCRT. Thus, a shift in strategy to dCRT might also be effective for non-responders to induction DCF chemotherapy.</w:t>
      </w:r>
    </w:p>
    <w:p w14:paraId="23F6872B" w14:textId="41793CE0"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The most characteristic treatment strategy in this case is that we chose additional CF chemotherapy, not salvage surgery, for residual ESCC after induction DCF followed by dCRT, considering the patient’s status such as histories of endometrial cancer, tongue cancer, brainstem hemorrhage and hepatitis B virus.</w:t>
      </w:r>
      <w:r w:rsidR="009617E2"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Although it is unknown whether additional CF is superior to salvage surgery, it was reported that salvage esophagectomy patients had a significantly worse OS rate than CR patients without surgery</w:t>
      </w:r>
      <w:r w:rsidRPr="004720B6">
        <w:rPr>
          <w:rFonts w:ascii="Book Antiqua" w:eastAsia="Book Antiqua" w:hAnsi="Book Antiqua" w:cs="Book Antiqua"/>
          <w:color w:val="000000"/>
          <w:vertAlign w:val="superscript"/>
        </w:rPr>
        <w:t>[7]</w:t>
      </w:r>
      <w:r w:rsidRPr="004720B6">
        <w:rPr>
          <w:rFonts w:ascii="Book Antiqua" w:eastAsia="Book Antiqua" w:hAnsi="Book Antiqua" w:cs="Book Antiqua"/>
          <w:color w:val="000000"/>
        </w:rPr>
        <w:t>. Thus, avoiding salvage surgery by combining additional chemotherapy after chemoradiation to achieve a CR may be useful treatment strategy. In fact, in this case, our patient has maintained a good quality of life and a CR for more than 14 mo. There is also no clear evidence of efficacy in additional chemotherapy after definitive chemoradiotherapy, however previous large-scale trials of dCRT for esophageal cancer included two courses of additional chemotherapy</w:t>
      </w:r>
      <w:r w:rsidRPr="004720B6">
        <w:rPr>
          <w:rFonts w:ascii="Book Antiqua" w:eastAsia="Book Antiqua" w:hAnsi="Book Antiqua" w:cs="Book Antiqua"/>
          <w:color w:val="000000"/>
          <w:vertAlign w:val="superscript"/>
        </w:rPr>
        <w:t>[19-22]</w:t>
      </w:r>
      <w:r w:rsidRPr="004720B6">
        <w:rPr>
          <w:rFonts w:ascii="Book Antiqua" w:eastAsia="Book Antiqua" w:hAnsi="Book Antiqua" w:cs="Book Antiqua"/>
          <w:color w:val="000000"/>
        </w:rPr>
        <w:t>, therefore the Japanese guideline weakly recommend additional chemotherapy after dCRT</w:t>
      </w:r>
      <w:r w:rsidRPr="004720B6">
        <w:rPr>
          <w:rFonts w:ascii="Book Antiqua" w:eastAsia="Book Antiqua" w:hAnsi="Book Antiqua" w:cs="Book Antiqua"/>
          <w:color w:val="000000"/>
          <w:vertAlign w:val="superscript"/>
        </w:rPr>
        <w:t>[3]</w:t>
      </w:r>
      <w:r w:rsidRPr="004720B6">
        <w:rPr>
          <w:rFonts w:ascii="Book Antiqua" w:eastAsia="Book Antiqua" w:hAnsi="Book Antiqua" w:cs="Book Antiqua"/>
          <w:color w:val="000000"/>
        </w:rPr>
        <w:t>. We think that even after induction DCF and subsequent dCRT, additional CF could be useful treatment option to achieve definitive cure, especially for high-risk patients of salvage surgery.</w:t>
      </w:r>
    </w:p>
    <w:p w14:paraId="43AC4B25" w14:textId="2B38A7CF"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Some limitations of this study should be discussed. First, we initially chose induction DCF chemotherapy, however, it is unclear whether this is superior to dCRT, because there is a lack of direct comparative trials. Currently, the JCOG is conducting a phase III trial (JCOG1510) comparing induction chemotherapy using DCF followed by conversion surgery with dCRT in patients with unresectable locally advanced ESCC (UMIN000031165). Second, the observation period after the additional CF chemotherapy was only 14 mo, thus, we should continue to check for recurrence during additional follow-up visits.</w:t>
      </w:r>
    </w:p>
    <w:p w14:paraId="43CBB211" w14:textId="77777777" w:rsidR="00A77B3E" w:rsidRPr="004720B6" w:rsidRDefault="00A77B3E" w:rsidP="004720B6">
      <w:pPr>
        <w:snapToGrid w:val="0"/>
        <w:spacing w:line="360" w:lineRule="auto"/>
        <w:jc w:val="both"/>
        <w:rPr>
          <w:rFonts w:ascii="Book Antiqua" w:hAnsi="Book Antiqua"/>
        </w:rPr>
      </w:pPr>
    </w:p>
    <w:p w14:paraId="787B180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CONCLUSION</w:t>
      </w:r>
    </w:p>
    <w:p w14:paraId="2555CD4A" w14:textId="0111026E" w:rsidR="00A77B3E" w:rsidRPr="004720B6" w:rsidRDefault="008375B4" w:rsidP="004720B6">
      <w:pPr>
        <w:snapToGrid w:val="0"/>
        <w:spacing w:line="360" w:lineRule="auto"/>
        <w:ind w:hanging="11"/>
        <w:jc w:val="both"/>
        <w:rPr>
          <w:rFonts w:ascii="Book Antiqua" w:hAnsi="Book Antiqua"/>
        </w:rPr>
      </w:pPr>
      <w:bookmarkStart w:id="11" w:name="OLE_LINK65"/>
      <w:bookmarkStart w:id="12" w:name="OLE_LINK66"/>
      <w:r w:rsidRPr="004720B6">
        <w:rPr>
          <w:rFonts w:ascii="Book Antiqua" w:eastAsia="Book Antiqua" w:hAnsi="Book Antiqua" w:cs="Book Antiqua"/>
          <w:color w:val="000000"/>
        </w:rPr>
        <w:t xml:space="preserve">We report a successful case with tumor remnants even after </w:t>
      </w:r>
      <w:r w:rsidR="00B674D0" w:rsidRPr="004720B6">
        <w:rPr>
          <w:rFonts w:ascii="Book Antiqua" w:eastAsia="Book Antiqua" w:hAnsi="Book Antiqua" w:cs="Book Antiqua"/>
          <w:color w:val="000000"/>
        </w:rPr>
        <w:t xml:space="preserve">docetaxel, cisplatin and fluorouracil </w:t>
      </w:r>
      <w:r w:rsidRPr="004720B6">
        <w:rPr>
          <w:rFonts w:ascii="Book Antiqua" w:eastAsia="Book Antiqua" w:hAnsi="Book Antiqua" w:cs="Book Antiqua"/>
          <w:color w:val="000000"/>
        </w:rPr>
        <w:t xml:space="preserve">followed by </w:t>
      </w:r>
      <w:r w:rsidR="00B674D0"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xml:space="preserve">, for whom a </w:t>
      </w:r>
      <w:r w:rsidR="005D60D9" w:rsidRPr="004720B6">
        <w:rPr>
          <w:rFonts w:ascii="Book Antiqua" w:eastAsia="Book Antiqua" w:hAnsi="Book Antiqua" w:cs="Book Antiqua"/>
          <w:color w:val="000000"/>
        </w:rPr>
        <w:t>complete response rate</w:t>
      </w:r>
      <w:r w:rsidRPr="004720B6">
        <w:rPr>
          <w:rFonts w:ascii="Book Antiqua" w:eastAsia="Book Antiqua" w:hAnsi="Book Antiqua" w:cs="Book Antiqua"/>
          <w:color w:val="000000"/>
        </w:rPr>
        <w:t xml:space="preserve"> was finally achieved with two additional courses of </w:t>
      </w:r>
      <w:r w:rsidR="00E87146">
        <w:rPr>
          <w:rFonts w:ascii="Book Antiqua" w:eastAsia="Book Antiqua" w:hAnsi="Book Antiqua" w:cs="Book Antiqua"/>
          <w:color w:val="000000"/>
        </w:rPr>
        <w:t>CF</w:t>
      </w:r>
      <w:r w:rsidR="005D60D9"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chemotherapy. Especially for high-risk patients, additional </w:t>
      </w:r>
      <w:r w:rsidR="00E87146">
        <w:rPr>
          <w:rFonts w:ascii="Book Antiqua" w:eastAsia="Book Antiqua" w:hAnsi="Book Antiqua" w:cs="Book Antiqua"/>
          <w:color w:val="000000"/>
        </w:rPr>
        <w:t xml:space="preserve">CF </w:t>
      </w:r>
      <w:r w:rsidRPr="004720B6">
        <w:rPr>
          <w:rFonts w:ascii="Book Antiqua" w:eastAsia="Book Antiqua" w:hAnsi="Book Antiqua" w:cs="Book Antiqua"/>
          <w:color w:val="000000"/>
        </w:rPr>
        <w:t xml:space="preserve">chemotherapy could be one radical treatment option for residual </w:t>
      </w:r>
      <w:r w:rsidR="005D60D9" w:rsidRPr="004720B6">
        <w:rPr>
          <w:rFonts w:ascii="Book Antiqua" w:eastAsia="Book Antiqua" w:hAnsi="Book Antiqua" w:cs="Book Antiqua"/>
          <w:color w:val="000000"/>
        </w:rPr>
        <w:t>esophageal squamous cell carcinoma</w:t>
      </w:r>
      <w:r w:rsidRPr="004720B6">
        <w:rPr>
          <w:rFonts w:ascii="Book Antiqua" w:eastAsia="Book Antiqua" w:hAnsi="Book Antiqua" w:cs="Book Antiqua"/>
          <w:color w:val="000000"/>
        </w:rPr>
        <w:t xml:space="preserve"> after treatment with induction </w:t>
      </w:r>
      <w:r w:rsidR="00B674D0"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w:t>
      </w:r>
      <w:r w:rsidR="00B674D0" w:rsidRPr="004720B6">
        <w:rPr>
          <w:rFonts w:ascii="Book Antiqua" w:eastAsia="Book Antiqua" w:hAnsi="Book Antiqua" w:cs="Book Antiqua"/>
          <w:color w:val="000000"/>
        </w:rPr>
        <w:t>definitive chemoradio</w:t>
      </w:r>
      <w:r w:rsidR="00153972">
        <w:rPr>
          <w:rFonts w:ascii="Book Antiqua" w:eastAsia="Book Antiqua" w:hAnsi="Book Antiqua" w:cs="Book Antiqua"/>
          <w:color w:val="000000"/>
        </w:rPr>
        <w:t>-</w:t>
      </w:r>
      <w:r w:rsidR="00B674D0" w:rsidRPr="004720B6">
        <w:rPr>
          <w:rFonts w:ascii="Book Antiqua" w:eastAsia="Book Antiqua" w:hAnsi="Book Antiqua" w:cs="Book Antiqua"/>
          <w:color w:val="000000"/>
        </w:rPr>
        <w:t>therapy</w:t>
      </w:r>
      <w:r w:rsidRPr="004720B6">
        <w:rPr>
          <w:rFonts w:ascii="Book Antiqua" w:eastAsia="Book Antiqua" w:hAnsi="Book Antiqua" w:cs="Book Antiqua"/>
          <w:color w:val="000000"/>
        </w:rPr>
        <w:t xml:space="preserve"> to avoid salvage surgery.</w:t>
      </w:r>
    </w:p>
    <w:bookmarkEnd w:id="11"/>
    <w:bookmarkEnd w:id="12"/>
    <w:p w14:paraId="67B15663" w14:textId="77777777" w:rsidR="00A77B3E" w:rsidRPr="004720B6" w:rsidRDefault="00A77B3E" w:rsidP="004720B6">
      <w:pPr>
        <w:snapToGrid w:val="0"/>
        <w:spacing w:line="360" w:lineRule="auto"/>
        <w:ind w:hanging="11"/>
        <w:jc w:val="both"/>
        <w:rPr>
          <w:rFonts w:ascii="Book Antiqua" w:hAnsi="Book Antiqua"/>
        </w:rPr>
      </w:pPr>
    </w:p>
    <w:p w14:paraId="194C113F"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b/>
          <w:color w:val="000000"/>
        </w:rPr>
        <w:t>REFERENCES</w:t>
      </w:r>
    </w:p>
    <w:p w14:paraId="163E6C57" w14:textId="77777777" w:rsidR="00A77B3E" w:rsidRPr="004720B6" w:rsidRDefault="008375B4" w:rsidP="004720B6">
      <w:pPr>
        <w:snapToGrid w:val="0"/>
        <w:spacing w:line="360" w:lineRule="auto"/>
        <w:jc w:val="both"/>
        <w:rPr>
          <w:rFonts w:ascii="Book Antiqua" w:hAnsi="Book Antiqua"/>
        </w:rPr>
      </w:pPr>
      <w:bookmarkStart w:id="13" w:name="OLE_LINK58"/>
      <w:r w:rsidRPr="004720B6">
        <w:rPr>
          <w:rFonts w:ascii="Book Antiqua" w:eastAsia="Book Antiqua" w:hAnsi="Book Antiqua" w:cs="Book Antiqua"/>
          <w:color w:val="000000"/>
        </w:rPr>
        <w:t xml:space="preserve">1 </w:t>
      </w:r>
      <w:r w:rsidRPr="004720B6">
        <w:rPr>
          <w:rFonts w:ascii="Book Antiqua" w:eastAsia="Book Antiqua" w:hAnsi="Book Antiqua" w:cs="Book Antiqua"/>
          <w:b/>
          <w:bCs/>
          <w:color w:val="000000"/>
        </w:rPr>
        <w:t>Bray F</w:t>
      </w:r>
      <w:r w:rsidRPr="004720B6">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4720B6">
        <w:rPr>
          <w:rFonts w:ascii="Book Antiqua" w:eastAsia="Book Antiqua" w:hAnsi="Book Antiqua" w:cs="Book Antiqua"/>
          <w:i/>
          <w:iCs/>
          <w:color w:val="000000"/>
        </w:rPr>
        <w:t>CA Cancer J Clin</w:t>
      </w:r>
      <w:r w:rsidRPr="004720B6">
        <w:rPr>
          <w:rFonts w:ascii="Book Antiqua" w:eastAsia="Book Antiqua" w:hAnsi="Book Antiqua" w:cs="Book Antiqua"/>
          <w:color w:val="000000"/>
        </w:rPr>
        <w:t xml:space="preserve"> 2018; </w:t>
      </w:r>
      <w:r w:rsidRPr="004720B6">
        <w:rPr>
          <w:rFonts w:ascii="Book Antiqua" w:eastAsia="Book Antiqua" w:hAnsi="Book Antiqua" w:cs="Book Antiqua"/>
          <w:b/>
          <w:bCs/>
          <w:color w:val="000000"/>
        </w:rPr>
        <w:t>68</w:t>
      </w:r>
      <w:r w:rsidRPr="004720B6">
        <w:rPr>
          <w:rFonts w:ascii="Book Antiqua" w:eastAsia="Book Antiqua" w:hAnsi="Book Antiqua" w:cs="Book Antiqua"/>
          <w:color w:val="000000"/>
        </w:rPr>
        <w:t>: 394-424 [PMID: 30207593 DOI: 10.3322/caac.21492]</w:t>
      </w:r>
    </w:p>
    <w:p w14:paraId="73CEFFE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 </w:t>
      </w:r>
      <w:r w:rsidRPr="004720B6">
        <w:rPr>
          <w:rFonts w:ascii="Book Antiqua" w:eastAsia="Book Antiqua" w:hAnsi="Book Antiqua" w:cs="Book Antiqua"/>
          <w:b/>
          <w:bCs/>
          <w:color w:val="000000"/>
        </w:rPr>
        <w:t>Tachimori Y</w:t>
      </w:r>
      <w:r w:rsidRPr="004720B6">
        <w:rPr>
          <w:rFonts w:ascii="Book Antiqua" w:eastAsia="Book Antiqua" w:hAnsi="Book Antiqua" w:cs="Book Antiqua"/>
          <w:color w:val="000000"/>
        </w:rPr>
        <w:t xml:space="preserve">, Ozawa S, Numasaki H, Ishihara R, Matsubara H, Muro K, Oyama T, Toh Y, Udagawa H, Uno T; Registration Committee for Esophageal Cancer of the Japan Esophageal Society. Comprehensive Registry of Esophageal Cancer in Japan, 2010.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2017; </w:t>
      </w:r>
      <w:r w:rsidRPr="004720B6">
        <w:rPr>
          <w:rFonts w:ascii="Book Antiqua" w:eastAsia="Book Antiqua" w:hAnsi="Book Antiqua" w:cs="Book Antiqua"/>
          <w:b/>
          <w:bCs/>
          <w:color w:val="000000"/>
        </w:rPr>
        <w:t>14</w:t>
      </w:r>
      <w:r w:rsidRPr="004720B6">
        <w:rPr>
          <w:rFonts w:ascii="Book Antiqua" w:eastAsia="Book Antiqua" w:hAnsi="Book Antiqua" w:cs="Book Antiqua"/>
          <w:color w:val="000000"/>
        </w:rPr>
        <w:t>: 189-214 [PMID: 28725168 DOI: 10.1007/s10388-017-0578-4]</w:t>
      </w:r>
    </w:p>
    <w:p w14:paraId="673C008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3 </w:t>
      </w:r>
      <w:r w:rsidRPr="004720B6">
        <w:rPr>
          <w:rFonts w:ascii="Book Antiqua" w:eastAsia="Book Antiqua" w:hAnsi="Book Antiqua" w:cs="Book Antiqua"/>
          <w:b/>
          <w:bCs/>
          <w:color w:val="000000"/>
        </w:rPr>
        <w:t>Kitagawa Y</w:t>
      </w:r>
      <w:r w:rsidRPr="004720B6">
        <w:rPr>
          <w:rFonts w:ascii="Book Antiqua" w:eastAsia="Book Antiqua" w:hAnsi="Book Antiqua" w:cs="Book Antiqua"/>
          <w:color w:val="000000"/>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1.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16</w:t>
      </w:r>
      <w:r w:rsidRPr="004720B6">
        <w:rPr>
          <w:rFonts w:ascii="Book Antiqua" w:eastAsia="Book Antiqua" w:hAnsi="Book Antiqua" w:cs="Book Antiqua"/>
          <w:color w:val="000000"/>
        </w:rPr>
        <w:t>: 1-24 [PMID: 30171413 DOI: 10.1007/s10388-018-0641-9]</w:t>
      </w:r>
    </w:p>
    <w:p w14:paraId="03ED437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4 </w:t>
      </w:r>
      <w:r w:rsidRPr="004720B6">
        <w:rPr>
          <w:rFonts w:ascii="Book Antiqua" w:eastAsia="Book Antiqua" w:hAnsi="Book Antiqua" w:cs="Book Antiqua"/>
          <w:b/>
          <w:bCs/>
          <w:color w:val="000000"/>
        </w:rPr>
        <w:t>Kitagawa Y</w:t>
      </w:r>
      <w:r w:rsidRPr="004720B6">
        <w:rPr>
          <w:rFonts w:ascii="Book Antiqua" w:eastAsia="Book Antiqua" w:hAnsi="Book Antiqua" w:cs="Book Antiqua"/>
          <w:color w:val="000000"/>
        </w:rPr>
        <w:t xml:space="preserve">, Uno T, Oyama T, Kato K, Kato H, Kawakubo H, Kawamura O, Kusano M, Kuwano H, Takeuchi H, Toh Y, Doki Y, Naomoto Y, Nemoto K, Booka E, Matsubara H, Miyazaki T, Muto M, Yanagisawa A, Yoshida M. Esophageal cancer practice guidelines 2017 edited by the Japan esophageal society: part 2.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16</w:t>
      </w:r>
      <w:r w:rsidRPr="004720B6">
        <w:rPr>
          <w:rFonts w:ascii="Book Antiqua" w:eastAsia="Book Antiqua" w:hAnsi="Book Antiqua" w:cs="Book Antiqua"/>
          <w:color w:val="000000"/>
        </w:rPr>
        <w:t>: 25-43 [PMID: 30171414 DOI: 10.1007/s10388-018-0642-8]</w:t>
      </w:r>
    </w:p>
    <w:p w14:paraId="4042E355"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5 </w:t>
      </w:r>
      <w:r w:rsidRPr="004720B6">
        <w:rPr>
          <w:rFonts w:ascii="Book Antiqua" w:eastAsia="Book Antiqua" w:hAnsi="Book Antiqua" w:cs="Book Antiqua"/>
          <w:b/>
          <w:bCs/>
          <w:color w:val="000000"/>
        </w:rPr>
        <w:t>Ishida K</w:t>
      </w:r>
      <w:r w:rsidRPr="004720B6">
        <w:rPr>
          <w:rFonts w:ascii="Book Antiqua" w:eastAsia="Book Antiqua" w:hAnsi="Book Antiqua" w:cs="Book Antiqua"/>
          <w:color w:val="000000"/>
        </w:rPr>
        <w:t xml:space="preserve">, Ando N, Yamamoto S, Ide H, Shinoda M. Phase II study of cisplatin and 5-fluorouracil with concurrent radiotherapy in advanced squamous cell carcinoma of the esophagus: a Japan Esophageal Oncology Group (JEOG)/Japan Clinical Oncology Group trial (JCOG9516). </w:t>
      </w:r>
      <w:r w:rsidRPr="004720B6">
        <w:rPr>
          <w:rFonts w:ascii="Book Antiqua" w:eastAsia="Book Antiqua" w:hAnsi="Book Antiqua" w:cs="Book Antiqua"/>
          <w:i/>
          <w:iCs/>
          <w:color w:val="000000"/>
        </w:rPr>
        <w:t>Jpn J Clin Oncol</w:t>
      </w:r>
      <w:r w:rsidRPr="004720B6">
        <w:rPr>
          <w:rFonts w:ascii="Book Antiqua" w:eastAsia="Book Antiqua" w:hAnsi="Book Antiqua" w:cs="Book Antiqua"/>
          <w:color w:val="000000"/>
        </w:rPr>
        <w:t xml:space="preserve"> 2004; </w:t>
      </w:r>
      <w:r w:rsidRPr="004720B6">
        <w:rPr>
          <w:rFonts w:ascii="Book Antiqua" w:eastAsia="Book Antiqua" w:hAnsi="Book Antiqua" w:cs="Book Antiqua"/>
          <w:b/>
          <w:bCs/>
          <w:color w:val="000000"/>
        </w:rPr>
        <w:t>34</w:t>
      </w:r>
      <w:r w:rsidRPr="004720B6">
        <w:rPr>
          <w:rFonts w:ascii="Book Antiqua" w:eastAsia="Book Antiqua" w:hAnsi="Book Antiqua" w:cs="Book Antiqua"/>
          <w:color w:val="000000"/>
        </w:rPr>
        <w:t>: 615-619 [PMID: 15591460 DOI: 10.1093/jjco/hyh107]</w:t>
      </w:r>
    </w:p>
    <w:p w14:paraId="6118144F"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6 </w:t>
      </w:r>
      <w:r w:rsidRPr="004720B6">
        <w:rPr>
          <w:rFonts w:ascii="Book Antiqua" w:eastAsia="Book Antiqua" w:hAnsi="Book Antiqua" w:cs="Book Antiqua"/>
          <w:b/>
          <w:bCs/>
          <w:color w:val="000000"/>
        </w:rPr>
        <w:t>Okamura A</w:t>
      </w:r>
      <w:r w:rsidRPr="004720B6">
        <w:rPr>
          <w:rFonts w:ascii="Book Antiqua" w:eastAsia="Book Antiqua" w:hAnsi="Book Antiqua" w:cs="Book Antiqua"/>
          <w:color w:val="000000"/>
        </w:rPr>
        <w:t xml:space="preserve">, Hayami M, Kozuki R, Takahashi K, Toihata T, Imamura Y, Mine S, Watanabe M. Salvage esophagectomy for initially unresectable locally advanced T4 esophageal squamous cell carcinoma.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17</w:t>
      </w:r>
      <w:r w:rsidRPr="004720B6">
        <w:rPr>
          <w:rFonts w:ascii="Book Antiqua" w:eastAsia="Book Antiqua" w:hAnsi="Book Antiqua" w:cs="Book Antiqua"/>
          <w:color w:val="000000"/>
        </w:rPr>
        <w:t>: 59-66 [PMID: 31595397 DOI: 10.1007/s10388-019-00700-0]</w:t>
      </w:r>
    </w:p>
    <w:p w14:paraId="73D0122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7 </w:t>
      </w:r>
      <w:r w:rsidRPr="004720B6">
        <w:rPr>
          <w:rFonts w:ascii="Book Antiqua" w:eastAsia="Book Antiqua" w:hAnsi="Book Antiqua" w:cs="Book Antiqua"/>
          <w:b/>
          <w:bCs/>
          <w:color w:val="000000"/>
        </w:rPr>
        <w:t>Booka E</w:t>
      </w:r>
      <w:r w:rsidRPr="004720B6">
        <w:rPr>
          <w:rFonts w:ascii="Book Antiqua" w:eastAsia="Book Antiqua" w:hAnsi="Book Antiqua" w:cs="Book Antiqua"/>
          <w:color w:val="000000"/>
        </w:rPr>
        <w:t xml:space="preserve">, Haneda R, Ishii K, Kawakami T, Tsushima T, Yasui H, Onoe T, Ogawa H, Tsubosa Y. Appropriate Candidates for Salvage Esophagectomy of Initially Unresectable Locally Advanced T4 Esophageal Squamous Cell Carcinoma. </w:t>
      </w:r>
      <w:r w:rsidRPr="004720B6">
        <w:rPr>
          <w:rFonts w:ascii="Book Antiqua" w:eastAsia="Book Antiqua" w:hAnsi="Book Antiqua" w:cs="Book Antiqua"/>
          <w:i/>
          <w:iCs/>
          <w:color w:val="000000"/>
        </w:rPr>
        <w:t>Ann Surg Oncol</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27</w:t>
      </w:r>
      <w:r w:rsidRPr="004720B6">
        <w:rPr>
          <w:rFonts w:ascii="Book Antiqua" w:eastAsia="Book Antiqua" w:hAnsi="Book Antiqua" w:cs="Book Antiqua"/>
          <w:color w:val="000000"/>
        </w:rPr>
        <w:t>: 3163-3170 [PMID: 32314159 DOI: 10.1245/s10434-020-08440-7]</w:t>
      </w:r>
    </w:p>
    <w:p w14:paraId="105490B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8 </w:t>
      </w:r>
      <w:r w:rsidRPr="004720B6">
        <w:rPr>
          <w:rFonts w:ascii="Book Antiqua" w:eastAsia="Book Antiqua" w:hAnsi="Book Antiqua" w:cs="Book Antiqua"/>
          <w:b/>
          <w:bCs/>
          <w:color w:val="000000"/>
        </w:rPr>
        <w:t>Tachimori Y</w:t>
      </w:r>
      <w:r w:rsidRPr="004720B6">
        <w:rPr>
          <w:rFonts w:ascii="Book Antiqua" w:eastAsia="Book Antiqua" w:hAnsi="Book Antiqua" w:cs="Book Antiqua"/>
          <w:color w:val="000000"/>
        </w:rPr>
        <w:t xml:space="preserve">, Kanamori N, Uemura N, Hokamura N, Igaki H, Kato H. Salvage esophagectomy after high-dose chemoradiotherapy for esophageal squamous cell carcinoma. </w:t>
      </w:r>
      <w:r w:rsidRPr="004720B6">
        <w:rPr>
          <w:rFonts w:ascii="Book Antiqua" w:eastAsia="Book Antiqua" w:hAnsi="Book Antiqua" w:cs="Book Antiqua"/>
          <w:i/>
          <w:iCs/>
          <w:color w:val="000000"/>
        </w:rPr>
        <w:t>J Thorac Cardiovasc Surg</w:t>
      </w:r>
      <w:r w:rsidRPr="004720B6">
        <w:rPr>
          <w:rFonts w:ascii="Book Antiqua" w:eastAsia="Book Antiqua" w:hAnsi="Book Antiqua" w:cs="Book Antiqua"/>
          <w:color w:val="000000"/>
        </w:rPr>
        <w:t xml:space="preserve"> 2009; </w:t>
      </w:r>
      <w:r w:rsidRPr="004720B6">
        <w:rPr>
          <w:rFonts w:ascii="Book Antiqua" w:eastAsia="Book Antiqua" w:hAnsi="Book Antiqua" w:cs="Book Antiqua"/>
          <w:b/>
          <w:bCs/>
          <w:color w:val="000000"/>
        </w:rPr>
        <w:t>137</w:t>
      </w:r>
      <w:r w:rsidRPr="004720B6">
        <w:rPr>
          <w:rFonts w:ascii="Book Antiqua" w:eastAsia="Book Antiqua" w:hAnsi="Book Antiqua" w:cs="Book Antiqua"/>
          <w:color w:val="000000"/>
        </w:rPr>
        <w:t>: 49-54 [PMID: 19154902 DOI: 10.1016/j.jtcvs.2008.05.016]</w:t>
      </w:r>
    </w:p>
    <w:p w14:paraId="1740D21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9 </w:t>
      </w:r>
      <w:r w:rsidRPr="004720B6">
        <w:rPr>
          <w:rFonts w:ascii="Book Antiqua" w:eastAsia="Book Antiqua" w:hAnsi="Book Antiqua" w:cs="Book Antiqua"/>
          <w:b/>
          <w:bCs/>
          <w:color w:val="000000"/>
        </w:rPr>
        <w:t>de Manzoni G</w:t>
      </w:r>
      <w:r w:rsidRPr="004720B6">
        <w:rPr>
          <w:rFonts w:ascii="Book Antiqua" w:eastAsia="Book Antiqua" w:hAnsi="Book Antiqua" w:cs="Book Antiqua"/>
          <w:color w:val="000000"/>
        </w:rPr>
        <w:t xml:space="preserve">, Pedrazzani C, Pasini F, Bernini M, Minicozzi AM, Giacopuzzi S, Grandinetti A, Cordiano C. Chemoradiotherapy followed by surgery for squamous cell carcinoma of the thoracic esophagus with clinical evidence of adjacent organ invasion. </w:t>
      </w:r>
      <w:r w:rsidRPr="004720B6">
        <w:rPr>
          <w:rFonts w:ascii="Book Antiqua" w:eastAsia="Book Antiqua" w:hAnsi="Book Antiqua" w:cs="Book Antiqua"/>
          <w:i/>
          <w:iCs/>
          <w:color w:val="000000"/>
        </w:rPr>
        <w:t>J Surg Oncol</w:t>
      </w:r>
      <w:r w:rsidRPr="004720B6">
        <w:rPr>
          <w:rFonts w:ascii="Book Antiqua" w:eastAsia="Book Antiqua" w:hAnsi="Book Antiqua" w:cs="Book Antiqua"/>
          <w:color w:val="000000"/>
        </w:rPr>
        <w:t xml:space="preserve"> 2007; </w:t>
      </w:r>
      <w:r w:rsidRPr="004720B6">
        <w:rPr>
          <w:rFonts w:ascii="Book Antiqua" w:eastAsia="Book Antiqua" w:hAnsi="Book Antiqua" w:cs="Book Antiqua"/>
          <w:b/>
          <w:bCs/>
          <w:color w:val="000000"/>
        </w:rPr>
        <w:t>95</w:t>
      </w:r>
      <w:r w:rsidRPr="004720B6">
        <w:rPr>
          <w:rFonts w:ascii="Book Antiqua" w:eastAsia="Book Antiqua" w:hAnsi="Book Antiqua" w:cs="Book Antiqua"/>
          <w:color w:val="000000"/>
        </w:rPr>
        <w:t>: 261-266 [PMID: 17323341 DOI: 10.1002/jso.20640]</w:t>
      </w:r>
    </w:p>
    <w:p w14:paraId="2CC9724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10 </w:t>
      </w:r>
      <w:r w:rsidRPr="004720B6">
        <w:rPr>
          <w:rFonts w:ascii="Book Antiqua" w:eastAsia="Book Antiqua" w:hAnsi="Book Antiqua" w:cs="Book Antiqua"/>
          <w:b/>
          <w:bCs/>
          <w:color w:val="000000"/>
        </w:rPr>
        <w:t>Takeuchi M</w:t>
      </w:r>
      <w:r w:rsidRPr="004720B6">
        <w:rPr>
          <w:rFonts w:ascii="Book Antiqua" w:eastAsia="Book Antiqua" w:hAnsi="Book Antiqua" w:cs="Book Antiqua"/>
          <w:color w:val="000000"/>
        </w:rPr>
        <w:t xml:space="preserve">, Kawakubo H, Mayanagi S, Yoshida K, Irino T, Fukuda K, Nakamura R, Wada N, Takeuchi H, Kitagawa Y. The Benefits of Docetaxel Plus Cisplatin and 5-Fluorouracil Induction Therapy in Conversion to Curative Treatment for Locally Advanced Esophageal Squamous Cell Carcinoma. </w:t>
      </w:r>
      <w:r w:rsidRPr="004720B6">
        <w:rPr>
          <w:rFonts w:ascii="Book Antiqua" w:eastAsia="Book Antiqua" w:hAnsi="Book Antiqua" w:cs="Book Antiqua"/>
          <w:i/>
          <w:iCs/>
          <w:color w:val="000000"/>
        </w:rPr>
        <w:t>World J Surg</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43</w:t>
      </w:r>
      <w:r w:rsidRPr="004720B6">
        <w:rPr>
          <w:rFonts w:ascii="Book Antiqua" w:eastAsia="Book Antiqua" w:hAnsi="Book Antiqua" w:cs="Book Antiqua"/>
          <w:color w:val="000000"/>
        </w:rPr>
        <w:t>: 2006-2015 [PMID: 30972432 DOI: 10.1007/s00268-019-05000-3]</w:t>
      </w:r>
    </w:p>
    <w:p w14:paraId="4731320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11 </w:t>
      </w:r>
      <w:r w:rsidRPr="004720B6">
        <w:rPr>
          <w:rFonts w:ascii="Book Antiqua" w:eastAsia="Book Antiqua" w:hAnsi="Book Antiqua" w:cs="Book Antiqua"/>
          <w:b/>
          <w:bCs/>
          <w:color w:val="000000"/>
        </w:rPr>
        <w:t>Sugawara K</w:t>
      </w:r>
      <w:r w:rsidRPr="004720B6">
        <w:rPr>
          <w:rFonts w:ascii="Book Antiqua" w:eastAsia="Book Antiqua" w:hAnsi="Book Antiqua" w:cs="Book Antiqua"/>
          <w:color w:val="000000"/>
        </w:rPr>
        <w:t xml:space="preserve">, Yagi K, Okumura Y, Nishida M, Aikou S, Yamashita H, Yamashita H, Seto Y. Long-term outcomes of multimodal therapy combining definitive chemoradiotherapy and salvage surgery for T4 esophageal squamous cell carcinoma. </w:t>
      </w:r>
      <w:r w:rsidRPr="004720B6">
        <w:rPr>
          <w:rFonts w:ascii="Book Antiqua" w:eastAsia="Book Antiqua" w:hAnsi="Book Antiqua" w:cs="Book Antiqua"/>
          <w:i/>
          <w:iCs/>
          <w:color w:val="000000"/>
        </w:rPr>
        <w:t>Int J Clin Oncol</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25</w:t>
      </w:r>
      <w:r w:rsidRPr="004720B6">
        <w:rPr>
          <w:rFonts w:ascii="Book Antiqua" w:eastAsia="Book Antiqua" w:hAnsi="Book Antiqua" w:cs="Book Antiqua"/>
          <w:color w:val="000000"/>
        </w:rPr>
        <w:t>: 552-560 [PMID: 31828451 DOI: 10.1007/s10147-019-01590-z]</w:t>
      </w:r>
    </w:p>
    <w:p w14:paraId="45583D0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12 </w:t>
      </w:r>
      <w:r w:rsidRPr="004720B6">
        <w:rPr>
          <w:rFonts w:ascii="Book Antiqua" w:eastAsia="Book Antiqua" w:hAnsi="Book Antiqua" w:cs="Book Antiqua"/>
          <w:b/>
          <w:bCs/>
          <w:color w:val="000000"/>
        </w:rPr>
        <w:t>Hara H</w:t>
      </w:r>
      <w:r w:rsidRPr="004720B6">
        <w:rPr>
          <w:rFonts w:ascii="Book Antiqua" w:eastAsia="Book Antiqua" w:hAnsi="Book Antiqua" w:cs="Book Antiqua"/>
          <w:color w:val="000000"/>
        </w:rPr>
        <w:t xml:space="preserve">, Tahara M, Daiko H, Kato K, Igaki H, Kadowaki S, Tanaka Y, Hamamoto Y, Matsushita H, Nagase M, Hosoya Y. Phase II feasibility study of preoperative chemotherapy with docetaxel, cisplatin, and fluorouracil for esophageal squamous cell carcinoma. </w:t>
      </w:r>
      <w:r w:rsidRPr="004720B6">
        <w:rPr>
          <w:rFonts w:ascii="Book Antiqua" w:eastAsia="Book Antiqua" w:hAnsi="Book Antiqua" w:cs="Book Antiqua"/>
          <w:i/>
          <w:iCs/>
          <w:color w:val="000000"/>
        </w:rPr>
        <w:t>Cancer Sci</w:t>
      </w:r>
      <w:r w:rsidRPr="004720B6">
        <w:rPr>
          <w:rFonts w:ascii="Book Antiqua" w:eastAsia="Book Antiqua" w:hAnsi="Book Antiqua" w:cs="Book Antiqua"/>
          <w:color w:val="000000"/>
        </w:rPr>
        <w:t xml:space="preserve"> 2013; </w:t>
      </w:r>
      <w:r w:rsidRPr="004720B6">
        <w:rPr>
          <w:rFonts w:ascii="Book Antiqua" w:eastAsia="Book Antiqua" w:hAnsi="Book Antiqua" w:cs="Book Antiqua"/>
          <w:b/>
          <w:bCs/>
          <w:color w:val="000000"/>
        </w:rPr>
        <w:t>104</w:t>
      </w:r>
      <w:r w:rsidRPr="004720B6">
        <w:rPr>
          <w:rFonts w:ascii="Book Antiqua" w:eastAsia="Book Antiqua" w:hAnsi="Book Antiqua" w:cs="Book Antiqua"/>
          <w:color w:val="000000"/>
        </w:rPr>
        <w:t>: 1455-1460 [PMID: 23991649 DOI: 10.1111/cas.12274]</w:t>
      </w:r>
    </w:p>
    <w:p w14:paraId="65295E1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13 </w:t>
      </w:r>
      <w:r w:rsidRPr="004720B6">
        <w:rPr>
          <w:rFonts w:ascii="Book Antiqua" w:eastAsia="Book Antiqua" w:hAnsi="Book Antiqua" w:cs="Book Antiqua"/>
          <w:b/>
          <w:bCs/>
          <w:color w:val="000000"/>
        </w:rPr>
        <w:t>Satake H</w:t>
      </w:r>
      <w:r w:rsidRPr="004720B6">
        <w:rPr>
          <w:rFonts w:ascii="Book Antiqua" w:eastAsia="Book Antiqua" w:hAnsi="Book Antiqua" w:cs="Book Antiqua"/>
          <w:color w:val="000000"/>
        </w:rPr>
        <w:t xml:space="preserve">, Tahara M, Mochizuki S, Kato K, Hara H, Yokota T, Kiyota N, Kii T, Chin K, Zenda S, Kojima T, Bando H, Yamazaki T, Iwasa S, Honma Y, Hamauchi S, Tsushima T, Ohtsu A. A prospective, multicenter phase I/II study of induction chemotherapy with docetaxel, cisplatin and fluorouracil (DCF) followed by chemoradiotherapy in patients with unresectable locally advanced esophageal carcinoma. </w:t>
      </w:r>
      <w:r w:rsidRPr="004720B6">
        <w:rPr>
          <w:rFonts w:ascii="Book Antiqua" w:eastAsia="Book Antiqua" w:hAnsi="Book Antiqua" w:cs="Book Antiqua"/>
          <w:i/>
          <w:iCs/>
          <w:color w:val="000000"/>
        </w:rPr>
        <w:t>Cancer Chemother Pharmacol</w:t>
      </w:r>
      <w:r w:rsidRPr="004720B6">
        <w:rPr>
          <w:rFonts w:ascii="Book Antiqua" w:eastAsia="Book Antiqua" w:hAnsi="Book Antiqua" w:cs="Book Antiqua"/>
          <w:color w:val="000000"/>
        </w:rPr>
        <w:t xml:space="preserve"> 2016; </w:t>
      </w:r>
      <w:r w:rsidRPr="004720B6">
        <w:rPr>
          <w:rFonts w:ascii="Book Antiqua" w:eastAsia="Book Antiqua" w:hAnsi="Book Antiqua" w:cs="Book Antiqua"/>
          <w:b/>
          <w:bCs/>
          <w:color w:val="000000"/>
        </w:rPr>
        <w:t>78</w:t>
      </w:r>
      <w:r w:rsidRPr="004720B6">
        <w:rPr>
          <w:rFonts w:ascii="Book Antiqua" w:eastAsia="Book Antiqua" w:hAnsi="Book Antiqua" w:cs="Book Antiqua"/>
          <w:color w:val="000000"/>
        </w:rPr>
        <w:t>: 91-99 [PMID: 27193097 DOI: 10.1007/s00280-016-3062-2]</w:t>
      </w:r>
    </w:p>
    <w:p w14:paraId="7F0BE641" w14:textId="03C00E49"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highlight w:val="yellow"/>
        </w:rPr>
        <w:t xml:space="preserve">14 </w:t>
      </w:r>
      <w:r w:rsidRPr="004720B6">
        <w:rPr>
          <w:rFonts w:ascii="Book Antiqua" w:eastAsia="Book Antiqua" w:hAnsi="Book Antiqua" w:cs="Book Antiqua"/>
          <w:b/>
          <w:bCs/>
          <w:color w:val="000000"/>
          <w:highlight w:val="yellow"/>
        </w:rPr>
        <w:t>Brierley JD</w:t>
      </w:r>
      <w:r w:rsidRPr="00DF6026">
        <w:rPr>
          <w:rFonts w:ascii="Book Antiqua" w:eastAsia="Book Antiqua" w:hAnsi="Book Antiqua" w:cs="Book Antiqua"/>
          <w:color w:val="000000"/>
          <w:highlight w:val="yellow"/>
        </w:rPr>
        <w:t>,</w:t>
      </w:r>
      <w:r w:rsidRPr="004720B6">
        <w:rPr>
          <w:rFonts w:ascii="Book Antiqua" w:eastAsia="Book Antiqua" w:hAnsi="Book Antiqua" w:cs="Book Antiqua"/>
          <w:color w:val="000000"/>
          <w:highlight w:val="yellow"/>
        </w:rPr>
        <w:t xml:space="preserve"> Gospodarowicz MK, Wittekind C. TNM classification of malignant tumors: International union against cancer. 8</w:t>
      </w:r>
      <w:r w:rsidRPr="004720B6">
        <w:rPr>
          <w:rFonts w:ascii="Book Antiqua" w:eastAsia="Book Antiqua" w:hAnsi="Book Antiqua" w:cs="Book Antiqua"/>
          <w:color w:val="000000"/>
          <w:highlight w:val="yellow"/>
          <w:vertAlign w:val="superscript"/>
        </w:rPr>
        <w:t>th</w:t>
      </w:r>
      <w:r w:rsidR="00051F17" w:rsidRPr="004720B6">
        <w:rPr>
          <w:rFonts w:ascii="Book Antiqua" w:eastAsia="Book Antiqua" w:hAnsi="Book Antiqua" w:cs="Book Antiqua"/>
          <w:color w:val="000000"/>
          <w:highlight w:val="yellow"/>
        </w:rPr>
        <w:t xml:space="preserve"> ed. Oxford: Wiley,</w:t>
      </w:r>
      <w:r w:rsidRPr="004720B6">
        <w:rPr>
          <w:rFonts w:ascii="Book Antiqua" w:eastAsia="Book Antiqua" w:hAnsi="Book Antiqua" w:cs="Book Antiqua"/>
          <w:color w:val="000000"/>
          <w:highlight w:val="yellow"/>
        </w:rPr>
        <w:t xml:space="preserve"> 2017</w:t>
      </w:r>
    </w:p>
    <w:p w14:paraId="068D5184" w14:textId="7E0DC55E"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15 </w:t>
      </w:r>
      <w:r w:rsidRPr="004720B6">
        <w:rPr>
          <w:rFonts w:ascii="Book Antiqua" w:eastAsia="Book Antiqua" w:hAnsi="Book Antiqua" w:cs="Book Antiqua"/>
          <w:b/>
          <w:bCs/>
          <w:color w:val="000000"/>
        </w:rPr>
        <w:t>Japan Esophageal Society.</w:t>
      </w:r>
      <w:r w:rsidRPr="004720B6">
        <w:rPr>
          <w:rFonts w:ascii="Book Antiqua" w:eastAsia="Book Antiqua" w:hAnsi="Book Antiqua" w:cs="Book Antiqua"/>
          <w:color w:val="000000"/>
        </w:rPr>
        <w:t xml:space="preserve"> Japanese Classification of Esophageal Cancer, 11th Edition: part I.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2017; </w:t>
      </w:r>
      <w:r w:rsidRPr="004720B6">
        <w:rPr>
          <w:rFonts w:ascii="Book Antiqua" w:eastAsia="Book Antiqua" w:hAnsi="Book Antiqua" w:cs="Book Antiqua"/>
          <w:b/>
          <w:bCs/>
          <w:color w:val="000000"/>
        </w:rPr>
        <w:t>14</w:t>
      </w:r>
      <w:r w:rsidRPr="004720B6">
        <w:rPr>
          <w:rFonts w:ascii="Book Antiqua" w:eastAsia="Book Antiqua" w:hAnsi="Book Antiqua" w:cs="Book Antiqua"/>
          <w:color w:val="000000"/>
        </w:rPr>
        <w:t>: 1-36 [PMID: 28111535 DOI: 10.1007/s10388-016-0551-7]</w:t>
      </w:r>
    </w:p>
    <w:p w14:paraId="767CD8D7" w14:textId="1BF41F6E" w:rsidR="00A77B3E" w:rsidRPr="00EC35AA" w:rsidRDefault="008375B4" w:rsidP="004720B6">
      <w:pPr>
        <w:snapToGrid w:val="0"/>
        <w:spacing w:line="360" w:lineRule="auto"/>
        <w:jc w:val="both"/>
        <w:rPr>
          <w:rFonts w:ascii="Book Antiqua" w:eastAsia="Book Antiqua" w:hAnsi="Book Antiqua" w:cs="Book Antiqua"/>
          <w:color w:val="000000"/>
          <w:highlight w:val="yellow"/>
        </w:rPr>
      </w:pPr>
      <w:r w:rsidRPr="004720B6">
        <w:rPr>
          <w:rFonts w:ascii="Book Antiqua" w:eastAsia="Book Antiqua" w:hAnsi="Book Antiqua" w:cs="Book Antiqua"/>
          <w:color w:val="000000"/>
          <w:highlight w:val="yellow"/>
        </w:rPr>
        <w:t>16</w:t>
      </w:r>
      <w:r w:rsidRPr="00EC35AA">
        <w:rPr>
          <w:rFonts w:ascii="Book Antiqua" w:eastAsia="Book Antiqua" w:hAnsi="Book Antiqua" w:cs="Book Antiqua"/>
          <w:b/>
          <w:color w:val="000000"/>
          <w:highlight w:val="yellow"/>
        </w:rPr>
        <w:t xml:space="preserve"> </w:t>
      </w:r>
      <w:r w:rsidR="00EC35AA" w:rsidRPr="00EC35AA">
        <w:rPr>
          <w:rFonts w:ascii="Book Antiqua" w:eastAsia="Book Antiqua" w:hAnsi="Book Antiqua" w:cs="Book Antiqua"/>
          <w:b/>
          <w:color w:val="000000"/>
          <w:highlight w:val="yellow"/>
        </w:rPr>
        <w:t xml:space="preserve">National Cancer Institute. </w:t>
      </w:r>
      <w:r w:rsidRPr="00EC35AA">
        <w:rPr>
          <w:rFonts w:ascii="Book Antiqua" w:eastAsia="Book Antiqua" w:hAnsi="Book Antiqua" w:cs="Book Antiqua"/>
          <w:color w:val="000000"/>
          <w:highlight w:val="yellow"/>
        </w:rPr>
        <w:t>Co</w:t>
      </w:r>
      <w:r w:rsidRPr="004720B6">
        <w:rPr>
          <w:rFonts w:ascii="Book Antiqua" w:eastAsia="Book Antiqua" w:hAnsi="Book Antiqua" w:cs="Book Antiqua"/>
          <w:color w:val="000000"/>
          <w:highlight w:val="yellow"/>
        </w:rPr>
        <w:t xml:space="preserve">mmon Terminology Criteria for Adverse Events (CTCAE) v5.0. </w:t>
      </w:r>
      <w:r w:rsidR="00EC35AA">
        <w:rPr>
          <w:rFonts w:ascii="Book Antiqua" w:eastAsia="Book Antiqua" w:hAnsi="Book Antiqua" w:cs="Book Antiqua"/>
          <w:color w:val="000000"/>
          <w:highlight w:val="yellow"/>
        </w:rPr>
        <w:t xml:space="preserve">November 27, 2017 [cited 4 March 2021]. </w:t>
      </w:r>
      <w:r w:rsidRPr="004720B6">
        <w:rPr>
          <w:rFonts w:ascii="Book Antiqua" w:eastAsia="Book Antiqua" w:hAnsi="Book Antiqua" w:cs="Book Antiqua"/>
          <w:color w:val="000000"/>
          <w:highlight w:val="yellow"/>
        </w:rPr>
        <w:t xml:space="preserve">Available from: </w:t>
      </w:r>
      <w:r w:rsidR="00EC35AA" w:rsidRPr="00EC35AA">
        <w:rPr>
          <w:rFonts w:ascii="Book Antiqua" w:eastAsia="Book Antiqua" w:hAnsi="Book Antiqua" w:cs="Book Antiqua"/>
          <w:color w:val="000000"/>
          <w:highlight w:val="yellow"/>
        </w:rPr>
        <w:t>https://ctep.cancer.gov/protocolDevelopment/electronic_applications/ctc.htm</w:t>
      </w:r>
    </w:p>
    <w:p w14:paraId="2E97B08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17 </w:t>
      </w:r>
      <w:r w:rsidRPr="004720B6">
        <w:rPr>
          <w:rFonts w:ascii="Book Antiqua" w:eastAsia="Book Antiqua" w:hAnsi="Book Antiqua" w:cs="Book Antiqua"/>
          <w:b/>
          <w:bCs/>
          <w:color w:val="000000"/>
        </w:rPr>
        <w:t>Shinoda M</w:t>
      </w:r>
      <w:r w:rsidRPr="004720B6">
        <w:rPr>
          <w:rFonts w:ascii="Book Antiqua" w:eastAsia="Book Antiqua" w:hAnsi="Book Antiqua" w:cs="Book Antiqua"/>
          <w:color w:val="000000"/>
        </w:rPr>
        <w:t xml:space="preserve">, Ando N, Kato K, Ishikura S, Kato H, Tsubosa Y, Minashi K, Okabe H, Kimura Y, Kawano T, Kosugi S, Toh Y, Nakamura K, Fukuda H; Japan Clinical Oncology Group. Randomized study of low-dose </w:t>
      </w:r>
      <w:r w:rsidRPr="004720B6">
        <w:rPr>
          <w:rFonts w:ascii="Book Antiqua" w:eastAsia="Book Antiqua" w:hAnsi="Book Antiqua" w:cs="Book Antiqua"/>
          <w:i/>
          <w:iCs/>
          <w:color w:val="000000"/>
        </w:rPr>
        <w:t>vs</w:t>
      </w:r>
      <w:r w:rsidRPr="004720B6">
        <w:rPr>
          <w:rFonts w:ascii="Book Antiqua" w:eastAsia="Book Antiqua" w:hAnsi="Book Antiqua" w:cs="Book Antiqua"/>
          <w:color w:val="000000"/>
        </w:rPr>
        <w:t xml:space="preserve"> standard-dose chemoradiotherapy for unresectable esophageal squamous cell carcinoma (JCOG0303). </w:t>
      </w:r>
      <w:r w:rsidRPr="004720B6">
        <w:rPr>
          <w:rFonts w:ascii="Book Antiqua" w:eastAsia="Book Antiqua" w:hAnsi="Book Antiqua" w:cs="Book Antiqua"/>
          <w:i/>
          <w:iCs/>
          <w:color w:val="000000"/>
        </w:rPr>
        <w:t>Cancer Sci</w:t>
      </w:r>
      <w:r w:rsidRPr="004720B6">
        <w:rPr>
          <w:rFonts w:ascii="Book Antiqua" w:eastAsia="Book Antiqua" w:hAnsi="Book Antiqua" w:cs="Book Antiqua"/>
          <w:color w:val="000000"/>
        </w:rPr>
        <w:t xml:space="preserve"> 2015; </w:t>
      </w:r>
      <w:r w:rsidRPr="004720B6">
        <w:rPr>
          <w:rFonts w:ascii="Book Antiqua" w:eastAsia="Book Antiqua" w:hAnsi="Book Antiqua" w:cs="Book Antiqua"/>
          <w:b/>
          <w:bCs/>
          <w:color w:val="000000"/>
        </w:rPr>
        <w:t>106</w:t>
      </w:r>
      <w:r w:rsidRPr="004720B6">
        <w:rPr>
          <w:rFonts w:ascii="Book Antiqua" w:eastAsia="Book Antiqua" w:hAnsi="Book Antiqua" w:cs="Book Antiqua"/>
          <w:color w:val="000000"/>
        </w:rPr>
        <w:t>: 407-412 [PMID: 25640628 DOI: 10.1111/cas.12622]</w:t>
      </w:r>
    </w:p>
    <w:p w14:paraId="0C5C382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18 </w:t>
      </w:r>
      <w:r w:rsidRPr="004720B6">
        <w:rPr>
          <w:rFonts w:ascii="Book Antiqua" w:eastAsia="Book Antiqua" w:hAnsi="Book Antiqua" w:cs="Book Antiqua"/>
          <w:b/>
          <w:bCs/>
          <w:color w:val="000000"/>
        </w:rPr>
        <w:t>Yokota T</w:t>
      </w:r>
      <w:r w:rsidRPr="004720B6">
        <w:rPr>
          <w:rFonts w:ascii="Book Antiqua" w:eastAsia="Book Antiqua" w:hAnsi="Book Antiqua" w:cs="Book Antiqua"/>
          <w:color w:val="000000"/>
        </w:rPr>
        <w:t xml:space="preserve">, Kato K, Hamamoto Y, Tsubosa Y, Ogawa H, Ito Y, Hara H, Ura T, Kojima T, Chin K, Hironaka S, Kii T, Kojima Y, Akutsu Y, Matsushita H, Kawakami K, Mori K, Nagai Y, Asami C, Kitagawa Y. Phase II study of chemoselection with docetaxel plus cisplatin and 5-fluorouracil induction chemotherapy and subsequent conversion surgery for locally advanced unresectable oesophageal cancer. </w:t>
      </w:r>
      <w:r w:rsidRPr="004720B6">
        <w:rPr>
          <w:rFonts w:ascii="Book Antiqua" w:eastAsia="Book Antiqua" w:hAnsi="Book Antiqua" w:cs="Book Antiqua"/>
          <w:i/>
          <w:iCs/>
          <w:color w:val="000000"/>
        </w:rPr>
        <w:t>Br J Cancer</w:t>
      </w:r>
      <w:r w:rsidRPr="004720B6">
        <w:rPr>
          <w:rFonts w:ascii="Book Antiqua" w:eastAsia="Book Antiqua" w:hAnsi="Book Antiqua" w:cs="Book Antiqua"/>
          <w:color w:val="000000"/>
        </w:rPr>
        <w:t xml:space="preserve"> 2016; </w:t>
      </w:r>
      <w:r w:rsidRPr="004720B6">
        <w:rPr>
          <w:rFonts w:ascii="Book Antiqua" w:eastAsia="Book Antiqua" w:hAnsi="Book Antiqua" w:cs="Book Antiqua"/>
          <w:b/>
          <w:bCs/>
          <w:color w:val="000000"/>
        </w:rPr>
        <w:t>115</w:t>
      </w:r>
      <w:r w:rsidRPr="004720B6">
        <w:rPr>
          <w:rFonts w:ascii="Book Antiqua" w:eastAsia="Book Antiqua" w:hAnsi="Book Antiqua" w:cs="Book Antiqua"/>
          <w:color w:val="000000"/>
        </w:rPr>
        <w:t>: 1328-1334 [PMID: 27811857 DOI: 10.1038/bjc.2016.350]</w:t>
      </w:r>
    </w:p>
    <w:p w14:paraId="48E24B5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19 </w:t>
      </w:r>
      <w:r w:rsidRPr="004720B6">
        <w:rPr>
          <w:rFonts w:ascii="Book Antiqua" w:eastAsia="Book Antiqua" w:hAnsi="Book Antiqua" w:cs="Book Antiqua"/>
          <w:b/>
          <w:bCs/>
          <w:color w:val="000000"/>
        </w:rPr>
        <w:t>Cooper JS</w:t>
      </w:r>
      <w:r w:rsidRPr="004720B6">
        <w:rPr>
          <w:rFonts w:ascii="Book Antiqua" w:eastAsia="Book Antiqua" w:hAnsi="Book Antiqua" w:cs="Book Antiqua"/>
          <w:color w:val="000000"/>
        </w:rPr>
        <w:t xml:space="preserve">, Guo MD, Herskovic A, Macdonald JS, Martenson JA Jr, Al-Sarraf M, Byhardt R, Russell AH, Beitler JJ, Spencer S, Asbell SO, Graham MV, Leichman LL. Chemoradiotherapy of locally advanced esophageal cancer: long-term follow-up of a prospective randomized trial (RTOG 85-01). Radiation Therapy Oncology Group. </w:t>
      </w:r>
      <w:r w:rsidRPr="004720B6">
        <w:rPr>
          <w:rFonts w:ascii="Book Antiqua" w:eastAsia="Book Antiqua" w:hAnsi="Book Antiqua" w:cs="Book Antiqua"/>
          <w:i/>
          <w:iCs/>
          <w:color w:val="000000"/>
        </w:rPr>
        <w:t>JAMA</w:t>
      </w:r>
      <w:r w:rsidRPr="004720B6">
        <w:rPr>
          <w:rFonts w:ascii="Book Antiqua" w:eastAsia="Book Antiqua" w:hAnsi="Book Antiqua" w:cs="Book Antiqua"/>
          <w:color w:val="000000"/>
        </w:rPr>
        <w:t xml:space="preserve"> 1999; </w:t>
      </w:r>
      <w:r w:rsidRPr="004720B6">
        <w:rPr>
          <w:rFonts w:ascii="Book Antiqua" w:eastAsia="Book Antiqua" w:hAnsi="Book Antiqua" w:cs="Book Antiqua"/>
          <w:b/>
          <w:bCs/>
          <w:color w:val="000000"/>
        </w:rPr>
        <w:t>281</w:t>
      </w:r>
      <w:r w:rsidRPr="004720B6">
        <w:rPr>
          <w:rFonts w:ascii="Book Antiqua" w:eastAsia="Book Antiqua" w:hAnsi="Book Antiqua" w:cs="Book Antiqua"/>
          <w:color w:val="000000"/>
        </w:rPr>
        <w:t>: 1623-1627 [PMID: 10235156 DOI: 10.1001/jama.281.17.1623]</w:t>
      </w:r>
    </w:p>
    <w:p w14:paraId="2C70298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20 </w:t>
      </w:r>
      <w:r w:rsidRPr="004720B6">
        <w:rPr>
          <w:rFonts w:ascii="Book Antiqua" w:eastAsia="Book Antiqua" w:hAnsi="Book Antiqua" w:cs="Book Antiqua"/>
          <w:b/>
          <w:bCs/>
          <w:color w:val="000000"/>
        </w:rPr>
        <w:t>Minsky BD</w:t>
      </w:r>
      <w:r w:rsidRPr="004720B6">
        <w:rPr>
          <w:rFonts w:ascii="Book Antiqua" w:eastAsia="Book Antiqua" w:hAnsi="Book Antiqua" w:cs="Book Antiqua"/>
          <w:color w:val="000000"/>
        </w:rPr>
        <w:t xml:space="preserve">, Pajak TF, Ginsberg RJ, Pisansky TM, Martenson J, Komaki R, Okawara G, Rosenthal SA, Kelsen DP. INT 0123 (Radiation Therapy Oncology Group 94-05) phase III trial of combined-modality therapy for esophageal cancer: high-dose </w:t>
      </w:r>
      <w:r w:rsidRPr="004720B6">
        <w:rPr>
          <w:rFonts w:ascii="Book Antiqua" w:eastAsia="Book Antiqua" w:hAnsi="Book Antiqua" w:cs="Book Antiqua"/>
          <w:i/>
          <w:iCs/>
          <w:color w:val="000000"/>
        </w:rPr>
        <w:t>vs</w:t>
      </w:r>
      <w:r w:rsidRPr="004720B6">
        <w:rPr>
          <w:rFonts w:ascii="Book Antiqua" w:eastAsia="Book Antiqua" w:hAnsi="Book Antiqua" w:cs="Book Antiqua"/>
          <w:color w:val="000000"/>
        </w:rPr>
        <w:t xml:space="preserve"> standard-dose radiation therapy. </w:t>
      </w:r>
      <w:r w:rsidRPr="004720B6">
        <w:rPr>
          <w:rFonts w:ascii="Book Antiqua" w:eastAsia="Book Antiqua" w:hAnsi="Book Antiqua" w:cs="Book Antiqua"/>
          <w:i/>
          <w:iCs/>
          <w:color w:val="000000"/>
        </w:rPr>
        <w:t>J Clin Oncol</w:t>
      </w:r>
      <w:r w:rsidRPr="004720B6">
        <w:rPr>
          <w:rFonts w:ascii="Book Antiqua" w:eastAsia="Book Antiqua" w:hAnsi="Book Antiqua" w:cs="Book Antiqua"/>
          <w:color w:val="000000"/>
        </w:rPr>
        <w:t xml:space="preserve"> 2002; </w:t>
      </w:r>
      <w:r w:rsidRPr="004720B6">
        <w:rPr>
          <w:rFonts w:ascii="Book Antiqua" w:eastAsia="Book Antiqua" w:hAnsi="Book Antiqua" w:cs="Book Antiqua"/>
          <w:b/>
          <w:bCs/>
          <w:color w:val="000000"/>
        </w:rPr>
        <w:t>20</w:t>
      </w:r>
      <w:r w:rsidRPr="004720B6">
        <w:rPr>
          <w:rFonts w:ascii="Book Antiqua" w:eastAsia="Book Antiqua" w:hAnsi="Book Antiqua" w:cs="Book Antiqua"/>
          <w:color w:val="000000"/>
        </w:rPr>
        <w:t>: 1167-1174 [PMID: 11870157 DOI: 10.1200/JCO.2002.20.5.1167]</w:t>
      </w:r>
    </w:p>
    <w:p w14:paraId="65F62EB4"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21 </w:t>
      </w:r>
      <w:r w:rsidRPr="004720B6">
        <w:rPr>
          <w:rFonts w:ascii="Book Antiqua" w:eastAsia="Book Antiqua" w:hAnsi="Book Antiqua" w:cs="Book Antiqua"/>
          <w:b/>
          <w:bCs/>
          <w:color w:val="000000"/>
        </w:rPr>
        <w:t>Kato K</w:t>
      </w:r>
      <w:r w:rsidRPr="004720B6">
        <w:rPr>
          <w:rFonts w:ascii="Book Antiqua" w:eastAsia="Book Antiqua" w:hAnsi="Book Antiqua" w:cs="Book Antiqua"/>
          <w:color w:val="000000"/>
        </w:rPr>
        <w:t xml:space="preserve">, Muro K, Minashi K, Ohtsu A, Ishikura S, Boku N, Takiuchi H, Komatsu Y, Miyata Y, Fukuda H; Gastrointestinal Oncology Study Group of the Japan Clinical Oncology Group (JCOG). Phase II study of chemoradiotherapy with 5-fluorouracil and cisplatin for Stage II-III esophageal squamous cell carcinoma: JCOG trial (JCOG 9906). </w:t>
      </w:r>
      <w:r w:rsidRPr="004720B6">
        <w:rPr>
          <w:rFonts w:ascii="Book Antiqua" w:eastAsia="Book Antiqua" w:hAnsi="Book Antiqua" w:cs="Book Antiqua"/>
          <w:i/>
          <w:iCs/>
          <w:color w:val="000000"/>
        </w:rPr>
        <w:t>Int J Radiat Oncol Biol Phys</w:t>
      </w:r>
      <w:r w:rsidRPr="004720B6">
        <w:rPr>
          <w:rFonts w:ascii="Book Antiqua" w:eastAsia="Book Antiqua" w:hAnsi="Book Antiqua" w:cs="Book Antiqua"/>
          <w:color w:val="000000"/>
        </w:rPr>
        <w:t xml:space="preserve"> 2011; </w:t>
      </w:r>
      <w:r w:rsidRPr="004720B6">
        <w:rPr>
          <w:rFonts w:ascii="Book Antiqua" w:eastAsia="Book Antiqua" w:hAnsi="Book Antiqua" w:cs="Book Antiqua"/>
          <w:b/>
          <w:bCs/>
          <w:color w:val="000000"/>
        </w:rPr>
        <w:t>81</w:t>
      </w:r>
      <w:r w:rsidRPr="004720B6">
        <w:rPr>
          <w:rFonts w:ascii="Book Antiqua" w:eastAsia="Book Antiqua" w:hAnsi="Book Antiqua" w:cs="Book Antiqua"/>
          <w:color w:val="000000"/>
        </w:rPr>
        <w:t>: 684-690 [PMID: 20932658 DOI: 10.1016/j.ijrobp.2010.06.033]</w:t>
      </w:r>
    </w:p>
    <w:p w14:paraId="306AA99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22 </w:t>
      </w:r>
      <w:r w:rsidRPr="004720B6">
        <w:rPr>
          <w:rFonts w:ascii="Book Antiqua" w:eastAsia="Book Antiqua" w:hAnsi="Book Antiqua" w:cs="Book Antiqua"/>
          <w:b/>
          <w:bCs/>
          <w:color w:val="000000"/>
        </w:rPr>
        <w:t>Ohtsu A</w:t>
      </w:r>
      <w:r w:rsidRPr="004720B6">
        <w:rPr>
          <w:rFonts w:ascii="Book Antiqua" w:eastAsia="Book Antiqua" w:hAnsi="Book Antiqua" w:cs="Book Antiqua"/>
          <w:color w:val="000000"/>
        </w:rPr>
        <w:t xml:space="preserve">, Boku N, Muro K, Chin K, Muto M, Yoshida S, Satake M, Ishikura S, Ogino T, Miyata Y, Seki S, Kaneko K, Nakamura A. Definitive chemoradiotherapy for T4 and/or M1 Lymph node squamous cell carcinoma of the esophagus. </w:t>
      </w:r>
      <w:r w:rsidRPr="004720B6">
        <w:rPr>
          <w:rFonts w:ascii="Book Antiqua" w:eastAsia="Book Antiqua" w:hAnsi="Book Antiqua" w:cs="Book Antiqua"/>
          <w:i/>
          <w:iCs/>
          <w:color w:val="000000"/>
        </w:rPr>
        <w:t>J Clin Oncol</w:t>
      </w:r>
      <w:r w:rsidRPr="004720B6">
        <w:rPr>
          <w:rFonts w:ascii="Book Antiqua" w:eastAsia="Book Antiqua" w:hAnsi="Book Antiqua" w:cs="Book Antiqua"/>
          <w:color w:val="000000"/>
        </w:rPr>
        <w:t xml:space="preserve"> 1999; </w:t>
      </w:r>
      <w:r w:rsidRPr="004720B6">
        <w:rPr>
          <w:rFonts w:ascii="Book Antiqua" w:eastAsia="Book Antiqua" w:hAnsi="Book Antiqua" w:cs="Book Antiqua"/>
          <w:b/>
          <w:bCs/>
          <w:color w:val="000000"/>
        </w:rPr>
        <w:t>17</w:t>
      </w:r>
      <w:r w:rsidRPr="004720B6">
        <w:rPr>
          <w:rFonts w:ascii="Book Antiqua" w:eastAsia="Book Antiqua" w:hAnsi="Book Antiqua" w:cs="Book Antiqua"/>
          <w:color w:val="000000"/>
        </w:rPr>
        <w:t>: 2915-2921 [PMID: 10561371 DOI: 10.1200/JCO.1999.17.9.2915]</w:t>
      </w:r>
    </w:p>
    <w:bookmarkEnd w:id="13"/>
    <w:p w14:paraId="06F9363E" w14:textId="77777777" w:rsidR="00A77B3E" w:rsidRPr="004720B6" w:rsidRDefault="00A77B3E" w:rsidP="004720B6">
      <w:pPr>
        <w:snapToGrid w:val="0"/>
        <w:spacing w:line="360" w:lineRule="auto"/>
        <w:jc w:val="both"/>
        <w:rPr>
          <w:rFonts w:ascii="Book Antiqua" w:hAnsi="Book Antiqua"/>
        </w:rPr>
        <w:sectPr w:rsidR="00A77B3E" w:rsidRPr="004720B6" w:rsidSect="00081803">
          <w:pgSz w:w="12240" w:h="15840"/>
          <w:pgMar w:top="1440" w:right="1800" w:bottom="1440" w:left="1800" w:header="720" w:footer="720" w:gutter="0"/>
          <w:cols w:space="720"/>
          <w:docGrid w:linePitch="360"/>
        </w:sectPr>
      </w:pPr>
    </w:p>
    <w:p w14:paraId="21A28BF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Footnotes</w:t>
      </w:r>
    </w:p>
    <w:p w14:paraId="73E05958" w14:textId="79F0C3A8"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Informed consent statement: </w:t>
      </w:r>
      <w:r w:rsidRPr="004720B6">
        <w:rPr>
          <w:rFonts w:ascii="Book Antiqua" w:eastAsia="Book Antiqua" w:hAnsi="Book Antiqua" w:cs="Book Antiqua"/>
          <w:color w:val="000000"/>
        </w:rPr>
        <w:t>Written informed consent was obtained from the patient for publication of this case report and any accompanying images.</w:t>
      </w:r>
    </w:p>
    <w:p w14:paraId="00D08447" w14:textId="77777777" w:rsidR="00A77B3E" w:rsidRPr="004720B6" w:rsidRDefault="00A77B3E" w:rsidP="004720B6">
      <w:pPr>
        <w:snapToGrid w:val="0"/>
        <w:spacing w:line="360" w:lineRule="auto"/>
        <w:jc w:val="both"/>
        <w:rPr>
          <w:rFonts w:ascii="Book Antiqua" w:hAnsi="Book Antiqua"/>
        </w:rPr>
      </w:pPr>
    </w:p>
    <w:p w14:paraId="5A6F3C48" w14:textId="248F0CA1"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Conflict-of-interest statement: </w:t>
      </w:r>
      <w:r w:rsidRPr="004720B6">
        <w:rPr>
          <w:rFonts w:ascii="Book Antiqua" w:eastAsia="Book Antiqua" w:hAnsi="Book Antiqua" w:cs="Book Antiqua"/>
          <w:color w:val="000000"/>
        </w:rPr>
        <w:t>All authors declare no conflicts of interest.</w:t>
      </w:r>
    </w:p>
    <w:p w14:paraId="7868819A" w14:textId="77777777" w:rsidR="00A77B3E" w:rsidRPr="004720B6" w:rsidRDefault="00A77B3E" w:rsidP="004720B6">
      <w:pPr>
        <w:snapToGrid w:val="0"/>
        <w:spacing w:line="360" w:lineRule="auto"/>
        <w:jc w:val="both"/>
        <w:rPr>
          <w:rFonts w:ascii="Book Antiqua" w:hAnsi="Book Antiqua"/>
        </w:rPr>
      </w:pPr>
    </w:p>
    <w:p w14:paraId="5C40E86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CARE Checklist (2016) statement: </w:t>
      </w:r>
      <w:r w:rsidRPr="004720B6">
        <w:rPr>
          <w:rFonts w:ascii="Book Antiqua" w:eastAsia="Book Antiqua" w:hAnsi="Book Antiqua" w:cs="Book Antiqua"/>
          <w:color w:val="000000"/>
        </w:rPr>
        <w:t>The authors have read the CARE Checklist (2016), and the manuscript was prepared and revised according to the CARE Checklist (2016).</w:t>
      </w:r>
    </w:p>
    <w:p w14:paraId="411FBFC2" w14:textId="77777777" w:rsidR="00A77B3E" w:rsidRPr="004720B6" w:rsidRDefault="00A77B3E" w:rsidP="004720B6">
      <w:pPr>
        <w:snapToGrid w:val="0"/>
        <w:spacing w:line="360" w:lineRule="auto"/>
        <w:jc w:val="both"/>
        <w:rPr>
          <w:rFonts w:ascii="Book Antiqua" w:hAnsi="Book Antiqua"/>
        </w:rPr>
      </w:pPr>
    </w:p>
    <w:p w14:paraId="7A0C4C3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Open-Access: </w:t>
      </w:r>
      <w:r w:rsidRPr="004720B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D5CD66" w14:textId="77777777" w:rsidR="00A77B3E" w:rsidRPr="004720B6" w:rsidRDefault="00A77B3E" w:rsidP="004720B6">
      <w:pPr>
        <w:snapToGrid w:val="0"/>
        <w:spacing w:line="360" w:lineRule="auto"/>
        <w:jc w:val="both"/>
        <w:rPr>
          <w:rFonts w:ascii="Book Antiqua" w:hAnsi="Book Antiqua"/>
        </w:rPr>
      </w:pPr>
    </w:p>
    <w:p w14:paraId="5935AB07" w14:textId="32F5713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source: </w:t>
      </w:r>
      <w:r w:rsidRPr="004720B6">
        <w:rPr>
          <w:rFonts w:ascii="Book Antiqua" w:eastAsia="Book Antiqua" w:hAnsi="Book Antiqua" w:cs="Book Antiqua"/>
          <w:color w:val="000000"/>
        </w:rPr>
        <w:t xml:space="preserve">Unsolicited </w:t>
      </w:r>
      <w:r w:rsidR="00051F17" w:rsidRPr="004720B6">
        <w:rPr>
          <w:rFonts w:ascii="Book Antiqua" w:eastAsia="Book Antiqua" w:hAnsi="Book Antiqua" w:cs="Book Antiqua"/>
          <w:color w:val="000000"/>
        </w:rPr>
        <w:t>manuscript</w:t>
      </w:r>
    </w:p>
    <w:p w14:paraId="7AEF17BC" w14:textId="77777777" w:rsidR="00A77B3E" w:rsidRPr="004720B6" w:rsidRDefault="00A77B3E" w:rsidP="004720B6">
      <w:pPr>
        <w:snapToGrid w:val="0"/>
        <w:spacing w:line="360" w:lineRule="auto"/>
        <w:jc w:val="both"/>
        <w:rPr>
          <w:rFonts w:ascii="Book Antiqua" w:hAnsi="Book Antiqua"/>
        </w:rPr>
      </w:pPr>
    </w:p>
    <w:p w14:paraId="416E929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Peer-review started: </w:t>
      </w:r>
      <w:r w:rsidRPr="004720B6">
        <w:rPr>
          <w:rFonts w:ascii="Book Antiqua" w:eastAsia="Book Antiqua" w:hAnsi="Book Antiqua" w:cs="Book Antiqua"/>
          <w:color w:val="000000"/>
        </w:rPr>
        <w:t>August 27, 2020</w:t>
      </w:r>
    </w:p>
    <w:p w14:paraId="49FA781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First decision: </w:t>
      </w:r>
      <w:r w:rsidRPr="004720B6">
        <w:rPr>
          <w:rFonts w:ascii="Book Antiqua" w:eastAsia="Book Antiqua" w:hAnsi="Book Antiqua" w:cs="Book Antiqua"/>
          <w:color w:val="000000"/>
        </w:rPr>
        <w:t>December 20, 2020</w:t>
      </w:r>
    </w:p>
    <w:p w14:paraId="28DE8810" w14:textId="1F966496"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Article in press: </w:t>
      </w:r>
      <w:r w:rsidR="001E6888" w:rsidRPr="0076100D">
        <w:rPr>
          <w:rFonts w:ascii="Book Antiqua" w:eastAsia="Book Antiqua" w:hAnsi="Book Antiqua" w:cs="Book Antiqua"/>
          <w:color w:val="000000"/>
        </w:rPr>
        <w:t>March 5, 2021</w:t>
      </w:r>
    </w:p>
    <w:p w14:paraId="7C16A8FF" w14:textId="77777777" w:rsidR="00A77B3E" w:rsidRPr="004720B6" w:rsidRDefault="00A77B3E" w:rsidP="004720B6">
      <w:pPr>
        <w:snapToGrid w:val="0"/>
        <w:spacing w:line="360" w:lineRule="auto"/>
        <w:jc w:val="both"/>
        <w:rPr>
          <w:rFonts w:ascii="Book Antiqua" w:hAnsi="Book Antiqua"/>
        </w:rPr>
      </w:pPr>
    </w:p>
    <w:p w14:paraId="0C5E4104" w14:textId="3ABE003C"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Specialty type: </w:t>
      </w:r>
      <w:r w:rsidR="00051F17" w:rsidRPr="004720B6">
        <w:rPr>
          <w:rFonts w:ascii="Book Antiqua" w:eastAsia="Book Antiqua" w:hAnsi="Book Antiqua" w:cs="Book Antiqua"/>
          <w:color w:val="000000"/>
        </w:rPr>
        <w:t>Medicine, research and experimental</w:t>
      </w:r>
    </w:p>
    <w:p w14:paraId="16F0EC0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Country/Territory of origin: </w:t>
      </w:r>
      <w:r w:rsidRPr="004720B6">
        <w:rPr>
          <w:rFonts w:ascii="Book Antiqua" w:eastAsia="Book Antiqua" w:hAnsi="Book Antiqua" w:cs="Book Antiqua"/>
          <w:color w:val="000000"/>
        </w:rPr>
        <w:t>Japan</w:t>
      </w:r>
    </w:p>
    <w:p w14:paraId="339B9D8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Peer-review report’s scientific quality classification</w:t>
      </w:r>
    </w:p>
    <w:p w14:paraId="73F683A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A (Excellent): 0</w:t>
      </w:r>
    </w:p>
    <w:p w14:paraId="532682E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B (Very good): 0</w:t>
      </w:r>
    </w:p>
    <w:p w14:paraId="07799A57" w14:textId="21BF0C09"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C (Good): C</w:t>
      </w:r>
      <w:r w:rsidR="00DF6026">
        <w:rPr>
          <w:rFonts w:ascii="Book Antiqua" w:eastAsia="Book Antiqua" w:hAnsi="Book Antiqua" w:cs="Book Antiqua"/>
          <w:color w:val="000000"/>
        </w:rPr>
        <w:t>, C</w:t>
      </w:r>
    </w:p>
    <w:p w14:paraId="5F229FB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D (Fair): D</w:t>
      </w:r>
    </w:p>
    <w:p w14:paraId="4E5644D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E (Poor): 0</w:t>
      </w:r>
    </w:p>
    <w:p w14:paraId="5E9AB9C6" w14:textId="77777777" w:rsidR="00A77B3E" w:rsidRPr="004720B6" w:rsidRDefault="00A77B3E" w:rsidP="004720B6">
      <w:pPr>
        <w:snapToGrid w:val="0"/>
        <w:spacing w:line="360" w:lineRule="auto"/>
        <w:jc w:val="both"/>
        <w:rPr>
          <w:rFonts w:ascii="Book Antiqua" w:hAnsi="Book Antiqua"/>
        </w:rPr>
      </w:pPr>
    </w:p>
    <w:p w14:paraId="70D5D571" w14:textId="4B9B7F52" w:rsidR="00A77B3E" w:rsidRPr="009A018F" w:rsidRDefault="008375B4" w:rsidP="004720B6">
      <w:pPr>
        <w:snapToGrid w:val="0"/>
        <w:spacing w:line="360" w:lineRule="auto"/>
        <w:jc w:val="both"/>
        <w:rPr>
          <w:rFonts w:ascii="Book Antiqua" w:eastAsia="Book Antiqua" w:hAnsi="Book Antiqua" w:cs="Book Antiqua"/>
          <w:color w:val="000000"/>
        </w:rPr>
      </w:pPr>
      <w:r w:rsidRPr="004720B6">
        <w:rPr>
          <w:rFonts w:ascii="Book Antiqua" w:eastAsia="Book Antiqua" w:hAnsi="Book Antiqua" w:cs="Book Antiqua"/>
          <w:b/>
          <w:color w:val="000000"/>
        </w:rPr>
        <w:t xml:space="preserve">P-Reviewer: </w:t>
      </w:r>
      <w:r w:rsidRPr="004720B6">
        <w:rPr>
          <w:rFonts w:ascii="Book Antiqua" w:eastAsia="Book Antiqua" w:hAnsi="Book Antiqua" w:cs="Book Antiqua"/>
          <w:color w:val="000000"/>
        </w:rPr>
        <w:t>Cai ZZ, Li LW</w:t>
      </w:r>
      <w:r w:rsidRPr="004720B6">
        <w:rPr>
          <w:rFonts w:ascii="Book Antiqua" w:eastAsia="Book Antiqua" w:hAnsi="Book Antiqua" w:cs="Book Antiqua"/>
          <w:b/>
          <w:color w:val="000000"/>
        </w:rPr>
        <w:t xml:space="preserve"> S-Editor: </w:t>
      </w:r>
      <w:r w:rsidRPr="004720B6">
        <w:rPr>
          <w:rFonts w:ascii="Book Antiqua" w:eastAsia="Book Antiqua" w:hAnsi="Book Antiqua" w:cs="Book Antiqua"/>
          <w:color w:val="000000"/>
        </w:rPr>
        <w:t>Zhang L</w:t>
      </w:r>
      <w:r w:rsidRPr="004720B6">
        <w:rPr>
          <w:rFonts w:ascii="Book Antiqua" w:eastAsia="Book Antiqua" w:hAnsi="Book Antiqua" w:cs="Book Antiqua"/>
          <w:b/>
          <w:color w:val="000000"/>
        </w:rPr>
        <w:t xml:space="preserve"> L-Editor:</w:t>
      </w:r>
      <w:r w:rsidR="009617E2" w:rsidRPr="009A018F">
        <w:rPr>
          <w:rFonts w:ascii="Book Antiqua" w:eastAsia="Book Antiqua" w:hAnsi="Book Antiqua" w:cs="Book Antiqua"/>
          <w:color w:val="000000"/>
        </w:rPr>
        <w:t xml:space="preserve"> </w:t>
      </w:r>
      <w:r w:rsidR="009A018F" w:rsidRPr="009A018F">
        <w:rPr>
          <w:rFonts w:ascii="Book Antiqua" w:hAnsi="Book Antiqua" w:cs="Book Antiqua" w:hint="eastAsia"/>
          <w:color w:val="000000"/>
          <w:lang w:eastAsia="zh-CN"/>
        </w:rPr>
        <w:t xml:space="preserve">A </w:t>
      </w:r>
      <w:r w:rsidRPr="004720B6">
        <w:rPr>
          <w:rFonts w:ascii="Book Antiqua" w:eastAsia="Book Antiqua" w:hAnsi="Book Antiqua" w:cs="Book Antiqua"/>
          <w:b/>
          <w:color w:val="000000"/>
        </w:rPr>
        <w:t>P-Editor:</w:t>
      </w:r>
      <w:r w:rsidRPr="009A018F">
        <w:rPr>
          <w:rFonts w:ascii="Book Antiqua" w:eastAsia="Book Antiqua" w:hAnsi="Book Antiqua" w:cs="Book Antiqua"/>
          <w:color w:val="000000"/>
        </w:rPr>
        <w:t xml:space="preserve"> </w:t>
      </w:r>
      <w:r w:rsidR="009A018F" w:rsidRPr="009A018F">
        <w:rPr>
          <w:rFonts w:ascii="Book Antiqua" w:eastAsia="Book Antiqua" w:hAnsi="Book Antiqua" w:cs="Book Antiqua" w:hint="eastAsia"/>
          <w:color w:val="000000"/>
        </w:rPr>
        <w:t>Wang LL</w:t>
      </w:r>
    </w:p>
    <w:p w14:paraId="535A4355" w14:textId="77777777" w:rsidR="00051F17" w:rsidRPr="004720B6" w:rsidRDefault="00051F17" w:rsidP="004720B6">
      <w:pPr>
        <w:snapToGrid w:val="0"/>
        <w:spacing w:line="360" w:lineRule="auto"/>
        <w:jc w:val="both"/>
        <w:rPr>
          <w:rFonts w:ascii="Book Antiqua" w:hAnsi="Book Antiqua"/>
        </w:rPr>
        <w:sectPr w:rsidR="00051F17" w:rsidRPr="004720B6" w:rsidSect="00081803">
          <w:pgSz w:w="12240" w:h="15840"/>
          <w:pgMar w:top="1440" w:right="1800" w:bottom="1440" w:left="1800" w:header="720" w:footer="720" w:gutter="0"/>
          <w:cols w:space="720"/>
          <w:docGrid w:linePitch="360"/>
        </w:sectPr>
      </w:pPr>
    </w:p>
    <w:p w14:paraId="566A3B32" w14:textId="42468D8F" w:rsidR="00A77B3E" w:rsidRPr="004720B6" w:rsidRDefault="008375B4" w:rsidP="004720B6">
      <w:pPr>
        <w:snapToGrid w:val="0"/>
        <w:spacing w:line="360" w:lineRule="auto"/>
        <w:jc w:val="both"/>
        <w:rPr>
          <w:rFonts w:ascii="Book Antiqua" w:eastAsia="Book Antiqua" w:hAnsi="Book Antiqua" w:cs="Book Antiqua"/>
          <w:b/>
          <w:color w:val="000000"/>
        </w:rPr>
      </w:pPr>
      <w:r w:rsidRPr="004720B6">
        <w:rPr>
          <w:rFonts w:ascii="Book Antiqua" w:eastAsia="Book Antiqua" w:hAnsi="Book Antiqua" w:cs="Book Antiqua"/>
          <w:b/>
          <w:color w:val="000000"/>
        </w:rPr>
        <w:t>Figure Legends</w:t>
      </w:r>
    </w:p>
    <w:p w14:paraId="27B172B4" w14:textId="50B49F8F" w:rsidR="00B12DA3" w:rsidRPr="004720B6" w:rsidRDefault="001D2B37" w:rsidP="004720B6">
      <w:pPr>
        <w:snapToGrid w:val="0"/>
        <w:spacing w:line="360" w:lineRule="auto"/>
        <w:jc w:val="both"/>
        <w:rPr>
          <w:rFonts w:ascii="Book Antiqua" w:hAnsi="Book Antiqua"/>
        </w:rPr>
      </w:pPr>
      <w:r w:rsidRPr="004720B6">
        <w:rPr>
          <w:rFonts w:ascii="Book Antiqua" w:hAnsi="Book Antiqua"/>
          <w:noProof/>
          <w:lang w:eastAsia="zh-CN"/>
        </w:rPr>
        <w:drawing>
          <wp:inline distT="0" distB="0" distL="0" distR="0" wp14:anchorId="3C5A120F" wp14:editId="4AF73EF7">
            <wp:extent cx="5423460" cy="421419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8420" cy="4218045"/>
                    </a:xfrm>
                    <a:prstGeom prst="rect">
                      <a:avLst/>
                    </a:prstGeom>
                  </pic:spPr>
                </pic:pic>
              </a:graphicData>
            </a:graphic>
          </wp:inline>
        </w:drawing>
      </w:r>
    </w:p>
    <w:p w14:paraId="7416347B" w14:textId="1161890A"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1</w:t>
      </w:r>
      <w:r w:rsidR="006F5561"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 xml:space="preserve">Endoscopic findings. </w:t>
      </w:r>
      <w:r w:rsidRPr="004720B6">
        <w:rPr>
          <w:rFonts w:ascii="Book Antiqua" w:eastAsia="Book Antiqua" w:hAnsi="Book Antiqua" w:cs="Book Antiqua"/>
          <w:color w:val="000000"/>
        </w:rPr>
        <w:t>A</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endoscopic findings detected type 2 tumor located on the middle part of the esophagus</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B</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chemotherapy. Primary tumor volume decreased</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C</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w:t>
      </w:r>
      <w:r w:rsidR="001D2B37" w:rsidRPr="004720B6">
        <w:rPr>
          <w:rFonts w:ascii="Book Antiqua" w:eastAsia="Book Antiqua" w:hAnsi="Book Antiqua" w:cs="Book Antiqua"/>
          <w:color w:val="000000"/>
        </w:rPr>
        <w:t xml:space="preserve"> definitive chemoradiotherapy</w:t>
      </w:r>
      <w:r w:rsidRPr="004720B6">
        <w:rPr>
          <w:rFonts w:ascii="Book Antiqua" w:eastAsia="Book Antiqua" w:hAnsi="Book Antiqua" w:cs="Book Antiqua"/>
          <w:color w:val="000000"/>
        </w:rPr>
        <w:t xml:space="preserve">. </w:t>
      </w:r>
      <w:r w:rsidR="00144D36" w:rsidRPr="004720B6">
        <w:rPr>
          <w:rFonts w:ascii="Book Antiqua" w:eastAsia="Book Antiqua" w:hAnsi="Book Antiqua" w:cs="Book Antiqua"/>
          <w:color w:val="000000"/>
        </w:rPr>
        <w:t>Esophagogastroduodenoscopy</w:t>
      </w:r>
      <w:r w:rsidRPr="004720B6">
        <w:rPr>
          <w:rFonts w:ascii="Book Antiqua" w:eastAsia="Book Antiqua" w:hAnsi="Book Antiqua" w:cs="Book Antiqua"/>
          <w:color w:val="000000"/>
        </w:rPr>
        <w:t xml:space="preserve"> findings showed a prominent reduction of the primary tumor, with ulceration</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D</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w:t>
      </w:r>
      <w:r w:rsidR="00DF6026">
        <w:rPr>
          <w:rFonts w:ascii="Book Antiqua" w:eastAsia="Book Antiqua" w:hAnsi="Book Antiqua" w:cs="Book Antiqua"/>
          <w:color w:val="000000"/>
        </w:rPr>
        <w:t>Fourteen</w:t>
      </w:r>
      <w:r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months</w:t>
      </w:r>
      <w:r w:rsidRPr="004720B6">
        <w:rPr>
          <w:rFonts w:ascii="Book Antiqua" w:eastAsia="Book Antiqua" w:hAnsi="Book Antiqua" w:cs="Book Antiqua"/>
          <w:color w:val="000000"/>
        </w:rPr>
        <w:t xml:space="preserve"> after additional 2 courses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lesion maintained clinically and pathologically complete response.</w:t>
      </w:r>
    </w:p>
    <w:p w14:paraId="12E83B36" w14:textId="77777777" w:rsidR="00A77B3E" w:rsidRPr="004720B6" w:rsidRDefault="00A77B3E" w:rsidP="004720B6">
      <w:pPr>
        <w:snapToGrid w:val="0"/>
        <w:spacing w:line="360" w:lineRule="auto"/>
        <w:jc w:val="both"/>
        <w:rPr>
          <w:rFonts w:ascii="Book Antiqua" w:hAnsi="Book Antiqua"/>
        </w:rPr>
      </w:pPr>
    </w:p>
    <w:p w14:paraId="7F40599E" w14:textId="6AB283E1"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drawing>
          <wp:inline distT="0" distB="0" distL="0" distR="0" wp14:anchorId="5D7A4EB7" wp14:editId="115F5671">
            <wp:extent cx="5509870" cy="4277802"/>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517508" cy="4283732"/>
                    </a:xfrm>
                    <a:prstGeom prst="rect">
                      <a:avLst/>
                    </a:prstGeom>
                  </pic:spPr>
                </pic:pic>
              </a:graphicData>
            </a:graphic>
          </wp:inline>
        </w:drawing>
      </w:r>
    </w:p>
    <w:p w14:paraId="798C79DE" w14:textId="0EA8EC14"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2</w:t>
      </w:r>
      <w:r w:rsidR="00A7772B" w:rsidRPr="004720B6">
        <w:rPr>
          <w:rFonts w:ascii="Book Antiqua" w:eastAsia="Book Antiqua" w:hAnsi="Book Antiqua" w:cs="Book Antiqua"/>
          <w:b/>
          <w:bCs/>
          <w:color w:val="000000"/>
        </w:rPr>
        <w:t xml:space="preserve"> </w:t>
      </w:r>
      <w:r w:rsidR="00360620" w:rsidRPr="004720B6">
        <w:rPr>
          <w:rFonts w:ascii="Book Antiqua" w:eastAsia="Book Antiqua" w:hAnsi="Book Antiqua" w:cs="Book Antiqua"/>
          <w:b/>
          <w:bCs/>
          <w:color w:val="000000"/>
        </w:rPr>
        <w:t>Computed tomography</w:t>
      </w:r>
      <w:r w:rsidRPr="004720B6">
        <w:rPr>
          <w:rFonts w:ascii="Book Antiqua" w:eastAsia="Book Antiqua" w:hAnsi="Book Antiqua" w:cs="Book Antiqua"/>
          <w:b/>
          <w:bCs/>
          <w:color w:val="000000"/>
        </w:rPr>
        <w:t xml:space="preserve"> findings showing level of left bronchus. </w:t>
      </w:r>
      <w:r w:rsidRPr="004720B6">
        <w:rPr>
          <w:rFonts w:ascii="Book Antiqua" w:eastAsia="Book Antiqua" w:hAnsi="Book Antiqua" w:cs="Book Antiqua"/>
          <w:color w:val="000000"/>
        </w:rPr>
        <w:t>A</w:t>
      </w:r>
      <w:r w:rsidR="00A7772B"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w:t>
      </w:r>
      <w:r w:rsidR="00360620" w:rsidRPr="004720B6">
        <w:rPr>
          <w:rFonts w:ascii="Book Antiqua" w:hAnsi="Book Antiqua"/>
        </w:rPr>
        <w:t xml:space="preserve"> </w:t>
      </w:r>
      <w:r w:rsidR="00360620"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to invasion to the left bronchus</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Shrinkage of the tumor size was recognized but invasion of the left bronchus was still suspected</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A7772B"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Primary tumor volume decreased</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A7772B"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w:t>
      </w:r>
      <w:r w:rsidR="005179F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tumor has maintained shrinkage.</w:t>
      </w:r>
    </w:p>
    <w:p w14:paraId="1D2C42FF" w14:textId="77777777" w:rsidR="00A77B3E" w:rsidRPr="004720B6" w:rsidRDefault="00A77B3E" w:rsidP="004720B6">
      <w:pPr>
        <w:snapToGrid w:val="0"/>
        <w:spacing w:line="360" w:lineRule="auto"/>
        <w:jc w:val="both"/>
        <w:rPr>
          <w:rFonts w:ascii="Book Antiqua" w:hAnsi="Book Antiqua"/>
        </w:rPr>
      </w:pPr>
    </w:p>
    <w:p w14:paraId="3EBC8855" w14:textId="392B3D66"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drawing>
          <wp:inline distT="0" distB="0" distL="0" distR="0" wp14:anchorId="4ADF4D52" wp14:editId="71C4DF1B">
            <wp:extent cx="5467109" cy="4253948"/>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470033" cy="4256223"/>
                    </a:xfrm>
                    <a:prstGeom prst="rect">
                      <a:avLst/>
                    </a:prstGeom>
                  </pic:spPr>
                </pic:pic>
              </a:graphicData>
            </a:graphic>
          </wp:inline>
        </w:drawing>
      </w:r>
    </w:p>
    <w:p w14:paraId="7BF8668F" w14:textId="05C94BCE"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3</w:t>
      </w:r>
      <w:r w:rsidR="00A7772B" w:rsidRPr="004720B6">
        <w:rPr>
          <w:rFonts w:ascii="Book Antiqua" w:eastAsia="Book Antiqua" w:hAnsi="Book Antiqua" w:cs="Book Antiqua"/>
          <w:b/>
          <w:bCs/>
          <w:color w:val="000000"/>
        </w:rPr>
        <w:t xml:space="preserve"> </w:t>
      </w:r>
      <w:r w:rsidR="000F0B2A" w:rsidRPr="004720B6">
        <w:rPr>
          <w:rFonts w:ascii="Book Antiqua" w:eastAsia="Book Antiqua" w:hAnsi="Book Antiqua" w:cs="Book Antiqua"/>
          <w:b/>
          <w:bCs/>
          <w:color w:val="000000"/>
        </w:rPr>
        <w:t>Computerized tomography</w:t>
      </w:r>
      <w:r w:rsidRPr="004720B6">
        <w:rPr>
          <w:rFonts w:ascii="Book Antiqua" w:eastAsia="Book Antiqua" w:hAnsi="Book Antiqua" w:cs="Book Antiqua"/>
          <w:b/>
          <w:bCs/>
          <w:color w:val="000000"/>
        </w:rPr>
        <w:t xml:space="preserve"> findings showing level of aorta. </w:t>
      </w:r>
      <w:r w:rsidRPr="004720B6">
        <w:rPr>
          <w:rFonts w:ascii="Book Antiqua" w:eastAsia="Book Antiqua" w:hAnsi="Book Antiqua" w:cs="Book Antiqua"/>
          <w:color w:val="000000"/>
        </w:rPr>
        <w:t>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w:t>
      </w:r>
      <w:r w:rsidR="00360620"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to 90° of direct contact with the aorta, which defined as invasion to the aorta</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After 3 courses of induction</w:t>
      </w:r>
      <w:r w:rsidR="001D2B37" w:rsidRPr="004720B6">
        <w:rPr>
          <w:rFonts w:ascii="Book Antiqua" w:eastAsia="Book Antiqua" w:hAnsi="Book Antiqua" w:cs="Book Antiqua"/>
          <w:color w:val="000000"/>
        </w:rPr>
        <w:t xml:space="preserve"> docetaxel, cisplatin and fluorouracil</w:t>
      </w:r>
      <w:r w:rsidRPr="004720B6">
        <w:rPr>
          <w:rFonts w:ascii="Book Antiqua" w:eastAsia="Book Antiqua" w:hAnsi="Book Antiqua" w:cs="Book Antiqua"/>
          <w:color w:val="000000"/>
        </w:rPr>
        <w:t>. Shrinkage of the tumor size was recognized but invasion of the aorta was still suspected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Primary tumor volume decreased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00DF6026"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tumor has maintained shrinkage.</w:t>
      </w:r>
    </w:p>
    <w:p w14:paraId="55DA784F" w14:textId="25370B68"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drawing>
          <wp:inline distT="0" distB="0" distL="0" distR="0" wp14:anchorId="4BBD5119" wp14:editId="45E01DDD">
            <wp:extent cx="5421023" cy="4222143"/>
            <wp:effectExtent l="0" t="0" r="825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871" cy="4225919"/>
                    </a:xfrm>
                    <a:prstGeom prst="rect">
                      <a:avLst/>
                    </a:prstGeom>
                  </pic:spPr>
                </pic:pic>
              </a:graphicData>
            </a:graphic>
          </wp:inline>
        </w:drawing>
      </w:r>
    </w:p>
    <w:p w14:paraId="123B9BD5" w14:textId="23AD86B5"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Figure 4</w:t>
      </w:r>
      <w:r w:rsidR="003D1AA8" w:rsidRPr="004720B6">
        <w:rPr>
          <w:rFonts w:ascii="Book Antiqua" w:eastAsia="Book Antiqua" w:hAnsi="Book Antiqua" w:cs="Book Antiqua"/>
          <w:b/>
          <w:bCs/>
          <w:color w:val="000000"/>
        </w:rPr>
        <w:t xml:space="preserve"> </w:t>
      </w:r>
      <w:r w:rsidR="00307717" w:rsidRPr="004720B6">
        <w:rPr>
          <w:rFonts w:ascii="Book Antiqua" w:eastAsia="Book Antiqua" w:hAnsi="Book Antiqua" w:cs="Book Antiqua"/>
          <w:b/>
          <w:bCs/>
          <w:color w:val="000000"/>
        </w:rPr>
        <w:t>Computed tomography</w:t>
      </w:r>
      <w:r w:rsidRPr="004720B6">
        <w:rPr>
          <w:rFonts w:ascii="Book Antiqua" w:eastAsia="Book Antiqua" w:hAnsi="Book Antiqua" w:cs="Book Antiqua"/>
          <w:b/>
          <w:bCs/>
          <w:color w:val="000000"/>
        </w:rPr>
        <w:t xml:space="preserve"> findings showing #106recR lymph node.</w:t>
      </w:r>
      <w:r w:rsidRPr="004720B6">
        <w:rPr>
          <w:rFonts w:ascii="Book Antiqua" w:eastAsia="Book Antiqua" w:hAnsi="Book Antiqua" w:cs="Book Antiqua"/>
          <w:color w:val="000000"/>
        </w:rPr>
        <w:t xml:space="preserve"> 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w:t>
      </w:r>
      <w:r w:rsidR="00307717"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swollen lymph node (10.16</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mm </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8.02</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mm)</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Slightly shrinkage of the lymph node size (8.01</w:t>
      </w:r>
      <w:r w:rsidR="000F0B2A" w:rsidRPr="004720B6">
        <w:rPr>
          <w:rFonts w:ascii="Book Antiqua" w:eastAsia="Book Antiqua" w:hAnsi="Book Antiqua" w:cs="Book Antiqua"/>
          <w:color w:val="000000"/>
        </w:rPr>
        <w:t xml:space="preserve"> mm</w:t>
      </w:r>
      <w:r w:rsidRPr="004720B6">
        <w:rPr>
          <w:rFonts w:ascii="Book Antiqua" w:eastAsia="Book Antiqua" w:hAnsi="Book Antiqua" w:cs="Book Antiqua"/>
          <w:color w:val="000000"/>
        </w:rPr>
        <w:t xml:space="preserve"> × 6.69 mm) was recognized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xml:space="preserve">. #106recR lymph node did not change in size (8.31 mm </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7.59 mm)</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#106recR lymph node could not be detected</w:t>
      </w:r>
      <w:r w:rsidR="001D2B37" w:rsidRPr="004720B6">
        <w:rPr>
          <w:rFonts w:ascii="Book Antiqua" w:hAnsi="Book Antiqua"/>
          <w:lang w:eastAsia="zh-CN"/>
        </w:rPr>
        <w:t xml:space="preserve"> </w:t>
      </w:r>
      <w:r w:rsidRPr="004720B6">
        <w:rPr>
          <w:rFonts w:ascii="Book Antiqua" w:eastAsia="Book Antiqua" w:hAnsi="Book Antiqua" w:cs="Book Antiqua"/>
          <w:color w:val="000000"/>
        </w:rPr>
        <w:t>(</w:t>
      </w:r>
      <w:r w:rsidR="00B81B77">
        <w:rPr>
          <w:rFonts w:ascii="Book Antiqua" w:hAnsi="Book Antiqua" w:cs="Book Antiqua" w:hint="eastAsia"/>
          <w:color w:val="000000"/>
          <w:lang w:eastAsia="zh-CN"/>
        </w:rPr>
        <w:t>Orange</w:t>
      </w:r>
      <w:r w:rsidRPr="004720B6">
        <w:rPr>
          <w:rFonts w:ascii="Book Antiqua" w:eastAsia="Book Antiqua" w:hAnsi="Book Antiqua" w:cs="Book Antiqua"/>
          <w:color w:val="000000"/>
        </w:rPr>
        <w:t xml:space="preserve"> arrow; 106recR lymph node)</w:t>
      </w:r>
      <w:r w:rsidR="00307717" w:rsidRPr="004720B6">
        <w:rPr>
          <w:rFonts w:ascii="Book Antiqua" w:eastAsia="Book Antiqua" w:hAnsi="Book Antiqua" w:cs="Book Antiqua"/>
          <w:color w:val="000000"/>
        </w:rPr>
        <w:t>.</w:t>
      </w:r>
    </w:p>
    <w:p w14:paraId="13D5E77D" w14:textId="77777777" w:rsidR="00A77B3E" w:rsidRPr="004720B6" w:rsidRDefault="00A77B3E" w:rsidP="004720B6">
      <w:pPr>
        <w:snapToGrid w:val="0"/>
        <w:spacing w:line="360" w:lineRule="auto"/>
        <w:jc w:val="both"/>
        <w:rPr>
          <w:rFonts w:ascii="Book Antiqua" w:hAnsi="Book Antiqua"/>
        </w:rPr>
      </w:pPr>
    </w:p>
    <w:p w14:paraId="2DF37706" w14:textId="3AA72911"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drawing>
          <wp:inline distT="0" distB="0" distL="0" distR="0" wp14:anchorId="39DF48EB" wp14:editId="749EA714">
            <wp:extent cx="5461127" cy="4317558"/>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5469281" cy="4324004"/>
                    </a:xfrm>
                    <a:prstGeom prst="rect">
                      <a:avLst/>
                    </a:prstGeom>
                  </pic:spPr>
                </pic:pic>
              </a:graphicData>
            </a:graphic>
          </wp:inline>
        </w:drawing>
      </w:r>
    </w:p>
    <w:p w14:paraId="62271933" w14:textId="62854D43"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5</w:t>
      </w:r>
      <w:r w:rsidR="003D1AA8"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Chemoradiation planning.</w:t>
      </w:r>
      <w:r w:rsidR="003D1AA8" w:rsidRPr="004720B6">
        <w:rPr>
          <w:rFonts w:ascii="Book Antiqua" w:eastAsia="Book Antiqua" w:hAnsi="Book Antiqua" w:cs="Book Antiqua"/>
          <w:b/>
          <w:bCs/>
          <w:color w:val="000000"/>
        </w:rPr>
        <w:t xml:space="preserve"> </w:t>
      </w:r>
      <w:r w:rsidRPr="004720B6">
        <w:rPr>
          <w:rFonts w:ascii="Book Antiqua" w:eastAsia="Book Antiqua" w:hAnsi="Book Antiqua" w:cs="Book Antiqua"/>
          <w:color w:val="000000"/>
        </w:rPr>
        <w:t>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Swollen lymph node (#106recR) was designated as </w:t>
      </w:r>
      <w:r w:rsidR="00C818B9" w:rsidRPr="004720B6">
        <w:rPr>
          <w:rFonts w:ascii="Book Antiqua" w:eastAsia="Book Antiqua" w:hAnsi="Book Antiqua" w:cs="Book Antiqua"/>
          <w:color w:val="000000"/>
        </w:rPr>
        <w:t>gross tumor volume</w:t>
      </w:r>
      <w:r w:rsidRPr="004720B6">
        <w:rPr>
          <w:rFonts w:ascii="Book Antiqua" w:eastAsia="Book Antiqua" w:hAnsi="Book Antiqua" w:cs="Book Antiqua"/>
          <w:color w:val="000000"/>
        </w:rPr>
        <w:t xml:space="preserve"> node</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 xml:space="preserve"> and </w:t>
      </w:r>
      <w:r w:rsidRPr="004720B6">
        <w:rPr>
          <w:rFonts w:ascii="Book Antiqua" w:eastAsia="Book Antiqua" w:hAnsi="Book Antiqua" w:cs="Book Antiqua"/>
          <w:color w:val="000000"/>
        </w:rPr>
        <w:t>C</w:t>
      </w:r>
      <w:r w:rsidR="00B12DA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The clinical target volume</w:t>
      </w:r>
      <w:r w:rsidR="001D2B37"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included the gross tumor volume</w:t>
      </w:r>
      <w:r w:rsidR="00C818B9"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and a craniocaudal margin of 2.4 cm around the primary tumor.</w:t>
      </w:r>
    </w:p>
    <w:p w14:paraId="72BD782B" w14:textId="01B40655" w:rsidR="001D2B37" w:rsidRPr="004720B6" w:rsidRDefault="001D2B37"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Pr="004720B6">
        <w:rPr>
          <w:rFonts w:ascii="Book Antiqua" w:eastAsia="Book Antiqua" w:hAnsi="Book Antiqua" w:cs="Book Antiqua"/>
          <w:b/>
          <w:bCs/>
          <w:noProof/>
          <w:color w:val="000000"/>
          <w:lang w:eastAsia="zh-CN"/>
        </w:rPr>
        <w:drawing>
          <wp:inline distT="0" distB="0" distL="0" distR="0" wp14:anchorId="7263974F" wp14:editId="38D32BE0">
            <wp:extent cx="5511099" cy="1796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9484" cy="1809511"/>
                    </a:xfrm>
                    <a:prstGeom prst="rect">
                      <a:avLst/>
                    </a:prstGeom>
                  </pic:spPr>
                </pic:pic>
              </a:graphicData>
            </a:graphic>
          </wp:inline>
        </w:drawing>
      </w:r>
    </w:p>
    <w:p w14:paraId="22E1DF1C" w14:textId="639186FA" w:rsidR="009614A0" w:rsidRDefault="008375B4" w:rsidP="004720B6">
      <w:pPr>
        <w:snapToGrid w:val="0"/>
        <w:spacing w:line="360" w:lineRule="auto"/>
        <w:jc w:val="both"/>
        <w:rPr>
          <w:rFonts w:ascii="Book Antiqua" w:eastAsia="Book Antiqua" w:hAnsi="Book Antiqua" w:cs="Book Antiqua"/>
          <w:color w:val="000000"/>
        </w:rPr>
      </w:pPr>
      <w:r w:rsidRPr="004720B6">
        <w:rPr>
          <w:rFonts w:ascii="Book Antiqua" w:eastAsia="Book Antiqua" w:hAnsi="Book Antiqua" w:cs="Book Antiqua"/>
          <w:b/>
          <w:bCs/>
          <w:color w:val="000000"/>
        </w:rPr>
        <w:t>Fig</w:t>
      </w:r>
      <w:r w:rsidR="00B12DA3" w:rsidRPr="004720B6">
        <w:rPr>
          <w:rFonts w:ascii="Book Antiqua" w:eastAsia="Book Antiqua" w:hAnsi="Book Antiqua" w:cs="Book Antiqua"/>
          <w:b/>
          <w:bCs/>
          <w:color w:val="000000"/>
        </w:rPr>
        <w:t>ure</w:t>
      </w:r>
      <w:r w:rsidRPr="004720B6">
        <w:rPr>
          <w:rFonts w:ascii="Book Antiqua" w:eastAsia="Book Antiqua" w:hAnsi="Book Antiqua" w:cs="Book Antiqua"/>
          <w:b/>
          <w:bCs/>
          <w:color w:val="000000"/>
        </w:rPr>
        <w:t xml:space="preserve"> 6</w:t>
      </w:r>
      <w:r w:rsidR="00B12DA3"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 xml:space="preserve">Pathological </w:t>
      </w:r>
      <w:r w:rsidR="000F0B2A" w:rsidRPr="004720B6">
        <w:rPr>
          <w:rFonts w:ascii="Book Antiqua" w:eastAsia="Book Antiqua" w:hAnsi="Book Antiqua" w:cs="Book Antiqua"/>
          <w:b/>
          <w:bCs/>
          <w:color w:val="000000"/>
        </w:rPr>
        <w:t>examination,</w:t>
      </w:r>
      <w:r w:rsidRPr="004720B6">
        <w:rPr>
          <w:rFonts w:ascii="Book Antiqua" w:eastAsia="Book Antiqua" w:hAnsi="Book Antiqua" w:cs="Book Antiqua"/>
          <w:b/>
          <w:bCs/>
          <w:color w:val="000000"/>
        </w:rPr>
        <w:t xml:space="preserve"> biopsy from primary lesion.</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A</w:t>
      </w:r>
      <w:r w:rsidR="00B12DA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biopsy from primary tumor revealed squamous cell carcinoma (</w:t>
      </w:r>
      <w:r w:rsidR="000F0B2A" w:rsidRPr="004720B6">
        <w:rPr>
          <w:rFonts w:ascii="Book Antiqua" w:eastAsia="Book Antiqua" w:hAnsi="Book Antiqua" w:cs="Book Antiqua"/>
          <w:color w:val="000000"/>
        </w:rPr>
        <w: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10). A proliferation of large atypical cells with swollen deep-stained nuclei was observed. A squamous cell carcinoma with a tendency toward keratinization, intercellular bridges, necrosis, and large atypical cells with bizarre nuclei were evident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B12DA3"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00DF6026"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lesion has maintained pathologically negative for cancer (</w:t>
      </w:r>
      <w:r w:rsidR="000F0B2A" w:rsidRPr="004720B6">
        <w:rPr>
          <w:rFonts w:ascii="Book Antiqua" w:eastAsia="Book Antiqua" w:hAnsi="Book Antiqua" w:cs="Book Antiqua"/>
          <w:color w:val="000000"/>
        </w:rPr>
        <w: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20). There is a small infiltration of inflammatory cells, but no obvious evidence of malignant cells.</w:t>
      </w:r>
    </w:p>
    <w:p w14:paraId="60F41F8D" w14:textId="77777777" w:rsidR="009614A0" w:rsidRDefault="009614A0">
      <w:pPr>
        <w:rPr>
          <w:rFonts w:ascii="Book Antiqua" w:eastAsia="Book Antiqua" w:hAnsi="Book Antiqua" w:cs="Book Antiqua"/>
          <w:color w:val="000000"/>
        </w:rPr>
      </w:pPr>
      <w:r>
        <w:rPr>
          <w:rFonts w:ascii="Book Antiqua" w:eastAsia="Book Antiqua" w:hAnsi="Book Antiqua" w:cs="Book Antiqua"/>
          <w:color w:val="000000"/>
        </w:rPr>
        <w:br w:type="page"/>
      </w:r>
    </w:p>
    <w:p w14:paraId="5F839EF2" w14:textId="77777777" w:rsidR="009614A0" w:rsidRDefault="009614A0" w:rsidP="009614A0">
      <w:pPr>
        <w:jc w:val="center"/>
        <w:rPr>
          <w:rFonts w:ascii="Book Antiqua" w:hAnsi="Book Antiqua"/>
          <w:lang w:eastAsia="zh-CN"/>
        </w:rPr>
      </w:pPr>
    </w:p>
    <w:p w14:paraId="577585DA" w14:textId="77777777" w:rsidR="009614A0" w:rsidRDefault="009614A0" w:rsidP="009614A0">
      <w:pPr>
        <w:jc w:val="center"/>
        <w:rPr>
          <w:rFonts w:ascii="Book Antiqua" w:hAnsi="Book Antiqua"/>
          <w:lang w:eastAsia="zh-CN"/>
        </w:rPr>
      </w:pPr>
    </w:p>
    <w:p w14:paraId="529CD12A" w14:textId="77777777" w:rsidR="009614A0" w:rsidRDefault="009614A0" w:rsidP="009614A0">
      <w:pPr>
        <w:jc w:val="center"/>
        <w:rPr>
          <w:rFonts w:ascii="Book Antiqua" w:hAnsi="Book Antiqua"/>
          <w:lang w:eastAsia="zh-CN"/>
        </w:rPr>
      </w:pPr>
    </w:p>
    <w:p w14:paraId="65111158" w14:textId="77777777" w:rsidR="009614A0" w:rsidRDefault="009614A0" w:rsidP="009614A0">
      <w:pPr>
        <w:jc w:val="center"/>
        <w:rPr>
          <w:rFonts w:ascii="Book Antiqua" w:hAnsi="Book Antiqua"/>
          <w:lang w:eastAsia="zh-CN"/>
        </w:rPr>
      </w:pPr>
    </w:p>
    <w:p w14:paraId="5AD35C0C" w14:textId="77777777" w:rsidR="009614A0" w:rsidRDefault="009614A0" w:rsidP="009614A0">
      <w:pPr>
        <w:jc w:val="center"/>
        <w:rPr>
          <w:rFonts w:ascii="Book Antiqua" w:hAnsi="Book Antiqua"/>
          <w:lang w:eastAsia="zh-CN"/>
        </w:rPr>
      </w:pPr>
    </w:p>
    <w:p w14:paraId="797F1498" w14:textId="77777777" w:rsidR="009614A0" w:rsidRDefault="009614A0" w:rsidP="009614A0">
      <w:pPr>
        <w:jc w:val="center"/>
        <w:rPr>
          <w:rFonts w:ascii="Book Antiqua" w:hAnsi="Book Antiqua"/>
          <w:lang w:eastAsia="zh-CN"/>
        </w:rPr>
      </w:pPr>
      <w:r>
        <w:rPr>
          <w:rFonts w:ascii="Book Antiqua" w:hAnsi="Book Antiqua"/>
          <w:noProof/>
          <w:lang w:eastAsia="zh-CN"/>
        </w:rPr>
        <w:drawing>
          <wp:inline distT="0" distB="0" distL="0" distR="0" wp14:anchorId="5E298FA6" wp14:editId="7B78B622">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45FC10" w14:textId="77777777" w:rsidR="009614A0" w:rsidRDefault="009614A0" w:rsidP="009614A0">
      <w:pPr>
        <w:jc w:val="center"/>
        <w:rPr>
          <w:rFonts w:ascii="Book Antiqua" w:hAnsi="Book Antiqua"/>
          <w:lang w:eastAsia="zh-CN"/>
        </w:rPr>
      </w:pPr>
    </w:p>
    <w:p w14:paraId="66E3BA6A" w14:textId="77777777" w:rsidR="009614A0" w:rsidRPr="00763D22" w:rsidRDefault="009614A0" w:rsidP="009614A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9737516" w14:textId="77777777" w:rsidR="009614A0" w:rsidRPr="00763D22" w:rsidRDefault="009614A0" w:rsidP="009614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D5F9B24" w14:textId="77777777" w:rsidR="009614A0" w:rsidRPr="00763D22" w:rsidRDefault="009614A0" w:rsidP="009614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CF9F3B" w14:textId="77777777" w:rsidR="009614A0" w:rsidRPr="00763D22" w:rsidRDefault="009614A0" w:rsidP="009614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31C442B" w14:textId="77777777" w:rsidR="009614A0" w:rsidRPr="00763D22" w:rsidRDefault="009614A0" w:rsidP="009614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700621" w14:textId="77777777" w:rsidR="009614A0" w:rsidRPr="00763D22" w:rsidRDefault="009614A0" w:rsidP="009614A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AA7F808" w14:textId="77777777" w:rsidR="009614A0" w:rsidRDefault="009614A0" w:rsidP="009614A0">
      <w:pPr>
        <w:jc w:val="center"/>
        <w:rPr>
          <w:rFonts w:ascii="Book Antiqua" w:hAnsi="Book Antiqua"/>
          <w:lang w:eastAsia="zh-CN"/>
        </w:rPr>
      </w:pPr>
    </w:p>
    <w:p w14:paraId="38E30ECB" w14:textId="77777777" w:rsidR="009614A0" w:rsidRDefault="009614A0" w:rsidP="009614A0">
      <w:pPr>
        <w:jc w:val="center"/>
        <w:rPr>
          <w:rFonts w:ascii="Book Antiqua" w:hAnsi="Book Antiqua"/>
          <w:lang w:eastAsia="zh-CN"/>
        </w:rPr>
      </w:pPr>
    </w:p>
    <w:p w14:paraId="79BB4AF3" w14:textId="77777777" w:rsidR="009614A0" w:rsidRDefault="009614A0" w:rsidP="009614A0">
      <w:pPr>
        <w:jc w:val="center"/>
        <w:rPr>
          <w:rFonts w:ascii="Book Antiqua" w:hAnsi="Book Antiqua"/>
          <w:lang w:eastAsia="zh-CN"/>
        </w:rPr>
      </w:pPr>
    </w:p>
    <w:p w14:paraId="213737E0" w14:textId="77777777" w:rsidR="009614A0" w:rsidRDefault="009614A0" w:rsidP="009614A0">
      <w:pPr>
        <w:jc w:val="center"/>
        <w:rPr>
          <w:rFonts w:ascii="Book Antiqua" w:hAnsi="Book Antiqua"/>
          <w:lang w:eastAsia="zh-CN"/>
        </w:rPr>
      </w:pPr>
      <w:r>
        <w:rPr>
          <w:rFonts w:ascii="Book Antiqua" w:hAnsi="Book Antiqua"/>
          <w:noProof/>
          <w:lang w:eastAsia="zh-CN"/>
        </w:rPr>
        <w:drawing>
          <wp:inline distT="0" distB="0" distL="0" distR="0" wp14:anchorId="60F02698" wp14:editId="780572CD">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675FEB" w14:textId="77777777" w:rsidR="009614A0" w:rsidRDefault="009614A0" w:rsidP="009614A0">
      <w:pPr>
        <w:jc w:val="center"/>
        <w:rPr>
          <w:rFonts w:ascii="Book Antiqua" w:hAnsi="Book Antiqua"/>
          <w:lang w:eastAsia="zh-CN"/>
        </w:rPr>
      </w:pPr>
    </w:p>
    <w:p w14:paraId="3ED7A884" w14:textId="77777777" w:rsidR="009614A0" w:rsidRDefault="009614A0" w:rsidP="009614A0">
      <w:pPr>
        <w:jc w:val="center"/>
        <w:rPr>
          <w:rFonts w:ascii="Book Antiqua" w:hAnsi="Book Antiqua"/>
          <w:lang w:eastAsia="zh-CN"/>
        </w:rPr>
      </w:pPr>
    </w:p>
    <w:p w14:paraId="7268AA3D" w14:textId="77777777" w:rsidR="009614A0" w:rsidRDefault="009614A0" w:rsidP="009614A0">
      <w:pPr>
        <w:jc w:val="center"/>
        <w:rPr>
          <w:rFonts w:ascii="Book Antiqua" w:hAnsi="Book Antiqua"/>
          <w:lang w:eastAsia="zh-CN"/>
        </w:rPr>
      </w:pPr>
    </w:p>
    <w:p w14:paraId="3457E1A5" w14:textId="77777777" w:rsidR="009614A0" w:rsidRDefault="009614A0" w:rsidP="009614A0">
      <w:pPr>
        <w:jc w:val="center"/>
        <w:rPr>
          <w:rFonts w:ascii="Book Antiqua" w:hAnsi="Book Antiqua"/>
          <w:lang w:eastAsia="zh-CN"/>
        </w:rPr>
      </w:pPr>
    </w:p>
    <w:p w14:paraId="2A78379B" w14:textId="77777777" w:rsidR="009614A0" w:rsidRDefault="009614A0" w:rsidP="009614A0">
      <w:pPr>
        <w:jc w:val="center"/>
        <w:rPr>
          <w:rFonts w:ascii="Book Antiqua" w:hAnsi="Book Antiqua"/>
          <w:lang w:eastAsia="zh-CN"/>
        </w:rPr>
      </w:pPr>
    </w:p>
    <w:p w14:paraId="60FA05C8" w14:textId="77777777" w:rsidR="009614A0" w:rsidRDefault="009614A0" w:rsidP="009614A0">
      <w:pPr>
        <w:jc w:val="center"/>
        <w:rPr>
          <w:rFonts w:ascii="Book Antiqua" w:hAnsi="Book Antiqua"/>
          <w:lang w:eastAsia="zh-CN"/>
        </w:rPr>
      </w:pPr>
    </w:p>
    <w:p w14:paraId="72BCA6A4" w14:textId="77777777" w:rsidR="009614A0" w:rsidRDefault="009614A0" w:rsidP="009614A0">
      <w:pPr>
        <w:jc w:val="center"/>
        <w:rPr>
          <w:rFonts w:ascii="Book Antiqua" w:hAnsi="Book Antiqua"/>
          <w:lang w:eastAsia="zh-CN"/>
        </w:rPr>
      </w:pPr>
    </w:p>
    <w:p w14:paraId="4A51CB60" w14:textId="77777777" w:rsidR="009614A0" w:rsidRDefault="009614A0" w:rsidP="009614A0">
      <w:pPr>
        <w:jc w:val="center"/>
        <w:rPr>
          <w:rFonts w:ascii="Book Antiqua" w:hAnsi="Book Antiqua"/>
          <w:lang w:eastAsia="zh-CN"/>
        </w:rPr>
      </w:pPr>
    </w:p>
    <w:p w14:paraId="3EF40DFF" w14:textId="77777777" w:rsidR="009614A0" w:rsidRDefault="009614A0" w:rsidP="009614A0">
      <w:pPr>
        <w:jc w:val="center"/>
        <w:rPr>
          <w:rFonts w:ascii="Book Antiqua" w:hAnsi="Book Antiqua"/>
          <w:lang w:eastAsia="zh-CN"/>
        </w:rPr>
      </w:pPr>
    </w:p>
    <w:p w14:paraId="33C9CD99" w14:textId="77777777" w:rsidR="009614A0" w:rsidRPr="00763D22" w:rsidRDefault="009614A0" w:rsidP="009614A0">
      <w:pPr>
        <w:jc w:val="right"/>
        <w:rPr>
          <w:rFonts w:ascii="Book Antiqua" w:hAnsi="Book Antiqua"/>
          <w:color w:val="000000" w:themeColor="text1"/>
          <w:lang w:eastAsia="zh-CN"/>
        </w:rPr>
      </w:pPr>
    </w:p>
    <w:p w14:paraId="5FE137E1" w14:textId="77777777" w:rsidR="009614A0" w:rsidRPr="00763D22" w:rsidRDefault="009614A0" w:rsidP="009614A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AFBA90F" w14:textId="77777777" w:rsidR="00A77B3E" w:rsidRPr="004720B6" w:rsidRDefault="00A77B3E" w:rsidP="004720B6">
      <w:pPr>
        <w:snapToGrid w:val="0"/>
        <w:spacing w:line="360" w:lineRule="auto"/>
        <w:jc w:val="both"/>
        <w:rPr>
          <w:rFonts w:ascii="Book Antiqua" w:hAnsi="Book Antiqua"/>
        </w:rPr>
      </w:pPr>
      <w:bookmarkStart w:id="14" w:name="_GoBack"/>
      <w:bookmarkEnd w:id="14"/>
    </w:p>
    <w:sectPr w:rsidR="00A77B3E" w:rsidRPr="004720B6" w:rsidSect="0008180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BD946" w14:textId="77777777" w:rsidR="001D7F6E" w:rsidRDefault="001D7F6E" w:rsidP="00307717">
      <w:r>
        <w:separator/>
      </w:r>
    </w:p>
  </w:endnote>
  <w:endnote w:type="continuationSeparator" w:id="0">
    <w:p w14:paraId="0872D0C5" w14:textId="77777777" w:rsidR="001D7F6E" w:rsidRDefault="001D7F6E" w:rsidP="0030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570246"/>
      <w:docPartObj>
        <w:docPartGallery w:val="Page Numbers (Bottom of Page)"/>
        <w:docPartUnique/>
      </w:docPartObj>
    </w:sdtPr>
    <w:sdtEndPr/>
    <w:sdtContent>
      <w:sdt>
        <w:sdtPr>
          <w:id w:val="-1769616900"/>
          <w:docPartObj>
            <w:docPartGallery w:val="Page Numbers (Top of Page)"/>
            <w:docPartUnique/>
          </w:docPartObj>
        </w:sdtPr>
        <w:sdtEndPr/>
        <w:sdtContent>
          <w:p w14:paraId="02F3806C" w14:textId="536EE279" w:rsidR="00307717" w:rsidRDefault="0030771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D7F6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D7F6E">
              <w:rPr>
                <w:b/>
                <w:bCs/>
                <w:noProof/>
              </w:rPr>
              <w:t>1</w:t>
            </w:r>
            <w:r>
              <w:rPr>
                <w:b/>
                <w:bCs/>
                <w:sz w:val="24"/>
                <w:szCs w:val="24"/>
              </w:rPr>
              <w:fldChar w:fldCharType="end"/>
            </w:r>
          </w:p>
        </w:sdtContent>
      </w:sdt>
    </w:sdtContent>
  </w:sdt>
  <w:p w14:paraId="07B52408" w14:textId="77777777" w:rsidR="00307717" w:rsidRDefault="0030771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7B0CA" w14:textId="77777777" w:rsidR="001D7F6E" w:rsidRDefault="001D7F6E" w:rsidP="00307717">
      <w:r>
        <w:separator/>
      </w:r>
    </w:p>
  </w:footnote>
  <w:footnote w:type="continuationSeparator" w:id="0">
    <w:p w14:paraId="6B8966D8" w14:textId="77777777" w:rsidR="001D7F6E" w:rsidRDefault="001D7F6E" w:rsidP="003077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9DF"/>
    <w:rsid w:val="0005015D"/>
    <w:rsid w:val="00051F17"/>
    <w:rsid w:val="000675AB"/>
    <w:rsid w:val="00081803"/>
    <w:rsid w:val="0009004E"/>
    <w:rsid w:val="000B46B1"/>
    <w:rsid w:val="000F0B2A"/>
    <w:rsid w:val="00115EC9"/>
    <w:rsid w:val="001247DB"/>
    <w:rsid w:val="00144D36"/>
    <w:rsid w:val="00153972"/>
    <w:rsid w:val="00154456"/>
    <w:rsid w:val="001B1137"/>
    <w:rsid w:val="001D2B37"/>
    <w:rsid w:val="001D7F6E"/>
    <w:rsid w:val="001E6888"/>
    <w:rsid w:val="001F5F7A"/>
    <w:rsid w:val="002715DA"/>
    <w:rsid w:val="002A6224"/>
    <w:rsid w:val="002C3467"/>
    <w:rsid w:val="002D1BB5"/>
    <w:rsid w:val="002D71C6"/>
    <w:rsid w:val="002F073D"/>
    <w:rsid w:val="00307717"/>
    <w:rsid w:val="00360620"/>
    <w:rsid w:val="00380757"/>
    <w:rsid w:val="00392332"/>
    <w:rsid w:val="003A4C8B"/>
    <w:rsid w:val="003B1EA0"/>
    <w:rsid w:val="003B6811"/>
    <w:rsid w:val="003D1AA8"/>
    <w:rsid w:val="00431B46"/>
    <w:rsid w:val="004709C5"/>
    <w:rsid w:val="00470DA5"/>
    <w:rsid w:val="004720B6"/>
    <w:rsid w:val="004D04FF"/>
    <w:rsid w:val="004D7FC1"/>
    <w:rsid w:val="005179F3"/>
    <w:rsid w:val="00536FD5"/>
    <w:rsid w:val="00573938"/>
    <w:rsid w:val="005D60D9"/>
    <w:rsid w:val="00603240"/>
    <w:rsid w:val="006441C2"/>
    <w:rsid w:val="00655984"/>
    <w:rsid w:val="006973C8"/>
    <w:rsid w:val="006C5D65"/>
    <w:rsid w:val="006F5561"/>
    <w:rsid w:val="0076100D"/>
    <w:rsid w:val="00767A24"/>
    <w:rsid w:val="007B7B06"/>
    <w:rsid w:val="00807185"/>
    <w:rsid w:val="008139AD"/>
    <w:rsid w:val="008375B4"/>
    <w:rsid w:val="008C253F"/>
    <w:rsid w:val="00921B99"/>
    <w:rsid w:val="009614A0"/>
    <w:rsid w:val="009617E2"/>
    <w:rsid w:val="009820AD"/>
    <w:rsid w:val="009A018F"/>
    <w:rsid w:val="009A2941"/>
    <w:rsid w:val="00A7772B"/>
    <w:rsid w:val="00A77B3E"/>
    <w:rsid w:val="00AC0F96"/>
    <w:rsid w:val="00AC3764"/>
    <w:rsid w:val="00AD5B46"/>
    <w:rsid w:val="00B12DA3"/>
    <w:rsid w:val="00B206DF"/>
    <w:rsid w:val="00B674D0"/>
    <w:rsid w:val="00B81B77"/>
    <w:rsid w:val="00C62BB6"/>
    <w:rsid w:val="00C818B9"/>
    <w:rsid w:val="00C92829"/>
    <w:rsid w:val="00CA2A55"/>
    <w:rsid w:val="00CC2653"/>
    <w:rsid w:val="00CD750E"/>
    <w:rsid w:val="00D16524"/>
    <w:rsid w:val="00DB68C8"/>
    <w:rsid w:val="00DC3EE7"/>
    <w:rsid w:val="00DC574E"/>
    <w:rsid w:val="00DF6026"/>
    <w:rsid w:val="00DF7A89"/>
    <w:rsid w:val="00DF7DDE"/>
    <w:rsid w:val="00E255C3"/>
    <w:rsid w:val="00E866B9"/>
    <w:rsid w:val="00E87146"/>
    <w:rsid w:val="00E97A3E"/>
    <w:rsid w:val="00EB0401"/>
    <w:rsid w:val="00EC35AA"/>
    <w:rsid w:val="00EF2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F4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77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7717"/>
    <w:rPr>
      <w:sz w:val="18"/>
      <w:szCs w:val="18"/>
    </w:rPr>
  </w:style>
  <w:style w:type="paragraph" w:styleId="a4">
    <w:name w:val="footer"/>
    <w:basedOn w:val="a"/>
    <w:link w:val="Char0"/>
    <w:uiPriority w:val="99"/>
    <w:unhideWhenUsed/>
    <w:rsid w:val="00307717"/>
    <w:pPr>
      <w:tabs>
        <w:tab w:val="center" w:pos="4153"/>
        <w:tab w:val="right" w:pos="8306"/>
      </w:tabs>
      <w:snapToGrid w:val="0"/>
    </w:pPr>
    <w:rPr>
      <w:sz w:val="18"/>
      <w:szCs w:val="18"/>
    </w:rPr>
  </w:style>
  <w:style w:type="character" w:customStyle="1" w:styleId="Char0">
    <w:name w:val="页脚 Char"/>
    <w:basedOn w:val="a0"/>
    <w:link w:val="a4"/>
    <w:uiPriority w:val="99"/>
    <w:rsid w:val="00307717"/>
    <w:rPr>
      <w:sz w:val="18"/>
      <w:szCs w:val="18"/>
    </w:rPr>
  </w:style>
  <w:style w:type="paragraph" w:styleId="a5">
    <w:name w:val="Balloon Text"/>
    <w:basedOn w:val="a"/>
    <w:link w:val="Char1"/>
    <w:semiHidden/>
    <w:unhideWhenUsed/>
    <w:rsid w:val="004720B6"/>
    <w:rPr>
      <w:sz w:val="18"/>
      <w:szCs w:val="18"/>
    </w:rPr>
  </w:style>
  <w:style w:type="character" w:customStyle="1" w:styleId="Char1">
    <w:name w:val="批注框文本 Char"/>
    <w:basedOn w:val="a0"/>
    <w:link w:val="a5"/>
    <w:semiHidden/>
    <w:rsid w:val="004720B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77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7717"/>
    <w:rPr>
      <w:sz w:val="18"/>
      <w:szCs w:val="18"/>
    </w:rPr>
  </w:style>
  <w:style w:type="paragraph" w:styleId="a4">
    <w:name w:val="footer"/>
    <w:basedOn w:val="a"/>
    <w:link w:val="Char0"/>
    <w:uiPriority w:val="99"/>
    <w:unhideWhenUsed/>
    <w:rsid w:val="00307717"/>
    <w:pPr>
      <w:tabs>
        <w:tab w:val="center" w:pos="4153"/>
        <w:tab w:val="right" w:pos="8306"/>
      </w:tabs>
      <w:snapToGrid w:val="0"/>
    </w:pPr>
    <w:rPr>
      <w:sz w:val="18"/>
      <w:szCs w:val="18"/>
    </w:rPr>
  </w:style>
  <w:style w:type="character" w:customStyle="1" w:styleId="Char0">
    <w:name w:val="页脚 Char"/>
    <w:basedOn w:val="a0"/>
    <w:link w:val="a4"/>
    <w:uiPriority w:val="99"/>
    <w:rsid w:val="00307717"/>
    <w:rPr>
      <w:sz w:val="18"/>
      <w:szCs w:val="18"/>
    </w:rPr>
  </w:style>
  <w:style w:type="paragraph" w:styleId="a5">
    <w:name w:val="Balloon Text"/>
    <w:basedOn w:val="a"/>
    <w:link w:val="Char1"/>
    <w:semiHidden/>
    <w:unhideWhenUsed/>
    <w:rsid w:val="004720B6"/>
    <w:rPr>
      <w:sz w:val="18"/>
      <w:szCs w:val="18"/>
    </w:rPr>
  </w:style>
  <w:style w:type="character" w:customStyle="1" w:styleId="Char1">
    <w:name w:val="批注框文本 Char"/>
    <w:basedOn w:val="a0"/>
    <w:link w:val="a5"/>
    <w:semiHidden/>
    <w:rsid w:val="004720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1A6F6-580E-407D-9408-28A1BA69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5097</Words>
  <Characters>29055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由良昌大</dc:creator>
  <cp:lastModifiedBy>liujihong2008@qq.con</cp:lastModifiedBy>
  <cp:revision>14</cp:revision>
  <cp:lastPrinted>2021-02-21T04:54:00Z</cp:lastPrinted>
  <dcterms:created xsi:type="dcterms:W3CDTF">2021-03-05T22:53:00Z</dcterms:created>
  <dcterms:modified xsi:type="dcterms:W3CDTF">2021-04-13T04:01:00Z</dcterms:modified>
</cp:coreProperties>
</file>