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360F0C"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t xml:space="preserve">Name of Journal: </w:t>
      </w:r>
      <w:r w:rsidRPr="00D22450">
        <w:rPr>
          <w:rFonts w:ascii="Book Antiqua" w:eastAsia="Book Antiqua" w:hAnsi="Book Antiqua" w:cs="Book Antiqua"/>
          <w:i/>
          <w:color w:val="000000"/>
        </w:rPr>
        <w:t>World Journal of Gastroenterology</w:t>
      </w:r>
    </w:p>
    <w:p w14:paraId="58EC44A8"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t xml:space="preserve">Manuscript NO: </w:t>
      </w:r>
      <w:r w:rsidRPr="00D22450">
        <w:rPr>
          <w:rFonts w:ascii="Book Antiqua" w:eastAsia="Book Antiqua" w:hAnsi="Book Antiqua" w:cs="Book Antiqua"/>
          <w:color w:val="000000"/>
        </w:rPr>
        <w:t>59172</w:t>
      </w:r>
    </w:p>
    <w:p w14:paraId="7B12C043"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t xml:space="preserve">Manuscript Type: </w:t>
      </w:r>
      <w:r w:rsidRPr="00D22450">
        <w:rPr>
          <w:rFonts w:ascii="Book Antiqua" w:eastAsia="Book Antiqua" w:hAnsi="Book Antiqua" w:cs="Book Antiqua"/>
          <w:color w:val="000000"/>
        </w:rPr>
        <w:t>ORIGINAL ARTICLE</w:t>
      </w:r>
    </w:p>
    <w:p w14:paraId="1966C560" w14:textId="77777777" w:rsidR="00A77B3E" w:rsidRPr="00D22450" w:rsidRDefault="00A77B3E" w:rsidP="00D22450">
      <w:pPr>
        <w:adjustRightInd w:val="0"/>
        <w:snapToGrid w:val="0"/>
        <w:spacing w:line="360" w:lineRule="auto"/>
        <w:jc w:val="both"/>
        <w:rPr>
          <w:rFonts w:ascii="Book Antiqua" w:hAnsi="Book Antiqua"/>
        </w:rPr>
      </w:pPr>
    </w:p>
    <w:p w14:paraId="16AEB13E"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i/>
          <w:color w:val="000000"/>
        </w:rPr>
        <w:t>Clinical and Translational Research</w:t>
      </w:r>
    </w:p>
    <w:p w14:paraId="46D2684C" w14:textId="123062E2" w:rsidR="00A77B3E" w:rsidRPr="00D22450" w:rsidRDefault="004B2678" w:rsidP="00D22450">
      <w:pPr>
        <w:adjustRightInd w:val="0"/>
        <w:snapToGrid w:val="0"/>
        <w:spacing w:line="360" w:lineRule="auto"/>
        <w:jc w:val="both"/>
        <w:rPr>
          <w:rFonts w:ascii="Book Antiqua" w:hAnsi="Book Antiqua"/>
          <w:b/>
        </w:rPr>
      </w:pPr>
      <w:bookmarkStart w:id="0" w:name="OLE_LINK35"/>
      <w:bookmarkStart w:id="1" w:name="OLE_LINK36"/>
      <w:r w:rsidRPr="00D22450">
        <w:rPr>
          <w:rFonts w:ascii="Book Antiqua" w:eastAsia="Book Antiqua" w:hAnsi="Book Antiqua" w:cs="Book Antiqua"/>
          <w:b/>
          <w:color w:val="000000"/>
        </w:rPr>
        <w:t xml:space="preserve">Quantitative multiparametric </w:t>
      </w:r>
      <w:r w:rsidR="00626EB6" w:rsidRPr="00D22450">
        <w:rPr>
          <w:rFonts w:ascii="Book Antiqua" w:eastAsia="Book Antiqua" w:hAnsi="Book Antiqua" w:cs="Book Antiqua"/>
          <w:b/>
          <w:color w:val="000000"/>
        </w:rPr>
        <w:t>magnetic resonance imaging</w:t>
      </w:r>
      <w:r w:rsidRPr="00D22450">
        <w:rPr>
          <w:rFonts w:ascii="Book Antiqua" w:eastAsia="Book Antiqua" w:hAnsi="Book Antiqua" w:cs="Book Antiqua"/>
          <w:b/>
          <w:color w:val="000000"/>
        </w:rPr>
        <w:t xml:space="preserve"> can aid </w:t>
      </w:r>
      <w:r w:rsidR="00626EB6" w:rsidRPr="00D22450">
        <w:rPr>
          <w:rFonts w:ascii="Book Antiqua" w:eastAsia="Book Antiqua" w:hAnsi="Book Antiqua" w:cs="Book Antiqua"/>
          <w:b/>
          <w:color w:val="000000"/>
        </w:rPr>
        <w:t>non-alcoholic steatohepatitis</w:t>
      </w:r>
      <w:r w:rsidRPr="00D22450">
        <w:rPr>
          <w:rFonts w:ascii="Book Antiqua" w:eastAsia="Book Antiqua" w:hAnsi="Book Antiqua" w:cs="Book Antiqua"/>
          <w:b/>
          <w:color w:val="000000"/>
        </w:rPr>
        <w:t xml:space="preserve"> diagnosis in a Japanese cohort</w:t>
      </w:r>
    </w:p>
    <w:bookmarkEnd w:id="0"/>
    <w:bookmarkEnd w:id="1"/>
    <w:p w14:paraId="10F7FE1C" w14:textId="77777777" w:rsidR="00A77B3E" w:rsidRPr="00D22450" w:rsidRDefault="00A77B3E" w:rsidP="00D22450">
      <w:pPr>
        <w:adjustRightInd w:val="0"/>
        <w:snapToGrid w:val="0"/>
        <w:spacing w:line="360" w:lineRule="auto"/>
        <w:jc w:val="both"/>
        <w:rPr>
          <w:rFonts w:ascii="Book Antiqua" w:hAnsi="Book Antiqua"/>
        </w:rPr>
      </w:pPr>
    </w:p>
    <w:p w14:paraId="14DC2B20" w14:textId="1C84D9F2" w:rsidR="00A77B3E" w:rsidRPr="00D22450" w:rsidRDefault="00626EB6"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Imajo K </w:t>
      </w:r>
      <w:r w:rsidRPr="00D22450">
        <w:rPr>
          <w:rFonts w:ascii="Book Antiqua" w:eastAsia="Book Antiqua" w:hAnsi="Book Antiqua" w:cs="Book Antiqua"/>
          <w:i/>
          <w:iCs/>
          <w:color w:val="000000"/>
        </w:rPr>
        <w:t xml:space="preserve">et al. </w:t>
      </w:r>
      <w:bookmarkStart w:id="2" w:name="OLE_LINK37"/>
      <w:bookmarkStart w:id="3" w:name="OLE_LINK38"/>
      <w:r w:rsidR="004B2678" w:rsidRPr="00D22450">
        <w:rPr>
          <w:rFonts w:ascii="Book Antiqua" w:eastAsia="Book Antiqua" w:hAnsi="Book Antiqua" w:cs="Book Antiqua"/>
          <w:color w:val="000000"/>
        </w:rPr>
        <w:t>Quantitative MRI for NASH</w:t>
      </w:r>
    </w:p>
    <w:bookmarkEnd w:id="2"/>
    <w:bookmarkEnd w:id="3"/>
    <w:p w14:paraId="5D6F31E1" w14:textId="77777777" w:rsidR="00A77B3E" w:rsidRPr="00D22450" w:rsidRDefault="00A77B3E" w:rsidP="00D22450">
      <w:pPr>
        <w:adjustRightInd w:val="0"/>
        <w:snapToGrid w:val="0"/>
        <w:spacing w:line="360" w:lineRule="auto"/>
        <w:jc w:val="both"/>
        <w:rPr>
          <w:rFonts w:ascii="Book Antiqua" w:hAnsi="Book Antiqua"/>
        </w:rPr>
      </w:pPr>
    </w:p>
    <w:p w14:paraId="0DD97AFA" w14:textId="08AD14B6"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Kent</w:t>
      </w:r>
      <w:r w:rsidR="00882C59">
        <w:rPr>
          <w:rFonts w:ascii="Book Antiqua" w:eastAsia="Book Antiqua" w:hAnsi="Book Antiqua" w:cs="Book Antiqua"/>
          <w:color w:val="000000"/>
        </w:rPr>
        <w:t>o Imajo, Louise Tetlow, Andrea</w:t>
      </w:r>
      <w:r w:rsidRPr="00D22450">
        <w:rPr>
          <w:rFonts w:ascii="Book Antiqua" w:eastAsia="Book Antiqua" w:hAnsi="Book Antiqua" w:cs="Book Antiqua"/>
          <w:color w:val="000000"/>
        </w:rPr>
        <w:t xml:space="preserve"> Dennis, Elizabeth Shumbayawonda, Sofia Mouchti, Timothy J Kendall, Eve Fryer, Shogi Yamanaka, Yasushi Honda, Takaomi Kessoku, Yuji Ogawa, Masato Yoneda, Satoru Saito, Catherine Kelly, Matt D Kelly, Rajarshi Banerjee, Atsushi Nakajima</w:t>
      </w:r>
    </w:p>
    <w:p w14:paraId="6B4F946C" w14:textId="77777777" w:rsidR="00A77B3E" w:rsidRPr="00D22450" w:rsidRDefault="00A77B3E" w:rsidP="00D22450">
      <w:pPr>
        <w:adjustRightInd w:val="0"/>
        <w:snapToGrid w:val="0"/>
        <w:spacing w:line="360" w:lineRule="auto"/>
        <w:jc w:val="both"/>
        <w:rPr>
          <w:rFonts w:ascii="Book Antiqua" w:hAnsi="Book Antiqua"/>
        </w:rPr>
      </w:pPr>
    </w:p>
    <w:p w14:paraId="66FDD7A3" w14:textId="36B866DD"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t>Kento Imajo,</w:t>
      </w:r>
      <w:r w:rsidR="00626EB6" w:rsidRPr="00D22450">
        <w:rPr>
          <w:rFonts w:ascii="Book Antiqua" w:eastAsia="Book Antiqua" w:hAnsi="Book Antiqua" w:cs="Book Antiqua"/>
          <w:b/>
          <w:bCs/>
          <w:color w:val="000000"/>
        </w:rPr>
        <w:t xml:space="preserve"> Yasushi Honda, Takaomi Kessoku, Yuji Ogawa, Satoru Saito, Atsushi Nakajima,</w:t>
      </w:r>
      <w:r w:rsidRPr="00D22450">
        <w:rPr>
          <w:rFonts w:ascii="Book Antiqua" w:eastAsia="Book Antiqua" w:hAnsi="Book Antiqua" w:cs="Book Antiqua"/>
          <w:b/>
          <w:bCs/>
          <w:color w:val="000000"/>
        </w:rPr>
        <w:t xml:space="preserve"> </w:t>
      </w:r>
      <w:bookmarkStart w:id="4" w:name="OLE_LINK24"/>
      <w:bookmarkStart w:id="5" w:name="OLE_LINK25"/>
      <w:bookmarkStart w:id="6" w:name="OLE_LINK30"/>
      <w:bookmarkStart w:id="7" w:name="OLE_LINK33"/>
      <w:r w:rsidRPr="00D22450">
        <w:rPr>
          <w:rFonts w:ascii="Book Antiqua" w:eastAsia="Book Antiqua" w:hAnsi="Book Antiqua" w:cs="Book Antiqua"/>
          <w:color w:val="000000"/>
        </w:rPr>
        <w:t xml:space="preserve">Department of </w:t>
      </w:r>
      <w:bookmarkStart w:id="8" w:name="OLE_LINK17"/>
      <w:r w:rsidRPr="00D22450">
        <w:rPr>
          <w:rFonts w:ascii="Book Antiqua" w:eastAsia="Book Antiqua" w:hAnsi="Book Antiqua" w:cs="Book Antiqua"/>
          <w:color w:val="000000"/>
        </w:rPr>
        <w:t>Gastroenterology and Hepatology</w:t>
      </w:r>
      <w:bookmarkEnd w:id="4"/>
      <w:bookmarkEnd w:id="5"/>
      <w:bookmarkEnd w:id="6"/>
      <w:bookmarkEnd w:id="7"/>
      <w:bookmarkEnd w:id="8"/>
      <w:r w:rsidRPr="00D22450">
        <w:rPr>
          <w:rFonts w:ascii="Book Antiqua" w:eastAsia="Book Antiqua" w:hAnsi="Book Antiqua" w:cs="Book Antiqua"/>
          <w:color w:val="000000"/>
        </w:rPr>
        <w:t xml:space="preserve">, </w:t>
      </w:r>
      <w:bookmarkStart w:id="9" w:name="OLE_LINK26"/>
      <w:bookmarkStart w:id="10" w:name="OLE_LINK27"/>
      <w:bookmarkStart w:id="11" w:name="OLE_LINK31"/>
      <w:bookmarkStart w:id="12" w:name="OLE_LINK34"/>
      <w:r w:rsidRPr="00D22450">
        <w:rPr>
          <w:rFonts w:ascii="Book Antiqua" w:eastAsia="Book Antiqua" w:hAnsi="Book Antiqua" w:cs="Book Antiqua"/>
          <w:color w:val="000000"/>
        </w:rPr>
        <w:t>Yokohama City University School of Medicine</w:t>
      </w:r>
      <w:bookmarkEnd w:id="9"/>
      <w:bookmarkEnd w:id="10"/>
      <w:bookmarkEnd w:id="11"/>
      <w:bookmarkEnd w:id="12"/>
      <w:r w:rsidRPr="00D22450">
        <w:rPr>
          <w:rFonts w:ascii="Book Antiqua" w:eastAsia="Book Antiqua" w:hAnsi="Book Antiqua" w:cs="Book Antiqua"/>
          <w:color w:val="000000"/>
        </w:rPr>
        <w:t xml:space="preserve">, </w:t>
      </w:r>
      <w:bookmarkStart w:id="13" w:name="OLE_LINK28"/>
      <w:bookmarkStart w:id="14" w:name="OLE_LINK29"/>
      <w:bookmarkStart w:id="15" w:name="OLE_LINK32"/>
      <w:r w:rsidRPr="00D22450">
        <w:rPr>
          <w:rFonts w:ascii="Book Antiqua" w:eastAsia="Book Antiqua" w:hAnsi="Book Antiqua" w:cs="Book Antiqua"/>
          <w:color w:val="000000"/>
        </w:rPr>
        <w:t>Yokohama</w:t>
      </w:r>
      <w:bookmarkEnd w:id="13"/>
      <w:bookmarkEnd w:id="14"/>
      <w:bookmarkEnd w:id="15"/>
      <w:r w:rsidRPr="00D22450">
        <w:rPr>
          <w:rFonts w:ascii="Book Antiqua" w:eastAsia="Book Antiqua" w:hAnsi="Book Antiqua" w:cs="Book Antiqua"/>
          <w:color w:val="000000"/>
        </w:rPr>
        <w:t xml:space="preserve"> 2</w:t>
      </w:r>
      <w:bookmarkStart w:id="16" w:name="OLE_LINK5"/>
      <w:bookmarkStart w:id="17" w:name="OLE_LINK6"/>
      <w:r w:rsidRPr="00D22450">
        <w:rPr>
          <w:rFonts w:ascii="Book Antiqua" w:eastAsia="Book Antiqua" w:hAnsi="Book Antiqua" w:cs="Book Antiqua"/>
          <w:color w:val="000000"/>
        </w:rPr>
        <w:t>36-0004</w:t>
      </w:r>
      <w:bookmarkEnd w:id="16"/>
      <w:bookmarkEnd w:id="17"/>
      <w:r w:rsidRPr="00D22450">
        <w:rPr>
          <w:rFonts w:ascii="Book Antiqua" w:eastAsia="Book Antiqua" w:hAnsi="Book Antiqua" w:cs="Book Antiqua"/>
          <w:color w:val="000000"/>
        </w:rPr>
        <w:t>, Japan</w:t>
      </w:r>
    </w:p>
    <w:p w14:paraId="2F299D67" w14:textId="77777777" w:rsidR="00A77B3E" w:rsidRPr="00D22450" w:rsidRDefault="00A77B3E" w:rsidP="00D22450">
      <w:pPr>
        <w:adjustRightInd w:val="0"/>
        <w:snapToGrid w:val="0"/>
        <w:spacing w:line="360" w:lineRule="auto"/>
        <w:jc w:val="both"/>
        <w:rPr>
          <w:rFonts w:ascii="Book Antiqua" w:hAnsi="Book Antiqua"/>
        </w:rPr>
      </w:pPr>
    </w:p>
    <w:p w14:paraId="6A8854F4" w14:textId="4AC14A00" w:rsidR="00A77B3E" w:rsidRPr="00D22450" w:rsidRDefault="00882C59" w:rsidP="00D22450">
      <w:pPr>
        <w:adjustRightInd w:val="0"/>
        <w:snapToGrid w:val="0"/>
        <w:spacing w:line="360" w:lineRule="auto"/>
        <w:jc w:val="both"/>
        <w:rPr>
          <w:rFonts w:ascii="Book Antiqua" w:hAnsi="Book Antiqua"/>
        </w:rPr>
      </w:pPr>
      <w:r>
        <w:rPr>
          <w:rFonts w:ascii="Book Antiqua" w:eastAsia="Book Antiqua" w:hAnsi="Book Antiqua" w:cs="Book Antiqua"/>
          <w:b/>
          <w:bCs/>
          <w:color w:val="000000"/>
        </w:rPr>
        <w:t>Louise Tetlow, Andrea</w:t>
      </w:r>
      <w:r w:rsidR="00626EB6" w:rsidRPr="00D22450">
        <w:rPr>
          <w:rFonts w:ascii="Book Antiqua" w:eastAsia="Book Antiqua" w:hAnsi="Book Antiqua" w:cs="Book Antiqua"/>
          <w:b/>
          <w:bCs/>
          <w:color w:val="000000"/>
        </w:rPr>
        <w:t xml:space="preserve"> Dennis, </w:t>
      </w:r>
      <w:r w:rsidR="004B2678" w:rsidRPr="00D22450">
        <w:rPr>
          <w:rFonts w:ascii="Book Antiqua" w:eastAsia="Book Antiqua" w:hAnsi="Book Antiqua" w:cs="Book Antiqua"/>
          <w:b/>
          <w:bCs/>
          <w:color w:val="000000"/>
        </w:rPr>
        <w:t xml:space="preserve">Elizabeth Shumbayawonda, Sofia Mouchti, Catherine Kelly, Matt D Kelly, Rajarshi Banerjee, </w:t>
      </w:r>
      <w:r w:rsidR="004B2678" w:rsidRPr="00D22450">
        <w:rPr>
          <w:rFonts w:ascii="Book Antiqua" w:eastAsia="Book Antiqua" w:hAnsi="Book Antiqua" w:cs="Book Antiqua"/>
          <w:color w:val="000000"/>
        </w:rPr>
        <w:t>Innovation, Perspectum, Oxford OX4 2LL, United Kingdom</w:t>
      </w:r>
    </w:p>
    <w:p w14:paraId="0B2FFAFF" w14:textId="77777777" w:rsidR="00A77B3E" w:rsidRPr="00D22450" w:rsidRDefault="00A77B3E" w:rsidP="00D22450">
      <w:pPr>
        <w:adjustRightInd w:val="0"/>
        <w:snapToGrid w:val="0"/>
        <w:spacing w:line="360" w:lineRule="auto"/>
        <w:jc w:val="both"/>
        <w:rPr>
          <w:rFonts w:ascii="Book Antiqua" w:hAnsi="Book Antiqua"/>
        </w:rPr>
      </w:pPr>
    </w:p>
    <w:p w14:paraId="4ABCC0C2"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t xml:space="preserve">Timothy J Kendall, </w:t>
      </w:r>
      <w:r w:rsidRPr="00D22450">
        <w:rPr>
          <w:rFonts w:ascii="Book Antiqua" w:eastAsia="Book Antiqua" w:hAnsi="Book Antiqua" w:cs="Book Antiqua"/>
          <w:color w:val="000000"/>
        </w:rPr>
        <w:t>Centre for Inflammation Research, University of Edinburgh, Edinburgh, United Kingdom, Edinburgh EH16 4TJ, United Kingdom</w:t>
      </w:r>
    </w:p>
    <w:p w14:paraId="463BAE30" w14:textId="77777777" w:rsidR="00A77B3E" w:rsidRPr="00D22450" w:rsidRDefault="00A77B3E" w:rsidP="00D22450">
      <w:pPr>
        <w:adjustRightInd w:val="0"/>
        <w:snapToGrid w:val="0"/>
        <w:spacing w:line="360" w:lineRule="auto"/>
        <w:jc w:val="both"/>
        <w:rPr>
          <w:rFonts w:ascii="Book Antiqua" w:hAnsi="Book Antiqua"/>
        </w:rPr>
      </w:pPr>
    </w:p>
    <w:p w14:paraId="7A964DDC"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t xml:space="preserve">Eve Fryer, </w:t>
      </w:r>
      <w:r w:rsidRPr="00D22450">
        <w:rPr>
          <w:rFonts w:ascii="Book Antiqua" w:eastAsia="Book Antiqua" w:hAnsi="Book Antiqua" w:cs="Book Antiqua"/>
          <w:color w:val="000000"/>
        </w:rPr>
        <w:t>Department of Cellular Pathology, Oxford University Hospitals NHS Foundation Trust, Oxford OX3 9DU, United Kingdom</w:t>
      </w:r>
    </w:p>
    <w:p w14:paraId="7335FCBC" w14:textId="77777777" w:rsidR="00A77B3E" w:rsidRPr="00D22450" w:rsidRDefault="00A77B3E" w:rsidP="00D22450">
      <w:pPr>
        <w:adjustRightInd w:val="0"/>
        <w:snapToGrid w:val="0"/>
        <w:spacing w:line="360" w:lineRule="auto"/>
        <w:jc w:val="both"/>
        <w:rPr>
          <w:rFonts w:ascii="Book Antiqua" w:hAnsi="Book Antiqua"/>
        </w:rPr>
      </w:pPr>
    </w:p>
    <w:p w14:paraId="792DB666" w14:textId="5EF0E249"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lastRenderedPageBreak/>
        <w:t xml:space="preserve">Shogi Yamanaka, </w:t>
      </w:r>
      <w:bookmarkStart w:id="18" w:name="OLE_LINK1"/>
      <w:bookmarkStart w:id="19" w:name="OLE_LINK2"/>
      <w:r w:rsidRPr="00D22450">
        <w:rPr>
          <w:rFonts w:ascii="Book Antiqua" w:eastAsia="Book Antiqua" w:hAnsi="Book Antiqua" w:cs="Book Antiqua"/>
          <w:color w:val="000000"/>
        </w:rPr>
        <w:t>Anatomic and Clinical Pathology</w:t>
      </w:r>
      <w:bookmarkEnd w:id="18"/>
      <w:bookmarkEnd w:id="19"/>
      <w:r w:rsidRPr="00D22450">
        <w:rPr>
          <w:rFonts w:ascii="Book Antiqua" w:eastAsia="Book Antiqua" w:hAnsi="Book Antiqua" w:cs="Book Antiqua"/>
          <w:color w:val="000000"/>
        </w:rPr>
        <w:t xml:space="preserve"> Department, Yokohoma City University Hospital, Yokohoma</w:t>
      </w:r>
      <w:r w:rsidR="00626EB6" w:rsidRPr="00D22450">
        <w:rPr>
          <w:rFonts w:ascii="Book Antiqua" w:eastAsia="Book Antiqua" w:hAnsi="Book Antiqua" w:cs="Book Antiqua"/>
          <w:color w:val="000000"/>
        </w:rPr>
        <w:t xml:space="preserve"> 236-0004</w:t>
      </w:r>
      <w:r w:rsidRPr="00D22450">
        <w:rPr>
          <w:rFonts w:ascii="Book Antiqua" w:eastAsia="Book Antiqua" w:hAnsi="Book Antiqua" w:cs="Book Antiqua"/>
          <w:color w:val="000000"/>
        </w:rPr>
        <w:t>, Japan</w:t>
      </w:r>
    </w:p>
    <w:p w14:paraId="0FA65A30" w14:textId="77777777" w:rsidR="00A77B3E" w:rsidRPr="00D22450" w:rsidRDefault="00A77B3E" w:rsidP="00D22450">
      <w:pPr>
        <w:adjustRightInd w:val="0"/>
        <w:snapToGrid w:val="0"/>
        <w:spacing w:line="360" w:lineRule="auto"/>
        <w:jc w:val="both"/>
        <w:rPr>
          <w:rFonts w:ascii="Book Antiqua" w:hAnsi="Book Antiqua"/>
        </w:rPr>
      </w:pPr>
    </w:p>
    <w:p w14:paraId="5A7422B2" w14:textId="60B616DF" w:rsidR="00A77B3E" w:rsidRPr="00D22450" w:rsidRDefault="004B2678" w:rsidP="00D22450">
      <w:pPr>
        <w:adjustRightInd w:val="0"/>
        <w:snapToGrid w:val="0"/>
        <w:spacing w:line="360" w:lineRule="auto"/>
        <w:jc w:val="both"/>
        <w:rPr>
          <w:rFonts w:ascii="Book Antiqua" w:eastAsia="Book Antiqua" w:hAnsi="Book Antiqua" w:cs="Book Antiqua"/>
          <w:color w:val="000000"/>
        </w:rPr>
      </w:pPr>
      <w:r w:rsidRPr="00D22450">
        <w:rPr>
          <w:rFonts w:ascii="Book Antiqua" w:eastAsia="Book Antiqua" w:hAnsi="Book Antiqua" w:cs="Book Antiqua"/>
          <w:b/>
          <w:bCs/>
          <w:color w:val="000000"/>
        </w:rPr>
        <w:t xml:space="preserve">Masato Yoneda, </w:t>
      </w:r>
      <w:r w:rsidRPr="00D22450">
        <w:rPr>
          <w:rFonts w:ascii="Book Antiqua" w:eastAsia="Book Antiqua" w:hAnsi="Book Antiqua" w:cs="Book Antiqua"/>
          <w:color w:val="000000"/>
        </w:rPr>
        <w:t xml:space="preserve">Department of Gastroenterology, </w:t>
      </w:r>
      <w:r w:rsidR="00EE5B76" w:rsidRPr="00D22450">
        <w:rPr>
          <w:rFonts w:ascii="Book Antiqua" w:eastAsia="Book Antiqua" w:hAnsi="Book Antiqua" w:cs="Book Antiqua"/>
          <w:color w:val="000000"/>
        </w:rPr>
        <w:t>Yokohama City University Graduate School of Medicine</w:t>
      </w:r>
      <w:r w:rsidRPr="00D22450">
        <w:rPr>
          <w:rFonts w:ascii="Book Antiqua" w:eastAsia="Book Antiqua" w:hAnsi="Book Antiqua" w:cs="Book Antiqua"/>
          <w:color w:val="000000"/>
        </w:rPr>
        <w:t>, Yokohama 236</w:t>
      </w:r>
      <w:r w:rsidR="0070064C" w:rsidRPr="00D22450">
        <w:rPr>
          <w:rFonts w:ascii="Book Antiqua" w:eastAsia="Book Antiqua" w:hAnsi="Book Antiqua" w:cs="Book Antiqua"/>
          <w:color w:val="000000"/>
        </w:rPr>
        <w:t>-</w:t>
      </w:r>
      <w:r w:rsidR="00D33E8A" w:rsidRPr="00D22450">
        <w:rPr>
          <w:rFonts w:ascii="Book Antiqua" w:eastAsia="Book Antiqua" w:hAnsi="Book Antiqua" w:cs="Book Antiqua"/>
          <w:color w:val="000000"/>
        </w:rPr>
        <w:t>0</w:t>
      </w:r>
      <w:r w:rsidRPr="00D22450">
        <w:rPr>
          <w:rFonts w:ascii="Book Antiqua" w:eastAsia="Book Antiqua" w:hAnsi="Book Antiqua" w:cs="Book Antiqua"/>
          <w:color w:val="000000"/>
        </w:rPr>
        <w:t>004, Japan</w:t>
      </w:r>
    </w:p>
    <w:p w14:paraId="43DFA096" w14:textId="77777777" w:rsidR="00A77B3E" w:rsidRPr="00D22450" w:rsidRDefault="00A77B3E" w:rsidP="00D22450">
      <w:pPr>
        <w:adjustRightInd w:val="0"/>
        <w:snapToGrid w:val="0"/>
        <w:spacing w:line="360" w:lineRule="auto"/>
        <w:jc w:val="both"/>
        <w:rPr>
          <w:rFonts w:ascii="Book Antiqua" w:hAnsi="Book Antiqua"/>
        </w:rPr>
      </w:pPr>
    </w:p>
    <w:p w14:paraId="75206D6F" w14:textId="7277CEA1"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t xml:space="preserve">Author contributions: </w:t>
      </w:r>
      <w:bookmarkStart w:id="20" w:name="OLE_LINK39"/>
      <w:bookmarkStart w:id="21" w:name="OLE_LINK40"/>
      <w:r w:rsidR="00753F0D" w:rsidRPr="00D22450">
        <w:rPr>
          <w:rFonts w:ascii="Book Antiqua" w:eastAsia="Book Antiqua" w:hAnsi="Book Antiqua" w:cs="Book Antiqua"/>
          <w:color w:val="000000"/>
        </w:rPr>
        <w:t>Imajo</w:t>
      </w:r>
      <w:r w:rsidR="00753F0D"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 xml:space="preserve">K and </w:t>
      </w:r>
      <w:r w:rsidR="00753F0D" w:rsidRPr="00D22450">
        <w:rPr>
          <w:rFonts w:ascii="Book Antiqua" w:eastAsia="Book Antiqua" w:hAnsi="Book Antiqua" w:cs="Book Antiqua"/>
          <w:color w:val="000000"/>
        </w:rPr>
        <w:t>Nakajima</w:t>
      </w:r>
      <w:r w:rsidR="00753F0D"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A developed the study concept, protocols and initiated the project</w:t>
      </w:r>
      <w:r w:rsidR="00CD70F3" w:rsidRPr="00D22450">
        <w:rPr>
          <w:rFonts w:ascii="Book Antiqua" w:eastAsia="Book Antiqua" w:hAnsi="Book Antiqua" w:cs="Book Antiqua"/>
          <w:color w:val="000000"/>
          <w:shd w:val="clear" w:color="auto" w:fill="FFFFFF"/>
        </w:rPr>
        <w:t>;</w:t>
      </w:r>
      <w:r w:rsidRPr="00D22450">
        <w:rPr>
          <w:rFonts w:ascii="Book Antiqua" w:eastAsia="Book Antiqua" w:hAnsi="Book Antiqua" w:cs="Book Antiqua"/>
          <w:color w:val="000000"/>
          <w:shd w:val="clear" w:color="auto" w:fill="FFFFFF"/>
        </w:rPr>
        <w:t xml:space="preserve"> </w:t>
      </w:r>
      <w:r w:rsidR="00753F0D" w:rsidRPr="00D22450">
        <w:rPr>
          <w:rFonts w:ascii="Book Antiqua" w:eastAsia="Book Antiqua" w:hAnsi="Book Antiqua" w:cs="Book Antiqua"/>
          <w:color w:val="000000"/>
        </w:rPr>
        <w:t>Kelly</w:t>
      </w:r>
      <w:r w:rsidR="00753F0D"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M</w:t>
      </w:r>
      <w:r w:rsidR="00753F0D" w:rsidRPr="00D22450">
        <w:rPr>
          <w:rFonts w:ascii="Book Antiqua" w:eastAsia="Book Antiqua" w:hAnsi="Book Antiqua" w:cs="Book Antiqua"/>
          <w:color w:val="000000"/>
          <w:shd w:val="clear" w:color="auto" w:fill="FFFFFF"/>
        </w:rPr>
        <w:t>D</w:t>
      </w:r>
      <w:r w:rsidRPr="00D22450">
        <w:rPr>
          <w:rFonts w:ascii="Book Antiqua" w:eastAsia="Book Antiqua" w:hAnsi="Book Antiqua" w:cs="Book Antiqua"/>
          <w:color w:val="000000"/>
          <w:shd w:val="clear" w:color="auto" w:fill="FFFFFF"/>
        </w:rPr>
        <w:t xml:space="preserve"> and </w:t>
      </w:r>
      <w:r w:rsidR="00753F0D" w:rsidRPr="00D22450">
        <w:rPr>
          <w:rFonts w:ascii="Book Antiqua" w:eastAsia="Book Antiqua" w:hAnsi="Book Antiqua" w:cs="Book Antiqua"/>
          <w:color w:val="000000"/>
        </w:rPr>
        <w:t>Banerjee</w:t>
      </w:r>
      <w:r w:rsidR="00753F0D"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R assisted in the further development of the protocol and drafting the clinical study protocol</w:t>
      </w:r>
      <w:r w:rsidR="00CD70F3" w:rsidRPr="00D22450">
        <w:rPr>
          <w:rFonts w:ascii="Book Antiqua" w:eastAsia="Book Antiqua" w:hAnsi="Book Antiqua" w:cs="Book Antiqua"/>
          <w:color w:val="000000"/>
          <w:shd w:val="clear" w:color="auto" w:fill="FFFFFF"/>
        </w:rPr>
        <w:t>;</w:t>
      </w:r>
      <w:r w:rsidRPr="00D22450">
        <w:rPr>
          <w:rFonts w:ascii="Book Antiqua" w:eastAsia="Book Antiqua" w:hAnsi="Book Antiqua" w:cs="Book Antiqua"/>
          <w:color w:val="000000"/>
          <w:shd w:val="clear" w:color="auto" w:fill="FFFFFF"/>
        </w:rPr>
        <w:t xml:space="preserve"> </w:t>
      </w:r>
      <w:r w:rsidR="00753F0D" w:rsidRPr="00D22450">
        <w:rPr>
          <w:rFonts w:ascii="Book Antiqua" w:eastAsia="Book Antiqua" w:hAnsi="Book Antiqua" w:cs="Book Antiqua"/>
          <w:color w:val="000000"/>
        </w:rPr>
        <w:t>Imajo</w:t>
      </w:r>
      <w:r w:rsidR="00753F0D" w:rsidRPr="00D22450">
        <w:rPr>
          <w:rFonts w:ascii="Book Antiqua" w:eastAsia="Book Antiqua" w:hAnsi="Book Antiqua" w:cs="Book Antiqua"/>
          <w:color w:val="000000"/>
          <w:shd w:val="clear" w:color="auto" w:fill="FFFFFF"/>
        </w:rPr>
        <w:t xml:space="preserve"> K</w:t>
      </w:r>
      <w:r w:rsidRPr="00D22450">
        <w:rPr>
          <w:rFonts w:ascii="Book Antiqua" w:eastAsia="Book Antiqua" w:hAnsi="Book Antiqua" w:cs="Book Antiqua"/>
          <w:color w:val="000000"/>
          <w:shd w:val="clear" w:color="auto" w:fill="FFFFFF"/>
        </w:rPr>
        <w:t xml:space="preserve">, </w:t>
      </w:r>
      <w:r w:rsidR="00753F0D" w:rsidRPr="00D22450">
        <w:rPr>
          <w:rFonts w:ascii="Book Antiqua" w:eastAsia="Book Antiqua" w:hAnsi="Book Antiqua" w:cs="Book Antiqua"/>
          <w:color w:val="000000"/>
        </w:rPr>
        <w:t>Nakajima</w:t>
      </w:r>
      <w:r w:rsidR="00753F0D" w:rsidRPr="00D22450">
        <w:rPr>
          <w:rFonts w:ascii="Book Antiqua" w:eastAsia="Book Antiqua" w:hAnsi="Book Antiqua" w:cs="Book Antiqua"/>
          <w:color w:val="000000"/>
          <w:shd w:val="clear" w:color="auto" w:fill="FFFFFF"/>
        </w:rPr>
        <w:t xml:space="preserve"> A</w:t>
      </w:r>
      <w:r w:rsidRPr="00D22450">
        <w:rPr>
          <w:rFonts w:ascii="Book Antiqua" w:eastAsia="Book Antiqua" w:hAnsi="Book Antiqua" w:cs="Book Antiqua"/>
          <w:color w:val="000000"/>
          <w:shd w:val="clear" w:color="auto" w:fill="FFFFFF"/>
        </w:rPr>
        <w:t xml:space="preserve">, </w:t>
      </w:r>
      <w:r w:rsidR="00753F0D" w:rsidRPr="00D22450">
        <w:rPr>
          <w:rFonts w:ascii="Book Antiqua" w:eastAsia="Book Antiqua" w:hAnsi="Book Antiqua" w:cs="Book Antiqua"/>
          <w:color w:val="000000"/>
        </w:rPr>
        <w:t>Fryer</w:t>
      </w:r>
      <w:r w:rsidR="00753F0D"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 xml:space="preserve">E, </w:t>
      </w:r>
      <w:r w:rsidR="00753F0D" w:rsidRPr="00D22450">
        <w:rPr>
          <w:rFonts w:ascii="Book Antiqua" w:eastAsia="Book Antiqua" w:hAnsi="Book Antiqua" w:cs="Book Antiqua"/>
          <w:color w:val="000000"/>
        </w:rPr>
        <w:t>Kendall</w:t>
      </w:r>
      <w:r w:rsidR="00753F0D"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T</w:t>
      </w:r>
      <w:r w:rsidR="00753F0D" w:rsidRPr="00D22450">
        <w:rPr>
          <w:rFonts w:ascii="Book Antiqua" w:eastAsia="Book Antiqua" w:hAnsi="Book Antiqua" w:cs="Book Antiqua"/>
          <w:color w:val="000000"/>
          <w:shd w:val="clear" w:color="auto" w:fill="FFFFFF"/>
        </w:rPr>
        <w:t>J</w:t>
      </w:r>
      <w:r w:rsidRPr="00D22450">
        <w:rPr>
          <w:rFonts w:ascii="Book Antiqua" w:eastAsia="Book Antiqua" w:hAnsi="Book Antiqua" w:cs="Book Antiqua"/>
          <w:color w:val="000000"/>
          <w:shd w:val="clear" w:color="auto" w:fill="FFFFFF"/>
        </w:rPr>
        <w:t xml:space="preserve">, </w:t>
      </w:r>
      <w:r w:rsidR="00753F0D" w:rsidRPr="00D22450">
        <w:rPr>
          <w:rFonts w:ascii="Book Antiqua" w:eastAsia="Book Antiqua" w:hAnsi="Book Antiqua" w:cs="Book Antiqua"/>
          <w:color w:val="000000"/>
        </w:rPr>
        <w:t>Yamanaka</w:t>
      </w:r>
      <w:r w:rsidR="00753F0D"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 xml:space="preserve">S, </w:t>
      </w:r>
      <w:r w:rsidR="00753F0D" w:rsidRPr="00D22450">
        <w:rPr>
          <w:rFonts w:ascii="Book Antiqua" w:eastAsia="Book Antiqua" w:hAnsi="Book Antiqua" w:cs="Book Antiqua"/>
          <w:color w:val="000000"/>
        </w:rPr>
        <w:t>Honda</w:t>
      </w:r>
      <w:r w:rsidR="00753F0D"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 xml:space="preserve">Y, </w:t>
      </w:r>
      <w:r w:rsidR="00753F0D" w:rsidRPr="00D22450">
        <w:rPr>
          <w:rFonts w:ascii="Book Antiqua" w:eastAsia="Book Antiqua" w:hAnsi="Book Antiqua" w:cs="Book Antiqua"/>
          <w:color w:val="000000"/>
        </w:rPr>
        <w:t>Kessoku</w:t>
      </w:r>
      <w:r w:rsidR="00753F0D"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 xml:space="preserve">T, </w:t>
      </w:r>
      <w:r w:rsidR="00753F0D" w:rsidRPr="00D22450">
        <w:rPr>
          <w:rFonts w:ascii="Book Antiqua" w:eastAsia="Book Antiqua" w:hAnsi="Book Antiqua" w:cs="Book Antiqua"/>
          <w:color w:val="000000"/>
        </w:rPr>
        <w:t>Ogawa</w:t>
      </w:r>
      <w:r w:rsidR="00753F0D"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 xml:space="preserve">Y, </w:t>
      </w:r>
      <w:r w:rsidR="00753F0D" w:rsidRPr="00D22450">
        <w:rPr>
          <w:rFonts w:ascii="Book Antiqua" w:eastAsia="Book Antiqua" w:hAnsi="Book Antiqua" w:cs="Book Antiqua"/>
          <w:color w:val="000000"/>
        </w:rPr>
        <w:t>Yoneda</w:t>
      </w:r>
      <w:r w:rsidR="00753F0D"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 xml:space="preserve">M and </w:t>
      </w:r>
      <w:r w:rsidR="00753F0D" w:rsidRPr="00D22450">
        <w:rPr>
          <w:rFonts w:ascii="Book Antiqua" w:eastAsia="Book Antiqua" w:hAnsi="Book Antiqua" w:cs="Book Antiqua"/>
          <w:color w:val="000000"/>
        </w:rPr>
        <w:t>Saito</w:t>
      </w:r>
      <w:r w:rsidR="00753F0D"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S contributed to the data collection</w:t>
      </w:r>
      <w:r w:rsidR="00CD70F3" w:rsidRPr="00D22450">
        <w:rPr>
          <w:rFonts w:ascii="Book Antiqua" w:eastAsia="Book Antiqua" w:hAnsi="Book Antiqua" w:cs="Book Antiqua"/>
          <w:color w:val="000000"/>
          <w:shd w:val="clear" w:color="auto" w:fill="FFFFFF"/>
        </w:rPr>
        <w:t>;</w:t>
      </w:r>
      <w:r w:rsidRPr="00D22450">
        <w:rPr>
          <w:rFonts w:ascii="Book Antiqua" w:eastAsia="Book Antiqua" w:hAnsi="Book Antiqua" w:cs="Book Antiqua"/>
          <w:color w:val="000000"/>
          <w:shd w:val="clear" w:color="auto" w:fill="FFFFFF"/>
        </w:rPr>
        <w:t xml:space="preserve"> </w:t>
      </w:r>
      <w:r w:rsidR="00CD70F3" w:rsidRPr="00D22450">
        <w:rPr>
          <w:rFonts w:ascii="Book Antiqua" w:eastAsia="Book Antiqua" w:hAnsi="Book Antiqua" w:cs="Book Antiqua"/>
          <w:color w:val="000000"/>
        </w:rPr>
        <w:t>Tetlow</w:t>
      </w:r>
      <w:r w:rsidR="00CD70F3"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 xml:space="preserve">L, </w:t>
      </w:r>
      <w:r w:rsidR="00CD70F3" w:rsidRPr="00D22450">
        <w:rPr>
          <w:rFonts w:ascii="Book Antiqua" w:eastAsia="Book Antiqua" w:hAnsi="Book Antiqua" w:cs="Book Antiqua"/>
          <w:color w:val="000000"/>
        </w:rPr>
        <w:t>Dennis</w:t>
      </w:r>
      <w:r w:rsidR="00CD70F3"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A</w:t>
      </w:r>
      <w:r w:rsidR="00CD70F3" w:rsidRPr="00D22450">
        <w:rPr>
          <w:rFonts w:ascii="Book Antiqua" w:eastAsia="Book Antiqua" w:hAnsi="Book Antiqua" w:cs="Book Antiqua"/>
          <w:color w:val="000000"/>
          <w:shd w:val="clear" w:color="auto" w:fill="FFFFFF"/>
        </w:rPr>
        <w:t>M</w:t>
      </w:r>
      <w:r w:rsidRPr="00D22450">
        <w:rPr>
          <w:rFonts w:ascii="Book Antiqua" w:eastAsia="Book Antiqua" w:hAnsi="Book Antiqua" w:cs="Book Antiqua"/>
          <w:color w:val="000000"/>
          <w:shd w:val="clear" w:color="auto" w:fill="FFFFFF"/>
        </w:rPr>
        <w:t xml:space="preserve">, </w:t>
      </w:r>
      <w:r w:rsidR="00CD70F3" w:rsidRPr="00D22450">
        <w:rPr>
          <w:rFonts w:ascii="Book Antiqua" w:eastAsia="Book Antiqua" w:hAnsi="Book Antiqua" w:cs="Book Antiqua"/>
          <w:color w:val="000000"/>
        </w:rPr>
        <w:t>Shumbayawonda</w:t>
      </w:r>
      <w:r w:rsidR="00CD70F3"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E to the data analysis</w:t>
      </w:r>
      <w:r w:rsidR="00CD70F3" w:rsidRPr="00D22450">
        <w:rPr>
          <w:rFonts w:ascii="Book Antiqua" w:eastAsia="Book Antiqua" w:hAnsi="Book Antiqua" w:cs="Book Antiqua"/>
          <w:color w:val="000000"/>
          <w:shd w:val="clear" w:color="auto" w:fill="FFFFFF"/>
        </w:rPr>
        <w:t>;</w:t>
      </w:r>
      <w:r w:rsidRPr="00D22450">
        <w:rPr>
          <w:rFonts w:ascii="Book Antiqua" w:eastAsia="Book Antiqua" w:hAnsi="Book Antiqua" w:cs="Book Antiqua"/>
          <w:color w:val="000000"/>
          <w:shd w:val="clear" w:color="auto" w:fill="FFFFFF"/>
        </w:rPr>
        <w:t xml:space="preserve"> </w:t>
      </w:r>
      <w:r w:rsidR="00CD70F3" w:rsidRPr="00D22450">
        <w:rPr>
          <w:rFonts w:ascii="Book Antiqua" w:eastAsia="Book Antiqua" w:hAnsi="Book Antiqua" w:cs="Book Antiqua"/>
          <w:color w:val="000000"/>
        </w:rPr>
        <w:t>Imajo</w:t>
      </w:r>
      <w:r w:rsidR="00CD70F3" w:rsidRPr="00D22450">
        <w:rPr>
          <w:rFonts w:ascii="Book Antiqua" w:eastAsia="Book Antiqua" w:hAnsi="Book Antiqua" w:cs="Book Antiqua"/>
          <w:color w:val="000000"/>
          <w:shd w:val="clear" w:color="auto" w:fill="FFFFFF"/>
        </w:rPr>
        <w:t xml:space="preserve"> K</w:t>
      </w:r>
      <w:r w:rsidRPr="00D22450">
        <w:rPr>
          <w:rFonts w:ascii="Book Antiqua" w:eastAsia="Book Antiqua" w:hAnsi="Book Antiqua" w:cs="Book Antiqua"/>
          <w:color w:val="000000"/>
          <w:shd w:val="clear" w:color="auto" w:fill="FFFFFF"/>
        </w:rPr>
        <w:t>,</w:t>
      </w:r>
      <w:r w:rsidR="00CD70F3" w:rsidRPr="00D22450">
        <w:rPr>
          <w:rFonts w:ascii="Book Antiqua" w:eastAsia="Book Antiqua" w:hAnsi="Book Antiqua" w:cs="Book Antiqua"/>
          <w:color w:val="000000"/>
        </w:rPr>
        <w:t xml:space="preserve"> Tetlow</w:t>
      </w:r>
      <w:r w:rsidR="00CD70F3" w:rsidRPr="00D22450">
        <w:rPr>
          <w:rFonts w:ascii="Book Antiqua" w:eastAsia="Book Antiqua" w:hAnsi="Book Antiqua" w:cs="Book Antiqua"/>
          <w:color w:val="000000"/>
          <w:shd w:val="clear" w:color="auto" w:fill="FFFFFF"/>
        </w:rPr>
        <w:t xml:space="preserve"> L,</w:t>
      </w:r>
      <w:r w:rsidRPr="00D22450">
        <w:rPr>
          <w:rFonts w:ascii="Book Antiqua" w:eastAsia="Book Antiqua" w:hAnsi="Book Antiqua" w:cs="Book Antiqua"/>
          <w:color w:val="000000"/>
          <w:shd w:val="clear" w:color="auto" w:fill="FFFFFF"/>
        </w:rPr>
        <w:t xml:space="preserve"> </w:t>
      </w:r>
      <w:r w:rsidR="00CD70F3" w:rsidRPr="00D22450">
        <w:rPr>
          <w:rFonts w:ascii="Book Antiqua" w:eastAsia="Book Antiqua" w:hAnsi="Book Antiqua" w:cs="Book Antiqua"/>
          <w:color w:val="000000"/>
        </w:rPr>
        <w:t>Nakajima</w:t>
      </w:r>
      <w:r w:rsidR="00CD70F3" w:rsidRPr="00D22450">
        <w:rPr>
          <w:rFonts w:ascii="Book Antiqua" w:eastAsia="Book Antiqua" w:hAnsi="Book Antiqua" w:cs="Book Antiqua"/>
          <w:color w:val="000000"/>
          <w:shd w:val="clear" w:color="auto" w:fill="FFFFFF"/>
        </w:rPr>
        <w:t xml:space="preserve"> A</w:t>
      </w:r>
      <w:r w:rsidRPr="00D22450">
        <w:rPr>
          <w:rFonts w:ascii="Book Antiqua" w:eastAsia="Book Antiqua" w:hAnsi="Book Antiqua" w:cs="Book Antiqua"/>
          <w:color w:val="000000"/>
          <w:shd w:val="clear" w:color="auto" w:fill="FFFFFF"/>
        </w:rPr>
        <w:t xml:space="preserve">, </w:t>
      </w:r>
      <w:r w:rsidR="00CD70F3" w:rsidRPr="00D22450">
        <w:rPr>
          <w:rFonts w:ascii="Book Antiqua" w:eastAsia="Book Antiqua" w:hAnsi="Book Antiqua" w:cs="Book Antiqua"/>
          <w:color w:val="000000"/>
        </w:rPr>
        <w:t>Dennis</w:t>
      </w:r>
      <w:r w:rsidR="00CD70F3"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A</w:t>
      </w:r>
      <w:r w:rsidR="00CD70F3" w:rsidRPr="00D22450">
        <w:rPr>
          <w:rFonts w:ascii="Book Antiqua" w:eastAsia="Book Antiqua" w:hAnsi="Book Antiqua" w:cs="Book Antiqua"/>
          <w:color w:val="000000"/>
          <w:shd w:val="clear" w:color="auto" w:fill="FFFFFF"/>
        </w:rPr>
        <w:t>M</w:t>
      </w:r>
      <w:r w:rsidRPr="00D22450">
        <w:rPr>
          <w:rFonts w:ascii="Book Antiqua" w:eastAsia="Book Antiqua" w:hAnsi="Book Antiqua" w:cs="Book Antiqua"/>
          <w:color w:val="000000"/>
          <w:shd w:val="clear" w:color="auto" w:fill="FFFFFF"/>
        </w:rPr>
        <w:t xml:space="preserve">, </w:t>
      </w:r>
      <w:r w:rsidR="00CD70F3" w:rsidRPr="00D22450">
        <w:rPr>
          <w:rFonts w:ascii="Book Antiqua" w:eastAsia="Book Antiqua" w:hAnsi="Book Antiqua" w:cs="Book Antiqua"/>
          <w:color w:val="000000"/>
        </w:rPr>
        <w:t>Shumbayawonda E</w:t>
      </w:r>
      <w:r w:rsidRPr="00D22450">
        <w:rPr>
          <w:rFonts w:ascii="Book Antiqua" w:eastAsia="Book Antiqua" w:hAnsi="Book Antiqua" w:cs="Book Antiqua"/>
          <w:color w:val="000000"/>
          <w:shd w:val="clear" w:color="auto" w:fill="FFFFFF"/>
        </w:rPr>
        <w:t xml:space="preserve">, </w:t>
      </w:r>
      <w:r w:rsidR="00CD70F3" w:rsidRPr="00D22450">
        <w:rPr>
          <w:rFonts w:ascii="Book Antiqua" w:eastAsia="Book Antiqua" w:hAnsi="Book Antiqua" w:cs="Book Antiqua"/>
          <w:color w:val="000000"/>
        </w:rPr>
        <w:t>Kelly</w:t>
      </w:r>
      <w:r w:rsidR="00CD70F3"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 xml:space="preserve">C, </w:t>
      </w:r>
      <w:r w:rsidR="00CD70F3" w:rsidRPr="00D22450">
        <w:rPr>
          <w:rFonts w:ascii="Book Antiqua" w:eastAsia="Book Antiqua" w:hAnsi="Book Antiqua" w:cs="Book Antiqua"/>
          <w:color w:val="000000"/>
        </w:rPr>
        <w:t>Kelly</w:t>
      </w:r>
      <w:r w:rsidR="00CD70F3" w:rsidRPr="00D22450">
        <w:rPr>
          <w:rFonts w:ascii="Book Antiqua" w:eastAsia="Book Antiqua" w:hAnsi="Book Antiqua" w:cs="Book Antiqua"/>
          <w:color w:val="000000"/>
          <w:shd w:val="clear" w:color="auto" w:fill="FFFFFF"/>
        </w:rPr>
        <w:t xml:space="preserve"> MD</w:t>
      </w:r>
      <w:r w:rsidRPr="00D22450">
        <w:rPr>
          <w:rFonts w:ascii="Book Antiqua" w:eastAsia="Book Antiqua" w:hAnsi="Book Antiqua" w:cs="Book Antiqua"/>
          <w:color w:val="000000"/>
          <w:shd w:val="clear" w:color="auto" w:fill="FFFFFF"/>
        </w:rPr>
        <w:t xml:space="preserve"> and </w:t>
      </w:r>
      <w:r w:rsidR="00CD70F3" w:rsidRPr="00D22450">
        <w:rPr>
          <w:rFonts w:ascii="Book Antiqua" w:eastAsia="Book Antiqua" w:hAnsi="Book Antiqua" w:cs="Book Antiqua"/>
          <w:color w:val="000000"/>
        </w:rPr>
        <w:t>Banerjee</w:t>
      </w:r>
      <w:r w:rsidR="00CD70F3" w:rsidRPr="00D22450">
        <w:rPr>
          <w:rFonts w:ascii="Book Antiqua" w:eastAsia="Book Antiqua" w:hAnsi="Book Antiqua" w:cs="Book Antiqua"/>
          <w:color w:val="000000"/>
          <w:shd w:val="clear" w:color="auto" w:fill="FFFFFF"/>
        </w:rPr>
        <w:t xml:space="preserve"> R</w:t>
      </w:r>
      <w:r w:rsidRPr="00D22450">
        <w:rPr>
          <w:rFonts w:ascii="Book Antiqua" w:eastAsia="Book Antiqua" w:hAnsi="Book Antiqua" w:cs="Book Antiqua"/>
          <w:color w:val="000000"/>
          <w:shd w:val="clear" w:color="auto" w:fill="FFFFFF"/>
        </w:rPr>
        <w:t xml:space="preserve"> drafted and completed the manuscript. All authors contributed to the final manuscript</w:t>
      </w:r>
      <w:r w:rsidR="0070064C" w:rsidRPr="00D22450">
        <w:rPr>
          <w:rFonts w:ascii="Book Antiqua" w:eastAsia="Book Antiqua" w:hAnsi="Book Antiqua" w:cs="Book Antiqua"/>
          <w:color w:val="000000"/>
          <w:shd w:val="clear" w:color="auto" w:fill="FFFFFF"/>
        </w:rPr>
        <w:t>.</w:t>
      </w:r>
    </w:p>
    <w:bookmarkEnd w:id="20"/>
    <w:bookmarkEnd w:id="21"/>
    <w:p w14:paraId="78133E72" w14:textId="77777777" w:rsidR="00A77B3E" w:rsidRPr="00D22450" w:rsidRDefault="00A77B3E" w:rsidP="00D22450">
      <w:pPr>
        <w:adjustRightInd w:val="0"/>
        <w:snapToGrid w:val="0"/>
        <w:spacing w:line="360" w:lineRule="auto"/>
        <w:jc w:val="both"/>
        <w:rPr>
          <w:rFonts w:ascii="Book Antiqua" w:hAnsi="Book Antiqua"/>
        </w:rPr>
      </w:pPr>
    </w:p>
    <w:p w14:paraId="154F96D3" w14:textId="241DBF0F" w:rsidR="00A77B3E" w:rsidRPr="00D22450" w:rsidRDefault="00882C59" w:rsidP="00D22450">
      <w:pPr>
        <w:adjustRightInd w:val="0"/>
        <w:snapToGrid w:val="0"/>
        <w:spacing w:line="360" w:lineRule="auto"/>
        <w:jc w:val="both"/>
        <w:rPr>
          <w:rFonts w:ascii="Book Antiqua" w:hAnsi="Book Antiqua"/>
        </w:rPr>
      </w:pPr>
      <w:r>
        <w:rPr>
          <w:rFonts w:ascii="Book Antiqua" w:eastAsia="Book Antiqua" w:hAnsi="Book Antiqua" w:cs="Book Antiqua"/>
          <w:b/>
          <w:bCs/>
          <w:color w:val="000000"/>
        </w:rPr>
        <w:t>Corresponding author: Andrea</w:t>
      </w:r>
      <w:r w:rsidR="004B2678" w:rsidRPr="00D22450">
        <w:rPr>
          <w:rFonts w:ascii="Book Antiqua" w:eastAsia="Book Antiqua" w:hAnsi="Book Antiqua" w:cs="Book Antiqua"/>
          <w:b/>
          <w:bCs/>
          <w:color w:val="000000"/>
        </w:rPr>
        <w:t xml:space="preserve"> Dennis, PhD, Research Scientist, </w:t>
      </w:r>
      <w:r w:rsidR="004B2678" w:rsidRPr="00D22450">
        <w:rPr>
          <w:rFonts w:ascii="Book Antiqua" w:eastAsia="Book Antiqua" w:hAnsi="Book Antiqua" w:cs="Book Antiqua"/>
          <w:color w:val="000000"/>
        </w:rPr>
        <w:t>Innovation, Perspectum, Gemini One, 5520 John Smith Drive, Oxford OX4 2LL,</w:t>
      </w:r>
      <w:r w:rsidR="00D33E8A" w:rsidRPr="00D22450">
        <w:rPr>
          <w:rFonts w:ascii="Book Antiqua" w:eastAsia="Book Antiqua" w:hAnsi="Book Antiqua" w:cs="Book Antiqua"/>
          <w:color w:val="000000"/>
        </w:rPr>
        <w:t xml:space="preserve"> </w:t>
      </w:r>
      <w:r w:rsidR="004B2678" w:rsidRPr="00D22450">
        <w:rPr>
          <w:rFonts w:ascii="Book Antiqua" w:eastAsia="Book Antiqua" w:hAnsi="Book Antiqua" w:cs="Book Antiqua"/>
          <w:color w:val="000000"/>
        </w:rPr>
        <w:t>United Kingdom. andrea.dennis@perspectum.com</w:t>
      </w:r>
    </w:p>
    <w:p w14:paraId="2959D66C" w14:textId="77777777" w:rsidR="00A77B3E" w:rsidRPr="00D22450" w:rsidRDefault="00A77B3E" w:rsidP="00D22450">
      <w:pPr>
        <w:adjustRightInd w:val="0"/>
        <w:snapToGrid w:val="0"/>
        <w:spacing w:line="360" w:lineRule="auto"/>
        <w:jc w:val="both"/>
        <w:rPr>
          <w:rFonts w:ascii="Book Antiqua" w:hAnsi="Book Antiqua"/>
        </w:rPr>
      </w:pPr>
    </w:p>
    <w:p w14:paraId="7683C8CB"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t xml:space="preserve">Received: </w:t>
      </w:r>
      <w:r w:rsidRPr="00D22450">
        <w:rPr>
          <w:rFonts w:ascii="Book Antiqua" w:eastAsia="Book Antiqua" w:hAnsi="Book Antiqua" w:cs="Book Antiqua"/>
          <w:color w:val="000000"/>
        </w:rPr>
        <w:t>August 28, 2020</w:t>
      </w:r>
    </w:p>
    <w:p w14:paraId="38BB129A" w14:textId="40EE9428" w:rsidR="00A77B3E" w:rsidRPr="00D22450" w:rsidRDefault="004B2678" w:rsidP="00D22450">
      <w:pPr>
        <w:adjustRightInd w:val="0"/>
        <w:snapToGrid w:val="0"/>
        <w:spacing w:line="360" w:lineRule="auto"/>
        <w:jc w:val="both"/>
        <w:rPr>
          <w:rFonts w:ascii="Book Antiqua" w:eastAsia="Book Antiqua" w:hAnsi="Book Antiqua" w:cs="Book Antiqua"/>
          <w:color w:val="000000"/>
        </w:rPr>
      </w:pPr>
      <w:r w:rsidRPr="00D22450">
        <w:rPr>
          <w:rFonts w:ascii="Book Antiqua" w:eastAsia="Book Antiqua" w:hAnsi="Book Antiqua" w:cs="Book Antiqua"/>
          <w:b/>
          <w:bCs/>
          <w:color w:val="000000"/>
        </w:rPr>
        <w:t xml:space="preserve">Revised: </w:t>
      </w:r>
      <w:r w:rsidR="00626EB6" w:rsidRPr="00D22450">
        <w:rPr>
          <w:rFonts w:ascii="Book Antiqua" w:eastAsia="Book Antiqua" w:hAnsi="Book Antiqua" w:cs="Book Antiqua"/>
          <w:color w:val="000000"/>
        </w:rPr>
        <w:t>November 17, 2020</w:t>
      </w:r>
    </w:p>
    <w:p w14:paraId="7BC56559" w14:textId="08BF71E6"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t xml:space="preserve">Accepted: </w:t>
      </w:r>
      <w:r w:rsidR="00E16DE5" w:rsidRPr="00E16DE5">
        <w:rPr>
          <w:rFonts w:ascii="Book Antiqua" w:eastAsia="Book Antiqua" w:hAnsi="Book Antiqua" w:cs="Book Antiqua"/>
          <w:color w:val="000000"/>
        </w:rPr>
        <w:t>December 28, 2020</w:t>
      </w:r>
    </w:p>
    <w:p w14:paraId="5ECE0B81" w14:textId="4827D5C1" w:rsidR="00A77B3E" w:rsidRPr="00D22450" w:rsidRDefault="004B2678" w:rsidP="00D22450">
      <w:pPr>
        <w:adjustRightInd w:val="0"/>
        <w:snapToGrid w:val="0"/>
        <w:spacing w:line="360" w:lineRule="auto"/>
        <w:jc w:val="both"/>
        <w:rPr>
          <w:rFonts w:ascii="Book Antiqua" w:hAnsi="Book Antiqua"/>
          <w:lang w:eastAsia="zh-CN"/>
        </w:rPr>
      </w:pPr>
      <w:r w:rsidRPr="00D22450">
        <w:rPr>
          <w:rFonts w:ascii="Book Antiqua" w:eastAsia="Book Antiqua" w:hAnsi="Book Antiqua" w:cs="Book Antiqua"/>
          <w:b/>
          <w:bCs/>
          <w:color w:val="000000"/>
        </w:rPr>
        <w:t xml:space="preserve">Published online: </w:t>
      </w:r>
      <w:r w:rsidR="00294622">
        <w:rPr>
          <w:rFonts w:ascii="Book Antiqua" w:hAnsi="Book Antiqua"/>
          <w:color w:val="000000"/>
          <w:shd w:val="clear" w:color="auto" w:fill="FFFFFF"/>
        </w:rPr>
        <w:t>January 21</w:t>
      </w:r>
      <w:r w:rsidR="00294622">
        <w:rPr>
          <w:rFonts w:ascii="Book Antiqua" w:hAnsi="Book Antiqua" w:hint="eastAsia"/>
          <w:color w:val="000000"/>
          <w:shd w:val="clear" w:color="auto" w:fill="FFFFFF"/>
          <w:lang w:eastAsia="zh-CN"/>
        </w:rPr>
        <w:t>, 2021</w:t>
      </w:r>
    </w:p>
    <w:p w14:paraId="219C3D97" w14:textId="77777777" w:rsidR="00A77B3E" w:rsidRPr="00D22450" w:rsidRDefault="00A77B3E" w:rsidP="00D22450">
      <w:pPr>
        <w:adjustRightInd w:val="0"/>
        <w:snapToGrid w:val="0"/>
        <w:spacing w:line="360" w:lineRule="auto"/>
        <w:jc w:val="both"/>
        <w:rPr>
          <w:rFonts w:ascii="Book Antiqua" w:hAnsi="Book Antiqua"/>
        </w:rPr>
        <w:sectPr w:rsidR="00A77B3E" w:rsidRPr="00D22450" w:rsidSect="00EE5B76">
          <w:footerReference w:type="default" r:id="rId7"/>
          <w:pgSz w:w="12240" w:h="15840"/>
          <w:pgMar w:top="1440" w:right="1800" w:bottom="1440" w:left="1800" w:header="720" w:footer="720" w:gutter="0"/>
          <w:cols w:space="720"/>
          <w:docGrid w:linePitch="360"/>
        </w:sectPr>
      </w:pPr>
    </w:p>
    <w:p w14:paraId="01F388A6"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lastRenderedPageBreak/>
        <w:t>Abstract</w:t>
      </w:r>
    </w:p>
    <w:p w14:paraId="76CE0405"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BACKGROUND</w:t>
      </w:r>
    </w:p>
    <w:p w14:paraId="587D2B1A" w14:textId="10D66109" w:rsidR="00A77B3E" w:rsidRPr="00D22450" w:rsidRDefault="004B2678" w:rsidP="00D22450">
      <w:pPr>
        <w:adjustRightInd w:val="0"/>
        <w:snapToGrid w:val="0"/>
        <w:spacing w:line="360" w:lineRule="auto"/>
        <w:jc w:val="both"/>
        <w:rPr>
          <w:rFonts w:ascii="Book Antiqua" w:hAnsi="Book Antiqua"/>
        </w:rPr>
      </w:pPr>
      <w:bookmarkStart w:id="22" w:name="OLE_LINK44"/>
      <w:bookmarkStart w:id="23" w:name="OLE_LINK45"/>
      <w:r w:rsidRPr="00D22450">
        <w:rPr>
          <w:rFonts w:ascii="Book Antiqua" w:eastAsia="Book Antiqua" w:hAnsi="Book Antiqua" w:cs="Book Antiqua"/>
          <w:color w:val="000000"/>
        </w:rPr>
        <w:t xml:space="preserve">Non-invasive assessment of non-alcoholic steatohepatitis (NASH) is increasing in desirability due to the invasive nature and costs associated with the current form of assessment; liver biopsy. Quantitative multiparametric magnetic resonance imaging (mpMRI) to measure liver fat (proton density fat fraction) and fibroinflammatory disease </w:t>
      </w:r>
      <w:r w:rsidR="00302514" w:rsidRPr="00D22450">
        <w:rPr>
          <w:rFonts w:ascii="Book Antiqua" w:eastAsia="Book Antiqua" w:hAnsi="Book Antiqua" w:cs="Book Antiqua"/>
          <w:color w:val="000000"/>
        </w:rPr>
        <w:t>[</w:t>
      </w:r>
      <w:r w:rsidRPr="00D22450">
        <w:rPr>
          <w:rFonts w:ascii="Book Antiqua" w:eastAsia="Book Antiqua" w:hAnsi="Book Antiqua" w:cs="Book Antiqua"/>
          <w:color w:val="000000"/>
        </w:rPr>
        <w:t>iron-corrected T1 (cT1)</w:t>
      </w:r>
      <w:r w:rsidR="00302514"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as well as elastography techniques </w:t>
      </w:r>
      <w:r w:rsidR="00302514" w:rsidRPr="00D22450">
        <w:rPr>
          <w:rFonts w:ascii="Book Antiqua" w:eastAsia="Book Antiqua" w:hAnsi="Book Antiqua" w:cs="Book Antiqua"/>
          <w:color w:val="000000"/>
        </w:rPr>
        <w:t>[vibration-controlled transient elastography (VCTE)</w:t>
      </w:r>
      <w:r w:rsidRPr="00D22450">
        <w:rPr>
          <w:rFonts w:ascii="Book Antiqua" w:eastAsia="Book Antiqua" w:hAnsi="Book Antiqua" w:cs="Book Antiqua"/>
          <w:color w:val="000000"/>
        </w:rPr>
        <w:t xml:space="preserve"> </w:t>
      </w:r>
      <w:r w:rsidR="00302514" w:rsidRPr="00D22450">
        <w:rPr>
          <w:rFonts w:ascii="Book Antiqua" w:eastAsia="Book Antiqua" w:hAnsi="Book Antiqua" w:cs="Book Antiqua"/>
          <w:color w:val="000000"/>
        </w:rPr>
        <w:t>liver stiffness measure]</w:t>
      </w:r>
      <w:r w:rsidRPr="00D22450">
        <w:rPr>
          <w:rFonts w:ascii="Book Antiqua" w:eastAsia="Book Antiqua" w:hAnsi="Book Antiqua" w:cs="Book Antiqua"/>
          <w:color w:val="000000"/>
        </w:rPr>
        <w:t>, magnetic resonance elastography (MRE) and 2</w:t>
      </w:r>
      <w:r w:rsidR="00E866F8" w:rsidRPr="00D22450">
        <w:rPr>
          <w:rFonts w:ascii="Book Antiqua" w:eastAsia="Book Antiqua" w:hAnsi="Book Antiqua" w:cs="Book Antiqua"/>
          <w:color w:val="000000"/>
        </w:rPr>
        <w:t>D Shear-Wave elastography (SWE)</w:t>
      </w:r>
      <w:r w:rsidRPr="00D22450">
        <w:rPr>
          <w:rFonts w:ascii="Book Antiqua" w:eastAsia="Book Antiqua" w:hAnsi="Book Antiqua" w:cs="Book Antiqua"/>
          <w:color w:val="000000"/>
        </w:rPr>
        <w:t xml:space="preserve"> to measure stiffness and fat (controlled attenuated parameter) are emerging alternatives which could be utilised as a safe surrogate</w:t>
      </w:r>
      <w:r w:rsidR="003E3947">
        <w:rPr>
          <w:rFonts w:ascii="Book Antiqua" w:eastAsia="Book Antiqua" w:hAnsi="Book Antiqua" w:cs="Book Antiqua"/>
          <w:color w:val="000000"/>
        </w:rPr>
        <w:t>s</w:t>
      </w:r>
      <w:r w:rsidRPr="00D22450">
        <w:rPr>
          <w:rFonts w:ascii="Book Antiqua" w:eastAsia="Book Antiqua" w:hAnsi="Book Antiqua" w:cs="Book Antiqua"/>
          <w:color w:val="000000"/>
        </w:rPr>
        <w:t xml:space="preserve"> to liver biopsy.</w:t>
      </w:r>
    </w:p>
    <w:bookmarkEnd w:id="22"/>
    <w:bookmarkEnd w:id="23"/>
    <w:p w14:paraId="54EB7BF4" w14:textId="77777777" w:rsidR="00A77B3E" w:rsidRPr="00D22450" w:rsidRDefault="00A77B3E" w:rsidP="00D22450">
      <w:pPr>
        <w:adjustRightInd w:val="0"/>
        <w:snapToGrid w:val="0"/>
        <w:spacing w:line="360" w:lineRule="auto"/>
        <w:jc w:val="both"/>
        <w:rPr>
          <w:rFonts w:ascii="Book Antiqua" w:hAnsi="Book Antiqua"/>
        </w:rPr>
      </w:pPr>
    </w:p>
    <w:p w14:paraId="68FF34FA"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AIM</w:t>
      </w:r>
    </w:p>
    <w:p w14:paraId="21A045E5" w14:textId="77777777" w:rsidR="00A77B3E" w:rsidRPr="00D22450" w:rsidRDefault="004B2678" w:rsidP="00D22450">
      <w:pPr>
        <w:adjustRightInd w:val="0"/>
        <w:snapToGrid w:val="0"/>
        <w:spacing w:line="360" w:lineRule="auto"/>
        <w:jc w:val="both"/>
        <w:rPr>
          <w:rFonts w:ascii="Book Antiqua" w:hAnsi="Book Antiqua"/>
        </w:rPr>
      </w:pPr>
      <w:bookmarkStart w:id="24" w:name="OLE_LINK46"/>
      <w:bookmarkStart w:id="25" w:name="OLE_LINK47"/>
      <w:r w:rsidRPr="00D22450">
        <w:rPr>
          <w:rFonts w:ascii="Book Antiqua" w:eastAsia="Book Antiqua" w:hAnsi="Book Antiqua" w:cs="Book Antiqua"/>
          <w:color w:val="000000"/>
        </w:rPr>
        <w:t>To evaluate the agreement of non-invasive imaging modalities with liver biopsy, and their subsequent diagnostic accuracy for identifying NASH patients.</w:t>
      </w:r>
    </w:p>
    <w:bookmarkEnd w:id="24"/>
    <w:bookmarkEnd w:id="25"/>
    <w:p w14:paraId="1CA62B53" w14:textId="77777777" w:rsidR="00A77B3E" w:rsidRPr="00D22450" w:rsidRDefault="00A77B3E" w:rsidP="00D22450">
      <w:pPr>
        <w:adjustRightInd w:val="0"/>
        <w:snapToGrid w:val="0"/>
        <w:spacing w:line="360" w:lineRule="auto"/>
        <w:jc w:val="both"/>
        <w:rPr>
          <w:rFonts w:ascii="Book Antiqua" w:hAnsi="Book Antiqua"/>
        </w:rPr>
      </w:pPr>
    </w:p>
    <w:p w14:paraId="2DD8CD6B"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METHODS</w:t>
      </w:r>
    </w:p>
    <w:p w14:paraId="714D5989" w14:textId="6059002E" w:rsidR="00A77B3E" w:rsidRPr="00D22450" w:rsidRDefault="004B2678" w:rsidP="00D22450">
      <w:pPr>
        <w:adjustRightInd w:val="0"/>
        <w:snapToGrid w:val="0"/>
        <w:spacing w:line="360" w:lineRule="auto"/>
        <w:jc w:val="both"/>
        <w:rPr>
          <w:rFonts w:ascii="Book Antiqua" w:hAnsi="Book Antiqua"/>
        </w:rPr>
      </w:pPr>
      <w:bookmarkStart w:id="26" w:name="OLE_LINK48"/>
      <w:bookmarkStart w:id="27" w:name="OLE_LINK49"/>
      <w:r w:rsidRPr="00D22450">
        <w:rPr>
          <w:rFonts w:ascii="Book Antiqua" w:eastAsia="Book Antiqua" w:hAnsi="Book Antiqua" w:cs="Book Antiqua"/>
          <w:color w:val="000000"/>
        </w:rPr>
        <w:t>From January 2019 to February 2020,</w:t>
      </w:r>
      <w:r w:rsidRPr="00D22450">
        <w:rPr>
          <w:rFonts w:ascii="Book Antiqua" w:eastAsia="Book Antiqua" w:hAnsi="Book Antiqua" w:cs="Book Antiqua"/>
          <w:b/>
          <w:bCs/>
          <w:color w:val="000000"/>
        </w:rPr>
        <w:t xml:space="preserve"> </w:t>
      </w:r>
      <w:r w:rsidRPr="00D22450">
        <w:rPr>
          <w:rFonts w:ascii="Book Antiqua" w:eastAsia="Book Antiqua" w:hAnsi="Book Antiqua" w:cs="Book Antiqua"/>
          <w:color w:val="000000"/>
        </w:rPr>
        <w:t>Japanese patients suspected of NASH were recruited onto a prospective, observational study and were screened using non-invasive imaging techniques; mpMRI with Liver</w:t>
      </w:r>
      <w:r w:rsidRPr="00D22450">
        <w:rPr>
          <w:rFonts w:ascii="Book Antiqua" w:eastAsia="Book Antiqua" w:hAnsi="Book Antiqua" w:cs="Book Antiqua"/>
          <w:iCs/>
          <w:color w:val="000000"/>
        </w:rPr>
        <w:t>MultiScan</w:t>
      </w:r>
      <w:r w:rsidRPr="00CF76CD">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VCTE, MRE and 2D-SWE. Patients were subsequently biopsied, and samples were scored by three independent pathologists. The diagnostic performances of the non-invasive imaging modalities were assessed using area under receiver operating characteristic (AUC) with the median of the histology scores. Concordance between all three independent pathologists was further explored using Krippendorff’s alpha (a) from weighted kappa statistics.</w:t>
      </w:r>
    </w:p>
    <w:p w14:paraId="3F70CA8A" w14:textId="77777777" w:rsidR="00A77B3E" w:rsidRPr="00D22450" w:rsidRDefault="00A77B3E" w:rsidP="00D22450">
      <w:pPr>
        <w:adjustRightInd w:val="0"/>
        <w:snapToGrid w:val="0"/>
        <w:spacing w:line="360" w:lineRule="auto"/>
        <w:jc w:val="both"/>
        <w:rPr>
          <w:rFonts w:ascii="Book Antiqua" w:hAnsi="Book Antiqua"/>
        </w:rPr>
      </w:pPr>
    </w:p>
    <w:bookmarkEnd w:id="26"/>
    <w:bookmarkEnd w:id="27"/>
    <w:p w14:paraId="6516EE04"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RESULTS</w:t>
      </w:r>
    </w:p>
    <w:p w14:paraId="3BB60025" w14:textId="2FBBB90B" w:rsidR="00A77B3E" w:rsidRPr="00D22450" w:rsidRDefault="004B2678" w:rsidP="00D22450">
      <w:pPr>
        <w:adjustRightInd w:val="0"/>
        <w:snapToGrid w:val="0"/>
        <w:spacing w:line="360" w:lineRule="auto"/>
        <w:jc w:val="both"/>
        <w:rPr>
          <w:rFonts w:ascii="Book Antiqua" w:hAnsi="Book Antiqua"/>
        </w:rPr>
      </w:pPr>
      <w:bookmarkStart w:id="28" w:name="OLE_LINK50"/>
      <w:r w:rsidRPr="00D22450">
        <w:rPr>
          <w:rFonts w:ascii="Book Antiqua" w:eastAsia="Book Antiqua" w:hAnsi="Book Antiqua" w:cs="Book Antiqua"/>
          <w:i/>
          <w:iCs/>
          <w:color w:val="000000"/>
        </w:rPr>
        <w:lastRenderedPageBreak/>
        <w:t>N</w:t>
      </w:r>
      <w:r w:rsidRPr="00D22450">
        <w:rPr>
          <w:rFonts w:ascii="Book Antiqua" w:eastAsia="Book Antiqua" w:hAnsi="Book Antiqua" w:cs="Book Antiqua"/>
          <w:color w:val="000000"/>
        </w:rPr>
        <w:t xml:space="preserve"> = 145 patients with mean age of 60 (SD:</w:t>
      </w:r>
      <w:r w:rsidR="00EE5B76"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13 y</w:t>
      </w:r>
      <w:r w:rsidR="00334FB5" w:rsidRPr="00D22450">
        <w:rPr>
          <w:rFonts w:ascii="Book Antiqua" w:eastAsia="Book Antiqua" w:hAnsi="Book Antiqua" w:cs="Book Antiqua"/>
          <w:color w:val="000000"/>
        </w:rPr>
        <w:t>ea</w:t>
      </w:r>
      <w:r w:rsidRPr="00D22450">
        <w:rPr>
          <w:rFonts w:ascii="Book Antiqua" w:eastAsia="Book Antiqua" w:hAnsi="Book Antiqua" w:cs="Book Antiqua"/>
          <w:color w:val="000000"/>
        </w:rPr>
        <w:t xml:space="preserve">rs.), 39% females, and 40% with </w:t>
      </w:r>
      <w:r w:rsidR="00FD5CAE" w:rsidRPr="00D22450">
        <w:rPr>
          <w:rFonts w:ascii="Book Antiqua" w:eastAsia="Book Antiqua" w:hAnsi="Book Antiqua" w:cs="Book Antiqua"/>
          <w:color w:val="000000"/>
        </w:rPr>
        <w:t>body mass index</w:t>
      </w:r>
      <w:r w:rsidR="00334FB5"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334FB5"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30 kg.m</w:t>
      </w:r>
      <w:r w:rsidRPr="00D22450">
        <w:rPr>
          <w:rFonts w:ascii="Book Antiqua" w:eastAsia="Book Antiqua" w:hAnsi="Book Antiqua" w:cs="Book Antiqua"/>
          <w:color w:val="000000"/>
          <w:vertAlign w:val="superscript"/>
        </w:rPr>
        <w:t>-2</w:t>
      </w:r>
      <w:r w:rsidRPr="00D22450">
        <w:rPr>
          <w:rFonts w:ascii="Book Antiqua" w:eastAsia="Book Antiqua" w:hAnsi="Book Antiqua" w:cs="Book Antiqua"/>
          <w:color w:val="000000"/>
        </w:rPr>
        <w:t xml:space="preserve"> were included in the analysis. For identifying patients with NASH, MR liver fat and cT1 were the strongest performing individual measures (AUC:</w:t>
      </w:r>
      <w:r w:rsidR="00CD70F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0.80 and 0.74 respectively), and the combined mpMRI metrics (cT1 and MR liver fat) were the overall best non-invasive (AUC:</w:t>
      </w:r>
      <w:r w:rsidR="00CD70F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0.83). For identifying fibrosis ≥</w:t>
      </w:r>
      <w:r w:rsidR="00334FB5"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1, MRE performed best (AUC:</w:t>
      </w:r>
      <w:r w:rsidR="00CD70F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0.97), compared to VCTE-</w:t>
      </w:r>
      <w:r w:rsidR="008266D7" w:rsidRPr="008266D7">
        <w:rPr>
          <w:rFonts w:ascii="Book Antiqua" w:eastAsia="Book Antiqua" w:hAnsi="Book Antiqua" w:cs="Book Antiqua"/>
          <w:color w:val="000000"/>
        </w:rPr>
        <w:t>liver stiffness measure</w:t>
      </w:r>
      <w:r w:rsidRPr="00D22450">
        <w:rPr>
          <w:rFonts w:ascii="Book Antiqua" w:eastAsia="Book Antiqua" w:hAnsi="Book Antiqua" w:cs="Book Antiqua"/>
          <w:color w:val="000000"/>
        </w:rPr>
        <w:t xml:space="preserve"> (AUC:</w:t>
      </w:r>
      <w:r w:rsidR="00CD70F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0.94) and 2D-SWE (AUC:</w:t>
      </w:r>
      <w:r w:rsidR="00CD70F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0.94). For assessment of steatosis ≥</w:t>
      </w:r>
      <w:r w:rsidR="00334FB5"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1, MR liver fat was the best performing non-invasive (AUC: 0.92), compared to </w:t>
      </w:r>
      <w:r w:rsidR="00302514" w:rsidRPr="00D22450">
        <w:rPr>
          <w:rFonts w:ascii="Book Antiqua" w:eastAsia="Book Antiqua" w:hAnsi="Book Antiqua" w:cs="Book Antiqua"/>
          <w:color w:val="000000"/>
        </w:rPr>
        <w:t>controlled attenuated parameter</w:t>
      </w:r>
      <w:r w:rsidRPr="00D22450">
        <w:rPr>
          <w:rFonts w:ascii="Book Antiqua" w:eastAsia="Book Antiqua" w:hAnsi="Book Antiqua" w:cs="Book Antiqua"/>
          <w:color w:val="000000"/>
        </w:rPr>
        <w:t xml:space="preserve"> (AUC:</w:t>
      </w:r>
      <w:r w:rsidR="00CD70F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0.75). Assessment of the agreement between pathologists showed that concordance was best for steatosis (a</w:t>
      </w:r>
      <w:r w:rsidR="00334FB5"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334FB5"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0.58), moderate for ballooning (a</w:t>
      </w:r>
      <w:r w:rsidR="00334FB5"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334FB5"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0.40) and fibrosis (a</w:t>
      </w:r>
      <w:r w:rsidR="00334FB5"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334FB5"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0.40), and worst for lobular inflammation (a</w:t>
      </w:r>
      <w:r w:rsidR="00334FB5"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334FB5"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0.12). </w:t>
      </w:r>
    </w:p>
    <w:bookmarkEnd w:id="28"/>
    <w:p w14:paraId="50306C79" w14:textId="77777777" w:rsidR="00A77B3E" w:rsidRPr="00D22450" w:rsidRDefault="00A77B3E" w:rsidP="00D22450">
      <w:pPr>
        <w:adjustRightInd w:val="0"/>
        <w:snapToGrid w:val="0"/>
        <w:spacing w:line="360" w:lineRule="auto"/>
        <w:jc w:val="both"/>
        <w:rPr>
          <w:rFonts w:ascii="Book Antiqua" w:hAnsi="Book Antiqua"/>
        </w:rPr>
      </w:pPr>
    </w:p>
    <w:p w14:paraId="6CBE4069"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CONCLUSION</w:t>
      </w:r>
    </w:p>
    <w:p w14:paraId="59B9EFE8" w14:textId="5168CE49" w:rsidR="00A77B3E" w:rsidRPr="00D22450" w:rsidRDefault="004B2678" w:rsidP="00D22450">
      <w:pPr>
        <w:adjustRightInd w:val="0"/>
        <w:snapToGrid w:val="0"/>
        <w:spacing w:line="360" w:lineRule="auto"/>
        <w:jc w:val="both"/>
        <w:rPr>
          <w:rFonts w:ascii="Book Antiqua" w:hAnsi="Book Antiqua"/>
        </w:rPr>
      </w:pPr>
      <w:bookmarkStart w:id="29" w:name="OLE_LINK9"/>
      <w:bookmarkStart w:id="30" w:name="OLE_LINK10"/>
      <w:bookmarkStart w:id="31" w:name="OLE_LINK51"/>
      <w:r w:rsidRPr="00D22450">
        <w:rPr>
          <w:rFonts w:ascii="Book Antiqua" w:eastAsia="Book Antiqua" w:hAnsi="Book Antiqua" w:cs="Book Antiqua"/>
          <w:color w:val="000000"/>
        </w:rPr>
        <w:t xml:space="preserve">Quantitative mpMRI is an effective alternative to liver biopsy for diagnosing NASH and </w:t>
      </w:r>
      <w:r w:rsidR="003000C3" w:rsidRPr="00D22450">
        <w:rPr>
          <w:rFonts w:ascii="Book Antiqua" w:eastAsia="Book Antiqua" w:hAnsi="Book Antiqua" w:cs="Book Antiqua"/>
          <w:color w:val="000000"/>
        </w:rPr>
        <w:t>non-alcoholic fatty liver</w:t>
      </w:r>
      <w:r w:rsidRPr="00D22450">
        <w:rPr>
          <w:rFonts w:ascii="Book Antiqua" w:eastAsia="Book Antiqua" w:hAnsi="Book Antiqua" w:cs="Book Antiqua"/>
          <w:color w:val="000000"/>
        </w:rPr>
        <w:t>, and thus may offer clinical utility in patient management.</w:t>
      </w:r>
    </w:p>
    <w:bookmarkEnd w:id="29"/>
    <w:bookmarkEnd w:id="30"/>
    <w:bookmarkEnd w:id="31"/>
    <w:p w14:paraId="4D35898C" w14:textId="77777777" w:rsidR="00A77B3E" w:rsidRPr="00D22450" w:rsidRDefault="00A77B3E" w:rsidP="00D22450">
      <w:pPr>
        <w:adjustRightInd w:val="0"/>
        <w:snapToGrid w:val="0"/>
        <w:spacing w:line="360" w:lineRule="auto"/>
        <w:jc w:val="both"/>
        <w:rPr>
          <w:rFonts w:ascii="Book Antiqua" w:hAnsi="Book Antiqua"/>
        </w:rPr>
      </w:pPr>
    </w:p>
    <w:p w14:paraId="19EA99C7" w14:textId="2C514485"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t xml:space="preserve">Key Words: </w:t>
      </w:r>
      <w:bookmarkStart w:id="32" w:name="OLE_LINK41"/>
      <w:bookmarkStart w:id="33" w:name="OLE_LINK42"/>
      <w:r w:rsidRPr="00D22450">
        <w:rPr>
          <w:rFonts w:ascii="Book Antiqua" w:eastAsia="Book Antiqua" w:hAnsi="Book Antiqua" w:cs="Book Antiqua"/>
          <w:color w:val="000000"/>
        </w:rPr>
        <w:t xml:space="preserve">Corrected T1; Fibro-inflammation; Non-invasive imaging; </w:t>
      </w:r>
      <w:r w:rsidR="00334FB5" w:rsidRPr="00D22450">
        <w:rPr>
          <w:rFonts w:ascii="Book Antiqua" w:eastAsia="Book Antiqua" w:hAnsi="Book Antiqua" w:cs="Book Antiqua"/>
          <w:color w:val="000000"/>
        </w:rPr>
        <w:t>Non-alcoholic steatohepatitis</w:t>
      </w:r>
      <w:r w:rsidRPr="00D22450">
        <w:rPr>
          <w:rFonts w:ascii="Book Antiqua" w:eastAsia="Book Antiqua" w:hAnsi="Book Antiqua" w:cs="Book Antiqua"/>
          <w:color w:val="000000"/>
        </w:rPr>
        <w:t xml:space="preserve">; Multiparametric </w:t>
      </w:r>
      <w:r w:rsidR="00334FB5" w:rsidRPr="00D22450">
        <w:rPr>
          <w:rFonts w:ascii="Book Antiqua" w:eastAsia="Book Antiqua" w:hAnsi="Book Antiqua" w:cs="Book Antiqua"/>
          <w:color w:val="000000"/>
        </w:rPr>
        <w:t>magnetic resonance imaging</w:t>
      </w:r>
      <w:r w:rsidRPr="00D22450">
        <w:rPr>
          <w:rFonts w:ascii="Book Antiqua" w:eastAsia="Book Antiqua" w:hAnsi="Book Antiqua" w:cs="Book Antiqua"/>
          <w:color w:val="000000"/>
        </w:rPr>
        <w:t xml:space="preserve">; </w:t>
      </w:r>
      <w:r w:rsidR="00334FB5" w:rsidRPr="00D22450">
        <w:rPr>
          <w:rFonts w:ascii="Book Antiqua" w:eastAsia="Book Antiqua" w:hAnsi="Book Antiqua" w:cs="Book Antiqua"/>
          <w:color w:val="000000"/>
        </w:rPr>
        <w:t>Non-alcoholic fatty liver disease</w:t>
      </w:r>
    </w:p>
    <w:bookmarkEnd w:id="32"/>
    <w:bookmarkEnd w:id="33"/>
    <w:p w14:paraId="581A1992" w14:textId="77777777" w:rsidR="00A77B3E" w:rsidRPr="00D22450" w:rsidRDefault="00A77B3E" w:rsidP="00D22450">
      <w:pPr>
        <w:adjustRightInd w:val="0"/>
        <w:snapToGrid w:val="0"/>
        <w:spacing w:line="360" w:lineRule="auto"/>
        <w:jc w:val="both"/>
        <w:rPr>
          <w:rFonts w:ascii="Book Antiqua" w:hAnsi="Book Antiqua"/>
        </w:rPr>
      </w:pPr>
    </w:p>
    <w:p w14:paraId="7C53CB4E" w14:textId="18C89209" w:rsidR="00A77B3E" w:rsidRPr="00D22450" w:rsidRDefault="00882C59" w:rsidP="00D22450">
      <w:pPr>
        <w:adjustRightInd w:val="0"/>
        <w:snapToGrid w:val="0"/>
        <w:spacing w:line="360" w:lineRule="auto"/>
        <w:jc w:val="both"/>
        <w:rPr>
          <w:rFonts w:ascii="Book Antiqua" w:hAnsi="Book Antiqua"/>
        </w:rPr>
      </w:pPr>
      <w:bookmarkStart w:id="34" w:name="OLE_LINK22"/>
      <w:bookmarkStart w:id="35" w:name="OLE_LINK23"/>
      <w:r>
        <w:rPr>
          <w:rFonts w:ascii="Book Antiqua" w:eastAsia="Book Antiqua" w:hAnsi="Book Antiqua" w:cs="Book Antiqua"/>
          <w:color w:val="000000"/>
        </w:rPr>
        <w:t>Imajo K, Tetlow L, Dennis A</w:t>
      </w:r>
      <w:r w:rsidR="004B2678" w:rsidRPr="00D22450">
        <w:rPr>
          <w:rFonts w:ascii="Book Antiqua" w:eastAsia="Book Antiqua" w:hAnsi="Book Antiqua" w:cs="Book Antiqua"/>
          <w:color w:val="000000"/>
        </w:rPr>
        <w:t xml:space="preserve">, Shumbayawonda E, Mouchti S, Kendall TJ, Fryer E, Yamanaka S, Honda Y, Kessoku T, Ogawa Y, Yoneda M, Saito S, Kelly C, Kelly MD, Banerjee R, Nakajima A. Quantitative multiparametric </w:t>
      </w:r>
      <w:r w:rsidR="00334FB5" w:rsidRPr="00D22450">
        <w:rPr>
          <w:rFonts w:ascii="Book Antiqua" w:eastAsia="Book Antiqua" w:hAnsi="Book Antiqua" w:cs="Book Antiqua"/>
          <w:color w:val="000000"/>
        </w:rPr>
        <w:t>magnetic resonance imaging</w:t>
      </w:r>
      <w:r w:rsidR="004B2678" w:rsidRPr="00D22450">
        <w:rPr>
          <w:rFonts w:ascii="Book Antiqua" w:eastAsia="Book Antiqua" w:hAnsi="Book Antiqua" w:cs="Book Antiqua"/>
          <w:color w:val="000000"/>
        </w:rPr>
        <w:t xml:space="preserve"> can aid </w:t>
      </w:r>
      <w:r w:rsidR="00334FB5" w:rsidRPr="00D22450">
        <w:rPr>
          <w:rFonts w:ascii="Book Antiqua" w:eastAsia="Book Antiqua" w:hAnsi="Book Antiqua" w:cs="Book Antiqua"/>
          <w:color w:val="000000"/>
        </w:rPr>
        <w:t>non-alcoholic steatohepatitis</w:t>
      </w:r>
      <w:r w:rsidR="004B2678" w:rsidRPr="00D22450">
        <w:rPr>
          <w:rFonts w:ascii="Book Antiqua" w:eastAsia="Book Antiqua" w:hAnsi="Book Antiqua" w:cs="Book Antiqua"/>
          <w:color w:val="000000"/>
        </w:rPr>
        <w:t xml:space="preserve"> diagnosis in a Japanese cohort. </w:t>
      </w:r>
      <w:r w:rsidR="004B2678" w:rsidRPr="00D22450">
        <w:rPr>
          <w:rFonts w:ascii="Book Antiqua" w:eastAsia="Book Antiqua" w:hAnsi="Book Antiqua" w:cs="Book Antiqua"/>
          <w:i/>
          <w:iCs/>
          <w:color w:val="000000"/>
        </w:rPr>
        <w:t>World J Gastroenterol</w:t>
      </w:r>
      <w:r w:rsidR="004B2678" w:rsidRPr="00D22450">
        <w:rPr>
          <w:rFonts w:ascii="Book Antiqua" w:eastAsia="Book Antiqua" w:hAnsi="Book Antiqua" w:cs="Book Antiqua"/>
          <w:color w:val="000000"/>
        </w:rPr>
        <w:t xml:space="preserve"> 202</w:t>
      </w:r>
      <w:r w:rsidR="003F2606">
        <w:rPr>
          <w:rFonts w:ascii="Book Antiqua" w:hAnsi="Book Antiqua" w:cs="Book Antiqua" w:hint="eastAsia"/>
          <w:color w:val="000000"/>
          <w:lang w:eastAsia="zh-CN"/>
        </w:rPr>
        <w:t>1</w:t>
      </w:r>
      <w:r w:rsidR="004B2678" w:rsidRPr="00D22450">
        <w:rPr>
          <w:rFonts w:ascii="Book Antiqua" w:eastAsia="Book Antiqua" w:hAnsi="Book Antiqua" w:cs="Book Antiqua"/>
          <w:color w:val="000000"/>
        </w:rPr>
        <w:t xml:space="preserve">; </w:t>
      </w:r>
      <w:r w:rsidR="00B15901">
        <w:rPr>
          <w:rFonts w:ascii="Book Antiqua" w:hAnsi="Book Antiqua" w:cs="Book Antiqua" w:hint="eastAsia"/>
          <w:color w:val="000000"/>
          <w:lang w:eastAsia="zh-CN"/>
        </w:rPr>
        <w:t>27</w:t>
      </w:r>
      <w:r w:rsidR="003F2606" w:rsidRPr="003F2606">
        <w:rPr>
          <w:rFonts w:ascii="Book Antiqua" w:eastAsia="Book Antiqua" w:hAnsi="Book Antiqua" w:cs="Book Antiqua"/>
          <w:color w:val="000000"/>
        </w:rPr>
        <w:t>(3): 0000-0000 URL: https://www.wjgnet.com/1007-9327/full/v2</w:t>
      </w:r>
      <w:r w:rsidR="00B15901">
        <w:rPr>
          <w:rFonts w:ascii="Book Antiqua" w:hAnsi="Book Antiqua" w:cs="Book Antiqua" w:hint="eastAsia"/>
          <w:color w:val="000000"/>
          <w:lang w:eastAsia="zh-CN"/>
        </w:rPr>
        <w:t>7</w:t>
      </w:r>
      <w:r w:rsidR="003F2606" w:rsidRPr="003F2606">
        <w:rPr>
          <w:rFonts w:ascii="Book Antiqua" w:eastAsia="Book Antiqua" w:hAnsi="Book Antiqua" w:cs="Book Antiqua"/>
          <w:color w:val="000000"/>
        </w:rPr>
        <w:t>/i3/0000.htm DOI: https://dx.doi.org/10.3748/wjg.v2</w:t>
      </w:r>
      <w:r w:rsidR="00B15901">
        <w:rPr>
          <w:rFonts w:ascii="Book Antiqua" w:hAnsi="Book Antiqua" w:cs="Book Antiqua" w:hint="eastAsia"/>
          <w:color w:val="000000"/>
          <w:lang w:eastAsia="zh-CN"/>
        </w:rPr>
        <w:t>7</w:t>
      </w:r>
      <w:r w:rsidR="003F2606" w:rsidRPr="003F2606">
        <w:rPr>
          <w:rFonts w:ascii="Book Antiqua" w:eastAsia="Book Antiqua" w:hAnsi="Book Antiqua" w:cs="Book Antiqua"/>
          <w:color w:val="000000"/>
        </w:rPr>
        <w:t>.i3.0000</w:t>
      </w:r>
    </w:p>
    <w:p w14:paraId="35AB644D" w14:textId="77777777" w:rsidR="00A77B3E" w:rsidRPr="00D22450" w:rsidRDefault="00A77B3E" w:rsidP="00D22450">
      <w:pPr>
        <w:adjustRightInd w:val="0"/>
        <w:snapToGrid w:val="0"/>
        <w:spacing w:line="360" w:lineRule="auto"/>
        <w:jc w:val="both"/>
        <w:rPr>
          <w:rFonts w:ascii="Book Antiqua" w:hAnsi="Book Antiqua"/>
        </w:rPr>
      </w:pPr>
    </w:p>
    <w:bookmarkEnd w:id="34"/>
    <w:bookmarkEnd w:id="35"/>
    <w:p w14:paraId="0B33A648" w14:textId="55EF4F54" w:rsidR="00A77B3E" w:rsidRPr="00403662" w:rsidRDefault="004B2678" w:rsidP="00D22450">
      <w:pPr>
        <w:adjustRightInd w:val="0"/>
        <w:snapToGrid w:val="0"/>
        <w:spacing w:line="360" w:lineRule="auto"/>
        <w:jc w:val="both"/>
        <w:rPr>
          <w:rFonts w:ascii="Book Antiqua" w:eastAsia="Book Antiqua" w:hAnsi="Book Antiqua" w:cs="Book Antiqua"/>
          <w:color w:val="000000"/>
        </w:rPr>
      </w:pPr>
      <w:r w:rsidRPr="00D22450">
        <w:rPr>
          <w:rFonts w:ascii="Book Antiqua" w:eastAsia="Book Antiqua" w:hAnsi="Book Antiqua" w:cs="Book Antiqua"/>
          <w:b/>
          <w:bCs/>
          <w:color w:val="000000"/>
        </w:rPr>
        <w:lastRenderedPageBreak/>
        <w:t>Core</w:t>
      </w:r>
      <w:r w:rsidR="00334FB5" w:rsidRPr="00D22450">
        <w:rPr>
          <w:rFonts w:ascii="Book Antiqua" w:eastAsia="Book Antiqua" w:hAnsi="Book Antiqua" w:cs="Book Antiqua"/>
          <w:b/>
          <w:bCs/>
          <w:color w:val="000000"/>
        </w:rPr>
        <w:t xml:space="preserve"> </w:t>
      </w:r>
      <w:r w:rsidRPr="00D22450">
        <w:rPr>
          <w:rFonts w:ascii="Book Antiqua" w:eastAsia="Book Antiqua" w:hAnsi="Book Antiqua" w:cs="Book Antiqua"/>
          <w:b/>
          <w:bCs/>
          <w:color w:val="000000"/>
        </w:rPr>
        <w:t>Tip</w:t>
      </w:r>
      <w:bookmarkStart w:id="36" w:name="OLE_LINK7"/>
      <w:bookmarkStart w:id="37" w:name="OLE_LINK8"/>
      <w:r w:rsidR="00403662">
        <w:rPr>
          <w:rFonts w:ascii="Book Antiqua" w:eastAsia="Book Antiqua" w:hAnsi="Book Antiqua" w:cs="Book Antiqua"/>
          <w:b/>
          <w:bCs/>
          <w:color w:val="000000"/>
        </w:rPr>
        <w:t xml:space="preserve">: </w:t>
      </w:r>
      <w:bookmarkStart w:id="38" w:name="OLE_LINK20"/>
      <w:bookmarkStart w:id="39" w:name="OLE_LINK21"/>
      <w:bookmarkStart w:id="40" w:name="OLE_LINK43"/>
      <w:r w:rsidRPr="00D22450">
        <w:rPr>
          <w:rFonts w:ascii="Book Antiqua" w:eastAsia="Book Antiqua" w:hAnsi="Book Antiqua" w:cs="Book Antiqua"/>
          <w:color w:val="000000"/>
        </w:rPr>
        <w:t>There is growing interest in the utility of non</w:t>
      </w:r>
      <w:r w:rsidR="00EE70EE" w:rsidRPr="00D22450">
        <w:rPr>
          <w:rFonts w:ascii="Book Antiqua" w:eastAsia="Book Antiqua" w:hAnsi="Book Antiqua" w:cs="Book Antiqua"/>
          <w:color w:val="000000"/>
        </w:rPr>
        <w:t>-</w:t>
      </w:r>
      <w:r w:rsidRPr="00D22450">
        <w:rPr>
          <w:rFonts w:ascii="Book Antiqua" w:eastAsia="Book Antiqua" w:hAnsi="Book Antiqua" w:cs="Book Antiqua"/>
          <w:color w:val="000000"/>
        </w:rPr>
        <w:t>invasive</w:t>
      </w:r>
      <w:r w:rsidR="00EE70EE"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tests</w:t>
      </w:r>
      <w:r w:rsidR="00EE108D">
        <w:rPr>
          <w:rFonts w:ascii="Book Antiqua" w:eastAsia="Book Antiqua" w:hAnsi="Book Antiqua" w:cs="Book Antiqua"/>
          <w:color w:val="000000"/>
        </w:rPr>
        <w:t xml:space="preserve"> </w:t>
      </w:r>
      <w:r w:rsidRPr="00D22450">
        <w:rPr>
          <w:rFonts w:ascii="Book Antiqua" w:eastAsia="Book Antiqua" w:hAnsi="Book Antiqua" w:cs="Book Antiqua"/>
          <w:color w:val="000000"/>
        </w:rPr>
        <w:t>in</w:t>
      </w:r>
      <w:r w:rsidR="00EE108D">
        <w:rPr>
          <w:rFonts w:ascii="Book Antiqua" w:eastAsia="Book Antiqua" w:hAnsi="Book Antiqua" w:cs="Book Antiqua"/>
          <w:color w:val="000000"/>
        </w:rPr>
        <w:t xml:space="preserve"> </w:t>
      </w:r>
      <w:r w:rsidRPr="00D22450">
        <w:rPr>
          <w:rFonts w:ascii="Book Antiqua" w:eastAsia="Book Antiqua" w:hAnsi="Book Antiqua" w:cs="Book Antiqua"/>
          <w:color w:val="000000"/>
        </w:rPr>
        <w:t>the</w:t>
      </w:r>
      <w:r w:rsidR="00EE108D">
        <w:rPr>
          <w:rFonts w:ascii="Book Antiqua" w:eastAsia="Book Antiqua" w:hAnsi="Book Antiqua" w:cs="Book Antiqua"/>
          <w:color w:val="000000"/>
        </w:rPr>
        <w:t xml:space="preserve"> </w:t>
      </w:r>
      <w:r w:rsidRPr="00D22450">
        <w:rPr>
          <w:rFonts w:ascii="Book Antiqua" w:eastAsia="Book Antiqua" w:hAnsi="Book Antiqua" w:cs="Book Antiqua"/>
          <w:color w:val="000000"/>
        </w:rPr>
        <w:t>management</w:t>
      </w:r>
      <w:r w:rsidR="00EE108D">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of non-alcoholic steatohepatitis </w:t>
      </w:r>
      <w:r w:rsidR="00334FB5" w:rsidRPr="00D22450">
        <w:rPr>
          <w:rFonts w:ascii="Book Antiqua" w:eastAsia="Book Antiqua" w:hAnsi="Book Antiqua" w:cs="Book Antiqua"/>
          <w:color w:val="000000"/>
        </w:rPr>
        <w:t>(</w:t>
      </w:r>
      <w:r w:rsidRPr="00D22450">
        <w:rPr>
          <w:rFonts w:ascii="Book Antiqua" w:eastAsia="Book Antiqua" w:hAnsi="Book Antiqua" w:cs="Book Antiqua"/>
          <w:color w:val="000000"/>
        </w:rPr>
        <w:t>NASH</w:t>
      </w:r>
      <w:r w:rsidR="00334FB5" w:rsidRPr="00D22450">
        <w:rPr>
          <w:rFonts w:ascii="Book Antiqua" w:eastAsia="Book Antiqua" w:hAnsi="Book Antiqua" w:cs="Book Antiqua"/>
          <w:color w:val="000000"/>
        </w:rPr>
        <w:t>)</w:t>
      </w:r>
      <w:r w:rsidRPr="00D22450">
        <w:rPr>
          <w:rFonts w:ascii="Book Antiqua" w:eastAsia="Book Antiqua" w:hAnsi="Book Antiqua" w:cs="Book Antiqua"/>
          <w:color w:val="000000"/>
        </w:rPr>
        <w:t>.</w:t>
      </w:r>
      <w:r w:rsidR="003018D4">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We explored how </w:t>
      </w:r>
      <w:r w:rsidR="00334FB5" w:rsidRPr="00D22450">
        <w:rPr>
          <w:rFonts w:ascii="Book Antiqua" w:eastAsia="Book Antiqua" w:hAnsi="Book Antiqua" w:cs="Book Antiqua"/>
          <w:color w:val="000000"/>
        </w:rPr>
        <w:t>magnetic resonance imaging</w:t>
      </w:r>
      <w:r w:rsidRPr="00D22450">
        <w:rPr>
          <w:rFonts w:ascii="Book Antiqua" w:eastAsia="Book Antiqua" w:hAnsi="Book Antiqua" w:cs="Book Antiqua"/>
          <w:color w:val="000000"/>
        </w:rPr>
        <w:t xml:space="preserve"> technology can stratify patients with simple fatty liver disease from those with NASH. Our results showed that </w:t>
      </w:r>
      <w:r w:rsidR="00EE70EE" w:rsidRPr="00D22450">
        <w:rPr>
          <w:rFonts w:ascii="Book Antiqua" w:eastAsia="Book Antiqua" w:hAnsi="Book Antiqua" w:cs="Book Antiqua"/>
          <w:color w:val="000000"/>
        </w:rPr>
        <w:t>q</w:t>
      </w:r>
      <w:r w:rsidRPr="00D22450">
        <w:rPr>
          <w:rFonts w:ascii="Book Antiqua" w:eastAsia="Book Antiqua" w:hAnsi="Book Antiqua" w:cs="Book Antiqua"/>
          <w:color w:val="000000"/>
        </w:rPr>
        <w:t xml:space="preserve">uantitative </w:t>
      </w:r>
      <w:r w:rsidR="00334FB5" w:rsidRPr="00D22450">
        <w:rPr>
          <w:rFonts w:ascii="Book Antiqua" w:eastAsia="Book Antiqua" w:hAnsi="Book Antiqua" w:cs="Book Antiqua"/>
          <w:color w:val="000000"/>
        </w:rPr>
        <w:t>magnetic resonance imaging</w:t>
      </w:r>
      <w:r w:rsidRPr="00D22450">
        <w:rPr>
          <w:rFonts w:ascii="Book Antiqua" w:eastAsia="Book Antiqua" w:hAnsi="Book Antiqua" w:cs="Book Antiqua"/>
          <w:color w:val="000000"/>
        </w:rPr>
        <w:t xml:space="preserve"> derived metrics showed the strong</w:t>
      </w:r>
      <w:r w:rsidR="006B6353">
        <w:rPr>
          <w:rFonts w:ascii="Book Antiqua" w:eastAsia="Book Antiqua" w:hAnsi="Book Antiqua" w:cs="Book Antiqua"/>
          <w:color w:val="000000"/>
        </w:rPr>
        <w:t>est</w:t>
      </w:r>
      <w:r w:rsidRPr="00D22450">
        <w:rPr>
          <w:rFonts w:ascii="Book Antiqua" w:eastAsia="Book Antiqua" w:hAnsi="Book Antiqua" w:cs="Book Antiqua"/>
          <w:color w:val="000000"/>
        </w:rPr>
        <w:t xml:space="preserve"> correlations to the histological pathological components of NASH with very few technical failures. We also observed very high levels of inter-reader disagreement in histopathological biopsy reads, highlighting the pressing need for alternative diagnostic tests for NASH. Our work therefore supports the use </w:t>
      </w:r>
      <w:r w:rsidR="0009756A">
        <w:rPr>
          <w:rFonts w:ascii="Book Antiqua" w:eastAsia="Book Antiqua" w:hAnsi="Book Antiqua" w:cs="Book Antiqua"/>
          <w:color w:val="000000"/>
        </w:rPr>
        <w:t xml:space="preserve">of </w:t>
      </w:r>
      <w:r w:rsidRPr="00D22450">
        <w:rPr>
          <w:rFonts w:ascii="Book Antiqua" w:eastAsia="Book Antiqua" w:hAnsi="Book Antiqua" w:cs="Book Antiqua"/>
          <w:color w:val="000000"/>
        </w:rPr>
        <w:t>this non-invasive technology in day-to-day practice.</w:t>
      </w:r>
    </w:p>
    <w:bookmarkEnd w:id="36"/>
    <w:bookmarkEnd w:id="37"/>
    <w:bookmarkEnd w:id="38"/>
    <w:bookmarkEnd w:id="39"/>
    <w:bookmarkEnd w:id="40"/>
    <w:p w14:paraId="37F7A4C6" w14:textId="42523C60" w:rsidR="00A77B3E" w:rsidRPr="00D22450" w:rsidRDefault="00EE70EE" w:rsidP="00D22450">
      <w:pPr>
        <w:adjustRightInd w:val="0"/>
        <w:snapToGrid w:val="0"/>
        <w:spacing w:line="360" w:lineRule="auto"/>
        <w:jc w:val="both"/>
        <w:rPr>
          <w:rFonts w:ascii="Book Antiqua" w:hAnsi="Book Antiqua"/>
        </w:rPr>
      </w:pPr>
      <w:r w:rsidRPr="00D22450">
        <w:rPr>
          <w:rFonts w:ascii="Book Antiqua" w:hAnsi="Book Antiqua"/>
        </w:rPr>
        <w:br w:type="page"/>
      </w:r>
      <w:r w:rsidR="004B2678" w:rsidRPr="00D22450">
        <w:rPr>
          <w:rFonts w:ascii="Book Antiqua" w:eastAsia="Book Antiqua" w:hAnsi="Book Antiqua" w:cs="Book Antiqua"/>
          <w:b/>
          <w:caps/>
          <w:color w:val="000000"/>
          <w:u w:val="single"/>
        </w:rPr>
        <w:lastRenderedPageBreak/>
        <w:t>INTRODUCTION</w:t>
      </w:r>
    </w:p>
    <w:p w14:paraId="32790337" w14:textId="34ADCAAC" w:rsidR="00A77B3E" w:rsidRPr="00D22450" w:rsidRDefault="004B2678" w:rsidP="00D22450">
      <w:pPr>
        <w:adjustRightInd w:val="0"/>
        <w:snapToGrid w:val="0"/>
        <w:spacing w:line="360" w:lineRule="auto"/>
        <w:jc w:val="both"/>
        <w:rPr>
          <w:rFonts w:ascii="Book Antiqua" w:hAnsi="Book Antiqua"/>
        </w:rPr>
      </w:pPr>
      <w:bookmarkStart w:id="41" w:name="OLE_LINK3"/>
      <w:bookmarkStart w:id="42" w:name="OLE_LINK4"/>
      <w:bookmarkStart w:id="43" w:name="OLE_LINK52"/>
      <w:bookmarkStart w:id="44" w:name="OLE_LINK53"/>
      <w:r w:rsidRPr="00D22450">
        <w:rPr>
          <w:rFonts w:ascii="Book Antiqua" w:eastAsia="Book Antiqua" w:hAnsi="Book Antiqua" w:cs="Book Antiqua"/>
          <w:color w:val="000000"/>
        </w:rPr>
        <w:t>Non-alcoholic fatty liver</w:t>
      </w:r>
      <w:bookmarkEnd w:id="41"/>
      <w:bookmarkEnd w:id="42"/>
      <w:r w:rsidRPr="00D22450">
        <w:rPr>
          <w:rFonts w:ascii="Book Antiqua" w:eastAsia="Book Antiqua" w:hAnsi="Book Antiqua" w:cs="Book Antiqua"/>
          <w:color w:val="000000"/>
        </w:rPr>
        <w:t xml:space="preserve"> disease (NAFLD) is the most common cause of chronic liver disease, affecting approximately 25% of the general population worldwide</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1</w:t>
      </w:r>
      <w:r w:rsidR="00EE70EE" w:rsidRPr="00D22450">
        <w:rPr>
          <w:rFonts w:ascii="Book Antiqua" w:eastAsia="Book Antiqua" w:hAnsi="Book Antiqua" w:cs="Book Antiqua"/>
          <w:color w:val="000000"/>
          <w:vertAlign w:val="superscript"/>
        </w:rPr>
        <w:t>]</w:t>
      </w:r>
      <w:r w:rsidR="00357026">
        <w:rPr>
          <w:rFonts w:ascii="Book Antiqua" w:eastAsia="Book Antiqua" w:hAnsi="Book Antiqua" w:cs="Book Antiqua"/>
          <w:color w:val="000000"/>
        </w:rPr>
        <w:t xml:space="preserve"> </w:t>
      </w:r>
      <w:r w:rsidRPr="00D22450">
        <w:rPr>
          <w:rFonts w:ascii="Book Antiqua" w:eastAsia="Book Antiqua" w:hAnsi="Book Antiqua" w:cs="Book Antiqua"/>
          <w:color w:val="000000"/>
        </w:rPr>
        <w:t>and up to 30% of the general population in Japan</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2</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Additionally, up to 19% of individuals in south east Asia with body mass index (BMI) ≤</w:t>
      </w:r>
      <w:r w:rsidR="00EE70EE"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25 kg/m</w:t>
      </w:r>
      <w:r w:rsidRPr="00D22450">
        <w:rPr>
          <w:rFonts w:ascii="Book Antiqua" w:eastAsia="Book Antiqua" w:hAnsi="Book Antiqua" w:cs="Book Antiqua"/>
          <w:color w:val="000000"/>
          <w:vertAlign w:val="superscript"/>
        </w:rPr>
        <w:t>2</w:t>
      </w:r>
      <w:r w:rsidRPr="00D22450">
        <w:rPr>
          <w:rFonts w:ascii="Book Antiqua" w:eastAsia="Book Antiqua" w:hAnsi="Book Antiqua" w:cs="Book Antiqua"/>
          <w:color w:val="000000"/>
        </w:rPr>
        <w:t> have “lean” or “non-obese” NAFLD</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3,4</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The scope of disease aetiologies within NAFLD differ in both clinical significance and prognosis</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1,5–7</w:t>
      </w:r>
      <w:r w:rsidR="00EE70EE" w:rsidRPr="00D22450">
        <w:rPr>
          <w:rFonts w:ascii="Book Antiqua" w:eastAsia="Book Antiqua" w:hAnsi="Book Antiqua" w:cs="Book Antiqua"/>
          <w:color w:val="000000"/>
          <w:vertAlign w:val="superscript"/>
        </w:rPr>
        <w:t>]</w:t>
      </w:r>
      <w:r w:rsidR="00CD70F3" w:rsidRPr="00D22450">
        <w:rPr>
          <w:rFonts w:ascii="Book Antiqua" w:eastAsia="Book Antiqua" w:hAnsi="Book Antiqua" w:cs="Book Antiqua"/>
          <w:color w:val="000000"/>
          <w:vertAlign w:val="superscript"/>
        </w:rPr>
        <w:t xml:space="preserve"> </w:t>
      </w:r>
      <w:r w:rsidRPr="00D22450">
        <w:rPr>
          <w:rFonts w:ascii="Book Antiqua" w:eastAsia="Book Antiqua" w:hAnsi="Book Antiqua" w:cs="Book Antiqua"/>
          <w:color w:val="000000"/>
        </w:rPr>
        <w:t xml:space="preserve">on a continuum that encompasses </w:t>
      </w:r>
      <w:r w:rsidR="0073394A" w:rsidRPr="00D22450">
        <w:rPr>
          <w:rFonts w:ascii="Book Antiqua" w:eastAsia="Book Antiqua" w:hAnsi="Book Antiqua" w:cs="Book Antiqua"/>
          <w:color w:val="000000"/>
        </w:rPr>
        <w:t>“</w:t>
      </w:r>
      <w:r w:rsidRPr="00D22450">
        <w:rPr>
          <w:rFonts w:ascii="Book Antiqua" w:eastAsia="Book Antiqua" w:hAnsi="Book Antiqua" w:cs="Book Antiqua"/>
          <w:color w:val="000000"/>
        </w:rPr>
        <w:t>simple steatosis</w:t>
      </w:r>
      <w:r w:rsidR="0073394A"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or</w:t>
      </w:r>
      <w:r w:rsidR="00EE70EE"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NAFL (hepatic steatosis without inflammation), to non-alcoholic steatohepatitis (NASH) and NASH cirrhosis. NASH results when fat accumulation in the liver triggers inflammatory signals and reactive oxygen species that can amplify liver injury and stimulate fibrosis</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8</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NASH is predicted to become the leading cause of liver transplant over the coming decade</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1</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as NASH patients have a greater tendency to develop advanced liver fibrosis, cirrhosis, and hepatocellular carcinoma</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9–11</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w:t>
      </w:r>
    </w:p>
    <w:p w14:paraId="4920B876" w14:textId="53A73703" w:rsidR="00A77B3E" w:rsidRPr="00D22450" w:rsidRDefault="004B2678" w:rsidP="00D22450">
      <w:pPr>
        <w:adjustRightInd w:val="0"/>
        <w:snapToGrid w:val="0"/>
        <w:spacing w:line="360" w:lineRule="auto"/>
        <w:ind w:firstLineChars="100" w:firstLine="240"/>
        <w:jc w:val="both"/>
        <w:rPr>
          <w:rFonts w:ascii="Book Antiqua" w:hAnsi="Book Antiqua"/>
        </w:rPr>
      </w:pPr>
      <w:r w:rsidRPr="00D22450">
        <w:rPr>
          <w:rFonts w:ascii="Book Antiqua" w:eastAsia="Book Antiqua" w:hAnsi="Book Antiqua" w:cs="Book Antiqua"/>
          <w:color w:val="000000"/>
        </w:rPr>
        <w:t>Liver biopsy is the current gold standard for differentiating simple steatosis from NASH as well as staging the severity of fibrosis in patients with NAFLD</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12</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However, due to the limitations associated with biopsy</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13</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high procedure costs, high levels of discordance between readers, and poor acceptability by patients, there has been an increase in the use of non-invasive imaging biomarkers to diagnose and monitor the disease.</w:t>
      </w:r>
    </w:p>
    <w:p w14:paraId="56936176" w14:textId="5284EDD4" w:rsidR="00A77B3E" w:rsidRPr="00D22450" w:rsidRDefault="004B2678" w:rsidP="00D22450">
      <w:pPr>
        <w:adjustRightInd w:val="0"/>
        <w:snapToGrid w:val="0"/>
        <w:spacing w:line="360" w:lineRule="auto"/>
        <w:ind w:firstLineChars="100" w:firstLine="240"/>
        <w:jc w:val="both"/>
        <w:rPr>
          <w:rFonts w:ascii="Book Antiqua" w:hAnsi="Book Antiqua"/>
        </w:rPr>
      </w:pPr>
      <w:r w:rsidRPr="00D22450">
        <w:rPr>
          <w:rFonts w:ascii="Book Antiqua" w:eastAsia="Book Antiqua" w:hAnsi="Book Antiqua" w:cs="Book Antiqua"/>
          <w:color w:val="000000"/>
          <w:shd w:val="clear" w:color="auto" w:fill="FFFFFF"/>
        </w:rPr>
        <w:t xml:space="preserve">Vendor-neutral and scalable multiparametric </w:t>
      </w:r>
      <w:r w:rsidR="00CD70F3" w:rsidRPr="00D22450">
        <w:rPr>
          <w:rFonts w:ascii="Book Antiqua" w:eastAsia="Book Antiqua" w:hAnsi="Book Antiqua" w:cs="Book Antiqua"/>
          <w:color w:val="000000"/>
        </w:rPr>
        <w:t>magnetic resonance imaging</w:t>
      </w:r>
      <w:r w:rsidRPr="00D22450">
        <w:rPr>
          <w:rFonts w:ascii="Book Antiqua" w:eastAsia="Book Antiqua" w:hAnsi="Book Antiqua" w:cs="Book Antiqua"/>
          <w:color w:val="000000"/>
          <w:shd w:val="clear" w:color="auto" w:fill="FFFFFF"/>
        </w:rPr>
        <w:t xml:space="preserve"> (mpMRI) measurements of liver fat proton </w:t>
      </w:r>
      <w:r w:rsidR="0073394A" w:rsidRPr="00D22450">
        <w:rPr>
          <w:rFonts w:ascii="Book Antiqua" w:eastAsia="Book Antiqua" w:hAnsi="Book Antiqua" w:cs="Book Antiqua"/>
          <w:color w:val="000000"/>
          <w:shd w:val="clear" w:color="auto" w:fill="FFFFFF"/>
        </w:rPr>
        <w:t>density fat fraction with IDEAL</w:t>
      </w:r>
      <w:r w:rsidRPr="00D22450">
        <w:rPr>
          <w:rFonts w:ascii="Book Antiqua" w:eastAsia="Book Antiqua" w:hAnsi="Book Antiqua" w:cs="Book Antiqua"/>
          <w:color w:val="000000"/>
          <w:shd w:val="clear" w:color="auto" w:fill="FFFFFF"/>
        </w:rPr>
        <w:t xml:space="preserve"> and iron corrected T1-mapping (cT1) are emerging as promising quantitative imaging biomarkers for NASH.</w:t>
      </w:r>
      <w:r w:rsidRPr="00D22450">
        <w:rPr>
          <w:rFonts w:ascii="Book Antiqua" w:eastAsia="Book Antiqua" w:hAnsi="Book Antiqua" w:cs="Book Antiqua"/>
          <w:color w:val="000000"/>
        </w:rPr>
        <w:t> MRI liver fat</w:t>
      </w:r>
      <w:r w:rsidRPr="00D22450">
        <w:rPr>
          <w:rFonts w:ascii="Book Antiqua" w:eastAsia="Book Antiqua" w:hAnsi="Book Antiqua" w:cs="Book Antiqua"/>
          <w:color w:val="000000"/>
          <w:shd w:val="clear" w:color="auto" w:fill="FFFFFF"/>
        </w:rPr>
        <w:t> correlates strongly with histologically graded steatosis across the clinical range seen in NASH</w:t>
      </w:r>
      <w:r w:rsidR="00EE70EE" w:rsidRPr="00D22450">
        <w:rPr>
          <w:rFonts w:ascii="Book Antiqua" w:eastAsia="Book Antiqua" w:hAnsi="Book Antiqua" w:cs="Book Antiqua"/>
          <w:color w:val="000000"/>
          <w:shd w:val="clear" w:color="auto" w:fill="FFFFFF"/>
          <w:vertAlign w:val="superscript"/>
        </w:rPr>
        <w:t>[</w:t>
      </w:r>
      <w:r w:rsidRPr="00D22450">
        <w:rPr>
          <w:rFonts w:ascii="Book Antiqua" w:eastAsia="Book Antiqua" w:hAnsi="Book Antiqua" w:cs="Book Antiqua"/>
          <w:color w:val="000000"/>
          <w:shd w:val="clear" w:color="auto" w:fill="FFFFFF"/>
          <w:vertAlign w:val="superscript"/>
        </w:rPr>
        <w:t>14</w:t>
      </w:r>
      <w:r w:rsidR="00EE70EE" w:rsidRPr="00D22450">
        <w:rPr>
          <w:rFonts w:ascii="Book Antiqua" w:eastAsia="Book Antiqua" w:hAnsi="Book Antiqua" w:cs="Book Antiqua"/>
          <w:color w:val="000000"/>
          <w:shd w:val="clear" w:color="auto" w:fill="FFFFFF"/>
          <w:vertAlign w:val="superscript"/>
        </w:rPr>
        <w:t>]</w:t>
      </w:r>
      <w:r w:rsidRPr="00D22450">
        <w:rPr>
          <w:rFonts w:ascii="Book Antiqua" w:eastAsia="Book Antiqua" w:hAnsi="Book Antiqua" w:cs="Book Antiqua"/>
          <w:color w:val="000000"/>
          <w:shd w:val="clear" w:color="auto" w:fill="FFFFFF"/>
        </w:rPr>
        <w:t> and has high diagnostic accuracy in stratifying all grades of liver steatosis</w:t>
      </w:r>
      <w:r w:rsidR="00EE70EE" w:rsidRPr="00D22450">
        <w:rPr>
          <w:rFonts w:ascii="Book Antiqua" w:eastAsia="Book Antiqua" w:hAnsi="Book Antiqua" w:cs="Book Antiqua"/>
          <w:color w:val="000000"/>
          <w:shd w:val="clear" w:color="auto" w:fill="FFFFFF"/>
          <w:vertAlign w:val="superscript"/>
        </w:rPr>
        <w:t>[</w:t>
      </w:r>
      <w:r w:rsidRPr="00D22450">
        <w:rPr>
          <w:rFonts w:ascii="Book Antiqua" w:eastAsia="Book Antiqua" w:hAnsi="Book Antiqua" w:cs="Book Antiqua"/>
          <w:color w:val="000000"/>
          <w:shd w:val="clear" w:color="auto" w:fill="FFFFFF"/>
          <w:vertAlign w:val="superscript"/>
        </w:rPr>
        <w:t>15</w:t>
      </w:r>
      <w:r w:rsidR="00761613">
        <w:rPr>
          <w:rFonts w:ascii="Book Antiqua" w:eastAsia="Book Antiqua" w:hAnsi="Book Antiqua" w:cs="Book Antiqua"/>
          <w:color w:val="000000"/>
          <w:shd w:val="clear" w:color="auto" w:fill="FFFFFF"/>
          <w:vertAlign w:val="superscript"/>
        </w:rPr>
        <w:t>-</w:t>
      </w:r>
      <w:r w:rsidRPr="00D22450">
        <w:rPr>
          <w:rFonts w:ascii="Book Antiqua" w:eastAsia="Book Antiqua" w:hAnsi="Book Antiqua" w:cs="Book Antiqua"/>
          <w:color w:val="000000"/>
          <w:shd w:val="clear" w:color="auto" w:fill="FFFFFF"/>
          <w:vertAlign w:val="superscript"/>
        </w:rPr>
        <w:t>17</w:t>
      </w:r>
      <w:r w:rsidR="00EE70EE" w:rsidRPr="00D22450">
        <w:rPr>
          <w:rFonts w:ascii="Book Antiqua" w:eastAsia="Book Antiqua" w:hAnsi="Book Antiqua" w:cs="Book Antiqua"/>
          <w:color w:val="000000"/>
          <w:shd w:val="clear" w:color="auto" w:fill="FFFFFF"/>
          <w:vertAlign w:val="superscript"/>
        </w:rPr>
        <w:t>]</w:t>
      </w:r>
      <w:r w:rsidRPr="00D22450">
        <w:rPr>
          <w:rFonts w:ascii="Book Antiqua" w:eastAsia="Book Antiqua" w:hAnsi="Book Antiqua" w:cs="Book Antiqua"/>
          <w:color w:val="000000"/>
          <w:shd w:val="clear" w:color="auto" w:fill="FFFFFF"/>
        </w:rPr>
        <w:t>, cT1 has been shown to correlate with ballooning</w:t>
      </w:r>
      <w:r w:rsidR="00EE70EE" w:rsidRPr="00D22450">
        <w:rPr>
          <w:rFonts w:ascii="Book Antiqua" w:eastAsia="Book Antiqua" w:hAnsi="Book Antiqua" w:cs="Book Antiqua"/>
          <w:color w:val="000000"/>
          <w:shd w:val="clear" w:color="auto" w:fill="FFFFFF"/>
          <w:vertAlign w:val="superscript"/>
        </w:rPr>
        <w:t>[</w:t>
      </w:r>
      <w:r w:rsidRPr="00D22450">
        <w:rPr>
          <w:rFonts w:ascii="Book Antiqua" w:eastAsia="Book Antiqua" w:hAnsi="Book Antiqua" w:cs="Book Antiqua"/>
          <w:color w:val="000000"/>
          <w:shd w:val="clear" w:color="auto" w:fill="FFFFFF"/>
          <w:vertAlign w:val="superscript"/>
        </w:rPr>
        <w:t>18</w:t>
      </w:r>
      <w:r w:rsidR="00EE70EE" w:rsidRPr="00D22450">
        <w:rPr>
          <w:rFonts w:ascii="Book Antiqua" w:eastAsia="Book Antiqua" w:hAnsi="Book Antiqua" w:cs="Book Antiqua"/>
          <w:color w:val="000000"/>
          <w:shd w:val="clear" w:color="auto" w:fill="FFFFFF"/>
          <w:vertAlign w:val="superscript"/>
        </w:rPr>
        <w:t>]</w:t>
      </w:r>
      <w:r w:rsidRPr="00D22450">
        <w:rPr>
          <w:rFonts w:ascii="Book Antiqua" w:eastAsia="Book Antiqua" w:hAnsi="Book Antiqua" w:cs="Book Antiqua"/>
          <w:color w:val="000000"/>
          <w:shd w:val="clear" w:color="auto" w:fill="FFFFFF"/>
        </w:rPr>
        <w:t>, and has been shown to predict clinical outcomes in patients with chronic liver disease</w:t>
      </w:r>
      <w:r w:rsidR="00EE70EE" w:rsidRPr="00D22450">
        <w:rPr>
          <w:rFonts w:ascii="Book Antiqua" w:eastAsia="Book Antiqua" w:hAnsi="Book Antiqua" w:cs="Book Antiqua"/>
          <w:color w:val="000000"/>
          <w:shd w:val="clear" w:color="auto" w:fill="FFFFFF"/>
          <w:vertAlign w:val="superscript"/>
        </w:rPr>
        <w:t>[</w:t>
      </w:r>
      <w:r w:rsidRPr="00D22450">
        <w:rPr>
          <w:rFonts w:ascii="Book Antiqua" w:eastAsia="Book Antiqua" w:hAnsi="Book Antiqua" w:cs="Book Antiqua"/>
          <w:color w:val="000000"/>
          <w:shd w:val="clear" w:color="auto" w:fill="FFFFFF"/>
          <w:vertAlign w:val="superscript"/>
        </w:rPr>
        <w:t>19,20</w:t>
      </w:r>
      <w:r w:rsidR="00EE70EE" w:rsidRPr="00D22450">
        <w:rPr>
          <w:rFonts w:ascii="Book Antiqua" w:eastAsia="Book Antiqua" w:hAnsi="Book Antiqua" w:cs="Book Antiqua"/>
          <w:color w:val="000000"/>
          <w:shd w:val="clear" w:color="auto" w:fill="FFFFFF"/>
          <w:vertAlign w:val="superscript"/>
        </w:rPr>
        <w:t>]</w:t>
      </w:r>
      <w:r w:rsidRPr="00D22450">
        <w:rPr>
          <w:rFonts w:ascii="Book Antiqua" w:eastAsia="Book Antiqua" w:hAnsi="Book Antiqua" w:cs="Book Antiqua"/>
          <w:color w:val="000000"/>
          <w:shd w:val="clear" w:color="auto" w:fill="FFFFFF"/>
        </w:rPr>
        <w:t>. Both metrics have good technical validity with high repeatability and reproducibility across MRI manufacturers and field strength</w:t>
      </w:r>
      <w:r w:rsidR="0073489C" w:rsidRPr="00D22450">
        <w:rPr>
          <w:rFonts w:ascii="Book Antiqua" w:eastAsia="Book Antiqua" w:hAnsi="Book Antiqua" w:cs="Book Antiqua"/>
          <w:color w:val="000000"/>
          <w:shd w:val="clear" w:color="auto" w:fill="FFFFFF"/>
          <w:vertAlign w:val="superscript"/>
        </w:rPr>
        <w:t>[</w:t>
      </w:r>
      <w:r w:rsidRPr="00D22450">
        <w:rPr>
          <w:rFonts w:ascii="Book Antiqua" w:eastAsia="Book Antiqua" w:hAnsi="Book Antiqua" w:cs="Book Antiqua"/>
          <w:color w:val="000000"/>
          <w:shd w:val="clear" w:color="auto" w:fill="FFFFFF"/>
          <w:vertAlign w:val="superscript"/>
        </w:rPr>
        <w:t>21</w:t>
      </w:r>
      <w:r w:rsidR="0073489C" w:rsidRPr="00D22450">
        <w:rPr>
          <w:rFonts w:ascii="Book Antiqua" w:eastAsia="Book Antiqua" w:hAnsi="Book Antiqua" w:cs="Book Antiqua"/>
          <w:color w:val="000000"/>
          <w:shd w:val="clear" w:color="auto" w:fill="FFFFFF"/>
          <w:vertAlign w:val="superscript"/>
        </w:rPr>
        <w:t>]</w:t>
      </w:r>
      <w:r w:rsidRPr="00D22450">
        <w:rPr>
          <w:rFonts w:ascii="Book Antiqua" w:eastAsia="Book Antiqua" w:hAnsi="Book Antiqua" w:cs="Book Antiqua"/>
          <w:color w:val="000000"/>
          <w:shd w:val="clear" w:color="auto" w:fill="FFFFFF"/>
        </w:rPr>
        <w:t>.</w:t>
      </w:r>
      <w:r w:rsidRPr="00D22450">
        <w:rPr>
          <w:rFonts w:ascii="Book Antiqua" w:eastAsia="Book Antiqua" w:hAnsi="Book Antiqua" w:cs="Book Antiqua"/>
          <w:color w:val="000000"/>
        </w:rPr>
        <w:t xml:space="preserve"> Additionally, due to their sensitivity to </w:t>
      </w:r>
      <w:r w:rsidRPr="00D22450">
        <w:rPr>
          <w:rFonts w:ascii="Book Antiqua" w:eastAsia="Book Antiqua" w:hAnsi="Book Antiqua" w:cs="Book Antiqua"/>
          <w:color w:val="000000"/>
        </w:rPr>
        <w:lastRenderedPageBreak/>
        <w:t>subtle changes in hepatic fat and fibro-inflammation, mpMRI techniques are increasingly used as inclusion criteria endpoints in NASH clinical trials and are included in the FDA Biomarker Qualification Program.</w:t>
      </w:r>
    </w:p>
    <w:p w14:paraId="2689ADFE" w14:textId="5195EA3F" w:rsidR="00A77B3E" w:rsidRPr="00D22450" w:rsidRDefault="004B2678" w:rsidP="00D22450">
      <w:pPr>
        <w:adjustRightInd w:val="0"/>
        <w:snapToGrid w:val="0"/>
        <w:spacing w:line="360" w:lineRule="auto"/>
        <w:ind w:firstLineChars="100" w:firstLine="240"/>
        <w:jc w:val="both"/>
        <w:rPr>
          <w:rFonts w:ascii="Book Antiqua" w:hAnsi="Book Antiqua"/>
        </w:rPr>
      </w:pPr>
      <w:r w:rsidRPr="00D22450">
        <w:rPr>
          <w:rFonts w:ascii="Book Antiqua" w:eastAsia="Book Antiqua" w:hAnsi="Book Antiqua" w:cs="Book Antiqua"/>
          <w:color w:val="000000"/>
        </w:rPr>
        <w:t>Magnetic resonance elastography (MRE) is an alternative MR based approach that can be used to stage fibrosis. MRE has shown utility in identifying patients with NASH from those with simple steatosis</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22</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whilst also being able to detect the presence of advanced fibrosis in patients with chronic liver disease</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23</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However, MRE has not demonstrated sufficient</w:t>
      </w:r>
      <w:r w:rsidR="00CD70F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utility for the longitudinal monitoring of fibrosis progression or regression</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14,24</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w:t>
      </w:r>
    </w:p>
    <w:p w14:paraId="0535002D" w14:textId="26F5374E" w:rsidR="00A77B3E" w:rsidRPr="00D22450" w:rsidRDefault="004B2678" w:rsidP="00D22450">
      <w:pPr>
        <w:adjustRightInd w:val="0"/>
        <w:snapToGrid w:val="0"/>
        <w:spacing w:line="360" w:lineRule="auto"/>
        <w:ind w:firstLineChars="100" w:firstLine="240"/>
        <w:jc w:val="both"/>
        <w:rPr>
          <w:rFonts w:ascii="Book Antiqua" w:hAnsi="Book Antiqua"/>
        </w:rPr>
      </w:pPr>
      <w:r w:rsidRPr="00D22450">
        <w:rPr>
          <w:rFonts w:ascii="Book Antiqua" w:eastAsia="Book Antiqua" w:hAnsi="Book Antiqua" w:cs="Book Antiqua"/>
          <w:color w:val="000000"/>
        </w:rPr>
        <w:t>Ultrasound based methods such as vibration-controlled transient elastography (VCTE) liver stiffness measure (VCTE-LSM) have shown good utility in identifying patients with advanced fibrosis</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25,26</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however may be less reliable in patients who are morbidly obese; a high-risk group for NASH</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25</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VCTE controlled-attenuation parameter (CAP) has been shown to be sensitive to early changes in liver fat albeit with a low ability to differentiate steatosis</w:t>
      </w:r>
      <w:r w:rsidR="00882C59" w:rsidRPr="00882C59">
        <w:t xml:space="preserve"> </w:t>
      </w:r>
      <w:r w:rsidR="00882C59" w:rsidRPr="00882C59">
        <w:rPr>
          <w:rFonts w:ascii="Book Antiqua" w:eastAsia="Book Antiqua" w:hAnsi="Book Antiqua" w:cs="Book Antiqua"/>
          <w:color w:val="000000"/>
        </w:rPr>
        <w:t>levels</w:t>
      </w:r>
      <w:r w:rsidRPr="00D22450">
        <w:rPr>
          <w:rFonts w:ascii="Book Antiqua" w:eastAsia="Book Antiqua" w:hAnsi="Book Antiqua" w:cs="Book Antiqua"/>
          <w:color w:val="000000"/>
        </w:rPr>
        <w:t>.</w:t>
      </w:r>
    </w:p>
    <w:p w14:paraId="0C5D34CB" w14:textId="1061CD09" w:rsidR="00A77B3E" w:rsidRPr="00D22450" w:rsidRDefault="004B2678" w:rsidP="00D22450">
      <w:pPr>
        <w:adjustRightInd w:val="0"/>
        <w:snapToGrid w:val="0"/>
        <w:spacing w:line="360" w:lineRule="auto"/>
        <w:ind w:firstLineChars="100" w:firstLine="240"/>
        <w:jc w:val="both"/>
        <w:rPr>
          <w:rFonts w:ascii="Book Antiqua" w:hAnsi="Book Antiqua"/>
        </w:rPr>
      </w:pPr>
      <w:r w:rsidRPr="00D22450">
        <w:rPr>
          <w:rFonts w:ascii="Book Antiqua" w:eastAsia="Book Antiqua" w:hAnsi="Book Antiqua" w:cs="Book Antiqua"/>
          <w:color w:val="000000"/>
        </w:rPr>
        <w:t xml:space="preserve">The aim of this study was to evaluate the diagnostic performance of quantitative mpMRI, MRE, </w:t>
      </w:r>
      <w:r w:rsidR="00A23A43">
        <w:rPr>
          <w:rFonts w:ascii="Book Antiqua" w:eastAsia="Book Antiqua" w:hAnsi="Book Antiqua" w:cs="Book Antiqua"/>
          <w:color w:val="000000"/>
        </w:rPr>
        <w:t xml:space="preserve">and </w:t>
      </w:r>
      <w:r w:rsidRPr="00D22450">
        <w:rPr>
          <w:rFonts w:ascii="Book Antiqua" w:eastAsia="Book Antiqua" w:hAnsi="Book Antiqua" w:cs="Book Antiqua"/>
          <w:color w:val="000000"/>
        </w:rPr>
        <w:t>transient elastography (VCTE and 2D shear-wave elastography) to identify patients with suspected NASH and to report on the correlations between these non-invasive technologies and histology.</w:t>
      </w:r>
    </w:p>
    <w:bookmarkEnd w:id="43"/>
    <w:bookmarkEnd w:id="44"/>
    <w:p w14:paraId="6EBEFF53" w14:textId="77777777" w:rsidR="00A77B3E" w:rsidRPr="00D22450" w:rsidRDefault="00A77B3E" w:rsidP="00D22450">
      <w:pPr>
        <w:adjustRightInd w:val="0"/>
        <w:snapToGrid w:val="0"/>
        <w:spacing w:line="360" w:lineRule="auto"/>
        <w:jc w:val="both"/>
        <w:rPr>
          <w:rFonts w:ascii="Book Antiqua" w:hAnsi="Book Antiqua"/>
        </w:rPr>
      </w:pPr>
    </w:p>
    <w:p w14:paraId="3055FA1B"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aps/>
          <w:color w:val="000000"/>
          <w:u w:val="single"/>
        </w:rPr>
        <w:t>MATERIALS AND METHODS</w:t>
      </w:r>
    </w:p>
    <w:p w14:paraId="6D68A776" w14:textId="55923F8E" w:rsidR="00A77B3E" w:rsidRPr="00D22450" w:rsidRDefault="004B2678" w:rsidP="00D22450">
      <w:pPr>
        <w:adjustRightInd w:val="0"/>
        <w:snapToGrid w:val="0"/>
        <w:spacing w:line="360" w:lineRule="auto"/>
        <w:jc w:val="both"/>
        <w:rPr>
          <w:rFonts w:ascii="Book Antiqua" w:hAnsi="Book Antiqua"/>
        </w:rPr>
      </w:pPr>
      <w:bookmarkStart w:id="45" w:name="OLE_LINK54"/>
      <w:bookmarkStart w:id="46" w:name="OLE_LINK55"/>
      <w:r w:rsidRPr="00D22450">
        <w:rPr>
          <w:rFonts w:ascii="Book Antiqua" w:eastAsia="Book Antiqua" w:hAnsi="Book Antiqua" w:cs="Book Antiqua"/>
          <w:color w:val="000000"/>
        </w:rPr>
        <w:t>This was an observational trial conducted and sponsored by the Yokohoma City University Hospital between January 2019 and February 2020. </w:t>
      </w:r>
      <w:r w:rsidRPr="00D22450">
        <w:rPr>
          <w:rFonts w:ascii="Book Antiqua" w:eastAsia="Book Antiqua" w:hAnsi="Book Antiqua" w:cs="Book Antiqua"/>
          <w:i/>
          <w:iCs/>
          <w:color w:val="000000"/>
        </w:rPr>
        <w:t>N</w:t>
      </w:r>
      <w:r w:rsidR="00997A4B"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997A4B"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151 adult participants who underwent a liver biopsy for suspected NASH were included in this interim analysis. Participants were invited to undergo core liver biopsy if there was evidence of steatosis (</w:t>
      </w:r>
      <w:r w:rsidR="00882C59" w:rsidRPr="00D22450">
        <w:rPr>
          <w:rFonts w:ascii="Book Antiqua" w:eastAsia="Book Antiqua" w:hAnsi="Book Antiqua" w:cs="Book Antiqua"/>
          <w:color w:val="000000"/>
          <w:shd w:val="clear" w:color="auto" w:fill="FFFFFF"/>
        </w:rPr>
        <w:t xml:space="preserve">Proton </w:t>
      </w:r>
      <w:r w:rsidR="00EE70EE" w:rsidRPr="00D22450">
        <w:rPr>
          <w:rFonts w:ascii="Book Antiqua" w:eastAsia="Book Antiqua" w:hAnsi="Book Antiqua" w:cs="Book Antiqua"/>
          <w:color w:val="000000"/>
          <w:shd w:val="clear" w:color="auto" w:fill="FFFFFF"/>
        </w:rPr>
        <w:t>density fat fraction</w:t>
      </w:r>
      <w:r w:rsidRPr="00D22450">
        <w:rPr>
          <w:rFonts w:ascii="Book Antiqua" w:eastAsia="Book Antiqua" w:hAnsi="Book Antiqua" w:cs="Book Antiqua"/>
          <w:color w:val="000000"/>
        </w:rPr>
        <w:t xml:space="preserve"> ≥ 5.2% or CAP ≥ 236)</w:t>
      </w:r>
      <w:r w:rsidR="00997A4B"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16</w:t>
      </w:r>
      <w:r w:rsidR="00997A4B"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xml:space="preserve">. Patients were excluded if there was contraindication to MRI, history of alcoholism, or evidence of other chronic liver disease (Figure 1). The study was conducted in accordance with the ethical principles of the Declaration of Helsinki 2013, was approved by the Ethics Committee of Yokohama City University </w:t>
      </w:r>
      <w:r w:rsidRPr="00D22450">
        <w:rPr>
          <w:rFonts w:ascii="Book Antiqua" w:eastAsia="Book Antiqua" w:hAnsi="Book Antiqua" w:cs="Book Antiqua"/>
          <w:color w:val="000000"/>
        </w:rPr>
        <w:lastRenderedPageBreak/>
        <w:t>Hospital and was registered as a clinical trial (UMIN Clinical Trials Registry: UMIN000026145).</w:t>
      </w:r>
    </w:p>
    <w:p w14:paraId="62ED48E9" w14:textId="77777777" w:rsidR="00A77B3E" w:rsidRPr="00D22450" w:rsidRDefault="00A77B3E" w:rsidP="00D22450">
      <w:pPr>
        <w:adjustRightInd w:val="0"/>
        <w:snapToGrid w:val="0"/>
        <w:spacing w:line="360" w:lineRule="auto"/>
        <w:jc w:val="both"/>
        <w:rPr>
          <w:rFonts w:ascii="Book Antiqua" w:hAnsi="Book Antiqua"/>
        </w:rPr>
      </w:pPr>
    </w:p>
    <w:p w14:paraId="4412F3FA" w14:textId="721566F2" w:rsidR="00A77B3E" w:rsidRPr="00D22450" w:rsidRDefault="004B2678" w:rsidP="00D22450">
      <w:pPr>
        <w:adjustRightInd w:val="0"/>
        <w:snapToGrid w:val="0"/>
        <w:spacing w:line="360" w:lineRule="auto"/>
        <w:jc w:val="both"/>
        <w:rPr>
          <w:rFonts w:ascii="Book Antiqua" w:hAnsi="Book Antiqua"/>
          <w:b/>
          <w:bCs/>
        </w:rPr>
      </w:pPr>
      <w:r w:rsidRPr="00D22450">
        <w:rPr>
          <w:rStyle w:val="Heading2Char"/>
          <w:rFonts w:ascii="Book Antiqua" w:eastAsia="Book Antiqua" w:hAnsi="Book Antiqua" w:cs="Book Antiqua"/>
          <w:b/>
          <w:bCs/>
          <w:i/>
          <w:iCs/>
          <w:color w:val="000000"/>
          <w:shd w:val="clear" w:color="auto" w:fill="FFFFFF"/>
        </w:rPr>
        <w:t xml:space="preserve">Histopathological </w:t>
      </w:r>
      <w:r w:rsidR="0073394A" w:rsidRPr="00D22450">
        <w:rPr>
          <w:rStyle w:val="Heading2Char"/>
          <w:rFonts w:ascii="Book Antiqua" w:eastAsia="Book Antiqua" w:hAnsi="Book Antiqua" w:cs="Book Antiqua"/>
          <w:b/>
          <w:bCs/>
          <w:i/>
          <w:iCs/>
          <w:color w:val="000000"/>
          <w:shd w:val="clear" w:color="auto" w:fill="FFFFFF"/>
        </w:rPr>
        <w:t>evaluations</w:t>
      </w:r>
    </w:p>
    <w:p w14:paraId="262695CA" w14:textId="6CBEA175"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Liver biopsy samples were obtained using a 16-gauge needle biopsy kit with an adequate liver biopsy defined as being ≥</w:t>
      </w:r>
      <w:r w:rsidR="00997A4B"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20 mm in length and/or with ≥</w:t>
      </w:r>
      <w:r w:rsidR="00997A4B"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10 portal tracts. Biopsy samples were assessed independently by three histopathologists, one at YCUH at the time of collection and then later by a further two pathologists using digitalised biopsy slides. Histological scoring of fibrosis, steatosis, lobular inflammation, and hepatocyte ballooning was performed by all pathologists, and overall disease activity was graded according to the NAFLD activity score </w:t>
      </w:r>
      <w:r w:rsidR="0070064C" w:rsidRPr="00D22450">
        <w:rPr>
          <w:rFonts w:ascii="Book Antiqua" w:eastAsia="Book Antiqua" w:hAnsi="Book Antiqua" w:cs="Book Antiqua"/>
          <w:color w:val="000000"/>
        </w:rPr>
        <w:t>[</w:t>
      </w:r>
      <w:r w:rsidRPr="00D22450">
        <w:rPr>
          <w:rFonts w:ascii="Book Antiqua" w:eastAsia="Book Antiqua" w:hAnsi="Book Antiqua" w:cs="Book Antiqua"/>
          <w:color w:val="000000"/>
        </w:rPr>
        <w:t>NASH Clinical Research Network</w:t>
      </w:r>
      <w:r w:rsidR="0070064C" w:rsidRPr="00D22450">
        <w:rPr>
          <w:rFonts w:ascii="Book Antiqua" w:eastAsia="Book Antiqua" w:hAnsi="Book Antiqua" w:cs="Book Antiqua"/>
          <w:color w:val="000000"/>
        </w:rPr>
        <w:t xml:space="preserve"> (NAS)]</w:t>
      </w:r>
      <w:r w:rsidRPr="00D22450">
        <w:rPr>
          <w:rFonts w:ascii="Book Antiqua" w:eastAsia="Book Antiqua" w:hAnsi="Book Antiqua" w:cs="Book Antiqua"/>
          <w:color w:val="000000"/>
        </w:rPr>
        <w:t>. NASH was defined as NAS ≥</w:t>
      </w:r>
      <w:r w:rsidR="00997A4B"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4, ballooning ≥</w:t>
      </w:r>
      <w:r w:rsidR="00997A4B"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1 and inflammation ≥</w:t>
      </w:r>
      <w:r w:rsidR="00997A4B"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1 as described in AASLD guidelines</w:t>
      </w:r>
      <w:r w:rsidR="00997A4B"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12</w:t>
      </w:r>
      <w:r w:rsidR="00997A4B"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All scores were taken from the median score for each component from the three pathologists.</w:t>
      </w:r>
    </w:p>
    <w:p w14:paraId="314D234D" w14:textId="77777777" w:rsidR="00A77B3E" w:rsidRPr="00D22450" w:rsidRDefault="00A77B3E" w:rsidP="00D22450">
      <w:pPr>
        <w:adjustRightInd w:val="0"/>
        <w:snapToGrid w:val="0"/>
        <w:spacing w:line="360" w:lineRule="auto"/>
        <w:jc w:val="both"/>
        <w:rPr>
          <w:rFonts w:ascii="Book Antiqua" w:hAnsi="Book Antiqua"/>
        </w:rPr>
      </w:pPr>
    </w:p>
    <w:p w14:paraId="77500E4C" w14:textId="77777777" w:rsidR="00A77B3E" w:rsidRPr="00D22450" w:rsidRDefault="004B2678" w:rsidP="00D22450">
      <w:pPr>
        <w:adjustRightInd w:val="0"/>
        <w:snapToGrid w:val="0"/>
        <w:spacing w:line="360" w:lineRule="auto"/>
        <w:jc w:val="both"/>
        <w:rPr>
          <w:rFonts w:ascii="Book Antiqua" w:hAnsi="Book Antiqua"/>
          <w:b/>
          <w:bCs/>
        </w:rPr>
      </w:pPr>
      <w:r w:rsidRPr="00D22450">
        <w:rPr>
          <w:rStyle w:val="Heading2Char"/>
          <w:rFonts w:ascii="Book Antiqua" w:eastAsia="Book Antiqua" w:hAnsi="Book Antiqua" w:cs="Book Antiqua"/>
          <w:b/>
          <w:bCs/>
          <w:i/>
          <w:iCs/>
          <w:color w:val="000000"/>
        </w:rPr>
        <w:t>Non-invasive biomarkers</w:t>
      </w:r>
    </w:p>
    <w:p w14:paraId="4D2E721E" w14:textId="3D292C94" w:rsidR="003000C3"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shd w:val="clear" w:color="auto" w:fill="FFFFFF"/>
        </w:rPr>
        <w:t>MR liver fat and cT1 measurements were made using the non-contrast Liver</w:t>
      </w:r>
      <w:r w:rsidRPr="00D22450">
        <w:rPr>
          <w:rFonts w:ascii="Book Antiqua" w:eastAsia="Book Antiqua" w:hAnsi="Book Antiqua" w:cs="Book Antiqua"/>
          <w:i/>
          <w:iCs/>
          <w:color w:val="000000"/>
          <w:shd w:val="clear" w:color="auto" w:fill="FFFFFF"/>
        </w:rPr>
        <w:t>MultiScan</w:t>
      </w:r>
      <w:r w:rsidRPr="00434F12">
        <w:rPr>
          <w:rFonts w:ascii="Book Antiqua" w:eastAsia="Book Antiqua" w:hAnsi="Book Antiqua" w:cs="Book Antiqua"/>
          <w:color w:val="000000"/>
          <w:shd w:val="clear" w:color="auto" w:fill="FFFFFF"/>
          <w:vertAlign w:val="superscript"/>
        </w:rPr>
        <w:t>®</w:t>
      </w:r>
      <w:r w:rsidRPr="00D22450">
        <w:rPr>
          <w:rFonts w:ascii="Book Antiqua" w:eastAsia="Book Antiqua" w:hAnsi="Book Antiqua" w:cs="Book Antiqua"/>
          <w:color w:val="000000"/>
          <w:shd w:val="clear" w:color="auto" w:fill="FFFFFF"/>
        </w:rPr>
        <w:t xml:space="preserve"> mpMRI protocol (Perspectum, Oxford, U</w:t>
      </w:r>
      <w:r w:rsidR="0073394A" w:rsidRPr="00D22450">
        <w:rPr>
          <w:rFonts w:ascii="Book Antiqua" w:eastAsia="Book Antiqua" w:hAnsi="Book Antiqua" w:cs="Book Antiqua"/>
          <w:color w:val="000000"/>
          <w:shd w:val="clear" w:color="auto" w:fill="FFFFFF"/>
        </w:rPr>
        <w:t xml:space="preserve">nited </w:t>
      </w:r>
      <w:r w:rsidRPr="00D22450">
        <w:rPr>
          <w:rFonts w:ascii="Book Antiqua" w:eastAsia="Book Antiqua" w:hAnsi="Book Antiqua" w:cs="Book Antiqua"/>
          <w:color w:val="000000"/>
          <w:shd w:val="clear" w:color="auto" w:fill="FFFFFF"/>
        </w:rPr>
        <w:t>K</w:t>
      </w:r>
      <w:r w:rsidR="0073394A" w:rsidRPr="00D22450">
        <w:rPr>
          <w:rFonts w:ascii="Book Antiqua" w:eastAsia="Book Antiqua" w:hAnsi="Book Antiqua" w:cs="Book Antiqua"/>
          <w:color w:val="000000"/>
          <w:shd w:val="clear" w:color="auto" w:fill="FFFFFF"/>
        </w:rPr>
        <w:t>ingdom</w:t>
      </w:r>
      <w:r w:rsidRPr="00D22450">
        <w:rPr>
          <w:rFonts w:ascii="Book Antiqua" w:eastAsia="Book Antiqua" w:hAnsi="Book Antiqua" w:cs="Book Antiqua"/>
          <w:color w:val="000000"/>
          <w:shd w:val="clear" w:color="auto" w:fill="FFFFFF"/>
        </w:rPr>
        <w:t>), </w:t>
      </w:r>
      <w:r w:rsidRPr="00D22450">
        <w:rPr>
          <w:rFonts w:ascii="Book Antiqua" w:eastAsia="Book Antiqua" w:hAnsi="Book Antiqua" w:cs="Book Antiqua"/>
          <w:color w:val="000000"/>
        </w:rPr>
        <w:t>performed with the patient in the supine position using a 3 Tesla GE Discovery 750W scanner system (GE Healthcare, Milwaukee, WI,</w:t>
      </w:r>
      <w:r w:rsidRPr="00D22450">
        <w:rPr>
          <w:rFonts w:ascii="Book Antiqua" w:eastAsia="Book Antiqua" w:hAnsi="Book Antiqua" w:cs="Book Antiqua"/>
          <w:color w:val="000000"/>
          <w:shd w:val="clear" w:color="auto" w:fill="FFFFFF"/>
        </w:rPr>
        <w:t xml:space="preserve"> </w:t>
      </w:r>
      <w:r w:rsidR="00997A4B" w:rsidRPr="00D22450">
        <w:rPr>
          <w:rFonts w:ascii="Book Antiqua" w:eastAsia="Book Antiqua" w:hAnsi="Book Antiqua" w:cs="Book Antiqua"/>
          <w:color w:val="000000"/>
          <w:shd w:val="clear" w:color="auto" w:fill="FFFFFF"/>
        </w:rPr>
        <w:t>United States</w:t>
      </w:r>
      <w:r w:rsidRPr="00D22450">
        <w:rPr>
          <w:rFonts w:ascii="Book Antiqua" w:eastAsia="Book Antiqua" w:hAnsi="Book Antiqua" w:cs="Book Antiqua"/>
          <w:color w:val="000000"/>
          <w:shd w:val="clear" w:color="auto" w:fill="FFFFFF"/>
        </w:rPr>
        <w:t>). </w:t>
      </w:r>
      <w:r w:rsidRPr="00D22450">
        <w:rPr>
          <w:rFonts w:ascii="Book Antiqua" w:eastAsia="Book Antiqua" w:hAnsi="Book Antiqua" w:cs="Book Antiqua"/>
          <w:color w:val="000000"/>
        </w:rPr>
        <w:t>The average scan time for this protocol was 10 min. </w:t>
      </w:r>
      <w:r w:rsidRPr="00D22450">
        <w:rPr>
          <w:rFonts w:ascii="Book Antiqua" w:eastAsia="Book Antiqua" w:hAnsi="Book Antiqua" w:cs="Book Antiqua"/>
          <w:color w:val="000000"/>
          <w:shd w:val="clear" w:color="auto" w:fill="FFFFFF"/>
        </w:rPr>
        <w:t>Four single transverse slices were captured through the liver cent</w:t>
      </w:r>
      <w:r w:rsidR="00882C59">
        <w:rPr>
          <w:rFonts w:ascii="Book Antiqua" w:eastAsia="Book Antiqua" w:hAnsi="Book Antiqua" w:cs="Book Antiqua"/>
          <w:color w:val="000000"/>
          <w:shd w:val="clear" w:color="auto" w:fill="FFFFFF"/>
        </w:rPr>
        <w:t>e</w:t>
      </w:r>
      <w:r w:rsidRPr="00D22450">
        <w:rPr>
          <w:rFonts w:ascii="Book Antiqua" w:eastAsia="Book Antiqua" w:hAnsi="Book Antiqua" w:cs="Book Antiqua"/>
          <w:color w:val="000000"/>
          <w:shd w:val="clear" w:color="auto" w:fill="FFFFFF"/>
        </w:rPr>
        <w:t>red on the porta hepatis. Anonymised mpMRI data were analysed off-site by image analysts trained in abdominal anatomy and artefact detection, who were blinded to the clinical data and risk grouping. For liver fat, three 15</w:t>
      </w:r>
      <w:r w:rsidR="00997A4B"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mm diameter circular regions of interest (ROIs) were selected on the transverse maps to cover a representative sample of the liver parenchyma. For cT1 (ms), three ROIs were placed on the central slice within the typical percutaneous biopsy region. Median values from all pixels within the ROIs were calculated and used as the representative score. </w:t>
      </w:r>
    </w:p>
    <w:p w14:paraId="48C61685" w14:textId="5C26D64E" w:rsidR="00A77B3E" w:rsidRPr="00D22450" w:rsidRDefault="004B2678" w:rsidP="00D22450">
      <w:pPr>
        <w:adjustRightInd w:val="0"/>
        <w:snapToGrid w:val="0"/>
        <w:spacing w:line="360" w:lineRule="auto"/>
        <w:ind w:firstLineChars="100" w:firstLine="240"/>
        <w:jc w:val="both"/>
        <w:rPr>
          <w:rFonts w:ascii="Book Antiqua" w:hAnsi="Book Antiqua"/>
        </w:rPr>
      </w:pPr>
      <w:r w:rsidRPr="00D22450">
        <w:rPr>
          <w:rFonts w:ascii="Book Antiqua" w:eastAsia="Book Antiqua" w:hAnsi="Book Antiqua" w:cs="Book Antiqua"/>
          <w:color w:val="000000"/>
        </w:rPr>
        <w:lastRenderedPageBreak/>
        <w:t>MRE examinations were performed using the same MRI scanner and following a 2-dimensional MRE protocol</w:t>
      </w:r>
      <w:r w:rsidR="00997A4B"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27</w:t>
      </w:r>
      <w:r w:rsidR="00997A4B"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Interpretation of MRE images to obtain stiffness values was performed by abdominal radiologists</w:t>
      </w:r>
      <w:r w:rsidR="00997A4B"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22</w:t>
      </w:r>
      <w:r w:rsidR="00997A4B"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VCTE-LSMs were obtained by one operator using either 3.5 MHz M-probe and/or 2.5</w:t>
      </w:r>
      <w:r w:rsidR="00997A4B"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MHz XL-probe dependent upon suitability (waste-hip circumference and BMI) and through use of the automatic probe selection tool embedded within the FibroScan operating software</w:t>
      </w:r>
      <w:r w:rsidR="00997A4B"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28</w:t>
      </w:r>
      <w:r w:rsidR="00997A4B"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VCTE-LSM measures with at least 10 valid shots and a success rate of</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997A4B"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60% were considered reliable and used for statistical analysis. Hepatic steatosis was assessed using the CAP value provided by the device. 2D shear-wave elastography (2D-SWE) measurements were obtained using a Logiq S8 system (GE Healthcare)</w:t>
      </w:r>
      <w:r w:rsidR="00997A4B"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29</w:t>
      </w:r>
      <w:r w:rsidR="00997A4B"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Example images are shown in Figure 2 for all methods.</w:t>
      </w:r>
    </w:p>
    <w:p w14:paraId="725ACFAB" w14:textId="77777777" w:rsidR="00A77B3E" w:rsidRPr="00D22450" w:rsidRDefault="00A77B3E" w:rsidP="00D22450">
      <w:pPr>
        <w:adjustRightInd w:val="0"/>
        <w:snapToGrid w:val="0"/>
        <w:spacing w:line="360" w:lineRule="auto"/>
        <w:jc w:val="both"/>
        <w:rPr>
          <w:rFonts w:ascii="Book Antiqua" w:hAnsi="Book Antiqua"/>
        </w:rPr>
      </w:pPr>
    </w:p>
    <w:p w14:paraId="20DDCDC8" w14:textId="77777777" w:rsidR="00A77B3E" w:rsidRPr="00D22450" w:rsidRDefault="004B2678" w:rsidP="00D22450">
      <w:pPr>
        <w:adjustRightInd w:val="0"/>
        <w:snapToGrid w:val="0"/>
        <w:spacing w:line="360" w:lineRule="auto"/>
        <w:jc w:val="both"/>
        <w:rPr>
          <w:rFonts w:ascii="Book Antiqua" w:hAnsi="Book Antiqua"/>
          <w:b/>
          <w:bCs/>
        </w:rPr>
      </w:pPr>
      <w:r w:rsidRPr="00D22450">
        <w:rPr>
          <w:rStyle w:val="Heading2Char"/>
          <w:rFonts w:ascii="Book Antiqua" w:eastAsia="Book Antiqua" w:hAnsi="Book Antiqua" w:cs="Book Antiqua"/>
          <w:b/>
          <w:bCs/>
          <w:i/>
          <w:iCs/>
          <w:color w:val="000000"/>
          <w:shd w:val="clear" w:color="auto" w:fill="FFFFFF"/>
        </w:rPr>
        <w:t>Statistical analysis</w:t>
      </w:r>
    </w:p>
    <w:p w14:paraId="782C3277" w14:textId="0EFE3DDB"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Descriptive statistics were used to summarise baseline participant characteristics. Continuous variables were reported as mean and standard deviation, categorical variables were reported as frequency and percentage, and confidence intervals (CI) were reported at the 95% level. Mean difference in biomarker values between those with NAFL and those with NASH were compared using independent t-tests or Wilcoxon signed-rank tests, depending on distribution. Diagnostic performance of non-invasive biomarkers was assessed using </w:t>
      </w:r>
      <w:r w:rsidR="00EE151D" w:rsidRPr="00D22450">
        <w:rPr>
          <w:rFonts w:ascii="Book Antiqua" w:eastAsia="Book Antiqua" w:hAnsi="Book Antiqua" w:cs="Book Antiqua"/>
          <w:color w:val="000000"/>
        </w:rPr>
        <w:t>area under receiver operator characteristic curve</w:t>
      </w:r>
      <w:r w:rsidRPr="00D22450">
        <w:rPr>
          <w:rFonts w:ascii="Book Antiqua" w:eastAsia="Book Antiqua" w:hAnsi="Book Antiqua" w:cs="Book Antiqua"/>
          <w:color w:val="000000"/>
        </w:rPr>
        <w:t xml:space="preserve"> (AUC) with multivariate logistic regressions utilised to assess performance of combined biomarkers. Correlations between median scores from the 3 pathology reads and image-derived markers (liver fat, cT1, MRE, VCTE-LSM and CAP) were assessed using Spearman’s rank correlation coefficient.</w:t>
      </w:r>
    </w:p>
    <w:p w14:paraId="52990401" w14:textId="41EDD4F5" w:rsidR="00A77B3E" w:rsidRPr="00D22450" w:rsidRDefault="004B2678" w:rsidP="00D22450">
      <w:pPr>
        <w:adjustRightInd w:val="0"/>
        <w:snapToGrid w:val="0"/>
        <w:spacing w:line="360" w:lineRule="auto"/>
        <w:ind w:firstLineChars="100" w:firstLine="240"/>
        <w:jc w:val="both"/>
        <w:rPr>
          <w:rFonts w:ascii="Book Antiqua" w:hAnsi="Book Antiqua"/>
        </w:rPr>
      </w:pPr>
      <w:r w:rsidRPr="00D22450">
        <w:rPr>
          <w:rFonts w:ascii="Book Antiqua" w:eastAsia="Book Antiqua" w:hAnsi="Book Antiqua" w:cs="Book Antiqua"/>
          <w:color w:val="000000"/>
        </w:rPr>
        <w:t xml:space="preserve">Inter-rater variability analysis between the pathology scores given by the 3 pathologists were performed using tri-variate weighted kappa statistic, with the overall variability seen for each </w:t>
      </w:r>
      <w:r w:rsidR="00E65B6A">
        <w:rPr>
          <w:rFonts w:ascii="Book Antiqua" w:eastAsia="Book Antiqua" w:hAnsi="Book Antiqua" w:cs="Book Antiqua"/>
          <w:color w:val="000000"/>
        </w:rPr>
        <w:t>of</w:t>
      </w:r>
      <w:r w:rsidR="00E65B6A"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the histological metrics assessed by </w:t>
      </w:r>
      <w:r w:rsidRPr="00D22450">
        <w:rPr>
          <w:rFonts w:ascii="Book Antiqua" w:eastAsia="Book Antiqua" w:hAnsi="Book Antiqua" w:cs="Book Antiqua"/>
          <w:color w:val="000000"/>
        </w:rPr>
        <w:lastRenderedPageBreak/>
        <w:t>Krippendorff’s alpha. Agreement between pathologists was determined utilising guidelines for hierarchical kappa-type statistics</w:t>
      </w:r>
      <w:r w:rsidR="00763654"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30</w:t>
      </w:r>
      <w:r w:rsidR="00763654"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w:t>
      </w:r>
    </w:p>
    <w:p w14:paraId="533B6F1B" w14:textId="186391FB" w:rsidR="00A77B3E" w:rsidRPr="00D22450" w:rsidRDefault="004B2678" w:rsidP="00D22450">
      <w:pPr>
        <w:adjustRightInd w:val="0"/>
        <w:snapToGrid w:val="0"/>
        <w:spacing w:line="360" w:lineRule="auto"/>
        <w:ind w:firstLineChars="100" w:firstLine="240"/>
        <w:jc w:val="both"/>
        <w:rPr>
          <w:rFonts w:ascii="Book Antiqua" w:hAnsi="Book Antiqua"/>
        </w:rPr>
      </w:pPr>
      <w:r w:rsidRPr="00D22450">
        <w:rPr>
          <w:rFonts w:ascii="Book Antiqua" w:eastAsia="Book Antiqua" w:hAnsi="Book Antiqua" w:cs="Book Antiqua"/>
          <w:color w:val="000000"/>
        </w:rPr>
        <w:t>Statistical analysis was performed using R software version 3.6.1 with </w:t>
      </w:r>
      <w:r w:rsidRPr="00D22450">
        <w:rPr>
          <w:rFonts w:ascii="Book Antiqua" w:eastAsia="Book Antiqua" w:hAnsi="Book Antiqua" w:cs="Book Antiqua"/>
          <w:i/>
          <w:iCs/>
          <w:color w:val="000000"/>
        </w:rPr>
        <w:t>P</w:t>
      </w:r>
      <w:r w:rsidR="00763654" w:rsidRPr="00D22450">
        <w:rPr>
          <w:rFonts w:ascii="Book Antiqua" w:eastAsia="Book Antiqua" w:hAnsi="Book Antiqua" w:cs="Book Antiqua"/>
          <w:i/>
          <w:iCs/>
          <w:color w:val="000000"/>
        </w:rPr>
        <w:t xml:space="preserve"> </w:t>
      </w:r>
      <w:r w:rsidRPr="00D22450">
        <w:rPr>
          <w:rFonts w:ascii="Book Antiqua" w:eastAsia="Book Antiqua" w:hAnsi="Book Antiqua" w:cs="Book Antiqua"/>
          <w:color w:val="000000"/>
        </w:rPr>
        <w:t>&lt;</w:t>
      </w:r>
      <w:r w:rsidR="00763654"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0.05 considered to be statistically significant. Case-wise deletion was employed to include only complete cases for MR metrics, VCTE-LSM and CAP for each analyses as appropriate rather than imputing any missing values. </w:t>
      </w:r>
    </w:p>
    <w:bookmarkEnd w:id="45"/>
    <w:bookmarkEnd w:id="46"/>
    <w:p w14:paraId="2A22495C" w14:textId="77777777" w:rsidR="00A77B3E" w:rsidRPr="00D22450" w:rsidRDefault="00A77B3E" w:rsidP="00D22450">
      <w:pPr>
        <w:adjustRightInd w:val="0"/>
        <w:snapToGrid w:val="0"/>
        <w:spacing w:line="360" w:lineRule="auto"/>
        <w:jc w:val="both"/>
        <w:rPr>
          <w:rFonts w:ascii="Book Antiqua" w:hAnsi="Book Antiqua"/>
        </w:rPr>
      </w:pPr>
    </w:p>
    <w:p w14:paraId="00650D24"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aps/>
          <w:color w:val="000000"/>
          <w:u w:val="single"/>
        </w:rPr>
        <w:t>RESULTS</w:t>
      </w:r>
    </w:p>
    <w:p w14:paraId="3FB5D2D4" w14:textId="4BE33059" w:rsidR="00A77B3E" w:rsidRPr="00D22450" w:rsidRDefault="004B2678" w:rsidP="00D22450">
      <w:pPr>
        <w:adjustRightInd w:val="0"/>
        <w:snapToGrid w:val="0"/>
        <w:spacing w:line="360" w:lineRule="auto"/>
        <w:jc w:val="both"/>
        <w:rPr>
          <w:rFonts w:ascii="Book Antiqua" w:hAnsi="Book Antiqua"/>
        </w:rPr>
      </w:pPr>
      <w:bookmarkStart w:id="47" w:name="OLE_LINK11"/>
      <w:bookmarkStart w:id="48" w:name="OLE_LINK12"/>
      <w:bookmarkStart w:id="49" w:name="OLE_LINK56"/>
      <w:r w:rsidRPr="00D22450">
        <w:rPr>
          <w:rFonts w:ascii="Book Antiqua" w:eastAsia="Book Antiqua" w:hAnsi="Book Antiqua" w:cs="Book Antiqua"/>
          <w:color w:val="000000"/>
        </w:rPr>
        <w:t>Of the initial 151 patients who underwent liver biopsy, 145 were eligible for the study. The average age was 60 (± 13) years, 61% patients were male, 40% BMI</w:t>
      </w:r>
      <w:r w:rsidR="00763654"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763654"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30 kg.m</w:t>
      </w:r>
      <w:r w:rsidRPr="00D22450">
        <w:rPr>
          <w:rFonts w:ascii="Book Antiqua" w:eastAsia="Book Antiqua" w:hAnsi="Book Antiqua" w:cs="Book Antiqua"/>
          <w:color w:val="000000"/>
          <w:vertAlign w:val="superscript"/>
        </w:rPr>
        <w:t>-2</w:t>
      </w:r>
      <w:r w:rsidRPr="00D22450">
        <w:rPr>
          <w:rFonts w:ascii="Book Antiqua" w:eastAsia="Book Antiqua" w:hAnsi="Book Antiqua" w:cs="Book Antiqua"/>
          <w:color w:val="000000"/>
        </w:rPr>
        <w:t> and 60% of patients had NASH (NAS ≥</w:t>
      </w:r>
      <w:r w:rsidR="00763654"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4 with ballooning ≥</w:t>
      </w:r>
      <w:r w:rsidR="00763654"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1 and inflammation ≥</w:t>
      </w:r>
      <w:r w:rsidR="00763654"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1; Table 1). There was a broad range of histology scores across all aspects of the key histopathological hallmarks of NASH (Table </w:t>
      </w:r>
      <w:r w:rsidR="000F35AB" w:rsidRPr="00D22450">
        <w:rPr>
          <w:rFonts w:ascii="Book Antiqua" w:eastAsia="Book Antiqua" w:hAnsi="Book Antiqua" w:cs="Book Antiqua"/>
          <w:color w:val="000000"/>
        </w:rPr>
        <w:t>2</w:t>
      </w:r>
      <w:r w:rsidRPr="00D22450">
        <w:rPr>
          <w:rFonts w:ascii="Book Antiqua" w:eastAsia="Book Antiqua" w:hAnsi="Book Antiqua" w:cs="Book Antiqua"/>
          <w:color w:val="000000"/>
        </w:rPr>
        <w:t xml:space="preserve">). From the entire cohort, one had missing MRE data, two had missing </w:t>
      </w:r>
      <w:r w:rsidR="00882C59" w:rsidRPr="00882C59">
        <w:rPr>
          <w:rFonts w:ascii="Book Antiqua" w:eastAsia="Book Antiqua" w:hAnsi="Book Antiqua" w:cs="Book Antiqua"/>
          <w:color w:val="000000"/>
        </w:rPr>
        <w:t>Liver</w:t>
      </w:r>
      <w:r w:rsidR="00882C59" w:rsidRPr="00882C59">
        <w:rPr>
          <w:rFonts w:ascii="Book Antiqua" w:eastAsia="Book Antiqua" w:hAnsi="Book Antiqua" w:cs="Book Antiqua"/>
          <w:i/>
          <w:color w:val="000000"/>
        </w:rPr>
        <w:t>MultiScan</w:t>
      </w:r>
      <w:r w:rsidR="00882C59" w:rsidRPr="00CF76CD">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xml:space="preserve"> data, 28 missing or uninterpretable Fibroscan data, and 61 had missing or uninterpretable 2D-SWE data. Investigation into potential causes of failure for the ultrasound</w:t>
      </w:r>
      <w:r w:rsidR="00763654"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based methods revealed BMI to be significantly higher in the cases in which VCTE-LSM was unreported (31.7 kg.m</w:t>
      </w:r>
      <w:r w:rsidRPr="00D22450">
        <w:rPr>
          <w:rFonts w:ascii="Book Antiqua" w:eastAsia="Book Antiqua" w:hAnsi="Book Antiqua" w:cs="Book Antiqua"/>
          <w:color w:val="000000"/>
          <w:vertAlign w:val="superscript"/>
        </w:rPr>
        <w:t>-2</w:t>
      </w:r>
      <w:r w:rsidR="0073394A" w:rsidRPr="00D22450">
        <w:rPr>
          <w:rFonts w:ascii="Book Antiqua" w:eastAsia="Book Antiqua" w:hAnsi="Book Antiqua" w:cs="Book Antiqua"/>
          <w:color w:val="000000"/>
        </w:rPr>
        <w:t> </w:t>
      </w:r>
      <w:r w:rsidR="0073394A" w:rsidRPr="00D22450">
        <w:rPr>
          <w:rFonts w:ascii="Book Antiqua" w:eastAsia="Book Antiqua" w:hAnsi="Book Antiqua" w:cs="Book Antiqua"/>
          <w:i/>
          <w:color w:val="000000"/>
        </w:rPr>
        <w:t>v</w:t>
      </w:r>
      <w:r w:rsidRPr="00D22450">
        <w:rPr>
          <w:rFonts w:ascii="Book Antiqua" w:eastAsia="Book Antiqua" w:hAnsi="Book Antiqua" w:cs="Book Antiqua"/>
          <w:i/>
          <w:color w:val="000000"/>
        </w:rPr>
        <w:t>s</w:t>
      </w:r>
      <w:r w:rsidRPr="00D22450">
        <w:rPr>
          <w:rFonts w:ascii="Book Antiqua" w:eastAsia="Book Antiqua" w:hAnsi="Book Antiqua" w:cs="Book Antiqua"/>
          <w:color w:val="000000"/>
        </w:rPr>
        <w:t xml:space="preserve"> 28.1 kg.m</w:t>
      </w:r>
      <w:r w:rsidRPr="00D22450">
        <w:rPr>
          <w:rFonts w:ascii="Book Antiqua" w:eastAsia="Book Antiqua" w:hAnsi="Book Antiqua" w:cs="Book Antiqua"/>
          <w:color w:val="000000"/>
          <w:vertAlign w:val="superscript"/>
        </w:rPr>
        <w:t>-2</w:t>
      </w:r>
      <w:r w:rsidRPr="00D22450">
        <w:rPr>
          <w:rFonts w:ascii="Book Antiqua" w:eastAsia="Book Antiqua" w:hAnsi="Book Antiqua" w:cs="Book Antiqua"/>
          <w:color w:val="000000"/>
        </w:rPr>
        <w:t xml:space="preserve">, </w:t>
      </w:r>
      <w:r w:rsidRPr="00D22450">
        <w:rPr>
          <w:rFonts w:ascii="Book Antiqua" w:eastAsia="Book Antiqua" w:hAnsi="Book Antiqua" w:cs="Book Antiqua"/>
          <w:i/>
          <w:iCs/>
          <w:color w:val="000000"/>
        </w:rPr>
        <w:t>P</w:t>
      </w:r>
      <w:r w:rsidRPr="00D22450">
        <w:rPr>
          <w:rFonts w:ascii="Book Antiqua" w:eastAsia="Book Antiqua" w:hAnsi="Book Antiqua" w:cs="Book Antiqua"/>
          <w:color w:val="000000"/>
        </w:rPr>
        <w:t xml:space="preserve"> &lt;</w:t>
      </w:r>
      <w:r w:rsidR="00763654" w:rsidRPr="00D22450">
        <w:rPr>
          <w:rFonts w:ascii="Book Antiqua" w:eastAsia="Book Antiqua" w:hAnsi="Book Antiqua" w:cs="Book Antiqua"/>
          <w:color w:val="000000"/>
        </w:rPr>
        <w:t xml:space="preserve"> 0</w:t>
      </w:r>
      <w:r w:rsidRPr="00D22450">
        <w:rPr>
          <w:rFonts w:ascii="Book Antiqua" w:eastAsia="Book Antiqua" w:hAnsi="Book Antiqua" w:cs="Book Antiqua"/>
          <w:color w:val="000000"/>
        </w:rPr>
        <w:t>.05), and similarly was elevated in those with missing 2D-SWE (29.5 kg.m</w:t>
      </w:r>
      <w:r w:rsidRPr="00D22450">
        <w:rPr>
          <w:rFonts w:ascii="Book Antiqua" w:eastAsia="Book Antiqua" w:hAnsi="Book Antiqua" w:cs="Book Antiqua"/>
          <w:color w:val="000000"/>
          <w:vertAlign w:val="superscript"/>
        </w:rPr>
        <w:t>-2</w:t>
      </w:r>
      <w:r w:rsidR="0073394A" w:rsidRPr="00D22450">
        <w:rPr>
          <w:rFonts w:ascii="Book Antiqua" w:eastAsia="Book Antiqua" w:hAnsi="Book Antiqua" w:cs="Book Antiqua"/>
          <w:color w:val="000000"/>
        </w:rPr>
        <w:t> </w:t>
      </w:r>
      <w:r w:rsidR="0073394A" w:rsidRPr="00D22450">
        <w:rPr>
          <w:rFonts w:ascii="Book Antiqua" w:eastAsia="Book Antiqua" w:hAnsi="Book Antiqua" w:cs="Book Antiqua"/>
          <w:i/>
          <w:color w:val="000000"/>
        </w:rPr>
        <w:t>v</w:t>
      </w:r>
      <w:r w:rsidRPr="00D22450">
        <w:rPr>
          <w:rFonts w:ascii="Book Antiqua" w:eastAsia="Book Antiqua" w:hAnsi="Book Antiqua" w:cs="Book Antiqua"/>
          <w:i/>
          <w:color w:val="000000"/>
        </w:rPr>
        <w:t xml:space="preserve">s </w:t>
      </w:r>
      <w:r w:rsidRPr="00D22450">
        <w:rPr>
          <w:rFonts w:ascii="Book Antiqua" w:eastAsia="Book Antiqua" w:hAnsi="Book Antiqua" w:cs="Book Antiqua"/>
          <w:color w:val="000000"/>
        </w:rPr>
        <w:t>27.9 kg.m</w:t>
      </w:r>
      <w:r w:rsidRPr="00D22450">
        <w:rPr>
          <w:rFonts w:ascii="Book Antiqua" w:eastAsia="Book Antiqua" w:hAnsi="Book Antiqua" w:cs="Book Antiqua"/>
          <w:color w:val="000000"/>
          <w:vertAlign w:val="superscript"/>
        </w:rPr>
        <w:t>-2</w:t>
      </w:r>
      <w:r w:rsidRPr="00D22450">
        <w:rPr>
          <w:rFonts w:ascii="Book Antiqua" w:eastAsia="Book Antiqua" w:hAnsi="Book Antiqua" w:cs="Book Antiqua"/>
          <w:color w:val="000000"/>
        </w:rPr>
        <w:t>).</w:t>
      </w:r>
    </w:p>
    <w:p w14:paraId="3D65E410" w14:textId="77777777" w:rsidR="00A77B3E" w:rsidRPr="00D22450" w:rsidRDefault="00A77B3E" w:rsidP="00D22450">
      <w:pPr>
        <w:adjustRightInd w:val="0"/>
        <w:snapToGrid w:val="0"/>
        <w:spacing w:line="360" w:lineRule="auto"/>
        <w:jc w:val="both"/>
        <w:rPr>
          <w:rFonts w:ascii="Book Antiqua" w:hAnsi="Book Antiqua"/>
        </w:rPr>
      </w:pPr>
    </w:p>
    <w:p w14:paraId="08EB01E6" w14:textId="18C8A462" w:rsidR="00A77B3E" w:rsidRDefault="004B2678" w:rsidP="00D22450">
      <w:pPr>
        <w:adjustRightInd w:val="0"/>
        <w:snapToGrid w:val="0"/>
        <w:spacing w:line="360" w:lineRule="auto"/>
        <w:jc w:val="both"/>
        <w:rPr>
          <w:rStyle w:val="Heading2Char"/>
          <w:rFonts w:ascii="Book Antiqua" w:hAnsi="Book Antiqua" w:cs="Book Antiqua"/>
          <w:b/>
          <w:bCs/>
          <w:i/>
          <w:iCs/>
          <w:color w:val="000000"/>
          <w:lang w:eastAsia="zh-CN"/>
        </w:rPr>
      </w:pPr>
      <w:r w:rsidRPr="00D22450">
        <w:rPr>
          <w:rStyle w:val="Heading2Char"/>
          <w:rFonts w:ascii="Book Antiqua" w:eastAsia="Book Antiqua" w:hAnsi="Book Antiqua" w:cs="Book Antiqua"/>
          <w:b/>
          <w:bCs/>
          <w:i/>
          <w:iCs/>
          <w:color w:val="000000"/>
        </w:rPr>
        <w:t>Diagnostic accuracy of non-invasive imaging markers for differentiation of disease activity</w:t>
      </w:r>
    </w:p>
    <w:p w14:paraId="63825CFA" w14:textId="77777777" w:rsidR="00434F12" w:rsidRPr="00434F12" w:rsidRDefault="00434F12" w:rsidP="00D22450">
      <w:pPr>
        <w:adjustRightInd w:val="0"/>
        <w:snapToGrid w:val="0"/>
        <w:spacing w:line="360" w:lineRule="auto"/>
        <w:jc w:val="both"/>
        <w:rPr>
          <w:rFonts w:ascii="Book Antiqua" w:hAnsi="Book Antiqua"/>
          <w:bCs/>
          <w:lang w:eastAsia="zh-CN"/>
        </w:rPr>
      </w:pPr>
    </w:p>
    <w:p w14:paraId="5613FF60" w14:textId="77777777" w:rsidR="0073394A"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t>Steatosis (NAFL): </w:t>
      </w:r>
      <w:r w:rsidRPr="00D22450">
        <w:rPr>
          <w:rFonts w:ascii="Book Antiqua" w:eastAsia="Book Antiqua" w:hAnsi="Book Antiqua" w:cs="Book Antiqua"/>
          <w:color w:val="000000"/>
        </w:rPr>
        <w:t>MR Liver fat</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AUC:</w:t>
      </w:r>
      <w:r w:rsidR="0073394A"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0.92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 0.87-0.98</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and CAP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0.75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 0.58-0.92</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both discriminated between steatosis ≥</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1, while the other imaging markers were unable to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cT1 AUC: 0.64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 0.46-0.82</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MRE AUC: 0.53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 0.33-0.72</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VCTE-LSM AUC: 0.60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 0.37-0.82</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2D-SWE AUC: 0.53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 0.22-0.84</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For steatosis ≥</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2, MR liver fat again showed the best performance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MR liver fat: </w:t>
      </w:r>
      <w:r w:rsidRPr="00D22450">
        <w:rPr>
          <w:rFonts w:ascii="Book Antiqua" w:eastAsia="Book Antiqua" w:hAnsi="Book Antiqua" w:cs="Book Antiqua"/>
          <w:color w:val="000000"/>
        </w:rPr>
        <w:lastRenderedPageBreak/>
        <w:t xml:space="preserve">AUC: 0.86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 0.80-0.93</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w:t>
      </w:r>
      <w:r w:rsidRPr="00D22450">
        <w:rPr>
          <w:rFonts w:ascii="Book Antiqua" w:eastAsia="Book Antiqua" w:hAnsi="Book Antiqua" w:cs="Book Antiqua"/>
          <w:i/>
          <w:iCs/>
          <w:color w:val="000000"/>
        </w:rPr>
        <w:t>vs</w:t>
      </w:r>
      <w:r w:rsidRPr="00D22450">
        <w:rPr>
          <w:rFonts w:ascii="Book Antiqua" w:eastAsia="Book Antiqua" w:hAnsi="Book Antiqua" w:cs="Book Antiqua"/>
          <w:color w:val="000000"/>
        </w:rPr>
        <w:t xml:space="preserve"> CAP AUC: 0.68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 0.59-0.78</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7 patients had CAP technical failure and 10 patients were not able to gain reliable results.</w:t>
      </w:r>
    </w:p>
    <w:p w14:paraId="1D2CB024" w14:textId="77777777" w:rsidR="0073394A" w:rsidRPr="00D22450" w:rsidRDefault="0073394A" w:rsidP="00D22450">
      <w:pPr>
        <w:adjustRightInd w:val="0"/>
        <w:snapToGrid w:val="0"/>
        <w:spacing w:line="360" w:lineRule="auto"/>
        <w:jc w:val="both"/>
        <w:rPr>
          <w:rFonts w:ascii="Book Antiqua" w:hAnsi="Book Antiqua"/>
        </w:rPr>
      </w:pPr>
    </w:p>
    <w:p w14:paraId="231DD5CF" w14:textId="0AE35875" w:rsidR="00A77B3E" w:rsidRPr="00D22450" w:rsidRDefault="004B2678" w:rsidP="00D22450">
      <w:pPr>
        <w:adjustRightInd w:val="0"/>
        <w:snapToGrid w:val="0"/>
        <w:spacing w:line="360" w:lineRule="auto"/>
        <w:jc w:val="both"/>
        <w:rPr>
          <w:rFonts w:ascii="Book Antiqua" w:eastAsia="Book Antiqua" w:hAnsi="Book Antiqua" w:cs="Book Antiqua"/>
          <w:color w:val="000000"/>
        </w:rPr>
      </w:pPr>
      <w:r w:rsidRPr="00D22450">
        <w:rPr>
          <w:rFonts w:ascii="Book Antiqua" w:eastAsia="Book Antiqua" w:hAnsi="Book Antiqua" w:cs="Book Antiqua"/>
          <w:b/>
          <w:bCs/>
          <w:color w:val="000000"/>
        </w:rPr>
        <w:t>NASH:</w:t>
      </w:r>
      <w:r w:rsidRPr="00D22450">
        <w:rPr>
          <w:rFonts w:ascii="Book Antiqua" w:eastAsia="Book Antiqua" w:hAnsi="Book Antiqua" w:cs="Book Antiqua"/>
          <w:color w:val="000000"/>
        </w:rPr>
        <w:t> To diagnose steatohepatitis (NAS</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4 with at least one in both ballooning and inflammation), MR liver fat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73394A"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0.80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0.73-0.87</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cT1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73394A"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0.75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0.67-0.84</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and CAP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0.71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0.62-0.80</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all had good discriminatory performance, while VCTE-LSM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AUC: 0.56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0.45-0.66</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MRE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0.57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73394A"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0.47-0.67</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and 2D-SWE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AUC: 0.58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0.45-0.71</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were not as effective (Figure </w:t>
      </w:r>
      <w:r w:rsidR="00765325" w:rsidRPr="00D22450">
        <w:rPr>
          <w:rFonts w:ascii="Book Antiqua" w:eastAsia="Book Antiqua" w:hAnsi="Book Antiqua" w:cs="Book Antiqua"/>
          <w:color w:val="000000"/>
        </w:rPr>
        <w:t>3</w:t>
      </w:r>
      <w:r w:rsidRPr="00D22450">
        <w:rPr>
          <w:rFonts w:ascii="Book Antiqua" w:eastAsia="Book Antiqua" w:hAnsi="Book Antiqua" w:cs="Book Antiqua"/>
          <w:color w:val="000000"/>
        </w:rPr>
        <w:t xml:space="preserve">). Multivariate analysis to explore the potential for increased diagnostic performance of biomarkers used in combination for identifying those with NASH, revealed the combination of cT1 and MR liver fat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0.83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0.76-0.90</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was superior to the individual markers and to that of VCTE-LSM and CAP in combination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0.71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0.66-0.8</w:t>
      </w:r>
      <w:r w:rsidR="00294647" w:rsidRPr="00D22450">
        <w:rPr>
          <w:rFonts w:ascii="Book Antiqua" w:eastAsia="Book Antiqua" w:hAnsi="Book Antiqua" w:cs="Book Antiqua"/>
          <w:color w:val="000000"/>
        </w:rPr>
        <w:t>)</w:t>
      </w:r>
      <w:r w:rsidR="00E866F8" w:rsidRPr="00D22450">
        <w:rPr>
          <w:rFonts w:ascii="Book Antiqua" w:eastAsia="Book Antiqua" w:hAnsi="Book Antiqua" w:cs="Book Antiqua"/>
          <w:color w:val="000000"/>
        </w:rPr>
        <w:t>]</w:t>
      </w:r>
      <w:r w:rsidR="00985181">
        <w:rPr>
          <w:rFonts w:ascii="Book Antiqua" w:eastAsia="Book Antiqua" w:hAnsi="Book Antiqua" w:cs="Book Antiqua"/>
          <w:color w:val="000000"/>
        </w:rPr>
        <w:t xml:space="preserve"> (Figure 4)</w:t>
      </w:r>
      <w:r w:rsidR="00E866F8" w:rsidRPr="00D22450">
        <w:rPr>
          <w:rFonts w:ascii="Book Antiqua" w:eastAsia="Book Antiqua" w:hAnsi="Book Antiqua" w:cs="Book Antiqua"/>
          <w:color w:val="000000"/>
        </w:rPr>
        <w:t>.</w:t>
      </w:r>
    </w:p>
    <w:p w14:paraId="031482F8" w14:textId="77777777" w:rsidR="0073394A" w:rsidRPr="00D22450" w:rsidRDefault="0073394A" w:rsidP="00D22450">
      <w:pPr>
        <w:adjustRightInd w:val="0"/>
        <w:snapToGrid w:val="0"/>
        <w:spacing w:line="360" w:lineRule="auto"/>
        <w:jc w:val="both"/>
        <w:rPr>
          <w:rFonts w:ascii="Book Antiqua" w:hAnsi="Book Antiqua"/>
        </w:rPr>
      </w:pPr>
    </w:p>
    <w:p w14:paraId="7D41D9C8" w14:textId="2E17EA53" w:rsidR="00A77B3E" w:rsidRPr="00D22450" w:rsidRDefault="004B2678" w:rsidP="00D22450">
      <w:pPr>
        <w:adjustRightInd w:val="0"/>
        <w:snapToGrid w:val="0"/>
        <w:spacing w:line="360" w:lineRule="auto"/>
        <w:jc w:val="both"/>
        <w:rPr>
          <w:rFonts w:ascii="Book Antiqua" w:eastAsia="Book Antiqua" w:hAnsi="Book Antiqua" w:cs="Book Antiqua"/>
          <w:color w:val="000000"/>
        </w:rPr>
      </w:pPr>
      <w:r w:rsidRPr="00D22450">
        <w:rPr>
          <w:rFonts w:ascii="Book Antiqua" w:eastAsia="Book Antiqua" w:hAnsi="Book Antiqua" w:cs="Book Antiqua"/>
          <w:b/>
          <w:bCs/>
          <w:color w:val="000000"/>
        </w:rPr>
        <w:t>Fibrosis:</w:t>
      </w:r>
      <w:r w:rsidRPr="00D22450">
        <w:rPr>
          <w:rFonts w:ascii="Book Antiqua" w:eastAsia="Book Antiqua" w:hAnsi="Book Antiqua" w:cs="Book Antiqua"/>
          <w:color w:val="000000"/>
        </w:rPr>
        <w:t> To measure fibrosis alone, MRE</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0.97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0.94-1.0</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VCTE-LSM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0.94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0.9-0.99</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and 2D-SWE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0.94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0.86-1.0</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were all excellent at discriminating for any fibrosis (≥</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1) whilst MR liver fat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0.68</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0.44-0.92</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cT1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0.63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0.3-0.97</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and CAP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0.6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0.39-0.81</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were not as effective. These performances were maintained for discriminating those with more advanced fibrosis (≥</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2): MRE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0.92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0.87-0.97</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VCTE-LSM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0.88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0.81-0.95</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2D-SWE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0.87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0.76-0.99</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compared to cT1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0.62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0.49-0.74</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MR liver fat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1E4DE8"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0.60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0.48-0.72</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and CAP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0.57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0.45-0.70</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VCTE-LSM, and to an even greater extent 2D-SWE, however both had high levels of missing data (20% and 42% respectively) likely related to elevated obesity. </w:t>
      </w:r>
    </w:p>
    <w:p w14:paraId="44F10BA8" w14:textId="77777777" w:rsidR="0073394A" w:rsidRPr="00D22450" w:rsidRDefault="0073394A" w:rsidP="00D22450">
      <w:pPr>
        <w:adjustRightInd w:val="0"/>
        <w:snapToGrid w:val="0"/>
        <w:spacing w:line="360" w:lineRule="auto"/>
        <w:jc w:val="both"/>
        <w:rPr>
          <w:rFonts w:ascii="Book Antiqua" w:hAnsi="Book Antiqua"/>
        </w:rPr>
      </w:pPr>
    </w:p>
    <w:p w14:paraId="35463C55" w14:textId="3677246E"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t>Advanced NASH: </w:t>
      </w:r>
      <w:r w:rsidRPr="00D22450">
        <w:rPr>
          <w:rFonts w:ascii="Book Antiqua" w:eastAsia="Book Antiqua" w:hAnsi="Book Antiqua" w:cs="Book Antiqua"/>
          <w:color w:val="000000"/>
        </w:rPr>
        <w:t>To identify those with NASH and advanced fibrosis (NAS</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4 with F</w:t>
      </w:r>
      <w:r w:rsidR="00413A9D"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2), both cT1 </w:t>
      </w:r>
      <w:r w:rsidR="00413A9D"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0.74 </w:t>
      </w:r>
      <w:r w:rsidR="00413A9D"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1E4DE8"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0.66-0.82</w:t>
      </w:r>
      <w:r w:rsidR="00413A9D"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and MR liver fat </w:t>
      </w:r>
      <w:r w:rsidR="00413A9D"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0.71 </w:t>
      </w:r>
      <w:r w:rsidR="00413A9D"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0.63-0.80</w:t>
      </w:r>
      <w:r w:rsidR="00413A9D"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outperformed the other measures; MRE </w:t>
      </w:r>
      <w:r w:rsidR="00413A9D"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1E4DE8"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0.66 </w:t>
      </w:r>
      <w:r w:rsidR="00413A9D"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0.57-0.75</w:t>
      </w:r>
      <w:r w:rsidR="00413A9D"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VCTE-LSM </w:t>
      </w:r>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AUC: 0.64 </w:t>
      </w:r>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0.54-0.74</w:t>
      </w:r>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CAP </w:t>
      </w:r>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AUC: 0.68 </w:t>
      </w:r>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0.59-0.78</w:t>
      </w:r>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 and 2D-</w:t>
      </w:r>
      <w:r w:rsidRPr="00D22450">
        <w:rPr>
          <w:rFonts w:ascii="Book Antiqua" w:eastAsia="Book Antiqua" w:hAnsi="Book Antiqua" w:cs="Book Antiqua"/>
          <w:color w:val="000000"/>
        </w:rPr>
        <w:lastRenderedPageBreak/>
        <w:t xml:space="preserve">SWE </w:t>
      </w:r>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AUC: 0.62 </w:t>
      </w:r>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0.49-0.75</w:t>
      </w:r>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 Combining cT1 and MR liver fat improved the performance</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0.76</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0.69-0.84</w:t>
      </w:r>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and was superior to the combination of VCTE-LSM and CAP </w:t>
      </w:r>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0.70</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0.61-0.79</w:t>
      </w:r>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w:t>
      </w:r>
      <w:r w:rsidR="00985181">
        <w:rPr>
          <w:rFonts w:ascii="Book Antiqua" w:eastAsia="Book Antiqua" w:hAnsi="Book Antiqua" w:cs="Book Antiqua"/>
          <w:color w:val="000000"/>
        </w:rPr>
        <w:t>, (Figure 4)</w:t>
      </w:r>
      <w:r w:rsidRPr="00D22450">
        <w:rPr>
          <w:rFonts w:ascii="Book Antiqua" w:eastAsia="Book Antiqua" w:hAnsi="Book Antiqua" w:cs="Book Antiqua"/>
          <w:color w:val="000000"/>
        </w:rPr>
        <w:t>.</w:t>
      </w:r>
    </w:p>
    <w:p w14:paraId="62854A5D" w14:textId="77777777" w:rsidR="00A77B3E" w:rsidRPr="00D22450" w:rsidRDefault="00A77B3E" w:rsidP="00D22450">
      <w:pPr>
        <w:adjustRightInd w:val="0"/>
        <w:snapToGrid w:val="0"/>
        <w:spacing w:line="360" w:lineRule="auto"/>
        <w:jc w:val="both"/>
        <w:rPr>
          <w:rFonts w:ascii="Book Antiqua" w:hAnsi="Book Antiqua"/>
        </w:rPr>
      </w:pPr>
    </w:p>
    <w:p w14:paraId="2E82C88C" w14:textId="77777777" w:rsidR="00A77B3E" w:rsidRPr="00D22450" w:rsidRDefault="004B2678" w:rsidP="00D22450">
      <w:pPr>
        <w:adjustRightInd w:val="0"/>
        <w:snapToGrid w:val="0"/>
        <w:spacing w:line="360" w:lineRule="auto"/>
        <w:jc w:val="both"/>
        <w:rPr>
          <w:rFonts w:ascii="Book Antiqua" w:hAnsi="Book Antiqua"/>
          <w:b/>
          <w:bCs/>
        </w:rPr>
      </w:pPr>
      <w:r w:rsidRPr="00D22450">
        <w:rPr>
          <w:rStyle w:val="Heading2Char"/>
          <w:rFonts w:ascii="Book Antiqua" w:eastAsia="Book Antiqua" w:hAnsi="Book Antiqua" w:cs="Book Antiqua"/>
          <w:b/>
          <w:bCs/>
          <w:i/>
          <w:iCs/>
          <w:color w:val="000000"/>
          <w:shd w:val="clear" w:color="auto" w:fill="FFFFFF"/>
        </w:rPr>
        <w:t>Correlations between image derived biomarkers and histological markers of disease</w:t>
      </w:r>
    </w:p>
    <w:p w14:paraId="6A5478E0" w14:textId="6DB4AAA1"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MRI cT1 correlated significantly wit</w:t>
      </w:r>
      <w:r w:rsidR="0073394A" w:rsidRPr="00D22450">
        <w:rPr>
          <w:rFonts w:ascii="Book Antiqua" w:eastAsia="Book Antiqua" w:hAnsi="Book Antiqua" w:cs="Book Antiqua"/>
          <w:color w:val="000000"/>
        </w:rPr>
        <w:t>h all key aspects of histology [</w:t>
      </w:r>
      <w:r w:rsidRPr="00D22450">
        <w:rPr>
          <w:rFonts w:ascii="Book Antiqua" w:eastAsia="Book Antiqua" w:hAnsi="Book Antiqua" w:cs="Book Antiqua"/>
          <w:color w:val="000000"/>
        </w:rPr>
        <w:t>fibrosis, steatosis, ballooning and lobular inflammation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0.24,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0.29,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0.39,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0073394A" w:rsidRPr="00D22450">
        <w:rPr>
          <w:rFonts w:ascii="Book Antiqua" w:eastAsia="Book Antiqua" w:hAnsi="Book Antiqua" w:cs="Book Antiqua"/>
          <w:color w:val="000000"/>
        </w:rPr>
        <w:t>0.31, respectively)]</w:t>
      </w:r>
      <w:r w:rsidRPr="00D22450">
        <w:rPr>
          <w:rFonts w:ascii="Book Antiqua" w:eastAsia="Book Antiqua" w:hAnsi="Book Antiqua" w:cs="Book Antiqua"/>
          <w:color w:val="000000"/>
        </w:rPr>
        <w:t xml:space="preserve"> and with overall NAS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0.58). MR liver fat was positively correlated with steatosis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0.70), and with inflammation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0.28), ballooning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0.29) and overall NAS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 0.64) but was negatively correlated with fibrosis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-0.25). MRE was significantly correlated with fibrosis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0.75) and ballooning and lobular inflammation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0.32,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0.16 respectively) and negatively correlated with steatosis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001E4DE8" w:rsidRPr="00D22450">
        <w:rPr>
          <w:rFonts w:ascii="Book Antiqua" w:eastAsia="Book Antiqua" w:hAnsi="Book Antiqua" w:cs="Book Antiqua"/>
          <w:color w:val="000000"/>
        </w:rPr>
        <w:t>-</w:t>
      </w:r>
      <w:r w:rsidRPr="00D22450">
        <w:rPr>
          <w:rFonts w:ascii="Book Antiqua" w:eastAsia="Book Antiqua" w:hAnsi="Book Antiqua" w:cs="Book Antiqua"/>
          <w:color w:val="000000"/>
        </w:rPr>
        <w:t>0.23). VCTE-LSM correlated significantly with fibrosis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0.69) and ballooning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0.29), and CAP with steatosis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0.39), inflammation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0.26), ballooning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0.33) and NAS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0.49). 2D shear-wave elastography was positively correlated with fibrosis (r</w:t>
      </w:r>
      <w:r w:rsidRPr="00D22450">
        <w:rPr>
          <w:rFonts w:ascii="Book Antiqua" w:eastAsia="Book Antiqua" w:hAnsi="Book Antiqua" w:cs="Book Antiqua"/>
          <w:color w:val="000000"/>
          <w:vertAlign w:val="subscript"/>
        </w:rPr>
        <w:t>s</w:t>
      </w:r>
      <w:r w:rsidR="00496576"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0.72) and ballooning (r</w:t>
      </w:r>
      <w:r w:rsidRPr="00D22450">
        <w:rPr>
          <w:rFonts w:ascii="Book Antiqua" w:eastAsia="Book Antiqua" w:hAnsi="Book Antiqua" w:cs="Book Antiqua"/>
          <w:color w:val="000000"/>
          <w:vertAlign w:val="subscript"/>
        </w:rPr>
        <w:t>s</w:t>
      </w:r>
      <w:r w:rsidR="00496576"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0.34; Table </w:t>
      </w:r>
      <w:r w:rsidR="000F35AB" w:rsidRPr="00D22450">
        <w:rPr>
          <w:rFonts w:ascii="Book Antiqua" w:eastAsia="Book Antiqua" w:hAnsi="Book Antiqua" w:cs="Book Antiqua"/>
          <w:color w:val="000000"/>
        </w:rPr>
        <w:t>3</w:t>
      </w:r>
      <w:r w:rsidRPr="00D22450">
        <w:rPr>
          <w:rFonts w:ascii="Book Antiqua" w:eastAsia="Book Antiqua" w:hAnsi="Book Antiqua" w:cs="Book Antiqua"/>
          <w:color w:val="000000"/>
        </w:rPr>
        <w:t>).</w:t>
      </w:r>
    </w:p>
    <w:p w14:paraId="29DA72BE" w14:textId="77777777" w:rsidR="00CD6FCC" w:rsidRPr="00D22450" w:rsidRDefault="00CD6FCC" w:rsidP="00D22450">
      <w:pPr>
        <w:adjustRightInd w:val="0"/>
        <w:snapToGrid w:val="0"/>
        <w:spacing w:line="360" w:lineRule="auto"/>
        <w:jc w:val="both"/>
        <w:rPr>
          <w:rStyle w:val="Heading2Char"/>
          <w:rFonts w:ascii="Book Antiqua" w:eastAsia="Book Antiqua" w:hAnsi="Book Antiqua" w:cs="Book Antiqua"/>
          <w:b/>
          <w:bCs/>
          <w:i/>
          <w:iCs/>
          <w:color w:val="000000"/>
        </w:rPr>
      </w:pPr>
    </w:p>
    <w:p w14:paraId="45AE174B" w14:textId="4F9BDF83" w:rsidR="00A77B3E" w:rsidRPr="00D22450" w:rsidRDefault="004B2678" w:rsidP="00D22450">
      <w:pPr>
        <w:adjustRightInd w:val="0"/>
        <w:snapToGrid w:val="0"/>
        <w:spacing w:line="360" w:lineRule="auto"/>
        <w:jc w:val="both"/>
        <w:rPr>
          <w:rFonts w:ascii="Book Antiqua" w:hAnsi="Book Antiqua"/>
          <w:b/>
          <w:bCs/>
        </w:rPr>
      </w:pPr>
      <w:r w:rsidRPr="00D22450">
        <w:rPr>
          <w:rStyle w:val="Heading2Char"/>
          <w:rFonts w:ascii="Book Antiqua" w:eastAsia="Book Antiqua" w:hAnsi="Book Antiqua" w:cs="Book Antiqua"/>
          <w:b/>
          <w:bCs/>
          <w:i/>
          <w:iCs/>
          <w:color w:val="000000"/>
        </w:rPr>
        <w:t>Concordance between pathologists</w:t>
      </w:r>
    </w:p>
    <w:p w14:paraId="42C083FE" w14:textId="3DEC1F31"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Assessment of the overall agreement (Krippendorff’s alpha) of the pathologists for each histological marker showed that there was moderate agreement for indicators of steatosis and NAS (a</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0.5</w:t>
      </w:r>
      <w:r w:rsidR="00AD02E6">
        <w:rPr>
          <w:rFonts w:ascii="Book Antiqua" w:eastAsia="Book Antiqua" w:hAnsi="Book Antiqua" w:cs="Book Antiqua"/>
          <w:color w:val="000000"/>
        </w:rPr>
        <w:t>8</w:t>
      </w:r>
      <w:r w:rsidRPr="00D22450">
        <w:rPr>
          <w:rFonts w:ascii="Book Antiqua" w:eastAsia="Book Antiqua" w:hAnsi="Book Antiqua" w:cs="Book Antiqua"/>
          <w:color w:val="000000"/>
        </w:rPr>
        <w:t xml:space="preserve"> and a</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0.42 respectively), fair agreement for ballooning and fibrosis (a</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w:t>
      </w:r>
      <w:r w:rsidR="00AD02E6">
        <w:rPr>
          <w:rFonts w:ascii="Book Antiqua" w:eastAsia="Book Antiqua" w:hAnsi="Book Antiqua" w:cs="Book Antiqua"/>
          <w:color w:val="000000"/>
        </w:rPr>
        <w:t>4</w:t>
      </w:r>
      <w:r w:rsidRPr="00D22450">
        <w:rPr>
          <w:rFonts w:ascii="Book Antiqua" w:eastAsia="Book Antiqua" w:hAnsi="Book Antiqua" w:cs="Book Antiqua"/>
          <w:color w:val="000000"/>
        </w:rPr>
        <w:t>0 for both), and none to slight agreement on lobular inflammation (a</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0.11). Assessment of the trivariate weighted kappa scores from individual pathologists for each metric showed no reoccurring pattern of agreement between any two pathologists (Table 4).</w:t>
      </w:r>
    </w:p>
    <w:bookmarkEnd w:id="47"/>
    <w:bookmarkEnd w:id="48"/>
    <w:bookmarkEnd w:id="49"/>
    <w:p w14:paraId="6E9488C1" w14:textId="77777777" w:rsidR="00A77B3E" w:rsidRPr="00D22450" w:rsidRDefault="00A77B3E" w:rsidP="00D22450">
      <w:pPr>
        <w:adjustRightInd w:val="0"/>
        <w:snapToGrid w:val="0"/>
        <w:spacing w:line="360" w:lineRule="auto"/>
        <w:jc w:val="both"/>
        <w:rPr>
          <w:rFonts w:ascii="Book Antiqua" w:hAnsi="Book Antiqua"/>
        </w:rPr>
      </w:pPr>
    </w:p>
    <w:p w14:paraId="534F3A04"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aps/>
          <w:color w:val="000000"/>
          <w:u w:val="single"/>
        </w:rPr>
        <w:t>DISCUSSION</w:t>
      </w:r>
    </w:p>
    <w:p w14:paraId="2171867E" w14:textId="63DDA840" w:rsidR="00A77B3E" w:rsidRPr="00D22450" w:rsidRDefault="004B2678" w:rsidP="00D22450">
      <w:pPr>
        <w:adjustRightInd w:val="0"/>
        <w:snapToGrid w:val="0"/>
        <w:spacing w:line="360" w:lineRule="auto"/>
        <w:jc w:val="both"/>
        <w:rPr>
          <w:rFonts w:ascii="Book Antiqua" w:hAnsi="Book Antiqua"/>
        </w:rPr>
      </w:pPr>
      <w:bookmarkStart w:id="50" w:name="OLE_LINK57"/>
      <w:bookmarkStart w:id="51" w:name="OLE_LINK58"/>
      <w:r w:rsidRPr="00D22450">
        <w:rPr>
          <w:rFonts w:ascii="Book Antiqua" w:eastAsia="Book Antiqua" w:hAnsi="Book Antiqua" w:cs="Book Antiqua"/>
          <w:color w:val="000000"/>
        </w:rPr>
        <w:lastRenderedPageBreak/>
        <w:t>The diagnosis of NASH is important as it provides prognostic information indicating an increased risk of fibrosis progression and liver-related mortality but has hitherto been limited because of the need for histological verification. In clinical practice, distinguishing between NAFL, NASH, and NASH with fibrosis is highly desirable for risk stratification. Patients with steatosis can be educated about future cardiovascular risk, and lifestyle measures to prevent them, while those with NASH, or NASH and fibrosis, can be monitored and treated (pioglitazone, cevoglitazar) to reduce the risk of cardiovascular and liver clinical complications. In this study, we were able</w:t>
      </w:r>
      <w:r w:rsidR="00B87AEF">
        <w:rPr>
          <w:rFonts w:ascii="Book Antiqua" w:eastAsia="Book Antiqua" w:hAnsi="Book Antiqua" w:cs="Book Antiqua"/>
          <w:color w:val="000000"/>
        </w:rPr>
        <w:t xml:space="preserve"> to</w:t>
      </w:r>
      <w:r w:rsidRPr="00D22450">
        <w:rPr>
          <w:rFonts w:ascii="Book Antiqua" w:eastAsia="Book Antiqua" w:hAnsi="Book Antiqua" w:cs="Book Antiqua"/>
          <w:color w:val="000000"/>
        </w:rPr>
        <w:t xml:space="preserve"> identify and differentiate patients with steatosis, NASH, and NASH with fibrosis with good diagnostic performance using non-invasive technologies </w:t>
      </w:r>
      <w:r w:rsidR="00B0704E">
        <w:rPr>
          <w:rFonts w:ascii="Book Antiqua" w:eastAsia="Book Antiqua" w:hAnsi="Book Antiqua" w:cs="Book Antiqua"/>
          <w:color w:val="000000"/>
        </w:rPr>
        <w:t>which</w:t>
      </w:r>
      <w:r w:rsidR="00B0704E"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characterise liver tissue accurately.</w:t>
      </w:r>
    </w:p>
    <w:p w14:paraId="35BA3203" w14:textId="69165250" w:rsidR="00A77B3E" w:rsidRPr="00D22450" w:rsidRDefault="004B2678" w:rsidP="00D22450">
      <w:pPr>
        <w:adjustRightInd w:val="0"/>
        <w:snapToGrid w:val="0"/>
        <w:spacing w:line="360" w:lineRule="auto"/>
        <w:ind w:firstLineChars="100" w:firstLine="240"/>
        <w:jc w:val="both"/>
        <w:rPr>
          <w:rFonts w:ascii="Book Antiqua" w:hAnsi="Book Antiqua"/>
        </w:rPr>
      </w:pPr>
      <w:r w:rsidRPr="00D22450">
        <w:rPr>
          <w:rFonts w:ascii="Book Antiqua" w:eastAsia="Book Antiqua" w:hAnsi="Book Antiqua" w:cs="Book Antiqua"/>
          <w:color w:val="000000"/>
        </w:rPr>
        <w:t>The diagnosis of NASH is based, at present, on the histological presence of steatosis and either lobular inflammation or ballooning, with the presence of fibrosis highlighting disease progression. Currently, the only biomarkers shown to predict outcomes in patients are histological fibrosis and cT1</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19,20,31</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However, cT1 is sensitive to ballooning, inflammation, steatosis as well as fibrosis, and so cannot be considered a pure fibrosis biomarker. When measuring just fibrosis, MRE had greater correlations to histology and greater sensitivity than other methods but could not by itself distinguish NAFL from NASH or NASH with fibrosis. Whilst ultrasound methods are also effective for staging advanced fibrosis, in line with reported literature</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3</w:t>
      </w:r>
      <w:r w:rsidR="00B70E52">
        <w:rPr>
          <w:rFonts w:ascii="Book Antiqua" w:eastAsia="Book Antiqua" w:hAnsi="Book Antiqua" w:cs="Book Antiqua"/>
          <w:color w:val="000000"/>
          <w:vertAlign w:val="superscript"/>
        </w:rPr>
        <w:t>2</w:t>
      </w:r>
      <w:r w:rsidRPr="00D22450">
        <w:rPr>
          <w:rFonts w:ascii="Book Antiqua" w:eastAsia="Book Antiqua" w:hAnsi="Book Antiqua" w:cs="Book Antiqua"/>
          <w:color w:val="000000"/>
          <w:vertAlign w:val="superscript"/>
        </w:rPr>
        <w:t>–3</w:t>
      </w:r>
      <w:r w:rsidR="00B70E52">
        <w:rPr>
          <w:rFonts w:ascii="Book Antiqua" w:eastAsia="Book Antiqua" w:hAnsi="Book Antiqua" w:cs="Book Antiqua"/>
          <w:color w:val="000000"/>
          <w:vertAlign w:val="superscript"/>
        </w:rPr>
        <w:t>5</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they can be less reliable in patients with obesity as seen in the higher BMI observed in this cohort with missing VCTE and 2D-SWE data. In contrast BMI has not been shown to systematically affect the failure rate for MRE</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23</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or of mpMRI</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3</w:t>
      </w:r>
      <w:r w:rsidR="00B70E52">
        <w:rPr>
          <w:rFonts w:ascii="Book Antiqua" w:eastAsia="Book Antiqua" w:hAnsi="Book Antiqua" w:cs="Book Antiqua"/>
          <w:color w:val="000000"/>
          <w:vertAlign w:val="superscript"/>
        </w:rPr>
        <w:t>6</w:t>
      </w:r>
      <w:r w:rsidRPr="00D22450">
        <w:rPr>
          <w:rFonts w:ascii="Book Antiqua" w:eastAsia="Book Antiqua" w:hAnsi="Book Antiqua" w:cs="Book Antiqua"/>
          <w:color w:val="000000"/>
          <w:vertAlign w:val="superscript"/>
        </w:rPr>
        <w:t>,3</w:t>
      </w:r>
      <w:r w:rsidR="00B70E52">
        <w:rPr>
          <w:rFonts w:ascii="Book Antiqua" w:eastAsia="Book Antiqua" w:hAnsi="Book Antiqua" w:cs="Book Antiqua"/>
          <w:color w:val="000000"/>
          <w:vertAlign w:val="superscript"/>
        </w:rPr>
        <w:t>7</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except for the very unusual conditions when a participant is simply too large to fit into the scanner. All elastography measures however have been shown to be confounded by iron, steatosis and inflammation</w:t>
      </w:r>
      <w:r w:rsidR="00CD6FCC" w:rsidRPr="00D22450">
        <w:rPr>
          <w:rFonts w:ascii="Book Antiqua" w:eastAsia="Book Antiqua" w:hAnsi="Book Antiqua" w:cs="Book Antiqua"/>
          <w:color w:val="000000"/>
          <w:vertAlign w:val="superscript"/>
        </w:rPr>
        <w:t>[</w:t>
      </w:r>
      <w:r w:rsidR="00B70E52">
        <w:rPr>
          <w:rFonts w:ascii="Book Antiqua" w:eastAsia="Book Antiqua" w:hAnsi="Book Antiqua" w:cs="Book Antiqua"/>
          <w:color w:val="000000"/>
          <w:vertAlign w:val="superscript"/>
        </w:rPr>
        <w:t>38</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in the measure of fibrosis.</w:t>
      </w:r>
    </w:p>
    <w:p w14:paraId="5B90C3D5" w14:textId="329D1903" w:rsidR="00A77B3E" w:rsidRPr="00D22450" w:rsidRDefault="004B2678" w:rsidP="00D22450">
      <w:pPr>
        <w:adjustRightInd w:val="0"/>
        <w:snapToGrid w:val="0"/>
        <w:spacing w:line="360" w:lineRule="auto"/>
        <w:ind w:firstLineChars="100" w:firstLine="240"/>
        <w:jc w:val="both"/>
        <w:rPr>
          <w:rFonts w:ascii="Book Antiqua" w:hAnsi="Book Antiqua"/>
        </w:rPr>
      </w:pPr>
      <w:r w:rsidRPr="00D22450">
        <w:rPr>
          <w:rFonts w:ascii="Book Antiqua" w:eastAsia="Book Antiqua" w:hAnsi="Book Antiqua" w:cs="Book Antiqua"/>
          <w:color w:val="000000"/>
        </w:rPr>
        <w:t xml:space="preserve">The assessment of steatosis is important as the accumulation of liver fat is linked with the progression of hepatocyte injury that can ultimately result in </w:t>
      </w:r>
      <w:r w:rsidRPr="00D22450">
        <w:rPr>
          <w:rFonts w:ascii="Book Antiqua" w:eastAsia="Book Antiqua" w:hAnsi="Book Antiqua" w:cs="Book Antiqua"/>
          <w:color w:val="000000"/>
        </w:rPr>
        <w:lastRenderedPageBreak/>
        <w:t>fibrosis</w:t>
      </w:r>
      <w:r w:rsidR="00CD6FCC" w:rsidRPr="00D22450">
        <w:rPr>
          <w:rFonts w:ascii="Book Antiqua" w:eastAsia="Book Antiqua" w:hAnsi="Book Antiqua" w:cs="Book Antiqua"/>
          <w:color w:val="000000"/>
          <w:vertAlign w:val="superscript"/>
        </w:rPr>
        <w:t>[</w:t>
      </w:r>
      <w:r w:rsidR="00B70E52">
        <w:rPr>
          <w:rFonts w:ascii="Book Antiqua" w:eastAsia="Book Antiqua" w:hAnsi="Book Antiqua" w:cs="Book Antiqua"/>
          <w:color w:val="000000"/>
          <w:vertAlign w:val="superscript"/>
        </w:rPr>
        <w:t>39</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the downstream consequence of NASH which is linked to poor clinical outcomes</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31</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In this study, MR liver fat demonstrated better performance than CAP for the detection and differentiation of steatosis grades. As a result, this makes MR liver fat a good marker of NAFL and NASH. Where cT1 appears to have an advantage over MR liver fat as a non-invasive biomarker for NASH is in the detection and diagnosis of patients with both NASH and fibrosis. Both cT1, and uncorrected T1 have be</w:t>
      </w:r>
      <w:r w:rsidR="00693ECC">
        <w:rPr>
          <w:rFonts w:ascii="Book Antiqua" w:eastAsia="Book Antiqua" w:hAnsi="Book Antiqua" w:cs="Book Antiqua"/>
          <w:color w:val="000000"/>
        </w:rPr>
        <w:t>en</w:t>
      </w:r>
      <w:r w:rsidRPr="00D22450">
        <w:rPr>
          <w:rFonts w:ascii="Book Antiqua" w:eastAsia="Book Antiqua" w:hAnsi="Book Antiqua" w:cs="Book Antiqua"/>
          <w:color w:val="000000"/>
        </w:rPr>
        <w:t xml:space="preserve"> reported to be elevated in those with advanced liver fibrosis</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4</w:t>
      </w:r>
      <w:r w:rsidR="00B70E52">
        <w:rPr>
          <w:rFonts w:ascii="Book Antiqua" w:eastAsia="Book Antiqua" w:hAnsi="Book Antiqua" w:cs="Book Antiqua"/>
          <w:color w:val="000000"/>
          <w:vertAlign w:val="superscript"/>
        </w:rPr>
        <w:t>0</w:t>
      </w:r>
      <w:r w:rsidRPr="00D22450">
        <w:rPr>
          <w:rFonts w:ascii="Book Antiqua" w:eastAsia="Book Antiqua" w:hAnsi="Book Antiqua" w:cs="Book Antiqua"/>
          <w:color w:val="000000"/>
          <w:vertAlign w:val="superscript"/>
        </w:rPr>
        <w:t>–4</w:t>
      </w:r>
      <w:r w:rsidR="00B70E52">
        <w:rPr>
          <w:rFonts w:ascii="Book Antiqua" w:eastAsia="Book Antiqua" w:hAnsi="Book Antiqua" w:cs="Book Antiqua"/>
          <w:color w:val="000000"/>
          <w:vertAlign w:val="superscript"/>
        </w:rPr>
        <w:t>3</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A key limitation of MR liver fat as a solo biomarker of NASH is that patients with advanced fibrosis and cirrhosis have lower acclimations of liver fat than those at earlier stages of disease</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4</w:t>
      </w:r>
      <w:r w:rsidR="00B70E52">
        <w:rPr>
          <w:rFonts w:ascii="Book Antiqua" w:eastAsia="Book Antiqua" w:hAnsi="Book Antiqua" w:cs="Book Antiqua"/>
          <w:color w:val="000000"/>
          <w:vertAlign w:val="superscript"/>
        </w:rPr>
        <w:t>4</w:t>
      </w:r>
      <w:r w:rsidRPr="00D22450">
        <w:rPr>
          <w:rFonts w:ascii="Book Antiqua" w:eastAsia="Book Antiqua" w:hAnsi="Book Antiqua" w:cs="Book Antiqua"/>
          <w:color w:val="000000"/>
          <w:vertAlign w:val="superscript"/>
        </w:rPr>
        <w:t>,4</w:t>
      </w:r>
      <w:r w:rsidR="00B70E52">
        <w:rPr>
          <w:rFonts w:ascii="Book Antiqua" w:eastAsia="Book Antiqua" w:hAnsi="Book Antiqua" w:cs="Book Antiqua"/>
          <w:color w:val="000000"/>
          <w:vertAlign w:val="superscript"/>
        </w:rPr>
        <w:t>5</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xml:space="preserve">. Our results, in line with those reported in the literature, demonstrate a negative association </w:t>
      </w:r>
      <w:r w:rsidR="00E3527C">
        <w:rPr>
          <w:rFonts w:ascii="Book Antiqua" w:eastAsia="Book Antiqua" w:hAnsi="Book Antiqua" w:cs="Book Antiqua"/>
          <w:color w:val="000000"/>
        </w:rPr>
        <w:t>between</w:t>
      </w:r>
      <w:r w:rsidR="00E3527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MR liver fat and advanced fibrosis</w:t>
      </w:r>
      <w:r w:rsidR="00CD6FCC" w:rsidRPr="00D22450">
        <w:rPr>
          <w:rFonts w:ascii="Book Antiqua" w:eastAsia="Book Antiqua" w:hAnsi="Book Antiqua" w:cs="Book Antiqua"/>
          <w:color w:val="000000"/>
          <w:vertAlign w:val="superscript"/>
        </w:rPr>
        <w:t>[</w:t>
      </w:r>
      <w:r w:rsidR="009617E8" w:rsidRPr="00D22450">
        <w:rPr>
          <w:rFonts w:ascii="Book Antiqua" w:eastAsia="Book Antiqua" w:hAnsi="Book Antiqua" w:cs="Book Antiqua"/>
          <w:color w:val="000000"/>
          <w:vertAlign w:val="superscript"/>
        </w:rPr>
        <w:t>4</w:t>
      </w:r>
      <w:r w:rsidR="00B70E52">
        <w:rPr>
          <w:rFonts w:ascii="Book Antiqua" w:eastAsia="Book Antiqua" w:hAnsi="Book Antiqua" w:cs="Book Antiqua"/>
          <w:color w:val="000000"/>
          <w:vertAlign w:val="superscript"/>
        </w:rPr>
        <w:t>4</w:t>
      </w:r>
      <w:r w:rsidR="009617E8"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4</w:t>
      </w:r>
      <w:r w:rsidR="00B70E52">
        <w:rPr>
          <w:rFonts w:ascii="Book Antiqua" w:eastAsia="Book Antiqua" w:hAnsi="Book Antiqua" w:cs="Book Antiqua"/>
          <w:color w:val="000000"/>
          <w:vertAlign w:val="superscript"/>
        </w:rPr>
        <w:t>5</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This is an important consideration when using MR liver fat as a biomarker for those with NASH with fibrosis, and is reflected in the superior diagnostic accuracy of cT1 when compared to MR liver fat for identifying those with NASH and fibrosis ≥</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2.</w:t>
      </w:r>
    </w:p>
    <w:p w14:paraId="6178FF0A" w14:textId="4709A56B" w:rsidR="00A77B3E" w:rsidRPr="00D22450" w:rsidRDefault="004B2678" w:rsidP="00D22450">
      <w:pPr>
        <w:adjustRightInd w:val="0"/>
        <w:snapToGrid w:val="0"/>
        <w:spacing w:line="360" w:lineRule="auto"/>
        <w:ind w:firstLineChars="100" w:firstLine="240"/>
        <w:jc w:val="both"/>
        <w:rPr>
          <w:rFonts w:ascii="Book Antiqua" w:hAnsi="Book Antiqua"/>
        </w:rPr>
      </w:pPr>
      <w:r w:rsidRPr="00D22450">
        <w:rPr>
          <w:rFonts w:ascii="Book Antiqua" w:eastAsia="Book Antiqua" w:hAnsi="Book Antiqua" w:cs="Book Antiqua"/>
          <w:color w:val="000000"/>
        </w:rPr>
        <w:t>In this study assessing the ability of different non-invasive biomarkers to detect NASH, MR liver fat and cT1 were superior to the other metrics investigated. Crucially however, the composite marker of cT1 and MR liver fat showed the greatest diagnostic accuracy. Furthermore, when the contribution from steatosis was reduced due to the increase in fibrosis, the correlation between inflammation and MR liver fat disappear</w:t>
      </w:r>
      <w:r w:rsidR="00C62324">
        <w:rPr>
          <w:rFonts w:ascii="Book Antiqua" w:eastAsia="Book Antiqua" w:hAnsi="Book Antiqua" w:cs="Book Antiqua"/>
          <w:color w:val="000000"/>
        </w:rPr>
        <w:t>ed</w:t>
      </w:r>
      <w:r w:rsidRPr="00D22450">
        <w:rPr>
          <w:rFonts w:ascii="Book Antiqua" w:eastAsia="Book Antiqua" w:hAnsi="Book Antiqua" w:cs="Book Antiqua"/>
          <w:color w:val="000000"/>
        </w:rPr>
        <w:t>, whilst the correlation with cT1 remain</w:t>
      </w:r>
      <w:r w:rsidR="00C62324">
        <w:rPr>
          <w:rFonts w:ascii="Book Antiqua" w:eastAsia="Book Antiqua" w:hAnsi="Book Antiqua" w:cs="Book Antiqua"/>
          <w:color w:val="000000"/>
        </w:rPr>
        <w:t>ed</w:t>
      </w:r>
      <w:r w:rsidRPr="00D22450">
        <w:rPr>
          <w:rFonts w:ascii="Book Antiqua" w:eastAsia="Book Antiqua" w:hAnsi="Book Antiqua" w:cs="Book Antiqua"/>
          <w:color w:val="000000"/>
        </w:rPr>
        <w:t>, suggesting an independent association between cT1 and inflammation. The relationship between inflammation and cT1 in the absence of steatosis has also been observed in patients with hepatitis C, where cT1 was positively correlated with inflammation</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19</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w:t>
      </w:r>
    </w:p>
    <w:p w14:paraId="79DD1053" w14:textId="581BDB20" w:rsidR="00A77B3E" w:rsidRPr="00D22450" w:rsidRDefault="004B2678" w:rsidP="00D22450">
      <w:pPr>
        <w:adjustRightInd w:val="0"/>
        <w:snapToGrid w:val="0"/>
        <w:spacing w:line="360" w:lineRule="auto"/>
        <w:ind w:firstLineChars="100" w:firstLine="240"/>
        <w:jc w:val="both"/>
        <w:rPr>
          <w:rFonts w:ascii="Book Antiqua" w:hAnsi="Book Antiqua"/>
        </w:rPr>
      </w:pPr>
      <w:r w:rsidRPr="00D22450">
        <w:rPr>
          <w:rFonts w:ascii="Book Antiqua" w:eastAsia="Book Antiqua" w:hAnsi="Book Antiqua" w:cs="Book Antiqua"/>
          <w:color w:val="000000"/>
        </w:rPr>
        <w:t>New diagnostic tools are evaluated by comparison to histological measures. Recent studies on the reproducibility of histology</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4</w:t>
      </w:r>
      <w:r w:rsidR="00B70E52">
        <w:rPr>
          <w:rFonts w:ascii="Book Antiqua" w:eastAsia="Book Antiqua" w:hAnsi="Book Antiqua" w:cs="Book Antiqua"/>
          <w:color w:val="000000"/>
          <w:vertAlign w:val="superscript"/>
        </w:rPr>
        <w:t>6</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xml:space="preserve"> have established that biopsy as the de facto benchmark is not perfect. We also observed discordance between different pathologists across the four cardinal pathological features (steatosis, ballooning, lobular inflammation and fibrosis), with no common pattern of </w:t>
      </w:r>
      <w:r w:rsidRPr="00D22450">
        <w:rPr>
          <w:rFonts w:ascii="Book Antiqua" w:eastAsia="Book Antiqua" w:hAnsi="Book Antiqua" w:cs="Book Antiqua"/>
          <w:color w:val="000000"/>
        </w:rPr>
        <w:lastRenderedPageBreak/>
        <w:t>concordance seen between any two pathologists. Previous literature discusses the subjective nature of histological grading systems</w:t>
      </w:r>
      <w:r w:rsidR="00CD6FCC" w:rsidRPr="00D22450">
        <w:rPr>
          <w:rFonts w:ascii="Book Antiqua" w:eastAsia="Book Antiqua" w:hAnsi="Book Antiqua" w:cs="Book Antiqua"/>
          <w:color w:val="000000"/>
          <w:vertAlign w:val="superscript"/>
        </w:rPr>
        <w:t>[</w:t>
      </w:r>
      <w:r w:rsidR="009617E8" w:rsidRPr="00D22450">
        <w:rPr>
          <w:rFonts w:ascii="Book Antiqua" w:eastAsia="Book Antiqua" w:hAnsi="Book Antiqua" w:cs="Book Antiqua"/>
          <w:color w:val="000000"/>
          <w:vertAlign w:val="superscript"/>
        </w:rPr>
        <w:t>4</w:t>
      </w:r>
      <w:r w:rsidR="00B70E52">
        <w:rPr>
          <w:rFonts w:ascii="Book Antiqua" w:eastAsia="Book Antiqua" w:hAnsi="Book Antiqua" w:cs="Book Antiqua"/>
          <w:color w:val="000000"/>
          <w:vertAlign w:val="superscript"/>
        </w:rPr>
        <w:t>7</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which is evident in these findings, demonstrating that subjectivity as well as potential sampling and human error can affect results</w:t>
      </w:r>
      <w:r w:rsidR="00CD6FCC" w:rsidRPr="00D22450">
        <w:rPr>
          <w:rFonts w:ascii="Book Antiqua" w:eastAsia="Book Antiqua" w:hAnsi="Book Antiqua" w:cs="Book Antiqua"/>
          <w:color w:val="000000"/>
          <w:vertAlign w:val="superscript"/>
        </w:rPr>
        <w:t>[</w:t>
      </w:r>
      <w:r w:rsidR="00B70E52">
        <w:rPr>
          <w:rFonts w:ascii="Book Antiqua" w:eastAsia="Book Antiqua" w:hAnsi="Book Antiqua" w:cs="Book Antiqua"/>
          <w:color w:val="000000"/>
          <w:vertAlign w:val="superscript"/>
        </w:rPr>
        <w:t>48</w:t>
      </w:r>
      <w:r w:rsidRPr="00D22450">
        <w:rPr>
          <w:rFonts w:ascii="Book Antiqua" w:eastAsia="Book Antiqua" w:hAnsi="Book Antiqua" w:cs="Book Antiqua"/>
          <w:color w:val="000000"/>
          <w:vertAlign w:val="superscript"/>
        </w:rPr>
        <w:t>–5</w:t>
      </w:r>
      <w:r w:rsidR="00B70E52">
        <w:rPr>
          <w:rFonts w:ascii="Book Antiqua" w:eastAsia="Book Antiqua" w:hAnsi="Book Antiqua" w:cs="Book Antiqua"/>
          <w:color w:val="000000"/>
          <w:vertAlign w:val="superscript"/>
        </w:rPr>
        <w:t>0</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This analysis highlights the need for more robust endpoints with which to evaluate the performance of non-invasive diagnostics. The gold standard would be a tool that predicts clinical outcomes and can thus provide prognosis. Whilst such studies are both time-consuming and costly in order to generate the necessary evidence, encouragingly</w:t>
      </w:r>
      <w:r w:rsidR="00D04302">
        <w:rPr>
          <w:rFonts w:ascii="Book Antiqua" w:eastAsia="Book Antiqua" w:hAnsi="Book Antiqua" w:cs="Book Antiqua"/>
          <w:color w:val="000000"/>
        </w:rPr>
        <w:t>,</w:t>
      </w:r>
      <w:r w:rsidRPr="00D22450">
        <w:rPr>
          <w:rFonts w:ascii="Book Antiqua" w:eastAsia="Book Antiqua" w:hAnsi="Book Antiqua" w:cs="Book Antiqua"/>
          <w:color w:val="000000"/>
        </w:rPr>
        <w:t xml:space="preserve"> initial work in this space has demonstrated potential for cT1 to predict clinical outcomes in patients with chronic liver disease</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19,20</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It is hoped that further validation of these observations in patients with NASH specifically will aid in the development of a clinical pathway that does not rely on invasive liver biopsy.</w:t>
      </w:r>
    </w:p>
    <w:p w14:paraId="30C83D5C" w14:textId="77777777" w:rsidR="00A77B3E" w:rsidRPr="00D22450" w:rsidRDefault="004B2678" w:rsidP="00D22450">
      <w:pPr>
        <w:adjustRightInd w:val="0"/>
        <w:snapToGrid w:val="0"/>
        <w:spacing w:line="360" w:lineRule="auto"/>
        <w:ind w:firstLineChars="100" w:firstLine="240"/>
        <w:jc w:val="both"/>
        <w:rPr>
          <w:rFonts w:ascii="Book Antiqua" w:hAnsi="Book Antiqua"/>
        </w:rPr>
      </w:pPr>
      <w:r w:rsidRPr="00D22450">
        <w:rPr>
          <w:rFonts w:ascii="Book Antiqua" w:eastAsia="Book Antiqua" w:hAnsi="Book Antiqua" w:cs="Book Antiqua"/>
          <w:color w:val="000000"/>
        </w:rPr>
        <w:t>This study was not without its limitations, with the pre-screening step prior to liver biopsy likely truncating the correlations that would be observed across the full disease spectrum. While this may also impact the diagnostic accuracy evaluated, this pre-screening approach is representative of clinical practice. Observed failure rates for the ultrasound-based methods also have the potential to skew the results given its dependence on BMI, with patients with high BMI less likely to be included in the study. In practice this has a bearing on the value proposition of such technologies for screening and monitoring as failed measurements will result in necessary further clinical tests for patients.</w:t>
      </w:r>
    </w:p>
    <w:bookmarkEnd w:id="50"/>
    <w:bookmarkEnd w:id="51"/>
    <w:p w14:paraId="0CE6B9FB" w14:textId="77777777" w:rsidR="00A77B3E" w:rsidRPr="00D22450" w:rsidRDefault="00A77B3E" w:rsidP="00D22450">
      <w:pPr>
        <w:adjustRightInd w:val="0"/>
        <w:snapToGrid w:val="0"/>
        <w:spacing w:line="360" w:lineRule="auto"/>
        <w:jc w:val="both"/>
        <w:rPr>
          <w:rFonts w:ascii="Book Antiqua" w:hAnsi="Book Antiqua"/>
        </w:rPr>
      </w:pPr>
    </w:p>
    <w:p w14:paraId="0A799792"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aps/>
          <w:color w:val="000000"/>
          <w:u w:val="single"/>
        </w:rPr>
        <w:t>CONCLUSION</w:t>
      </w:r>
    </w:p>
    <w:p w14:paraId="75B87728" w14:textId="4C8E2FB9" w:rsidR="00A77B3E" w:rsidRPr="00D22450" w:rsidRDefault="004B2678" w:rsidP="00D22450">
      <w:pPr>
        <w:adjustRightInd w:val="0"/>
        <w:snapToGrid w:val="0"/>
        <w:spacing w:line="360" w:lineRule="auto"/>
        <w:jc w:val="both"/>
        <w:rPr>
          <w:rFonts w:ascii="Book Antiqua" w:hAnsi="Book Antiqua"/>
        </w:rPr>
      </w:pPr>
      <w:bookmarkStart w:id="52" w:name="OLE_LINK13"/>
      <w:bookmarkStart w:id="53" w:name="OLE_LINK14"/>
      <w:bookmarkStart w:id="54" w:name="OLE_LINK59"/>
      <w:r w:rsidRPr="00D22450">
        <w:rPr>
          <w:rFonts w:ascii="Book Antiqua" w:eastAsia="Book Antiqua" w:hAnsi="Book Antiqua" w:cs="Book Antiqua"/>
          <w:color w:val="000000"/>
        </w:rPr>
        <w:t>In summary, this study demonstrates the clinical utility of mpMRI for the stratification of NAFLD, and encourages mpMRI use as a non-invasive alternative to biopsy in the clinical care pathway. Quantitative mpMRI metrics showed the strongest overall correlations to the histological components of NASH with fewer technical failures.</w:t>
      </w:r>
      <w:r w:rsidR="00636F4A">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mpMRI also out-performed MRE and ultrasound-based elastography methods in the identification of patients with NASH and fibrosis. The ability to risk stratify patients in a single non-invasive </w:t>
      </w:r>
      <w:r w:rsidRPr="00D22450">
        <w:rPr>
          <w:rFonts w:ascii="Book Antiqua" w:eastAsia="Book Antiqua" w:hAnsi="Book Antiqua" w:cs="Book Antiqua"/>
          <w:color w:val="000000"/>
        </w:rPr>
        <w:lastRenderedPageBreak/>
        <w:t>test is a particular strength of mpMRI, offering a safe and cost-effective alternative to liver biopsy.</w:t>
      </w:r>
    </w:p>
    <w:bookmarkEnd w:id="52"/>
    <w:bookmarkEnd w:id="53"/>
    <w:bookmarkEnd w:id="54"/>
    <w:p w14:paraId="40C01F6F" w14:textId="77777777" w:rsidR="00A77B3E" w:rsidRPr="00D22450" w:rsidRDefault="00A77B3E" w:rsidP="00D22450">
      <w:pPr>
        <w:adjustRightInd w:val="0"/>
        <w:snapToGrid w:val="0"/>
        <w:spacing w:line="360" w:lineRule="auto"/>
        <w:jc w:val="both"/>
        <w:rPr>
          <w:rFonts w:ascii="Book Antiqua" w:hAnsi="Book Antiqua"/>
        </w:rPr>
      </w:pPr>
    </w:p>
    <w:p w14:paraId="2582C05D"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aps/>
          <w:color w:val="000000"/>
          <w:u w:val="single"/>
        </w:rPr>
        <w:t>ARTICLE HIGHLIGHTS</w:t>
      </w:r>
    </w:p>
    <w:p w14:paraId="241A7DDD"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i/>
          <w:color w:val="000000"/>
        </w:rPr>
        <w:t>Research background</w:t>
      </w:r>
    </w:p>
    <w:p w14:paraId="275B451A" w14:textId="6D9FE060"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Non-alcoholic fatty liver disease affects 25% of the population worldwide and up to 30% in the Japanese population, and in some can progress to non-alcoholic steatohepatitis (NASH), a leading cause of liver transplant due to its strong propensity to develop into cirrhosis and hepatocellular carcinoma</w:t>
      </w:r>
      <w:r w:rsidR="00CD6FCC" w:rsidRPr="00D22450">
        <w:rPr>
          <w:rFonts w:ascii="Book Antiqua" w:eastAsia="Book Antiqua" w:hAnsi="Book Antiqua" w:cs="Book Antiqua"/>
          <w:color w:val="000000"/>
        </w:rPr>
        <w:t>.</w:t>
      </w:r>
    </w:p>
    <w:p w14:paraId="7376CAA9" w14:textId="77777777" w:rsidR="00A77B3E" w:rsidRPr="00D22450" w:rsidRDefault="00A77B3E" w:rsidP="00D22450">
      <w:pPr>
        <w:adjustRightInd w:val="0"/>
        <w:snapToGrid w:val="0"/>
        <w:spacing w:line="360" w:lineRule="auto"/>
        <w:jc w:val="both"/>
        <w:rPr>
          <w:rFonts w:ascii="Book Antiqua" w:hAnsi="Book Antiqua"/>
        </w:rPr>
      </w:pPr>
    </w:p>
    <w:p w14:paraId="2F49BBE4"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i/>
          <w:color w:val="000000"/>
        </w:rPr>
        <w:t>Research motivation</w:t>
      </w:r>
    </w:p>
    <w:p w14:paraId="3AB9F577"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Liver biopsy is the current reference standard for a clinical diagnosis of NASH, a method that is expensive, invasive and suffers from great observer variability. Non-invasive and scalable alternatives are required in order to meet the burgeoning demands of the disease on clinical caseloads across the globe. </w:t>
      </w:r>
    </w:p>
    <w:p w14:paraId="0B0AB5B1" w14:textId="77777777" w:rsidR="00A77B3E" w:rsidRPr="00D22450" w:rsidRDefault="00A77B3E" w:rsidP="00D22450">
      <w:pPr>
        <w:adjustRightInd w:val="0"/>
        <w:snapToGrid w:val="0"/>
        <w:spacing w:line="360" w:lineRule="auto"/>
        <w:jc w:val="both"/>
        <w:rPr>
          <w:rFonts w:ascii="Book Antiqua" w:hAnsi="Book Antiqua"/>
        </w:rPr>
      </w:pPr>
    </w:p>
    <w:p w14:paraId="34E90A83"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i/>
          <w:color w:val="000000"/>
        </w:rPr>
        <w:t>Research objectives</w:t>
      </w:r>
    </w:p>
    <w:p w14:paraId="6B451ACE" w14:textId="7CB71ECD" w:rsidR="00A77B3E" w:rsidRPr="00D22450" w:rsidRDefault="004B2678" w:rsidP="00D22450">
      <w:pPr>
        <w:adjustRightInd w:val="0"/>
        <w:snapToGrid w:val="0"/>
        <w:spacing w:line="360" w:lineRule="auto"/>
        <w:jc w:val="both"/>
        <w:rPr>
          <w:rFonts w:ascii="Book Antiqua" w:hAnsi="Book Antiqua"/>
        </w:rPr>
      </w:pPr>
      <w:bookmarkStart w:id="55" w:name="OLE_LINK60"/>
      <w:bookmarkStart w:id="56" w:name="OLE_LINK61"/>
      <w:r w:rsidRPr="00D22450">
        <w:rPr>
          <w:rFonts w:ascii="Book Antiqua" w:eastAsia="Book Antiqua" w:hAnsi="Book Antiqua" w:cs="Book Antiqua"/>
          <w:color w:val="000000"/>
        </w:rPr>
        <w:t xml:space="preserve">The main objectives of the study were to evaluate the diagnostic performance of non-invasive, image derived metrics to identify patients with suspected NASH. The metrics under investigation included two quantitative multi-parametric </w:t>
      </w:r>
      <w:r w:rsidR="00CD6FCC" w:rsidRPr="00D22450">
        <w:rPr>
          <w:rFonts w:ascii="Book Antiqua" w:eastAsia="Book Antiqua" w:hAnsi="Book Antiqua" w:cs="Book Antiqua"/>
          <w:color w:val="000000"/>
        </w:rPr>
        <w:t>magnetic resonance imaging (</w:t>
      </w:r>
      <w:bookmarkStart w:id="57" w:name="OLE_LINK18"/>
      <w:bookmarkStart w:id="58" w:name="OLE_LINK19"/>
      <w:r w:rsidRPr="00D22450">
        <w:rPr>
          <w:rFonts w:ascii="Book Antiqua" w:eastAsia="Book Antiqua" w:hAnsi="Book Antiqua" w:cs="Book Antiqua"/>
          <w:color w:val="000000"/>
        </w:rPr>
        <w:t>MRI</w:t>
      </w:r>
      <w:bookmarkEnd w:id="57"/>
      <w:bookmarkEnd w:id="58"/>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measures, iron corrected T1 mapping </w:t>
      </w:r>
      <w:r w:rsidR="00765325" w:rsidRPr="00D22450">
        <w:rPr>
          <w:rFonts w:ascii="Book Antiqua" w:eastAsia="Book Antiqua" w:hAnsi="Book Antiqua" w:cs="Book Antiqua"/>
          <w:color w:val="000000"/>
        </w:rPr>
        <w:t>[</w:t>
      </w:r>
      <w:r w:rsidRPr="00D22450">
        <w:rPr>
          <w:rFonts w:ascii="Book Antiqua" w:eastAsia="Book Antiqua" w:hAnsi="Book Antiqua" w:cs="Book Antiqua"/>
          <w:color w:val="000000"/>
        </w:rPr>
        <w:t>(cT1</w:t>
      </w:r>
      <w:r w:rsidR="00765325" w:rsidRPr="00D22450">
        <w:rPr>
          <w:rFonts w:ascii="Book Antiqua" w:eastAsia="Book Antiqua" w:hAnsi="Book Antiqua" w:cs="Book Antiqua"/>
          <w:color w:val="000000"/>
        </w:rPr>
        <w:t>)</w:t>
      </w:r>
      <w:r w:rsidRPr="00D22450">
        <w:rPr>
          <w:rFonts w:ascii="Book Antiqua" w:eastAsia="Book Antiqua" w:hAnsi="Book Antiqua" w:cs="Book Antiqua"/>
          <w:color w:val="000000"/>
        </w:rPr>
        <w:t>, a marker of fibro-inflammation</w:t>
      </w:r>
      <w:r w:rsidR="00765325"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and proton density liver fat fraction (a marker of liver fat), magnetic resonance elastography and ultrasound based transient elastography (</w:t>
      </w:r>
      <w:r w:rsidR="000E5FB6" w:rsidRPr="00D22450">
        <w:rPr>
          <w:rFonts w:ascii="Book Antiqua" w:eastAsia="Book Antiqua" w:hAnsi="Book Antiqua" w:cs="Book Antiqua"/>
          <w:color w:val="000000"/>
        </w:rPr>
        <w:t>vibration-controlled transient elastography</w:t>
      </w:r>
      <w:r w:rsidRPr="00D22450">
        <w:rPr>
          <w:rFonts w:ascii="Book Antiqua" w:eastAsia="Book Antiqua" w:hAnsi="Book Antiqua" w:cs="Book Antiqua"/>
          <w:color w:val="000000"/>
        </w:rPr>
        <w:t xml:space="preserve"> and 2D shear-wave elastography), both markers of liver stiffness. </w:t>
      </w:r>
    </w:p>
    <w:bookmarkEnd w:id="55"/>
    <w:bookmarkEnd w:id="56"/>
    <w:p w14:paraId="55223B29" w14:textId="77777777" w:rsidR="00A77B3E" w:rsidRPr="00D22450" w:rsidRDefault="00A77B3E" w:rsidP="00D22450">
      <w:pPr>
        <w:adjustRightInd w:val="0"/>
        <w:snapToGrid w:val="0"/>
        <w:spacing w:line="360" w:lineRule="auto"/>
        <w:jc w:val="both"/>
        <w:rPr>
          <w:rFonts w:ascii="Book Antiqua" w:hAnsi="Book Antiqua"/>
        </w:rPr>
      </w:pPr>
    </w:p>
    <w:p w14:paraId="1D446425"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i/>
          <w:color w:val="000000"/>
        </w:rPr>
        <w:t>Research methods</w:t>
      </w:r>
    </w:p>
    <w:p w14:paraId="63C2A785" w14:textId="09D5E5B6" w:rsidR="00A77B3E" w:rsidRPr="00D22450" w:rsidRDefault="004B2678" w:rsidP="00D22450">
      <w:pPr>
        <w:adjustRightInd w:val="0"/>
        <w:snapToGrid w:val="0"/>
        <w:spacing w:line="360" w:lineRule="auto"/>
        <w:jc w:val="both"/>
        <w:rPr>
          <w:rFonts w:ascii="Book Antiqua" w:hAnsi="Book Antiqua"/>
        </w:rPr>
      </w:pPr>
      <w:bookmarkStart w:id="59" w:name="OLE_LINK62"/>
      <w:bookmarkStart w:id="60" w:name="OLE_LINK63"/>
      <w:r w:rsidRPr="00D22450">
        <w:rPr>
          <w:rFonts w:ascii="Book Antiqua" w:eastAsia="Book Antiqua" w:hAnsi="Book Antiqua" w:cs="Book Antiqua"/>
          <w:color w:val="000000"/>
        </w:rPr>
        <w:t xml:space="preserve">In an observational study of patients who were being screened clinically on suspicion of NASH, </w:t>
      </w:r>
      <w:r w:rsidRPr="00D22450">
        <w:rPr>
          <w:rFonts w:ascii="Book Antiqua" w:eastAsia="Book Antiqua" w:hAnsi="Book Antiqua" w:cs="Book Antiqua"/>
          <w:i/>
          <w:iCs/>
          <w:color w:val="000000"/>
        </w:rPr>
        <w:t>n</w:t>
      </w:r>
      <w:r w:rsidRPr="00D22450">
        <w:rPr>
          <w:rFonts w:ascii="Book Antiqua" w:eastAsia="Book Antiqua" w:hAnsi="Book Antiqua" w:cs="Book Antiqua"/>
          <w:color w:val="000000"/>
        </w:rPr>
        <w:t xml:space="preserve"> = 145 individuals underwent liver biopsy and concomitant imaging measures of liver health. Diagnosis of NASH was based on histology, </w:t>
      </w:r>
      <w:r w:rsidRPr="00D22450">
        <w:rPr>
          <w:rFonts w:ascii="Book Antiqua" w:eastAsia="Book Antiqua" w:hAnsi="Book Antiqua" w:cs="Book Antiqua"/>
          <w:color w:val="000000"/>
        </w:rPr>
        <w:lastRenderedPageBreak/>
        <w:t>graded using the NAS-</w:t>
      </w:r>
      <w:r w:rsidR="00997A4B" w:rsidRPr="00D22450">
        <w:rPr>
          <w:rFonts w:ascii="Book Antiqua" w:eastAsia="Book Antiqua" w:hAnsi="Book Antiqua" w:cs="Book Antiqua"/>
          <w:color w:val="000000"/>
        </w:rPr>
        <w:t xml:space="preserve"> Clinical Research Network</w:t>
      </w:r>
      <w:r w:rsidRPr="00D22450">
        <w:rPr>
          <w:rFonts w:ascii="Book Antiqua" w:eastAsia="Book Antiqua" w:hAnsi="Book Antiqua" w:cs="Book Antiqua"/>
          <w:color w:val="000000"/>
        </w:rPr>
        <w:t xml:space="preserve"> scoring system and diagnostic accuracy of the image-derived metrics assessed using </w:t>
      </w:r>
      <w:r w:rsidR="009D5818" w:rsidRPr="00D22450">
        <w:rPr>
          <w:rFonts w:ascii="Book Antiqua" w:eastAsia="Book Antiqua" w:hAnsi="Book Antiqua" w:cs="Book Antiqua"/>
          <w:color w:val="000000"/>
        </w:rPr>
        <w:t>area under receiver operator characteristic curve</w:t>
      </w:r>
      <w:r w:rsidRPr="00D22450">
        <w:rPr>
          <w:rFonts w:ascii="Book Antiqua" w:eastAsia="Book Antiqua" w:hAnsi="Book Antiqua" w:cs="Book Antiqua"/>
          <w:color w:val="000000"/>
        </w:rPr>
        <w:t>. In addition, the biopsy slides were read by 2 further pathologists and comparisons made to explore the level of agreement on diagnosis between individual doctors. </w:t>
      </w:r>
    </w:p>
    <w:bookmarkEnd w:id="59"/>
    <w:bookmarkEnd w:id="60"/>
    <w:p w14:paraId="3DA18F7B" w14:textId="77777777" w:rsidR="00A77B3E" w:rsidRPr="00D22450" w:rsidRDefault="00A77B3E" w:rsidP="00D22450">
      <w:pPr>
        <w:adjustRightInd w:val="0"/>
        <w:snapToGrid w:val="0"/>
        <w:spacing w:line="360" w:lineRule="auto"/>
        <w:jc w:val="both"/>
        <w:rPr>
          <w:rFonts w:ascii="Book Antiqua" w:hAnsi="Book Antiqua"/>
        </w:rPr>
      </w:pPr>
    </w:p>
    <w:p w14:paraId="7A0A2651"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i/>
          <w:color w:val="000000"/>
        </w:rPr>
        <w:t>Research results</w:t>
      </w:r>
    </w:p>
    <w:p w14:paraId="726CD9F3" w14:textId="03E900C6" w:rsidR="00A77B3E" w:rsidRPr="00D22450" w:rsidRDefault="004B2678" w:rsidP="00D22450">
      <w:pPr>
        <w:adjustRightInd w:val="0"/>
        <w:snapToGrid w:val="0"/>
        <w:spacing w:line="360" w:lineRule="auto"/>
        <w:jc w:val="both"/>
        <w:rPr>
          <w:rFonts w:ascii="Book Antiqua" w:hAnsi="Book Antiqua"/>
        </w:rPr>
      </w:pPr>
      <w:bookmarkStart w:id="61" w:name="OLE_LINK15"/>
      <w:bookmarkStart w:id="62" w:name="OLE_LINK16"/>
      <w:bookmarkStart w:id="63" w:name="OLE_LINK64"/>
      <w:r w:rsidRPr="00D22450">
        <w:rPr>
          <w:rFonts w:ascii="Book Antiqua" w:eastAsia="Book Antiqua" w:hAnsi="Book Antiqua" w:cs="Book Antiqua"/>
          <w:color w:val="000000"/>
        </w:rPr>
        <w:t>In this study assessing the ability of different non-invasive biomarkers to detect NASH, MR liver fat and cT1 were superior to the other metrics investigated. Crucially however, the composite marker of cT1 and MR liver fat showed the greatest diagnostic accuracy for identifying those with NASH and</w:t>
      </w:r>
      <w:r w:rsidR="001E4DE8"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also those with NASH with fibrosis. These measures also had</w:t>
      </w:r>
      <w:r w:rsidR="00882C59">
        <w:rPr>
          <w:rFonts w:ascii="Book Antiqua" w:eastAsia="Book Antiqua" w:hAnsi="Book Antiqua" w:cs="Book Antiqua"/>
          <w:color w:val="000000"/>
        </w:rPr>
        <w:t xml:space="preserve"> very</w:t>
      </w:r>
      <w:r w:rsidRPr="00D22450">
        <w:rPr>
          <w:rFonts w:ascii="Book Antiqua" w:eastAsia="Book Antiqua" w:hAnsi="Book Antiqua" w:cs="Book Antiqua"/>
          <w:color w:val="000000"/>
        </w:rPr>
        <w:t xml:space="preserve"> few technical failures. This is the first assessment and direct comparison of these technologies in a Japanese cohort. We also observed discordance between different pathologists across the four cardinal pathological features (steatosis, ballooning, lobular inflammation and fibrosis), with no common pattern of agreement seen between any two pathologists.</w:t>
      </w:r>
    </w:p>
    <w:bookmarkEnd w:id="61"/>
    <w:bookmarkEnd w:id="62"/>
    <w:bookmarkEnd w:id="63"/>
    <w:p w14:paraId="54F2281A" w14:textId="77777777" w:rsidR="00A77B3E" w:rsidRPr="00D22450" w:rsidRDefault="00A77B3E" w:rsidP="00D22450">
      <w:pPr>
        <w:adjustRightInd w:val="0"/>
        <w:snapToGrid w:val="0"/>
        <w:spacing w:line="360" w:lineRule="auto"/>
        <w:jc w:val="both"/>
        <w:rPr>
          <w:rFonts w:ascii="Book Antiqua" w:hAnsi="Book Antiqua"/>
        </w:rPr>
      </w:pPr>
    </w:p>
    <w:p w14:paraId="68F94BC7"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i/>
          <w:color w:val="000000"/>
        </w:rPr>
        <w:t>Research conclusions</w:t>
      </w:r>
    </w:p>
    <w:p w14:paraId="3EDD056F" w14:textId="19A3923B" w:rsidR="00A77B3E" w:rsidRPr="00D22450" w:rsidRDefault="004B2678" w:rsidP="00D22450">
      <w:pPr>
        <w:adjustRightInd w:val="0"/>
        <w:snapToGrid w:val="0"/>
        <w:spacing w:line="360" w:lineRule="auto"/>
        <w:jc w:val="both"/>
        <w:rPr>
          <w:rFonts w:ascii="Book Antiqua" w:hAnsi="Book Antiqua"/>
          <w:lang w:eastAsia="zh-CN"/>
        </w:rPr>
      </w:pPr>
      <w:r w:rsidRPr="00D22450">
        <w:rPr>
          <w:rFonts w:ascii="Book Antiqua" w:eastAsia="Book Antiqua" w:hAnsi="Book Antiqua" w:cs="Book Antiqua"/>
          <w:color w:val="000000"/>
        </w:rPr>
        <w:t xml:space="preserve">These results demonstrate the clinical utility of quantitative </w:t>
      </w:r>
      <w:r w:rsidR="00E866F8" w:rsidRPr="00D22450">
        <w:rPr>
          <w:rFonts w:ascii="Book Antiqua" w:eastAsia="Book Antiqua" w:hAnsi="Book Antiqua" w:cs="Book Antiqua"/>
          <w:color w:val="000000"/>
        </w:rPr>
        <w:t>multiparametric magnetic resonance imaging (mpMRI)</w:t>
      </w:r>
      <w:r w:rsidRPr="00D22450">
        <w:rPr>
          <w:rFonts w:ascii="Book Antiqua" w:eastAsia="Book Antiqua" w:hAnsi="Book Antiqua" w:cs="Book Antiqua"/>
          <w:color w:val="000000"/>
        </w:rPr>
        <w:t xml:space="preserve"> for the identification and stratification of patients with NASH from those with evidence of NAFLD and encourages mpMRI use as a non-invasive alternative to biopsy in the clinical care pathway. Quantitative mpMRI metrics showed the strongest correlation to the histological components of NASH with fewer technical failures. mpMRI also out-performed </w:t>
      </w:r>
      <w:r w:rsidR="00CD6FCC" w:rsidRPr="00D22450">
        <w:rPr>
          <w:rFonts w:ascii="Book Antiqua" w:eastAsia="Book Antiqua" w:hAnsi="Book Antiqua" w:cs="Book Antiqua"/>
          <w:color w:val="000000"/>
        </w:rPr>
        <w:t>magnetic resonance elastography</w:t>
      </w:r>
      <w:r w:rsidRPr="00D22450">
        <w:rPr>
          <w:rFonts w:ascii="Book Antiqua" w:eastAsia="Book Antiqua" w:hAnsi="Book Antiqua" w:cs="Book Antiqua"/>
          <w:color w:val="000000"/>
        </w:rPr>
        <w:t xml:space="preserve"> and ultrasound-based elastography methods in the identification of patients with NASH and fibrosis. Liver biopsy suffered from high levels of inter-reading disagreement, highlighting the pressing need for alternative diagnostic tests for NASH</w:t>
      </w:r>
      <w:r w:rsidR="00E866F8" w:rsidRPr="00D22450">
        <w:rPr>
          <w:rFonts w:ascii="Book Antiqua" w:hAnsi="Book Antiqua" w:cs="Book Antiqua"/>
          <w:color w:val="000000"/>
          <w:lang w:eastAsia="zh-CN"/>
        </w:rPr>
        <w:t>.</w:t>
      </w:r>
    </w:p>
    <w:p w14:paraId="40263BA1" w14:textId="77777777" w:rsidR="00A77B3E" w:rsidRPr="00D22450" w:rsidRDefault="00A77B3E" w:rsidP="00D22450">
      <w:pPr>
        <w:adjustRightInd w:val="0"/>
        <w:snapToGrid w:val="0"/>
        <w:spacing w:line="360" w:lineRule="auto"/>
        <w:jc w:val="both"/>
        <w:rPr>
          <w:rFonts w:ascii="Book Antiqua" w:hAnsi="Book Antiqua"/>
        </w:rPr>
      </w:pPr>
    </w:p>
    <w:p w14:paraId="15CA7432"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i/>
          <w:color w:val="000000"/>
        </w:rPr>
        <w:lastRenderedPageBreak/>
        <w:t>Research perspectives</w:t>
      </w:r>
    </w:p>
    <w:p w14:paraId="12D85A70" w14:textId="21143712"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The ability to risk stratify patients in a single non-invasive test is a particular strength of mpMRI, offering a safe and cost-effective alternative to liver biopsy. Future work should be focused on validating these findings further and on longer term outcomes studies to investigate the prognostic natures of these measurements in a Japanese population.</w:t>
      </w:r>
    </w:p>
    <w:p w14:paraId="11123DFA" w14:textId="77777777" w:rsidR="00A77B3E" w:rsidRPr="00D22450" w:rsidRDefault="00A77B3E" w:rsidP="00D22450">
      <w:pPr>
        <w:adjustRightInd w:val="0"/>
        <w:snapToGrid w:val="0"/>
        <w:spacing w:line="360" w:lineRule="auto"/>
        <w:jc w:val="both"/>
        <w:rPr>
          <w:rFonts w:ascii="Book Antiqua" w:hAnsi="Book Antiqua"/>
        </w:rPr>
      </w:pPr>
    </w:p>
    <w:p w14:paraId="37424DA2" w14:textId="4DD501C3"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t>REFERENCES</w:t>
      </w:r>
    </w:p>
    <w:p w14:paraId="6C988330"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1 </w:t>
      </w:r>
      <w:r w:rsidRPr="00D22450">
        <w:rPr>
          <w:rFonts w:ascii="Book Antiqua" w:eastAsia="Book Antiqua" w:hAnsi="Book Antiqua" w:cs="Book Antiqua"/>
          <w:b/>
          <w:bCs/>
          <w:color w:val="000000"/>
        </w:rPr>
        <w:t>Younossi Z</w:t>
      </w:r>
      <w:r w:rsidRPr="00D22450">
        <w:rPr>
          <w:rFonts w:ascii="Book Antiqua" w:eastAsia="Book Antiqua" w:hAnsi="Book Antiqua" w:cs="Book Antiqua"/>
          <w:color w:val="000000"/>
        </w:rPr>
        <w:t xml:space="preserve">, Anstee QM, Marietti M, Hardy T, Henry L, Eslam M, George J, Bugianesi E. Global burden of NAFLD and NASH: trends, predictions, risk factors and prevention. </w:t>
      </w:r>
      <w:r w:rsidRPr="00D22450">
        <w:rPr>
          <w:rFonts w:ascii="Book Antiqua" w:eastAsia="Book Antiqua" w:hAnsi="Book Antiqua" w:cs="Book Antiqua"/>
          <w:i/>
          <w:iCs/>
          <w:color w:val="000000"/>
        </w:rPr>
        <w:t>Nat Rev Gastroenterol Hepatol</w:t>
      </w:r>
      <w:r w:rsidRPr="00D22450">
        <w:rPr>
          <w:rFonts w:ascii="Book Antiqua" w:eastAsia="Book Antiqua" w:hAnsi="Book Antiqua" w:cs="Book Antiqua"/>
          <w:color w:val="000000"/>
        </w:rPr>
        <w:t xml:space="preserve"> 2018; </w:t>
      </w:r>
      <w:r w:rsidRPr="00D22450">
        <w:rPr>
          <w:rFonts w:ascii="Book Antiqua" w:eastAsia="Book Antiqua" w:hAnsi="Book Antiqua" w:cs="Book Antiqua"/>
          <w:b/>
          <w:bCs/>
          <w:color w:val="000000"/>
        </w:rPr>
        <w:t>15</w:t>
      </w:r>
      <w:r w:rsidRPr="00D22450">
        <w:rPr>
          <w:rFonts w:ascii="Book Antiqua" w:eastAsia="Book Antiqua" w:hAnsi="Book Antiqua" w:cs="Book Antiqua"/>
          <w:color w:val="000000"/>
        </w:rPr>
        <w:t>: 11-20 [PMID: 28930295 DOI: 10.1038/nrgastro.2017.109]</w:t>
      </w:r>
    </w:p>
    <w:p w14:paraId="31EDBF5A"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2 </w:t>
      </w:r>
      <w:r w:rsidRPr="00D22450">
        <w:rPr>
          <w:rFonts w:ascii="Book Antiqua" w:eastAsia="Book Antiqua" w:hAnsi="Book Antiqua" w:cs="Book Antiqua"/>
          <w:b/>
          <w:bCs/>
          <w:color w:val="000000"/>
        </w:rPr>
        <w:t>Fan JG</w:t>
      </w:r>
      <w:r w:rsidRPr="00D22450">
        <w:rPr>
          <w:rFonts w:ascii="Book Antiqua" w:eastAsia="Book Antiqua" w:hAnsi="Book Antiqua" w:cs="Book Antiqua"/>
          <w:color w:val="000000"/>
        </w:rPr>
        <w:t xml:space="preserve">, Kim SU, Wong VW. New trends on obesity and NAFLD in Asia. </w:t>
      </w:r>
      <w:r w:rsidRPr="00D22450">
        <w:rPr>
          <w:rFonts w:ascii="Book Antiqua" w:eastAsia="Book Antiqua" w:hAnsi="Book Antiqua" w:cs="Book Antiqua"/>
          <w:i/>
          <w:iCs/>
          <w:color w:val="000000"/>
        </w:rPr>
        <w:t>J Hepatol</w:t>
      </w:r>
      <w:r w:rsidRPr="00D22450">
        <w:rPr>
          <w:rFonts w:ascii="Book Antiqua" w:eastAsia="Book Antiqua" w:hAnsi="Book Antiqua" w:cs="Book Antiqua"/>
          <w:color w:val="000000"/>
        </w:rPr>
        <w:t xml:space="preserve"> 2017; </w:t>
      </w:r>
      <w:r w:rsidRPr="00D22450">
        <w:rPr>
          <w:rFonts w:ascii="Book Antiqua" w:eastAsia="Book Antiqua" w:hAnsi="Book Antiqua" w:cs="Book Antiqua"/>
          <w:b/>
          <w:bCs/>
          <w:color w:val="000000"/>
        </w:rPr>
        <w:t>67</w:t>
      </w:r>
      <w:r w:rsidRPr="00D22450">
        <w:rPr>
          <w:rFonts w:ascii="Book Antiqua" w:eastAsia="Book Antiqua" w:hAnsi="Book Antiqua" w:cs="Book Antiqua"/>
          <w:color w:val="000000"/>
        </w:rPr>
        <w:t>: 862-873 [PMID: 28642059 DOI: 10.1016/j.jhep.2017.06.003]</w:t>
      </w:r>
    </w:p>
    <w:p w14:paraId="08D29D5D"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3 </w:t>
      </w:r>
      <w:r w:rsidRPr="00D22450">
        <w:rPr>
          <w:rFonts w:ascii="Book Antiqua" w:eastAsia="Book Antiqua" w:hAnsi="Book Antiqua" w:cs="Book Antiqua"/>
          <w:b/>
          <w:bCs/>
          <w:color w:val="000000"/>
        </w:rPr>
        <w:t>Albhaisi S</w:t>
      </w:r>
      <w:r w:rsidRPr="00D22450">
        <w:rPr>
          <w:rFonts w:ascii="Book Antiqua" w:eastAsia="Book Antiqua" w:hAnsi="Book Antiqua" w:cs="Book Antiqua"/>
          <w:color w:val="000000"/>
        </w:rPr>
        <w:t xml:space="preserve">, Chowdhury A, Sanyal AJ. Non-alcoholic fatty liver disease in lean individuals. </w:t>
      </w:r>
      <w:r w:rsidRPr="00D22450">
        <w:rPr>
          <w:rFonts w:ascii="Book Antiqua" w:eastAsia="Book Antiqua" w:hAnsi="Book Antiqua" w:cs="Book Antiqua"/>
          <w:i/>
          <w:iCs/>
          <w:color w:val="000000"/>
        </w:rPr>
        <w:t>JHEP Rep</w:t>
      </w:r>
      <w:r w:rsidRPr="00D22450">
        <w:rPr>
          <w:rFonts w:ascii="Book Antiqua" w:eastAsia="Book Antiqua" w:hAnsi="Book Antiqua" w:cs="Book Antiqua"/>
          <w:color w:val="000000"/>
        </w:rPr>
        <w:t xml:space="preserve"> 2019; </w:t>
      </w:r>
      <w:r w:rsidRPr="00D22450">
        <w:rPr>
          <w:rFonts w:ascii="Book Antiqua" w:eastAsia="Book Antiqua" w:hAnsi="Book Antiqua" w:cs="Book Antiqua"/>
          <w:b/>
          <w:bCs/>
          <w:color w:val="000000"/>
        </w:rPr>
        <w:t>1</w:t>
      </w:r>
      <w:r w:rsidRPr="00D22450">
        <w:rPr>
          <w:rFonts w:ascii="Book Antiqua" w:eastAsia="Book Antiqua" w:hAnsi="Book Antiqua" w:cs="Book Antiqua"/>
          <w:color w:val="000000"/>
        </w:rPr>
        <w:t>: 329-341 [PMID: 32039383 DOI: 10.1016/j.jhepr.2019.08.002]</w:t>
      </w:r>
    </w:p>
    <w:p w14:paraId="12EBBF12"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4 </w:t>
      </w:r>
      <w:r w:rsidRPr="00D22450">
        <w:rPr>
          <w:rFonts w:ascii="Book Antiqua" w:eastAsia="Book Antiqua" w:hAnsi="Book Antiqua" w:cs="Book Antiqua"/>
          <w:b/>
          <w:bCs/>
          <w:color w:val="000000"/>
        </w:rPr>
        <w:t>Younes R</w:t>
      </w:r>
      <w:r w:rsidRPr="00D22450">
        <w:rPr>
          <w:rFonts w:ascii="Book Antiqua" w:eastAsia="Book Antiqua" w:hAnsi="Book Antiqua" w:cs="Book Antiqua"/>
          <w:color w:val="000000"/>
        </w:rPr>
        <w:t xml:space="preserve">, Bugianesi E. NASH in Lean Individuals. </w:t>
      </w:r>
      <w:r w:rsidRPr="00D22450">
        <w:rPr>
          <w:rFonts w:ascii="Book Antiqua" w:eastAsia="Book Antiqua" w:hAnsi="Book Antiqua" w:cs="Book Antiqua"/>
          <w:i/>
          <w:iCs/>
          <w:color w:val="000000"/>
        </w:rPr>
        <w:t>Semin Liver Dis</w:t>
      </w:r>
      <w:r w:rsidRPr="00D22450">
        <w:rPr>
          <w:rFonts w:ascii="Book Antiqua" w:eastAsia="Book Antiqua" w:hAnsi="Book Antiqua" w:cs="Book Antiqua"/>
          <w:color w:val="000000"/>
        </w:rPr>
        <w:t xml:space="preserve"> 2019; </w:t>
      </w:r>
      <w:r w:rsidRPr="00D22450">
        <w:rPr>
          <w:rFonts w:ascii="Book Antiqua" w:eastAsia="Book Antiqua" w:hAnsi="Book Antiqua" w:cs="Book Antiqua"/>
          <w:b/>
          <w:bCs/>
          <w:color w:val="000000"/>
        </w:rPr>
        <w:t>39</w:t>
      </w:r>
      <w:r w:rsidRPr="00D22450">
        <w:rPr>
          <w:rFonts w:ascii="Book Antiqua" w:eastAsia="Book Antiqua" w:hAnsi="Book Antiqua" w:cs="Book Antiqua"/>
          <w:color w:val="000000"/>
        </w:rPr>
        <w:t>: 86-95 [PMID: 30654392 DOI: 10.1055/s-0038-1677517]</w:t>
      </w:r>
    </w:p>
    <w:p w14:paraId="790DD78C"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5 </w:t>
      </w:r>
      <w:r w:rsidRPr="00D22450">
        <w:rPr>
          <w:rFonts w:ascii="Book Antiqua" w:eastAsia="Book Antiqua" w:hAnsi="Book Antiqua" w:cs="Book Antiqua"/>
          <w:b/>
          <w:bCs/>
          <w:color w:val="000000"/>
        </w:rPr>
        <w:t>Angulo P</w:t>
      </w:r>
      <w:r w:rsidRPr="00D22450">
        <w:rPr>
          <w:rFonts w:ascii="Book Antiqua" w:eastAsia="Book Antiqua" w:hAnsi="Book Antiqua" w:cs="Book Antiqua"/>
          <w:color w:val="000000"/>
        </w:rPr>
        <w:t xml:space="preserve">. Long-term mortality in nonalcoholic fatty liver disease: is liver histology of any prognostic significance? </w:t>
      </w:r>
      <w:r w:rsidRPr="00D22450">
        <w:rPr>
          <w:rFonts w:ascii="Book Antiqua" w:eastAsia="Book Antiqua" w:hAnsi="Book Antiqua" w:cs="Book Antiqua"/>
          <w:i/>
          <w:iCs/>
          <w:color w:val="000000"/>
        </w:rPr>
        <w:t>Hepatology</w:t>
      </w:r>
      <w:r w:rsidRPr="00D22450">
        <w:rPr>
          <w:rFonts w:ascii="Book Antiqua" w:eastAsia="Book Antiqua" w:hAnsi="Book Antiqua" w:cs="Book Antiqua"/>
          <w:color w:val="000000"/>
        </w:rPr>
        <w:t xml:space="preserve"> 2010; </w:t>
      </w:r>
      <w:r w:rsidRPr="00D22450">
        <w:rPr>
          <w:rFonts w:ascii="Book Antiqua" w:eastAsia="Book Antiqua" w:hAnsi="Book Antiqua" w:cs="Book Antiqua"/>
          <w:b/>
          <w:bCs/>
          <w:color w:val="000000"/>
        </w:rPr>
        <w:t>51</w:t>
      </w:r>
      <w:r w:rsidRPr="00D22450">
        <w:rPr>
          <w:rFonts w:ascii="Book Antiqua" w:eastAsia="Book Antiqua" w:hAnsi="Book Antiqua" w:cs="Book Antiqua"/>
          <w:color w:val="000000"/>
        </w:rPr>
        <w:t>: 373-375 [PMID: 20101746 DOI: 10.1002/hep.23521]</w:t>
      </w:r>
    </w:p>
    <w:p w14:paraId="2313170A"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6 </w:t>
      </w:r>
      <w:r w:rsidRPr="00D22450">
        <w:rPr>
          <w:rFonts w:ascii="Book Antiqua" w:eastAsia="Book Antiqua" w:hAnsi="Book Antiqua" w:cs="Book Antiqua"/>
          <w:b/>
          <w:bCs/>
          <w:color w:val="000000"/>
        </w:rPr>
        <w:t>Singh S</w:t>
      </w:r>
      <w:r w:rsidRPr="00D22450">
        <w:rPr>
          <w:rFonts w:ascii="Book Antiqua" w:eastAsia="Book Antiqua" w:hAnsi="Book Antiqua" w:cs="Book Antiqua"/>
          <w:color w:val="000000"/>
        </w:rPr>
        <w:t xml:space="preserve">, Allen AM, Wang Z, Prokop LJ, Murad MH, Loomba R. Fibrosis progression in nonalcoholic fatty liver </w:t>
      </w:r>
      <w:r w:rsidRPr="00D22450">
        <w:rPr>
          <w:rFonts w:ascii="Book Antiqua" w:eastAsia="Book Antiqua" w:hAnsi="Book Antiqua" w:cs="Book Antiqua"/>
          <w:i/>
          <w:iCs/>
          <w:color w:val="000000"/>
        </w:rPr>
        <w:t>vs</w:t>
      </w:r>
      <w:r w:rsidRPr="00D22450">
        <w:rPr>
          <w:rFonts w:ascii="Book Antiqua" w:eastAsia="Book Antiqua" w:hAnsi="Book Antiqua" w:cs="Book Antiqua"/>
          <w:color w:val="000000"/>
        </w:rPr>
        <w:t xml:space="preserve"> nonalcoholic steatohepatitis: a systematic review and meta-analysis of paired-biopsy studies. </w:t>
      </w:r>
      <w:r w:rsidRPr="00D22450">
        <w:rPr>
          <w:rFonts w:ascii="Book Antiqua" w:eastAsia="Book Antiqua" w:hAnsi="Book Antiqua" w:cs="Book Antiqua"/>
          <w:i/>
          <w:iCs/>
          <w:color w:val="000000"/>
        </w:rPr>
        <w:t>Clin Gastroenterol Hepatol</w:t>
      </w:r>
      <w:r w:rsidRPr="00D22450">
        <w:rPr>
          <w:rFonts w:ascii="Book Antiqua" w:eastAsia="Book Antiqua" w:hAnsi="Book Antiqua" w:cs="Book Antiqua"/>
          <w:color w:val="000000"/>
        </w:rPr>
        <w:t xml:space="preserve"> 2015; </w:t>
      </w:r>
      <w:r w:rsidRPr="00D22450">
        <w:rPr>
          <w:rFonts w:ascii="Book Antiqua" w:eastAsia="Book Antiqua" w:hAnsi="Book Antiqua" w:cs="Book Antiqua"/>
          <w:b/>
          <w:bCs/>
          <w:color w:val="000000"/>
        </w:rPr>
        <w:t>13</w:t>
      </w:r>
      <w:r w:rsidRPr="00D22450">
        <w:rPr>
          <w:rFonts w:ascii="Book Antiqua" w:eastAsia="Book Antiqua" w:hAnsi="Book Antiqua" w:cs="Book Antiqua"/>
          <w:color w:val="000000"/>
        </w:rPr>
        <w:t>: 643-54.e1-9; quiz e39-40 [PMID: 24768810 DOI: 10.1016/j.cgh.2014.04.014]</w:t>
      </w:r>
    </w:p>
    <w:p w14:paraId="2E6793CE"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7 </w:t>
      </w:r>
      <w:r w:rsidRPr="00D22450">
        <w:rPr>
          <w:rFonts w:ascii="Book Antiqua" w:eastAsia="Book Antiqua" w:hAnsi="Book Antiqua" w:cs="Book Antiqua"/>
          <w:b/>
          <w:bCs/>
          <w:color w:val="000000"/>
        </w:rPr>
        <w:t>Seki Y</w:t>
      </w:r>
      <w:r w:rsidRPr="00D22450">
        <w:rPr>
          <w:rFonts w:ascii="Book Antiqua" w:eastAsia="Book Antiqua" w:hAnsi="Book Antiqua" w:cs="Book Antiqua"/>
          <w:color w:val="000000"/>
        </w:rPr>
        <w:t xml:space="preserve">, Kakizaki S, Horiguchi N, Hashizume H, Tojima H, Yamazaki Y, Sato K, Kusano M, Yamada M, Kasama K. Prevalence of nonalcoholic steatohepatitis in </w:t>
      </w:r>
      <w:r w:rsidRPr="00D22450">
        <w:rPr>
          <w:rFonts w:ascii="Book Antiqua" w:eastAsia="Book Antiqua" w:hAnsi="Book Antiqua" w:cs="Book Antiqua"/>
          <w:color w:val="000000"/>
        </w:rPr>
        <w:lastRenderedPageBreak/>
        <w:t xml:space="preserve">Japanese patients with morbid obesity undergoing bariatric surgery. </w:t>
      </w:r>
      <w:r w:rsidRPr="00D22450">
        <w:rPr>
          <w:rFonts w:ascii="Book Antiqua" w:eastAsia="Book Antiqua" w:hAnsi="Book Antiqua" w:cs="Book Antiqua"/>
          <w:i/>
          <w:iCs/>
          <w:color w:val="000000"/>
        </w:rPr>
        <w:t>J Gastroenterol</w:t>
      </w:r>
      <w:r w:rsidRPr="00D22450">
        <w:rPr>
          <w:rFonts w:ascii="Book Antiqua" w:eastAsia="Book Antiqua" w:hAnsi="Book Antiqua" w:cs="Book Antiqua"/>
          <w:color w:val="000000"/>
        </w:rPr>
        <w:t xml:space="preserve"> 2016; </w:t>
      </w:r>
      <w:r w:rsidRPr="00D22450">
        <w:rPr>
          <w:rFonts w:ascii="Book Antiqua" w:eastAsia="Book Antiqua" w:hAnsi="Book Antiqua" w:cs="Book Antiqua"/>
          <w:b/>
          <w:bCs/>
          <w:color w:val="000000"/>
        </w:rPr>
        <w:t>51</w:t>
      </w:r>
      <w:r w:rsidRPr="00D22450">
        <w:rPr>
          <w:rFonts w:ascii="Book Antiqua" w:eastAsia="Book Antiqua" w:hAnsi="Book Antiqua" w:cs="Book Antiqua"/>
          <w:color w:val="000000"/>
        </w:rPr>
        <w:t>: 281-289 [PMID: 26314837 DOI: 10.1007/s00535-015-1114-8]</w:t>
      </w:r>
    </w:p>
    <w:p w14:paraId="569E1004"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8 </w:t>
      </w:r>
      <w:r w:rsidRPr="00D22450">
        <w:rPr>
          <w:rFonts w:ascii="Book Antiqua" w:eastAsia="Book Antiqua" w:hAnsi="Book Antiqua" w:cs="Book Antiqua"/>
          <w:b/>
          <w:bCs/>
          <w:color w:val="000000"/>
        </w:rPr>
        <w:t>Marra F</w:t>
      </w:r>
      <w:r w:rsidRPr="00D22450">
        <w:rPr>
          <w:rFonts w:ascii="Book Antiqua" w:eastAsia="Book Antiqua" w:hAnsi="Book Antiqua" w:cs="Book Antiqua"/>
          <w:color w:val="000000"/>
        </w:rPr>
        <w:t xml:space="preserve">, Lotersztajn S. Pathophysiology of NASH: perspectives for a targeted treatment. </w:t>
      </w:r>
      <w:r w:rsidRPr="00D22450">
        <w:rPr>
          <w:rFonts w:ascii="Book Antiqua" w:eastAsia="Book Antiqua" w:hAnsi="Book Antiqua" w:cs="Book Antiqua"/>
          <w:i/>
          <w:iCs/>
          <w:color w:val="000000"/>
        </w:rPr>
        <w:t>Curr Pharm Des</w:t>
      </w:r>
      <w:r w:rsidRPr="00D22450">
        <w:rPr>
          <w:rFonts w:ascii="Book Antiqua" w:eastAsia="Book Antiqua" w:hAnsi="Book Antiqua" w:cs="Book Antiqua"/>
          <w:color w:val="000000"/>
        </w:rPr>
        <w:t xml:space="preserve"> 2013; </w:t>
      </w:r>
      <w:r w:rsidRPr="00D22450">
        <w:rPr>
          <w:rFonts w:ascii="Book Antiqua" w:eastAsia="Book Antiqua" w:hAnsi="Book Antiqua" w:cs="Book Antiqua"/>
          <w:b/>
          <w:bCs/>
          <w:color w:val="000000"/>
        </w:rPr>
        <w:t>19</w:t>
      </w:r>
      <w:r w:rsidRPr="00D22450">
        <w:rPr>
          <w:rFonts w:ascii="Book Antiqua" w:eastAsia="Book Antiqua" w:hAnsi="Book Antiqua" w:cs="Book Antiqua"/>
          <w:color w:val="000000"/>
        </w:rPr>
        <w:t>: 5250-5269 [PMID: 23394092 DOI: 10.2174/13816128113199990344]</w:t>
      </w:r>
    </w:p>
    <w:p w14:paraId="08D93C8D"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9 </w:t>
      </w:r>
      <w:r w:rsidRPr="00D22450">
        <w:rPr>
          <w:rFonts w:ascii="Book Antiqua" w:eastAsia="Book Antiqua" w:hAnsi="Book Antiqua" w:cs="Book Antiqua"/>
          <w:b/>
          <w:bCs/>
          <w:color w:val="000000"/>
        </w:rPr>
        <w:t>Wong SW</w:t>
      </w:r>
      <w:r w:rsidRPr="00D22450">
        <w:rPr>
          <w:rFonts w:ascii="Book Antiqua" w:eastAsia="Book Antiqua" w:hAnsi="Book Antiqua" w:cs="Book Antiqua"/>
          <w:color w:val="000000"/>
        </w:rPr>
        <w:t xml:space="preserve">, Ting YW, Chan WK. Epidemiology of non-alcoholic fatty liver disease-related hepatocellular carcinoma and its implications. </w:t>
      </w:r>
      <w:r w:rsidRPr="00D22450">
        <w:rPr>
          <w:rFonts w:ascii="Book Antiqua" w:eastAsia="Book Antiqua" w:hAnsi="Book Antiqua" w:cs="Book Antiqua"/>
          <w:i/>
          <w:iCs/>
          <w:color w:val="000000"/>
        </w:rPr>
        <w:t>JGH Open</w:t>
      </w:r>
      <w:r w:rsidRPr="00D22450">
        <w:rPr>
          <w:rFonts w:ascii="Book Antiqua" w:eastAsia="Book Antiqua" w:hAnsi="Book Antiqua" w:cs="Book Antiqua"/>
          <w:color w:val="000000"/>
        </w:rPr>
        <w:t xml:space="preserve"> 2018; </w:t>
      </w:r>
      <w:r w:rsidRPr="00D22450">
        <w:rPr>
          <w:rFonts w:ascii="Book Antiqua" w:eastAsia="Book Antiqua" w:hAnsi="Book Antiqua" w:cs="Book Antiqua"/>
          <w:b/>
          <w:bCs/>
          <w:color w:val="000000"/>
        </w:rPr>
        <w:t>2</w:t>
      </w:r>
      <w:r w:rsidRPr="00D22450">
        <w:rPr>
          <w:rFonts w:ascii="Book Antiqua" w:eastAsia="Book Antiqua" w:hAnsi="Book Antiqua" w:cs="Book Antiqua"/>
          <w:color w:val="000000"/>
        </w:rPr>
        <w:t>: 235-241 [PMID: 30483595 DOI: 10.1002/jgh3.12070]</w:t>
      </w:r>
    </w:p>
    <w:p w14:paraId="10F4B18F"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10 </w:t>
      </w:r>
      <w:r w:rsidRPr="00D22450">
        <w:rPr>
          <w:rFonts w:ascii="Book Antiqua" w:eastAsia="Book Antiqua" w:hAnsi="Book Antiqua" w:cs="Book Antiqua"/>
          <w:b/>
          <w:bCs/>
          <w:color w:val="000000"/>
        </w:rPr>
        <w:t>Angulo P</w:t>
      </w:r>
      <w:r w:rsidRPr="00D22450">
        <w:rPr>
          <w:rFonts w:ascii="Book Antiqua" w:eastAsia="Book Antiqua" w:hAnsi="Book Antiqua" w:cs="Book Antiqua"/>
          <w:color w:val="000000"/>
        </w:rPr>
        <w:t xml:space="preserve">, Keach JC, Batts KP, Lindor KD. Independent predictors of liver fibrosis in patients with nonalcoholic steatohepatitis. </w:t>
      </w:r>
      <w:r w:rsidRPr="00D22450">
        <w:rPr>
          <w:rFonts w:ascii="Book Antiqua" w:eastAsia="Book Antiqua" w:hAnsi="Book Antiqua" w:cs="Book Antiqua"/>
          <w:i/>
          <w:iCs/>
          <w:color w:val="000000"/>
        </w:rPr>
        <w:t>Hepatology</w:t>
      </w:r>
      <w:r w:rsidRPr="00D22450">
        <w:rPr>
          <w:rFonts w:ascii="Book Antiqua" w:eastAsia="Book Antiqua" w:hAnsi="Book Antiqua" w:cs="Book Antiqua"/>
          <w:color w:val="000000"/>
        </w:rPr>
        <w:t xml:space="preserve"> 1999; </w:t>
      </w:r>
      <w:r w:rsidRPr="00D22450">
        <w:rPr>
          <w:rFonts w:ascii="Book Antiqua" w:eastAsia="Book Antiqua" w:hAnsi="Book Antiqua" w:cs="Book Antiqua"/>
          <w:b/>
          <w:bCs/>
          <w:color w:val="000000"/>
        </w:rPr>
        <w:t>30</w:t>
      </w:r>
      <w:r w:rsidRPr="00D22450">
        <w:rPr>
          <w:rFonts w:ascii="Book Antiqua" w:eastAsia="Book Antiqua" w:hAnsi="Book Antiqua" w:cs="Book Antiqua"/>
          <w:color w:val="000000"/>
        </w:rPr>
        <w:t>: 1356-1362 [PMID: 10573511 DOI: 10.1002/hep.510300604]</w:t>
      </w:r>
    </w:p>
    <w:p w14:paraId="164C879B"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11 </w:t>
      </w:r>
      <w:r w:rsidRPr="00D22450">
        <w:rPr>
          <w:rFonts w:ascii="Book Antiqua" w:eastAsia="Book Antiqua" w:hAnsi="Book Antiqua" w:cs="Book Antiqua"/>
          <w:b/>
          <w:bCs/>
          <w:color w:val="000000"/>
        </w:rPr>
        <w:t>Ekstedt M</w:t>
      </w:r>
      <w:r w:rsidRPr="00D22450">
        <w:rPr>
          <w:rFonts w:ascii="Book Antiqua" w:eastAsia="Book Antiqua" w:hAnsi="Book Antiqua" w:cs="Book Antiqua"/>
          <w:color w:val="000000"/>
        </w:rPr>
        <w:t xml:space="preserve">, Nasr P, Kechagias S. Natural History of NAFLD/NASH. </w:t>
      </w:r>
      <w:r w:rsidRPr="00D22450">
        <w:rPr>
          <w:rFonts w:ascii="Book Antiqua" w:eastAsia="Book Antiqua" w:hAnsi="Book Antiqua" w:cs="Book Antiqua"/>
          <w:i/>
          <w:iCs/>
          <w:color w:val="000000"/>
        </w:rPr>
        <w:t>Curr Hepatol Rep</w:t>
      </w:r>
      <w:r w:rsidRPr="00D22450">
        <w:rPr>
          <w:rFonts w:ascii="Book Antiqua" w:eastAsia="Book Antiqua" w:hAnsi="Book Antiqua" w:cs="Book Antiqua"/>
          <w:color w:val="000000"/>
        </w:rPr>
        <w:t xml:space="preserve"> 2017; </w:t>
      </w:r>
      <w:r w:rsidRPr="00D22450">
        <w:rPr>
          <w:rFonts w:ascii="Book Antiqua" w:eastAsia="Book Antiqua" w:hAnsi="Book Antiqua" w:cs="Book Antiqua"/>
          <w:b/>
          <w:bCs/>
          <w:color w:val="000000"/>
        </w:rPr>
        <w:t>16</w:t>
      </w:r>
      <w:r w:rsidRPr="00D22450">
        <w:rPr>
          <w:rFonts w:ascii="Book Antiqua" w:eastAsia="Book Antiqua" w:hAnsi="Book Antiqua" w:cs="Book Antiqua"/>
          <w:color w:val="000000"/>
        </w:rPr>
        <w:t>: 391-397 [PMID: 29984130 DOI: 10.1007/s11901-017-0378-2]</w:t>
      </w:r>
    </w:p>
    <w:p w14:paraId="10FAF1D2"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12 </w:t>
      </w:r>
      <w:r w:rsidRPr="00D22450">
        <w:rPr>
          <w:rFonts w:ascii="Book Antiqua" w:eastAsia="Book Antiqua" w:hAnsi="Book Antiqua" w:cs="Book Antiqua"/>
          <w:b/>
          <w:bCs/>
          <w:color w:val="000000"/>
        </w:rPr>
        <w:t>Chalasani N</w:t>
      </w:r>
      <w:r w:rsidRPr="00D22450">
        <w:rPr>
          <w:rFonts w:ascii="Book Antiqua" w:eastAsia="Book Antiqua" w:hAnsi="Book Antiqua" w:cs="Book Antiqua"/>
          <w:color w:val="000000"/>
        </w:rPr>
        <w:t xml:space="preserve">, Younossi Z, Lavine JE, Charlton M, Cusi K, Rinella M, Harrison SA, Brunt EM, Sanyal AJ. The diagnosis and management of nonalcoholic fatty liver disease: Practice guidance from the American Association for the Study of Liver Diseases. </w:t>
      </w:r>
      <w:r w:rsidRPr="00D22450">
        <w:rPr>
          <w:rFonts w:ascii="Book Antiqua" w:eastAsia="Book Antiqua" w:hAnsi="Book Antiqua" w:cs="Book Antiqua"/>
          <w:i/>
          <w:iCs/>
          <w:color w:val="000000"/>
        </w:rPr>
        <w:t>Hepatology</w:t>
      </w:r>
      <w:r w:rsidRPr="00D22450">
        <w:rPr>
          <w:rFonts w:ascii="Book Antiqua" w:eastAsia="Book Antiqua" w:hAnsi="Book Antiqua" w:cs="Book Antiqua"/>
          <w:color w:val="000000"/>
        </w:rPr>
        <w:t xml:space="preserve"> 2018; </w:t>
      </w:r>
      <w:r w:rsidRPr="00D22450">
        <w:rPr>
          <w:rFonts w:ascii="Book Antiqua" w:eastAsia="Book Antiqua" w:hAnsi="Book Antiqua" w:cs="Book Antiqua"/>
          <w:b/>
          <w:bCs/>
          <w:color w:val="000000"/>
        </w:rPr>
        <w:t>67</w:t>
      </w:r>
      <w:r w:rsidRPr="00D22450">
        <w:rPr>
          <w:rFonts w:ascii="Book Antiqua" w:eastAsia="Book Antiqua" w:hAnsi="Book Antiqua" w:cs="Book Antiqua"/>
          <w:color w:val="000000"/>
        </w:rPr>
        <w:t>: 328-357 [PMID: 28714183 DOI: 10.1002/hep.29367]</w:t>
      </w:r>
    </w:p>
    <w:p w14:paraId="061BB4B9"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13 </w:t>
      </w:r>
      <w:r w:rsidRPr="00D22450">
        <w:rPr>
          <w:rFonts w:ascii="Book Antiqua" w:eastAsia="Book Antiqua" w:hAnsi="Book Antiqua" w:cs="Book Antiqua"/>
          <w:b/>
          <w:bCs/>
          <w:color w:val="000000"/>
        </w:rPr>
        <w:t>Piccinino F</w:t>
      </w:r>
      <w:r w:rsidRPr="00D22450">
        <w:rPr>
          <w:rFonts w:ascii="Book Antiqua" w:eastAsia="Book Antiqua" w:hAnsi="Book Antiqua" w:cs="Book Antiqua"/>
          <w:color w:val="000000"/>
        </w:rPr>
        <w:t xml:space="preserve">, Sagnelli E, Pasquale G, Giusti G. Complications following percutaneous liver biopsy. A multicentre retrospective study on 68,276 biopsies. </w:t>
      </w:r>
      <w:r w:rsidRPr="00D22450">
        <w:rPr>
          <w:rFonts w:ascii="Book Antiqua" w:eastAsia="Book Antiqua" w:hAnsi="Book Antiqua" w:cs="Book Antiqua"/>
          <w:i/>
          <w:iCs/>
          <w:color w:val="000000"/>
        </w:rPr>
        <w:t>J Hepatol</w:t>
      </w:r>
      <w:r w:rsidRPr="00D22450">
        <w:rPr>
          <w:rFonts w:ascii="Book Antiqua" w:eastAsia="Book Antiqua" w:hAnsi="Book Antiqua" w:cs="Book Antiqua"/>
          <w:color w:val="000000"/>
        </w:rPr>
        <w:t xml:space="preserve"> 1986; </w:t>
      </w:r>
      <w:r w:rsidRPr="00D22450">
        <w:rPr>
          <w:rFonts w:ascii="Book Antiqua" w:eastAsia="Book Antiqua" w:hAnsi="Book Antiqua" w:cs="Book Antiqua"/>
          <w:b/>
          <w:bCs/>
          <w:color w:val="000000"/>
        </w:rPr>
        <w:t>2</w:t>
      </w:r>
      <w:r w:rsidRPr="00D22450">
        <w:rPr>
          <w:rFonts w:ascii="Book Antiqua" w:eastAsia="Book Antiqua" w:hAnsi="Book Antiqua" w:cs="Book Antiqua"/>
          <w:color w:val="000000"/>
        </w:rPr>
        <w:t>: 165-173 [PMID: 3958472 DOI: 10.1016/s0168-8278(86)80075-7]</w:t>
      </w:r>
    </w:p>
    <w:p w14:paraId="6FF0CFDB"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14 </w:t>
      </w:r>
      <w:r w:rsidRPr="00D22450">
        <w:rPr>
          <w:rFonts w:ascii="Book Antiqua" w:eastAsia="Book Antiqua" w:hAnsi="Book Antiqua" w:cs="Book Antiqua"/>
          <w:b/>
          <w:bCs/>
          <w:color w:val="000000"/>
        </w:rPr>
        <w:t>Harrison SA</w:t>
      </w:r>
      <w:r w:rsidRPr="00D22450">
        <w:rPr>
          <w:rFonts w:ascii="Book Antiqua" w:eastAsia="Book Antiqua" w:hAnsi="Book Antiqua" w:cs="Book Antiqua"/>
          <w:color w:val="000000"/>
        </w:rPr>
        <w:t xml:space="preserve">, Dennis A, Fiore MM, Kelly MD, Kelly CJ, Paredes AH, Whitehead JM, Neubauer S, Traber PG, Banerjee R. Utility and variability of three non-invasive liver fibrosis imaging modalities to evaluate efficacy of GR-MD-02 in subjects with NASH and bridging fibrosis during a phase-2 randomized clinical trial. </w:t>
      </w:r>
      <w:r w:rsidRPr="00D22450">
        <w:rPr>
          <w:rFonts w:ascii="Book Antiqua" w:eastAsia="Book Antiqua" w:hAnsi="Book Antiqua" w:cs="Book Antiqua"/>
          <w:i/>
          <w:iCs/>
          <w:color w:val="000000"/>
        </w:rPr>
        <w:t>PLoS One</w:t>
      </w:r>
      <w:r w:rsidRPr="00D22450">
        <w:rPr>
          <w:rFonts w:ascii="Book Antiqua" w:eastAsia="Book Antiqua" w:hAnsi="Book Antiqua" w:cs="Book Antiqua"/>
          <w:color w:val="000000"/>
        </w:rPr>
        <w:t xml:space="preserve"> 2018; </w:t>
      </w:r>
      <w:r w:rsidRPr="00D22450">
        <w:rPr>
          <w:rFonts w:ascii="Book Antiqua" w:eastAsia="Book Antiqua" w:hAnsi="Book Antiqua" w:cs="Book Antiqua"/>
          <w:b/>
          <w:bCs/>
          <w:color w:val="000000"/>
        </w:rPr>
        <w:t>13</w:t>
      </w:r>
      <w:r w:rsidRPr="00D22450">
        <w:rPr>
          <w:rFonts w:ascii="Book Antiqua" w:eastAsia="Book Antiqua" w:hAnsi="Book Antiqua" w:cs="Book Antiqua"/>
          <w:color w:val="000000"/>
        </w:rPr>
        <w:t>: e0203054 [PMID: 30192782 DOI: 10.1371/journal.pone.0203054]</w:t>
      </w:r>
    </w:p>
    <w:p w14:paraId="0462FCAC"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15 </w:t>
      </w:r>
      <w:r w:rsidRPr="00D22450">
        <w:rPr>
          <w:rFonts w:ascii="Book Antiqua" w:eastAsia="Book Antiqua" w:hAnsi="Book Antiqua" w:cs="Book Antiqua"/>
          <w:b/>
          <w:bCs/>
          <w:color w:val="000000"/>
        </w:rPr>
        <w:t>Caussy C</w:t>
      </w:r>
      <w:r w:rsidRPr="00D22450">
        <w:rPr>
          <w:rFonts w:ascii="Book Antiqua" w:eastAsia="Book Antiqua" w:hAnsi="Book Antiqua" w:cs="Book Antiqua"/>
          <w:color w:val="000000"/>
        </w:rPr>
        <w:t xml:space="preserve">, Reeder SB, Sirlin CB, Loomba R. Noninvasive, Quantitative Assessment of Liver Fat by MRI-PDFF as an Endpoint in NASH Trials. </w:t>
      </w:r>
      <w:r w:rsidRPr="00D22450">
        <w:rPr>
          <w:rFonts w:ascii="Book Antiqua" w:eastAsia="Book Antiqua" w:hAnsi="Book Antiqua" w:cs="Book Antiqua"/>
          <w:i/>
          <w:iCs/>
          <w:color w:val="000000"/>
        </w:rPr>
        <w:t>Hepatology</w:t>
      </w:r>
      <w:r w:rsidRPr="00D22450">
        <w:rPr>
          <w:rFonts w:ascii="Book Antiqua" w:eastAsia="Book Antiqua" w:hAnsi="Book Antiqua" w:cs="Book Antiqua"/>
          <w:color w:val="000000"/>
        </w:rPr>
        <w:t xml:space="preserve"> 2018; </w:t>
      </w:r>
      <w:r w:rsidRPr="00D22450">
        <w:rPr>
          <w:rFonts w:ascii="Book Antiqua" w:eastAsia="Book Antiqua" w:hAnsi="Book Antiqua" w:cs="Book Antiqua"/>
          <w:b/>
          <w:bCs/>
          <w:color w:val="000000"/>
        </w:rPr>
        <w:t>68</w:t>
      </w:r>
      <w:r w:rsidRPr="00D22450">
        <w:rPr>
          <w:rFonts w:ascii="Book Antiqua" w:eastAsia="Book Antiqua" w:hAnsi="Book Antiqua" w:cs="Book Antiqua"/>
          <w:color w:val="000000"/>
        </w:rPr>
        <w:t>: 763-772 [PMID: 29356032 DOI: 10.1002/hep.29797]</w:t>
      </w:r>
    </w:p>
    <w:p w14:paraId="64840C8D"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lastRenderedPageBreak/>
        <w:t xml:space="preserve">16 </w:t>
      </w:r>
      <w:r w:rsidRPr="00D22450">
        <w:rPr>
          <w:rFonts w:ascii="Book Antiqua" w:eastAsia="Book Antiqua" w:hAnsi="Book Antiqua" w:cs="Book Antiqua"/>
          <w:b/>
          <w:bCs/>
          <w:color w:val="000000"/>
        </w:rPr>
        <w:t>Imajo K</w:t>
      </w:r>
      <w:r w:rsidRPr="00D22450">
        <w:rPr>
          <w:rFonts w:ascii="Book Antiqua" w:eastAsia="Book Antiqua" w:hAnsi="Book Antiqua" w:cs="Book Antiqua"/>
          <w:color w:val="000000"/>
        </w:rPr>
        <w:t xml:space="preserve">, Kessoku T, Honda Y, Tomeno W, Ogawa Y, Mawatari H, Fujita K, Yoneda M, Taguri M, Hyogo H, Sumida Y, Ono M, Eguchi Y, Inoue T, Yamanaka T, Wada K, Saito S, Nakajima A. Magnetic Resonance Imaging More Accurately Classifies Steatosis and Fibrosis in Patients With Nonalcoholic Fatty Liver Disease Than Transient Elastography. </w:t>
      </w:r>
      <w:r w:rsidRPr="00D22450">
        <w:rPr>
          <w:rFonts w:ascii="Book Antiqua" w:eastAsia="Book Antiqua" w:hAnsi="Book Antiqua" w:cs="Book Antiqua"/>
          <w:i/>
          <w:iCs/>
          <w:color w:val="000000"/>
        </w:rPr>
        <w:t>Gastroenterology</w:t>
      </w:r>
      <w:r w:rsidRPr="00D22450">
        <w:rPr>
          <w:rFonts w:ascii="Book Antiqua" w:eastAsia="Book Antiqua" w:hAnsi="Book Antiqua" w:cs="Book Antiqua"/>
          <w:color w:val="000000"/>
        </w:rPr>
        <w:t xml:space="preserve"> 2016; </w:t>
      </w:r>
      <w:r w:rsidRPr="00D22450">
        <w:rPr>
          <w:rFonts w:ascii="Book Antiqua" w:eastAsia="Book Antiqua" w:hAnsi="Book Antiqua" w:cs="Book Antiqua"/>
          <w:b/>
          <w:bCs/>
          <w:color w:val="000000"/>
        </w:rPr>
        <w:t>150</w:t>
      </w:r>
      <w:r w:rsidRPr="00D22450">
        <w:rPr>
          <w:rFonts w:ascii="Book Antiqua" w:eastAsia="Book Antiqua" w:hAnsi="Book Antiqua" w:cs="Book Antiqua"/>
          <w:color w:val="000000"/>
        </w:rPr>
        <w:t>: 626-637.e7 [PMID: 26677985 DOI: 10.1053/j.gastro.2015.11.048]</w:t>
      </w:r>
    </w:p>
    <w:p w14:paraId="38E274A9"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17 </w:t>
      </w:r>
      <w:r w:rsidRPr="00D22450">
        <w:rPr>
          <w:rFonts w:ascii="Book Antiqua" w:eastAsia="Book Antiqua" w:hAnsi="Book Antiqua" w:cs="Book Antiqua"/>
          <w:b/>
          <w:bCs/>
          <w:color w:val="000000"/>
        </w:rPr>
        <w:t>Jayakumar S</w:t>
      </w:r>
      <w:r w:rsidRPr="00D22450">
        <w:rPr>
          <w:rFonts w:ascii="Book Antiqua" w:eastAsia="Book Antiqua" w:hAnsi="Book Antiqua" w:cs="Book Antiqua"/>
          <w:color w:val="000000"/>
        </w:rPr>
        <w:t xml:space="preserve">, Middleton MS, Lawitz EJ, Mantry PS, Caldwell SH, Arnold H, Mae Diehl A, Ghalib R, Elkhashab M, Abdelmalek MF, Kowdley KV, Stephen Djedjos C, Xu R, Han L, Mani Subramanian G, Myers RP, Goodman ZD, Afdhal NH, Charlton MR, Sirlin CB, Loomba R. Longitudinal correlations between MRE, MRI-PDFF, and liver histology in patients with non-alcoholic steatohepatitis: Analysis of data from a phase II trial of selonsertib. </w:t>
      </w:r>
      <w:r w:rsidRPr="00D22450">
        <w:rPr>
          <w:rFonts w:ascii="Book Antiqua" w:eastAsia="Book Antiqua" w:hAnsi="Book Antiqua" w:cs="Book Antiqua"/>
          <w:i/>
          <w:iCs/>
          <w:color w:val="000000"/>
        </w:rPr>
        <w:t>J Hepatol</w:t>
      </w:r>
      <w:r w:rsidRPr="00D22450">
        <w:rPr>
          <w:rFonts w:ascii="Book Antiqua" w:eastAsia="Book Antiqua" w:hAnsi="Book Antiqua" w:cs="Book Antiqua"/>
          <w:color w:val="000000"/>
        </w:rPr>
        <w:t xml:space="preserve"> 2019; </w:t>
      </w:r>
      <w:r w:rsidRPr="00D22450">
        <w:rPr>
          <w:rFonts w:ascii="Book Antiqua" w:eastAsia="Book Antiqua" w:hAnsi="Book Antiqua" w:cs="Book Antiqua"/>
          <w:b/>
          <w:bCs/>
          <w:color w:val="000000"/>
        </w:rPr>
        <w:t>70</w:t>
      </w:r>
      <w:r w:rsidRPr="00D22450">
        <w:rPr>
          <w:rFonts w:ascii="Book Antiqua" w:eastAsia="Book Antiqua" w:hAnsi="Book Antiqua" w:cs="Book Antiqua"/>
          <w:color w:val="000000"/>
        </w:rPr>
        <w:t>: 133-141 [PMID: 30291868 DOI: 10.1016/j.jhep.2018.09.024]</w:t>
      </w:r>
    </w:p>
    <w:p w14:paraId="62A23F66"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18 </w:t>
      </w:r>
      <w:r w:rsidRPr="00D22450">
        <w:rPr>
          <w:rFonts w:ascii="Book Antiqua" w:eastAsia="Book Antiqua" w:hAnsi="Book Antiqua" w:cs="Book Antiqua"/>
          <w:b/>
          <w:bCs/>
          <w:color w:val="000000"/>
        </w:rPr>
        <w:t>Eddowes PJ</w:t>
      </w:r>
      <w:r w:rsidRPr="00D22450">
        <w:rPr>
          <w:rFonts w:ascii="Book Antiqua" w:eastAsia="Book Antiqua" w:hAnsi="Book Antiqua" w:cs="Book Antiqua"/>
          <w:color w:val="000000"/>
        </w:rPr>
        <w:t xml:space="preserve">, McDonald N, Davies N, Semple SIK, Kendall TJ, Hodson J, Newsome PN, Flintham RB, Wesolowski R, Blake L, Duarte RV, Kelly CJ, Herlihy AH, Kelly MD, Olliff SP, Hübscher SG, Fallowfield JA, Hirschfield GM. Utility and cost evaluation of multiparametric magnetic resonance imaging for the assessment of non-alcoholic fatty liver disease. </w:t>
      </w:r>
      <w:r w:rsidRPr="00D22450">
        <w:rPr>
          <w:rFonts w:ascii="Book Antiqua" w:eastAsia="Book Antiqua" w:hAnsi="Book Antiqua" w:cs="Book Antiqua"/>
          <w:i/>
          <w:iCs/>
          <w:color w:val="000000"/>
        </w:rPr>
        <w:t>Aliment Pharmacol Ther</w:t>
      </w:r>
      <w:r w:rsidRPr="00D22450">
        <w:rPr>
          <w:rFonts w:ascii="Book Antiqua" w:eastAsia="Book Antiqua" w:hAnsi="Book Antiqua" w:cs="Book Antiqua"/>
          <w:color w:val="000000"/>
        </w:rPr>
        <w:t xml:space="preserve"> 2018; </w:t>
      </w:r>
      <w:r w:rsidRPr="00D22450">
        <w:rPr>
          <w:rFonts w:ascii="Book Antiqua" w:eastAsia="Book Antiqua" w:hAnsi="Book Antiqua" w:cs="Book Antiqua"/>
          <w:b/>
          <w:bCs/>
          <w:color w:val="000000"/>
        </w:rPr>
        <w:t>47</w:t>
      </w:r>
      <w:r w:rsidRPr="00D22450">
        <w:rPr>
          <w:rFonts w:ascii="Book Antiqua" w:eastAsia="Book Antiqua" w:hAnsi="Book Antiqua" w:cs="Book Antiqua"/>
          <w:color w:val="000000"/>
        </w:rPr>
        <w:t>: 631-644 [PMID: 29271504 DOI: 10.1111/apt.14469]</w:t>
      </w:r>
    </w:p>
    <w:p w14:paraId="05671B41" w14:textId="19F6CAE3"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19 </w:t>
      </w:r>
      <w:r w:rsidRPr="00D22450">
        <w:rPr>
          <w:rFonts w:ascii="Book Antiqua" w:eastAsia="Book Antiqua" w:hAnsi="Book Antiqua" w:cs="Book Antiqua"/>
          <w:b/>
          <w:bCs/>
          <w:color w:val="000000"/>
        </w:rPr>
        <w:t>Jayaswal ANA</w:t>
      </w:r>
      <w:r w:rsidRPr="00D22450">
        <w:rPr>
          <w:rFonts w:ascii="Book Antiqua" w:eastAsia="Book Antiqua" w:hAnsi="Book Antiqua" w:cs="Book Antiqua"/>
          <w:color w:val="000000"/>
        </w:rPr>
        <w:t xml:space="preserve">, Levick C, Selvaraj EA, Dennis A, Booth JC, Collier J, Cobbold J, Tunnicliffe EM, Kelly M, Barnes E, Neubauer S, Banerjee R, Pavlides M. Prognostic value of multiparametric magnetic resonance imaging, transient elastography and blood-based fibrosis markers in patients with chronic liver disease. </w:t>
      </w:r>
      <w:r w:rsidRPr="00D22450">
        <w:rPr>
          <w:rFonts w:ascii="Book Antiqua" w:eastAsia="Book Antiqua" w:hAnsi="Book Antiqua" w:cs="Book Antiqua"/>
          <w:i/>
          <w:iCs/>
          <w:color w:val="000000"/>
        </w:rPr>
        <w:t>Liver Int</w:t>
      </w:r>
      <w:r w:rsidR="00530B38">
        <w:rPr>
          <w:rFonts w:ascii="Book Antiqua" w:eastAsia="Book Antiqua" w:hAnsi="Book Antiqua" w:cs="Book Antiqua"/>
          <w:color w:val="000000"/>
        </w:rPr>
        <w:t xml:space="preserve"> 2020</w:t>
      </w:r>
      <w:r w:rsidRPr="00D22450">
        <w:rPr>
          <w:rFonts w:ascii="Book Antiqua" w:eastAsia="Book Antiqua" w:hAnsi="Book Antiqua" w:cs="Book Antiqua"/>
          <w:color w:val="000000"/>
        </w:rPr>
        <w:t xml:space="preserve"> [PMID: 32730664 DOI: 10.1111/Liv.14625]</w:t>
      </w:r>
    </w:p>
    <w:p w14:paraId="5F8D2F01"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20 </w:t>
      </w:r>
      <w:r w:rsidRPr="00D22450">
        <w:rPr>
          <w:rFonts w:ascii="Book Antiqua" w:eastAsia="Book Antiqua" w:hAnsi="Book Antiqua" w:cs="Book Antiqua"/>
          <w:b/>
          <w:bCs/>
          <w:color w:val="000000"/>
        </w:rPr>
        <w:t>Pavlides M</w:t>
      </w:r>
      <w:r w:rsidRPr="00D22450">
        <w:rPr>
          <w:rFonts w:ascii="Book Antiqua" w:eastAsia="Book Antiqua" w:hAnsi="Book Antiqua" w:cs="Book Antiqua"/>
          <w:color w:val="000000"/>
        </w:rPr>
        <w:t xml:space="preserve">, Banerjee R, Sellwood J, Kelly CJ, Robson MD, Booth JC, Collier J, Neubauer S, Barnes E. Multiparametric magnetic resonance imaging predicts clinical outcomes in patients with chronic liver disease. </w:t>
      </w:r>
      <w:r w:rsidRPr="00D22450">
        <w:rPr>
          <w:rFonts w:ascii="Book Antiqua" w:eastAsia="Book Antiqua" w:hAnsi="Book Antiqua" w:cs="Book Antiqua"/>
          <w:i/>
          <w:iCs/>
          <w:color w:val="000000"/>
        </w:rPr>
        <w:t>J Hepatol</w:t>
      </w:r>
      <w:r w:rsidRPr="00D22450">
        <w:rPr>
          <w:rFonts w:ascii="Book Antiqua" w:eastAsia="Book Antiqua" w:hAnsi="Book Antiqua" w:cs="Book Antiqua"/>
          <w:color w:val="000000"/>
        </w:rPr>
        <w:t xml:space="preserve"> 2016; </w:t>
      </w:r>
      <w:r w:rsidRPr="00D22450">
        <w:rPr>
          <w:rFonts w:ascii="Book Antiqua" w:eastAsia="Book Antiqua" w:hAnsi="Book Antiqua" w:cs="Book Antiqua"/>
          <w:b/>
          <w:bCs/>
          <w:color w:val="000000"/>
        </w:rPr>
        <w:t>64</w:t>
      </w:r>
      <w:r w:rsidRPr="00D22450">
        <w:rPr>
          <w:rFonts w:ascii="Book Antiqua" w:eastAsia="Book Antiqua" w:hAnsi="Book Antiqua" w:cs="Book Antiqua"/>
          <w:color w:val="000000"/>
        </w:rPr>
        <w:t>: 308-315 [PMID: 26471505 DOI: 10.1016/j.jhep.2015.10.009]</w:t>
      </w:r>
    </w:p>
    <w:p w14:paraId="46512183"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21 </w:t>
      </w:r>
      <w:r w:rsidRPr="00D22450">
        <w:rPr>
          <w:rFonts w:ascii="Book Antiqua" w:eastAsia="Book Antiqua" w:hAnsi="Book Antiqua" w:cs="Book Antiqua"/>
          <w:b/>
          <w:bCs/>
          <w:color w:val="000000"/>
        </w:rPr>
        <w:t>Bachtiar V</w:t>
      </w:r>
      <w:r w:rsidRPr="00D22450">
        <w:rPr>
          <w:rFonts w:ascii="Book Antiqua" w:eastAsia="Book Antiqua" w:hAnsi="Book Antiqua" w:cs="Book Antiqua"/>
          <w:color w:val="000000"/>
        </w:rPr>
        <w:t xml:space="preserve">, Kelly MD, Wilman HR, Jacobs J, Newbould R, Kelly CJ, Gyngell ML, Groves KE, McKay A, Herlihy AH, Fernandes CC, Halberstadt M, Maguire </w:t>
      </w:r>
      <w:r w:rsidRPr="00D22450">
        <w:rPr>
          <w:rFonts w:ascii="Book Antiqua" w:eastAsia="Book Antiqua" w:hAnsi="Book Antiqua" w:cs="Book Antiqua"/>
          <w:color w:val="000000"/>
        </w:rPr>
        <w:lastRenderedPageBreak/>
        <w:t xml:space="preserve">M, Jayaratne N, Linden S, Neubauer S, Banerjee R. Repeatability and reproducibility of multiparametric magnetic resonance imaging of the liver. </w:t>
      </w:r>
      <w:r w:rsidRPr="00D22450">
        <w:rPr>
          <w:rFonts w:ascii="Book Antiqua" w:eastAsia="Book Antiqua" w:hAnsi="Book Antiqua" w:cs="Book Antiqua"/>
          <w:i/>
          <w:iCs/>
          <w:color w:val="000000"/>
        </w:rPr>
        <w:t>PLoS One</w:t>
      </w:r>
      <w:r w:rsidRPr="00D22450">
        <w:rPr>
          <w:rFonts w:ascii="Book Antiqua" w:eastAsia="Book Antiqua" w:hAnsi="Book Antiqua" w:cs="Book Antiqua"/>
          <w:color w:val="000000"/>
        </w:rPr>
        <w:t xml:space="preserve"> 2019; </w:t>
      </w:r>
      <w:r w:rsidRPr="00D22450">
        <w:rPr>
          <w:rFonts w:ascii="Book Antiqua" w:eastAsia="Book Antiqua" w:hAnsi="Book Antiqua" w:cs="Book Antiqua"/>
          <w:b/>
          <w:bCs/>
          <w:color w:val="000000"/>
        </w:rPr>
        <w:t>14</w:t>
      </w:r>
      <w:r w:rsidRPr="00D22450">
        <w:rPr>
          <w:rFonts w:ascii="Book Antiqua" w:eastAsia="Book Antiqua" w:hAnsi="Book Antiqua" w:cs="Book Antiqua"/>
          <w:color w:val="000000"/>
        </w:rPr>
        <w:t>: e0214921 [PMID: 30970039 DOI: 10.1371/journal.pone.0214921]</w:t>
      </w:r>
    </w:p>
    <w:p w14:paraId="317F8ADD"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22 </w:t>
      </w:r>
      <w:r w:rsidRPr="00D22450">
        <w:rPr>
          <w:rFonts w:ascii="Book Antiqua" w:eastAsia="Book Antiqua" w:hAnsi="Book Antiqua" w:cs="Book Antiqua"/>
          <w:b/>
          <w:bCs/>
          <w:color w:val="000000"/>
        </w:rPr>
        <w:t>Chen J</w:t>
      </w:r>
      <w:r w:rsidRPr="00D22450">
        <w:rPr>
          <w:rFonts w:ascii="Book Antiqua" w:eastAsia="Book Antiqua" w:hAnsi="Book Antiqua" w:cs="Book Antiqua"/>
          <w:color w:val="000000"/>
        </w:rPr>
        <w:t xml:space="preserve">, Talwalkar JA, Yin M, Glaser KJ, Sanderson SO, Ehman RL. Early detection of nonalcoholic steatohepatitis in patients with nonalcoholic fatty liver disease by using MR elastography. </w:t>
      </w:r>
      <w:r w:rsidRPr="00D22450">
        <w:rPr>
          <w:rFonts w:ascii="Book Antiqua" w:eastAsia="Book Antiqua" w:hAnsi="Book Antiqua" w:cs="Book Antiqua"/>
          <w:i/>
          <w:iCs/>
          <w:color w:val="000000"/>
        </w:rPr>
        <w:t>Radiology</w:t>
      </w:r>
      <w:r w:rsidRPr="00D22450">
        <w:rPr>
          <w:rFonts w:ascii="Book Antiqua" w:eastAsia="Book Antiqua" w:hAnsi="Book Antiqua" w:cs="Book Antiqua"/>
          <w:color w:val="000000"/>
        </w:rPr>
        <w:t xml:space="preserve"> 2011; </w:t>
      </w:r>
      <w:r w:rsidRPr="00D22450">
        <w:rPr>
          <w:rFonts w:ascii="Book Antiqua" w:eastAsia="Book Antiqua" w:hAnsi="Book Antiqua" w:cs="Book Antiqua"/>
          <w:b/>
          <w:bCs/>
          <w:color w:val="000000"/>
        </w:rPr>
        <w:t>259</w:t>
      </w:r>
      <w:r w:rsidRPr="00D22450">
        <w:rPr>
          <w:rFonts w:ascii="Book Antiqua" w:eastAsia="Book Antiqua" w:hAnsi="Book Antiqua" w:cs="Book Antiqua"/>
          <w:color w:val="000000"/>
        </w:rPr>
        <w:t>: 749-756 [PMID: 21460032 DOI: 10.1148/radiol.11101942]</w:t>
      </w:r>
    </w:p>
    <w:p w14:paraId="04FF05D3"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23 </w:t>
      </w:r>
      <w:r w:rsidRPr="00D22450">
        <w:rPr>
          <w:rFonts w:ascii="Book Antiqua" w:eastAsia="Book Antiqua" w:hAnsi="Book Antiqua" w:cs="Book Antiqua"/>
          <w:b/>
          <w:bCs/>
          <w:color w:val="000000"/>
        </w:rPr>
        <w:t>Singh S</w:t>
      </w:r>
      <w:r w:rsidRPr="00D22450">
        <w:rPr>
          <w:rFonts w:ascii="Book Antiqua" w:eastAsia="Book Antiqua" w:hAnsi="Book Antiqua" w:cs="Book Antiqua"/>
          <w:color w:val="000000"/>
        </w:rPr>
        <w:t xml:space="preserve">, Venkatesh SK, Wang Z, Miller FH, Motosugi U, Low RN, Hassanein T, Asbach P, Godfrey EM, Yin M, Chen J, Keaveny AP, Bridges M, Bohte A, Murad MH, Lomas DJ, Talwalkar JA, Ehman RL. Diagnostic performance of magnetic resonance elastography in staging liver fibrosis: a systematic review and meta-analysis of individual participant data. </w:t>
      </w:r>
      <w:r w:rsidRPr="00D22450">
        <w:rPr>
          <w:rFonts w:ascii="Book Antiqua" w:eastAsia="Book Antiqua" w:hAnsi="Book Antiqua" w:cs="Book Antiqua"/>
          <w:i/>
          <w:iCs/>
          <w:color w:val="000000"/>
        </w:rPr>
        <w:t>Clin Gastroenterol Hepatol</w:t>
      </w:r>
      <w:r w:rsidRPr="00D22450">
        <w:rPr>
          <w:rFonts w:ascii="Book Antiqua" w:eastAsia="Book Antiqua" w:hAnsi="Book Antiqua" w:cs="Book Antiqua"/>
          <w:color w:val="000000"/>
        </w:rPr>
        <w:t xml:space="preserve"> 2015; </w:t>
      </w:r>
      <w:r w:rsidRPr="00D22450">
        <w:rPr>
          <w:rFonts w:ascii="Book Antiqua" w:eastAsia="Book Antiqua" w:hAnsi="Book Antiqua" w:cs="Book Antiqua"/>
          <w:b/>
          <w:bCs/>
          <w:color w:val="000000"/>
        </w:rPr>
        <w:t>13</w:t>
      </w:r>
      <w:r w:rsidRPr="00D22450">
        <w:rPr>
          <w:rFonts w:ascii="Book Antiqua" w:eastAsia="Book Antiqua" w:hAnsi="Book Antiqua" w:cs="Book Antiqua"/>
          <w:color w:val="000000"/>
        </w:rPr>
        <w:t>: 440-451.e6 [PMID: 25305349 DOI: 10.1016/j.cgh.2014.09.046]</w:t>
      </w:r>
    </w:p>
    <w:p w14:paraId="468F1258"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24 </w:t>
      </w:r>
      <w:r w:rsidRPr="00D22450">
        <w:rPr>
          <w:rFonts w:ascii="Book Antiqua" w:eastAsia="Book Antiqua" w:hAnsi="Book Antiqua" w:cs="Book Antiqua"/>
          <w:b/>
          <w:bCs/>
          <w:color w:val="000000"/>
        </w:rPr>
        <w:t>Castera L</w:t>
      </w:r>
      <w:r w:rsidRPr="00D22450">
        <w:rPr>
          <w:rFonts w:ascii="Book Antiqua" w:eastAsia="Book Antiqua" w:hAnsi="Book Antiqua" w:cs="Book Antiqua"/>
          <w:color w:val="000000"/>
        </w:rPr>
        <w:t xml:space="preserve">, Friedrich-Rust M, Loomba R. Noninvasive Assessment of Liver Disease in Patients With Nonalcoholic Fatty Liver Disease. </w:t>
      </w:r>
      <w:r w:rsidRPr="00D22450">
        <w:rPr>
          <w:rFonts w:ascii="Book Antiqua" w:eastAsia="Book Antiqua" w:hAnsi="Book Antiqua" w:cs="Book Antiqua"/>
          <w:i/>
          <w:iCs/>
          <w:color w:val="000000"/>
        </w:rPr>
        <w:t>Gastroenterology</w:t>
      </w:r>
      <w:r w:rsidRPr="00D22450">
        <w:rPr>
          <w:rFonts w:ascii="Book Antiqua" w:eastAsia="Book Antiqua" w:hAnsi="Book Antiqua" w:cs="Book Antiqua"/>
          <w:color w:val="000000"/>
        </w:rPr>
        <w:t xml:space="preserve"> 2019; </w:t>
      </w:r>
      <w:r w:rsidRPr="00D22450">
        <w:rPr>
          <w:rFonts w:ascii="Book Antiqua" w:eastAsia="Book Antiqua" w:hAnsi="Book Antiqua" w:cs="Book Antiqua"/>
          <w:b/>
          <w:bCs/>
          <w:color w:val="000000"/>
        </w:rPr>
        <w:t>156</w:t>
      </w:r>
      <w:r w:rsidRPr="00D22450">
        <w:rPr>
          <w:rFonts w:ascii="Book Antiqua" w:eastAsia="Book Antiqua" w:hAnsi="Book Antiqua" w:cs="Book Antiqua"/>
          <w:color w:val="000000"/>
        </w:rPr>
        <w:t>: 1264-1281.e4 [PMID: 30660725 DOI: 10.1053/j.gastro.2018.12.036]</w:t>
      </w:r>
    </w:p>
    <w:p w14:paraId="79BF97A0"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25 </w:t>
      </w:r>
      <w:r w:rsidRPr="00D22450">
        <w:rPr>
          <w:rFonts w:ascii="Book Antiqua" w:eastAsia="Book Antiqua" w:hAnsi="Book Antiqua" w:cs="Book Antiqua"/>
          <w:b/>
          <w:bCs/>
          <w:color w:val="000000"/>
        </w:rPr>
        <w:t>Kwok R</w:t>
      </w:r>
      <w:r w:rsidRPr="00D22450">
        <w:rPr>
          <w:rFonts w:ascii="Book Antiqua" w:eastAsia="Book Antiqua" w:hAnsi="Book Antiqua" w:cs="Book Antiqua"/>
          <w:color w:val="000000"/>
        </w:rPr>
        <w:t xml:space="preserve">, Tse YK, Wong GL, Ha Y, Lee AU, Ngu MC, Chan HL, Wong VW. Systematic review with meta-analysis: non-invasive assessment of non-alcoholic fatty liver disease--the role of transient elastography and plasma cytokeratin-18 fragments. </w:t>
      </w:r>
      <w:r w:rsidRPr="00D22450">
        <w:rPr>
          <w:rFonts w:ascii="Book Antiqua" w:eastAsia="Book Antiqua" w:hAnsi="Book Antiqua" w:cs="Book Antiqua"/>
          <w:i/>
          <w:iCs/>
          <w:color w:val="000000"/>
        </w:rPr>
        <w:t>Aliment Pharmacol Ther</w:t>
      </w:r>
      <w:r w:rsidRPr="00D22450">
        <w:rPr>
          <w:rFonts w:ascii="Book Antiqua" w:eastAsia="Book Antiqua" w:hAnsi="Book Antiqua" w:cs="Book Antiqua"/>
          <w:color w:val="000000"/>
        </w:rPr>
        <w:t xml:space="preserve"> 2014; </w:t>
      </w:r>
      <w:r w:rsidRPr="00D22450">
        <w:rPr>
          <w:rFonts w:ascii="Book Antiqua" w:eastAsia="Book Antiqua" w:hAnsi="Book Antiqua" w:cs="Book Antiqua"/>
          <w:b/>
          <w:bCs/>
          <w:color w:val="000000"/>
        </w:rPr>
        <w:t>39</w:t>
      </w:r>
      <w:r w:rsidRPr="00D22450">
        <w:rPr>
          <w:rFonts w:ascii="Book Antiqua" w:eastAsia="Book Antiqua" w:hAnsi="Book Antiqua" w:cs="Book Antiqua"/>
          <w:color w:val="000000"/>
        </w:rPr>
        <w:t>: 254-269 [PMID: 24308774 DOI: 10.1111/apt.12569]</w:t>
      </w:r>
    </w:p>
    <w:p w14:paraId="4628D747"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26 </w:t>
      </w:r>
      <w:r w:rsidRPr="00D22450">
        <w:rPr>
          <w:rFonts w:ascii="Book Antiqua" w:eastAsia="Book Antiqua" w:hAnsi="Book Antiqua" w:cs="Book Antiqua"/>
          <w:b/>
          <w:bCs/>
          <w:color w:val="000000"/>
        </w:rPr>
        <w:t>Cosyns B</w:t>
      </w:r>
      <w:r w:rsidRPr="00D22450">
        <w:rPr>
          <w:rFonts w:ascii="Book Antiqua" w:eastAsia="Book Antiqua" w:hAnsi="Book Antiqua" w:cs="Book Antiqua"/>
          <w:color w:val="000000"/>
        </w:rPr>
        <w:t xml:space="preserve">, Lancellotti P. Normal reference values for echocardiography: a call for comparison between ethnicities. </w:t>
      </w:r>
      <w:r w:rsidRPr="00D22450">
        <w:rPr>
          <w:rFonts w:ascii="Book Antiqua" w:eastAsia="Book Antiqua" w:hAnsi="Book Antiqua" w:cs="Book Antiqua"/>
          <w:i/>
          <w:iCs/>
          <w:color w:val="000000"/>
        </w:rPr>
        <w:t>Eur Heart J Cardiovasc Imaging</w:t>
      </w:r>
      <w:r w:rsidRPr="00D22450">
        <w:rPr>
          <w:rFonts w:ascii="Book Antiqua" w:eastAsia="Book Antiqua" w:hAnsi="Book Antiqua" w:cs="Book Antiqua"/>
          <w:color w:val="000000"/>
        </w:rPr>
        <w:t xml:space="preserve"> 2016; </w:t>
      </w:r>
      <w:r w:rsidRPr="00D22450">
        <w:rPr>
          <w:rFonts w:ascii="Book Antiqua" w:eastAsia="Book Antiqua" w:hAnsi="Book Antiqua" w:cs="Book Antiqua"/>
          <w:b/>
          <w:bCs/>
          <w:color w:val="000000"/>
        </w:rPr>
        <w:t>17</w:t>
      </w:r>
      <w:r w:rsidRPr="00D22450">
        <w:rPr>
          <w:rFonts w:ascii="Book Antiqua" w:eastAsia="Book Antiqua" w:hAnsi="Book Antiqua" w:cs="Book Antiqua"/>
          <w:color w:val="000000"/>
        </w:rPr>
        <w:t>: 523-524 [PMID: 26976356 DOI: 10.1093/ehjci/jev353]</w:t>
      </w:r>
    </w:p>
    <w:p w14:paraId="27D785E7"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27 </w:t>
      </w:r>
      <w:r w:rsidRPr="00D22450">
        <w:rPr>
          <w:rFonts w:ascii="Book Antiqua" w:eastAsia="Book Antiqua" w:hAnsi="Book Antiqua" w:cs="Book Antiqua"/>
          <w:b/>
          <w:bCs/>
          <w:color w:val="000000"/>
        </w:rPr>
        <w:t>Yin M</w:t>
      </w:r>
      <w:r w:rsidRPr="00D22450">
        <w:rPr>
          <w:rFonts w:ascii="Book Antiqua" w:eastAsia="Book Antiqua" w:hAnsi="Book Antiqua" w:cs="Book Antiqua"/>
          <w:color w:val="000000"/>
        </w:rPr>
        <w:t xml:space="preserve">, Talwalkar JA, Glaser KJ, Manduca A, Grimm RC, Rossman PJ, Fidler JL, Ehman RL. Assessment of hepatic fibrosis with magnetic resonance elastography. </w:t>
      </w:r>
      <w:r w:rsidRPr="00D22450">
        <w:rPr>
          <w:rFonts w:ascii="Book Antiqua" w:eastAsia="Book Antiqua" w:hAnsi="Book Antiqua" w:cs="Book Antiqua"/>
          <w:i/>
          <w:iCs/>
          <w:color w:val="000000"/>
        </w:rPr>
        <w:t>Clin Gastroenterol Hepatol</w:t>
      </w:r>
      <w:r w:rsidRPr="00D22450">
        <w:rPr>
          <w:rFonts w:ascii="Book Antiqua" w:eastAsia="Book Antiqua" w:hAnsi="Book Antiqua" w:cs="Book Antiqua"/>
          <w:color w:val="000000"/>
        </w:rPr>
        <w:t xml:space="preserve"> 2007; </w:t>
      </w:r>
      <w:r w:rsidRPr="00D22450">
        <w:rPr>
          <w:rFonts w:ascii="Book Antiqua" w:eastAsia="Book Antiqua" w:hAnsi="Book Antiqua" w:cs="Book Antiqua"/>
          <w:b/>
          <w:bCs/>
          <w:color w:val="000000"/>
        </w:rPr>
        <w:t>5</w:t>
      </w:r>
      <w:r w:rsidRPr="00D22450">
        <w:rPr>
          <w:rFonts w:ascii="Book Antiqua" w:eastAsia="Book Antiqua" w:hAnsi="Book Antiqua" w:cs="Book Antiqua"/>
          <w:color w:val="000000"/>
        </w:rPr>
        <w:t>: 1207-1213.e2 [PMID: 17916548 DOI: 10.1016/j.cgh.2007.06.012]</w:t>
      </w:r>
    </w:p>
    <w:p w14:paraId="1238B0DC"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28 </w:t>
      </w:r>
      <w:r w:rsidRPr="00D22450">
        <w:rPr>
          <w:rFonts w:ascii="Book Antiqua" w:eastAsia="Book Antiqua" w:hAnsi="Book Antiqua" w:cs="Book Antiqua"/>
          <w:b/>
          <w:bCs/>
          <w:color w:val="000000"/>
        </w:rPr>
        <w:t>Sandrin L</w:t>
      </w:r>
      <w:r w:rsidRPr="00D22450">
        <w:rPr>
          <w:rFonts w:ascii="Book Antiqua" w:eastAsia="Book Antiqua" w:hAnsi="Book Antiqua" w:cs="Book Antiqua"/>
          <w:color w:val="000000"/>
        </w:rPr>
        <w:t xml:space="preserve">, Fourquet B, Hasquenoph JM, Yon S, Fournier C, Mal F, Christidis C, Ziol M, Poulet B, Kazemi F, Beaugrand M, Palau R. Transient elastography: a </w:t>
      </w:r>
      <w:r w:rsidRPr="00D22450">
        <w:rPr>
          <w:rFonts w:ascii="Book Antiqua" w:eastAsia="Book Antiqua" w:hAnsi="Book Antiqua" w:cs="Book Antiqua"/>
          <w:color w:val="000000"/>
        </w:rPr>
        <w:lastRenderedPageBreak/>
        <w:t xml:space="preserve">new noninvasive method for assessment of hepatic fibrosis. </w:t>
      </w:r>
      <w:r w:rsidRPr="00D22450">
        <w:rPr>
          <w:rFonts w:ascii="Book Antiqua" w:eastAsia="Book Antiqua" w:hAnsi="Book Antiqua" w:cs="Book Antiqua"/>
          <w:i/>
          <w:iCs/>
          <w:color w:val="000000"/>
        </w:rPr>
        <w:t>Ultrasound Med Biol</w:t>
      </w:r>
      <w:r w:rsidRPr="00D22450">
        <w:rPr>
          <w:rFonts w:ascii="Book Antiqua" w:eastAsia="Book Antiqua" w:hAnsi="Book Antiqua" w:cs="Book Antiqua"/>
          <w:color w:val="000000"/>
        </w:rPr>
        <w:t xml:space="preserve"> 2003; </w:t>
      </w:r>
      <w:r w:rsidRPr="00D22450">
        <w:rPr>
          <w:rFonts w:ascii="Book Antiqua" w:eastAsia="Book Antiqua" w:hAnsi="Book Antiqua" w:cs="Book Antiqua"/>
          <w:b/>
          <w:bCs/>
          <w:color w:val="000000"/>
        </w:rPr>
        <w:t>29</w:t>
      </w:r>
      <w:r w:rsidRPr="00D22450">
        <w:rPr>
          <w:rFonts w:ascii="Book Antiqua" w:eastAsia="Book Antiqua" w:hAnsi="Book Antiqua" w:cs="Book Antiqua"/>
          <w:color w:val="000000"/>
        </w:rPr>
        <w:t>: 1705-1713 [PMID: 14698338 DOI: 10.1016/j.ultrasmedbio.2003.07.001]</w:t>
      </w:r>
    </w:p>
    <w:p w14:paraId="23E59568"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29 </w:t>
      </w:r>
      <w:r w:rsidRPr="00D22450">
        <w:rPr>
          <w:rFonts w:ascii="Book Antiqua" w:eastAsia="Book Antiqua" w:hAnsi="Book Antiqua" w:cs="Book Antiqua"/>
          <w:b/>
          <w:bCs/>
          <w:color w:val="000000"/>
        </w:rPr>
        <w:t>Ferraioli G</w:t>
      </w:r>
      <w:r w:rsidRPr="00D22450">
        <w:rPr>
          <w:rFonts w:ascii="Book Antiqua" w:eastAsia="Book Antiqua" w:hAnsi="Book Antiqua" w:cs="Book Antiqua"/>
          <w:color w:val="000000"/>
        </w:rPr>
        <w:t xml:space="preserve">, Tinelli C, Lissandrin R, Zicchetti M, Dal Bello B, Filice G, Filice C. Point shear wave elastography method for assessing liver stiffness. </w:t>
      </w:r>
      <w:r w:rsidRPr="00D22450">
        <w:rPr>
          <w:rFonts w:ascii="Book Antiqua" w:eastAsia="Book Antiqua" w:hAnsi="Book Antiqua" w:cs="Book Antiqua"/>
          <w:i/>
          <w:iCs/>
          <w:color w:val="000000"/>
        </w:rPr>
        <w:t>World J Gastroenterol</w:t>
      </w:r>
      <w:r w:rsidRPr="00D22450">
        <w:rPr>
          <w:rFonts w:ascii="Book Antiqua" w:eastAsia="Book Antiqua" w:hAnsi="Book Antiqua" w:cs="Book Antiqua"/>
          <w:color w:val="000000"/>
        </w:rPr>
        <w:t xml:space="preserve"> 2014; </w:t>
      </w:r>
      <w:r w:rsidRPr="00D22450">
        <w:rPr>
          <w:rFonts w:ascii="Book Antiqua" w:eastAsia="Book Antiqua" w:hAnsi="Book Antiqua" w:cs="Book Antiqua"/>
          <w:b/>
          <w:bCs/>
          <w:color w:val="000000"/>
        </w:rPr>
        <w:t>20</w:t>
      </w:r>
      <w:r w:rsidRPr="00D22450">
        <w:rPr>
          <w:rFonts w:ascii="Book Antiqua" w:eastAsia="Book Antiqua" w:hAnsi="Book Antiqua" w:cs="Book Antiqua"/>
          <w:color w:val="000000"/>
        </w:rPr>
        <w:t>: 4787-4796 [PMID: 24782633 DOI: 10.3748/wjg.v20.i16.4787]</w:t>
      </w:r>
    </w:p>
    <w:p w14:paraId="39A17413" w14:textId="72847840"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30 </w:t>
      </w:r>
      <w:r w:rsidRPr="00D22450">
        <w:rPr>
          <w:rFonts w:ascii="Book Antiqua" w:eastAsia="Book Antiqua" w:hAnsi="Book Antiqua" w:cs="Book Antiqua"/>
          <w:b/>
          <w:bCs/>
          <w:color w:val="000000"/>
        </w:rPr>
        <w:t>Landis JR</w:t>
      </w:r>
      <w:r w:rsidRPr="00D22450">
        <w:rPr>
          <w:rFonts w:ascii="Book Antiqua" w:eastAsia="Book Antiqua" w:hAnsi="Book Antiqua" w:cs="Book Antiqua"/>
          <w:color w:val="000000"/>
        </w:rPr>
        <w:t xml:space="preserve">, Koch GG. An application of hierarchical kappa-type statistics in the assessment of majority agreement among multiple observers. </w:t>
      </w:r>
      <w:r w:rsidRPr="00D22450">
        <w:rPr>
          <w:rFonts w:ascii="Book Antiqua" w:eastAsia="Book Antiqua" w:hAnsi="Book Antiqua" w:cs="Book Antiqua"/>
          <w:i/>
          <w:iCs/>
          <w:color w:val="000000"/>
        </w:rPr>
        <w:t>Biometrics</w:t>
      </w:r>
      <w:r w:rsidRPr="00D22450">
        <w:rPr>
          <w:rFonts w:ascii="Book Antiqua" w:eastAsia="Book Antiqua" w:hAnsi="Book Antiqua" w:cs="Book Antiqua"/>
          <w:color w:val="000000"/>
        </w:rPr>
        <w:t xml:space="preserve"> 1977; </w:t>
      </w:r>
      <w:r w:rsidRPr="00D22450">
        <w:rPr>
          <w:rFonts w:ascii="Book Antiqua" w:eastAsia="Book Antiqua" w:hAnsi="Book Antiqua" w:cs="Book Antiqua"/>
          <w:b/>
          <w:bCs/>
          <w:color w:val="000000"/>
        </w:rPr>
        <w:t>33</w:t>
      </w:r>
      <w:r w:rsidRPr="00D22450">
        <w:rPr>
          <w:rFonts w:ascii="Book Antiqua" w:eastAsia="Book Antiqua" w:hAnsi="Book Antiqua" w:cs="Book Antiqua"/>
          <w:color w:val="000000"/>
        </w:rPr>
        <w:t>: 363-374 [PMID: 884196</w:t>
      </w:r>
      <w:r w:rsidR="009F2578">
        <w:rPr>
          <w:rFonts w:ascii="Book Antiqua" w:hAnsi="Book Antiqua" w:cs="Book Antiqua" w:hint="eastAsia"/>
          <w:color w:val="000000"/>
          <w:lang w:eastAsia="zh-CN"/>
        </w:rPr>
        <w:t xml:space="preserve"> DOI: </w:t>
      </w:r>
      <w:r w:rsidR="009F2578" w:rsidRPr="009F2578">
        <w:rPr>
          <w:rFonts w:ascii="Book Antiqua" w:hAnsi="Book Antiqua" w:cs="Book Antiqua"/>
          <w:color w:val="000000"/>
          <w:lang w:eastAsia="zh-CN"/>
        </w:rPr>
        <w:t>10.2307/2529786</w:t>
      </w:r>
      <w:r w:rsidRPr="00D22450">
        <w:rPr>
          <w:rFonts w:ascii="Book Antiqua" w:eastAsia="Book Antiqua" w:hAnsi="Book Antiqua" w:cs="Book Antiqua"/>
          <w:color w:val="000000"/>
        </w:rPr>
        <w:t>]</w:t>
      </w:r>
    </w:p>
    <w:p w14:paraId="01EEC6B6"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31 </w:t>
      </w:r>
      <w:r w:rsidRPr="00D22450">
        <w:rPr>
          <w:rFonts w:ascii="Book Antiqua" w:eastAsia="Book Antiqua" w:hAnsi="Book Antiqua" w:cs="Book Antiqua"/>
          <w:b/>
          <w:bCs/>
          <w:color w:val="000000"/>
        </w:rPr>
        <w:t>Angulo P</w:t>
      </w:r>
      <w:r w:rsidRPr="00D22450">
        <w:rPr>
          <w:rFonts w:ascii="Book Antiqua" w:eastAsia="Book Antiqua" w:hAnsi="Book Antiqua" w:cs="Book Antiqua"/>
          <w:color w:val="000000"/>
        </w:rPr>
        <w:t xml:space="preserve">, Kleiner DE, Dam-Larsen S, Adams LA, Bjornsson ES, Charatcharoenwitthaya P, Mills PR, Keach JC, Lafferty HD, Stahler A, Haflidadottir S, Bendtsen F. Liver Fibrosis, but No Other Histologic Features, Is Associated With Long-term Outcomes of Patients With Nonalcoholic Fatty Liver Disease. </w:t>
      </w:r>
      <w:r w:rsidRPr="00D22450">
        <w:rPr>
          <w:rFonts w:ascii="Book Antiqua" w:eastAsia="Book Antiqua" w:hAnsi="Book Antiqua" w:cs="Book Antiqua"/>
          <w:i/>
          <w:iCs/>
          <w:color w:val="000000"/>
        </w:rPr>
        <w:t>Gastroenterology</w:t>
      </w:r>
      <w:r w:rsidRPr="00D22450">
        <w:rPr>
          <w:rFonts w:ascii="Book Antiqua" w:eastAsia="Book Antiqua" w:hAnsi="Book Antiqua" w:cs="Book Antiqua"/>
          <w:color w:val="000000"/>
        </w:rPr>
        <w:t xml:space="preserve"> 2015; </w:t>
      </w:r>
      <w:r w:rsidRPr="00D22450">
        <w:rPr>
          <w:rFonts w:ascii="Book Antiqua" w:eastAsia="Book Antiqua" w:hAnsi="Book Antiqua" w:cs="Book Antiqua"/>
          <w:b/>
          <w:bCs/>
          <w:color w:val="000000"/>
        </w:rPr>
        <w:t>149</w:t>
      </w:r>
      <w:r w:rsidRPr="00D22450">
        <w:rPr>
          <w:rFonts w:ascii="Book Antiqua" w:eastAsia="Book Antiqua" w:hAnsi="Book Antiqua" w:cs="Book Antiqua"/>
          <w:color w:val="000000"/>
        </w:rPr>
        <w:t>: 389-97.e10 [PMID: 25935633 DOI: 10.1053/j.gastro.2015.04.043]</w:t>
      </w:r>
    </w:p>
    <w:p w14:paraId="1C6AE8ED" w14:textId="580247AE"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3</w:t>
      </w:r>
      <w:r w:rsidR="00882C59">
        <w:rPr>
          <w:rFonts w:ascii="Book Antiqua" w:eastAsia="Book Antiqua" w:hAnsi="Book Antiqua" w:cs="Book Antiqua"/>
          <w:color w:val="000000"/>
        </w:rPr>
        <w:t>2</w:t>
      </w:r>
      <w:r w:rsidRPr="00D22450">
        <w:rPr>
          <w:rFonts w:ascii="Book Antiqua" w:eastAsia="Book Antiqua" w:hAnsi="Book Antiqua" w:cs="Book Antiqua"/>
          <w:color w:val="000000"/>
        </w:rPr>
        <w:t xml:space="preserve"> </w:t>
      </w:r>
      <w:r w:rsidRPr="00D22450">
        <w:rPr>
          <w:rFonts w:ascii="Book Antiqua" w:eastAsia="Book Antiqua" w:hAnsi="Book Antiqua" w:cs="Book Antiqua"/>
          <w:b/>
          <w:bCs/>
          <w:color w:val="000000"/>
        </w:rPr>
        <w:t>Castéra L</w:t>
      </w:r>
      <w:r w:rsidRPr="00D22450">
        <w:rPr>
          <w:rFonts w:ascii="Book Antiqua" w:eastAsia="Book Antiqua" w:hAnsi="Book Antiqua" w:cs="Book Antiqua"/>
          <w:color w:val="000000"/>
        </w:rPr>
        <w:t xml:space="preserve">, Foucher J, Bernard PH, Carvalho F, Allaix D, Merrouche W, Couzigou P, de Lédinghen V. Pitfalls of liver stiffness measurement: a 5-year prospective study of 13,369 examinations. </w:t>
      </w:r>
      <w:r w:rsidRPr="00D22450">
        <w:rPr>
          <w:rFonts w:ascii="Book Antiqua" w:eastAsia="Book Antiqua" w:hAnsi="Book Antiqua" w:cs="Book Antiqua"/>
          <w:i/>
          <w:iCs/>
          <w:color w:val="000000"/>
        </w:rPr>
        <w:t>Hepatology</w:t>
      </w:r>
      <w:r w:rsidRPr="00D22450">
        <w:rPr>
          <w:rFonts w:ascii="Book Antiqua" w:eastAsia="Book Antiqua" w:hAnsi="Book Antiqua" w:cs="Book Antiqua"/>
          <w:color w:val="000000"/>
        </w:rPr>
        <w:t xml:space="preserve"> 2010; </w:t>
      </w:r>
      <w:r w:rsidRPr="00D22450">
        <w:rPr>
          <w:rFonts w:ascii="Book Antiqua" w:eastAsia="Book Antiqua" w:hAnsi="Book Antiqua" w:cs="Book Antiqua"/>
          <w:b/>
          <w:bCs/>
          <w:color w:val="000000"/>
        </w:rPr>
        <w:t>51</w:t>
      </w:r>
      <w:r w:rsidRPr="00D22450">
        <w:rPr>
          <w:rFonts w:ascii="Book Antiqua" w:eastAsia="Book Antiqua" w:hAnsi="Book Antiqua" w:cs="Book Antiqua"/>
          <w:color w:val="000000"/>
        </w:rPr>
        <w:t>: 828-835 [PMID: 20063276 DOI: 10.1002/hep.23425]</w:t>
      </w:r>
    </w:p>
    <w:p w14:paraId="4C768139" w14:textId="021C8ACF"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3</w:t>
      </w:r>
      <w:r w:rsidR="00882C59">
        <w:rPr>
          <w:rFonts w:ascii="Book Antiqua" w:eastAsia="Book Antiqua" w:hAnsi="Book Antiqua" w:cs="Book Antiqua"/>
          <w:color w:val="000000"/>
        </w:rPr>
        <w:t>3</w:t>
      </w:r>
      <w:r w:rsidRPr="00D22450">
        <w:rPr>
          <w:rFonts w:ascii="Book Antiqua" w:eastAsia="Book Antiqua" w:hAnsi="Book Antiqua" w:cs="Book Antiqua"/>
          <w:color w:val="000000"/>
        </w:rPr>
        <w:t xml:space="preserve"> </w:t>
      </w:r>
      <w:r w:rsidRPr="00D22450">
        <w:rPr>
          <w:rFonts w:ascii="Book Antiqua" w:eastAsia="Book Antiqua" w:hAnsi="Book Antiqua" w:cs="Book Antiqua"/>
          <w:b/>
          <w:bCs/>
          <w:color w:val="000000"/>
        </w:rPr>
        <w:t>Petta S</w:t>
      </w:r>
      <w:r w:rsidRPr="00D22450">
        <w:rPr>
          <w:rFonts w:ascii="Book Antiqua" w:eastAsia="Book Antiqua" w:hAnsi="Book Antiqua" w:cs="Book Antiqua"/>
          <w:color w:val="000000"/>
        </w:rPr>
        <w:t xml:space="preserve">, Di Marco V, Cammà C, Butera G, Cabibi D, Craxì A. Reliability of liver stiffness measurement in non-alcoholic fatty liver disease: the effects of body mass index. </w:t>
      </w:r>
      <w:r w:rsidRPr="00D22450">
        <w:rPr>
          <w:rFonts w:ascii="Book Antiqua" w:eastAsia="Book Antiqua" w:hAnsi="Book Antiqua" w:cs="Book Antiqua"/>
          <w:i/>
          <w:iCs/>
          <w:color w:val="000000"/>
        </w:rPr>
        <w:t>Aliment Pharmacol Ther</w:t>
      </w:r>
      <w:r w:rsidRPr="00D22450">
        <w:rPr>
          <w:rFonts w:ascii="Book Antiqua" w:eastAsia="Book Antiqua" w:hAnsi="Book Antiqua" w:cs="Book Antiqua"/>
          <w:color w:val="000000"/>
        </w:rPr>
        <w:t xml:space="preserve"> 2011; </w:t>
      </w:r>
      <w:r w:rsidRPr="00D22450">
        <w:rPr>
          <w:rFonts w:ascii="Book Antiqua" w:eastAsia="Book Antiqua" w:hAnsi="Book Antiqua" w:cs="Book Antiqua"/>
          <w:b/>
          <w:bCs/>
          <w:color w:val="000000"/>
        </w:rPr>
        <w:t>33</w:t>
      </w:r>
      <w:r w:rsidRPr="00D22450">
        <w:rPr>
          <w:rFonts w:ascii="Book Antiqua" w:eastAsia="Book Antiqua" w:hAnsi="Book Antiqua" w:cs="Book Antiqua"/>
          <w:color w:val="000000"/>
        </w:rPr>
        <w:t>: 1350-1360 [PMID: 21517924 DOI: 10.1111/j.1365-2036.2011.04668.x]</w:t>
      </w:r>
    </w:p>
    <w:p w14:paraId="7948393A" w14:textId="29D0976F"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3</w:t>
      </w:r>
      <w:r w:rsidR="00882C59">
        <w:rPr>
          <w:rFonts w:ascii="Book Antiqua" w:eastAsia="Book Antiqua" w:hAnsi="Book Antiqua" w:cs="Book Antiqua"/>
          <w:color w:val="000000"/>
        </w:rPr>
        <w:t>4</w:t>
      </w:r>
      <w:r w:rsidRPr="00D22450">
        <w:rPr>
          <w:rFonts w:ascii="Book Antiqua" w:eastAsia="Book Antiqua" w:hAnsi="Book Antiqua" w:cs="Book Antiqua"/>
          <w:color w:val="000000"/>
        </w:rPr>
        <w:t xml:space="preserve"> </w:t>
      </w:r>
      <w:r w:rsidRPr="00D22450">
        <w:rPr>
          <w:rFonts w:ascii="Book Antiqua" w:eastAsia="Book Antiqua" w:hAnsi="Book Antiqua" w:cs="Book Antiqua"/>
          <w:b/>
          <w:bCs/>
          <w:color w:val="000000"/>
        </w:rPr>
        <w:t>Tapper EB</w:t>
      </w:r>
      <w:r w:rsidRPr="00D22450">
        <w:rPr>
          <w:rFonts w:ascii="Book Antiqua" w:eastAsia="Book Antiqua" w:hAnsi="Book Antiqua" w:cs="Book Antiqua"/>
          <w:color w:val="000000"/>
        </w:rPr>
        <w:t xml:space="preserve">, Lok AS. Use of Liver Imaging and Biopsy in Clinical Practice. </w:t>
      </w:r>
      <w:r w:rsidRPr="00D22450">
        <w:rPr>
          <w:rFonts w:ascii="Book Antiqua" w:eastAsia="Book Antiqua" w:hAnsi="Book Antiqua" w:cs="Book Antiqua"/>
          <w:i/>
          <w:iCs/>
          <w:color w:val="000000"/>
        </w:rPr>
        <w:t>N Engl J Med</w:t>
      </w:r>
      <w:r w:rsidRPr="00D22450">
        <w:rPr>
          <w:rFonts w:ascii="Book Antiqua" w:eastAsia="Book Antiqua" w:hAnsi="Book Antiqua" w:cs="Book Antiqua"/>
          <w:color w:val="000000"/>
        </w:rPr>
        <w:t xml:space="preserve"> 2017; </w:t>
      </w:r>
      <w:r w:rsidRPr="00D22450">
        <w:rPr>
          <w:rFonts w:ascii="Book Antiqua" w:eastAsia="Book Antiqua" w:hAnsi="Book Antiqua" w:cs="Book Antiqua"/>
          <w:b/>
          <w:bCs/>
          <w:color w:val="000000"/>
        </w:rPr>
        <w:t>377</w:t>
      </w:r>
      <w:r w:rsidRPr="00D22450">
        <w:rPr>
          <w:rFonts w:ascii="Book Antiqua" w:eastAsia="Book Antiqua" w:hAnsi="Book Antiqua" w:cs="Book Antiqua"/>
          <w:color w:val="000000"/>
        </w:rPr>
        <w:t>: 756-768 [PMID: 28834467 DOI: 10.1056/NEJMra1610570]</w:t>
      </w:r>
    </w:p>
    <w:p w14:paraId="62C857E2" w14:textId="50FFE89D"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3</w:t>
      </w:r>
      <w:r w:rsidR="00882C59">
        <w:rPr>
          <w:rFonts w:ascii="Book Antiqua" w:eastAsia="Book Antiqua" w:hAnsi="Book Antiqua" w:cs="Book Antiqua"/>
          <w:color w:val="000000"/>
        </w:rPr>
        <w:t>5</w:t>
      </w:r>
      <w:r w:rsidRPr="00D22450">
        <w:rPr>
          <w:rFonts w:ascii="Book Antiqua" w:eastAsia="Book Antiqua" w:hAnsi="Book Antiqua" w:cs="Book Antiqua"/>
          <w:color w:val="000000"/>
        </w:rPr>
        <w:t xml:space="preserve"> </w:t>
      </w:r>
      <w:r w:rsidRPr="00D22450">
        <w:rPr>
          <w:rFonts w:ascii="Book Antiqua" w:eastAsia="Book Antiqua" w:hAnsi="Book Antiqua" w:cs="Book Antiqua"/>
          <w:b/>
          <w:bCs/>
          <w:color w:val="000000"/>
        </w:rPr>
        <w:t>Cassinotto C</w:t>
      </w:r>
      <w:r w:rsidRPr="00D22450">
        <w:rPr>
          <w:rFonts w:ascii="Book Antiqua" w:eastAsia="Book Antiqua" w:hAnsi="Book Antiqua" w:cs="Book Antiqua"/>
          <w:color w:val="000000"/>
        </w:rPr>
        <w:t xml:space="preserve">, Boursier J, de Lédinghen V, Lebigot J, Lapuyade B, Cales P, Hiriart JB, Michalak S, Bail BL, Cartier V, Mouries A, Oberti F, Fouchard-Hubert I, Vergniol J, Aubé C. Liver stiffness in nonalcoholic fatty liver disease: A comparison of supersonic shear imaging, FibroScan, and ARFI with liver biopsy. </w:t>
      </w:r>
      <w:r w:rsidRPr="00D22450">
        <w:rPr>
          <w:rFonts w:ascii="Book Antiqua" w:eastAsia="Book Antiqua" w:hAnsi="Book Antiqua" w:cs="Book Antiqua"/>
          <w:i/>
          <w:iCs/>
          <w:color w:val="000000"/>
        </w:rPr>
        <w:t>Hepatology</w:t>
      </w:r>
      <w:r w:rsidRPr="00D22450">
        <w:rPr>
          <w:rFonts w:ascii="Book Antiqua" w:eastAsia="Book Antiqua" w:hAnsi="Book Antiqua" w:cs="Book Antiqua"/>
          <w:color w:val="000000"/>
        </w:rPr>
        <w:t xml:space="preserve"> 2016; </w:t>
      </w:r>
      <w:r w:rsidRPr="00D22450">
        <w:rPr>
          <w:rFonts w:ascii="Book Antiqua" w:eastAsia="Book Antiqua" w:hAnsi="Book Antiqua" w:cs="Book Antiqua"/>
          <w:b/>
          <w:bCs/>
          <w:color w:val="000000"/>
        </w:rPr>
        <w:t>63</w:t>
      </w:r>
      <w:r w:rsidRPr="00D22450">
        <w:rPr>
          <w:rFonts w:ascii="Book Antiqua" w:eastAsia="Book Antiqua" w:hAnsi="Book Antiqua" w:cs="Book Antiqua"/>
          <w:color w:val="000000"/>
        </w:rPr>
        <w:t>: 1817-1827 [PMID: 26659452 DOI: 10.1002/hep.28394]</w:t>
      </w:r>
    </w:p>
    <w:p w14:paraId="3AE07602" w14:textId="7BF75543"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lastRenderedPageBreak/>
        <w:t>3</w:t>
      </w:r>
      <w:r w:rsidR="00882C59">
        <w:rPr>
          <w:rFonts w:ascii="Book Antiqua" w:eastAsia="Book Antiqua" w:hAnsi="Book Antiqua" w:cs="Book Antiqua"/>
          <w:color w:val="000000"/>
        </w:rPr>
        <w:t>6</w:t>
      </w:r>
      <w:r w:rsidRPr="00D22450">
        <w:rPr>
          <w:rFonts w:ascii="Book Antiqua" w:eastAsia="Book Antiqua" w:hAnsi="Book Antiqua" w:cs="Book Antiqua"/>
          <w:color w:val="000000"/>
        </w:rPr>
        <w:t xml:space="preserve"> </w:t>
      </w:r>
      <w:r w:rsidRPr="00D22450">
        <w:rPr>
          <w:rFonts w:ascii="Book Antiqua" w:eastAsia="Book Antiqua" w:hAnsi="Book Antiqua" w:cs="Book Antiqua"/>
          <w:b/>
          <w:bCs/>
          <w:color w:val="000000"/>
        </w:rPr>
        <w:t>Mojtahed A</w:t>
      </w:r>
      <w:r w:rsidRPr="00D22450">
        <w:rPr>
          <w:rFonts w:ascii="Book Antiqua" w:eastAsia="Book Antiqua" w:hAnsi="Book Antiqua" w:cs="Book Antiqua"/>
          <w:color w:val="000000"/>
        </w:rPr>
        <w:t xml:space="preserve">, Kelly CJ, Herlihy AH, Kin S, Wilman HR, McKay A, Kelly M, Milanesi M, Neubauer S, Thomas EL, Bell JD, Banerjee R, Harisinghani M. Reference range of liver corrected T1 values in a population at low risk for fatty liver disease-a UK Biobank sub-study, with an appendix of interesting cases. </w:t>
      </w:r>
      <w:r w:rsidRPr="00D22450">
        <w:rPr>
          <w:rFonts w:ascii="Book Antiqua" w:eastAsia="Book Antiqua" w:hAnsi="Book Antiqua" w:cs="Book Antiqua"/>
          <w:i/>
          <w:iCs/>
          <w:color w:val="000000"/>
        </w:rPr>
        <w:t>Abdom Radiol (NY)</w:t>
      </w:r>
      <w:r w:rsidRPr="00D22450">
        <w:rPr>
          <w:rFonts w:ascii="Book Antiqua" w:eastAsia="Book Antiqua" w:hAnsi="Book Antiqua" w:cs="Book Antiqua"/>
          <w:color w:val="000000"/>
        </w:rPr>
        <w:t xml:space="preserve"> 2019; </w:t>
      </w:r>
      <w:r w:rsidRPr="00D22450">
        <w:rPr>
          <w:rFonts w:ascii="Book Antiqua" w:eastAsia="Book Antiqua" w:hAnsi="Book Antiqua" w:cs="Book Antiqua"/>
          <w:b/>
          <w:bCs/>
          <w:color w:val="000000"/>
        </w:rPr>
        <w:t>44</w:t>
      </w:r>
      <w:r w:rsidRPr="00D22450">
        <w:rPr>
          <w:rFonts w:ascii="Book Antiqua" w:eastAsia="Book Antiqua" w:hAnsi="Book Antiqua" w:cs="Book Antiqua"/>
          <w:color w:val="000000"/>
        </w:rPr>
        <w:t>: 72-84 [PMID: 30032383 DOI: 10.1007/s00261-018-1701-2]</w:t>
      </w:r>
    </w:p>
    <w:p w14:paraId="501BFCB3" w14:textId="34E9C81C"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3</w:t>
      </w:r>
      <w:r w:rsidR="00882C59">
        <w:rPr>
          <w:rFonts w:ascii="Book Antiqua" w:eastAsia="Book Antiqua" w:hAnsi="Book Antiqua" w:cs="Book Antiqua"/>
          <w:color w:val="000000"/>
        </w:rPr>
        <w:t>7</w:t>
      </w:r>
      <w:r w:rsidRPr="00D22450">
        <w:rPr>
          <w:rFonts w:ascii="Book Antiqua" w:eastAsia="Book Antiqua" w:hAnsi="Book Antiqua" w:cs="Book Antiqua"/>
          <w:color w:val="000000"/>
        </w:rPr>
        <w:t xml:space="preserve"> </w:t>
      </w:r>
      <w:r w:rsidRPr="00D22450">
        <w:rPr>
          <w:rFonts w:ascii="Book Antiqua" w:eastAsia="Book Antiqua" w:hAnsi="Book Antiqua" w:cs="Book Antiqua"/>
          <w:b/>
          <w:bCs/>
          <w:color w:val="000000"/>
        </w:rPr>
        <w:t>Wilman HR</w:t>
      </w:r>
      <w:r w:rsidRPr="00D22450">
        <w:rPr>
          <w:rFonts w:ascii="Book Antiqua" w:eastAsia="Book Antiqua" w:hAnsi="Book Antiqua" w:cs="Book Antiqua"/>
          <w:color w:val="000000"/>
        </w:rPr>
        <w:t xml:space="preserve">, Kelly M, Garratt S, Matthews PM, Milanesi M, Herlihy A, Gyngell M, Neubauer S, Bell JD, Banerjee R, Thomas EL. Characterisation of liver fat in the UK Biobank cohort. </w:t>
      </w:r>
      <w:r w:rsidRPr="00D22450">
        <w:rPr>
          <w:rFonts w:ascii="Book Antiqua" w:eastAsia="Book Antiqua" w:hAnsi="Book Antiqua" w:cs="Book Antiqua"/>
          <w:i/>
          <w:iCs/>
          <w:color w:val="000000"/>
        </w:rPr>
        <w:t>PLoS One</w:t>
      </w:r>
      <w:r w:rsidRPr="00D22450">
        <w:rPr>
          <w:rFonts w:ascii="Book Antiqua" w:eastAsia="Book Antiqua" w:hAnsi="Book Antiqua" w:cs="Book Antiqua"/>
          <w:color w:val="000000"/>
        </w:rPr>
        <w:t xml:space="preserve"> 2017; </w:t>
      </w:r>
      <w:r w:rsidRPr="00D22450">
        <w:rPr>
          <w:rFonts w:ascii="Book Antiqua" w:eastAsia="Book Antiqua" w:hAnsi="Book Antiqua" w:cs="Book Antiqua"/>
          <w:b/>
          <w:bCs/>
          <w:color w:val="000000"/>
        </w:rPr>
        <w:t>12</w:t>
      </w:r>
      <w:r w:rsidRPr="00D22450">
        <w:rPr>
          <w:rFonts w:ascii="Book Antiqua" w:eastAsia="Book Antiqua" w:hAnsi="Book Antiqua" w:cs="Book Antiqua"/>
          <w:color w:val="000000"/>
        </w:rPr>
        <w:t>: e0172921 [PMID: 28241076 DOI: 10.1371/journal.pone.0172921]</w:t>
      </w:r>
    </w:p>
    <w:p w14:paraId="5CBA2DED" w14:textId="5E3DDA53" w:rsidR="009617E8" w:rsidRPr="00D22450" w:rsidRDefault="00882C59" w:rsidP="00D22450">
      <w:pPr>
        <w:adjustRightInd w:val="0"/>
        <w:snapToGrid w:val="0"/>
        <w:spacing w:line="360" w:lineRule="auto"/>
        <w:jc w:val="both"/>
        <w:rPr>
          <w:rFonts w:ascii="Book Antiqua" w:hAnsi="Book Antiqua"/>
        </w:rPr>
      </w:pPr>
      <w:r>
        <w:rPr>
          <w:rFonts w:ascii="Book Antiqua" w:eastAsia="Book Antiqua" w:hAnsi="Book Antiqua" w:cs="Book Antiqua"/>
          <w:color w:val="000000"/>
        </w:rPr>
        <w:t>38</w:t>
      </w:r>
      <w:r w:rsidR="009617E8" w:rsidRPr="00D22450">
        <w:rPr>
          <w:rFonts w:ascii="Book Antiqua" w:eastAsia="Book Antiqua" w:hAnsi="Book Antiqua" w:cs="Book Antiqua"/>
          <w:color w:val="000000"/>
        </w:rPr>
        <w:t xml:space="preserve"> </w:t>
      </w:r>
      <w:r w:rsidR="009617E8" w:rsidRPr="00D22450">
        <w:rPr>
          <w:rFonts w:ascii="Book Antiqua" w:eastAsia="Book Antiqua" w:hAnsi="Book Antiqua" w:cs="Book Antiqua"/>
          <w:b/>
          <w:bCs/>
          <w:color w:val="000000"/>
        </w:rPr>
        <w:t>Thomaides-Brears HB</w:t>
      </w:r>
      <w:r w:rsidR="009617E8" w:rsidRPr="00D22450">
        <w:rPr>
          <w:rFonts w:ascii="Book Antiqua" w:eastAsia="Book Antiqua" w:hAnsi="Book Antiqua" w:cs="Book Antiqua"/>
          <w:color w:val="000000"/>
        </w:rPr>
        <w:t xml:space="preserve">, Lepe R, Banerjee R, Duncker C. Multiparametric MR mapping in clinical decision-making for diffuse liver disease. </w:t>
      </w:r>
      <w:r w:rsidR="009617E8" w:rsidRPr="00D22450">
        <w:rPr>
          <w:rFonts w:ascii="Book Antiqua" w:eastAsia="Book Antiqua" w:hAnsi="Book Antiqua" w:cs="Book Antiqua"/>
          <w:i/>
          <w:iCs/>
          <w:color w:val="000000"/>
        </w:rPr>
        <w:t>Abdom Radiol (NY)</w:t>
      </w:r>
      <w:r w:rsidR="009617E8" w:rsidRPr="00D22450">
        <w:rPr>
          <w:rFonts w:ascii="Book Antiqua" w:eastAsia="Book Antiqua" w:hAnsi="Book Antiqua" w:cs="Book Antiqua"/>
          <w:color w:val="000000"/>
        </w:rPr>
        <w:t xml:space="preserve"> 2020; </w:t>
      </w:r>
      <w:r w:rsidR="009617E8" w:rsidRPr="00D22450">
        <w:rPr>
          <w:rFonts w:ascii="Book Antiqua" w:eastAsia="Book Antiqua" w:hAnsi="Book Antiqua" w:cs="Book Antiqua"/>
          <w:b/>
          <w:bCs/>
          <w:color w:val="000000"/>
        </w:rPr>
        <w:t>45</w:t>
      </w:r>
      <w:r w:rsidR="009617E8" w:rsidRPr="00D22450">
        <w:rPr>
          <w:rFonts w:ascii="Book Antiqua" w:eastAsia="Book Antiqua" w:hAnsi="Book Antiqua" w:cs="Book Antiqua"/>
          <w:color w:val="000000"/>
        </w:rPr>
        <w:t>: 3507-3522 [PMID: 32761254 DOI: 10.1007/s00261-020-02684-3]</w:t>
      </w:r>
    </w:p>
    <w:p w14:paraId="6D80C133" w14:textId="018A30CE" w:rsidR="009617E8" w:rsidRPr="00D22450" w:rsidRDefault="00882C59" w:rsidP="00D22450">
      <w:pPr>
        <w:adjustRightInd w:val="0"/>
        <w:snapToGrid w:val="0"/>
        <w:spacing w:line="360" w:lineRule="auto"/>
        <w:jc w:val="both"/>
        <w:rPr>
          <w:rFonts w:ascii="Book Antiqua" w:hAnsi="Book Antiqua"/>
        </w:rPr>
      </w:pPr>
      <w:r>
        <w:rPr>
          <w:rFonts w:ascii="Book Antiqua" w:eastAsia="Book Antiqua" w:hAnsi="Book Antiqua" w:cs="Book Antiqua"/>
          <w:color w:val="000000"/>
        </w:rPr>
        <w:t>39</w:t>
      </w:r>
      <w:r w:rsidR="009617E8" w:rsidRPr="00D22450">
        <w:rPr>
          <w:rFonts w:ascii="Book Antiqua" w:eastAsia="Book Antiqua" w:hAnsi="Book Antiqua" w:cs="Book Antiqua"/>
          <w:color w:val="000000"/>
        </w:rPr>
        <w:t xml:space="preserve"> </w:t>
      </w:r>
      <w:r w:rsidR="009617E8" w:rsidRPr="00D22450">
        <w:rPr>
          <w:rFonts w:ascii="Book Antiqua" w:eastAsia="Book Antiqua" w:hAnsi="Book Antiqua" w:cs="Book Antiqua"/>
          <w:b/>
          <w:bCs/>
          <w:color w:val="000000"/>
        </w:rPr>
        <w:t>Kleiner DE</w:t>
      </w:r>
      <w:r w:rsidR="009617E8" w:rsidRPr="00D22450">
        <w:rPr>
          <w:rFonts w:ascii="Book Antiqua" w:eastAsia="Book Antiqua" w:hAnsi="Book Antiqua" w:cs="Book Antiqua"/>
          <w:color w:val="000000"/>
        </w:rPr>
        <w:t xml:space="preserve">, Brunt EM. Nonalcoholic fatty liver disease: pathologic patterns and biopsy evaluation in clinical research. </w:t>
      </w:r>
      <w:r w:rsidR="009617E8" w:rsidRPr="00D22450">
        <w:rPr>
          <w:rFonts w:ascii="Book Antiqua" w:eastAsia="Book Antiqua" w:hAnsi="Book Antiqua" w:cs="Book Antiqua"/>
          <w:i/>
          <w:iCs/>
          <w:color w:val="000000"/>
        </w:rPr>
        <w:t>Semin Liver Dis</w:t>
      </w:r>
      <w:r w:rsidR="009617E8" w:rsidRPr="00D22450">
        <w:rPr>
          <w:rFonts w:ascii="Book Antiqua" w:eastAsia="Book Antiqua" w:hAnsi="Book Antiqua" w:cs="Book Antiqua"/>
          <w:color w:val="000000"/>
        </w:rPr>
        <w:t xml:space="preserve"> 2012; </w:t>
      </w:r>
      <w:r w:rsidR="009617E8" w:rsidRPr="00D22450">
        <w:rPr>
          <w:rFonts w:ascii="Book Antiqua" w:eastAsia="Book Antiqua" w:hAnsi="Book Antiqua" w:cs="Book Antiqua"/>
          <w:b/>
          <w:bCs/>
          <w:color w:val="000000"/>
        </w:rPr>
        <w:t>32</w:t>
      </w:r>
      <w:r w:rsidR="009617E8" w:rsidRPr="00D22450">
        <w:rPr>
          <w:rFonts w:ascii="Book Antiqua" w:eastAsia="Book Antiqua" w:hAnsi="Book Antiqua" w:cs="Book Antiqua"/>
          <w:color w:val="000000"/>
        </w:rPr>
        <w:t>: 3-13 [PMID: 22418883 DOI: 10.1055/s-0032-1306421]</w:t>
      </w:r>
    </w:p>
    <w:p w14:paraId="7F80B523" w14:textId="7EBEE640"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4</w:t>
      </w:r>
      <w:r w:rsidR="00882C59">
        <w:rPr>
          <w:rFonts w:ascii="Book Antiqua" w:eastAsia="Book Antiqua" w:hAnsi="Book Antiqua" w:cs="Book Antiqua"/>
          <w:color w:val="000000"/>
        </w:rPr>
        <w:t>0</w:t>
      </w:r>
      <w:r w:rsidRPr="00D22450">
        <w:rPr>
          <w:rFonts w:ascii="Book Antiqua" w:eastAsia="Book Antiqua" w:hAnsi="Book Antiqua" w:cs="Book Antiqua"/>
          <w:color w:val="000000"/>
        </w:rPr>
        <w:t xml:space="preserve"> </w:t>
      </w:r>
      <w:r w:rsidRPr="00D22450">
        <w:rPr>
          <w:rFonts w:ascii="Book Antiqua" w:eastAsia="Book Antiqua" w:hAnsi="Book Antiqua" w:cs="Book Antiqua"/>
          <w:b/>
          <w:bCs/>
          <w:color w:val="000000"/>
        </w:rPr>
        <w:t>Heye T</w:t>
      </w:r>
      <w:r w:rsidRPr="00D22450">
        <w:rPr>
          <w:rFonts w:ascii="Book Antiqua" w:eastAsia="Book Antiqua" w:hAnsi="Book Antiqua" w:cs="Book Antiqua"/>
          <w:color w:val="000000"/>
        </w:rPr>
        <w:t xml:space="preserve">, Yang SR, Bock M, Brost S, Weigand K, Longerich T, Kauczor HU, Hosch W. MR relaxometry of the liver: significant elevation of T1 relaxation time in patients with liver cirrhosis. </w:t>
      </w:r>
      <w:r w:rsidRPr="00D22450">
        <w:rPr>
          <w:rFonts w:ascii="Book Antiqua" w:eastAsia="Book Antiqua" w:hAnsi="Book Antiqua" w:cs="Book Antiqua"/>
          <w:i/>
          <w:iCs/>
          <w:color w:val="000000"/>
        </w:rPr>
        <w:t>Eur Radiol</w:t>
      </w:r>
      <w:r w:rsidRPr="00D22450">
        <w:rPr>
          <w:rFonts w:ascii="Book Antiqua" w:eastAsia="Book Antiqua" w:hAnsi="Book Antiqua" w:cs="Book Antiqua"/>
          <w:color w:val="000000"/>
        </w:rPr>
        <w:t xml:space="preserve"> 2012; </w:t>
      </w:r>
      <w:r w:rsidRPr="00D22450">
        <w:rPr>
          <w:rFonts w:ascii="Book Antiqua" w:eastAsia="Book Antiqua" w:hAnsi="Book Antiqua" w:cs="Book Antiqua"/>
          <w:b/>
          <w:bCs/>
          <w:color w:val="000000"/>
        </w:rPr>
        <w:t>22</w:t>
      </w:r>
      <w:r w:rsidRPr="00D22450">
        <w:rPr>
          <w:rFonts w:ascii="Book Antiqua" w:eastAsia="Book Antiqua" w:hAnsi="Book Antiqua" w:cs="Book Antiqua"/>
          <w:color w:val="000000"/>
        </w:rPr>
        <w:t>: 1224-1232 [PMID: 22302503 DOI: 10.1007/s00330-012-2378-5]</w:t>
      </w:r>
    </w:p>
    <w:p w14:paraId="07B20A69" w14:textId="5AF34ED6"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4</w:t>
      </w:r>
      <w:r w:rsidR="00882C59">
        <w:rPr>
          <w:rFonts w:ascii="Book Antiqua" w:eastAsia="Book Antiqua" w:hAnsi="Book Antiqua" w:cs="Book Antiqua"/>
          <w:color w:val="000000"/>
        </w:rPr>
        <w:t>1</w:t>
      </w:r>
      <w:r w:rsidRPr="00D22450">
        <w:rPr>
          <w:rFonts w:ascii="Book Antiqua" w:eastAsia="Book Antiqua" w:hAnsi="Book Antiqua" w:cs="Book Antiqua"/>
          <w:color w:val="000000"/>
        </w:rPr>
        <w:t xml:space="preserve"> </w:t>
      </w:r>
      <w:r w:rsidRPr="00D22450">
        <w:rPr>
          <w:rFonts w:ascii="Book Antiqua" w:eastAsia="Book Antiqua" w:hAnsi="Book Antiqua" w:cs="Book Antiqua"/>
          <w:b/>
          <w:bCs/>
          <w:color w:val="000000"/>
        </w:rPr>
        <w:t>Thomsen C</w:t>
      </w:r>
      <w:r w:rsidRPr="00D22450">
        <w:rPr>
          <w:rFonts w:ascii="Book Antiqua" w:eastAsia="Book Antiqua" w:hAnsi="Book Antiqua" w:cs="Book Antiqua"/>
          <w:color w:val="000000"/>
        </w:rPr>
        <w:t xml:space="preserve">, Christoffersen P, Henriksen O, Juhl E. Prolonged T1 in patients with liver cirrhosis: an </w:t>
      </w:r>
      <w:r w:rsidRPr="00D22450">
        <w:rPr>
          <w:rFonts w:ascii="Book Antiqua" w:eastAsia="Book Antiqua" w:hAnsi="Book Antiqua" w:cs="Book Antiqua"/>
          <w:i/>
          <w:iCs/>
          <w:color w:val="000000"/>
        </w:rPr>
        <w:t>in vivo</w:t>
      </w:r>
      <w:r w:rsidRPr="00D22450">
        <w:rPr>
          <w:rFonts w:ascii="Book Antiqua" w:eastAsia="Book Antiqua" w:hAnsi="Book Antiqua" w:cs="Book Antiqua"/>
          <w:color w:val="000000"/>
        </w:rPr>
        <w:t xml:space="preserve"> MRI study. </w:t>
      </w:r>
      <w:r w:rsidRPr="00D22450">
        <w:rPr>
          <w:rFonts w:ascii="Book Antiqua" w:eastAsia="Book Antiqua" w:hAnsi="Book Antiqua" w:cs="Book Antiqua"/>
          <w:i/>
          <w:iCs/>
          <w:color w:val="000000"/>
        </w:rPr>
        <w:t>Magn Reson Imaging</w:t>
      </w:r>
      <w:r w:rsidRPr="00D22450">
        <w:rPr>
          <w:rFonts w:ascii="Book Antiqua" w:eastAsia="Book Antiqua" w:hAnsi="Book Antiqua" w:cs="Book Antiqua"/>
          <w:color w:val="000000"/>
        </w:rPr>
        <w:t xml:space="preserve"> 1990; </w:t>
      </w:r>
      <w:r w:rsidRPr="00D22450">
        <w:rPr>
          <w:rFonts w:ascii="Book Antiqua" w:eastAsia="Book Antiqua" w:hAnsi="Book Antiqua" w:cs="Book Antiqua"/>
          <w:b/>
          <w:bCs/>
          <w:color w:val="000000"/>
        </w:rPr>
        <w:t>8</w:t>
      </w:r>
      <w:r w:rsidRPr="00D22450">
        <w:rPr>
          <w:rFonts w:ascii="Book Antiqua" w:eastAsia="Book Antiqua" w:hAnsi="Book Antiqua" w:cs="Book Antiqua"/>
          <w:color w:val="000000"/>
        </w:rPr>
        <w:t>: 599-604 [PMID: 2082130 DOI: 10.1016/0730-725x(90)90137-q]</w:t>
      </w:r>
    </w:p>
    <w:p w14:paraId="54461A03" w14:textId="61733D1C"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4</w:t>
      </w:r>
      <w:r w:rsidR="00882C59">
        <w:rPr>
          <w:rFonts w:ascii="Book Antiqua" w:eastAsia="Book Antiqua" w:hAnsi="Book Antiqua" w:cs="Book Antiqua"/>
          <w:color w:val="000000"/>
        </w:rPr>
        <w:t>2</w:t>
      </w:r>
      <w:r w:rsidRPr="00D22450">
        <w:rPr>
          <w:rFonts w:ascii="Book Antiqua" w:eastAsia="Book Antiqua" w:hAnsi="Book Antiqua" w:cs="Book Antiqua"/>
          <w:color w:val="000000"/>
        </w:rPr>
        <w:t xml:space="preserve"> </w:t>
      </w:r>
      <w:r w:rsidRPr="00D22450">
        <w:rPr>
          <w:rFonts w:ascii="Book Antiqua" w:eastAsia="Book Antiqua" w:hAnsi="Book Antiqua" w:cs="Book Antiqua"/>
          <w:b/>
          <w:bCs/>
          <w:color w:val="000000"/>
        </w:rPr>
        <w:t>Bradley CR</w:t>
      </w:r>
      <w:r w:rsidRPr="00D22450">
        <w:rPr>
          <w:rFonts w:ascii="Book Antiqua" w:eastAsia="Book Antiqua" w:hAnsi="Book Antiqua" w:cs="Book Antiqua"/>
          <w:color w:val="000000"/>
        </w:rPr>
        <w:t xml:space="preserve">, Cox EF, Scott RA, James MW, Kaye P, Aithal GP, Francis ST, Guha IN. Multi-organ assessment of compensated cirrhosis patients using quantitative magnetic resonance imaging. </w:t>
      </w:r>
      <w:r w:rsidRPr="00D22450">
        <w:rPr>
          <w:rFonts w:ascii="Book Antiqua" w:eastAsia="Book Antiqua" w:hAnsi="Book Antiqua" w:cs="Book Antiqua"/>
          <w:i/>
          <w:iCs/>
          <w:color w:val="000000"/>
        </w:rPr>
        <w:t>J Hepatol</w:t>
      </w:r>
      <w:r w:rsidRPr="00D22450">
        <w:rPr>
          <w:rFonts w:ascii="Book Antiqua" w:eastAsia="Book Antiqua" w:hAnsi="Book Antiqua" w:cs="Book Antiqua"/>
          <w:color w:val="000000"/>
        </w:rPr>
        <w:t xml:space="preserve"> 2018; </w:t>
      </w:r>
      <w:r w:rsidRPr="00D22450">
        <w:rPr>
          <w:rFonts w:ascii="Book Antiqua" w:eastAsia="Book Antiqua" w:hAnsi="Book Antiqua" w:cs="Book Antiqua"/>
          <w:b/>
          <w:bCs/>
          <w:color w:val="000000"/>
        </w:rPr>
        <w:t>69</w:t>
      </w:r>
      <w:r w:rsidRPr="00D22450">
        <w:rPr>
          <w:rFonts w:ascii="Book Antiqua" w:eastAsia="Book Antiqua" w:hAnsi="Book Antiqua" w:cs="Book Antiqua"/>
          <w:color w:val="000000"/>
        </w:rPr>
        <w:t>: 1015-1024 [PMID: 29886155 DOI: 10.1016/j.jhep.2018.05.037]</w:t>
      </w:r>
    </w:p>
    <w:p w14:paraId="2060C3F4" w14:textId="140BB46F"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4</w:t>
      </w:r>
      <w:r w:rsidR="00882C59">
        <w:rPr>
          <w:rFonts w:ascii="Book Antiqua" w:eastAsia="Book Antiqua" w:hAnsi="Book Antiqua" w:cs="Book Antiqua"/>
          <w:color w:val="000000"/>
        </w:rPr>
        <w:t>3</w:t>
      </w:r>
      <w:r w:rsidRPr="00D22450">
        <w:rPr>
          <w:rFonts w:ascii="Book Antiqua" w:eastAsia="Book Antiqua" w:hAnsi="Book Antiqua" w:cs="Book Antiqua"/>
          <w:color w:val="000000"/>
        </w:rPr>
        <w:t xml:space="preserve"> </w:t>
      </w:r>
      <w:r w:rsidRPr="00D22450">
        <w:rPr>
          <w:rFonts w:ascii="Book Antiqua" w:eastAsia="Book Antiqua" w:hAnsi="Book Antiqua" w:cs="Book Antiqua"/>
          <w:b/>
          <w:bCs/>
          <w:color w:val="000000"/>
        </w:rPr>
        <w:t>Banerjee R</w:t>
      </w:r>
      <w:r w:rsidRPr="00D22450">
        <w:rPr>
          <w:rFonts w:ascii="Book Antiqua" w:eastAsia="Book Antiqua" w:hAnsi="Book Antiqua" w:cs="Book Antiqua"/>
          <w:color w:val="000000"/>
        </w:rPr>
        <w:t>, Pavlides M, Tunnicliffe EM, Piechnik SK, Sarania N, Philips R, Collier JD, Booth JC, Schneider JE, Wang LM, Delaney DW, Fleming KA, Robson MD, Barnes E, Neubauer S. Multiparametric magnetic resonance for the non-</w:t>
      </w:r>
      <w:r w:rsidRPr="00D22450">
        <w:rPr>
          <w:rFonts w:ascii="Book Antiqua" w:eastAsia="Book Antiqua" w:hAnsi="Book Antiqua" w:cs="Book Antiqua"/>
          <w:color w:val="000000"/>
        </w:rPr>
        <w:lastRenderedPageBreak/>
        <w:t xml:space="preserve">invasive diagnosis of liver disease. </w:t>
      </w:r>
      <w:r w:rsidRPr="00D22450">
        <w:rPr>
          <w:rFonts w:ascii="Book Antiqua" w:eastAsia="Book Antiqua" w:hAnsi="Book Antiqua" w:cs="Book Antiqua"/>
          <w:i/>
          <w:iCs/>
          <w:color w:val="000000"/>
        </w:rPr>
        <w:t>J Hepatol</w:t>
      </w:r>
      <w:r w:rsidRPr="00D22450">
        <w:rPr>
          <w:rFonts w:ascii="Book Antiqua" w:eastAsia="Book Antiqua" w:hAnsi="Book Antiqua" w:cs="Book Antiqua"/>
          <w:color w:val="000000"/>
        </w:rPr>
        <w:t xml:space="preserve"> 2014; </w:t>
      </w:r>
      <w:r w:rsidRPr="00D22450">
        <w:rPr>
          <w:rFonts w:ascii="Book Antiqua" w:eastAsia="Book Antiqua" w:hAnsi="Book Antiqua" w:cs="Book Antiqua"/>
          <w:b/>
          <w:bCs/>
          <w:color w:val="000000"/>
        </w:rPr>
        <w:t>60</w:t>
      </w:r>
      <w:r w:rsidRPr="00D22450">
        <w:rPr>
          <w:rFonts w:ascii="Book Antiqua" w:eastAsia="Book Antiqua" w:hAnsi="Book Antiqua" w:cs="Book Antiqua"/>
          <w:color w:val="000000"/>
        </w:rPr>
        <w:t>: 69-77 [PMID: 24036007 DOI: 10.1016/j.jhep.2013.09.002]</w:t>
      </w:r>
    </w:p>
    <w:p w14:paraId="3B4A1978" w14:textId="7FEF97D3"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4</w:t>
      </w:r>
      <w:r w:rsidR="00882C59">
        <w:rPr>
          <w:rFonts w:ascii="Book Antiqua" w:eastAsia="Book Antiqua" w:hAnsi="Book Antiqua" w:cs="Book Antiqua"/>
          <w:color w:val="000000"/>
        </w:rPr>
        <w:t>4</w:t>
      </w:r>
      <w:r w:rsidRPr="00D22450">
        <w:rPr>
          <w:rFonts w:ascii="Book Antiqua" w:eastAsia="Book Antiqua" w:hAnsi="Book Antiqua" w:cs="Book Antiqua"/>
          <w:color w:val="000000"/>
        </w:rPr>
        <w:t xml:space="preserve"> </w:t>
      </w:r>
      <w:r w:rsidRPr="00D22450">
        <w:rPr>
          <w:rFonts w:ascii="Book Antiqua" w:eastAsia="Book Antiqua" w:hAnsi="Book Antiqua" w:cs="Book Antiqua"/>
          <w:b/>
          <w:bCs/>
          <w:color w:val="000000"/>
        </w:rPr>
        <w:t>Permutt Z</w:t>
      </w:r>
      <w:r w:rsidRPr="00D22450">
        <w:rPr>
          <w:rFonts w:ascii="Book Antiqua" w:eastAsia="Book Antiqua" w:hAnsi="Book Antiqua" w:cs="Book Antiqua"/>
          <w:color w:val="000000"/>
        </w:rPr>
        <w:t xml:space="preserve">, Le TA, Peterson MR, Seki E, Brenner DA, Sirlin C, Loomba R. Correlation between liver histology and novel magnetic resonance imaging in adult patients with non-alcoholic fatty liver disease - MRI accurately quantifies hepatic steatosis in NAFLD. </w:t>
      </w:r>
      <w:r w:rsidRPr="00D22450">
        <w:rPr>
          <w:rFonts w:ascii="Book Antiqua" w:eastAsia="Book Antiqua" w:hAnsi="Book Antiqua" w:cs="Book Antiqua"/>
          <w:i/>
          <w:iCs/>
          <w:color w:val="000000"/>
        </w:rPr>
        <w:t>Aliment Pharmacol Ther</w:t>
      </w:r>
      <w:r w:rsidRPr="00D22450">
        <w:rPr>
          <w:rFonts w:ascii="Book Antiqua" w:eastAsia="Book Antiqua" w:hAnsi="Book Antiqua" w:cs="Book Antiqua"/>
          <w:color w:val="000000"/>
        </w:rPr>
        <w:t xml:space="preserve"> 2012; </w:t>
      </w:r>
      <w:r w:rsidRPr="00D22450">
        <w:rPr>
          <w:rFonts w:ascii="Book Antiqua" w:eastAsia="Book Antiqua" w:hAnsi="Book Antiqua" w:cs="Book Antiqua"/>
          <w:b/>
          <w:bCs/>
          <w:color w:val="000000"/>
        </w:rPr>
        <w:t>36</w:t>
      </w:r>
      <w:r w:rsidRPr="00D22450">
        <w:rPr>
          <w:rFonts w:ascii="Book Antiqua" w:eastAsia="Book Antiqua" w:hAnsi="Book Antiqua" w:cs="Book Antiqua"/>
          <w:color w:val="000000"/>
        </w:rPr>
        <w:t>: 22-29 [PMID: 22554256 DOI: 10.1111/j.1365-2036.2012.05121.x]</w:t>
      </w:r>
    </w:p>
    <w:p w14:paraId="24BFE26B" w14:textId="1A584253"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4</w:t>
      </w:r>
      <w:r w:rsidR="00882C59">
        <w:rPr>
          <w:rFonts w:ascii="Book Antiqua" w:eastAsia="Book Antiqua" w:hAnsi="Book Antiqua" w:cs="Book Antiqua"/>
          <w:color w:val="000000"/>
        </w:rPr>
        <w:t>5</w:t>
      </w:r>
      <w:r w:rsidRPr="00D22450">
        <w:rPr>
          <w:rFonts w:ascii="Book Antiqua" w:eastAsia="Book Antiqua" w:hAnsi="Book Antiqua" w:cs="Book Antiqua"/>
          <w:color w:val="000000"/>
        </w:rPr>
        <w:t xml:space="preserve"> </w:t>
      </w:r>
      <w:r w:rsidRPr="00D22450">
        <w:rPr>
          <w:rFonts w:ascii="Book Antiqua" w:eastAsia="Book Antiqua" w:hAnsi="Book Antiqua" w:cs="Book Antiqua"/>
          <w:b/>
          <w:bCs/>
          <w:color w:val="000000"/>
        </w:rPr>
        <w:t>Wildman-Tobriner B</w:t>
      </w:r>
      <w:r w:rsidRPr="00D22450">
        <w:rPr>
          <w:rFonts w:ascii="Book Antiqua" w:eastAsia="Book Antiqua" w:hAnsi="Book Antiqua" w:cs="Book Antiqua"/>
          <w:color w:val="000000"/>
        </w:rPr>
        <w:t xml:space="preserve">, Middleton MM, Moylan CA, Rossi S, Flores O, Chang ZA, Abdelmalek MF, Sirlin CB, Bashir MR. Association Between Magnetic Resonance Imaging-Proton Density Fat Fraction and Liver Histology Features in Patients With Nonalcoholic Fatty Liver Disease or Nonalcoholic Steatohepatitis. </w:t>
      </w:r>
      <w:r w:rsidRPr="00D22450">
        <w:rPr>
          <w:rFonts w:ascii="Book Antiqua" w:eastAsia="Book Antiqua" w:hAnsi="Book Antiqua" w:cs="Book Antiqua"/>
          <w:i/>
          <w:iCs/>
          <w:color w:val="000000"/>
        </w:rPr>
        <w:t>Gastroenterology</w:t>
      </w:r>
      <w:r w:rsidRPr="00D22450">
        <w:rPr>
          <w:rFonts w:ascii="Book Antiqua" w:eastAsia="Book Antiqua" w:hAnsi="Book Antiqua" w:cs="Book Antiqua"/>
          <w:color w:val="000000"/>
        </w:rPr>
        <w:t xml:space="preserve"> 2018; </w:t>
      </w:r>
      <w:r w:rsidRPr="00D22450">
        <w:rPr>
          <w:rFonts w:ascii="Book Antiqua" w:eastAsia="Book Antiqua" w:hAnsi="Book Antiqua" w:cs="Book Antiqua"/>
          <w:b/>
          <w:bCs/>
          <w:color w:val="000000"/>
        </w:rPr>
        <w:t>155</w:t>
      </w:r>
      <w:r w:rsidRPr="00D22450">
        <w:rPr>
          <w:rFonts w:ascii="Book Antiqua" w:eastAsia="Book Antiqua" w:hAnsi="Book Antiqua" w:cs="Book Antiqua"/>
          <w:color w:val="000000"/>
        </w:rPr>
        <w:t>: 1428-1435.e2 [PMID: 30031769 DOI: 10.1053/j.gastro.2018.07.018]</w:t>
      </w:r>
    </w:p>
    <w:p w14:paraId="705DE3D5" w14:textId="43F7613D"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4</w:t>
      </w:r>
      <w:r w:rsidR="00882C59">
        <w:rPr>
          <w:rFonts w:ascii="Book Antiqua" w:eastAsia="Book Antiqua" w:hAnsi="Book Antiqua" w:cs="Book Antiqua"/>
          <w:color w:val="000000"/>
        </w:rPr>
        <w:t>6</w:t>
      </w:r>
      <w:r w:rsidRPr="00D22450">
        <w:rPr>
          <w:rFonts w:ascii="Book Antiqua" w:eastAsia="Book Antiqua" w:hAnsi="Book Antiqua" w:cs="Book Antiqua"/>
          <w:color w:val="000000"/>
        </w:rPr>
        <w:t xml:space="preserve"> </w:t>
      </w:r>
      <w:r w:rsidRPr="00D22450">
        <w:rPr>
          <w:rFonts w:ascii="Book Antiqua" w:eastAsia="Book Antiqua" w:hAnsi="Book Antiqua" w:cs="Book Antiqua"/>
          <w:b/>
          <w:bCs/>
          <w:color w:val="000000"/>
        </w:rPr>
        <w:t>Davison BA</w:t>
      </w:r>
      <w:r w:rsidRPr="00D22450">
        <w:rPr>
          <w:rFonts w:ascii="Book Antiqua" w:eastAsia="Book Antiqua" w:hAnsi="Book Antiqua" w:cs="Book Antiqua"/>
          <w:color w:val="000000"/>
        </w:rPr>
        <w:t xml:space="preserve">, Harrison SA, Cotter G, Alkhouri N, Sanyal A, Edwards C, Colca JR, Iwashita J, Koch GG, Dittrich HC. Suboptimal reliability of liver biopsy evaluation has implications for randomized clinical trials. </w:t>
      </w:r>
      <w:r w:rsidRPr="00D22450">
        <w:rPr>
          <w:rFonts w:ascii="Book Antiqua" w:eastAsia="Book Antiqua" w:hAnsi="Book Antiqua" w:cs="Book Antiqua"/>
          <w:i/>
          <w:iCs/>
          <w:color w:val="000000"/>
        </w:rPr>
        <w:t>J Hepatol</w:t>
      </w:r>
      <w:r w:rsidRPr="00D22450">
        <w:rPr>
          <w:rFonts w:ascii="Book Antiqua" w:eastAsia="Book Antiqua" w:hAnsi="Book Antiqua" w:cs="Book Antiqua"/>
          <w:color w:val="000000"/>
        </w:rPr>
        <w:t xml:space="preserve"> 2020; </w:t>
      </w:r>
      <w:r w:rsidRPr="00D22450">
        <w:rPr>
          <w:rFonts w:ascii="Book Antiqua" w:eastAsia="Book Antiqua" w:hAnsi="Book Antiqua" w:cs="Book Antiqua"/>
          <w:b/>
          <w:bCs/>
          <w:color w:val="000000"/>
        </w:rPr>
        <w:t>73</w:t>
      </w:r>
      <w:r w:rsidRPr="00D22450">
        <w:rPr>
          <w:rFonts w:ascii="Book Antiqua" w:eastAsia="Book Antiqua" w:hAnsi="Book Antiqua" w:cs="Book Antiqua"/>
          <w:color w:val="000000"/>
        </w:rPr>
        <w:t>: 1322-1332 [PMID: 32610115 DOI: 10.1016/j.jhep.2020.06.025]</w:t>
      </w:r>
    </w:p>
    <w:p w14:paraId="5CFA4EB9" w14:textId="14CCDE38"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4</w:t>
      </w:r>
      <w:r w:rsidR="00882C59">
        <w:rPr>
          <w:rFonts w:ascii="Book Antiqua" w:eastAsia="Book Antiqua" w:hAnsi="Book Antiqua" w:cs="Book Antiqua"/>
          <w:color w:val="000000"/>
        </w:rPr>
        <w:t>7</w:t>
      </w:r>
      <w:r w:rsidRPr="00D22450">
        <w:rPr>
          <w:rFonts w:ascii="Book Antiqua" w:eastAsia="Book Antiqua" w:hAnsi="Book Antiqua" w:cs="Book Antiqua"/>
          <w:color w:val="000000"/>
        </w:rPr>
        <w:t xml:space="preserve"> </w:t>
      </w:r>
      <w:r w:rsidRPr="00D22450">
        <w:rPr>
          <w:rFonts w:ascii="Book Antiqua" w:eastAsia="Book Antiqua" w:hAnsi="Book Antiqua" w:cs="Book Antiqua"/>
          <w:b/>
          <w:bCs/>
          <w:color w:val="000000"/>
        </w:rPr>
        <w:t>Sanai FM</w:t>
      </w:r>
      <w:r w:rsidRPr="00D22450">
        <w:rPr>
          <w:rFonts w:ascii="Book Antiqua" w:eastAsia="Book Antiqua" w:hAnsi="Book Antiqua" w:cs="Book Antiqua"/>
          <w:color w:val="000000"/>
        </w:rPr>
        <w:t xml:space="preserve">, Keeffe EB. Liver biopsy for histological assessment: The case against. </w:t>
      </w:r>
      <w:r w:rsidRPr="00D22450">
        <w:rPr>
          <w:rFonts w:ascii="Book Antiqua" w:eastAsia="Book Antiqua" w:hAnsi="Book Antiqua" w:cs="Book Antiqua"/>
          <w:i/>
          <w:iCs/>
          <w:color w:val="000000"/>
        </w:rPr>
        <w:t>Saudi J Gastroenterol</w:t>
      </w:r>
      <w:r w:rsidRPr="00D22450">
        <w:rPr>
          <w:rFonts w:ascii="Book Antiqua" w:eastAsia="Book Antiqua" w:hAnsi="Book Antiqua" w:cs="Book Antiqua"/>
          <w:color w:val="000000"/>
        </w:rPr>
        <w:t xml:space="preserve"> 2010; </w:t>
      </w:r>
      <w:r w:rsidRPr="00D22450">
        <w:rPr>
          <w:rFonts w:ascii="Book Antiqua" w:eastAsia="Book Antiqua" w:hAnsi="Book Antiqua" w:cs="Book Antiqua"/>
          <w:b/>
          <w:bCs/>
          <w:color w:val="000000"/>
        </w:rPr>
        <w:t>16</w:t>
      </w:r>
      <w:r w:rsidRPr="00D22450">
        <w:rPr>
          <w:rFonts w:ascii="Book Antiqua" w:eastAsia="Book Antiqua" w:hAnsi="Book Antiqua" w:cs="Book Antiqua"/>
          <w:color w:val="000000"/>
        </w:rPr>
        <w:t>: 124-132 [PMID: 20339187 DOI: 10.4103/1319-3767.61244]</w:t>
      </w:r>
    </w:p>
    <w:p w14:paraId="09AB023A" w14:textId="59AB75B5" w:rsidR="009617E8" w:rsidRPr="00D22450" w:rsidRDefault="00882C59" w:rsidP="00D22450">
      <w:pPr>
        <w:adjustRightInd w:val="0"/>
        <w:snapToGrid w:val="0"/>
        <w:spacing w:line="360" w:lineRule="auto"/>
        <w:jc w:val="both"/>
        <w:rPr>
          <w:rFonts w:ascii="Book Antiqua" w:hAnsi="Book Antiqua"/>
        </w:rPr>
      </w:pPr>
      <w:r>
        <w:rPr>
          <w:rFonts w:ascii="Book Antiqua" w:eastAsia="Book Antiqua" w:hAnsi="Book Antiqua" w:cs="Book Antiqua"/>
          <w:color w:val="000000"/>
        </w:rPr>
        <w:t>48</w:t>
      </w:r>
      <w:r w:rsidR="009617E8" w:rsidRPr="00D22450">
        <w:rPr>
          <w:rFonts w:ascii="Book Antiqua" w:eastAsia="Book Antiqua" w:hAnsi="Book Antiqua" w:cs="Book Antiqua"/>
          <w:color w:val="000000"/>
        </w:rPr>
        <w:t xml:space="preserve"> </w:t>
      </w:r>
      <w:r w:rsidR="009617E8" w:rsidRPr="00D22450">
        <w:rPr>
          <w:rFonts w:ascii="Book Antiqua" w:eastAsia="Book Antiqua" w:hAnsi="Book Antiqua" w:cs="Book Antiqua"/>
          <w:b/>
          <w:bCs/>
          <w:color w:val="000000"/>
        </w:rPr>
        <w:t>Kleiner DE</w:t>
      </w:r>
      <w:r w:rsidR="009617E8" w:rsidRPr="00D22450">
        <w:rPr>
          <w:rFonts w:ascii="Book Antiqua" w:eastAsia="Book Antiqua" w:hAnsi="Book Antiqua" w:cs="Book Antiqua"/>
          <w:color w:val="000000"/>
        </w:rPr>
        <w:t xml:space="preserve">, Brunt EM, Van Natta M, Behling C, Contos MJ, Cummings OW, Ferrell LD, Liu YC, Torbenson MS, Unalp-Arida A, Yeh M, McCullough AJ, Sanyal AJ; Nonalcoholic Steatohepatitis Clinical Research Network. Design and validation of a histological scoring system for nonalcoholic fatty liver disease. </w:t>
      </w:r>
      <w:r w:rsidR="009617E8" w:rsidRPr="00D22450">
        <w:rPr>
          <w:rFonts w:ascii="Book Antiqua" w:eastAsia="Book Antiqua" w:hAnsi="Book Antiqua" w:cs="Book Antiqua"/>
          <w:i/>
          <w:iCs/>
          <w:color w:val="000000"/>
        </w:rPr>
        <w:t>Hepatology</w:t>
      </w:r>
      <w:r w:rsidR="009617E8" w:rsidRPr="00D22450">
        <w:rPr>
          <w:rFonts w:ascii="Book Antiqua" w:eastAsia="Book Antiqua" w:hAnsi="Book Antiqua" w:cs="Book Antiqua"/>
          <w:color w:val="000000"/>
        </w:rPr>
        <w:t xml:space="preserve"> 2005; </w:t>
      </w:r>
      <w:r w:rsidR="009617E8" w:rsidRPr="00D22450">
        <w:rPr>
          <w:rFonts w:ascii="Book Antiqua" w:eastAsia="Book Antiqua" w:hAnsi="Book Antiqua" w:cs="Book Antiqua"/>
          <w:b/>
          <w:bCs/>
          <w:color w:val="000000"/>
        </w:rPr>
        <w:t>41</w:t>
      </w:r>
      <w:r w:rsidR="009617E8" w:rsidRPr="00D22450">
        <w:rPr>
          <w:rFonts w:ascii="Book Antiqua" w:eastAsia="Book Antiqua" w:hAnsi="Book Antiqua" w:cs="Book Antiqua"/>
          <w:color w:val="000000"/>
        </w:rPr>
        <w:t>: 1313-1321 [PMID: 15915461 DOI: 10.1002/hep.20701]</w:t>
      </w:r>
    </w:p>
    <w:p w14:paraId="00811795" w14:textId="1FB5D9F2" w:rsidR="009617E8" w:rsidRPr="00D22450" w:rsidRDefault="00882C59" w:rsidP="00D22450">
      <w:pPr>
        <w:adjustRightInd w:val="0"/>
        <w:snapToGrid w:val="0"/>
        <w:spacing w:line="360" w:lineRule="auto"/>
        <w:jc w:val="both"/>
        <w:rPr>
          <w:rFonts w:ascii="Book Antiqua" w:hAnsi="Book Antiqua"/>
        </w:rPr>
      </w:pPr>
      <w:r>
        <w:rPr>
          <w:rFonts w:ascii="Book Antiqua" w:eastAsia="Book Antiqua" w:hAnsi="Book Antiqua" w:cs="Book Antiqua"/>
          <w:color w:val="000000"/>
        </w:rPr>
        <w:t>49</w:t>
      </w:r>
      <w:r w:rsidR="009617E8" w:rsidRPr="00D22450">
        <w:rPr>
          <w:rFonts w:ascii="Book Antiqua" w:eastAsia="Book Antiqua" w:hAnsi="Book Antiqua" w:cs="Book Antiqua"/>
          <w:color w:val="000000"/>
        </w:rPr>
        <w:t xml:space="preserve"> </w:t>
      </w:r>
      <w:r w:rsidR="009617E8" w:rsidRPr="00D22450">
        <w:rPr>
          <w:rFonts w:ascii="Book Antiqua" w:eastAsia="Book Antiqua" w:hAnsi="Book Antiqua" w:cs="Book Antiqua"/>
          <w:b/>
          <w:bCs/>
          <w:color w:val="000000"/>
        </w:rPr>
        <w:t>Merriman RB</w:t>
      </w:r>
      <w:r w:rsidR="009617E8" w:rsidRPr="00D22450">
        <w:rPr>
          <w:rFonts w:ascii="Book Antiqua" w:eastAsia="Book Antiqua" w:hAnsi="Book Antiqua" w:cs="Book Antiqua"/>
          <w:color w:val="000000"/>
        </w:rPr>
        <w:t xml:space="preserve">, Ferrell LD, Patti MG, Weston SR, Pabst MS, Aouizerat BE, Bass NM. Correlation of paired liver biopsies in morbidly obese patients with suspected nonalcoholic fatty liver disease. </w:t>
      </w:r>
      <w:r w:rsidR="009617E8" w:rsidRPr="00D22450">
        <w:rPr>
          <w:rFonts w:ascii="Book Antiqua" w:eastAsia="Book Antiqua" w:hAnsi="Book Antiqua" w:cs="Book Antiqua"/>
          <w:i/>
          <w:iCs/>
          <w:color w:val="000000"/>
        </w:rPr>
        <w:t>Hepatology</w:t>
      </w:r>
      <w:r w:rsidR="009617E8" w:rsidRPr="00D22450">
        <w:rPr>
          <w:rFonts w:ascii="Book Antiqua" w:eastAsia="Book Antiqua" w:hAnsi="Book Antiqua" w:cs="Book Antiqua"/>
          <w:color w:val="000000"/>
        </w:rPr>
        <w:t xml:space="preserve"> 2006; </w:t>
      </w:r>
      <w:r w:rsidR="009617E8" w:rsidRPr="00D22450">
        <w:rPr>
          <w:rFonts w:ascii="Book Antiqua" w:eastAsia="Book Antiqua" w:hAnsi="Book Antiqua" w:cs="Book Antiqua"/>
          <w:b/>
          <w:bCs/>
          <w:color w:val="000000"/>
        </w:rPr>
        <w:t>44</w:t>
      </w:r>
      <w:r w:rsidR="009617E8" w:rsidRPr="00D22450">
        <w:rPr>
          <w:rFonts w:ascii="Book Antiqua" w:eastAsia="Book Antiqua" w:hAnsi="Book Antiqua" w:cs="Book Antiqua"/>
          <w:color w:val="000000"/>
        </w:rPr>
        <w:t>: 874-880 [PMID: 17006934 DOI: 10.1002/hep.21346]</w:t>
      </w:r>
    </w:p>
    <w:p w14:paraId="73725E8E" w14:textId="538550B5" w:rsidR="009617E8" w:rsidRDefault="009617E8" w:rsidP="00D22450">
      <w:pPr>
        <w:adjustRightInd w:val="0"/>
        <w:snapToGrid w:val="0"/>
        <w:spacing w:line="360" w:lineRule="auto"/>
        <w:jc w:val="both"/>
        <w:rPr>
          <w:rFonts w:ascii="Book Antiqua" w:hAnsi="Book Antiqua" w:cs="Book Antiqua"/>
          <w:color w:val="000000"/>
          <w:lang w:eastAsia="zh-CN"/>
        </w:rPr>
      </w:pPr>
      <w:r w:rsidRPr="00D22450">
        <w:rPr>
          <w:rFonts w:ascii="Book Antiqua" w:eastAsia="Book Antiqua" w:hAnsi="Book Antiqua" w:cs="Book Antiqua"/>
          <w:color w:val="000000"/>
        </w:rPr>
        <w:lastRenderedPageBreak/>
        <w:t>5</w:t>
      </w:r>
      <w:r w:rsidR="00882C59">
        <w:rPr>
          <w:rFonts w:ascii="Book Antiqua" w:eastAsia="Book Antiqua" w:hAnsi="Book Antiqua" w:cs="Book Antiqua"/>
          <w:color w:val="000000"/>
        </w:rPr>
        <w:t>0</w:t>
      </w:r>
      <w:r w:rsidRPr="00D22450">
        <w:rPr>
          <w:rFonts w:ascii="Book Antiqua" w:eastAsia="Book Antiqua" w:hAnsi="Book Antiqua" w:cs="Book Antiqua"/>
          <w:color w:val="000000"/>
        </w:rPr>
        <w:t xml:space="preserve"> </w:t>
      </w:r>
      <w:r w:rsidRPr="00D22450">
        <w:rPr>
          <w:rFonts w:ascii="Book Antiqua" w:eastAsia="Book Antiqua" w:hAnsi="Book Antiqua" w:cs="Book Antiqua"/>
          <w:b/>
          <w:bCs/>
          <w:color w:val="000000"/>
        </w:rPr>
        <w:t>Pournik O</w:t>
      </w:r>
      <w:r w:rsidRPr="00D22450">
        <w:rPr>
          <w:rFonts w:ascii="Book Antiqua" w:eastAsia="Book Antiqua" w:hAnsi="Book Antiqua" w:cs="Book Antiqua"/>
          <w:color w:val="000000"/>
        </w:rPr>
        <w:t xml:space="preserve">, Alavian SM, Ghalichi L, Seifizarei B, Mehrnoush L, Aslani A, Anjarani S, Eslami S. Inter-observer and Intra-observer Agreement in Pathological Evaluation of Non-alcoholic Fatty Liver Disease Suspected Liver Biopsies. </w:t>
      </w:r>
      <w:r w:rsidRPr="00D22450">
        <w:rPr>
          <w:rFonts w:ascii="Book Antiqua" w:eastAsia="Book Antiqua" w:hAnsi="Book Antiqua" w:cs="Book Antiqua"/>
          <w:i/>
          <w:iCs/>
          <w:color w:val="000000"/>
        </w:rPr>
        <w:t>Hepat Mon</w:t>
      </w:r>
      <w:r w:rsidRPr="00D22450">
        <w:rPr>
          <w:rFonts w:ascii="Book Antiqua" w:eastAsia="Book Antiqua" w:hAnsi="Book Antiqua" w:cs="Book Antiqua"/>
          <w:color w:val="000000"/>
        </w:rPr>
        <w:t xml:space="preserve"> 2014; </w:t>
      </w:r>
      <w:r w:rsidRPr="00D22450">
        <w:rPr>
          <w:rFonts w:ascii="Book Antiqua" w:eastAsia="Book Antiqua" w:hAnsi="Book Antiqua" w:cs="Book Antiqua"/>
          <w:b/>
          <w:bCs/>
          <w:color w:val="000000"/>
        </w:rPr>
        <w:t>14</w:t>
      </w:r>
      <w:r w:rsidRPr="00D22450">
        <w:rPr>
          <w:rFonts w:ascii="Book Antiqua" w:eastAsia="Book Antiqua" w:hAnsi="Book Antiqua" w:cs="Book Antiqua"/>
          <w:color w:val="000000"/>
        </w:rPr>
        <w:t>: e15167 [PMID: 24497882 DOI: 10.5812/hepatmon.15167]</w:t>
      </w:r>
    </w:p>
    <w:p w14:paraId="70467B2B" w14:textId="77777777" w:rsidR="005B3275" w:rsidRPr="005B3275" w:rsidRDefault="005B3275" w:rsidP="00D22450">
      <w:pPr>
        <w:adjustRightInd w:val="0"/>
        <w:snapToGrid w:val="0"/>
        <w:spacing w:line="360" w:lineRule="auto"/>
        <w:jc w:val="both"/>
        <w:rPr>
          <w:rFonts w:ascii="Book Antiqua" w:hAnsi="Book Antiqua"/>
          <w:lang w:eastAsia="zh-CN"/>
        </w:rPr>
      </w:pPr>
    </w:p>
    <w:p w14:paraId="79332A1A" w14:textId="18E8D50F" w:rsidR="009617E8" w:rsidRPr="00D22450" w:rsidRDefault="009617E8" w:rsidP="00D22450">
      <w:pPr>
        <w:adjustRightInd w:val="0"/>
        <w:snapToGrid w:val="0"/>
        <w:spacing w:line="360" w:lineRule="auto"/>
        <w:jc w:val="both"/>
        <w:rPr>
          <w:rFonts w:ascii="Book Antiqua" w:hAnsi="Book Antiqua"/>
        </w:rPr>
        <w:sectPr w:rsidR="009617E8" w:rsidRPr="00D22450" w:rsidSect="00EE5B76">
          <w:pgSz w:w="12240" w:h="15840"/>
          <w:pgMar w:top="1440" w:right="1800" w:bottom="1440" w:left="1800" w:header="720" w:footer="720" w:gutter="0"/>
          <w:cols w:space="720"/>
          <w:docGrid w:linePitch="360"/>
        </w:sectPr>
      </w:pPr>
    </w:p>
    <w:p w14:paraId="3AE32673"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lastRenderedPageBreak/>
        <w:t>Footnotes</w:t>
      </w:r>
    </w:p>
    <w:p w14:paraId="3746DF1F" w14:textId="237E07A5"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t xml:space="preserve">Institutional review board statement: </w:t>
      </w:r>
      <w:r w:rsidRPr="00D22450">
        <w:rPr>
          <w:rFonts w:ascii="Book Antiqua" w:eastAsia="Book Antiqua" w:hAnsi="Book Antiqua" w:cs="Book Antiqua"/>
          <w:color w:val="000000"/>
          <w:shd w:val="clear" w:color="auto" w:fill="FFFFFF"/>
        </w:rPr>
        <w:t>The study was conducted in accordance with the ethical principles of the Declaration of Helsinki 2013, was approved by the Ethics Committee of Yokohama City University Hospital and was registered as a clinical trial (UMIN Clinical Trials Registry: UMIN000026145).</w:t>
      </w:r>
    </w:p>
    <w:p w14:paraId="34EA7DD5" w14:textId="77777777" w:rsidR="00A77B3E" w:rsidRPr="00D22450" w:rsidRDefault="00A77B3E" w:rsidP="00D22450">
      <w:pPr>
        <w:adjustRightInd w:val="0"/>
        <w:snapToGrid w:val="0"/>
        <w:spacing w:line="360" w:lineRule="auto"/>
        <w:jc w:val="both"/>
        <w:rPr>
          <w:rFonts w:ascii="Book Antiqua" w:hAnsi="Book Antiqua"/>
        </w:rPr>
      </w:pPr>
    </w:p>
    <w:p w14:paraId="22EA187E" w14:textId="33612460"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t xml:space="preserve">Conflict-of-interest statement: </w:t>
      </w:r>
      <w:bookmarkStart w:id="64" w:name="OLE_LINK65"/>
      <w:bookmarkStart w:id="65" w:name="OLE_LINK66"/>
      <w:r w:rsidRPr="00D22450">
        <w:rPr>
          <w:rFonts w:ascii="Book Antiqua" w:eastAsia="Book Antiqua" w:hAnsi="Book Antiqua" w:cs="Book Antiqua"/>
          <w:color w:val="000000"/>
        </w:rPr>
        <w:t>Perspectum Ltd is a privately funded commercial enterprise that develops medical devices to address unmet clinical needs, including Liver</w:t>
      </w:r>
      <w:r w:rsidRPr="00D22450">
        <w:rPr>
          <w:rFonts w:ascii="Book Antiqua" w:eastAsia="Book Antiqua" w:hAnsi="Book Antiqua" w:cs="Book Antiqua"/>
          <w:i/>
          <w:iCs/>
          <w:color w:val="000000"/>
        </w:rPr>
        <w:t>MultiScan</w:t>
      </w:r>
      <w:r w:rsidRPr="00232374">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LT, ES, AD, MK are all employees of Perspectum. RB is CEO of Perspectum. KI, and AN have no relevant disclosures to this study. TK and EF undertake consultancy work for Perspectum.</w:t>
      </w:r>
    </w:p>
    <w:bookmarkEnd w:id="64"/>
    <w:bookmarkEnd w:id="65"/>
    <w:p w14:paraId="09BA5186" w14:textId="77777777" w:rsidR="00A77B3E" w:rsidRPr="00D22450" w:rsidRDefault="00A77B3E" w:rsidP="00D22450">
      <w:pPr>
        <w:adjustRightInd w:val="0"/>
        <w:snapToGrid w:val="0"/>
        <w:spacing w:line="360" w:lineRule="auto"/>
        <w:jc w:val="both"/>
        <w:rPr>
          <w:rFonts w:ascii="Book Antiqua" w:hAnsi="Book Antiqua"/>
        </w:rPr>
      </w:pPr>
    </w:p>
    <w:p w14:paraId="4BD63A8D"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t xml:space="preserve">Data sharing statement: </w:t>
      </w:r>
      <w:r w:rsidRPr="00D22450">
        <w:rPr>
          <w:rFonts w:ascii="Book Antiqua" w:eastAsia="Book Antiqua" w:hAnsi="Book Antiqua" w:cs="Book Antiqua"/>
          <w:color w:val="000000"/>
        </w:rPr>
        <w:t xml:space="preserve">No additional data are available. </w:t>
      </w:r>
    </w:p>
    <w:p w14:paraId="749107E4" w14:textId="77777777" w:rsidR="00A77B3E" w:rsidRPr="00D22450" w:rsidRDefault="00A77B3E" w:rsidP="00D22450">
      <w:pPr>
        <w:adjustRightInd w:val="0"/>
        <w:snapToGrid w:val="0"/>
        <w:spacing w:line="360" w:lineRule="auto"/>
        <w:jc w:val="both"/>
        <w:rPr>
          <w:rFonts w:ascii="Book Antiqua" w:hAnsi="Book Antiqua"/>
        </w:rPr>
      </w:pPr>
    </w:p>
    <w:p w14:paraId="7AE89968"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t xml:space="preserve">Open-Access: </w:t>
      </w:r>
      <w:r w:rsidRPr="00D2245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52140E" w14:textId="77777777" w:rsidR="00A77B3E" w:rsidRPr="00D22450" w:rsidRDefault="00A77B3E" w:rsidP="00D22450">
      <w:pPr>
        <w:adjustRightInd w:val="0"/>
        <w:snapToGrid w:val="0"/>
        <w:spacing w:line="360" w:lineRule="auto"/>
        <w:jc w:val="both"/>
        <w:rPr>
          <w:rFonts w:ascii="Book Antiqua" w:hAnsi="Book Antiqua"/>
        </w:rPr>
      </w:pPr>
    </w:p>
    <w:p w14:paraId="0FD83EDF" w14:textId="5132DDEA"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t xml:space="preserve">Manuscript source: </w:t>
      </w:r>
      <w:r w:rsidRPr="00D22450">
        <w:rPr>
          <w:rFonts w:ascii="Book Antiqua" w:eastAsia="Book Antiqua" w:hAnsi="Book Antiqua" w:cs="Book Antiqua"/>
          <w:color w:val="000000"/>
        </w:rPr>
        <w:t xml:space="preserve">Unsolicited </w:t>
      </w:r>
      <w:r w:rsidR="00496576" w:rsidRPr="00D22450">
        <w:rPr>
          <w:rFonts w:ascii="Book Antiqua" w:eastAsia="Book Antiqua" w:hAnsi="Book Antiqua" w:cs="Book Antiqua"/>
          <w:color w:val="000000"/>
        </w:rPr>
        <w:t>manuscript</w:t>
      </w:r>
    </w:p>
    <w:p w14:paraId="75F0A60F" w14:textId="77777777" w:rsidR="00A77B3E" w:rsidRPr="00D22450" w:rsidRDefault="00A77B3E" w:rsidP="00D22450">
      <w:pPr>
        <w:adjustRightInd w:val="0"/>
        <w:snapToGrid w:val="0"/>
        <w:spacing w:line="360" w:lineRule="auto"/>
        <w:jc w:val="both"/>
        <w:rPr>
          <w:rFonts w:ascii="Book Antiqua" w:hAnsi="Book Antiqua"/>
        </w:rPr>
      </w:pPr>
    </w:p>
    <w:p w14:paraId="2C1F7E5E"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t xml:space="preserve">Peer-review started: </w:t>
      </w:r>
      <w:r w:rsidRPr="00D22450">
        <w:rPr>
          <w:rFonts w:ascii="Book Antiqua" w:eastAsia="Book Antiqua" w:hAnsi="Book Antiqua" w:cs="Book Antiqua"/>
          <w:color w:val="000000"/>
        </w:rPr>
        <w:t>August 28, 2020</w:t>
      </w:r>
    </w:p>
    <w:p w14:paraId="4F3FABCC"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t xml:space="preserve">First decision: </w:t>
      </w:r>
      <w:r w:rsidRPr="00D22450">
        <w:rPr>
          <w:rFonts w:ascii="Book Antiqua" w:eastAsia="Book Antiqua" w:hAnsi="Book Antiqua" w:cs="Book Antiqua"/>
          <w:color w:val="000000"/>
        </w:rPr>
        <w:t>November 3, 2020</w:t>
      </w:r>
    </w:p>
    <w:p w14:paraId="58AE8E2B" w14:textId="2AA365FD"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t xml:space="preserve">Article in press: </w:t>
      </w:r>
      <w:r w:rsidR="00B15901" w:rsidRPr="00E16DE5">
        <w:rPr>
          <w:rFonts w:ascii="Book Antiqua" w:eastAsia="Book Antiqua" w:hAnsi="Book Antiqua" w:cs="Book Antiqua"/>
          <w:color w:val="000000"/>
        </w:rPr>
        <w:t>December 28, 2020</w:t>
      </w:r>
    </w:p>
    <w:p w14:paraId="3B90F864" w14:textId="77777777" w:rsidR="00A77B3E" w:rsidRPr="00D22450" w:rsidRDefault="00A77B3E" w:rsidP="00D22450">
      <w:pPr>
        <w:adjustRightInd w:val="0"/>
        <w:snapToGrid w:val="0"/>
        <w:spacing w:line="360" w:lineRule="auto"/>
        <w:jc w:val="both"/>
        <w:rPr>
          <w:rFonts w:ascii="Book Antiqua" w:hAnsi="Book Antiqua"/>
        </w:rPr>
      </w:pPr>
    </w:p>
    <w:p w14:paraId="4395D5F7" w14:textId="763CB6B0"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t xml:space="preserve">Specialty type: </w:t>
      </w:r>
      <w:r w:rsidRPr="00D22450">
        <w:rPr>
          <w:rFonts w:ascii="Book Antiqua" w:eastAsia="Book Antiqua" w:hAnsi="Book Antiqua" w:cs="Book Antiqua"/>
          <w:color w:val="000000"/>
        </w:rPr>
        <w:t xml:space="preserve">Gastroenterology and </w:t>
      </w:r>
      <w:r w:rsidR="00496576" w:rsidRPr="00D22450">
        <w:rPr>
          <w:rFonts w:ascii="Book Antiqua" w:eastAsia="Book Antiqua" w:hAnsi="Book Antiqua" w:cs="Book Antiqua"/>
          <w:color w:val="000000"/>
        </w:rPr>
        <w:t>hepatology</w:t>
      </w:r>
    </w:p>
    <w:p w14:paraId="663E4310"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t xml:space="preserve">Country/Territory of origin: </w:t>
      </w:r>
      <w:r w:rsidRPr="00D22450">
        <w:rPr>
          <w:rFonts w:ascii="Book Antiqua" w:eastAsia="Book Antiqua" w:hAnsi="Book Antiqua" w:cs="Book Antiqua"/>
          <w:color w:val="000000"/>
        </w:rPr>
        <w:t>Japan</w:t>
      </w:r>
    </w:p>
    <w:p w14:paraId="7D9FB0F3"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lastRenderedPageBreak/>
        <w:t>Peer-review report’s scientific quality classification</w:t>
      </w:r>
    </w:p>
    <w:p w14:paraId="725448F2"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Grade A (Excellent): A</w:t>
      </w:r>
    </w:p>
    <w:p w14:paraId="267F50B2"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Grade B (Very good): B</w:t>
      </w:r>
    </w:p>
    <w:p w14:paraId="7D477BFA"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Grade C (Good): C</w:t>
      </w:r>
    </w:p>
    <w:p w14:paraId="3A6C1251"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Grade D (Fair): 0</w:t>
      </w:r>
    </w:p>
    <w:p w14:paraId="5F0787DD"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Grade E (Poor): 0</w:t>
      </w:r>
    </w:p>
    <w:p w14:paraId="3EF40C57" w14:textId="77777777" w:rsidR="00A77B3E" w:rsidRPr="00D22450" w:rsidRDefault="00A77B3E" w:rsidP="00D22450">
      <w:pPr>
        <w:adjustRightInd w:val="0"/>
        <w:snapToGrid w:val="0"/>
        <w:spacing w:line="360" w:lineRule="auto"/>
        <w:jc w:val="both"/>
        <w:rPr>
          <w:rFonts w:ascii="Book Antiqua" w:hAnsi="Book Antiqua"/>
        </w:rPr>
      </w:pPr>
    </w:p>
    <w:p w14:paraId="18FF7691" w14:textId="4C29608E" w:rsidR="00320E05" w:rsidRPr="00320E05" w:rsidRDefault="004B2678" w:rsidP="00D22450">
      <w:pPr>
        <w:adjustRightInd w:val="0"/>
        <w:snapToGrid w:val="0"/>
        <w:spacing w:line="360" w:lineRule="auto"/>
        <w:jc w:val="both"/>
        <w:rPr>
          <w:rFonts w:ascii="Book Antiqua" w:hAnsi="Book Antiqua" w:cs="Book Antiqua"/>
          <w:color w:val="000000"/>
          <w:lang w:eastAsia="zh-CN"/>
        </w:rPr>
      </w:pPr>
      <w:r w:rsidRPr="00D22450">
        <w:rPr>
          <w:rFonts w:ascii="Book Antiqua" w:eastAsia="Book Antiqua" w:hAnsi="Book Antiqua" w:cs="Book Antiqua"/>
          <w:b/>
          <w:color w:val="000000"/>
        </w:rPr>
        <w:t xml:space="preserve">P-Reviewer: </w:t>
      </w:r>
      <w:r w:rsidRPr="00D22450">
        <w:rPr>
          <w:rFonts w:ascii="Book Antiqua" w:eastAsia="Book Antiqua" w:hAnsi="Book Antiqua" w:cs="Book Antiqua"/>
          <w:color w:val="000000"/>
        </w:rPr>
        <w:t xml:space="preserve">Lei YC, Xu CF, </w:t>
      </w:r>
      <w:r w:rsidR="00496576" w:rsidRPr="00D22450">
        <w:rPr>
          <w:rFonts w:ascii="Book Antiqua" w:eastAsia="SimSun" w:hAnsi="Book Antiqua" w:cs="SimSun"/>
          <w:color w:val="000000"/>
          <w:lang w:eastAsia="zh-CN"/>
        </w:rPr>
        <w:t>Wu B</w:t>
      </w:r>
      <w:r w:rsidRPr="00D22450">
        <w:rPr>
          <w:rFonts w:ascii="Book Antiqua" w:eastAsia="Book Antiqua" w:hAnsi="Book Antiqua" w:cs="Book Antiqua"/>
          <w:b/>
          <w:color w:val="000000"/>
        </w:rPr>
        <w:t xml:space="preserve"> S-Editor: </w:t>
      </w:r>
      <w:r w:rsidR="00496576" w:rsidRPr="00D22450">
        <w:rPr>
          <w:rFonts w:ascii="Book Antiqua" w:eastAsia="Book Antiqua" w:hAnsi="Book Antiqua" w:cs="Book Antiqua"/>
          <w:color w:val="000000"/>
        </w:rPr>
        <w:t>Zhang H</w:t>
      </w:r>
      <w:r w:rsidR="009B0E95">
        <w:rPr>
          <w:rFonts w:ascii="Book Antiqua" w:eastAsia="Book Antiqua" w:hAnsi="Book Antiqua" w:cs="Book Antiqua"/>
          <w:color w:val="000000"/>
        </w:rPr>
        <w:t xml:space="preserve"> </w:t>
      </w:r>
      <w:r w:rsidRPr="00D22450">
        <w:rPr>
          <w:rFonts w:ascii="Book Antiqua" w:eastAsia="Book Antiqua" w:hAnsi="Book Antiqua" w:cs="Book Antiqua"/>
          <w:b/>
          <w:color w:val="000000"/>
        </w:rPr>
        <w:t>L-Editor:</w:t>
      </w:r>
      <w:r w:rsidRPr="00320E05">
        <w:rPr>
          <w:rFonts w:ascii="Book Antiqua" w:eastAsia="Book Antiqua" w:hAnsi="Book Antiqua" w:cs="Book Antiqua"/>
          <w:color w:val="000000"/>
        </w:rPr>
        <w:t xml:space="preserve"> </w:t>
      </w:r>
      <w:r w:rsidR="00320E05" w:rsidRPr="00320E05">
        <w:rPr>
          <w:rFonts w:ascii="Book Antiqua" w:hAnsi="Book Antiqua" w:cs="Book Antiqua" w:hint="eastAsia"/>
          <w:color w:val="000000"/>
          <w:lang w:eastAsia="zh-CN"/>
        </w:rPr>
        <w:t xml:space="preserve">A </w:t>
      </w:r>
      <w:r w:rsidRPr="00D22450">
        <w:rPr>
          <w:rFonts w:ascii="Book Antiqua" w:eastAsia="Book Antiqua" w:hAnsi="Book Antiqua" w:cs="Book Antiqua"/>
          <w:b/>
          <w:color w:val="000000"/>
        </w:rPr>
        <w:t>P-Editor:</w:t>
      </w:r>
      <w:r w:rsidR="00320E05">
        <w:rPr>
          <w:rFonts w:ascii="Book Antiqua" w:hAnsi="Book Antiqua" w:cs="Book Antiqua" w:hint="eastAsia"/>
          <w:b/>
          <w:color w:val="000000"/>
          <w:lang w:eastAsia="zh-CN"/>
        </w:rPr>
        <w:t xml:space="preserve"> </w:t>
      </w:r>
      <w:r w:rsidR="00320E05" w:rsidRPr="00320E05">
        <w:rPr>
          <w:rFonts w:ascii="Book Antiqua" w:hAnsi="Book Antiqua" w:cs="Book Antiqua" w:hint="eastAsia"/>
          <w:color w:val="000000"/>
          <w:lang w:eastAsia="zh-CN"/>
        </w:rPr>
        <w:t>Wang LL</w:t>
      </w:r>
    </w:p>
    <w:p w14:paraId="338A4464" w14:textId="1B7449E8" w:rsidR="00A77B3E" w:rsidRPr="00D22450" w:rsidRDefault="004B2678" w:rsidP="00D22450">
      <w:pPr>
        <w:adjustRightInd w:val="0"/>
        <w:snapToGrid w:val="0"/>
        <w:spacing w:line="360" w:lineRule="auto"/>
        <w:jc w:val="both"/>
        <w:rPr>
          <w:rFonts w:ascii="Book Antiqua" w:hAnsi="Book Antiqua"/>
        </w:rPr>
        <w:sectPr w:rsidR="00A77B3E" w:rsidRPr="00D22450" w:rsidSect="00EE5B76">
          <w:pgSz w:w="12240" w:h="15840"/>
          <w:pgMar w:top="1440" w:right="1800" w:bottom="1440" w:left="1800" w:header="720" w:footer="720" w:gutter="0"/>
          <w:cols w:space="720"/>
          <w:docGrid w:linePitch="360"/>
        </w:sectPr>
      </w:pPr>
      <w:r w:rsidRPr="00D22450">
        <w:rPr>
          <w:rFonts w:ascii="Book Antiqua" w:eastAsia="Book Antiqua" w:hAnsi="Book Antiqua" w:cs="Book Antiqua"/>
          <w:b/>
          <w:color w:val="000000"/>
        </w:rPr>
        <w:t xml:space="preserve"> </w:t>
      </w:r>
    </w:p>
    <w:p w14:paraId="5A6E818D" w14:textId="3A752BFA" w:rsidR="00A77B3E" w:rsidRPr="00D22450" w:rsidRDefault="004B2678" w:rsidP="00D22450">
      <w:pPr>
        <w:adjustRightInd w:val="0"/>
        <w:snapToGrid w:val="0"/>
        <w:spacing w:line="360" w:lineRule="auto"/>
        <w:jc w:val="both"/>
        <w:rPr>
          <w:rFonts w:ascii="Book Antiqua" w:eastAsia="Book Antiqua" w:hAnsi="Book Antiqua" w:cs="Book Antiqua"/>
          <w:b/>
          <w:color w:val="000000"/>
        </w:rPr>
      </w:pPr>
      <w:r w:rsidRPr="00D22450">
        <w:rPr>
          <w:rFonts w:ascii="Book Antiqua" w:eastAsia="Book Antiqua" w:hAnsi="Book Antiqua" w:cs="Book Antiqua"/>
          <w:b/>
          <w:color w:val="000000"/>
        </w:rPr>
        <w:lastRenderedPageBreak/>
        <w:t>Figure Legends</w:t>
      </w:r>
    </w:p>
    <w:p w14:paraId="3C24EB17" w14:textId="531D3F70" w:rsidR="000E5FB6" w:rsidRPr="00D22450" w:rsidRDefault="00D156B2" w:rsidP="00D22450">
      <w:pPr>
        <w:adjustRightInd w:val="0"/>
        <w:snapToGrid w:val="0"/>
        <w:spacing w:line="360" w:lineRule="auto"/>
        <w:jc w:val="both"/>
        <w:rPr>
          <w:rFonts w:ascii="Book Antiqua" w:hAnsi="Book Antiqua"/>
        </w:rPr>
      </w:pPr>
      <w:r w:rsidRPr="00D22450">
        <w:rPr>
          <w:rFonts w:ascii="Book Antiqua" w:hAnsi="Book Antiqua"/>
          <w:noProof/>
          <w:lang w:eastAsia="zh-CN"/>
        </w:rPr>
        <w:drawing>
          <wp:inline distT="0" distB="0" distL="0" distR="0" wp14:anchorId="241797E3" wp14:editId="754210E9">
            <wp:extent cx="5633192" cy="5840474"/>
            <wp:effectExtent l="0" t="0" r="571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5633192" cy="5840474"/>
                    </a:xfrm>
                    <a:prstGeom prst="rect">
                      <a:avLst/>
                    </a:prstGeom>
                  </pic:spPr>
                </pic:pic>
              </a:graphicData>
            </a:graphic>
          </wp:inline>
        </w:drawing>
      </w:r>
    </w:p>
    <w:p w14:paraId="5C6CD42A" w14:textId="64CCC61A" w:rsidR="000E5FB6" w:rsidRPr="00D22450" w:rsidRDefault="004B2678" w:rsidP="00D22450">
      <w:pPr>
        <w:adjustRightInd w:val="0"/>
        <w:snapToGrid w:val="0"/>
        <w:spacing w:line="360" w:lineRule="auto"/>
        <w:jc w:val="both"/>
        <w:rPr>
          <w:rFonts w:ascii="Book Antiqua" w:eastAsia="Book Antiqua" w:hAnsi="Book Antiqua" w:cs="Book Antiqua"/>
          <w:bCs/>
          <w:color w:val="000000"/>
        </w:rPr>
      </w:pPr>
      <w:bookmarkStart w:id="66" w:name="OLE_LINK67"/>
      <w:bookmarkStart w:id="67" w:name="OLE_LINK68"/>
      <w:r w:rsidRPr="00D22450">
        <w:rPr>
          <w:rFonts w:ascii="Book Antiqua" w:eastAsia="Book Antiqua" w:hAnsi="Book Antiqua" w:cs="Book Antiqua"/>
          <w:b/>
          <w:bCs/>
          <w:color w:val="000000"/>
        </w:rPr>
        <w:t>Figure 1 CONSORT diagram of patient pathwa</w:t>
      </w:r>
      <w:r w:rsidR="00496576" w:rsidRPr="00D22450">
        <w:rPr>
          <w:rFonts w:ascii="Book Antiqua" w:eastAsia="Book Antiqua" w:hAnsi="Book Antiqua" w:cs="Book Antiqua"/>
          <w:b/>
          <w:bCs/>
          <w:color w:val="000000"/>
        </w:rPr>
        <w:t xml:space="preserve">y and inclusion into the study. </w:t>
      </w:r>
      <w:r w:rsidR="00496576" w:rsidRPr="00D22450">
        <w:rPr>
          <w:rFonts w:ascii="Book Antiqua" w:eastAsia="Book Antiqua" w:hAnsi="Book Antiqua" w:cs="Book Antiqua"/>
          <w:bCs/>
          <w:color w:val="000000"/>
        </w:rPr>
        <w:t xml:space="preserve">mpMRI: Quantitative multiparametric magnetic resonance imaging; CAP: </w:t>
      </w:r>
      <w:r w:rsidR="00496576" w:rsidRPr="00D22450">
        <w:rPr>
          <w:rFonts w:ascii="Book Antiqua" w:eastAsia="Book Antiqua" w:hAnsi="Book Antiqua" w:cs="Book Antiqua"/>
          <w:color w:val="000000"/>
        </w:rPr>
        <w:t>Controlled-attenuation parameter; MRE: Magnetic resonance elastography; NASH: Non-alcoholic steatohepatitis; NAFLD: Non-alcoholic fatty liver disease’; VCTE: Vibration-controlled transient elastography.</w:t>
      </w:r>
    </w:p>
    <w:bookmarkEnd w:id="66"/>
    <w:bookmarkEnd w:id="67"/>
    <w:p w14:paraId="3BBD0893" w14:textId="77777777" w:rsidR="000E5FB6" w:rsidRPr="00D22450" w:rsidRDefault="000E5FB6" w:rsidP="00D22450">
      <w:pPr>
        <w:adjustRightInd w:val="0"/>
        <w:snapToGrid w:val="0"/>
        <w:spacing w:line="360" w:lineRule="auto"/>
        <w:jc w:val="both"/>
        <w:rPr>
          <w:rFonts w:ascii="Book Antiqua" w:eastAsia="Book Antiqua" w:hAnsi="Book Antiqua" w:cs="Book Antiqua"/>
          <w:b/>
          <w:bCs/>
          <w:color w:val="000000"/>
        </w:rPr>
      </w:pPr>
      <w:r w:rsidRPr="00D22450">
        <w:rPr>
          <w:rFonts w:ascii="Book Antiqua" w:eastAsia="Book Antiqua" w:hAnsi="Book Antiqua" w:cs="Book Antiqua"/>
          <w:b/>
          <w:bCs/>
          <w:color w:val="000000"/>
        </w:rPr>
        <w:br w:type="page"/>
      </w:r>
    </w:p>
    <w:p w14:paraId="1BB52E89" w14:textId="0C9BA847" w:rsidR="00A77B3E" w:rsidRPr="00D22450" w:rsidRDefault="00D156B2" w:rsidP="00D22450">
      <w:pPr>
        <w:adjustRightInd w:val="0"/>
        <w:snapToGrid w:val="0"/>
        <w:spacing w:line="360" w:lineRule="auto"/>
        <w:jc w:val="both"/>
        <w:rPr>
          <w:rFonts w:ascii="Book Antiqua" w:hAnsi="Book Antiqua"/>
        </w:rPr>
      </w:pPr>
      <w:r w:rsidRPr="00D22450">
        <w:rPr>
          <w:rFonts w:ascii="Book Antiqua" w:hAnsi="Book Antiqua"/>
          <w:noProof/>
          <w:lang w:eastAsia="zh-CN"/>
        </w:rPr>
        <w:lastRenderedPageBreak/>
        <w:drawing>
          <wp:inline distT="0" distB="0" distL="0" distR="0" wp14:anchorId="4A935FA5" wp14:editId="3FD890F6">
            <wp:extent cx="5943600" cy="65582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5943600" cy="6558280"/>
                    </a:xfrm>
                    <a:prstGeom prst="rect">
                      <a:avLst/>
                    </a:prstGeom>
                  </pic:spPr>
                </pic:pic>
              </a:graphicData>
            </a:graphic>
          </wp:inline>
        </w:drawing>
      </w:r>
    </w:p>
    <w:p w14:paraId="56143635" w14:textId="56BA8CF5" w:rsidR="00A77B3E" w:rsidRPr="00D22450" w:rsidRDefault="004B2678" w:rsidP="00D22450">
      <w:pPr>
        <w:adjustRightInd w:val="0"/>
        <w:snapToGrid w:val="0"/>
        <w:spacing w:line="360" w:lineRule="auto"/>
        <w:jc w:val="both"/>
        <w:rPr>
          <w:rFonts w:ascii="Book Antiqua" w:eastAsia="Book Antiqua" w:hAnsi="Book Antiqua" w:cs="Book Antiqua"/>
          <w:color w:val="000000"/>
        </w:rPr>
      </w:pPr>
      <w:r w:rsidRPr="00D22450">
        <w:rPr>
          <w:rFonts w:ascii="Book Antiqua" w:eastAsia="Book Antiqua" w:hAnsi="Book Antiqua" w:cs="Book Antiqua"/>
          <w:b/>
          <w:bCs/>
          <w:color w:val="000000"/>
        </w:rPr>
        <w:t>Figure</w:t>
      </w:r>
      <w:r w:rsidRPr="00D22450">
        <w:rPr>
          <w:rFonts w:ascii="Book Antiqua" w:eastAsia="Book Antiqua" w:hAnsi="Book Antiqua" w:cs="Book Antiqua"/>
          <w:b/>
          <w:bCs/>
          <w:i/>
          <w:iCs/>
          <w:color w:val="000000"/>
        </w:rPr>
        <w:t xml:space="preserve"> </w:t>
      </w:r>
      <w:r w:rsidRPr="00881F90">
        <w:rPr>
          <w:rFonts w:ascii="Book Antiqua" w:eastAsia="Book Antiqua" w:hAnsi="Book Antiqua" w:cs="Book Antiqua"/>
          <w:b/>
          <w:bCs/>
          <w:iCs/>
          <w:color w:val="000000"/>
        </w:rPr>
        <w:t>2</w:t>
      </w:r>
      <w:r w:rsidRPr="00D22450">
        <w:rPr>
          <w:rFonts w:ascii="Book Antiqua" w:eastAsia="Book Antiqua" w:hAnsi="Book Antiqua" w:cs="Book Antiqua"/>
          <w:color w:val="000000"/>
        </w:rPr>
        <w:t xml:space="preserve"> </w:t>
      </w:r>
      <w:r w:rsidRPr="00D22450">
        <w:rPr>
          <w:rFonts w:ascii="Book Antiqua" w:eastAsia="Book Antiqua" w:hAnsi="Book Antiqua" w:cs="Book Antiqua"/>
          <w:b/>
          <w:bCs/>
          <w:color w:val="000000"/>
        </w:rPr>
        <w:t>Example images from each technology.</w:t>
      </w:r>
      <w:r w:rsidRPr="00D22450">
        <w:rPr>
          <w:rFonts w:ascii="Book Antiqua" w:eastAsia="Book Antiqua" w:hAnsi="Book Antiqua" w:cs="Book Antiqua"/>
          <w:color w:val="000000"/>
        </w:rPr>
        <w:t xml:space="preserve"> A: </w:t>
      </w:r>
      <w:r w:rsidR="00496576" w:rsidRPr="00D22450">
        <w:rPr>
          <w:rFonts w:ascii="Book Antiqua" w:eastAsia="Book Antiqua" w:hAnsi="Book Antiqua" w:cs="Book Antiqua"/>
          <w:color w:val="000000"/>
        </w:rPr>
        <w:t xml:space="preserve">Corrected </w:t>
      </w:r>
      <w:r w:rsidRPr="00D22450">
        <w:rPr>
          <w:rFonts w:ascii="Book Antiqua" w:eastAsia="Book Antiqua" w:hAnsi="Book Antiqua" w:cs="Book Antiqua"/>
          <w:color w:val="000000"/>
        </w:rPr>
        <w:t xml:space="preserve">T1 map; B: </w:t>
      </w:r>
      <w:r w:rsidR="00EA6059" w:rsidRPr="00D22450">
        <w:rPr>
          <w:rFonts w:ascii="Book Antiqua" w:eastAsia="Book Antiqua" w:hAnsi="Book Antiqua" w:cs="Book Antiqua"/>
          <w:color w:val="000000"/>
        </w:rPr>
        <w:t xml:space="preserve">Magnetic </w:t>
      </w:r>
      <w:r w:rsidR="000E5FB6" w:rsidRPr="00D22450">
        <w:rPr>
          <w:rFonts w:ascii="Book Antiqua" w:eastAsia="Book Antiqua" w:hAnsi="Book Antiqua" w:cs="Book Antiqua"/>
          <w:color w:val="000000"/>
        </w:rPr>
        <w:t>resonance</w:t>
      </w:r>
      <w:r w:rsidRPr="00D22450">
        <w:rPr>
          <w:rFonts w:ascii="Book Antiqua" w:eastAsia="Book Antiqua" w:hAnsi="Book Antiqua" w:cs="Book Antiqua"/>
          <w:color w:val="000000"/>
        </w:rPr>
        <w:t xml:space="preserve"> liver fat map; C: Fibroscan </w:t>
      </w:r>
      <w:r w:rsidR="000E5FB6" w:rsidRPr="00D22450">
        <w:rPr>
          <w:rFonts w:ascii="Book Antiqua" w:eastAsia="Book Antiqua" w:hAnsi="Book Antiqua" w:cs="Book Antiqua"/>
          <w:color w:val="000000"/>
        </w:rPr>
        <w:t>controlled-attenuation parameter</w:t>
      </w:r>
      <w:r w:rsidRPr="00D22450">
        <w:rPr>
          <w:rFonts w:ascii="Book Antiqua" w:eastAsia="Book Antiqua" w:hAnsi="Book Antiqua" w:cs="Book Antiqua"/>
          <w:color w:val="000000"/>
        </w:rPr>
        <w:t>; D: Fibroscan Liver Stiffness; E</w:t>
      </w:r>
      <w:r w:rsidR="000E5FB6"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w:t>
      </w:r>
      <w:r w:rsidR="000E5FB6" w:rsidRPr="00D22450">
        <w:rPr>
          <w:rFonts w:ascii="Book Antiqua" w:eastAsia="Book Antiqua" w:hAnsi="Book Antiqua" w:cs="Book Antiqua"/>
          <w:color w:val="000000"/>
        </w:rPr>
        <w:t>magnetic resonance elastography</w:t>
      </w:r>
      <w:r w:rsidRPr="00D22450">
        <w:rPr>
          <w:rFonts w:ascii="Book Antiqua" w:eastAsia="Book Antiqua" w:hAnsi="Book Antiqua" w:cs="Book Antiqua"/>
          <w:color w:val="000000"/>
        </w:rPr>
        <w:t xml:space="preserve"> liver stiffness map; </w:t>
      </w:r>
      <w:r w:rsidR="00496576" w:rsidRPr="00D22450">
        <w:rPr>
          <w:rFonts w:ascii="Book Antiqua" w:eastAsia="Book Antiqua" w:hAnsi="Book Antiqua" w:cs="Book Antiqua"/>
          <w:color w:val="000000"/>
        </w:rPr>
        <w:t xml:space="preserve">and </w:t>
      </w:r>
      <w:r w:rsidRPr="00D22450">
        <w:rPr>
          <w:rFonts w:ascii="Book Antiqua" w:eastAsia="Book Antiqua" w:hAnsi="Book Antiqua" w:cs="Book Antiqua"/>
          <w:color w:val="000000"/>
        </w:rPr>
        <w:t>F: 2D Shear-wave elastography.</w:t>
      </w:r>
    </w:p>
    <w:p w14:paraId="21ED7E30" w14:textId="2F0EC224" w:rsidR="000E5FB6" w:rsidRPr="00D22450" w:rsidRDefault="000E5FB6" w:rsidP="00D22450">
      <w:pPr>
        <w:adjustRightInd w:val="0"/>
        <w:snapToGrid w:val="0"/>
        <w:spacing w:line="360" w:lineRule="auto"/>
        <w:jc w:val="both"/>
        <w:rPr>
          <w:rFonts w:ascii="Book Antiqua" w:eastAsia="Book Antiqua" w:hAnsi="Book Antiqua" w:cs="Book Antiqua"/>
          <w:color w:val="000000"/>
        </w:rPr>
      </w:pPr>
      <w:r w:rsidRPr="00D22450">
        <w:rPr>
          <w:rFonts w:ascii="Book Antiqua" w:eastAsia="Book Antiqua" w:hAnsi="Book Antiqua" w:cs="Book Antiqua"/>
          <w:color w:val="000000"/>
        </w:rPr>
        <w:br w:type="page"/>
      </w:r>
    </w:p>
    <w:p w14:paraId="643ABC96" w14:textId="13E026D6" w:rsidR="000E5FB6" w:rsidRPr="00D22450" w:rsidRDefault="00D156B2" w:rsidP="00D22450">
      <w:pPr>
        <w:adjustRightInd w:val="0"/>
        <w:snapToGrid w:val="0"/>
        <w:spacing w:line="360" w:lineRule="auto"/>
        <w:jc w:val="both"/>
        <w:rPr>
          <w:rFonts w:ascii="Book Antiqua" w:hAnsi="Book Antiqua"/>
        </w:rPr>
      </w:pPr>
      <w:r w:rsidRPr="00D22450">
        <w:rPr>
          <w:rFonts w:ascii="Book Antiqua" w:hAnsi="Book Antiqua"/>
          <w:noProof/>
          <w:lang w:eastAsia="zh-CN"/>
        </w:rPr>
        <w:lastRenderedPageBreak/>
        <w:drawing>
          <wp:inline distT="0" distB="0" distL="0" distR="0" wp14:anchorId="193E898E" wp14:editId="051D718A">
            <wp:extent cx="5943600" cy="47129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3.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4712970"/>
                    </a:xfrm>
                    <a:prstGeom prst="rect">
                      <a:avLst/>
                    </a:prstGeom>
                  </pic:spPr>
                </pic:pic>
              </a:graphicData>
            </a:graphic>
          </wp:inline>
        </w:drawing>
      </w:r>
    </w:p>
    <w:p w14:paraId="29C33803" w14:textId="1BD2128D" w:rsidR="008266D7" w:rsidRPr="008266D7" w:rsidRDefault="004B2678" w:rsidP="008266D7">
      <w:pPr>
        <w:snapToGrid w:val="0"/>
        <w:spacing w:line="360" w:lineRule="auto"/>
        <w:jc w:val="both"/>
        <w:rPr>
          <w:rFonts w:ascii="Book Antiqua" w:hAnsi="Book Antiqua" w:cs="Arial"/>
          <w:lang w:eastAsia="zh-CN"/>
        </w:rPr>
      </w:pPr>
      <w:r w:rsidRPr="00D22450">
        <w:rPr>
          <w:rFonts w:ascii="Book Antiqua" w:eastAsia="Book Antiqua" w:hAnsi="Book Antiqua" w:cs="Book Antiqua"/>
          <w:b/>
          <w:bCs/>
          <w:color w:val="000000"/>
        </w:rPr>
        <w:t xml:space="preserve">Figure 3 Receiver operator characteristic curves for discriminating those with </w:t>
      </w:r>
      <w:r w:rsidR="000E5FB6" w:rsidRPr="00D22450">
        <w:rPr>
          <w:rFonts w:ascii="Book Antiqua" w:eastAsia="Book Antiqua" w:hAnsi="Book Antiqua" w:cs="Book Antiqua"/>
          <w:b/>
          <w:bCs/>
          <w:color w:val="000000"/>
        </w:rPr>
        <w:t>non-alcoholic steatohepatitis</w:t>
      </w:r>
      <w:r w:rsidRPr="00D22450">
        <w:rPr>
          <w:rFonts w:ascii="Book Antiqua" w:eastAsia="Book Antiqua" w:hAnsi="Book Antiqua" w:cs="Book Antiqua"/>
          <w:b/>
          <w:bCs/>
          <w:color w:val="000000"/>
        </w:rPr>
        <w:t xml:space="preserve"> (</w:t>
      </w:r>
      <w:r w:rsidR="00CB6730">
        <w:rPr>
          <w:rFonts w:ascii="Book Antiqua" w:eastAsia="Book Antiqua" w:hAnsi="Book Antiqua" w:cs="Book Antiqua"/>
          <w:b/>
          <w:bCs/>
          <w:color w:val="000000"/>
        </w:rPr>
        <w:t>NAS</w:t>
      </w:r>
      <w:r w:rsidR="0061501D">
        <w:rPr>
          <w:rFonts w:ascii="Book Antiqua" w:hAnsi="Book Antiqua" w:cs="Book Antiqua" w:hint="eastAsia"/>
          <w:b/>
          <w:bCs/>
          <w:color w:val="000000"/>
          <w:lang w:eastAsia="zh-CN"/>
        </w:rPr>
        <w:t xml:space="preserve"> </w:t>
      </w:r>
      <w:r w:rsidRPr="00D22450">
        <w:rPr>
          <w:rFonts w:ascii="Book Antiqua" w:eastAsia="Book Antiqua" w:hAnsi="Book Antiqua" w:cs="Book Antiqua"/>
          <w:b/>
          <w:bCs/>
          <w:color w:val="000000"/>
        </w:rPr>
        <w:t>≥</w:t>
      </w:r>
      <w:r w:rsidR="000E5FB6" w:rsidRPr="00D22450">
        <w:rPr>
          <w:rFonts w:ascii="Book Antiqua" w:eastAsia="Book Antiqua" w:hAnsi="Book Antiqua" w:cs="Book Antiqua"/>
          <w:b/>
          <w:bCs/>
          <w:color w:val="000000"/>
        </w:rPr>
        <w:t xml:space="preserve"> </w:t>
      </w:r>
      <w:r w:rsidRPr="00D22450">
        <w:rPr>
          <w:rFonts w:ascii="Book Antiqua" w:eastAsia="Book Antiqua" w:hAnsi="Book Antiqua" w:cs="Book Antiqua"/>
          <w:b/>
          <w:bCs/>
          <w:color w:val="000000"/>
        </w:rPr>
        <w:t>4 and ballooning &gt;</w:t>
      </w:r>
      <w:r w:rsidR="000E5FB6" w:rsidRPr="00D22450">
        <w:rPr>
          <w:rFonts w:ascii="Book Antiqua" w:eastAsia="Book Antiqua" w:hAnsi="Book Antiqua" w:cs="Book Antiqua"/>
          <w:b/>
          <w:bCs/>
          <w:color w:val="000000"/>
        </w:rPr>
        <w:t xml:space="preserve"> </w:t>
      </w:r>
      <w:r w:rsidRPr="00D22450">
        <w:rPr>
          <w:rFonts w:ascii="Book Antiqua" w:eastAsia="Book Antiqua" w:hAnsi="Book Antiqua" w:cs="Book Antiqua"/>
          <w:b/>
          <w:bCs/>
          <w:color w:val="000000"/>
        </w:rPr>
        <w:t>1 or inflammation &gt;</w:t>
      </w:r>
      <w:r w:rsidR="000E5FB6" w:rsidRPr="00D22450">
        <w:rPr>
          <w:rFonts w:ascii="Book Antiqua" w:eastAsia="Book Antiqua" w:hAnsi="Book Antiqua" w:cs="Book Antiqua"/>
          <w:b/>
          <w:bCs/>
          <w:color w:val="000000"/>
        </w:rPr>
        <w:t xml:space="preserve"> </w:t>
      </w:r>
      <w:r w:rsidRPr="00D22450">
        <w:rPr>
          <w:rFonts w:ascii="Book Antiqua" w:eastAsia="Book Antiqua" w:hAnsi="Book Antiqua" w:cs="Book Antiqua"/>
          <w:b/>
          <w:bCs/>
          <w:color w:val="000000"/>
        </w:rPr>
        <w:t xml:space="preserve">1) from those without. </w:t>
      </w:r>
      <w:r w:rsidRPr="00D22450">
        <w:rPr>
          <w:rFonts w:ascii="Book Antiqua" w:eastAsia="Book Antiqua" w:hAnsi="Book Antiqua" w:cs="Book Antiqua"/>
          <w:color w:val="000000"/>
        </w:rPr>
        <w:t>Area under the curve and confidence intervals displayed in the legend for each non-invasive measure.</w:t>
      </w:r>
      <w:r w:rsidR="008266D7" w:rsidRPr="008266D7">
        <w:rPr>
          <w:rFonts w:ascii="Book Antiqua" w:eastAsia="Book Antiqua" w:hAnsi="Book Antiqua" w:cs="Book Antiqua"/>
          <w:color w:val="000000"/>
        </w:rPr>
        <w:t xml:space="preserve"> </w:t>
      </w:r>
      <w:r w:rsidR="008266D7" w:rsidRPr="00D22450">
        <w:rPr>
          <w:rFonts w:ascii="Book Antiqua" w:eastAsia="Book Antiqua" w:hAnsi="Book Antiqua" w:cs="Book Antiqua"/>
          <w:color w:val="000000"/>
        </w:rPr>
        <w:t xml:space="preserve">MRE: Magnetic resonance elastography; </w:t>
      </w:r>
      <w:r w:rsidR="008266D7" w:rsidRPr="00D22450">
        <w:rPr>
          <w:rFonts w:ascii="Book Antiqua" w:hAnsi="Book Antiqua" w:cs="Arial"/>
        </w:rPr>
        <w:t xml:space="preserve">CAP: </w:t>
      </w:r>
      <w:r w:rsidR="008266D7" w:rsidRPr="00D22450">
        <w:rPr>
          <w:rFonts w:ascii="Book Antiqua" w:eastAsia="Book Antiqua" w:hAnsi="Book Antiqua" w:cs="Book Antiqua"/>
          <w:color w:val="000000"/>
        </w:rPr>
        <w:t xml:space="preserve">Controlled-attenuation parameter; cT1: Corrected T1; </w:t>
      </w:r>
      <w:r w:rsidR="008266D7">
        <w:rPr>
          <w:rFonts w:ascii="Book Antiqua" w:hAnsi="Book Antiqua" w:cs="Book Antiqua" w:hint="eastAsia"/>
          <w:color w:val="000000"/>
          <w:lang w:eastAsia="zh-CN"/>
        </w:rPr>
        <w:t>LSM</w:t>
      </w:r>
      <w:r w:rsidR="008266D7" w:rsidRPr="00D22450">
        <w:rPr>
          <w:rFonts w:ascii="Book Antiqua" w:eastAsia="Book Antiqua" w:hAnsi="Book Antiqua" w:cs="Book Antiqua"/>
          <w:color w:val="000000"/>
        </w:rPr>
        <w:t xml:space="preserve">: </w:t>
      </w:r>
      <w:r w:rsidR="008266D7">
        <w:rPr>
          <w:rFonts w:ascii="Book Antiqua" w:hAnsi="Book Antiqua" w:cs="Book Antiqua" w:hint="eastAsia"/>
          <w:color w:val="000000"/>
          <w:lang w:eastAsia="zh-CN"/>
        </w:rPr>
        <w:t>L</w:t>
      </w:r>
      <w:r w:rsidR="008266D7" w:rsidRPr="00D22450">
        <w:rPr>
          <w:rFonts w:ascii="Book Antiqua" w:eastAsia="Book Antiqua" w:hAnsi="Book Antiqua" w:cs="Book Antiqua"/>
          <w:color w:val="000000"/>
        </w:rPr>
        <w:t xml:space="preserve">iver stiffness measure; </w:t>
      </w:r>
      <w:r w:rsidR="008266D7">
        <w:rPr>
          <w:rFonts w:ascii="Book Antiqua" w:hAnsi="Book Antiqua" w:cs="Arial" w:hint="eastAsia"/>
          <w:lang w:eastAsia="zh-CN"/>
        </w:rPr>
        <w:t>PDFF</w:t>
      </w:r>
      <w:r w:rsidR="008266D7" w:rsidRPr="00D22450">
        <w:rPr>
          <w:rFonts w:ascii="Book Antiqua" w:eastAsia="Book Antiqua" w:hAnsi="Book Antiqua" w:cs="Book Antiqua"/>
          <w:color w:val="000000"/>
        </w:rPr>
        <w:t xml:space="preserve">: </w:t>
      </w:r>
      <w:r w:rsidR="008266D7">
        <w:rPr>
          <w:rFonts w:ascii="Book Antiqua" w:hAnsi="Book Antiqua" w:cs="Book Antiqua" w:hint="eastAsia"/>
          <w:color w:val="000000"/>
          <w:lang w:eastAsia="zh-CN"/>
        </w:rPr>
        <w:t>P</w:t>
      </w:r>
      <w:r w:rsidR="008266D7" w:rsidRPr="008266D7">
        <w:rPr>
          <w:rFonts w:ascii="Book Antiqua" w:eastAsia="Book Antiqua" w:hAnsi="Book Antiqua" w:cs="Book Antiqua"/>
          <w:color w:val="000000"/>
        </w:rPr>
        <w:t>roton density fat fraction</w:t>
      </w:r>
      <w:r w:rsidR="008266D7">
        <w:rPr>
          <w:rFonts w:ascii="Book Antiqua" w:hAnsi="Book Antiqua" w:cs="Book Antiqua" w:hint="eastAsia"/>
          <w:color w:val="000000"/>
          <w:lang w:eastAsia="zh-CN"/>
        </w:rPr>
        <w:t>.</w:t>
      </w:r>
    </w:p>
    <w:p w14:paraId="60707F1F" w14:textId="1741A64A" w:rsidR="000E5FB6" w:rsidRPr="00D22450" w:rsidRDefault="000E5FB6" w:rsidP="00D22450">
      <w:pPr>
        <w:adjustRightInd w:val="0"/>
        <w:snapToGrid w:val="0"/>
        <w:spacing w:line="360" w:lineRule="auto"/>
        <w:jc w:val="both"/>
        <w:rPr>
          <w:rFonts w:ascii="Book Antiqua" w:eastAsia="Book Antiqua" w:hAnsi="Book Antiqua" w:cs="Book Antiqua"/>
          <w:color w:val="000000"/>
        </w:rPr>
      </w:pPr>
    </w:p>
    <w:p w14:paraId="1DD98263" w14:textId="77777777" w:rsidR="002817C2" w:rsidRDefault="002817C2" w:rsidP="00D22450">
      <w:pPr>
        <w:adjustRightInd w:val="0"/>
        <w:snapToGrid w:val="0"/>
        <w:spacing w:line="360" w:lineRule="auto"/>
        <w:jc w:val="both"/>
        <w:rPr>
          <w:rFonts w:ascii="Book Antiqua" w:eastAsia="Book Antiqua" w:hAnsi="Book Antiqua" w:cs="Book Antiqua"/>
          <w:color w:val="000000"/>
        </w:rPr>
      </w:pPr>
    </w:p>
    <w:p w14:paraId="0F4C3FAC" w14:textId="6564A5DE" w:rsidR="002817C2" w:rsidRDefault="002C44E0" w:rsidP="00D2245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lang w:eastAsia="zh-CN"/>
        </w:rPr>
        <w:lastRenderedPageBreak/>
        <w:drawing>
          <wp:inline distT="0" distB="0" distL="0" distR="0" wp14:anchorId="613C2F2E" wp14:editId="6244A526">
            <wp:extent cx="5486400" cy="2959735"/>
            <wp:effectExtent l="0" t="0" r="0" b="0"/>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486400" cy="2959735"/>
                    </a:xfrm>
                    <a:prstGeom prst="rect">
                      <a:avLst/>
                    </a:prstGeom>
                  </pic:spPr>
                </pic:pic>
              </a:graphicData>
            </a:graphic>
          </wp:inline>
        </w:drawing>
      </w:r>
    </w:p>
    <w:p w14:paraId="18904DED" w14:textId="742E9C50" w:rsidR="0061501D" w:rsidRPr="00D22450" w:rsidRDefault="002817C2" w:rsidP="0061501D">
      <w:pPr>
        <w:snapToGrid w:val="0"/>
        <w:spacing w:line="360" w:lineRule="auto"/>
        <w:jc w:val="both"/>
        <w:rPr>
          <w:rFonts w:ascii="Book Antiqua" w:hAnsi="Book Antiqua" w:cs="Arial"/>
        </w:rPr>
      </w:pPr>
      <w:r w:rsidRPr="00D22450">
        <w:rPr>
          <w:rFonts w:ascii="Book Antiqua" w:eastAsia="Book Antiqua" w:hAnsi="Book Antiqua" w:cs="Book Antiqua"/>
          <w:b/>
          <w:bCs/>
          <w:color w:val="000000"/>
        </w:rPr>
        <w:t xml:space="preserve">Figure </w:t>
      </w:r>
      <w:r>
        <w:rPr>
          <w:rFonts w:ascii="Book Antiqua" w:eastAsia="Book Antiqua" w:hAnsi="Book Antiqua" w:cs="Book Antiqua"/>
          <w:b/>
          <w:bCs/>
          <w:color w:val="000000"/>
        </w:rPr>
        <w:t>4</w:t>
      </w:r>
      <w:r w:rsidRPr="00D22450">
        <w:rPr>
          <w:rFonts w:ascii="Book Antiqua" w:eastAsia="Book Antiqua" w:hAnsi="Book Antiqua" w:cs="Book Antiqua"/>
          <w:b/>
          <w:bCs/>
          <w:color w:val="000000"/>
        </w:rPr>
        <w:t xml:space="preserve"> Receiver operator characteristic curves for discriminating those with non-alcoholic steatohepatitis </w:t>
      </w:r>
      <w:r w:rsidR="002C44E0">
        <w:rPr>
          <w:rFonts w:ascii="Book Antiqua" w:eastAsia="Book Antiqua" w:hAnsi="Book Antiqua" w:cs="Book Antiqua"/>
          <w:b/>
          <w:bCs/>
          <w:color w:val="000000"/>
        </w:rPr>
        <w:t xml:space="preserve">(left) and those with </w:t>
      </w:r>
      <w:r w:rsidR="002C44E0" w:rsidRPr="00D22450">
        <w:rPr>
          <w:rFonts w:ascii="Book Antiqua" w:eastAsia="Book Antiqua" w:hAnsi="Book Antiqua" w:cs="Book Antiqua"/>
          <w:b/>
          <w:bCs/>
          <w:color w:val="000000"/>
        </w:rPr>
        <w:t>non-alcoholic steatohepatitis</w:t>
      </w:r>
      <w:r w:rsidR="002C44E0">
        <w:rPr>
          <w:rFonts w:ascii="Book Antiqua" w:eastAsia="Book Antiqua" w:hAnsi="Book Antiqua" w:cs="Book Antiqua"/>
          <w:b/>
          <w:bCs/>
          <w:color w:val="000000"/>
        </w:rPr>
        <w:t xml:space="preserve"> with</w:t>
      </w:r>
      <w:r>
        <w:rPr>
          <w:rFonts w:ascii="Book Antiqua" w:eastAsia="Book Antiqua" w:hAnsi="Book Antiqua" w:cs="Book Antiqua"/>
          <w:b/>
          <w:bCs/>
          <w:color w:val="000000"/>
        </w:rPr>
        <w:t xml:space="preserve"> fibrosis (</w:t>
      </w:r>
      <w:r w:rsidR="002C44E0">
        <w:rPr>
          <w:rFonts w:ascii="Book Antiqua" w:eastAsia="Book Antiqua" w:hAnsi="Book Antiqua" w:cs="Book Antiqua"/>
          <w:b/>
          <w:bCs/>
          <w:color w:val="000000"/>
        </w:rPr>
        <w:t>right</w:t>
      </w:r>
      <w:r>
        <w:rPr>
          <w:rFonts w:ascii="Book Antiqua" w:eastAsia="Book Antiqua" w:hAnsi="Book Antiqua" w:cs="Book Antiqua"/>
          <w:b/>
          <w:bCs/>
          <w:color w:val="000000"/>
        </w:rPr>
        <w:t>)</w:t>
      </w:r>
      <w:r w:rsidRPr="00D22450">
        <w:rPr>
          <w:rFonts w:ascii="Book Antiqua" w:eastAsia="Book Antiqua" w:hAnsi="Book Antiqua" w:cs="Book Antiqua"/>
          <w:b/>
          <w:bCs/>
          <w:color w:val="000000"/>
        </w:rPr>
        <w:t xml:space="preserve">. </w:t>
      </w:r>
      <w:r w:rsidRPr="00D22450">
        <w:rPr>
          <w:rFonts w:ascii="Book Antiqua" w:eastAsia="Book Antiqua" w:hAnsi="Book Antiqua" w:cs="Book Antiqua"/>
          <w:color w:val="000000"/>
        </w:rPr>
        <w:t>Area under the curve and confidence intervals displayed in the legend for each non-invasive measure.</w:t>
      </w:r>
      <w:r w:rsidR="0061501D" w:rsidRPr="0061501D">
        <w:rPr>
          <w:rFonts w:ascii="Book Antiqua" w:eastAsia="Book Antiqua" w:hAnsi="Book Antiqua" w:cs="Book Antiqua"/>
          <w:color w:val="000000"/>
        </w:rPr>
        <w:t xml:space="preserve"> </w:t>
      </w:r>
      <w:r w:rsidR="0061501D" w:rsidRPr="00D22450">
        <w:rPr>
          <w:rFonts w:ascii="Book Antiqua" w:hAnsi="Book Antiqua" w:cs="Arial"/>
        </w:rPr>
        <w:t xml:space="preserve">CAP: </w:t>
      </w:r>
      <w:r w:rsidR="0061501D" w:rsidRPr="00D22450">
        <w:rPr>
          <w:rFonts w:ascii="Book Antiqua" w:eastAsia="Book Antiqua" w:hAnsi="Book Antiqua" w:cs="Book Antiqua"/>
          <w:color w:val="000000"/>
        </w:rPr>
        <w:t>Controlled-attenuation parameter; VCTE: Vibration-controlled transient elastography; cT1: Corrected T1; NASH: Non-alcoholic steatohepatitis.</w:t>
      </w:r>
    </w:p>
    <w:p w14:paraId="7B335D42" w14:textId="0E8954EA" w:rsidR="002817C2" w:rsidRPr="00D22450" w:rsidRDefault="002817C2" w:rsidP="002817C2">
      <w:pPr>
        <w:adjustRightInd w:val="0"/>
        <w:snapToGrid w:val="0"/>
        <w:spacing w:line="360" w:lineRule="auto"/>
        <w:jc w:val="both"/>
        <w:rPr>
          <w:rFonts w:ascii="Book Antiqua" w:eastAsia="Book Antiqua" w:hAnsi="Book Antiqua" w:cs="Book Antiqua"/>
          <w:color w:val="000000"/>
        </w:rPr>
      </w:pPr>
    </w:p>
    <w:p w14:paraId="603348CD" w14:textId="3C6BD161" w:rsidR="000E5FB6" w:rsidRPr="00D22450" w:rsidRDefault="000E5FB6" w:rsidP="00D22450">
      <w:pPr>
        <w:adjustRightInd w:val="0"/>
        <w:snapToGrid w:val="0"/>
        <w:spacing w:line="360" w:lineRule="auto"/>
        <w:jc w:val="both"/>
        <w:rPr>
          <w:rFonts w:ascii="Book Antiqua" w:eastAsia="Book Antiqua" w:hAnsi="Book Antiqua" w:cs="Book Antiqua"/>
          <w:color w:val="000000"/>
        </w:rPr>
      </w:pPr>
      <w:r w:rsidRPr="00D22450">
        <w:rPr>
          <w:rFonts w:ascii="Book Antiqua" w:eastAsia="Book Antiqua" w:hAnsi="Book Antiqua" w:cs="Book Antiqua"/>
          <w:color w:val="000000"/>
        </w:rPr>
        <w:br w:type="page"/>
      </w:r>
    </w:p>
    <w:p w14:paraId="73D92DFB" w14:textId="4569D5AD" w:rsidR="00716FE8" w:rsidRPr="00031714" w:rsidRDefault="00716FE8" w:rsidP="00D22450">
      <w:pPr>
        <w:adjustRightInd w:val="0"/>
        <w:snapToGrid w:val="0"/>
        <w:spacing w:line="360" w:lineRule="auto"/>
        <w:jc w:val="both"/>
        <w:rPr>
          <w:rFonts w:ascii="Book Antiqua" w:hAnsi="Book Antiqua" w:cs="Book Antiqua"/>
          <w:b/>
          <w:color w:val="000000"/>
          <w:lang w:eastAsia="zh-CN"/>
        </w:rPr>
      </w:pPr>
      <w:r w:rsidRPr="00031714">
        <w:rPr>
          <w:rFonts w:ascii="Book Antiqua" w:hAnsi="Book Antiqua" w:cs="Book Antiqua" w:hint="eastAsia"/>
          <w:b/>
          <w:color w:val="000000"/>
          <w:lang w:eastAsia="zh-CN"/>
        </w:rPr>
        <w:lastRenderedPageBreak/>
        <w:t>Table 1 Participant demographics</w:t>
      </w:r>
    </w:p>
    <w:tbl>
      <w:tblPr>
        <w:tblW w:w="9356" w:type="dxa"/>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115"/>
        <w:gridCol w:w="2268"/>
        <w:gridCol w:w="1875"/>
        <w:gridCol w:w="2098"/>
      </w:tblGrid>
      <w:tr w:rsidR="00B16D9B" w:rsidRPr="00D22450" w14:paraId="6CEBFA88" w14:textId="77777777" w:rsidTr="008E516C">
        <w:trPr>
          <w:trHeight w:val="521"/>
          <w:jc w:val="center"/>
        </w:trPr>
        <w:tc>
          <w:tcPr>
            <w:tcW w:w="3115" w:type="dxa"/>
            <w:tcBorders>
              <w:top w:val="single" w:sz="4" w:space="0" w:color="auto"/>
              <w:bottom w:val="single" w:sz="4" w:space="0" w:color="auto"/>
            </w:tcBorders>
            <w:shd w:val="clear" w:color="auto" w:fill="auto"/>
            <w:tcMar>
              <w:top w:w="12" w:type="dxa"/>
              <w:left w:w="51" w:type="dxa"/>
              <w:bottom w:w="0" w:type="dxa"/>
              <w:right w:w="51" w:type="dxa"/>
            </w:tcMar>
            <w:vAlign w:val="center"/>
            <w:hideMark/>
          </w:tcPr>
          <w:p w14:paraId="0532C340" w14:textId="6A6A029F" w:rsidR="00B16D9B" w:rsidRPr="00D22450" w:rsidRDefault="00B16D9B" w:rsidP="00D22450">
            <w:pPr>
              <w:autoSpaceDE w:val="0"/>
              <w:autoSpaceDN w:val="0"/>
              <w:adjustRightInd w:val="0"/>
              <w:snapToGrid w:val="0"/>
              <w:spacing w:line="360" w:lineRule="auto"/>
              <w:jc w:val="both"/>
              <w:rPr>
                <w:rFonts w:ascii="Book Antiqua" w:hAnsi="Book Antiqua" w:cs="Arial"/>
                <w:b/>
                <w:lang w:eastAsia="zh-CN"/>
              </w:rPr>
            </w:pPr>
          </w:p>
        </w:tc>
        <w:tc>
          <w:tcPr>
            <w:tcW w:w="2268" w:type="dxa"/>
            <w:tcBorders>
              <w:top w:val="single" w:sz="4" w:space="0" w:color="auto"/>
              <w:bottom w:val="single" w:sz="4" w:space="0" w:color="auto"/>
            </w:tcBorders>
            <w:shd w:val="clear" w:color="auto" w:fill="auto"/>
            <w:tcMar>
              <w:top w:w="12" w:type="dxa"/>
              <w:left w:w="51" w:type="dxa"/>
              <w:bottom w:w="0" w:type="dxa"/>
              <w:right w:w="51" w:type="dxa"/>
            </w:tcMar>
            <w:vAlign w:val="center"/>
            <w:hideMark/>
          </w:tcPr>
          <w:p w14:paraId="7D6F0BF4" w14:textId="584F1445" w:rsidR="00B16D9B" w:rsidRPr="00D22450" w:rsidRDefault="00B16D9B" w:rsidP="00D22450">
            <w:pPr>
              <w:autoSpaceDE w:val="0"/>
              <w:autoSpaceDN w:val="0"/>
              <w:adjustRightInd w:val="0"/>
              <w:snapToGrid w:val="0"/>
              <w:spacing w:line="360" w:lineRule="auto"/>
              <w:jc w:val="both"/>
              <w:rPr>
                <w:rFonts w:ascii="Book Antiqua" w:hAnsi="Book Antiqua" w:cs="Arial"/>
                <w:b/>
              </w:rPr>
            </w:pPr>
            <w:r w:rsidRPr="00D22450">
              <w:rPr>
                <w:rFonts w:ascii="Book Antiqua" w:hAnsi="Book Antiqua" w:cs="Arial"/>
                <w:b/>
              </w:rPr>
              <w:t>Total (</w:t>
            </w:r>
            <w:r w:rsidRPr="00D22450">
              <w:rPr>
                <w:rFonts w:ascii="Book Antiqua" w:hAnsi="Book Antiqua" w:cs="Arial"/>
                <w:b/>
                <w:i/>
              </w:rPr>
              <w:t>n</w:t>
            </w:r>
            <w:r w:rsidRPr="00D22450">
              <w:rPr>
                <w:rFonts w:ascii="Book Antiqua" w:hAnsi="Book Antiqua" w:cs="Arial"/>
                <w:b/>
              </w:rPr>
              <w:t xml:space="preserve"> = 145),</w:t>
            </w:r>
            <w:r w:rsidRPr="00D22450">
              <w:rPr>
                <w:rFonts w:ascii="Book Antiqua" w:hAnsi="Book Antiqua" w:cs="Arial"/>
                <w:b/>
                <w:lang w:eastAsia="zh-CN"/>
              </w:rPr>
              <w:t xml:space="preserve"> </w:t>
            </w:r>
            <w:r w:rsidR="0061501D" w:rsidRPr="00D22450">
              <w:rPr>
                <w:rFonts w:ascii="Book Antiqua" w:hAnsi="Book Antiqua" w:cs="Arial"/>
                <w:b/>
              </w:rPr>
              <w:t xml:space="preserve">mean </w:t>
            </w:r>
            <w:r w:rsidRPr="00D22450">
              <w:rPr>
                <w:rFonts w:ascii="Book Antiqua" w:hAnsi="Book Antiqua" w:cs="Arial"/>
                <w:b/>
              </w:rPr>
              <w:t>± SD</w:t>
            </w:r>
            <w:r w:rsidRPr="00D22450">
              <w:rPr>
                <w:rFonts w:ascii="Book Antiqua" w:hAnsi="Book Antiqua" w:cs="Arial"/>
                <w:b/>
                <w:lang w:eastAsia="zh-CN"/>
              </w:rPr>
              <w:t xml:space="preserve"> </w:t>
            </w:r>
            <w:r w:rsidRPr="00D22450">
              <w:rPr>
                <w:rFonts w:ascii="Book Antiqua" w:hAnsi="Book Antiqua" w:cs="Arial"/>
                <w:b/>
              </w:rPr>
              <w:t>(% of cohort)</w:t>
            </w:r>
          </w:p>
        </w:tc>
        <w:tc>
          <w:tcPr>
            <w:tcW w:w="1875" w:type="dxa"/>
            <w:tcBorders>
              <w:top w:val="single" w:sz="4" w:space="0" w:color="auto"/>
              <w:bottom w:val="single" w:sz="4" w:space="0" w:color="auto"/>
            </w:tcBorders>
            <w:shd w:val="clear" w:color="auto" w:fill="auto"/>
            <w:tcMar>
              <w:top w:w="12" w:type="dxa"/>
              <w:left w:w="51" w:type="dxa"/>
              <w:bottom w:w="0" w:type="dxa"/>
              <w:right w:w="51" w:type="dxa"/>
            </w:tcMar>
            <w:vAlign w:val="center"/>
            <w:hideMark/>
          </w:tcPr>
          <w:p w14:paraId="282A9CBB" w14:textId="77777777" w:rsidR="00B16D9B" w:rsidRPr="00D22450" w:rsidRDefault="00B16D9B" w:rsidP="00D22450">
            <w:pPr>
              <w:autoSpaceDE w:val="0"/>
              <w:autoSpaceDN w:val="0"/>
              <w:adjustRightInd w:val="0"/>
              <w:snapToGrid w:val="0"/>
              <w:spacing w:line="360" w:lineRule="auto"/>
              <w:jc w:val="both"/>
              <w:rPr>
                <w:rFonts w:ascii="Book Antiqua" w:hAnsi="Book Antiqua" w:cs="Arial"/>
                <w:b/>
              </w:rPr>
            </w:pPr>
            <w:r w:rsidRPr="00D22450">
              <w:rPr>
                <w:rFonts w:ascii="Book Antiqua" w:hAnsi="Book Antiqua" w:cs="Arial"/>
                <w:b/>
              </w:rPr>
              <w:t>NASH</w:t>
            </w:r>
          </w:p>
        </w:tc>
        <w:tc>
          <w:tcPr>
            <w:tcW w:w="2098" w:type="dxa"/>
            <w:tcBorders>
              <w:top w:val="single" w:sz="4" w:space="0" w:color="auto"/>
              <w:bottom w:val="single" w:sz="4" w:space="0" w:color="auto"/>
            </w:tcBorders>
            <w:shd w:val="clear" w:color="auto" w:fill="auto"/>
            <w:tcMar>
              <w:top w:w="12" w:type="dxa"/>
              <w:left w:w="51" w:type="dxa"/>
              <w:bottom w:w="0" w:type="dxa"/>
              <w:right w:w="51" w:type="dxa"/>
            </w:tcMar>
            <w:vAlign w:val="center"/>
            <w:hideMark/>
          </w:tcPr>
          <w:p w14:paraId="05CB8CFA" w14:textId="77777777" w:rsidR="00B16D9B" w:rsidRPr="00D22450" w:rsidRDefault="00B16D9B" w:rsidP="00D22450">
            <w:pPr>
              <w:autoSpaceDE w:val="0"/>
              <w:autoSpaceDN w:val="0"/>
              <w:adjustRightInd w:val="0"/>
              <w:snapToGrid w:val="0"/>
              <w:spacing w:line="360" w:lineRule="auto"/>
              <w:jc w:val="both"/>
              <w:rPr>
                <w:rFonts w:ascii="Book Antiqua" w:hAnsi="Book Antiqua" w:cs="Arial"/>
                <w:b/>
              </w:rPr>
            </w:pPr>
            <w:r w:rsidRPr="00D22450">
              <w:rPr>
                <w:rFonts w:ascii="Book Antiqua" w:hAnsi="Book Antiqua" w:cs="Arial"/>
                <w:b/>
              </w:rPr>
              <w:t>NAFL</w:t>
            </w:r>
          </w:p>
        </w:tc>
      </w:tr>
      <w:tr w:rsidR="00B16D9B" w:rsidRPr="00D22450" w14:paraId="38BAE142" w14:textId="77777777" w:rsidTr="008E516C">
        <w:trPr>
          <w:trHeight w:val="192"/>
          <w:jc w:val="center"/>
        </w:trPr>
        <w:tc>
          <w:tcPr>
            <w:tcW w:w="3115" w:type="dxa"/>
            <w:tcBorders>
              <w:top w:val="single" w:sz="4" w:space="0" w:color="auto"/>
            </w:tcBorders>
            <w:shd w:val="clear" w:color="auto" w:fill="auto"/>
            <w:tcMar>
              <w:top w:w="12" w:type="dxa"/>
              <w:left w:w="51" w:type="dxa"/>
              <w:bottom w:w="0" w:type="dxa"/>
              <w:right w:w="51" w:type="dxa"/>
            </w:tcMar>
            <w:vAlign w:val="center"/>
            <w:hideMark/>
          </w:tcPr>
          <w:p w14:paraId="33F71796" w14:textId="14A9E8F9"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Total cohort (</w:t>
            </w:r>
            <w:r w:rsidR="0061501D" w:rsidRPr="008266D7">
              <w:rPr>
                <w:rFonts w:ascii="Book Antiqua" w:hAnsi="Book Antiqua" w:cs="Arial"/>
                <w:i/>
              </w:rPr>
              <w:t>n</w:t>
            </w:r>
            <w:r w:rsidRPr="00D22450">
              <w:rPr>
                <w:rFonts w:ascii="Book Antiqua" w:hAnsi="Book Antiqua" w:cs="Arial"/>
              </w:rPr>
              <w:t>)</w:t>
            </w:r>
          </w:p>
        </w:tc>
        <w:tc>
          <w:tcPr>
            <w:tcW w:w="2268" w:type="dxa"/>
            <w:tcBorders>
              <w:top w:val="single" w:sz="4" w:space="0" w:color="auto"/>
            </w:tcBorders>
            <w:shd w:val="clear" w:color="auto" w:fill="auto"/>
            <w:tcMar>
              <w:top w:w="12" w:type="dxa"/>
              <w:left w:w="51" w:type="dxa"/>
              <w:bottom w:w="0" w:type="dxa"/>
              <w:right w:w="51" w:type="dxa"/>
            </w:tcMar>
            <w:vAlign w:val="center"/>
            <w:hideMark/>
          </w:tcPr>
          <w:p w14:paraId="2950A9CA"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145</w:t>
            </w:r>
          </w:p>
        </w:tc>
        <w:tc>
          <w:tcPr>
            <w:tcW w:w="1875" w:type="dxa"/>
            <w:tcBorders>
              <w:top w:val="single" w:sz="4" w:space="0" w:color="auto"/>
            </w:tcBorders>
            <w:shd w:val="clear" w:color="auto" w:fill="auto"/>
            <w:tcMar>
              <w:top w:w="12" w:type="dxa"/>
              <w:left w:w="51" w:type="dxa"/>
              <w:bottom w:w="0" w:type="dxa"/>
              <w:right w:w="51" w:type="dxa"/>
            </w:tcMar>
            <w:vAlign w:val="center"/>
            <w:hideMark/>
          </w:tcPr>
          <w:p w14:paraId="168E6B20"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87</w:t>
            </w:r>
          </w:p>
        </w:tc>
        <w:tc>
          <w:tcPr>
            <w:tcW w:w="2098" w:type="dxa"/>
            <w:tcBorders>
              <w:top w:val="single" w:sz="4" w:space="0" w:color="auto"/>
            </w:tcBorders>
            <w:shd w:val="clear" w:color="auto" w:fill="auto"/>
            <w:tcMar>
              <w:top w:w="12" w:type="dxa"/>
              <w:left w:w="51" w:type="dxa"/>
              <w:bottom w:w="0" w:type="dxa"/>
              <w:right w:w="51" w:type="dxa"/>
            </w:tcMar>
            <w:vAlign w:val="center"/>
            <w:hideMark/>
          </w:tcPr>
          <w:p w14:paraId="70B05BB3"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58</w:t>
            </w:r>
          </w:p>
        </w:tc>
      </w:tr>
      <w:tr w:rsidR="00B16D9B" w:rsidRPr="00D22450" w14:paraId="1C39D65D"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746064EF" w14:textId="2E3176D2"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Sex (</w:t>
            </w:r>
            <w:r w:rsidR="0061501D" w:rsidRPr="00D22450">
              <w:rPr>
                <w:rFonts w:ascii="Book Antiqua" w:hAnsi="Book Antiqua" w:cs="Arial"/>
              </w:rPr>
              <w:t>male</w:t>
            </w:r>
            <w:r w:rsidRPr="00D22450">
              <w:rPr>
                <w:rFonts w:ascii="Book Antiqua" w:hAnsi="Book Antiqua" w:cs="Arial"/>
              </w:rPr>
              <w:t>)</w:t>
            </w:r>
          </w:p>
        </w:tc>
        <w:tc>
          <w:tcPr>
            <w:tcW w:w="2268" w:type="dxa"/>
            <w:shd w:val="clear" w:color="auto" w:fill="auto"/>
            <w:tcMar>
              <w:top w:w="12" w:type="dxa"/>
              <w:left w:w="51" w:type="dxa"/>
              <w:bottom w:w="0" w:type="dxa"/>
              <w:right w:w="51" w:type="dxa"/>
            </w:tcMar>
            <w:vAlign w:val="center"/>
            <w:hideMark/>
          </w:tcPr>
          <w:p w14:paraId="310D1B5D" w14:textId="21E66940"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88 (60.7%)</w:t>
            </w:r>
          </w:p>
        </w:tc>
        <w:tc>
          <w:tcPr>
            <w:tcW w:w="1875" w:type="dxa"/>
            <w:shd w:val="clear" w:color="auto" w:fill="auto"/>
            <w:tcMar>
              <w:top w:w="12" w:type="dxa"/>
              <w:left w:w="51" w:type="dxa"/>
              <w:bottom w:w="0" w:type="dxa"/>
              <w:right w:w="51" w:type="dxa"/>
            </w:tcMar>
            <w:vAlign w:val="center"/>
            <w:hideMark/>
          </w:tcPr>
          <w:p w14:paraId="5EDF800C"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46</w:t>
            </w:r>
          </w:p>
        </w:tc>
        <w:tc>
          <w:tcPr>
            <w:tcW w:w="2098" w:type="dxa"/>
            <w:shd w:val="clear" w:color="auto" w:fill="auto"/>
            <w:tcMar>
              <w:top w:w="12" w:type="dxa"/>
              <w:left w:w="51" w:type="dxa"/>
              <w:bottom w:w="0" w:type="dxa"/>
              <w:right w:w="51" w:type="dxa"/>
            </w:tcMar>
            <w:vAlign w:val="center"/>
            <w:hideMark/>
          </w:tcPr>
          <w:p w14:paraId="3F402E37" w14:textId="58D814B4"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42</w:t>
            </w:r>
            <w:r w:rsidRPr="00D22450">
              <w:rPr>
                <w:rFonts w:ascii="Book Antiqua" w:hAnsi="Book Antiqua" w:cs="Arial"/>
                <w:vertAlign w:val="superscript"/>
              </w:rPr>
              <w:t>a</w:t>
            </w:r>
          </w:p>
        </w:tc>
      </w:tr>
      <w:tr w:rsidR="00B16D9B" w:rsidRPr="00D22450" w14:paraId="5494CD84"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71E17437"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Age</w:t>
            </w:r>
          </w:p>
        </w:tc>
        <w:tc>
          <w:tcPr>
            <w:tcW w:w="2268" w:type="dxa"/>
            <w:shd w:val="clear" w:color="auto" w:fill="auto"/>
            <w:tcMar>
              <w:top w:w="12" w:type="dxa"/>
              <w:left w:w="51" w:type="dxa"/>
              <w:bottom w:w="0" w:type="dxa"/>
              <w:right w:w="51" w:type="dxa"/>
            </w:tcMar>
            <w:vAlign w:val="center"/>
            <w:hideMark/>
          </w:tcPr>
          <w:p w14:paraId="7134584A"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60.2 ± 13.1</w:t>
            </w:r>
          </w:p>
        </w:tc>
        <w:tc>
          <w:tcPr>
            <w:tcW w:w="1875" w:type="dxa"/>
            <w:shd w:val="clear" w:color="auto" w:fill="auto"/>
            <w:tcMar>
              <w:top w:w="12" w:type="dxa"/>
              <w:left w:w="51" w:type="dxa"/>
              <w:bottom w:w="0" w:type="dxa"/>
              <w:right w:w="51" w:type="dxa"/>
            </w:tcMar>
            <w:vAlign w:val="center"/>
            <w:hideMark/>
          </w:tcPr>
          <w:p w14:paraId="002C07E5"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60.9 ± 13.2</w:t>
            </w:r>
          </w:p>
        </w:tc>
        <w:tc>
          <w:tcPr>
            <w:tcW w:w="2098" w:type="dxa"/>
            <w:shd w:val="clear" w:color="auto" w:fill="auto"/>
            <w:tcMar>
              <w:top w:w="12" w:type="dxa"/>
              <w:left w:w="51" w:type="dxa"/>
              <w:bottom w:w="0" w:type="dxa"/>
              <w:right w:w="51" w:type="dxa"/>
            </w:tcMar>
            <w:vAlign w:val="center"/>
            <w:hideMark/>
          </w:tcPr>
          <w:p w14:paraId="34379D28"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59 ± 12.9</w:t>
            </w:r>
          </w:p>
        </w:tc>
      </w:tr>
      <w:tr w:rsidR="00B16D9B" w:rsidRPr="00D22450" w14:paraId="550AA298"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6B9D1BD7"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BMI average</w:t>
            </w:r>
          </w:p>
        </w:tc>
        <w:tc>
          <w:tcPr>
            <w:tcW w:w="2268" w:type="dxa"/>
            <w:shd w:val="clear" w:color="auto" w:fill="auto"/>
            <w:tcMar>
              <w:top w:w="12" w:type="dxa"/>
              <w:left w:w="51" w:type="dxa"/>
              <w:bottom w:w="0" w:type="dxa"/>
              <w:right w:w="51" w:type="dxa"/>
            </w:tcMar>
            <w:vAlign w:val="center"/>
            <w:hideMark/>
          </w:tcPr>
          <w:p w14:paraId="0541ED9C"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28.8 ± 4.7</w:t>
            </w:r>
          </w:p>
        </w:tc>
        <w:tc>
          <w:tcPr>
            <w:tcW w:w="1875" w:type="dxa"/>
            <w:shd w:val="clear" w:color="auto" w:fill="auto"/>
            <w:tcMar>
              <w:top w:w="12" w:type="dxa"/>
              <w:left w:w="51" w:type="dxa"/>
              <w:bottom w:w="0" w:type="dxa"/>
              <w:right w:w="51" w:type="dxa"/>
            </w:tcMar>
            <w:vAlign w:val="center"/>
            <w:hideMark/>
          </w:tcPr>
          <w:p w14:paraId="4D453FBB"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29.9 ± 4.4</w:t>
            </w:r>
          </w:p>
        </w:tc>
        <w:tc>
          <w:tcPr>
            <w:tcW w:w="2098" w:type="dxa"/>
            <w:shd w:val="clear" w:color="auto" w:fill="auto"/>
            <w:tcMar>
              <w:top w:w="12" w:type="dxa"/>
              <w:left w:w="51" w:type="dxa"/>
              <w:bottom w:w="0" w:type="dxa"/>
              <w:right w:w="51" w:type="dxa"/>
            </w:tcMar>
            <w:vAlign w:val="center"/>
            <w:hideMark/>
          </w:tcPr>
          <w:p w14:paraId="74AABC67" w14:textId="034DD7B5"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27.1 ± 4.8</w:t>
            </w:r>
            <w:r w:rsidRPr="00D22450">
              <w:rPr>
                <w:rFonts w:ascii="Book Antiqua" w:hAnsi="Book Antiqua" w:cs="Arial"/>
                <w:vertAlign w:val="superscript"/>
              </w:rPr>
              <w:t>c</w:t>
            </w:r>
          </w:p>
        </w:tc>
      </w:tr>
      <w:tr w:rsidR="00B16D9B" w:rsidRPr="00D22450" w14:paraId="133F1A18" w14:textId="77777777" w:rsidTr="008E516C">
        <w:trPr>
          <w:trHeight w:val="513"/>
          <w:jc w:val="center"/>
        </w:trPr>
        <w:tc>
          <w:tcPr>
            <w:tcW w:w="3115" w:type="dxa"/>
            <w:shd w:val="clear" w:color="auto" w:fill="auto"/>
            <w:tcMar>
              <w:top w:w="12" w:type="dxa"/>
              <w:left w:w="51" w:type="dxa"/>
              <w:bottom w:w="0" w:type="dxa"/>
              <w:right w:w="51" w:type="dxa"/>
            </w:tcMar>
            <w:vAlign w:val="center"/>
            <w:hideMark/>
          </w:tcPr>
          <w:p w14:paraId="140C7FB5" w14:textId="1F607858"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Normal BMI (≥ 18.5 ≤ 22.9)</w:t>
            </w:r>
          </w:p>
        </w:tc>
        <w:tc>
          <w:tcPr>
            <w:tcW w:w="2268" w:type="dxa"/>
            <w:shd w:val="clear" w:color="auto" w:fill="auto"/>
            <w:tcMar>
              <w:top w:w="12" w:type="dxa"/>
              <w:left w:w="51" w:type="dxa"/>
              <w:bottom w:w="0" w:type="dxa"/>
              <w:right w:w="51" w:type="dxa"/>
            </w:tcMar>
            <w:vAlign w:val="center"/>
            <w:hideMark/>
          </w:tcPr>
          <w:p w14:paraId="1AB9E3E0" w14:textId="5F3DEF9A"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17,</w:t>
            </w:r>
            <w:r w:rsidRPr="00D22450">
              <w:rPr>
                <w:rFonts w:ascii="Book Antiqua" w:hAnsi="Book Antiqua" w:cs="Arial"/>
                <w:lang w:eastAsia="zh-CN"/>
              </w:rPr>
              <w:t xml:space="preserve"> </w:t>
            </w:r>
            <w:r w:rsidRPr="00D22450">
              <w:rPr>
                <w:rFonts w:ascii="Book Antiqua" w:hAnsi="Book Antiqua" w:cs="Arial"/>
              </w:rPr>
              <w:t>21.4 ± 1.6</w:t>
            </w:r>
          </w:p>
        </w:tc>
        <w:tc>
          <w:tcPr>
            <w:tcW w:w="1875" w:type="dxa"/>
            <w:shd w:val="clear" w:color="auto" w:fill="auto"/>
            <w:tcMar>
              <w:top w:w="12" w:type="dxa"/>
              <w:left w:w="51" w:type="dxa"/>
              <w:bottom w:w="0" w:type="dxa"/>
              <w:right w:w="51" w:type="dxa"/>
            </w:tcMar>
            <w:vAlign w:val="center"/>
            <w:hideMark/>
          </w:tcPr>
          <w:p w14:paraId="6867C776" w14:textId="6C0C0A70"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 xml:space="preserve">6 </w:t>
            </w:r>
          </w:p>
        </w:tc>
        <w:tc>
          <w:tcPr>
            <w:tcW w:w="2098" w:type="dxa"/>
            <w:shd w:val="clear" w:color="auto" w:fill="auto"/>
            <w:tcMar>
              <w:top w:w="12" w:type="dxa"/>
              <w:left w:w="51" w:type="dxa"/>
              <w:bottom w:w="0" w:type="dxa"/>
              <w:right w:w="51" w:type="dxa"/>
            </w:tcMar>
            <w:vAlign w:val="center"/>
            <w:hideMark/>
          </w:tcPr>
          <w:p w14:paraId="705BF7D2"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12</w:t>
            </w:r>
          </w:p>
        </w:tc>
      </w:tr>
      <w:tr w:rsidR="00B16D9B" w:rsidRPr="00D22450" w14:paraId="06D50A7F" w14:textId="77777777" w:rsidTr="008E516C">
        <w:trPr>
          <w:trHeight w:val="408"/>
          <w:jc w:val="center"/>
        </w:trPr>
        <w:tc>
          <w:tcPr>
            <w:tcW w:w="3115" w:type="dxa"/>
            <w:shd w:val="clear" w:color="auto" w:fill="auto"/>
            <w:tcMar>
              <w:top w:w="12" w:type="dxa"/>
              <w:left w:w="51" w:type="dxa"/>
              <w:bottom w:w="0" w:type="dxa"/>
              <w:right w:w="51" w:type="dxa"/>
            </w:tcMar>
            <w:vAlign w:val="bottom"/>
            <w:hideMark/>
          </w:tcPr>
          <w:p w14:paraId="753BC7DE" w14:textId="52F5955E"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Overweight (≥ 23.0 ≤ 27.9)</w:t>
            </w:r>
          </w:p>
        </w:tc>
        <w:tc>
          <w:tcPr>
            <w:tcW w:w="2268" w:type="dxa"/>
            <w:shd w:val="clear" w:color="auto" w:fill="auto"/>
            <w:tcMar>
              <w:top w:w="12" w:type="dxa"/>
              <w:left w:w="51" w:type="dxa"/>
              <w:bottom w:w="0" w:type="dxa"/>
              <w:right w:w="51" w:type="dxa"/>
            </w:tcMar>
            <w:vAlign w:val="center"/>
            <w:hideMark/>
          </w:tcPr>
          <w:p w14:paraId="7C6D984A" w14:textId="49841AFC"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43,</w:t>
            </w:r>
            <w:r w:rsidRPr="00D22450">
              <w:rPr>
                <w:rFonts w:ascii="Book Antiqua" w:hAnsi="Book Antiqua" w:cs="Arial"/>
                <w:lang w:eastAsia="zh-CN"/>
              </w:rPr>
              <w:t xml:space="preserve"> </w:t>
            </w:r>
            <w:r w:rsidRPr="00D22450">
              <w:rPr>
                <w:rFonts w:ascii="Book Antiqua" w:hAnsi="Book Antiqua" w:cs="Arial"/>
              </w:rPr>
              <w:t>25.6 ± 1.1</w:t>
            </w:r>
          </w:p>
        </w:tc>
        <w:tc>
          <w:tcPr>
            <w:tcW w:w="1875" w:type="dxa"/>
            <w:shd w:val="clear" w:color="auto" w:fill="auto"/>
            <w:tcMar>
              <w:top w:w="12" w:type="dxa"/>
              <w:left w:w="51" w:type="dxa"/>
              <w:bottom w:w="0" w:type="dxa"/>
              <w:right w:w="51" w:type="dxa"/>
            </w:tcMar>
            <w:vAlign w:val="center"/>
            <w:hideMark/>
          </w:tcPr>
          <w:p w14:paraId="13784306"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 xml:space="preserve">26 </w:t>
            </w:r>
          </w:p>
        </w:tc>
        <w:tc>
          <w:tcPr>
            <w:tcW w:w="2098" w:type="dxa"/>
            <w:shd w:val="clear" w:color="auto" w:fill="auto"/>
            <w:tcMar>
              <w:top w:w="12" w:type="dxa"/>
              <w:left w:w="51" w:type="dxa"/>
              <w:bottom w:w="0" w:type="dxa"/>
              <w:right w:w="51" w:type="dxa"/>
            </w:tcMar>
            <w:vAlign w:val="center"/>
            <w:hideMark/>
          </w:tcPr>
          <w:p w14:paraId="07B005A4"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26</w:t>
            </w:r>
          </w:p>
        </w:tc>
      </w:tr>
      <w:tr w:rsidR="00B16D9B" w:rsidRPr="00D22450" w14:paraId="1BC7E5A9" w14:textId="77777777" w:rsidTr="008E516C">
        <w:trPr>
          <w:trHeight w:val="408"/>
          <w:jc w:val="center"/>
        </w:trPr>
        <w:tc>
          <w:tcPr>
            <w:tcW w:w="3115" w:type="dxa"/>
            <w:shd w:val="clear" w:color="auto" w:fill="auto"/>
            <w:tcMar>
              <w:top w:w="12" w:type="dxa"/>
              <w:left w:w="51" w:type="dxa"/>
              <w:bottom w:w="0" w:type="dxa"/>
              <w:right w:w="51" w:type="dxa"/>
            </w:tcMar>
            <w:vAlign w:val="center"/>
            <w:hideMark/>
          </w:tcPr>
          <w:p w14:paraId="36005A2B" w14:textId="57121D3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Obese (≥ 27.5)</w:t>
            </w:r>
          </w:p>
        </w:tc>
        <w:tc>
          <w:tcPr>
            <w:tcW w:w="2268" w:type="dxa"/>
            <w:shd w:val="clear" w:color="auto" w:fill="auto"/>
            <w:tcMar>
              <w:top w:w="12" w:type="dxa"/>
              <w:left w:w="51" w:type="dxa"/>
              <w:bottom w:w="0" w:type="dxa"/>
              <w:right w:w="51" w:type="dxa"/>
            </w:tcMar>
            <w:vAlign w:val="center"/>
            <w:hideMark/>
          </w:tcPr>
          <w:p w14:paraId="19B6EF2D" w14:textId="575B3326"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82,</w:t>
            </w:r>
            <w:r w:rsidRPr="00D22450">
              <w:rPr>
                <w:rFonts w:ascii="Book Antiqua" w:hAnsi="Book Antiqua" w:cs="Arial"/>
                <w:lang w:eastAsia="zh-CN"/>
              </w:rPr>
              <w:t xml:space="preserve"> </w:t>
            </w:r>
            <w:r w:rsidRPr="00D22450">
              <w:rPr>
                <w:rFonts w:ascii="Book Antiqua" w:hAnsi="Book Antiqua" w:cs="Arial"/>
              </w:rPr>
              <w:t>32.1 ± 3.2</w:t>
            </w:r>
          </w:p>
        </w:tc>
        <w:tc>
          <w:tcPr>
            <w:tcW w:w="1875" w:type="dxa"/>
            <w:shd w:val="clear" w:color="auto" w:fill="auto"/>
            <w:tcMar>
              <w:top w:w="12" w:type="dxa"/>
              <w:left w:w="51" w:type="dxa"/>
              <w:bottom w:w="0" w:type="dxa"/>
              <w:right w:w="51" w:type="dxa"/>
            </w:tcMar>
            <w:vAlign w:val="center"/>
            <w:hideMark/>
          </w:tcPr>
          <w:p w14:paraId="1A024E58"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55</w:t>
            </w:r>
          </w:p>
        </w:tc>
        <w:tc>
          <w:tcPr>
            <w:tcW w:w="2098" w:type="dxa"/>
            <w:shd w:val="clear" w:color="auto" w:fill="auto"/>
            <w:tcMar>
              <w:top w:w="12" w:type="dxa"/>
              <w:left w:w="51" w:type="dxa"/>
              <w:bottom w:w="0" w:type="dxa"/>
              <w:right w:w="51" w:type="dxa"/>
            </w:tcMar>
            <w:vAlign w:val="center"/>
            <w:hideMark/>
          </w:tcPr>
          <w:p w14:paraId="658433E6"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20</w:t>
            </w:r>
          </w:p>
        </w:tc>
      </w:tr>
      <w:tr w:rsidR="00B16D9B" w:rsidRPr="00D22450" w14:paraId="5B8A3BD2" w14:textId="77777777" w:rsidTr="008E516C">
        <w:trPr>
          <w:trHeight w:val="182"/>
          <w:jc w:val="center"/>
        </w:trPr>
        <w:tc>
          <w:tcPr>
            <w:tcW w:w="9356" w:type="dxa"/>
            <w:gridSpan w:val="4"/>
            <w:shd w:val="clear" w:color="auto" w:fill="auto"/>
            <w:tcMar>
              <w:top w:w="12" w:type="dxa"/>
              <w:left w:w="51" w:type="dxa"/>
              <w:bottom w:w="0" w:type="dxa"/>
              <w:right w:w="51" w:type="dxa"/>
            </w:tcMar>
            <w:vAlign w:val="center"/>
            <w:hideMark/>
          </w:tcPr>
          <w:p w14:paraId="5EC23579" w14:textId="3D8F685F" w:rsidR="00B16D9B" w:rsidRPr="00D22450" w:rsidRDefault="00B16D9B" w:rsidP="00D22450">
            <w:pPr>
              <w:autoSpaceDE w:val="0"/>
              <w:autoSpaceDN w:val="0"/>
              <w:adjustRightInd w:val="0"/>
              <w:snapToGrid w:val="0"/>
              <w:spacing w:line="360" w:lineRule="auto"/>
              <w:jc w:val="both"/>
              <w:rPr>
                <w:rFonts w:ascii="Book Antiqua" w:hAnsi="Book Antiqua" w:cs="Arial"/>
                <w:bCs/>
              </w:rPr>
            </w:pPr>
            <w:r w:rsidRPr="00D22450">
              <w:rPr>
                <w:rFonts w:ascii="Book Antiqua" w:hAnsi="Book Antiqua" w:cs="Arial"/>
                <w:bCs/>
              </w:rPr>
              <w:t>Blood serum tests</w:t>
            </w:r>
          </w:p>
        </w:tc>
      </w:tr>
      <w:tr w:rsidR="00B16D9B" w:rsidRPr="00D22450" w14:paraId="1272BF16"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6125D176"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AST (IU/L)</w:t>
            </w:r>
          </w:p>
        </w:tc>
        <w:tc>
          <w:tcPr>
            <w:tcW w:w="2268" w:type="dxa"/>
            <w:shd w:val="clear" w:color="auto" w:fill="auto"/>
            <w:tcMar>
              <w:top w:w="12" w:type="dxa"/>
              <w:left w:w="51" w:type="dxa"/>
              <w:bottom w:w="0" w:type="dxa"/>
              <w:right w:w="51" w:type="dxa"/>
            </w:tcMar>
            <w:vAlign w:val="center"/>
            <w:hideMark/>
          </w:tcPr>
          <w:p w14:paraId="02E18479"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47.8 ± 27.5</w:t>
            </w:r>
          </w:p>
        </w:tc>
        <w:tc>
          <w:tcPr>
            <w:tcW w:w="1875" w:type="dxa"/>
            <w:shd w:val="clear" w:color="auto" w:fill="auto"/>
            <w:tcMar>
              <w:top w:w="12" w:type="dxa"/>
              <w:left w:w="51" w:type="dxa"/>
              <w:bottom w:w="0" w:type="dxa"/>
              <w:right w:w="51" w:type="dxa"/>
            </w:tcMar>
            <w:vAlign w:val="center"/>
            <w:hideMark/>
          </w:tcPr>
          <w:p w14:paraId="20A3B8F3"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56.4 ± 29.8</w:t>
            </w:r>
          </w:p>
        </w:tc>
        <w:tc>
          <w:tcPr>
            <w:tcW w:w="2098" w:type="dxa"/>
            <w:shd w:val="clear" w:color="auto" w:fill="auto"/>
            <w:tcMar>
              <w:top w:w="12" w:type="dxa"/>
              <w:left w:w="51" w:type="dxa"/>
              <w:bottom w:w="0" w:type="dxa"/>
              <w:right w:w="51" w:type="dxa"/>
            </w:tcMar>
            <w:vAlign w:val="center"/>
            <w:hideMark/>
          </w:tcPr>
          <w:p w14:paraId="43FB1573" w14:textId="102D2CAA"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34.8 ± 17.1</w:t>
            </w:r>
            <w:r w:rsidRPr="00D22450">
              <w:rPr>
                <w:rFonts w:ascii="Book Antiqua" w:hAnsi="Book Antiqua" w:cs="Arial"/>
                <w:vertAlign w:val="superscript"/>
              </w:rPr>
              <w:t>c</w:t>
            </w:r>
          </w:p>
        </w:tc>
      </w:tr>
      <w:tr w:rsidR="00B16D9B" w:rsidRPr="00D22450" w14:paraId="623295B4"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57196E75"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ALT (IU/L)</w:t>
            </w:r>
          </w:p>
        </w:tc>
        <w:tc>
          <w:tcPr>
            <w:tcW w:w="2268" w:type="dxa"/>
            <w:shd w:val="clear" w:color="auto" w:fill="auto"/>
            <w:tcMar>
              <w:top w:w="12" w:type="dxa"/>
              <w:left w:w="51" w:type="dxa"/>
              <w:bottom w:w="0" w:type="dxa"/>
              <w:right w:w="51" w:type="dxa"/>
            </w:tcMar>
            <w:vAlign w:val="center"/>
            <w:hideMark/>
          </w:tcPr>
          <w:p w14:paraId="05AF5294"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59.8 ± 49.3</w:t>
            </w:r>
          </w:p>
        </w:tc>
        <w:tc>
          <w:tcPr>
            <w:tcW w:w="1875" w:type="dxa"/>
            <w:shd w:val="clear" w:color="auto" w:fill="auto"/>
            <w:tcMar>
              <w:top w:w="12" w:type="dxa"/>
              <w:left w:w="51" w:type="dxa"/>
              <w:bottom w:w="0" w:type="dxa"/>
              <w:right w:w="51" w:type="dxa"/>
            </w:tcMar>
            <w:vAlign w:val="center"/>
            <w:hideMark/>
          </w:tcPr>
          <w:p w14:paraId="31FFA39A"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71.3 ± 51.5</w:t>
            </w:r>
          </w:p>
        </w:tc>
        <w:tc>
          <w:tcPr>
            <w:tcW w:w="2098" w:type="dxa"/>
            <w:shd w:val="clear" w:color="auto" w:fill="auto"/>
            <w:tcMar>
              <w:top w:w="12" w:type="dxa"/>
              <w:left w:w="51" w:type="dxa"/>
              <w:bottom w:w="0" w:type="dxa"/>
              <w:right w:w="51" w:type="dxa"/>
            </w:tcMar>
            <w:vAlign w:val="center"/>
            <w:hideMark/>
          </w:tcPr>
          <w:p w14:paraId="37340863" w14:textId="2328A80C"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42.6 ± 41.4</w:t>
            </w:r>
            <w:r w:rsidRPr="00D22450">
              <w:rPr>
                <w:rFonts w:ascii="Book Antiqua" w:hAnsi="Book Antiqua" w:cs="Arial"/>
                <w:vertAlign w:val="superscript"/>
              </w:rPr>
              <w:t>c</w:t>
            </w:r>
          </w:p>
        </w:tc>
      </w:tr>
      <w:tr w:rsidR="00B16D9B" w:rsidRPr="00D22450" w14:paraId="7E828C56" w14:textId="77777777" w:rsidTr="008E516C">
        <w:trPr>
          <w:trHeight w:val="292"/>
          <w:jc w:val="center"/>
        </w:trPr>
        <w:tc>
          <w:tcPr>
            <w:tcW w:w="3115" w:type="dxa"/>
            <w:shd w:val="clear" w:color="auto" w:fill="auto"/>
            <w:tcMar>
              <w:top w:w="12" w:type="dxa"/>
              <w:left w:w="51" w:type="dxa"/>
              <w:bottom w:w="0" w:type="dxa"/>
              <w:right w:w="51" w:type="dxa"/>
            </w:tcMar>
            <w:vAlign w:val="center"/>
            <w:hideMark/>
          </w:tcPr>
          <w:p w14:paraId="49A60F21"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GGT</w:t>
            </w:r>
          </w:p>
        </w:tc>
        <w:tc>
          <w:tcPr>
            <w:tcW w:w="2268" w:type="dxa"/>
            <w:shd w:val="clear" w:color="auto" w:fill="auto"/>
            <w:tcMar>
              <w:top w:w="12" w:type="dxa"/>
              <w:left w:w="51" w:type="dxa"/>
              <w:bottom w:w="0" w:type="dxa"/>
              <w:right w:w="51" w:type="dxa"/>
            </w:tcMar>
            <w:vAlign w:val="center"/>
            <w:hideMark/>
          </w:tcPr>
          <w:p w14:paraId="029F3EAE"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85.9 ± 78.4</w:t>
            </w:r>
          </w:p>
        </w:tc>
        <w:tc>
          <w:tcPr>
            <w:tcW w:w="1875" w:type="dxa"/>
            <w:shd w:val="clear" w:color="auto" w:fill="auto"/>
            <w:tcMar>
              <w:top w:w="12" w:type="dxa"/>
              <w:left w:w="51" w:type="dxa"/>
              <w:bottom w:w="0" w:type="dxa"/>
              <w:right w:w="51" w:type="dxa"/>
            </w:tcMar>
            <w:vAlign w:val="center"/>
            <w:hideMark/>
          </w:tcPr>
          <w:p w14:paraId="32345CF3"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97.8 ± 85.8</w:t>
            </w:r>
          </w:p>
        </w:tc>
        <w:tc>
          <w:tcPr>
            <w:tcW w:w="2098" w:type="dxa"/>
            <w:shd w:val="clear" w:color="auto" w:fill="auto"/>
            <w:tcMar>
              <w:top w:w="12" w:type="dxa"/>
              <w:left w:w="51" w:type="dxa"/>
              <w:bottom w:w="0" w:type="dxa"/>
              <w:right w:w="51" w:type="dxa"/>
            </w:tcMar>
            <w:vAlign w:val="center"/>
            <w:hideMark/>
          </w:tcPr>
          <w:p w14:paraId="1DDE918D" w14:textId="66F05B75"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69.3 ± 62.9</w:t>
            </w:r>
            <w:r w:rsidRPr="00D22450">
              <w:rPr>
                <w:rFonts w:ascii="Book Antiqua" w:hAnsi="Book Antiqua" w:cs="Arial"/>
                <w:vertAlign w:val="superscript"/>
              </w:rPr>
              <w:t>b</w:t>
            </w:r>
          </w:p>
        </w:tc>
      </w:tr>
      <w:tr w:rsidR="00B16D9B" w:rsidRPr="00D22450" w14:paraId="0519E233"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714EAF55"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Total bilirubin (mg/dL)</w:t>
            </w:r>
          </w:p>
        </w:tc>
        <w:tc>
          <w:tcPr>
            <w:tcW w:w="2268" w:type="dxa"/>
            <w:shd w:val="clear" w:color="auto" w:fill="auto"/>
            <w:tcMar>
              <w:top w:w="12" w:type="dxa"/>
              <w:left w:w="51" w:type="dxa"/>
              <w:bottom w:w="0" w:type="dxa"/>
              <w:right w:w="51" w:type="dxa"/>
            </w:tcMar>
            <w:vAlign w:val="center"/>
            <w:hideMark/>
          </w:tcPr>
          <w:p w14:paraId="72A945E3"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0.86 ± 0.4</w:t>
            </w:r>
          </w:p>
        </w:tc>
        <w:tc>
          <w:tcPr>
            <w:tcW w:w="1875" w:type="dxa"/>
            <w:shd w:val="clear" w:color="auto" w:fill="auto"/>
            <w:tcMar>
              <w:top w:w="12" w:type="dxa"/>
              <w:left w:w="51" w:type="dxa"/>
              <w:bottom w:w="0" w:type="dxa"/>
              <w:right w:w="51" w:type="dxa"/>
            </w:tcMar>
            <w:vAlign w:val="center"/>
            <w:hideMark/>
          </w:tcPr>
          <w:p w14:paraId="62EB18F6"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0.8 ± 0.3</w:t>
            </w:r>
          </w:p>
        </w:tc>
        <w:tc>
          <w:tcPr>
            <w:tcW w:w="2098" w:type="dxa"/>
            <w:shd w:val="clear" w:color="auto" w:fill="auto"/>
            <w:tcMar>
              <w:top w:w="12" w:type="dxa"/>
              <w:left w:w="51" w:type="dxa"/>
              <w:bottom w:w="0" w:type="dxa"/>
              <w:right w:w="51" w:type="dxa"/>
            </w:tcMar>
            <w:vAlign w:val="center"/>
            <w:hideMark/>
          </w:tcPr>
          <w:p w14:paraId="70298D2D"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0.9 ± 0.4</w:t>
            </w:r>
          </w:p>
        </w:tc>
      </w:tr>
      <w:tr w:rsidR="00B16D9B" w:rsidRPr="00D22450" w14:paraId="2A70E0F2"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4D0772E7" w14:textId="43C577FF"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Platelets (× 10</w:t>
            </w:r>
            <w:r w:rsidRPr="00D22450">
              <w:rPr>
                <w:rFonts w:ascii="Book Antiqua" w:hAnsi="Book Antiqua" w:cs="Arial"/>
                <w:vertAlign w:val="superscript"/>
              </w:rPr>
              <w:t>4</w:t>
            </w:r>
            <w:r w:rsidRPr="00D22450">
              <w:rPr>
                <w:rFonts w:ascii="Book Antiqua" w:hAnsi="Book Antiqua" w:cs="Arial"/>
              </w:rPr>
              <w:t>/μL)</w:t>
            </w:r>
          </w:p>
        </w:tc>
        <w:tc>
          <w:tcPr>
            <w:tcW w:w="2268" w:type="dxa"/>
            <w:shd w:val="clear" w:color="auto" w:fill="auto"/>
            <w:tcMar>
              <w:top w:w="12" w:type="dxa"/>
              <w:left w:w="51" w:type="dxa"/>
              <w:bottom w:w="0" w:type="dxa"/>
              <w:right w:w="51" w:type="dxa"/>
            </w:tcMar>
            <w:vAlign w:val="center"/>
            <w:hideMark/>
          </w:tcPr>
          <w:p w14:paraId="31CFE07C"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19.4 ± 7.3</w:t>
            </w:r>
          </w:p>
        </w:tc>
        <w:tc>
          <w:tcPr>
            <w:tcW w:w="1875" w:type="dxa"/>
            <w:shd w:val="clear" w:color="auto" w:fill="auto"/>
            <w:tcMar>
              <w:top w:w="12" w:type="dxa"/>
              <w:left w:w="51" w:type="dxa"/>
              <w:bottom w:w="0" w:type="dxa"/>
              <w:right w:w="51" w:type="dxa"/>
            </w:tcMar>
            <w:vAlign w:val="center"/>
            <w:hideMark/>
          </w:tcPr>
          <w:p w14:paraId="0EE3C35A"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19.9 ± 7.5</w:t>
            </w:r>
          </w:p>
        </w:tc>
        <w:tc>
          <w:tcPr>
            <w:tcW w:w="2098" w:type="dxa"/>
            <w:shd w:val="clear" w:color="auto" w:fill="auto"/>
            <w:tcMar>
              <w:top w:w="12" w:type="dxa"/>
              <w:left w:w="51" w:type="dxa"/>
              <w:bottom w:w="0" w:type="dxa"/>
              <w:right w:w="51" w:type="dxa"/>
            </w:tcMar>
            <w:vAlign w:val="center"/>
            <w:hideMark/>
          </w:tcPr>
          <w:p w14:paraId="52CA000D"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18.8 ± 7</w:t>
            </w:r>
          </w:p>
        </w:tc>
      </w:tr>
      <w:tr w:rsidR="00B16D9B" w:rsidRPr="00D22450" w14:paraId="048A2CDF"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47725ECF"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HbA1C (%)</w:t>
            </w:r>
          </w:p>
        </w:tc>
        <w:tc>
          <w:tcPr>
            <w:tcW w:w="2268" w:type="dxa"/>
            <w:shd w:val="clear" w:color="auto" w:fill="auto"/>
            <w:tcMar>
              <w:top w:w="12" w:type="dxa"/>
              <w:left w:w="51" w:type="dxa"/>
              <w:bottom w:w="0" w:type="dxa"/>
              <w:right w:w="51" w:type="dxa"/>
            </w:tcMar>
            <w:vAlign w:val="center"/>
            <w:hideMark/>
          </w:tcPr>
          <w:p w14:paraId="09ABFC33"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6.5 ± 1.1</w:t>
            </w:r>
          </w:p>
        </w:tc>
        <w:tc>
          <w:tcPr>
            <w:tcW w:w="1875" w:type="dxa"/>
            <w:shd w:val="clear" w:color="auto" w:fill="auto"/>
            <w:tcMar>
              <w:top w:w="12" w:type="dxa"/>
              <w:left w:w="51" w:type="dxa"/>
              <w:bottom w:w="0" w:type="dxa"/>
              <w:right w:w="51" w:type="dxa"/>
            </w:tcMar>
            <w:vAlign w:val="center"/>
            <w:hideMark/>
          </w:tcPr>
          <w:p w14:paraId="25F6F191"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6.6 ± 1.0</w:t>
            </w:r>
          </w:p>
        </w:tc>
        <w:tc>
          <w:tcPr>
            <w:tcW w:w="2098" w:type="dxa"/>
            <w:shd w:val="clear" w:color="auto" w:fill="auto"/>
            <w:tcMar>
              <w:top w:w="12" w:type="dxa"/>
              <w:left w:w="51" w:type="dxa"/>
              <w:bottom w:w="0" w:type="dxa"/>
              <w:right w:w="51" w:type="dxa"/>
            </w:tcMar>
            <w:vAlign w:val="center"/>
            <w:hideMark/>
          </w:tcPr>
          <w:p w14:paraId="0D9E14A1"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6.5 ± 1.1</w:t>
            </w:r>
          </w:p>
        </w:tc>
      </w:tr>
      <w:tr w:rsidR="00B16D9B" w:rsidRPr="00D22450" w14:paraId="63227391"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43E82C52" w14:textId="45AA3EF9"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Fasting insulin (mU/mL)</w:t>
            </w:r>
          </w:p>
        </w:tc>
        <w:tc>
          <w:tcPr>
            <w:tcW w:w="2268" w:type="dxa"/>
            <w:shd w:val="clear" w:color="auto" w:fill="auto"/>
            <w:tcMar>
              <w:top w:w="12" w:type="dxa"/>
              <w:left w:w="51" w:type="dxa"/>
              <w:bottom w:w="0" w:type="dxa"/>
              <w:right w:w="51" w:type="dxa"/>
            </w:tcMar>
            <w:vAlign w:val="center"/>
            <w:hideMark/>
          </w:tcPr>
          <w:p w14:paraId="3CF9204E"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20 ± 14.2</w:t>
            </w:r>
          </w:p>
        </w:tc>
        <w:tc>
          <w:tcPr>
            <w:tcW w:w="1875" w:type="dxa"/>
            <w:shd w:val="clear" w:color="auto" w:fill="auto"/>
            <w:tcMar>
              <w:top w:w="12" w:type="dxa"/>
              <w:left w:w="51" w:type="dxa"/>
              <w:bottom w:w="0" w:type="dxa"/>
              <w:right w:w="51" w:type="dxa"/>
            </w:tcMar>
            <w:vAlign w:val="center"/>
            <w:hideMark/>
          </w:tcPr>
          <w:p w14:paraId="3C5913FF"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20.6 ± 11.6</w:t>
            </w:r>
          </w:p>
        </w:tc>
        <w:tc>
          <w:tcPr>
            <w:tcW w:w="2098" w:type="dxa"/>
            <w:shd w:val="clear" w:color="auto" w:fill="auto"/>
            <w:tcMar>
              <w:top w:w="12" w:type="dxa"/>
              <w:left w:w="51" w:type="dxa"/>
              <w:bottom w:w="0" w:type="dxa"/>
              <w:right w:w="51" w:type="dxa"/>
            </w:tcMar>
            <w:vAlign w:val="center"/>
            <w:hideMark/>
          </w:tcPr>
          <w:p w14:paraId="4060F84D"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19 ± 17.4</w:t>
            </w:r>
          </w:p>
        </w:tc>
      </w:tr>
      <w:tr w:rsidR="00B16D9B" w:rsidRPr="00D22450" w14:paraId="52A494DC" w14:textId="77777777" w:rsidTr="008E516C">
        <w:trPr>
          <w:trHeight w:val="352"/>
          <w:jc w:val="center"/>
        </w:trPr>
        <w:tc>
          <w:tcPr>
            <w:tcW w:w="3115" w:type="dxa"/>
            <w:shd w:val="clear" w:color="auto" w:fill="auto"/>
            <w:tcMar>
              <w:top w:w="12" w:type="dxa"/>
              <w:left w:w="51" w:type="dxa"/>
              <w:bottom w:w="0" w:type="dxa"/>
              <w:right w:w="51" w:type="dxa"/>
            </w:tcMar>
            <w:vAlign w:val="center"/>
            <w:hideMark/>
          </w:tcPr>
          <w:p w14:paraId="3BB87A76"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Fasting blood glucose (mg/dL)</w:t>
            </w:r>
          </w:p>
        </w:tc>
        <w:tc>
          <w:tcPr>
            <w:tcW w:w="2268" w:type="dxa"/>
            <w:shd w:val="clear" w:color="auto" w:fill="auto"/>
            <w:tcMar>
              <w:top w:w="12" w:type="dxa"/>
              <w:left w:w="51" w:type="dxa"/>
              <w:bottom w:w="0" w:type="dxa"/>
              <w:right w:w="51" w:type="dxa"/>
            </w:tcMar>
            <w:vAlign w:val="center"/>
            <w:hideMark/>
          </w:tcPr>
          <w:p w14:paraId="2F3ED337"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124 ± 34.7</w:t>
            </w:r>
          </w:p>
        </w:tc>
        <w:tc>
          <w:tcPr>
            <w:tcW w:w="1875" w:type="dxa"/>
            <w:shd w:val="clear" w:color="auto" w:fill="auto"/>
            <w:tcMar>
              <w:top w:w="12" w:type="dxa"/>
              <w:left w:w="51" w:type="dxa"/>
              <w:bottom w:w="0" w:type="dxa"/>
              <w:right w:w="51" w:type="dxa"/>
            </w:tcMar>
            <w:vAlign w:val="center"/>
            <w:hideMark/>
          </w:tcPr>
          <w:p w14:paraId="1839B05C"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126.1 ± 32.5</w:t>
            </w:r>
          </w:p>
        </w:tc>
        <w:tc>
          <w:tcPr>
            <w:tcW w:w="2098" w:type="dxa"/>
            <w:shd w:val="clear" w:color="auto" w:fill="auto"/>
            <w:tcMar>
              <w:top w:w="12" w:type="dxa"/>
              <w:left w:w="51" w:type="dxa"/>
              <w:bottom w:w="0" w:type="dxa"/>
              <w:right w:w="51" w:type="dxa"/>
            </w:tcMar>
            <w:vAlign w:val="center"/>
            <w:hideMark/>
          </w:tcPr>
          <w:p w14:paraId="782F88EB"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120.8 ± 37.8</w:t>
            </w:r>
          </w:p>
        </w:tc>
      </w:tr>
      <w:tr w:rsidR="00B16D9B" w:rsidRPr="00D22450" w14:paraId="1CBE447A"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0EEF8E92"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Albumin (g/dL)</w:t>
            </w:r>
          </w:p>
        </w:tc>
        <w:tc>
          <w:tcPr>
            <w:tcW w:w="2268" w:type="dxa"/>
            <w:shd w:val="clear" w:color="auto" w:fill="auto"/>
            <w:tcMar>
              <w:top w:w="12" w:type="dxa"/>
              <w:left w:w="51" w:type="dxa"/>
              <w:bottom w:w="0" w:type="dxa"/>
              <w:right w:w="51" w:type="dxa"/>
            </w:tcMar>
            <w:vAlign w:val="center"/>
            <w:hideMark/>
          </w:tcPr>
          <w:p w14:paraId="173D37EE"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4.3 ± 0.5</w:t>
            </w:r>
          </w:p>
        </w:tc>
        <w:tc>
          <w:tcPr>
            <w:tcW w:w="1875" w:type="dxa"/>
            <w:shd w:val="clear" w:color="auto" w:fill="auto"/>
            <w:tcMar>
              <w:top w:w="12" w:type="dxa"/>
              <w:left w:w="51" w:type="dxa"/>
              <w:bottom w:w="0" w:type="dxa"/>
              <w:right w:w="51" w:type="dxa"/>
            </w:tcMar>
            <w:vAlign w:val="center"/>
            <w:hideMark/>
          </w:tcPr>
          <w:p w14:paraId="2297647A"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4.3 ± 0.4</w:t>
            </w:r>
          </w:p>
        </w:tc>
        <w:tc>
          <w:tcPr>
            <w:tcW w:w="2098" w:type="dxa"/>
            <w:shd w:val="clear" w:color="auto" w:fill="auto"/>
            <w:tcMar>
              <w:top w:w="12" w:type="dxa"/>
              <w:left w:w="51" w:type="dxa"/>
              <w:bottom w:w="0" w:type="dxa"/>
              <w:right w:w="51" w:type="dxa"/>
            </w:tcMar>
            <w:vAlign w:val="center"/>
            <w:hideMark/>
          </w:tcPr>
          <w:p w14:paraId="24F66CF2"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4.2 ± 0.5</w:t>
            </w:r>
          </w:p>
        </w:tc>
      </w:tr>
      <w:tr w:rsidR="00B16D9B" w:rsidRPr="00D22450" w14:paraId="556E0976" w14:textId="77777777" w:rsidTr="008E516C">
        <w:trPr>
          <w:trHeight w:val="182"/>
          <w:jc w:val="center"/>
        </w:trPr>
        <w:tc>
          <w:tcPr>
            <w:tcW w:w="9356" w:type="dxa"/>
            <w:gridSpan w:val="4"/>
            <w:shd w:val="clear" w:color="auto" w:fill="auto"/>
            <w:tcMar>
              <w:top w:w="12" w:type="dxa"/>
              <w:left w:w="51" w:type="dxa"/>
              <w:bottom w:w="0" w:type="dxa"/>
              <w:right w:w="51" w:type="dxa"/>
            </w:tcMar>
            <w:vAlign w:val="center"/>
            <w:hideMark/>
          </w:tcPr>
          <w:p w14:paraId="4A55B783" w14:textId="77777777" w:rsidR="00B16D9B" w:rsidRPr="00D22450" w:rsidRDefault="00B16D9B" w:rsidP="00D22450">
            <w:pPr>
              <w:autoSpaceDE w:val="0"/>
              <w:autoSpaceDN w:val="0"/>
              <w:adjustRightInd w:val="0"/>
              <w:snapToGrid w:val="0"/>
              <w:spacing w:line="360" w:lineRule="auto"/>
              <w:jc w:val="both"/>
              <w:rPr>
                <w:rFonts w:ascii="Book Antiqua" w:hAnsi="Book Antiqua" w:cs="Arial"/>
                <w:bCs/>
              </w:rPr>
            </w:pPr>
            <w:r w:rsidRPr="00D22450">
              <w:rPr>
                <w:rFonts w:ascii="Book Antiqua" w:hAnsi="Book Antiqua" w:cs="Arial"/>
                <w:bCs/>
              </w:rPr>
              <w:t>Non-invasive test</w:t>
            </w:r>
          </w:p>
        </w:tc>
      </w:tr>
      <w:tr w:rsidR="00B16D9B" w:rsidRPr="00D22450" w14:paraId="69887390" w14:textId="77777777" w:rsidTr="008E516C">
        <w:trPr>
          <w:trHeight w:val="352"/>
          <w:jc w:val="center"/>
        </w:trPr>
        <w:tc>
          <w:tcPr>
            <w:tcW w:w="3115" w:type="dxa"/>
            <w:shd w:val="clear" w:color="auto" w:fill="auto"/>
            <w:tcMar>
              <w:top w:w="12" w:type="dxa"/>
              <w:left w:w="51" w:type="dxa"/>
              <w:bottom w:w="0" w:type="dxa"/>
              <w:right w:w="51" w:type="dxa"/>
            </w:tcMar>
            <w:vAlign w:val="center"/>
            <w:hideMark/>
          </w:tcPr>
          <w:p w14:paraId="796DCAC8"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cT1</w:t>
            </w:r>
          </w:p>
        </w:tc>
        <w:tc>
          <w:tcPr>
            <w:tcW w:w="2268" w:type="dxa"/>
            <w:shd w:val="clear" w:color="auto" w:fill="auto"/>
            <w:tcMar>
              <w:top w:w="12" w:type="dxa"/>
              <w:left w:w="51" w:type="dxa"/>
              <w:bottom w:w="0" w:type="dxa"/>
              <w:right w:w="51" w:type="dxa"/>
            </w:tcMar>
            <w:vAlign w:val="center"/>
            <w:hideMark/>
          </w:tcPr>
          <w:p w14:paraId="743A8F53" w14:textId="5773167A"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143,</w:t>
            </w:r>
            <w:r w:rsidRPr="00D22450">
              <w:rPr>
                <w:rFonts w:ascii="Book Antiqua" w:hAnsi="Book Antiqua" w:cs="Arial"/>
                <w:lang w:eastAsia="zh-CN"/>
              </w:rPr>
              <w:t xml:space="preserve"> </w:t>
            </w:r>
            <w:r w:rsidRPr="00D22450">
              <w:rPr>
                <w:rFonts w:ascii="Book Antiqua" w:hAnsi="Book Antiqua" w:cs="Arial"/>
              </w:rPr>
              <w:t>871 ± 102</w:t>
            </w:r>
          </w:p>
        </w:tc>
        <w:tc>
          <w:tcPr>
            <w:tcW w:w="1875" w:type="dxa"/>
            <w:shd w:val="clear" w:color="auto" w:fill="auto"/>
            <w:tcMar>
              <w:top w:w="12" w:type="dxa"/>
              <w:left w:w="51" w:type="dxa"/>
              <w:bottom w:w="0" w:type="dxa"/>
              <w:right w:w="51" w:type="dxa"/>
            </w:tcMar>
            <w:vAlign w:val="center"/>
            <w:hideMark/>
          </w:tcPr>
          <w:p w14:paraId="65A2AD1D" w14:textId="46501AEA"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88</w:t>
            </w:r>
            <w:r w:rsidRPr="00D22450">
              <w:rPr>
                <w:rFonts w:ascii="Book Antiqua" w:hAnsi="Book Antiqua" w:cs="Arial"/>
                <w:lang w:eastAsia="zh-CN"/>
              </w:rPr>
              <w:t xml:space="preserve">, </w:t>
            </w:r>
            <w:r w:rsidRPr="00D22450">
              <w:rPr>
                <w:rFonts w:ascii="Book Antiqua" w:hAnsi="Book Antiqua" w:cs="Arial"/>
              </w:rPr>
              <w:t>907 ± 90</w:t>
            </w:r>
          </w:p>
        </w:tc>
        <w:tc>
          <w:tcPr>
            <w:tcW w:w="2098" w:type="dxa"/>
            <w:shd w:val="clear" w:color="auto" w:fill="auto"/>
            <w:tcMar>
              <w:top w:w="12" w:type="dxa"/>
              <w:left w:w="51" w:type="dxa"/>
              <w:bottom w:w="0" w:type="dxa"/>
              <w:right w:w="51" w:type="dxa"/>
            </w:tcMar>
            <w:vAlign w:val="center"/>
            <w:hideMark/>
          </w:tcPr>
          <w:p w14:paraId="7CBC940B" w14:textId="7F98E5CE"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56,</w:t>
            </w:r>
            <w:r w:rsidRPr="00D22450">
              <w:rPr>
                <w:rFonts w:ascii="Book Antiqua" w:hAnsi="Book Antiqua" w:cs="Arial"/>
                <w:lang w:eastAsia="zh-CN"/>
              </w:rPr>
              <w:t xml:space="preserve"> </w:t>
            </w:r>
            <w:r w:rsidRPr="00D22450">
              <w:rPr>
                <w:rFonts w:ascii="Book Antiqua" w:hAnsi="Book Antiqua" w:cs="Arial"/>
              </w:rPr>
              <w:t>817 ± 96</w:t>
            </w:r>
            <w:r w:rsidRPr="00D22450">
              <w:rPr>
                <w:rFonts w:ascii="Book Antiqua" w:hAnsi="Book Antiqua" w:cs="Arial"/>
                <w:vertAlign w:val="superscript"/>
              </w:rPr>
              <w:t>c</w:t>
            </w:r>
          </w:p>
        </w:tc>
      </w:tr>
      <w:tr w:rsidR="00B16D9B" w:rsidRPr="00D22450" w14:paraId="0A6290C0" w14:textId="77777777" w:rsidTr="008E516C">
        <w:trPr>
          <w:trHeight w:val="352"/>
          <w:jc w:val="center"/>
        </w:trPr>
        <w:tc>
          <w:tcPr>
            <w:tcW w:w="3115" w:type="dxa"/>
            <w:shd w:val="clear" w:color="auto" w:fill="auto"/>
            <w:tcMar>
              <w:top w:w="12" w:type="dxa"/>
              <w:left w:w="51" w:type="dxa"/>
              <w:bottom w:w="0" w:type="dxa"/>
              <w:right w:w="51" w:type="dxa"/>
            </w:tcMar>
            <w:vAlign w:val="center"/>
            <w:hideMark/>
          </w:tcPr>
          <w:p w14:paraId="32C64809"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MR liver fat</w:t>
            </w:r>
          </w:p>
        </w:tc>
        <w:tc>
          <w:tcPr>
            <w:tcW w:w="2268" w:type="dxa"/>
            <w:shd w:val="clear" w:color="auto" w:fill="auto"/>
            <w:tcMar>
              <w:top w:w="12" w:type="dxa"/>
              <w:left w:w="51" w:type="dxa"/>
              <w:bottom w:w="0" w:type="dxa"/>
              <w:right w:w="51" w:type="dxa"/>
            </w:tcMar>
            <w:vAlign w:val="center"/>
            <w:hideMark/>
          </w:tcPr>
          <w:p w14:paraId="011B4FF2" w14:textId="393EA840"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143,</w:t>
            </w:r>
            <w:r w:rsidRPr="00D22450">
              <w:rPr>
                <w:rFonts w:ascii="Book Antiqua" w:hAnsi="Book Antiqua" w:cs="Arial"/>
                <w:lang w:eastAsia="zh-CN"/>
              </w:rPr>
              <w:t xml:space="preserve"> </w:t>
            </w:r>
            <w:r w:rsidRPr="00D22450">
              <w:rPr>
                <w:rFonts w:ascii="Book Antiqua" w:hAnsi="Book Antiqua" w:cs="Arial"/>
              </w:rPr>
              <w:t>11.4 ± 6.1</w:t>
            </w:r>
          </w:p>
        </w:tc>
        <w:tc>
          <w:tcPr>
            <w:tcW w:w="1875" w:type="dxa"/>
            <w:shd w:val="clear" w:color="auto" w:fill="auto"/>
            <w:tcMar>
              <w:top w:w="12" w:type="dxa"/>
              <w:left w:w="51" w:type="dxa"/>
              <w:bottom w:w="0" w:type="dxa"/>
              <w:right w:w="51" w:type="dxa"/>
            </w:tcMar>
            <w:vAlign w:val="center"/>
            <w:hideMark/>
          </w:tcPr>
          <w:p w14:paraId="3A3F4566" w14:textId="2C25E442"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88,</w:t>
            </w:r>
            <w:r w:rsidRPr="00D22450">
              <w:rPr>
                <w:rFonts w:ascii="Book Antiqua" w:hAnsi="Book Antiqua" w:cs="Arial"/>
                <w:lang w:eastAsia="zh-CN"/>
              </w:rPr>
              <w:t xml:space="preserve"> </w:t>
            </w:r>
            <w:r w:rsidRPr="00D22450">
              <w:rPr>
                <w:rFonts w:ascii="Book Antiqua" w:hAnsi="Book Antiqua" w:cs="Arial"/>
              </w:rPr>
              <w:t>13.6 ± 5.8</w:t>
            </w:r>
          </w:p>
        </w:tc>
        <w:tc>
          <w:tcPr>
            <w:tcW w:w="2098" w:type="dxa"/>
            <w:shd w:val="clear" w:color="auto" w:fill="auto"/>
            <w:tcMar>
              <w:top w:w="12" w:type="dxa"/>
              <w:left w:w="51" w:type="dxa"/>
              <w:bottom w:w="0" w:type="dxa"/>
              <w:right w:w="51" w:type="dxa"/>
            </w:tcMar>
            <w:vAlign w:val="center"/>
            <w:hideMark/>
          </w:tcPr>
          <w:p w14:paraId="0B139C5F" w14:textId="6619A3C6"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56,</w:t>
            </w:r>
            <w:r w:rsidRPr="00D22450">
              <w:rPr>
                <w:rFonts w:ascii="Book Antiqua" w:hAnsi="Book Antiqua" w:cs="Arial"/>
                <w:lang w:eastAsia="zh-CN"/>
              </w:rPr>
              <w:t xml:space="preserve"> </w:t>
            </w:r>
            <w:r w:rsidRPr="00D22450">
              <w:rPr>
                <w:rFonts w:ascii="Book Antiqua" w:hAnsi="Book Antiqua" w:cs="Arial"/>
              </w:rPr>
              <w:t>8.1 ± 5.1</w:t>
            </w:r>
            <w:r w:rsidRPr="00D22450">
              <w:rPr>
                <w:rFonts w:ascii="Book Antiqua" w:hAnsi="Book Antiqua" w:cs="Arial"/>
                <w:vertAlign w:val="superscript"/>
              </w:rPr>
              <w:t>c</w:t>
            </w:r>
          </w:p>
        </w:tc>
      </w:tr>
      <w:tr w:rsidR="00B16D9B" w:rsidRPr="00D22450" w14:paraId="3AB5CE84" w14:textId="77777777" w:rsidTr="008E516C">
        <w:trPr>
          <w:trHeight w:val="352"/>
          <w:jc w:val="center"/>
        </w:trPr>
        <w:tc>
          <w:tcPr>
            <w:tcW w:w="3115" w:type="dxa"/>
            <w:shd w:val="clear" w:color="auto" w:fill="auto"/>
            <w:tcMar>
              <w:top w:w="12" w:type="dxa"/>
              <w:left w:w="51" w:type="dxa"/>
              <w:bottom w:w="0" w:type="dxa"/>
              <w:right w:w="51" w:type="dxa"/>
            </w:tcMar>
            <w:vAlign w:val="center"/>
            <w:hideMark/>
          </w:tcPr>
          <w:p w14:paraId="0257DDFC"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CAP</w:t>
            </w:r>
          </w:p>
        </w:tc>
        <w:tc>
          <w:tcPr>
            <w:tcW w:w="2268" w:type="dxa"/>
            <w:shd w:val="clear" w:color="auto" w:fill="auto"/>
            <w:tcMar>
              <w:top w:w="12" w:type="dxa"/>
              <w:left w:w="51" w:type="dxa"/>
              <w:bottom w:w="0" w:type="dxa"/>
              <w:right w:w="51" w:type="dxa"/>
            </w:tcMar>
            <w:vAlign w:val="center"/>
            <w:hideMark/>
          </w:tcPr>
          <w:p w14:paraId="12C7F122" w14:textId="76994F19"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117,</w:t>
            </w:r>
            <w:r w:rsidRPr="00D22450">
              <w:rPr>
                <w:rFonts w:ascii="Book Antiqua" w:hAnsi="Book Antiqua" w:cs="Arial"/>
                <w:lang w:eastAsia="zh-CN"/>
              </w:rPr>
              <w:t xml:space="preserve"> </w:t>
            </w:r>
            <w:r w:rsidRPr="00D22450">
              <w:rPr>
                <w:rFonts w:ascii="Book Antiqua" w:hAnsi="Book Antiqua" w:cs="Arial"/>
              </w:rPr>
              <w:t>294.3 ± 47.4</w:t>
            </w:r>
          </w:p>
        </w:tc>
        <w:tc>
          <w:tcPr>
            <w:tcW w:w="1875" w:type="dxa"/>
            <w:shd w:val="clear" w:color="auto" w:fill="auto"/>
            <w:tcMar>
              <w:top w:w="12" w:type="dxa"/>
              <w:left w:w="51" w:type="dxa"/>
              <w:bottom w:w="0" w:type="dxa"/>
              <w:right w:w="51" w:type="dxa"/>
            </w:tcMar>
            <w:vAlign w:val="center"/>
            <w:hideMark/>
          </w:tcPr>
          <w:p w14:paraId="3FB44E6E" w14:textId="47D47F39"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74,</w:t>
            </w:r>
            <w:r w:rsidRPr="00D22450">
              <w:rPr>
                <w:rFonts w:ascii="Book Antiqua" w:hAnsi="Book Antiqua" w:cs="Arial"/>
                <w:lang w:eastAsia="zh-CN"/>
              </w:rPr>
              <w:t xml:space="preserve"> </w:t>
            </w:r>
            <w:r w:rsidRPr="00D22450">
              <w:rPr>
                <w:rFonts w:ascii="Book Antiqua" w:hAnsi="Book Antiqua" w:cs="Arial"/>
              </w:rPr>
              <w:t>309.1 ± 37.1</w:t>
            </w:r>
          </w:p>
        </w:tc>
        <w:tc>
          <w:tcPr>
            <w:tcW w:w="2098" w:type="dxa"/>
            <w:shd w:val="clear" w:color="auto" w:fill="auto"/>
            <w:tcMar>
              <w:top w:w="12" w:type="dxa"/>
              <w:left w:w="51" w:type="dxa"/>
              <w:bottom w:w="0" w:type="dxa"/>
              <w:right w:w="51" w:type="dxa"/>
            </w:tcMar>
            <w:vAlign w:val="center"/>
            <w:hideMark/>
          </w:tcPr>
          <w:p w14:paraId="224B3826" w14:textId="50D7D046"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43,</w:t>
            </w:r>
            <w:r w:rsidRPr="00D22450">
              <w:rPr>
                <w:rFonts w:ascii="Book Antiqua" w:hAnsi="Book Antiqua" w:cs="Arial"/>
                <w:lang w:eastAsia="zh-CN"/>
              </w:rPr>
              <w:t xml:space="preserve"> </w:t>
            </w:r>
            <w:r w:rsidRPr="00D22450">
              <w:rPr>
                <w:rFonts w:ascii="Book Antiqua" w:hAnsi="Book Antiqua" w:cs="Arial"/>
              </w:rPr>
              <w:t>268.9 ± 52.7</w:t>
            </w:r>
            <w:r w:rsidRPr="00D22450">
              <w:rPr>
                <w:rFonts w:ascii="Book Antiqua" w:hAnsi="Book Antiqua" w:cs="Arial"/>
                <w:vertAlign w:val="superscript"/>
              </w:rPr>
              <w:t>c</w:t>
            </w:r>
          </w:p>
        </w:tc>
      </w:tr>
      <w:tr w:rsidR="00B16D9B" w:rsidRPr="00D22450" w14:paraId="3022E96A" w14:textId="77777777" w:rsidTr="008E516C">
        <w:trPr>
          <w:trHeight w:val="352"/>
          <w:jc w:val="center"/>
        </w:trPr>
        <w:tc>
          <w:tcPr>
            <w:tcW w:w="3115" w:type="dxa"/>
            <w:shd w:val="clear" w:color="auto" w:fill="auto"/>
            <w:tcMar>
              <w:top w:w="12" w:type="dxa"/>
              <w:left w:w="51" w:type="dxa"/>
              <w:bottom w:w="0" w:type="dxa"/>
              <w:right w:w="51" w:type="dxa"/>
            </w:tcMar>
            <w:vAlign w:val="center"/>
            <w:hideMark/>
          </w:tcPr>
          <w:p w14:paraId="6BC07E15"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VCTE-LSM</w:t>
            </w:r>
          </w:p>
        </w:tc>
        <w:tc>
          <w:tcPr>
            <w:tcW w:w="2268" w:type="dxa"/>
            <w:shd w:val="clear" w:color="auto" w:fill="auto"/>
            <w:tcMar>
              <w:top w:w="12" w:type="dxa"/>
              <w:left w:w="51" w:type="dxa"/>
              <w:bottom w:w="0" w:type="dxa"/>
              <w:right w:w="51" w:type="dxa"/>
            </w:tcMar>
            <w:vAlign w:val="center"/>
            <w:hideMark/>
          </w:tcPr>
          <w:p w14:paraId="0EF3393B" w14:textId="4A35ECCF"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117,</w:t>
            </w:r>
            <w:r w:rsidRPr="00D22450">
              <w:rPr>
                <w:rFonts w:ascii="Book Antiqua" w:hAnsi="Book Antiqua" w:cs="Arial"/>
                <w:lang w:eastAsia="zh-CN"/>
              </w:rPr>
              <w:t xml:space="preserve"> </w:t>
            </w:r>
            <w:r w:rsidRPr="00D22450">
              <w:rPr>
                <w:rFonts w:ascii="Book Antiqua" w:hAnsi="Book Antiqua" w:cs="Arial"/>
              </w:rPr>
              <w:t>12.8 ± 9.5</w:t>
            </w:r>
          </w:p>
        </w:tc>
        <w:tc>
          <w:tcPr>
            <w:tcW w:w="1875" w:type="dxa"/>
            <w:shd w:val="clear" w:color="auto" w:fill="auto"/>
            <w:tcMar>
              <w:top w:w="12" w:type="dxa"/>
              <w:left w:w="51" w:type="dxa"/>
              <w:bottom w:w="0" w:type="dxa"/>
              <w:right w:w="51" w:type="dxa"/>
            </w:tcMar>
            <w:vAlign w:val="center"/>
            <w:hideMark/>
          </w:tcPr>
          <w:p w14:paraId="78DC4734" w14:textId="63CB6184"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74,</w:t>
            </w:r>
            <w:r w:rsidRPr="00D22450">
              <w:rPr>
                <w:rFonts w:ascii="Book Antiqua" w:hAnsi="Book Antiqua" w:cs="Arial"/>
                <w:lang w:eastAsia="zh-CN"/>
              </w:rPr>
              <w:t xml:space="preserve"> </w:t>
            </w:r>
            <w:r w:rsidRPr="00D22450">
              <w:rPr>
                <w:rFonts w:ascii="Book Antiqua" w:hAnsi="Book Antiqua" w:cs="Arial"/>
              </w:rPr>
              <w:t>13 ± 8.4</w:t>
            </w:r>
          </w:p>
        </w:tc>
        <w:tc>
          <w:tcPr>
            <w:tcW w:w="2098" w:type="dxa"/>
            <w:shd w:val="clear" w:color="auto" w:fill="auto"/>
            <w:tcMar>
              <w:top w:w="12" w:type="dxa"/>
              <w:left w:w="51" w:type="dxa"/>
              <w:bottom w:w="0" w:type="dxa"/>
              <w:right w:w="51" w:type="dxa"/>
            </w:tcMar>
            <w:vAlign w:val="center"/>
            <w:hideMark/>
          </w:tcPr>
          <w:p w14:paraId="037B66C9" w14:textId="01A44321"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 xml:space="preserve">n </w:t>
            </w:r>
            <w:r w:rsidRPr="00D22450">
              <w:rPr>
                <w:rFonts w:ascii="Book Antiqua" w:hAnsi="Book Antiqua" w:cs="Arial"/>
              </w:rPr>
              <w:t>= 43,</w:t>
            </w:r>
            <w:r w:rsidRPr="00D22450">
              <w:rPr>
                <w:rFonts w:ascii="Book Antiqua" w:hAnsi="Book Antiqua" w:cs="Arial"/>
                <w:lang w:eastAsia="zh-CN"/>
              </w:rPr>
              <w:t xml:space="preserve"> </w:t>
            </w:r>
            <w:r w:rsidRPr="00D22450">
              <w:rPr>
                <w:rFonts w:ascii="Book Antiqua" w:hAnsi="Book Antiqua" w:cs="Arial"/>
              </w:rPr>
              <w:t>12.5 ± 11.1</w:t>
            </w:r>
          </w:p>
        </w:tc>
      </w:tr>
      <w:tr w:rsidR="00B16D9B" w:rsidRPr="00D22450" w14:paraId="61BAEE3C" w14:textId="77777777" w:rsidTr="008E516C">
        <w:trPr>
          <w:trHeight w:val="352"/>
          <w:jc w:val="center"/>
        </w:trPr>
        <w:tc>
          <w:tcPr>
            <w:tcW w:w="3115" w:type="dxa"/>
            <w:shd w:val="clear" w:color="auto" w:fill="auto"/>
            <w:tcMar>
              <w:top w:w="12" w:type="dxa"/>
              <w:left w:w="51" w:type="dxa"/>
              <w:bottom w:w="0" w:type="dxa"/>
              <w:right w:w="51" w:type="dxa"/>
            </w:tcMar>
            <w:vAlign w:val="center"/>
            <w:hideMark/>
          </w:tcPr>
          <w:p w14:paraId="46614A6B"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lastRenderedPageBreak/>
              <w:t>MRE</w:t>
            </w:r>
          </w:p>
        </w:tc>
        <w:tc>
          <w:tcPr>
            <w:tcW w:w="2268" w:type="dxa"/>
            <w:shd w:val="clear" w:color="auto" w:fill="auto"/>
            <w:tcMar>
              <w:top w:w="12" w:type="dxa"/>
              <w:left w:w="51" w:type="dxa"/>
              <w:bottom w:w="0" w:type="dxa"/>
              <w:right w:w="51" w:type="dxa"/>
            </w:tcMar>
            <w:vAlign w:val="center"/>
            <w:hideMark/>
          </w:tcPr>
          <w:p w14:paraId="0B651E37" w14:textId="3B60590E"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144,</w:t>
            </w:r>
            <w:r w:rsidRPr="00D22450">
              <w:rPr>
                <w:rFonts w:ascii="Book Antiqua" w:hAnsi="Book Antiqua" w:cs="Arial"/>
                <w:lang w:eastAsia="zh-CN"/>
              </w:rPr>
              <w:t xml:space="preserve"> </w:t>
            </w:r>
            <w:r w:rsidRPr="00D22450">
              <w:rPr>
                <w:rFonts w:ascii="Book Antiqua" w:hAnsi="Book Antiqua" w:cs="Arial"/>
              </w:rPr>
              <w:t>4.2 ± 1.7</w:t>
            </w:r>
          </w:p>
        </w:tc>
        <w:tc>
          <w:tcPr>
            <w:tcW w:w="1875" w:type="dxa"/>
            <w:shd w:val="clear" w:color="auto" w:fill="auto"/>
            <w:tcMar>
              <w:top w:w="12" w:type="dxa"/>
              <w:left w:w="51" w:type="dxa"/>
              <w:bottom w:w="0" w:type="dxa"/>
              <w:right w:w="51" w:type="dxa"/>
            </w:tcMar>
            <w:vAlign w:val="center"/>
            <w:hideMark/>
          </w:tcPr>
          <w:p w14:paraId="075E2873" w14:textId="0C1574D8"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88,</w:t>
            </w:r>
            <w:r w:rsidRPr="00D22450">
              <w:rPr>
                <w:rFonts w:ascii="Book Antiqua" w:hAnsi="Book Antiqua" w:cs="Arial"/>
                <w:lang w:eastAsia="zh-CN"/>
              </w:rPr>
              <w:t xml:space="preserve"> </w:t>
            </w:r>
            <w:r w:rsidRPr="00D22450">
              <w:rPr>
                <w:rFonts w:ascii="Book Antiqua" w:hAnsi="Book Antiqua" w:cs="Arial"/>
              </w:rPr>
              <w:t>4.3 ± 1.5</w:t>
            </w:r>
          </w:p>
        </w:tc>
        <w:tc>
          <w:tcPr>
            <w:tcW w:w="2098" w:type="dxa"/>
            <w:shd w:val="clear" w:color="auto" w:fill="auto"/>
            <w:tcMar>
              <w:top w:w="12" w:type="dxa"/>
              <w:left w:w="51" w:type="dxa"/>
              <w:bottom w:w="0" w:type="dxa"/>
              <w:right w:w="51" w:type="dxa"/>
            </w:tcMar>
            <w:vAlign w:val="center"/>
            <w:hideMark/>
          </w:tcPr>
          <w:p w14:paraId="0ADD2AAD" w14:textId="5E1835EE"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56</w:t>
            </w:r>
            <w:r w:rsidRPr="00D22450">
              <w:rPr>
                <w:rFonts w:ascii="Book Antiqua" w:hAnsi="Book Antiqua" w:cs="Arial"/>
                <w:lang w:eastAsia="zh-CN"/>
              </w:rPr>
              <w:t xml:space="preserve">, </w:t>
            </w:r>
            <w:r w:rsidRPr="00D22450">
              <w:rPr>
                <w:rFonts w:ascii="Book Antiqua" w:hAnsi="Book Antiqua" w:cs="Arial"/>
              </w:rPr>
              <w:t>4.1 ± 1.9</w:t>
            </w:r>
          </w:p>
        </w:tc>
      </w:tr>
      <w:tr w:rsidR="00B16D9B" w:rsidRPr="00D22450" w14:paraId="659DEA99" w14:textId="77777777" w:rsidTr="008E516C">
        <w:trPr>
          <w:trHeight w:val="352"/>
          <w:jc w:val="center"/>
        </w:trPr>
        <w:tc>
          <w:tcPr>
            <w:tcW w:w="3115" w:type="dxa"/>
            <w:shd w:val="clear" w:color="auto" w:fill="auto"/>
            <w:tcMar>
              <w:top w:w="12" w:type="dxa"/>
              <w:left w:w="51" w:type="dxa"/>
              <w:bottom w:w="0" w:type="dxa"/>
              <w:right w:w="51" w:type="dxa"/>
            </w:tcMar>
            <w:vAlign w:val="center"/>
            <w:hideMark/>
          </w:tcPr>
          <w:p w14:paraId="5B526743"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SE</w:t>
            </w:r>
          </w:p>
        </w:tc>
        <w:tc>
          <w:tcPr>
            <w:tcW w:w="2268" w:type="dxa"/>
            <w:shd w:val="clear" w:color="auto" w:fill="auto"/>
            <w:tcMar>
              <w:top w:w="12" w:type="dxa"/>
              <w:left w:w="51" w:type="dxa"/>
              <w:bottom w:w="0" w:type="dxa"/>
              <w:right w:w="51" w:type="dxa"/>
            </w:tcMar>
            <w:vAlign w:val="center"/>
            <w:hideMark/>
          </w:tcPr>
          <w:p w14:paraId="3A734F76" w14:textId="6E1FA021"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 xml:space="preserve">n </w:t>
            </w:r>
            <w:r w:rsidRPr="00D22450">
              <w:rPr>
                <w:rFonts w:ascii="Book Antiqua" w:hAnsi="Book Antiqua" w:cs="Arial"/>
              </w:rPr>
              <w:t>= 84,</w:t>
            </w:r>
            <w:r w:rsidRPr="00D22450">
              <w:rPr>
                <w:rFonts w:ascii="Book Antiqua" w:hAnsi="Book Antiqua" w:cs="Arial"/>
                <w:lang w:eastAsia="zh-CN"/>
              </w:rPr>
              <w:t xml:space="preserve"> </w:t>
            </w:r>
            <w:r w:rsidRPr="00D22450">
              <w:rPr>
                <w:rFonts w:ascii="Book Antiqua" w:hAnsi="Book Antiqua" w:cs="Arial"/>
              </w:rPr>
              <w:t>9.3 ± 2.7</w:t>
            </w:r>
          </w:p>
        </w:tc>
        <w:tc>
          <w:tcPr>
            <w:tcW w:w="1875" w:type="dxa"/>
            <w:shd w:val="clear" w:color="auto" w:fill="auto"/>
            <w:tcMar>
              <w:top w:w="12" w:type="dxa"/>
              <w:left w:w="51" w:type="dxa"/>
              <w:bottom w:w="0" w:type="dxa"/>
              <w:right w:w="51" w:type="dxa"/>
            </w:tcMar>
            <w:vAlign w:val="center"/>
            <w:hideMark/>
          </w:tcPr>
          <w:p w14:paraId="748214F8" w14:textId="0D327BE5"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50,</w:t>
            </w:r>
            <w:r w:rsidRPr="00D22450">
              <w:rPr>
                <w:rFonts w:ascii="Book Antiqua" w:hAnsi="Book Antiqua" w:cs="Arial"/>
                <w:lang w:eastAsia="zh-CN"/>
              </w:rPr>
              <w:t xml:space="preserve"> </w:t>
            </w:r>
            <w:r w:rsidRPr="00D22450">
              <w:rPr>
                <w:rFonts w:ascii="Book Antiqua" w:hAnsi="Book Antiqua" w:cs="Arial"/>
              </w:rPr>
              <w:t>9.6 ± 2.4</w:t>
            </w:r>
          </w:p>
        </w:tc>
        <w:tc>
          <w:tcPr>
            <w:tcW w:w="2098" w:type="dxa"/>
            <w:shd w:val="clear" w:color="auto" w:fill="auto"/>
            <w:tcMar>
              <w:top w:w="12" w:type="dxa"/>
              <w:left w:w="51" w:type="dxa"/>
              <w:bottom w:w="0" w:type="dxa"/>
              <w:right w:w="51" w:type="dxa"/>
            </w:tcMar>
            <w:vAlign w:val="center"/>
            <w:hideMark/>
          </w:tcPr>
          <w:p w14:paraId="5BC9BE7F" w14:textId="27D2208E"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33</w:t>
            </w:r>
            <w:r w:rsidRPr="00D22450">
              <w:rPr>
                <w:rFonts w:ascii="Book Antiqua" w:hAnsi="Book Antiqua" w:cs="Arial"/>
                <w:lang w:eastAsia="zh-CN"/>
              </w:rPr>
              <w:t xml:space="preserve">, </w:t>
            </w:r>
            <w:r w:rsidRPr="00D22450">
              <w:rPr>
                <w:rFonts w:ascii="Book Antiqua" w:hAnsi="Book Antiqua" w:cs="Arial"/>
              </w:rPr>
              <w:t>8.8 ± 3.1</w:t>
            </w:r>
          </w:p>
        </w:tc>
      </w:tr>
      <w:tr w:rsidR="00B16D9B" w:rsidRPr="00D22450" w14:paraId="3C39BC56" w14:textId="77777777" w:rsidTr="008E516C">
        <w:trPr>
          <w:trHeight w:val="182"/>
          <w:jc w:val="center"/>
        </w:trPr>
        <w:tc>
          <w:tcPr>
            <w:tcW w:w="9356" w:type="dxa"/>
            <w:gridSpan w:val="4"/>
            <w:shd w:val="clear" w:color="auto" w:fill="auto"/>
            <w:tcMar>
              <w:top w:w="12" w:type="dxa"/>
              <w:left w:w="51" w:type="dxa"/>
              <w:bottom w:w="0" w:type="dxa"/>
              <w:right w:w="51" w:type="dxa"/>
            </w:tcMar>
            <w:vAlign w:val="center"/>
            <w:hideMark/>
          </w:tcPr>
          <w:p w14:paraId="763DCEF6" w14:textId="77777777" w:rsidR="00B16D9B" w:rsidRPr="00D22450" w:rsidRDefault="00B16D9B" w:rsidP="00D22450">
            <w:pPr>
              <w:autoSpaceDE w:val="0"/>
              <w:autoSpaceDN w:val="0"/>
              <w:adjustRightInd w:val="0"/>
              <w:snapToGrid w:val="0"/>
              <w:spacing w:line="360" w:lineRule="auto"/>
              <w:jc w:val="both"/>
              <w:rPr>
                <w:rFonts w:ascii="Book Antiqua" w:hAnsi="Book Antiqua" w:cs="Arial"/>
                <w:bCs/>
              </w:rPr>
            </w:pPr>
            <w:r w:rsidRPr="00D22450">
              <w:rPr>
                <w:rFonts w:ascii="Book Antiqua" w:hAnsi="Book Antiqua" w:cs="Arial"/>
                <w:bCs/>
              </w:rPr>
              <w:t>Reported pre-existing conditions</w:t>
            </w:r>
          </w:p>
        </w:tc>
      </w:tr>
      <w:tr w:rsidR="00B16D9B" w:rsidRPr="00D22450" w14:paraId="34A1DF2B"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0DFB0A95"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Hypertensive</w:t>
            </w:r>
          </w:p>
        </w:tc>
        <w:tc>
          <w:tcPr>
            <w:tcW w:w="2268" w:type="dxa"/>
            <w:shd w:val="clear" w:color="auto" w:fill="auto"/>
            <w:tcMar>
              <w:top w:w="12" w:type="dxa"/>
              <w:left w:w="51" w:type="dxa"/>
              <w:bottom w:w="0" w:type="dxa"/>
              <w:right w:w="51" w:type="dxa"/>
            </w:tcMar>
            <w:vAlign w:val="center"/>
            <w:hideMark/>
          </w:tcPr>
          <w:p w14:paraId="72D1B9B6"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71</w:t>
            </w:r>
          </w:p>
        </w:tc>
        <w:tc>
          <w:tcPr>
            <w:tcW w:w="1875" w:type="dxa"/>
            <w:shd w:val="clear" w:color="auto" w:fill="auto"/>
            <w:tcMar>
              <w:top w:w="12" w:type="dxa"/>
              <w:left w:w="51" w:type="dxa"/>
              <w:bottom w:w="0" w:type="dxa"/>
              <w:right w:w="51" w:type="dxa"/>
            </w:tcMar>
            <w:vAlign w:val="center"/>
            <w:hideMark/>
          </w:tcPr>
          <w:p w14:paraId="72CE752C"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45</w:t>
            </w:r>
          </w:p>
        </w:tc>
        <w:tc>
          <w:tcPr>
            <w:tcW w:w="2098" w:type="dxa"/>
            <w:shd w:val="clear" w:color="auto" w:fill="auto"/>
            <w:tcMar>
              <w:top w:w="12" w:type="dxa"/>
              <w:left w:w="51" w:type="dxa"/>
              <w:bottom w:w="0" w:type="dxa"/>
              <w:right w:w="51" w:type="dxa"/>
            </w:tcMar>
            <w:vAlign w:val="center"/>
            <w:hideMark/>
          </w:tcPr>
          <w:p w14:paraId="75721523"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26</w:t>
            </w:r>
          </w:p>
        </w:tc>
      </w:tr>
      <w:tr w:rsidR="00B16D9B" w:rsidRPr="00D22450" w14:paraId="07050FDF"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40FB4D69"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Dyslipidaemic</w:t>
            </w:r>
          </w:p>
        </w:tc>
        <w:tc>
          <w:tcPr>
            <w:tcW w:w="2268" w:type="dxa"/>
            <w:shd w:val="clear" w:color="auto" w:fill="auto"/>
            <w:tcMar>
              <w:top w:w="12" w:type="dxa"/>
              <w:left w:w="51" w:type="dxa"/>
              <w:bottom w:w="0" w:type="dxa"/>
              <w:right w:w="51" w:type="dxa"/>
            </w:tcMar>
            <w:vAlign w:val="center"/>
            <w:hideMark/>
          </w:tcPr>
          <w:p w14:paraId="03D5985B"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111</w:t>
            </w:r>
          </w:p>
        </w:tc>
        <w:tc>
          <w:tcPr>
            <w:tcW w:w="1875" w:type="dxa"/>
            <w:shd w:val="clear" w:color="auto" w:fill="auto"/>
            <w:tcMar>
              <w:top w:w="12" w:type="dxa"/>
              <w:left w:w="51" w:type="dxa"/>
              <w:bottom w:w="0" w:type="dxa"/>
              <w:right w:w="51" w:type="dxa"/>
            </w:tcMar>
            <w:vAlign w:val="center"/>
            <w:hideMark/>
          </w:tcPr>
          <w:p w14:paraId="34427B0E"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72</w:t>
            </w:r>
          </w:p>
        </w:tc>
        <w:tc>
          <w:tcPr>
            <w:tcW w:w="2098" w:type="dxa"/>
            <w:shd w:val="clear" w:color="auto" w:fill="auto"/>
            <w:tcMar>
              <w:top w:w="12" w:type="dxa"/>
              <w:left w:w="51" w:type="dxa"/>
              <w:bottom w:w="0" w:type="dxa"/>
              <w:right w:w="51" w:type="dxa"/>
            </w:tcMar>
            <w:vAlign w:val="center"/>
            <w:hideMark/>
          </w:tcPr>
          <w:p w14:paraId="75779110"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39</w:t>
            </w:r>
          </w:p>
        </w:tc>
      </w:tr>
      <w:tr w:rsidR="00B16D9B" w:rsidRPr="00D22450" w14:paraId="2D975D02"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683E97A1"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Reported as diabetic</w:t>
            </w:r>
          </w:p>
        </w:tc>
        <w:tc>
          <w:tcPr>
            <w:tcW w:w="2268" w:type="dxa"/>
            <w:shd w:val="clear" w:color="auto" w:fill="auto"/>
            <w:tcMar>
              <w:top w:w="12" w:type="dxa"/>
              <w:left w:w="51" w:type="dxa"/>
              <w:bottom w:w="0" w:type="dxa"/>
              <w:right w:w="51" w:type="dxa"/>
            </w:tcMar>
            <w:vAlign w:val="center"/>
            <w:hideMark/>
          </w:tcPr>
          <w:p w14:paraId="444BEF7A"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97</w:t>
            </w:r>
          </w:p>
        </w:tc>
        <w:tc>
          <w:tcPr>
            <w:tcW w:w="1875" w:type="dxa"/>
            <w:shd w:val="clear" w:color="auto" w:fill="auto"/>
            <w:tcMar>
              <w:top w:w="12" w:type="dxa"/>
              <w:left w:w="51" w:type="dxa"/>
              <w:bottom w:w="0" w:type="dxa"/>
              <w:right w:w="51" w:type="dxa"/>
            </w:tcMar>
            <w:vAlign w:val="center"/>
            <w:hideMark/>
          </w:tcPr>
          <w:p w14:paraId="302EFC0E"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59</w:t>
            </w:r>
          </w:p>
        </w:tc>
        <w:tc>
          <w:tcPr>
            <w:tcW w:w="2098" w:type="dxa"/>
            <w:shd w:val="clear" w:color="auto" w:fill="auto"/>
            <w:tcMar>
              <w:top w:w="12" w:type="dxa"/>
              <w:left w:w="51" w:type="dxa"/>
              <w:bottom w:w="0" w:type="dxa"/>
              <w:right w:w="51" w:type="dxa"/>
            </w:tcMar>
            <w:vAlign w:val="center"/>
            <w:hideMark/>
          </w:tcPr>
          <w:p w14:paraId="15886BAC"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38</w:t>
            </w:r>
          </w:p>
        </w:tc>
      </w:tr>
    </w:tbl>
    <w:p w14:paraId="22D7E00F" w14:textId="7BBB2C4B" w:rsidR="00B16D9B" w:rsidRPr="00D22450" w:rsidRDefault="00B16D9B" w:rsidP="00D22450">
      <w:pPr>
        <w:snapToGrid w:val="0"/>
        <w:spacing w:line="360" w:lineRule="auto"/>
        <w:jc w:val="both"/>
        <w:rPr>
          <w:rFonts w:ascii="Book Antiqua" w:hAnsi="Book Antiqua" w:cs="Arial"/>
        </w:rPr>
      </w:pPr>
      <w:r w:rsidRPr="00D22450">
        <w:rPr>
          <w:rFonts w:ascii="Book Antiqua" w:eastAsia="Book Antiqua" w:hAnsi="Book Antiqua" w:cs="Book Antiqua"/>
          <w:color w:val="000000"/>
        </w:rPr>
        <w:t xml:space="preserve">Non-alcoholic steatohepatitis (NASH) were patients with NASH clinical research network ≥ 4 with ballooning ≥ 1. Stars denote significance difference between those with NASH and non-alcoholic fatty liver these levels: </w:t>
      </w:r>
      <w:r w:rsidRPr="00D22450">
        <w:rPr>
          <w:rFonts w:ascii="Book Antiqua" w:eastAsia="Book Antiqua" w:hAnsi="Book Antiqua" w:cs="Book Antiqua"/>
          <w:color w:val="000000"/>
          <w:vertAlign w:val="superscript"/>
        </w:rPr>
        <w:t>a</w:t>
      </w:r>
      <w:r w:rsidRPr="00D22450">
        <w:rPr>
          <w:rFonts w:ascii="Book Antiqua" w:eastAsia="Book Antiqua" w:hAnsi="Book Antiqua" w:cs="Book Antiqua"/>
          <w:i/>
          <w:iCs/>
          <w:color w:val="000000"/>
        </w:rPr>
        <w:t>P</w:t>
      </w:r>
      <w:r w:rsidRPr="00D22450">
        <w:rPr>
          <w:rFonts w:ascii="Book Antiqua" w:eastAsia="Book Antiqua" w:hAnsi="Book Antiqua" w:cs="Book Antiqua"/>
          <w:color w:val="000000"/>
        </w:rPr>
        <w:t xml:space="preserve"> &lt; 0.05</w:t>
      </w:r>
      <w:r w:rsidR="0061501D">
        <w:rPr>
          <w:rFonts w:ascii="Book Antiqua" w:hAnsi="Book Antiqua" w:cs="Book Antiqua" w:hint="eastAsia"/>
          <w:color w:val="000000"/>
          <w:lang w:eastAsia="zh-CN"/>
        </w:rPr>
        <w:t xml:space="preserve">, </w:t>
      </w:r>
      <w:r w:rsidRPr="00D22450">
        <w:rPr>
          <w:rFonts w:ascii="Book Antiqua" w:eastAsia="Book Antiqua" w:hAnsi="Book Antiqua" w:cs="Book Antiqua"/>
          <w:color w:val="000000"/>
          <w:vertAlign w:val="superscript"/>
        </w:rPr>
        <w:t>b</w:t>
      </w:r>
      <w:r w:rsidRPr="00D22450">
        <w:rPr>
          <w:rFonts w:ascii="Book Antiqua" w:eastAsia="Book Antiqua" w:hAnsi="Book Antiqua" w:cs="Book Antiqua"/>
          <w:i/>
          <w:iCs/>
          <w:color w:val="000000"/>
        </w:rPr>
        <w:t>P</w:t>
      </w:r>
      <w:r w:rsidRPr="00D22450">
        <w:rPr>
          <w:rFonts w:ascii="Book Antiqua" w:eastAsia="Book Antiqua" w:hAnsi="Book Antiqua" w:cs="Book Antiqua"/>
          <w:color w:val="000000"/>
        </w:rPr>
        <w:t xml:space="preserve"> &lt; 0.01</w:t>
      </w:r>
      <w:r w:rsidR="0061501D">
        <w:rPr>
          <w:rFonts w:ascii="Book Antiqua" w:hAnsi="Book Antiqua" w:cs="Book Antiqua" w:hint="eastAsia"/>
          <w:color w:val="000000"/>
          <w:lang w:eastAsia="zh-CN"/>
        </w:rPr>
        <w:t xml:space="preserve">, </w:t>
      </w:r>
      <w:r w:rsidRPr="00D22450">
        <w:rPr>
          <w:rFonts w:ascii="Book Antiqua" w:eastAsia="Book Antiqua" w:hAnsi="Book Antiqua" w:cs="Book Antiqua"/>
          <w:color w:val="000000"/>
          <w:vertAlign w:val="superscript"/>
        </w:rPr>
        <w:t>c</w:t>
      </w:r>
      <w:r w:rsidRPr="00D22450">
        <w:rPr>
          <w:rFonts w:ascii="Book Antiqua" w:eastAsia="Book Antiqua" w:hAnsi="Book Antiqua" w:cs="Book Antiqua"/>
          <w:i/>
          <w:iCs/>
          <w:color w:val="000000"/>
        </w:rPr>
        <w:t xml:space="preserve">P </w:t>
      </w:r>
      <w:r w:rsidRPr="00D22450">
        <w:rPr>
          <w:rFonts w:ascii="Book Antiqua" w:eastAsia="Book Antiqua" w:hAnsi="Book Antiqua" w:cs="Book Antiqua"/>
          <w:color w:val="000000"/>
        </w:rPr>
        <w:t>&lt; 0.001.</w:t>
      </w:r>
      <w:r w:rsidR="00FD5CAE" w:rsidRPr="00D22450">
        <w:rPr>
          <w:rFonts w:ascii="Book Antiqua" w:eastAsia="Book Antiqua" w:hAnsi="Book Antiqua" w:cs="Book Antiqua"/>
          <w:color w:val="000000"/>
        </w:rPr>
        <w:t xml:space="preserve"> MRE: Magnetic resonance elastography; </w:t>
      </w:r>
      <w:r w:rsidR="00FD5CAE" w:rsidRPr="00D22450">
        <w:rPr>
          <w:rFonts w:ascii="Book Antiqua" w:hAnsi="Book Antiqua" w:cs="Arial"/>
        </w:rPr>
        <w:t xml:space="preserve">CAP: </w:t>
      </w:r>
      <w:r w:rsidR="00FD5CAE" w:rsidRPr="00D22450">
        <w:rPr>
          <w:rFonts w:ascii="Book Antiqua" w:eastAsia="Book Antiqua" w:hAnsi="Book Antiqua" w:cs="Book Antiqua"/>
          <w:color w:val="000000"/>
        </w:rPr>
        <w:t xml:space="preserve">Controlled-attenuation parameter; VCTE: Vibration-controlled transient elastography; cT1: Corrected T1; </w:t>
      </w:r>
      <w:r w:rsidR="00FD5CAE" w:rsidRPr="00D22450">
        <w:rPr>
          <w:rFonts w:ascii="Book Antiqua" w:hAnsi="Book Antiqua" w:cs="Arial"/>
        </w:rPr>
        <w:t>BMI</w:t>
      </w:r>
      <w:r w:rsidR="00FD5CAE" w:rsidRPr="00D22450">
        <w:rPr>
          <w:rFonts w:ascii="Book Antiqua" w:eastAsia="Book Antiqua" w:hAnsi="Book Antiqua" w:cs="Book Antiqua"/>
          <w:color w:val="000000"/>
        </w:rPr>
        <w:t>: Body mass index</w:t>
      </w:r>
      <w:r w:rsidR="000D3AF4" w:rsidRPr="00D22450">
        <w:rPr>
          <w:rFonts w:ascii="Book Antiqua" w:eastAsia="Book Antiqua" w:hAnsi="Book Antiqua" w:cs="Book Antiqua"/>
          <w:color w:val="000000"/>
        </w:rPr>
        <w:t xml:space="preserve">; NASH: Non-alcoholic steatohepatitis; </w:t>
      </w:r>
      <w:r w:rsidR="000D3AF4" w:rsidRPr="00D22450">
        <w:rPr>
          <w:rFonts w:ascii="Book Antiqua" w:hAnsi="Book Antiqua" w:cs="Arial"/>
        </w:rPr>
        <w:t>NAFL</w:t>
      </w:r>
      <w:r w:rsidR="000D3AF4" w:rsidRPr="00D22450">
        <w:rPr>
          <w:rFonts w:ascii="Book Antiqua" w:eastAsia="Book Antiqua" w:hAnsi="Book Antiqua" w:cs="Book Antiqua"/>
          <w:color w:val="000000"/>
        </w:rPr>
        <w:t>: Non-alcoholic fatty liver.</w:t>
      </w:r>
    </w:p>
    <w:p w14:paraId="4EBB5A1E" w14:textId="77777777" w:rsidR="00B16D9B" w:rsidRPr="00D22450" w:rsidRDefault="00B16D9B" w:rsidP="00D22450">
      <w:pPr>
        <w:snapToGrid w:val="0"/>
        <w:spacing w:line="360" w:lineRule="auto"/>
        <w:jc w:val="both"/>
        <w:rPr>
          <w:rFonts w:ascii="Book Antiqua" w:hAnsi="Book Antiqua" w:cs="Arial"/>
          <w:b/>
          <w:bCs/>
        </w:rPr>
      </w:pPr>
      <w:r w:rsidRPr="00D22450">
        <w:rPr>
          <w:rFonts w:ascii="Book Antiqua" w:hAnsi="Book Antiqua" w:cs="Arial"/>
          <w:b/>
          <w:bCs/>
        </w:rPr>
        <w:br w:type="page"/>
      </w:r>
    </w:p>
    <w:p w14:paraId="531E79A5" w14:textId="139E8BB6" w:rsidR="00B16D9B" w:rsidRPr="00EF25AE" w:rsidRDefault="00B16D9B" w:rsidP="00EF25AE">
      <w:pPr>
        <w:adjustRightInd w:val="0"/>
        <w:snapToGrid w:val="0"/>
        <w:spacing w:line="360" w:lineRule="auto"/>
        <w:jc w:val="both"/>
        <w:rPr>
          <w:rFonts w:ascii="Book Antiqua" w:eastAsia="Book Antiqua" w:hAnsi="Book Antiqua" w:cs="Book Antiqua"/>
          <w:b/>
          <w:bCs/>
          <w:color w:val="000000"/>
        </w:rPr>
      </w:pPr>
      <w:r w:rsidRPr="00EF25AE">
        <w:rPr>
          <w:rFonts w:ascii="Book Antiqua" w:eastAsia="Book Antiqua" w:hAnsi="Book Antiqua" w:cs="Book Antiqua"/>
          <w:b/>
          <w:bCs/>
          <w:color w:val="000000"/>
        </w:rPr>
        <w:lastRenderedPageBreak/>
        <w:t xml:space="preserve">Table </w:t>
      </w:r>
      <w:r w:rsidR="00D22450" w:rsidRPr="00EF25AE">
        <w:rPr>
          <w:rFonts w:ascii="Book Antiqua" w:eastAsia="Book Antiqua" w:hAnsi="Book Antiqua" w:cs="Book Antiqua"/>
          <w:b/>
          <w:bCs/>
          <w:color w:val="000000"/>
        </w:rPr>
        <w:t>2</w:t>
      </w:r>
      <w:r w:rsidR="000D3AF4" w:rsidRPr="00EF25AE">
        <w:rPr>
          <w:rFonts w:ascii="Book Antiqua" w:eastAsia="Book Antiqua" w:hAnsi="Book Antiqua" w:cs="Book Antiqua"/>
          <w:b/>
          <w:bCs/>
          <w:color w:val="000000"/>
        </w:rPr>
        <w:t xml:space="preserve"> </w:t>
      </w:r>
      <w:r w:rsidRPr="00EF25AE">
        <w:rPr>
          <w:rFonts w:ascii="Book Antiqua" w:eastAsia="Book Antiqua" w:hAnsi="Book Antiqua" w:cs="Book Antiqua"/>
          <w:b/>
          <w:bCs/>
          <w:color w:val="000000"/>
        </w:rPr>
        <w:t>Range of histology scores rep</w:t>
      </w:r>
      <w:r w:rsidR="000D3AF4" w:rsidRPr="00EF25AE">
        <w:rPr>
          <w:rFonts w:ascii="Book Antiqua" w:eastAsia="Book Antiqua" w:hAnsi="Book Antiqua" w:cs="Book Antiqua"/>
          <w:b/>
          <w:bCs/>
          <w:color w:val="000000"/>
        </w:rPr>
        <w:t>orted across the entire cohort</w:t>
      </w:r>
    </w:p>
    <w:tbl>
      <w:tblPr>
        <w:tblW w:w="8376" w:type="dxa"/>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589"/>
        <w:gridCol w:w="1079"/>
        <w:gridCol w:w="1519"/>
        <w:gridCol w:w="1608"/>
        <w:gridCol w:w="1581"/>
      </w:tblGrid>
      <w:tr w:rsidR="008B7FA5" w:rsidRPr="00D22450" w14:paraId="6EF6E671" w14:textId="77777777" w:rsidTr="004A3C86">
        <w:trPr>
          <w:trHeight w:val="232"/>
          <w:jc w:val="center"/>
        </w:trPr>
        <w:tc>
          <w:tcPr>
            <w:tcW w:w="8376" w:type="dxa"/>
            <w:gridSpan w:val="5"/>
            <w:tcBorders>
              <w:top w:val="single" w:sz="4" w:space="0" w:color="auto"/>
              <w:bottom w:val="single" w:sz="4" w:space="0" w:color="auto"/>
            </w:tcBorders>
            <w:shd w:val="clear" w:color="auto" w:fill="auto"/>
            <w:tcMar>
              <w:top w:w="15" w:type="dxa"/>
              <w:left w:w="108" w:type="dxa"/>
              <w:bottom w:w="0" w:type="dxa"/>
              <w:right w:w="108" w:type="dxa"/>
            </w:tcMar>
            <w:hideMark/>
          </w:tcPr>
          <w:p w14:paraId="1EEFC21F" w14:textId="4A37B62F" w:rsidR="008B7FA5" w:rsidRPr="00D22450" w:rsidRDefault="008B7FA5" w:rsidP="00D22450">
            <w:pPr>
              <w:snapToGrid w:val="0"/>
              <w:spacing w:line="360" w:lineRule="auto"/>
              <w:jc w:val="both"/>
              <w:rPr>
                <w:rFonts w:ascii="Book Antiqua" w:hAnsi="Book Antiqua" w:cs="Arial"/>
                <w:b/>
              </w:rPr>
            </w:pPr>
            <w:r w:rsidRPr="00D22450">
              <w:rPr>
                <w:rFonts w:ascii="Book Antiqua" w:hAnsi="Book Antiqua" w:cs="Arial"/>
                <w:b/>
              </w:rPr>
              <w:t>Histology scores from biopsy (</w:t>
            </w:r>
            <w:r w:rsidRPr="00D22450">
              <w:rPr>
                <w:rFonts w:ascii="Book Antiqua" w:hAnsi="Book Antiqua" w:cs="Arial"/>
                <w:b/>
                <w:i/>
              </w:rPr>
              <w:t>n</w:t>
            </w:r>
            <w:r w:rsidRPr="00D22450">
              <w:rPr>
                <w:rFonts w:ascii="Book Antiqua" w:hAnsi="Book Antiqua" w:cs="Arial"/>
                <w:b/>
              </w:rPr>
              <w:t xml:space="preserve"> = 144)</w:t>
            </w:r>
          </w:p>
        </w:tc>
      </w:tr>
      <w:tr w:rsidR="008B7FA5" w:rsidRPr="00D22450" w14:paraId="7DB4C9CA" w14:textId="77777777" w:rsidTr="004A3C86">
        <w:trPr>
          <w:trHeight w:val="232"/>
          <w:jc w:val="center"/>
        </w:trPr>
        <w:tc>
          <w:tcPr>
            <w:tcW w:w="2589" w:type="dxa"/>
            <w:tcBorders>
              <w:top w:val="single" w:sz="4" w:space="0" w:color="auto"/>
              <w:bottom w:val="single" w:sz="4" w:space="0" w:color="auto"/>
            </w:tcBorders>
            <w:shd w:val="clear" w:color="auto" w:fill="auto"/>
            <w:tcMar>
              <w:top w:w="15" w:type="dxa"/>
              <w:left w:w="108" w:type="dxa"/>
              <w:bottom w:w="0" w:type="dxa"/>
              <w:right w:w="108" w:type="dxa"/>
            </w:tcMar>
          </w:tcPr>
          <w:p w14:paraId="73BD06A8" w14:textId="77777777" w:rsidR="008B7FA5" w:rsidRPr="00D22450" w:rsidRDefault="008B7FA5" w:rsidP="00D22450">
            <w:pPr>
              <w:snapToGrid w:val="0"/>
              <w:spacing w:line="360" w:lineRule="auto"/>
              <w:jc w:val="both"/>
              <w:rPr>
                <w:rFonts w:ascii="Book Antiqua" w:hAnsi="Book Antiqua" w:cs="Arial"/>
                <w:b/>
              </w:rPr>
            </w:pPr>
          </w:p>
        </w:tc>
        <w:tc>
          <w:tcPr>
            <w:tcW w:w="1079" w:type="dxa"/>
            <w:tcBorders>
              <w:top w:val="single" w:sz="4" w:space="0" w:color="auto"/>
              <w:bottom w:val="single" w:sz="4" w:space="0" w:color="auto"/>
            </w:tcBorders>
            <w:shd w:val="clear" w:color="auto" w:fill="auto"/>
            <w:tcMar>
              <w:top w:w="15" w:type="dxa"/>
              <w:left w:w="15" w:type="dxa"/>
              <w:bottom w:w="0" w:type="dxa"/>
              <w:right w:w="15" w:type="dxa"/>
            </w:tcMar>
          </w:tcPr>
          <w:p w14:paraId="35B5552A" w14:textId="6DFE148D" w:rsidR="008B7FA5" w:rsidRPr="00D22450" w:rsidRDefault="008B7FA5" w:rsidP="00D22450">
            <w:pPr>
              <w:snapToGrid w:val="0"/>
              <w:spacing w:line="360" w:lineRule="auto"/>
              <w:jc w:val="both"/>
              <w:rPr>
                <w:rFonts w:ascii="Book Antiqua" w:hAnsi="Book Antiqua" w:cs="Arial"/>
                <w:b/>
              </w:rPr>
            </w:pPr>
            <w:r w:rsidRPr="00D22450">
              <w:rPr>
                <w:rFonts w:ascii="Book Antiqua" w:hAnsi="Book Antiqua" w:cs="Arial"/>
                <w:b/>
              </w:rPr>
              <w:t>Score</w:t>
            </w:r>
          </w:p>
        </w:tc>
        <w:tc>
          <w:tcPr>
            <w:tcW w:w="1519" w:type="dxa"/>
            <w:tcBorders>
              <w:top w:val="single" w:sz="4" w:space="0" w:color="auto"/>
              <w:bottom w:val="single" w:sz="4" w:space="0" w:color="auto"/>
            </w:tcBorders>
            <w:shd w:val="clear" w:color="auto" w:fill="auto"/>
            <w:tcMar>
              <w:top w:w="15" w:type="dxa"/>
              <w:left w:w="108" w:type="dxa"/>
              <w:bottom w:w="0" w:type="dxa"/>
              <w:right w:w="108" w:type="dxa"/>
            </w:tcMar>
          </w:tcPr>
          <w:p w14:paraId="089108F3" w14:textId="476749ED" w:rsidR="008B7FA5" w:rsidRPr="00D22450" w:rsidRDefault="008B7FA5" w:rsidP="00D22450">
            <w:pPr>
              <w:snapToGrid w:val="0"/>
              <w:spacing w:line="360" w:lineRule="auto"/>
              <w:jc w:val="both"/>
              <w:rPr>
                <w:rFonts w:ascii="Book Antiqua" w:hAnsi="Book Antiqua" w:cs="Arial"/>
                <w:b/>
              </w:rPr>
            </w:pPr>
            <w:r w:rsidRPr="00D22450">
              <w:rPr>
                <w:rFonts w:ascii="Book Antiqua" w:hAnsi="Book Antiqua" w:cs="Arial"/>
                <w:b/>
              </w:rPr>
              <w:t>Total</w:t>
            </w:r>
          </w:p>
        </w:tc>
        <w:tc>
          <w:tcPr>
            <w:tcW w:w="1608" w:type="dxa"/>
            <w:tcBorders>
              <w:top w:val="single" w:sz="4" w:space="0" w:color="auto"/>
              <w:bottom w:val="single" w:sz="4" w:space="0" w:color="auto"/>
            </w:tcBorders>
            <w:shd w:val="clear" w:color="auto" w:fill="auto"/>
            <w:tcMar>
              <w:top w:w="15" w:type="dxa"/>
              <w:left w:w="108" w:type="dxa"/>
              <w:bottom w:w="0" w:type="dxa"/>
              <w:right w:w="108" w:type="dxa"/>
            </w:tcMar>
          </w:tcPr>
          <w:p w14:paraId="3F10F9D7" w14:textId="608BE7BB" w:rsidR="008B7FA5" w:rsidRPr="00D22450" w:rsidRDefault="008B7FA5" w:rsidP="00D22450">
            <w:pPr>
              <w:snapToGrid w:val="0"/>
              <w:spacing w:line="360" w:lineRule="auto"/>
              <w:jc w:val="both"/>
              <w:rPr>
                <w:rFonts w:ascii="Book Antiqua" w:hAnsi="Book Antiqua" w:cs="Arial"/>
                <w:b/>
              </w:rPr>
            </w:pPr>
            <w:r w:rsidRPr="00D22450">
              <w:rPr>
                <w:rFonts w:ascii="Book Antiqua" w:hAnsi="Book Antiqua" w:cs="Arial"/>
                <w:b/>
              </w:rPr>
              <w:t>NASH</w:t>
            </w:r>
          </w:p>
        </w:tc>
        <w:tc>
          <w:tcPr>
            <w:tcW w:w="1581" w:type="dxa"/>
            <w:tcBorders>
              <w:top w:val="single" w:sz="4" w:space="0" w:color="auto"/>
              <w:bottom w:val="single" w:sz="4" w:space="0" w:color="auto"/>
            </w:tcBorders>
            <w:shd w:val="clear" w:color="auto" w:fill="auto"/>
            <w:tcMar>
              <w:top w:w="15" w:type="dxa"/>
              <w:left w:w="108" w:type="dxa"/>
              <w:bottom w:w="0" w:type="dxa"/>
              <w:right w:w="108" w:type="dxa"/>
            </w:tcMar>
          </w:tcPr>
          <w:p w14:paraId="094D835A" w14:textId="7245DA94" w:rsidR="008B7FA5" w:rsidRPr="00D22450" w:rsidRDefault="008B7FA5" w:rsidP="00D22450">
            <w:pPr>
              <w:snapToGrid w:val="0"/>
              <w:spacing w:line="360" w:lineRule="auto"/>
              <w:jc w:val="both"/>
              <w:rPr>
                <w:rFonts w:ascii="Book Antiqua" w:hAnsi="Book Antiqua" w:cs="Arial"/>
                <w:b/>
              </w:rPr>
            </w:pPr>
            <w:r w:rsidRPr="00D22450">
              <w:rPr>
                <w:rFonts w:ascii="Book Antiqua" w:hAnsi="Book Antiqua" w:cs="Arial"/>
                <w:b/>
              </w:rPr>
              <w:t>NAFL</w:t>
            </w:r>
          </w:p>
        </w:tc>
      </w:tr>
      <w:tr w:rsidR="008B7FA5" w:rsidRPr="00D22450" w14:paraId="4A4A0E2D" w14:textId="77777777" w:rsidTr="004A3C86">
        <w:trPr>
          <w:trHeight w:val="361"/>
          <w:jc w:val="center"/>
        </w:trPr>
        <w:tc>
          <w:tcPr>
            <w:tcW w:w="2589" w:type="dxa"/>
            <w:vMerge w:val="restart"/>
            <w:tcBorders>
              <w:top w:val="single" w:sz="4" w:space="0" w:color="auto"/>
            </w:tcBorders>
            <w:shd w:val="clear" w:color="auto" w:fill="auto"/>
            <w:tcMar>
              <w:top w:w="15" w:type="dxa"/>
              <w:left w:w="108" w:type="dxa"/>
              <w:bottom w:w="0" w:type="dxa"/>
              <w:right w:w="108" w:type="dxa"/>
            </w:tcMar>
            <w:hideMark/>
          </w:tcPr>
          <w:p w14:paraId="10F36C53" w14:textId="7777777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Steatosis (Brunt)</w:t>
            </w:r>
          </w:p>
        </w:tc>
        <w:tc>
          <w:tcPr>
            <w:tcW w:w="1079" w:type="dxa"/>
            <w:tcBorders>
              <w:top w:val="single" w:sz="4" w:space="0" w:color="auto"/>
            </w:tcBorders>
            <w:shd w:val="clear" w:color="auto" w:fill="auto"/>
            <w:tcMar>
              <w:top w:w="15" w:type="dxa"/>
              <w:left w:w="15" w:type="dxa"/>
              <w:bottom w:w="0" w:type="dxa"/>
              <w:right w:w="15" w:type="dxa"/>
            </w:tcMar>
            <w:hideMark/>
          </w:tcPr>
          <w:p w14:paraId="7870E692" w14:textId="0AE8F871"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19" w:type="dxa"/>
            <w:tcBorders>
              <w:top w:val="single" w:sz="4" w:space="0" w:color="auto"/>
            </w:tcBorders>
            <w:shd w:val="clear" w:color="auto" w:fill="auto"/>
            <w:tcMar>
              <w:top w:w="15" w:type="dxa"/>
              <w:left w:w="108" w:type="dxa"/>
              <w:bottom w:w="0" w:type="dxa"/>
              <w:right w:w="108" w:type="dxa"/>
            </w:tcMar>
            <w:hideMark/>
          </w:tcPr>
          <w:p w14:paraId="2AC79ACF" w14:textId="57E8A370"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13</w:t>
            </w:r>
          </w:p>
        </w:tc>
        <w:tc>
          <w:tcPr>
            <w:tcW w:w="1608" w:type="dxa"/>
            <w:tcBorders>
              <w:top w:val="single" w:sz="4" w:space="0" w:color="auto"/>
            </w:tcBorders>
            <w:shd w:val="clear" w:color="auto" w:fill="auto"/>
            <w:tcMar>
              <w:top w:w="15" w:type="dxa"/>
              <w:left w:w="108" w:type="dxa"/>
              <w:bottom w:w="0" w:type="dxa"/>
              <w:right w:w="108" w:type="dxa"/>
            </w:tcMar>
            <w:hideMark/>
          </w:tcPr>
          <w:p w14:paraId="5E5F3842" w14:textId="7BBEBE8B"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81" w:type="dxa"/>
            <w:tcBorders>
              <w:top w:val="single" w:sz="4" w:space="0" w:color="auto"/>
            </w:tcBorders>
            <w:shd w:val="clear" w:color="auto" w:fill="auto"/>
            <w:tcMar>
              <w:top w:w="15" w:type="dxa"/>
              <w:left w:w="108" w:type="dxa"/>
              <w:bottom w:w="0" w:type="dxa"/>
              <w:right w:w="108" w:type="dxa"/>
            </w:tcMar>
            <w:hideMark/>
          </w:tcPr>
          <w:p w14:paraId="1E6CAD88" w14:textId="6CD79328"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13</w:t>
            </w:r>
          </w:p>
        </w:tc>
      </w:tr>
      <w:tr w:rsidR="008B7FA5" w:rsidRPr="00D22450" w14:paraId="31203496" w14:textId="77777777" w:rsidTr="008B7FA5">
        <w:trPr>
          <w:trHeight w:val="409"/>
          <w:jc w:val="center"/>
        </w:trPr>
        <w:tc>
          <w:tcPr>
            <w:tcW w:w="2589" w:type="dxa"/>
            <w:vMerge/>
            <w:shd w:val="clear" w:color="auto" w:fill="auto"/>
            <w:tcMar>
              <w:top w:w="15" w:type="dxa"/>
              <w:left w:w="108" w:type="dxa"/>
              <w:bottom w:w="0" w:type="dxa"/>
              <w:right w:w="108" w:type="dxa"/>
            </w:tcMar>
          </w:tcPr>
          <w:p w14:paraId="77DB0421"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283A5136" w14:textId="18317C29"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w:t>
            </w:r>
          </w:p>
        </w:tc>
        <w:tc>
          <w:tcPr>
            <w:tcW w:w="1519" w:type="dxa"/>
            <w:shd w:val="clear" w:color="auto" w:fill="auto"/>
            <w:tcMar>
              <w:top w:w="15" w:type="dxa"/>
              <w:left w:w="108" w:type="dxa"/>
              <w:bottom w:w="0" w:type="dxa"/>
              <w:right w:w="108" w:type="dxa"/>
            </w:tcMar>
          </w:tcPr>
          <w:p w14:paraId="604A5BC2" w14:textId="3539EAB0"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74</w:t>
            </w:r>
          </w:p>
        </w:tc>
        <w:tc>
          <w:tcPr>
            <w:tcW w:w="1608" w:type="dxa"/>
            <w:shd w:val="clear" w:color="auto" w:fill="auto"/>
            <w:tcMar>
              <w:top w:w="15" w:type="dxa"/>
              <w:left w:w="108" w:type="dxa"/>
              <w:bottom w:w="0" w:type="dxa"/>
              <w:right w:w="108" w:type="dxa"/>
            </w:tcMar>
          </w:tcPr>
          <w:p w14:paraId="1FAF04D5" w14:textId="58FF2369"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36</w:t>
            </w:r>
          </w:p>
        </w:tc>
        <w:tc>
          <w:tcPr>
            <w:tcW w:w="1581" w:type="dxa"/>
            <w:shd w:val="clear" w:color="auto" w:fill="auto"/>
            <w:tcMar>
              <w:top w:w="15" w:type="dxa"/>
              <w:left w:w="108" w:type="dxa"/>
              <w:bottom w:w="0" w:type="dxa"/>
              <w:right w:w="108" w:type="dxa"/>
            </w:tcMar>
          </w:tcPr>
          <w:p w14:paraId="185933AD" w14:textId="2D3E3DE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37</w:t>
            </w:r>
          </w:p>
        </w:tc>
      </w:tr>
      <w:tr w:rsidR="008B7FA5" w:rsidRPr="00D22450" w14:paraId="72C4C50F" w14:textId="77777777" w:rsidTr="008B7FA5">
        <w:trPr>
          <w:trHeight w:val="385"/>
          <w:jc w:val="center"/>
        </w:trPr>
        <w:tc>
          <w:tcPr>
            <w:tcW w:w="2589" w:type="dxa"/>
            <w:vMerge/>
            <w:shd w:val="clear" w:color="auto" w:fill="auto"/>
            <w:tcMar>
              <w:top w:w="15" w:type="dxa"/>
              <w:left w:w="108" w:type="dxa"/>
              <w:bottom w:w="0" w:type="dxa"/>
              <w:right w:w="108" w:type="dxa"/>
            </w:tcMar>
          </w:tcPr>
          <w:p w14:paraId="37A90200"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69BE9629" w14:textId="6AA341D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w:t>
            </w:r>
          </w:p>
        </w:tc>
        <w:tc>
          <w:tcPr>
            <w:tcW w:w="1519" w:type="dxa"/>
            <w:shd w:val="clear" w:color="auto" w:fill="auto"/>
            <w:tcMar>
              <w:top w:w="15" w:type="dxa"/>
              <w:left w:w="108" w:type="dxa"/>
              <w:bottom w:w="0" w:type="dxa"/>
              <w:right w:w="108" w:type="dxa"/>
            </w:tcMar>
          </w:tcPr>
          <w:p w14:paraId="4F93A3C5" w14:textId="1F57C6F3"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35</w:t>
            </w:r>
          </w:p>
        </w:tc>
        <w:tc>
          <w:tcPr>
            <w:tcW w:w="1608" w:type="dxa"/>
            <w:shd w:val="clear" w:color="auto" w:fill="auto"/>
            <w:tcMar>
              <w:top w:w="15" w:type="dxa"/>
              <w:left w:w="108" w:type="dxa"/>
              <w:bottom w:w="0" w:type="dxa"/>
              <w:right w:w="108" w:type="dxa"/>
            </w:tcMar>
          </w:tcPr>
          <w:p w14:paraId="6DFEA696" w14:textId="2D6B436F"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30</w:t>
            </w:r>
          </w:p>
        </w:tc>
        <w:tc>
          <w:tcPr>
            <w:tcW w:w="1581" w:type="dxa"/>
            <w:shd w:val="clear" w:color="auto" w:fill="auto"/>
            <w:tcMar>
              <w:top w:w="15" w:type="dxa"/>
              <w:left w:w="108" w:type="dxa"/>
              <w:bottom w:w="0" w:type="dxa"/>
              <w:right w:w="108" w:type="dxa"/>
            </w:tcMar>
          </w:tcPr>
          <w:p w14:paraId="5D49C984" w14:textId="7F1FBF60"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5</w:t>
            </w:r>
          </w:p>
        </w:tc>
      </w:tr>
      <w:tr w:rsidR="008B7FA5" w:rsidRPr="00D22450" w14:paraId="051F7589" w14:textId="77777777" w:rsidTr="008B7FA5">
        <w:trPr>
          <w:trHeight w:val="455"/>
          <w:jc w:val="center"/>
        </w:trPr>
        <w:tc>
          <w:tcPr>
            <w:tcW w:w="2589" w:type="dxa"/>
            <w:vMerge/>
            <w:shd w:val="clear" w:color="auto" w:fill="auto"/>
            <w:tcMar>
              <w:top w:w="15" w:type="dxa"/>
              <w:left w:w="108" w:type="dxa"/>
              <w:bottom w:w="0" w:type="dxa"/>
              <w:right w:w="108" w:type="dxa"/>
            </w:tcMar>
          </w:tcPr>
          <w:p w14:paraId="48D779F8"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0D6EEB4D" w14:textId="2E115980"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w:t>
            </w:r>
          </w:p>
        </w:tc>
        <w:tc>
          <w:tcPr>
            <w:tcW w:w="1519" w:type="dxa"/>
            <w:shd w:val="clear" w:color="auto" w:fill="auto"/>
            <w:tcMar>
              <w:top w:w="15" w:type="dxa"/>
              <w:left w:w="108" w:type="dxa"/>
              <w:bottom w:w="0" w:type="dxa"/>
              <w:right w:w="108" w:type="dxa"/>
            </w:tcMar>
          </w:tcPr>
          <w:p w14:paraId="73459208" w14:textId="4CB037C1"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21</w:t>
            </w:r>
          </w:p>
        </w:tc>
        <w:tc>
          <w:tcPr>
            <w:tcW w:w="1608" w:type="dxa"/>
            <w:shd w:val="clear" w:color="auto" w:fill="auto"/>
            <w:tcMar>
              <w:top w:w="15" w:type="dxa"/>
              <w:left w:w="108" w:type="dxa"/>
              <w:bottom w:w="0" w:type="dxa"/>
              <w:right w:w="108" w:type="dxa"/>
            </w:tcMar>
          </w:tcPr>
          <w:p w14:paraId="4F002B6D" w14:textId="0D19AF6B"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20</w:t>
            </w:r>
          </w:p>
        </w:tc>
        <w:tc>
          <w:tcPr>
            <w:tcW w:w="1581" w:type="dxa"/>
            <w:shd w:val="clear" w:color="auto" w:fill="auto"/>
            <w:tcMar>
              <w:top w:w="15" w:type="dxa"/>
              <w:left w:w="108" w:type="dxa"/>
              <w:bottom w:w="0" w:type="dxa"/>
              <w:right w:w="108" w:type="dxa"/>
            </w:tcMar>
          </w:tcPr>
          <w:p w14:paraId="548ECB70" w14:textId="47F43846"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w:t>
            </w:r>
          </w:p>
        </w:tc>
      </w:tr>
      <w:tr w:rsidR="008B7FA5" w:rsidRPr="00D22450" w14:paraId="205BD455" w14:textId="77777777" w:rsidTr="008B7FA5">
        <w:trPr>
          <w:trHeight w:val="325"/>
          <w:jc w:val="center"/>
        </w:trPr>
        <w:tc>
          <w:tcPr>
            <w:tcW w:w="2589" w:type="dxa"/>
            <w:vMerge w:val="restart"/>
            <w:shd w:val="clear" w:color="auto" w:fill="auto"/>
            <w:tcMar>
              <w:top w:w="15" w:type="dxa"/>
              <w:left w:w="108" w:type="dxa"/>
              <w:bottom w:w="0" w:type="dxa"/>
              <w:right w:w="108" w:type="dxa"/>
            </w:tcMar>
            <w:hideMark/>
          </w:tcPr>
          <w:p w14:paraId="4CAA7432" w14:textId="59AD8CA0"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Lobular inflammation</w:t>
            </w:r>
          </w:p>
        </w:tc>
        <w:tc>
          <w:tcPr>
            <w:tcW w:w="1079" w:type="dxa"/>
            <w:shd w:val="clear" w:color="auto" w:fill="auto"/>
            <w:tcMar>
              <w:top w:w="15" w:type="dxa"/>
              <w:left w:w="15" w:type="dxa"/>
              <w:bottom w:w="0" w:type="dxa"/>
              <w:right w:w="15" w:type="dxa"/>
            </w:tcMar>
            <w:hideMark/>
          </w:tcPr>
          <w:p w14:paraId="64AC65E3" w14:textId="6FED1DFE"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19" w:type="dxa"/>
            <w:shd w:val="clear" w:color="auto" w:fill="auto"/>
            <w:tcMar>
              <w:top w:w="15" w:type="dxa"/>
              <w:left w:w="108" w:type="dxa"/>
              <w:bottom w:w="0" w:type="dxa"/>
              <w:right w:w="108" w:type="dxa"/>
            </w:tcMar>
            <w:hideMark/>
          </w:tcPr>
          <w:p w14:paraId="4D663C2E" w14:textId="0CD25905"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13</w:t>
            </w:r>
          </w:p>
        </w:tc>
        <w:tc>
          <w:tcPr>
            <w:tcW w:w="1608" w:type="dxa"/>
            <w:shd w:val="clear" w:color="auto" w:fill="auto"/>
            <w:tcMar>
              <w:top w:w="15" w:type="dxa"/>
              <w:left w:w="108" w:type="dxa"/>
              <w:bottom w:w="0" w:type="dxa"/>
              <w:right w:w="108" w:type="dxa"/>
            </w:tcMar>
            <w:hideMark/>
          </w:tcPr>
          <w:p w14:paraId="703F8344" w14:textId="13BA19B5"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81" w:type="dxa"/>
            <w:shd w:val="clear" w:color="auto" w:fill="auto"/>
            <w:tcMar>
              <w:top w:w="15" w:type="dxa"/>
              <w:left w:w="108" w:type="dxa"/>
              <w:bottom w:w="0" w:type="dxa"/>
              <w:right w:w="108" w:type="dxa"/>
            </w:tcMar>
            <w:hideMark/>
          </w:tcPr>
          <w:p w14:paraId="41B037DC" w14:textId="0140DDCD"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w:t>
            </w:r>
          </w:p>
        </w:tc>
      </w:tr>
      <w:tr w:rsidR="008B7FA5" w:rsidRPr="00D22450" w14:paraId="367949B5" w14:textId="77777777" w:rsidTr="008B7FA5">
        <w:trPr>
          <w:trHeight w:val="337"/>
          <w:jc w:val="center"/>
        </w:trPr>
        <w:tc>
          <w:tcPr>
            <w:tcW w:w="2589" w:type="dxa"/>
            <w:vMerge/>
            <w:shd w:val="clear" w:color="auto" w:fill="auto"/>
            <w:tcMar>
              <w:top w:w="15" w:type="dxa"/>
              <w:left w:w="108" w:type="dxa"/>
              <w:bottom w:w="0" w:type="dxa"/>
              <w:right w:w="108" w:type="dxa"/>
            </w:tcMar>
          </w:tcPr>
          <w:p w14:paraId="17512DD0"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2057386A" w14:textId="623AAE88"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w:t>
            </w:r>
          </w:p>
        </w:tc>
        <w:tc>
          <w:tcPr>
            <w:tcW w:w="1519" w:type="dxa"/>
            <w:shd w:val="clear" w:color="auto" w:fill="auto"/>
            <w:tcMar>
              <w:top w:w="15" w:type="dxa"/>
              <w:left w:w="108" w:type="dxa"/>
              <w:bottom w:w="0" w:type="dxa"/>
              <w:right w:w="108" w:type="dxa"/>
            </w:tcMar>
          </w:tcPr>
          <w:p w14:paraId="4D1C08A8" w14:textId="3B05A282"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91</w:t>
            </w:r>
          </w:p>
        </w:tc>
        <w:tc>
          <w:tcPr>
            <w:tcW w:w="1608" w:type="dxa"/>
            <w:shd w:val="clear" w:color="auto" w:fill="auto"/>
            <w:tcMar>
              <w:top w:w="15" w:type="dxa"/>
              <w:left w:w="108" w:type="dxa"/>
              <w:bottom w:w="0" w:type="dxa"/>
              <w:right w:w="108" w:type="dxa"/>
            </w:tcMar>
          </w:tcPr>
          <w:p w14:paraId="4785002E" w14:textId="19E09043"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48</w:t>
            </w:r>
          </w:p>
        </w:tc>
        <w:tc>
          <w:tcPr>
            <w:tcW w:w="1581" w:type="dxa"/>
            <w:shd w:val="clear" w:color="auto" w:fill="auto"/>
            <w:tcMar>
              <w:top w:w="15" w:type="dxa"/>
              <w:left w:w="108" w:type="dxa"/>
              <w:bottom w:w="0" w:type="dxa"/>
              <w:right w:w="108" w:type="dxa"/>
            </w:tcMar>
          </w:tcPr>
          <w:p w14:paraId="5464B4CF" w14:textId="43076A1E"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51</w:t>
            </w:r>
          </w:p>
        </w:tc>
      </w:tr>
      <w:tr w:rsidR="008B7FA5" w:rsidRPr="00D22450" w14:paraId="007905DF" w14:textId="77777777" w:rsidTr="008B7FA5">
        <w:trPr>
          <w:trHeight w:val="361"/>
          <w:jc w:val="center"/>
        </w:trPr>
        <w:tc>
          <w:tcPr>
            <w:tcW w:w="2589" w:type="dxa"/>
            <w:vMerge/>
            <w:shd w:val="clear" w:color="auto" w:fill="auto"/>
            <w:tcMar>
              <w:top w:w="15" w:type="dxa"/>
              <w:left w:w="108" w:type="dxa"/>
              <w:bottom w:w="0" w:type="dxa"/>
              <w:right w:w="108" w:type="dxa"/>
            </w:tcMar>
          </w:tcPr>
          <w:p w14:paraId="2B8B2690"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1453223B" w14:textId="280CE3EC"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w:t>
            </w:r>
          </w:p>
        </w:tc>
        <w:tc>
          <w:tcPr>
            <w:tcW w:w="1519" w:type="dxa"/>
            <w:shd w:val="clear" w:color="auto" w:fill="auto"/>
            <w:tcMar>
              <w:top w:w="15" w:type="dxa"/>
              <w:left w:w="108" w:type="dxa"/>
              <w:bottom w:w="0" w:type="dxa"/>
              <w:right w:w="108" w:type="dxa"/>
            </w:tcMar>
          </w:tcPr>
          <w:p w14:paraId="5454E296" w14:textId="0A0B1283"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35</w:t>
            </w:r>
          </w:p>
        </w:tc>
        <w:tc>
          <w:tcPr>
            <w:tcW w:w="1608" w:type="dxa"/>
            <w:shd w:val="clear" w:color="auto" w:fill="auto"/>
            <w:tcMar>
              <w:top w:w="15" w:type="dxa"/>
              <w:left w:w="108" w:type="dxa"/>
              <w:bottom w:w="0" w:type="dxa"/>
              <w:right w:w="108" w:type="dxa"/>
            </w:tcMar>
          </w:tcPr>
          <w:p w14:paraId="57857453" w14:textId="6787F15C"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35</w:t>
            </w:r>
          </w:p>
        </w:tc>
        <w:tc>
          <w:tcPr>
            <w:tcW w:w="1581" w:type="dxa"/>
            <w:shd w:val="clear" w:color="auto" w:fill="auto"/>
            <w:tcMar>
              <w:top w:w="15" w:type="dxa"/>
              <w:left w:w="108" w:type="dxa"/>
              <w:bottom w:w="0" w:type="dxa"/>
              <w:right w:w="108" w:type="dxa"/>
            </w:tcMar>
          </w:tcPr>
          <w:p w14:paraId="35CC7A35" w14:textId="5C034DAC"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9</w:t>
            </w:r>
          </w:p>
        </w:tc>
      </w:tr>
      <w:tr w:rsidR="008B7FA5" w:rsidRPr="00D22450" w14:paraId="475BD662" w14:textId="77777777" w:rsidTr="008B7FA5">
        <w:trPr>
          <w:trHeight w:val="500"/>
          <w:jc w:val="center"/>
        </w:trPr>
        <w:tc>
          <w:tcPr>
            <w:tcW w:w="2589" w:type="dxa"/>
            <w:vMerge/>
            <w:shd w:val="clear" w:color="auto" w:fill="auto"/>
            <w:tcMar>
              <w:top w:w="15" w:type="dxa"/>
              <w:left w:w="108" w:type="dxa"/>
              <w:bottom w:w="0" w:type="dxa"/>
              <w:right w:w="108" w:type="dxa"/>
            </w:tcMar>
          </w:tcPr>
          <w:p w14:paraId="0F28676C"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1C145A86" w14:textId="12F04ED4"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w:t>
            </w:r>
          </w:p>
        </w:tc>
        <w:tc>
          <w:tcPr>
            <w:tcW w:w="1519" w:type="dxa"/>
            <w:shd w:val="clear" w:color="auto" w:fill="auto"/>
            <w:tcMar>
              <w:top w:w="15" w:type="dxa"/>
              <w:left w:w="108" w:type="dxa"/>
              <w:bottom w:w="0" w:type="dxa"/>
              <w:right w:w="108" w:type="dxa"/>
            </w:tcMar>
          </w:tcPr>
          <w:p w14:paraId="53E19AAC" w14:textId="12C426A4"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4</w:t>
            </w:r>
          </w:p>
        </w:tc>
        <w:tc>
          <w:tcPr>
            <w:tcW w:w="1608" w:type="dxa"/>
            <w:shd w:val="clear" w:color="auto" w:fill="auto"/>
            <w:tcMar>
              <w:top w:w="15" w:type="dxa"/>
              <w:left w:w="108" w:type="dxa"/>
              <w:bottom w:w="0" w:type="dxa"/>
              <w:right w:w="108" w:type="dxa"/>
            </w:tcMar>
          </w:tcPr>
          <w:p w14:paraId="10F7AA14" w14:textId="0D03D826"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w:t>
            </w:r>
          </w:p>
        </w:tc>
        <w:tc>
          <w:tcPr>
            <w:tcW w:w="1581" w:type="dxa"/>
            <w:shd w:val="clear" w:color="auto" w:fill="auto"/>
            <w:tcMar>
              <w:top w:w="15" w:type="dxa"/>
              <w:left w:w="108" w:type="dxa"/>
              <w:bottom w:w="0" w:type="dxa"/>
              <w:right w:w="108" w:type="dxa"/>
            </w:tcMar>
          </w:tcPr>
          <w:p w14:paraId="084482D5" w14:textId="76A2BB96"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r>
      <w:tr w:rsidR="008B7FA5" w:rsidRPr="00D22450" w14:paraId="21DB918F" w14:textId="77777777" w:rsidTr="008B7FA5">
        <w:trPr>
          <w:trHeight w:val="337"/>
          <w:jc w:val="center"/>
        </w:trPr>
        <w:tc>
          <w:tcPr>
            <w:tcW w:w="2589" w:type="dxa"/>
            <w:vMerge w:val="restart"/>
            <w:shd w:val="clear" w:color="auto" w:fill="auto"/>
            <w:tcMar>
              <w:top w:w="15" w:type="dxa"/>
              <w:left w:w="108" w:type="dxa"/>
              <w:bottom w:w="0" w:type="dxa"/>
              <w:right w:w="108" w:type="dxa"/>
            </w:tcMar>
            <w:hideMark/>
          </w:tcPr>
          <w:p w14:paraId="7DED7972" w14:textId="7777777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Ballooning</w:t>
            </w:r>
          </w:p>
        </w:tc>
        <w:tc>
          <w:tcPr>
            <w:tcW w:w="1079" w:type="dxa"/>
            <w:shd w:val="clear" w:color="auto" w:fill="auto"/>
            <w:tcMar>
              <w:top w:w="15" w:type="dxa"/>
              <w:left w:w="15" w:type="dxa"/>
              <w:bottom w:w="0" w:type="dxa"/>
              <w:right w:w="15" w:type="dxa"/>
            </w:tcMar>
            <w:hideMark/>
          </w:tcPr>
          <w:p w14:paraId="5926F2DD" w14:textId="2AE911A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19" w:type="dxa"/>
            <w:shd w:val="clear" w:color="auto" w:fill="auto"/>
            <w:tcMar>
              <w:top w:w="15" w:type="dxa"/>
              <w:left w:w="108" w:type="dxa"/>
              <w:bottom w:w="0" w:type="dxa"/>
              <w:right w:w="108" w:type="dxa"/>
            </w:tcMar>
            <w:hideMark/>
          </w:tcPr>
          <w:p w14:paraId="62074437" w14:textId="30F3ABF9"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39</w:t>
            </w:r>
          </w:p>
        </w:tc>
        <w:tc>
          <w:tcPr>
            <w:tcW w:w="1608" w:type="dxa"/>
            <w:shd w:val="clear" w:color="auto" w:fill="auto"/>
            <w:tcMar>
              <w:top w:w="15" w:type="dxa"/>
              <w:left w:w="108" w:type="dxa"/>
              <w:bottom w:w="0" w:type="dxa"/>
              <w:right w:w="108" w:type="dxa"/>
            </w:tcMar>
            <w:hideMark/>
          </w:tcPr>
          <w:p w14:paraId="3F2F35BA" w14:textId="5360FB1F"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81" w:type="dxa"/>
            <w:shd w:val="clear" w:color="auto" w:fill="auto"/>
            <w:tcMar>
              <w:top w:w="15" w:type="dxa"/>
              <w:left w:w="108" w:type="dxa"/>
              <w:bottom w:w="0" w:type="dxa"/>
              <w:right w:w="108" w:type="dxa"/>
            </w:tcMar>
            <w:hideMark/>
          </w:tcPr>
          <w:p w14:paraId="68550CDE" w14:textId="0011FB3B"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39</w:t>
            </w:r>
          </w:p>
        </w:tc>
      </w:tr>
      <w:tr w:rsidR="008B7FA5" w:rsidRPr="00D22450" w14:paraId="01C9F3DF" w14:textId="77777777" w:rsidTr="008B7FA5">
        <w:trPr>
          <w:trHeight w:val="349"/>
          <w:jc w:val="center"/>
        </w:trPr>
        <w:tc>
          <w:tcPr>
            <w:tcW w:w="2589" w:type="dxa"/>
            <w:vMerge/>
            <w:shd w:val="clear" w:color="auto" w:fill="auto"/>
            <w:tcMar>
              <w:top w:w="15" w:type="dxa"/>
              <w:left w:w="108" w:type="dxa"/>
              <w:bottom w:w="0" w:type="dxa"/>
              <w:right w:w="108" w:type="dxa"/>
            </w:tcMar>
          </w:tcPr>
          <w:p w14:paraId="2103E5EC"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2D9861E8" w14:textId="2F24AF1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w:t>
            </w:r>
          </w:p>
        </w:tc>
        <w:tc>
          <w:tcPr>
            <w:tcW w:w="1519" w:type="dxa"/>
            <w:shd w:val="clear" w:color="auto" w:fill="auto"/>
            <w:tcMar>
              <w:top w:w="15" w:type="dxa"/>
              <w:left w:w="108" w:type="dxa"/>
              <w:bottom w:w="0" w:type="dxa"/>
              <w:right w:w="108" w:type="dxa"/>
            </w:tcMar>
          </w:tcPr>
          <w:p w14:paraId="49F0CC95" w14:textId="484A680C"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72</w:t>
            </w:r>
          </w:p>
        </w:tc>
        <w:tc>
          <w:tcPr>
            <w:tcW w:w="1608" w:type="dxa"/>
            <w:shd w:val="clear" w:color="auto" w:fill="auto"/>
            <w:tcMar>
              <w:top w:w="15" w:type="dxa"/>
              <w:left w:w="108" w:type="dxa"/>
              <w:bottom w:w="0" w:type="dxa"/>
              <w:right w:w="108" w:type="dxa"/>
            </w:tcMar>
          </w:tcPr>
          <w:p w14:paraId="35E55F06" w14:textId="756DA092"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55</w:t>
            </w:r>
          </w:p>
        </w:tc>
        <w:tc>
          <w:tcPr>
            <w:tcW w:w="1581" w:type="dxa"/>
            <w:shd w:val="clear" w:color="auto" w:fill="auto"/>
            <w:tcMar>
              <w:top w:w="15" w:type="dxa"/>
              <w:left w:w="108" w:type="dxa"/>
              <w:bottom w:w="0" w:type="dxa"/>
              <w:right w:w="108" w:type="dxa"/>
            </w:tcMar>
          </w:tcPr>
          <w:p w14:paraId="3B7B3C6D" w14:textId="59012E41"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16</w:t>
            </w:r>
          </w:p>
        </w:tc>
      </w:tr>
      <w:tr w:rsidR="008B7FA5" w:rsidRPr="00D22450" w14:paraId="7D571FE9" w14:textId="77777777" w:rsidTr="008B7FA5">
        <w:trPr>
          <w:trHeight w:val="349"/>
          <w:jc w:val="center"/>
        </w:trPr>
        <w:tc>
          <w:tcPr>
            <w:tcW w:w="2589" w:type="dxa"/>
            <w:vMerge/>
            <w:shd w:val="clear" w:color="auto" w:fill="auto"/>
            <w:tcMar>
              <w:top w:w="15" w:type="dxa"/>
              <w:left w:w="108" w:type="dxa"/>
              <w:bottom w:w="0" w:type="dxa"/>
              <w:right w:w="108" w:type="dxa"/>
            </w:tcMar>
          </w:tcPr>
          <w:p w14:paraId="09FE0423"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70F177F2" w14:textId="64382AF3"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w:t>
            </w:r>
          </w:p>
        </w:tc>
        <w:tc>
          <w:tcPr>
            <w:tcW w:w="1519" w:type="dxa"/>
            <w:shd w:val="clear" w:color="auto" w:fill="auto"/>
            <w:tcMar>
              <w:top w:w="15" w:type="dxa"/>
              <w:left w:w="108" w:type="dxa"/>
              <w:bottom w:w="0" w:type="dxa"/>
              <w:right w:w="108" w:type="dxa"/>
            </w:tcMar>
          </w:tcPr>
          <w:p w14:paraId="7A9378D2" w14:textId="1F76B76B"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32</w:t>
            </w:r>
          </w:p>
        </w:tc>
        <w:tc>
          <w:tcPr>
            <w:tcW w:w="1608" w:type="dxa"/>
            <w:shd w:val="clear" w:color="auto" w:fill="auto"/>
            <w:tcMar>
              <w:top w:w="15" w:type="dxa"/>
              <w:left w:w="108" w:type="dxa"/>
              <w:bottom w:w="0" w:type="dxa"/>
              <w:right w:w="108" w:type="dxa"/>
            </w:tcMar>
          </w:tcPr>
          <w:p w14:paraId="068EFE83" w14:textId="6CDA41C8"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31</w:t>
            </w:r>
          </w:p>
        </w:tc>
        <w:tc>
          <w:tcPr>
            <w:tcW w:w="1581" w:type="dxa"/>
            <w:shd w:val="clear" w:color="auto" w:fill="auto"/>
            <w:tcMar>
              <w:top w:w="15" w:type="dxa"/>
              <w:left w:w="108" w:type="dxa"/>
              <w:bottom w:w="0" w:type="dxa"/>
              <w:right w:w="108" w:type="dxa"/>
            </w:tcMar>
          </w:tcPr>
          <w:p w14:paraId="36C6A28F" w14:textId="195790C2"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w:t>
            </w:r>
          </w:p>
        </w:tc>
      </w:tr>
      <w:tr w:rsidR="008B7FA5" w:rsidRPr="00D22450" w14:paraId="08EC23D1" w14:textId="77777777" w:rsidTr="008B7FA5">
        <w:trPr>
          <w:trHeight w:val="559"/>
          <w:jc w:val="center"/>
        </w:trPr>
        <w:tc>
          <w:tcPr>
            <w:tcW w:w="2589" w:type="dxa"/>
            <w:vMerge/>
            <w:shd w:val="clear" w:color="auto" w:fill="auto"/>
            <w:tcMar>
              <w:top w:w="15" w:type="dxa"/>
              <w:left w:w="108" w:type="dxa"/>
              <w:bottom w:w="0" w:type="dxa"/>
              <w:right w:w="108" w:type="dxa"/>
            </w:tcMar>
          </w:tcPr>
          <w:p w14:paraId="1DA3EF70"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35254C8B" w14:textId="55602354"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w:t>
            </w:r>
          </w:p>
        </w:tc>
        <w:tc>
          <w:tcPr>
            <w:tcW w:w="1519" w:type="dxa"/>
            <w:shd w:val="clear" w:color="auto" w:fill="auto"/>
            <w:tcMar>
              <w:top w:w="15" w:type="dxa"/>
              <w:left w:w="108" w:type="dxa"/>
              <w:bottom w:w="0" w:type="dxa"/>
              <w:right w:w="108" w:type="dxa"/>
            </w:tcMar>
          </w:tcPr>
          <w:p w14:paraId="72F63474" w14:textId="5045C3D6"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608" w:type="dxa"/>
            <w:shd w:val="clear" w:color="auto" w:fill="auto"/>
            <w:tcMar>
              <w:top w:w="15" w:type="dxa"/>
              <w:left w:w="108" w:type="dxa"/>
              <w:bottom w:w="0" w:type="dxa"/>
              <w:right w:w="108" w:type="dxa"/>
            </w:tcMar>
          </w:tcPr>
          <w:p w14:paraId="6A473CAD" w14:textId="27F493E3"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81" w:type="dxa"/>
            <w:shd w:val="clear" w:color="auto" w:fill="auto"/>
            <w:tcMar>
              <w:top w:w="15" w:type="dxa"/>
              <w:left w:w="108" w:type="dxa"/>
              <w:bottom w:w="0" w:type="dxa"/>
              <w:right w:w="108" w:type="dxa"/>
            </w:tcMar>
          </w:tcPr>
          <w:p w14:paraId="49EFA079" w14:textId="0FE32D8F"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r>
      <w:tr w:rsidR="008B7FA5" w:rsidRPr="00D22450" w14:paraId="4AAD9FA2" w14:textId="77777777" w:rsidTr="008B7FA5">
        <w:trPr>
          <w:trHeight w:val="373"/>
          <w:jc w:val="center"/>
        </w:trPr>
        <w:tc>
          <w:tcPr>
            <w:tcW w:w="2589" w:type="dxa"/>
            <w:vMerge w:val="restart"/>
            <w:shd w:val="clear" w:color="auto" w:fill="auto"/>
            <w:tcMar>
              <w:top w:w="15" w:type="dxa"/>
              <w:left w:w="108" w:type="dxa"/>
              <w:bottom w:w="0" w:type="dxa"/>
              <w:right w:w="108" w:type="dxa"/>
            </w:tcMar>
            <w:hideMark/>
          </w:tcPr>
          <w:p w14:paraId="7F6BDB3C" w14:textId="7777777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Fibrosis (Kleiner)</w:t>
            </w:r>
          </w:p>
        </w:tc>
        <w:tc>
          <w:tcPr>
            <w:tcW w:w="1079" w:type="dxa"/>
            <w:shd w:val="clear" w:color="auto" w:fill="auto"/>
            <w:tcMar>
              <w:top w:w="15" w:type="dxa"/>
              <w:left w:w="15" w:type="dxa"/>
              <w:bottom w:w="0" w:type="dxa"/>
              <w:right w:w="15" w:type="dxa"/>
            </w:tcMar>
            <w:hideMark/>
          </w:tcPr>
          <w:p w14:paraId="5A731D1E" w14:textId="0B2A1AC6"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19" w:type="dxa"/>
            <w:shd w:val="clear" w:color="auto" w:fill="auto"/>
            <w:tcMar>
              <w:top w:w="15" w:type="dxa"/>
              <w:left w:w="108" w:type="dxa"/>
              <w:bottom w:w="0" w:type="dxa"/>
              <w:right w:w="108" w:type="dxa"/>
            </w:tcMar>
            <w:hideMark/>
          </w:tcPr>
          <w:p w14:paraId="30CF4D64" w14:textId="3BDEAEC6"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5</w:t>
            </w:r>
          </w:p>
        </w:tc>
        <w:tc>
          <w:tcPr>
            <w:tcW w:w="1608" w:type="dxa"/>
            <w:shd w:val="clear" w:color="auto" w:fill="auto"/>
            <w:tcMar>
              <w:top w:w="15" w:type="dxa"/>
              <w:left w:w="108" w:type="dxa"/>
              <w:bottom w:w="0" w:type="dxa"/>
              <w:right w:w="108" w:type="dxa"/>
            </w:tcMar>
            <w:hideMark/>
          </w:tcPr>
          <w:p w14:paraId="58942A7F" w14:textId="7BDFB935"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w:t>
            </w:r>
          </w:p>
        </w:tc>
        <w:tc>
          <w:tcPr>
            <w:tcW w:w="1581" w:type="dxa"/>
            <w:shd w:val="clear" w:color="auto" w:fill="auto"/>
            <w:tcMar>
              <w:top w:w="15" w:type="dxa"/>
              <w:left w:w="108" w:type="dxa"/>
              <w:bottom w:w="0" w:type="dxa"/>
              <w:right w:w="108" w:type="dxa"/>
            </w:tcMar>
            <w:hideMark/>
          </w:tcPr>
          <w:p w14:paraId="4D016C89" w14:textId="7442BFE5"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r>
      <w:tr w:rsidR="008B7FA5" w:rsidRPr="00D22450" w14:paraId="759B71E9" w14:textId="77777777" w:rsidTr="008B7FA5">
        <w:trPr>
          <w:trHeight w:val="397"/>
          <w:jc w:val="center"/>
        </w:trPr>
        <w:tc>
          <w:tcPr>
            <w:tcW w:w="2589" w:type="dxa"/>
            <w:vMerge/>
            <w:shd w:val="clear" w:color="auto" w:fill="auto"/>
            <w:tcMar>
              <w:top w:w="15" w:type="dxa"/>
              <w:left w:w="108" w:type="dxa"/>
              <w:bottom w:w="0" w:type="dxa"/>
              <w:right w:w="108" w:type="dxa"/>
            </w:tcMar>
          </w:tcPr>
          <w:p w14:paraId="78A4266E"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4C633AE1" w14:textId="2A4CA392"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w:t>
            </w:r>
          </w:p>
        </w:tc>
        <w:tc>
          <w:tcPr>
            <w:tcW w:w="1519" w:type="dxa"/>
            <w:shd w:val="clear" w:color="auto" w:fill="auto"/>
            <w:tcMar>
              <w:top w:w="15" w:type="dxa"/>
              <w:left w:w="108" w:type="dxa"/>
              <w:bottom w:w="0" w:type="dxa"/>
              <w:right w:w="108" w:type="dxa"/>
            </w:tcMar>
          </w:tcPr>
          <w:p w14:paraId="15D69964" w14:textId="115B5F06"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24</w:t>
            </w:r>
          </w:p>
        </w:tc>
        <w:tc>
          <w:tcPr>
            <w:tcW w:w="1608" w:type="dxa"/>
            <w:shd w:val="clear" w:color="auto" w:fill="auto"/>
            <w:tcMar>
              <w:top w:w="15" w:type="dxa"/>
              <w:left w:w="108" w:type="dxa"/>
              <w:bottom w:w="0" w:type="dxa"/>
              <w:right w:w="108" w:type="dxa"/>
            </w:tcMar>
          </w:tcPr>
          <w:p w14:paraId="64C74806" w14:textId="49928714"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10</w:t>
            </w:r>
          </w:p>
        </w:tc>
        <w:tc>
          <w:tcPr>
            <w:tcW w:w="1581" w:type="dxa"/>
            <w:shd w:val="clear" w:color="auto" w:fill="auto"/>
            <w:tcMar>
              <w:top w:w="15" w:type="dxa"/>
              <w:left w:w="108" w:type="dxa"/>
              <w:bottom w:w="0" w:type="dxa"/>
              <w:right w:w="108" w:type="dxa"/>
            </w:tcMar>
          </w:tcPr>
          <w:p w14:paraId="4C22FEF2" w14:textId="6E322709"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14</w:t>
            </w:r>
          </w:p>
        </w:tc>
      </w:tr>
      <w:tr w:rsidR="008B7FA5" w:rsidRPr="00D22450" w14:paraId="3FBF09BC" w14:textId="77777777" w:rsidTr="008B7FA5">
        <w:trPr>
          <w:trHeight w:val="373"/>
          <w:jc w:val="center"/>
        </w:trPr>
        <w:tc>
          <w:tcPr>
            <w:tcW w:w="2589" w:type="dxa"/>
            <w:vMerge/>
            <w:shd w:val="clear" w:color="auto" w:fill="auto"/>
            <w:tcMar>
              <w:top w:w="15" w:type="dxa"/>
              <w:left w:w="108" w:type="dxa"/>
              <w:bottom w:w="0" w:type="dxa"/>
              <w:right w:w="108" w:type="dxa"/>
            </w:tcMar>
          </w:tcPr>
          <w:p w14:paraId="4F0A54E6"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5A67EA39" w14:textId="45438AD5"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w:t>
            </w:r>
          </w:p>
        </w:tc>
        <w:tc>
          <w:tcPr>
            <w:tcW w:w="1519" w:type="dxa"/>
            <w:shd w:val="clear" w:color="auto" w:fill="auto"/>
            <w:tcMar>
              <w:top w:w="15" w:type="dxa"/>
              <w:left w:w="108" w:type="dxa"/>
              <w:bottom w:w="0" w:type="dxa"/>
              <w:right w:w="108" w:type="dxa"/>
            </w:tcMar>
          </w:tcPr>
          <w:p w14:paraId="5F917169" w14:textId="25C3C7B5"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27</w:t>
            </w:r>
          </w:p>
        </w:tc>
        <w:tc>
          <w:tcPr>
            <w:tcW w:w="1608" w:type="dxa"/>
            <w:shd w:val="clear" w:color="auto" w:fill="auto"/>
            <w:tcMar>
              <w:top w:w="15" w:type="dxa"/>
              <w:left w:w="108" w:type="dxa"/>
              <w:bottom w:w="0" w:type="dxa"/>
              <w:right w:w="108" w:type="dxa"/>
            </w:tcMar>
          </w:tcPr>
          <w:p w14:paraId="69B8A7C7" w14:textId="7103BE86"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16</w:t>
            </w:r>
          </w:p>
        </w:tc>
        <w:tc>
          <w:tcPr>
            <w:tcW w:w="1581" w:type="dxa"/>
            <w:shd w:val="clear" w:color="auto" w:fill="auto"/>
            <w:tcMar>
              <w:top w:w="15" w:type="dxa"/>
              <w:left w:w="108" w:type="dxa"/>
              <w:bottom w:w="0" w:type="dxa"/>
              <w:right w:w="108" w:type="dxa"/>
            </w:tcMar>
          </w:tcPr>
          <w:p w14:paraId="6C0966F1" w14:textId="60DCF354"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11</w:t>
            </w:r>
          </w:p>
        </w:tc>
      </w:tr>
      <w:tr w:rsidR="008B7FA5" w:rsidRPr="00D22450" w14:paraId="4FE0F24A" w14:textId="77777777" w:rsidTr="008B7FA5">
        <w:trPr>
          <w:trHeight w:val="373"/>
          <w:jc w:val="center"/>
        </w:trPr>
        <w:tc>
          <w:tcPr>
            <w:tcW w:w="2589" w:type="dxa"/>
            <w:vMerge/>
            <w:shd w:val="clear" w:color="auto" w:fill="auto"/>
            <w:tcMar>
              <w:top w:w="15" w:type="dxa"/>
              <w:left w:w="108" w:type="dxa"/>
              <w:bottom w:w="0" w:type="dxa"/>
              <w:right w:w="108" w:type="dxa"/>
            </w:tcMar>
          </w:tcPr>
          <w:p w14:paraId="5535E462"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0F87593F" w14:textId="19AE661A"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w:t>
            </w:r>
          </w:p>
        </w:tc>
        <w:tc>
          <w:tcPr>
            <w:tcW w:w="1519" w:type="dxa"/>
            <w:shd w:val="clear" w:color="auto" w:fill="auto"/>
            <w:tcMar>
              <w:top w:w="15" w:type="dxa"/>
              <w:left w:w="108" w:type="dxa"/>
              <w:bottom w:w="0" w:type="dxa"/>
              <w:right w:w="108" w:type="dxa"/>
            </w:tcMar>
          </w:tcPr>
          <w:p w14:paraId="567790F7" w14:textId="04A02AD3"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55</w:t>
            </w:r>
          </w:p>
        </w:tc>
        <w:tc>
          <w:tcPr>
            <w:tcW w:w="1608" w:type="dxa"/>
            <w:shd w:val="clear" w:color="auto" w:fill="auto"/>
            <w:tcMar>
              <w:top w:w="15" w:type="dxa"/>
              <w:left w:w="108" w:type="dxa"/>
              <w:bottom w:w="0" w:type="dxa"/>
              <w:right w:w="108" w:type="dxa"/>
            </w:tcMar>
          </w:tcPr>
          <w:p w14:paraId="44012DB8" w14:textId="0AD927D2"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39</w:t>
            </w:r>
          </w:p>
        </w:tc>
        <w:tc>
          <w:tcPr>
            <w:tcW w:w="1581" w:type="dxa"/>
            <w:shd w:val="clear" w:color="auto" w:fill="auto"/>
            <w:tcMar>
              <w:top w:w="15" w:type="dxa"/>
              <w:left w:w="108" w:type="dxa"/>
              <w:bottom w:w="0" w:type="dxa"/>
              <w:right w:w="108" w:type="dxa"/>
            </w:tcMar>
          </w:tcPr>
          <w:p w14:paraId="7C43CB73" w14:textId="4F20B95E"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15</w:t>
            </w:r>
          </w:p>
        </w:tc>
      </w:tr>
      <w:tr w:rsidR="008B7FA5" w:rsidRPr="00D22450" w14:paraId="0260FDC1" w14:textId="77777777" w:rsidTr="008B7FA5">
        <w:trPr>
          <w:trHeight w:val="583"/>
          <w:jc w:val="center"/>
        </w:trPr>
        <w:tc>
          <w:tcPr>
            <w:tcW w:w="2589" w:type="dxa"/>
            <w:vMerge/>
            <w:shd w:val="clear" w:color="auto" w:fill="auto"/>
            <w:tcMar>
              <w:top w:w="15" w:type="dxa"/>
              <w:left w:w="108" w:type="dxa"/>
              <w:bottom w:w="0" w:type="dxa"/>
              <w:right w:w="108" w:type="dxa"/>
            </w:tcMar>
          </w:tcPr>
          <w:p w14:paraId="75943E12"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531E4029" w14:textId="18914FC8"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4</w:t>
            </w:r>
          </w:p>
        </w:tc>
        <w:tc>
          <w:tcPr>
            <w:tcW w:w="1519" w:type="dxa"/>
            <w:shd w:val="clear" w:color="auto" w:fill="auto"/>
            <w:tcMar>
              <w:top w:w="15" w:type="dxa"/>
              <w:left w:w="108" w:type="dxa"/>
              <w:bottom w:w="0" w:type="dxa"/>
              <w:right w:w="108" w:type="dxa"/>
            </w:tcMar>
          </w:tcPr>
          <w:p w14:paraId="4A90360B" w14:textId="49EC2DA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31</w:t>
            </w:r>
          </w:p>
        </w:tc>
        <w:tc>
          <w:tcPr>
            <w:tcW w:w="1608" w:type="dxa"/>
            <w:shd w:val="clear" w:color="auto" w:fill="auto"/>
            <w:tcMar>
              <w:top w:w="15" w:type="dxa"/>
              <w:left w:w="108" w:type="dxa"/>
              <w:bottom w:w="0" w:type="dxa"/>
              <w:right w:w="108" w:type="dxa"/>
            </w:tcMar>
          </w:tcPr>
          <w:p w14:paraId="197612F9" w14:textId="79FD70B1"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19</w:t>
            </w:r>
          </w:p>
        </w:tc>
        <w:tc>
          <w:tcPr>
            <w:tcW w:w="1581" w:type="dxa"/>
            <w:shd w:val="clear" w:color="auto" w:fill="auto"/>
            <w:tcMar>
              <w:top w:w="15" w:type="dxa"/>
              <w:left w:w="108" w:type="dxa"/>
              <w:bottom w:w="0" w:type="dxa"/>
              <w:right w:w="108" w:type="dxa"/>
            </w:tcMar>
          </w:tcPr>
          <w:p w14:paraId="61C29F2A" w14:textId="5180A402"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12</w:t>
            </w:r>
          </w:p>
        </w:tc>
      </w:tr>
      <w:tr w:rsidR="008B7FA5" w:rsidRPr="00D22450" w14:paraId="48C44CA5" w14:textId="77777777" w:rsidTr="008B7FA5">
        <w:trPr>
          <w:trHeight w:val="361"/>
          <w:jc w:val="center"/>
        </w:trPr>
        <w:tc>
          <w:tcPr>
            <w:tcW w:w="2589" w:type="dxa"/>
            <w:vMerge w:val="restart"/>
            <w:shd w:val="clear" w:color="auto" w:fill="auto"/>
            <w:tcMar>
              <w:top w:w="15" w:type="dxa"/>
              <w:left w:w="108" w:type="dxa"/>
              <w:bottom w:w="0" w:type="dxa"/>
              <w:right w:w="108" w:type="dxa"/>
            </w:tcMar>
            <w:hideMark/>
          </w:tcPr>
          <w:p w14:paraId="01D1D7DB" w14:textId="7777777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 xml:space="preserve">NAS </w:t>
            </w:r>
          </w:p>
        </w:tc>
        <w:tc>
          <w:tcPr>
            <w:tcW w:w="1079" w:type="dxa"/>
            <w:shd w:val="clear" w:color="auto" w:fill="auto"/>
            <w:tcMar>
              <w:top w:w="15" w:type="dxa"/>
              <w:left w:w="15" w:type="dxa"/>
              <w:bottom w:w="0" w:type="dxa"/>
              <w:right w:w="15" w:type="dxa"/>
            </w:tcMar>
            <w:hideMark/>
          </w:tcPr>
          <w:p w14:paraId="560D8333" w14:textId="4D473D8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19" w:type="dxa"/>
            <w:shd w:val="clear" w:color="auto" w:fill="auto"/>
            <w:tcMar>
              <w:top w:w="15" w:type="dxa"/>
              <w:left w:w="108" w:type="dxa"/>
              <w:bottom w:w="0" w:type="dxa"/>
              <w:right w:w="108" w:type="dxa"/>
            </w:tcMar>
            <w:hideMark/>
          </w:tcPr>
          <w:p w14:paraId="20521CB5" w14:textId="5E806EBD"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608" w:type="dxa"/>
            <w:shd w:val="clear" w:color="auto" w:fill="auto"/>
            <w:tcMar>
              <w:top w:w="15" w:type="dxa"/>
              <w:left w:w="108" w:type="dxa"/>
              <w:bottom w:w="0" w:type="dxa"/>
              <w:right w:w="108" w:type="dxa"/>
            </w:tcMar>
            <w:hideMark/>
          </w:tcPr>
          <w:p w14:paraId="1EC60166" w14:textId="7917BDC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81" w:type="dxa"/>
            <w:shd w:val="clear" w:color="auto" w:fill="auto"/>
            <w:tcMar>
              <w:top w:w="15" w:type="dxa"/>
              <w:left w:w="108" w:type="dxa"/>
              <w:bottom w:w="0" w:type="dxa"/>
              <w:right w:w="108" w:type="dxa"/>
            </w:tcMar>
            <w:hideMark/>
          </w:tcPr>
          <w:p w14:paraId="3BEE872B" w14:textId="0324F210"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r>
      <w:tr w:rsidR="008B7FA5" w:rsidRPr="00D22450" w14:paraId="7AD1828F" w14:textId="77777777" w:rsidTr="008B7FA5">
        <w:trPr>
          <w:trHeight w:val="397"/>
          <w:jc w:val="center"/>
        </w:trPr>
        <w:tc>
          <w:tcPr>
            <w:tcW w:w="2589" w:type="dxa"/>
            <w:vMerge/>
            <w:shd w:val="clear" w:color="auto" w:fill="auto"/>
            <w:tcMar>
              <w:top w:w="15" w:type="dxa"/>
              <w:left w:w="108" w:type="dxa"/>
              <w:bottom w:w="0" w:type="dxa"/>
              <w:right w:w="108" w:type="dxa"/>
            </w:tcMar>
          </w:tcPr>
          <w:p w14:paraId="41B76B88"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34A514DA" w14:textId="2F0694FD"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w:t>
            </w:r>
          </w:p>
        </w:tc>
        <w:tc>
          <w:tcPr>
            <w:tcW w:w="1519" w:type="dxa"/>
            <w:shd w:val="clear" w:color="auto" w:fill="auto"/>
            <w:tcMar>
              <w:top w:w="15" w:type="dxa"/>
              <w:left w:w="108" w:type="dxa"/>
              <w:bottom w:w="0" w:type="dxa"/>
              <w:right w:w="108" w:type="dxa"/>
            </w:tcMar>
          </w:tcPr>
          <w:p w14:paraId="3C1DBDDF" w14:textId="7ABFAF81"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5</w:t>
            </w:r>
          </w:p>
        </w:tc>
        <w:tc>
          <w:tcPr>
            <w:tcW w:w="1608" w:type="dxa"/>
            <w:shd w:val="clear" w:color="auto" w:fill="auto"/>
            <w:tcMar>
              <w:top w:w="15" w:type="dxa"/>
              <w:left w:w="108" w:type="dxa"/>
              <w:bottom w:w="0" w:type="dxa"/>
              <w:right w:w="108" w:type="dxa"/>
            </w:tcMar>
          </w:tcPr>
          <w:p w14:paraId="5C09E336" w14:textId="0594766F"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81" w:type="dxa"/>
            <w:shd w:val="clear" w:color="auto" w:fill="auto"/>
            <w:tcMar>
              <w:top w:w="15" w:type="dxa"/>
              <w:left w:w="108" w:type="dxa"/>
              <w:bottom w:w="0" w:type="dxa"/>
              <w:right w:w="108" w:type="dxa"/>
            </w:tcMar>
          </w:tcPr>
          <w:p w14:paraId="025E683C" w14:textId="2735A8CF"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5</w:t>
            </w:r>
          </w:p>
        </w:tc>
      </w:tr>
      <w:tr w:rsidR="008B7FA5" w:rsidRPr="00D22450" w14:paraId="3B8BC6B4" w14:textId="77777777" w:rsidTr="008B7FA5">
        <w:trPr>
          <w:trHeight w:val="325"/>
          <w:jc w:val="center"/>
        </w:trPr>
        <w:tc>
          <w:tcPr>
            <w:tcW w:w="2589" w:type="dxa"/>
            <w:vMerge/>
            <w:shd w:val="clear" w:color="auto" w:fill="auto"/>
            <w:tcMar>
              <w:top w:w="15" w:type="dxa"/>
              <w:left w:w="108" w:type="dxa"/>
              <w:bottom w:w="0" w:type="dxa"/>
              <w:right w:w="108" w:type="dxa"/>
            </w:tcMar>
          </w:tcPr>
          <w:p w14:paraId="44A48F06"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780FB783" w14:textId="460D2893"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w:t>
            </w:r>
          </w:p>
        </w:tc>
        <w:tc>
          <w:tcPr>
            <w:tcW w:w="1519" w:type="dxa"/>
            <w:shd w:val="clear" w:color="auto" w:fill="auto"/>
            <w:tcMar>
              <w:top w:w="15" w:type="dxa"/>
              <w:left w:w="108" w:type="dxa"/>
              <w:bottom w:w="0" w:type="dxa"/>
              <w:right w:w="108" w:type="dxa"/>
            </w:tcMar>
          </w:tcPr>
          <w:p w14:paraId="0E0010BB" w14:textId="25C1636E"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23</w:t>
            </w:r>
          </w:p>
        </w:tc>
        <w:tc>
          <w:tcPr>
            <w:tcW w:w="1608" w:type="dxa"/>
            <w:shd w:val="clear" w:color="auto" w:fill="auto"/>
            <w:tcMar>
              <w:top w:w="15" w:type="dxa"/>
              <w:left w:w="108" w:type="dxa"/>
              <w:bottom w:w="0" w:type="dxa"/>
              <w:right w:w="108" w:type="dxa"/>
            </w:tcMar>
          </w:tcPr>
          <w:p w14:paraId="338E9E64" w14:textId="5C02E5DF"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81" w:type="dxa"/>
            <w:shd w:val="clear" w:color="auto" w:fill="auto"/>
            <w:tcMar>
              <w:top w:w="15" w:type="dxa"/>
              <w:left w:w="108" w:type="dxa"/>
              <w:bottom w:w="0" w:type="dxa"/>
              <w:right w:w="108" w:type="dxa"/>
            </w:tcMar>
          </w:tcPr>
          <w:p w14:paraId="015F2E9C" w14:textId="422083B6"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22</w:t>
            </w:r>
          </w:p>
        </w:tc>
      </w:tr>
      <w:tr w:rsidR="008B7FA5" w:rsidRPr="00D22450" w14:paraId="0DD23AD3" w14:textId="77777777" w:rsidTr="008B7FA5">
        <w:trPr>
          <w:trHeight w:val="289"/>
          <w:jc w:val="center"/>
        </w:trPr>
        <w:tc>
          <w:tcPr>
            <w:tcW w:w="2589" w:type="dxa"/>
            <w:vMerge/>
            <w:shd w:val="clear" w:color="auto" w:fill="auto"/>
            <w:tcMar>
              <w:top w:w="15" w:type="dxa"/>
              <w:left w:w="108" w:type="dxa"/>
              <w:bottom w:w="0" w:type="dxa"/>
              <w:right w:w="108" w:type="dxa"/>
            </w:tcMar>
          </w:tcPr>
          <w:p w14:paraId="6AE1C5E3"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72717991" w14:textId="52104B9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w:t>
            </w:r>
          </w:p>
        </w:tc>
        <w:tc>
          <w:tcPr>
            <w:tcW w:w="1519" w:type="dxa"/>
            <w:shd w:val="clear" w:color="auto" w:fill="auto"/>
            <w:tcMar>
              <w:top w:w="15" w:type="dxa"/>
              <w:left w:w="108" w:type="dxa"/>
              <w:bottom w:w="0" w:type="dxa"/>
              <w:right w:w="108" w:type="dxa"/>
            </w:tcMar>
          </w:tcPr>
          <w:p w14:paraId="0651A34B" w14:textId="5630C04A"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26</w:t>
            </w:r>
          </w:p>
        </w:tc>
        <w:tc>
          <w:tcPr>
            <w:tcW w:w="1608" w:type="dxa"/>
            <w:shd w:val="clear" w:color="auto" w:fill="auto"/>
            <w:tcMar>
              <w:top w:w="15" w:type="dxa"/>
              <w:left w:w="108" w:type="dxa"/>
              <w:bottom w:w="0" w:type="dxa"/>
              <w:right w:w="108" w:type="dxa"/>
            </w:tcMar>
          </w:tcPr>
          <w:p w14:paraId="04F23237" w14:textId="274DA7F5"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81" w:type="dxa"/>
            <w:shd w:val="clear" w:color="auto" w:fill="auto"/>
            <w:tcMar>
              <w:top w:w="15" w:type="dxa"/>
              <w:left w:w="108" w:type="dxa"/>
              <w:bottom w:w="0" w:type="dxa"/>
              <w:right w:w="108" w:type="dxa"/>
            </w:tcMar>
          </w:tcPr>
          <w:p w14:paraId="5A7D23C6" w14:textId="69312A02"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26</w:t>
            </w:r>
          </w:p>
        </w:tc>
      </w:tr>
      <w:tr w:rsidR="008B7FA5" w:rsidRPr="00D22450" w14:paraId="1F4570EA" w14:textId="77777777" w:rsidTr="008B7FA5">
        <w:trPr>
          <w:trHeight w:val="544"/>
          <w:jc w:val="center"/>
        </w:trPr>
        <w:tc>
          <w:tcPr>
            <w:tcW w:w="2589" w:type="dxa"/>
            <w:vMerge/>
            <w:shd w:val="clear" w:color="auto" w:fill="auto"/>
            <w:tcMar>
              <w:top w:w="15" w:type="dxa"/>
              <w:left w:w="108" w:type="dxa"/>
              <w:bottom w:w="0" w:type="dxa"/>
              <w:right w:w="108" w:type="dxa"/>
            </w:tcMar>
          </w:tcPr>
          <w:p w14:paraId="447E2D83"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37A4E07E" w14:textId="1E257DEC"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4</w:t>
            </w:r>
          </w:p>
        </w:tc>
        <w:tc>
          <w:tcPr>
            <w:tcW w:w="1519" w:type="dxa"/>
            <w:shd w:val="clear" w:color="auto" w:fill="auto"/>
            <w:tcMar>
              <w:top w:w="15" w:type="dxa"/>
              <w:left w:w="108" w:type="dxa"/>
              <w:bottom w:w="0" w:type="dxa"/>
              <w:right w:w="108" w:type="dxa"/>
            </w:tcMar>
          </w:tcPr>
          <w:p w14:paraId="4B451CD0" w14:textId="1F5C8F7E"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25</w:t>
            </w:r>
          </w:p>
        </w:tc>
        <w:tc>
          <w:tcPr>
            <w:tcW w:w="1608" w:type="dxa"/>
            <w:shd w:val="clear" w:color="auto" w:fill="auto"/>
            <w:tcMar>
              <w:top w:w="15" w:type="dxa"/>
              <w:left w:w="108" w:type="dxa"/>
              <w:bottom w:w="0" w:type="dxa"/>
              <w:right w:w="108" w:type="dxa"/>
            </w:tcMar>
          </w:tcPr>
          <w:p w14:paraId="356F25A4" w14:textId="3CF99690"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25</w:t>
            </w:r>
          </w:p>
        </w:tc>
        <w:tc>
          <w:tcPr>
            <w:tcW w:w="1581" w:type="dxa"/>
            <w:shd w:val="clear" w:color="auto" w:fill="auto"/>
            <w:tcMar>
              <w:top w:w="15" w:type="dxa"/>
              <w:left w:w="108" w:type="dxa"/>
              <w:bottom w:w="0" w:type="dxa"/>
              <w:right w:w="108" w:type="dxa"/>
            </w:tcMar>
          </w:tcPr>
          <w:p w14:paraId="0403C266" w14:textId="4E11D838"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w:t>
            </w:r>
          </w:p>
        </w:tc>
      </w:tr>
      <w:tr w:rsidR="008B7FA5" w:rsidRPr="00D22450" w14:paraId="083A577A" w14:textId="77777777" w:rsidTr="008B7FA5">
        <w:trPr>
          <w:trHeight w:val="553"/>
          <w:jc w:val="center"/>
        </w:trPr>
        <w:tc>
          <w:tcPr>
            <w:tcW w:w="2589" w:type="dxa"/>
            <w:vMerge/>
            <w:shd w:val="clear" w:color="auto" w:fill="auto"/>
            <w:tcMar>
              <w:top w:w="15" w:type="dxa"/>
              <w:left w:w="108" w:type="dxa"/>
              <w:bottom w:w="0" w:type="dxa"/>
              <w:right w:w="108" w:type="dxa"/>
            </w:tcMar>
          </w:tcPr>
          <w:p w14:paraId="30B7B645"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12D85308" w14:textId="531FAD58"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5</w:t>
            </w:r>
          </w:p>
        </w:tc>
        <w:tc>
          <w:tcPr>
            <w:tcW w:w="1519" w:type="dxa"/>
            <w:shd w:val="clear" w:color="auto" w:fill="auto"/>
            <w:tcMar>
              <w:top w:w="15" w:type="dxa"/>
              <w:left w:w="108" w:type="dxa"/>
              <w:bottom w:w="0" w:type="dxa"/>
              <w:right w:w="108" w:type="dxa"/>
            </w:tcMar>
          </w:tcPr>
          <w:p w14:paraId="0FF604D8" w14:textId="3440B73F"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37</w:t>
            </w:r>
          </w:p>
        </w:tc>
        <w:tc>
          <w:tcPr>
            <w:tcW w:w="1608" w:type="dxa"/>
            <w:shd w:val="clear" w:color="auto" w:fill="auto"/>
            <w:tcMar>
              <w:top w:w="15" w:type="dxa"/>
              <w:left w:w="108" w:type="dxa"/>
              <w:bottom w:w="0" w:type="dxa"/>
              <w:right w:w="108" w:type="dxa"/>
            </w:tcMar>
          </w:tcPr>
          <w:p w14:paraId="6C248904" w14:textId="7110DCE0"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35</w:t>
            </w:r>
          </w:p>
        </w:tc>
        <w:tc>
          <w:tcPr>
            <w:tcW w:w="1581" w:type="dxa"/>
            <w:shd w:val="clear" w:color="auto" w:fill="auto"/>
            <w:tcMar>
              <w:top w:w="15" w:type="dxa"/>
              <w:left w:w="108" w:type="dxa"/>
              <w:bottom w:w="0" w:type="dxa"/>
              <w:right w:w="108" w:type="dxa"/>
            </w:tcMar>
          </w:tcPr>
          <w:p w14:paraId="50A94148" w14:textId="33C761DD"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w:t>
            </w:r>
          </w:p>
        </w:tc>
      </w:tr>
      <w:tr w:rsidR="008B7FA5" w:rsidRPr="00D22450" w14:paraId="54389566" w14:textId="77777777" w:rsidTr="008B7FA5">
        <w:trPr>
          <w:trHeight w:val="349"/>
          <w:jc w:val="center"/>
        </w:trPr>
        <w:tc>
          <w:tcPr>
            <w:tcW w:w="2589" w:type="dxa"/>
            <w:vMerge/>
            <w:shd w:val="clear" w:color="auto" w:fill="auto"/>
            <w:tcMar>
              <w:top w:w="15" w:type="dxa"/>
              <w:left w:w="108" w:type="dxa"/>
              <w:bottom w:w="0" w:type="dxa"/>
              <w:right w:w="108" w:type="dxa"/>
            </w:tcMar>
          </w:tcPr>
          <w:p w14:paraId="7418DFB8"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794B7D3E" w14:textId="5F42BA35"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6</w:t>
            </w:r>
          </w:p>
        </w:tc>
        <w:tc>
          <w:tcPr>
            <w:tcW w:w="1519" w:type="dxa"/>
            <w:shd w:val="clear" w:color="auto" w:fill="auto"/>
            <w:tcMar>
              <w:top w:w="15" w:type="dxa"/>
              <w:left w:w="108" w:type="dxa"/>
              <w:bottom w:w="0" w:type="dxa"/>
              <w:right w:w="108" w:type="dxa"/>
            </w:tcMar>
          </w:tcPr>
          <w:p w14:paraId="6010A6D6" w14:textId="67CB154E"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16</w:t>
            </w:r>
          </w:p>
        </w:tc>
        <w:tc>
          <w:tcPr>
            <w:tcW w:w="1608" w:type="dxa"/>
            <w:shd w:val="clear" w:color="auto" w:fill="auto"/>
            <w:tcMar>
              <w:top w:w="15" w:type="dxa"/>
              <w:left w:w="108" w:type="dxa"/>
              <w:bottom w:w="0" w:type="dxa"/>
              <w:right w:w="108" w:type="dxa"/>
            </w:tcMar>
          </w:tcPr>
          <w:p w14:paraId="79DD4E8F" w14:textId="784C935B"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16</w:t>
            </w:r>
          </w:p>
        </w:tc>
        <w:tc>
          <w:tcPr>
            <w:tcW w:w="1581" w:type="dxa"/>
            <w:shd w:val="clear" w:color="auto" w:fill="auto"/>
            <w:tcMar>
              <w:top w:w="15" w:type="dxa"/>
              <w:left w:w="108" w:type="dxa"/>
              <w:bottom w:w="0" w:type="dxa"/>
              <w:right w:w="108" w:type="dxa"/>
            </w:tcMar>
          </w:tcPr>
          <w:p w14:paraId="3A1BB697" w14:textId="64F0E443"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r>
      <w:tr w:rsidR="008B7FA5" w:rsidRPr="00D22450" w14:paraId="7A7DB16E" w14:textId="77777777" w:rsidTr="008B7FA5">
        <w:trPr>
          <w:trHeight w:val="301"/>
          <w:jc w:val="center"/>
        </w:trPr>
        <w:tc>
          <w:tcPr>
            <w:tcW w:w="2589" w:type="dxa"/>
            <w:vMerge/>
            <w:shd w:val="clear" w:color="auto" w:fill="auto"/>
            <w:tcMar>
              <w:top w:w="15" w:type="dxa"/>
              <w:left w:w="108" w:type="dxa"/>
              <w:bottom w:w="0" w:type="dxa"/>
              <w:right w:w="108" w:type="dxa"/>
            </w:tcMar>
          </w:tcPr>
          <w:p w14:paraId="7DC439D4"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6BEB8588" w14:textId="4959317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7</w:t>
            </w:r>
          </w:p>
        </w:tc>
        <w:tc>
          <w:tcPr>
            <w:tcW w:w="1519" w:type="dxa"/>
            <w:shd w:val="clear" w:color="auto" w:fill="auto"/>
            <w:tcMar>
              <w:top w:w="15" w:type="dxa"/>
              <w:left w:w="108" w:type="dxa"/>
              <w:bottom w:w="0" w:type="dxa"/>
              <w:right w:w="108" w:type="dxa"/>
            </w:tcMar>
          </w:tcPr>
          <w:p w14:paraId="456E94A3" w14:textId="532C7AC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8</w:t>
            </w:r>
          </w:p>
        </w:tc>
        <w:tc>
          <w:tcPr>
            <w:tcW w:w="1608" w:type="dxa"/>
            <w:shd w:val="clear" w:color="auto" w:fill="auto"/>
            <w:tcMar>
              <w:top w:w="15" w:type="dxa"/>
              <w:left w:w="108" w:type="dxa"/>
              <w:bottom w:w="0" w:type="dxa"/>
              <w:right w:w="108" w:type="dxa"/>
            </w:tcMar>
          </w:tcPr>
          <w:p w14:paraId="3E491026" w14:textId="1A78E31A"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8</w:t>
            </w:r>
          </w:p>
        </w:tc>
        <w:tc>
          <w:tcPr>
            <w:tcW w:w="1581" w:type="dxa"/>
            <w:shd w:val="clear" w:color="auto" w:fill="auto"/>
            <w:tcMar>
              <w:top w:w="15" w:type="dxa"/>
              <w:left w:w="108" w:type="dxa"/>
              <w:bottom w:w="0" w:type="dxa"/>
              <w:right w:w="108" w:type="dxa"/>
            </w:tcMar>
          </w:tcPr>
          <w:p w14:paraId="13FD60F7" w14:textId="1D4F2B33"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r>
      <w:tr w:rsidR="008B7FA5" w:rsidRPr="00D22450" w14:paraId="4E5866DC" w14:textId="77777777" w:rsidTr="008B7FA5">
        <w:trPr>
          <w:trHeight w:val="588"/>
          <w:jc w:val="center"/>
        </w:trPr>
        <w:tc>
          <w:tcPr>
            <w:tcW w:w="2589" w:type="dxa"/>
            <w:vMerge/>
            <w:shd w:val="clear" w:color="auto" w:fill="auto"/>
            <w:tcMar>
              <w:top w:w="15" w:type="dxa"/>
              <w:left w:w="108" w:type="dxa"/>
              <w:bottom w:w="0" w:type="dxa"/>
              <w:right w:w="108" w:type="dxa"/>
            </w:tcMar>
          </w:tcPr>
          <w:p w14:paraId="46F4FC86"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3F888156" w14:textId="67B5ED30"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8</w:t>
            </w:r>
          </w:p>
        </w:tc>
        <w:tc>
          <w:tcPr>
            <w:tcW w:w="1519" w:type="dxa"/>
            <w:shd w:val="clear" w:color="auto" w:fill="auto"/>
            <w:tcMar>
              <w:top w:w="15" w:type="dxa"/>
              <w:left w:w="108" w:type="dxa"/>
              <w:bottom w:w="0" w:type="dxa"/>
              <w:right w:w="108" w:type="dxa"/>
            </w:tcMar>
          </w:tcPr>
          <w:p w14:paraId="72D6A638" w14:textId="1F5D23A0"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w:t>
            </w:r>
          </w:p>
        </w:tc>
        <w:tc>
          <w:tcPr>
            <w:tcW w:w="1608" w:type="dxa"/>
            <w:shd w:val="clear" w:color="auto" w:fill="auto"/>
            <w:tcMar>
              <w:top w:w="15" w:type="dxa"/>
              <w:left w:w="108" w:type="dxa"/>
              <w:bottom w:w="0" w:type="dxa"/>
              <w:right w:w="108" w:type="dxa"/>
            </w:tcMar>
          </w:tcPr>
          <w:p w14:paraId="2FB3945A" w14:textId="1688D5A5"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w:t>
            </w:r>
          </w:p>
        </w:tc>
        <w:tc>
          <w:tcPr>
            <w:tcW w:w="1581" w:type="dxa"/>
            <w:shd w:val="clear" w:color="auto" w:fill="auto"/>
            <w:tcMar>
              <w:top w:w="15" w:type="dxa"/>
              <w:left w:w="108" w:type="dxa"/>
              <w:bottom w:w="0" w:type="dxa"/>
              <w:right w:w="108" w:type="dxa"/>
            </w:tcMar>
          </w:tcPr>
          <w:p w14:paraId="174F0AA7" w14:textId="1CC3C451"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r>
    </w:tbl>
    <w:p w14:paraId="4FE04178" w14:textId="3F16D149" w:rsidR="00D22450" w:rsidRPr="00D22450" w:rsidRDefault="00E73426" w:rsidP="00D22450">
      <w:pPr>
        <w:snapToGrid w:val="0"/>
        <w:spacing w:line="360" w:lineRule="auto"/>
        <w:jc w:val="both"/>
        <w:rPr>
          <w:rFonts w:ascii="Book Antiqua" w:eastAsia="Book Antiqua" w:hAnsi="Book Antiqua" w:cs="Book Antiqua"/>
          <w:color w:val="000000"/>
        </w:rPr>
      </w:pPr>
      <w:r w:rsidRPr="00D22450">
        <w:rPr>
          <w:rFonts w:ascii="Book Antiqua" w:eastAsia="Times New Roman" w:hAnsi="Book Antiqua" w:cs="Arial"/>
          <w:bCs/>
          <w:color w:val="000000" w:themeColor="text1"/>
          <w:lang w:val="en-GB" w:eastAsia="en-GB"/>
        </w:rPr>
        <w:t>NASH: Non-alcoholic steatohepatitis; NAFL:</w:t>
      </w:r>
      <w:r w:rsidRPr="00D22450">
        <w:rPr>
          <w:rFonts w:ascii="Book Antiqua" w:eastAsia="Times New Roman" w:hAnsi="Book Antiqua" w:cs="Arial"/>
          <w:b/>
          <w:bCs/>
          <w:color w:val="000000" w:themeColor="text1"/>
          <w:lang w:val="en-GB" w:eastAsia="en-GB"/>
        </w:rPr>
        <w:t xml:space="preserve"> </w:t>
      </w:r>
      <w:r w:rsidRPr="00D22450">
        <w:rPr>
          <w:rFonts w:ascii="Book Antiqua" w:eastAsia="Book Antiqua" w:hAnsi="Book Antiqua" w:cs="Book Antiqua"/>
          <w:color w:val="000000"/>
        </w:rPr>
        <w:t>Non-alcoholic fatty liver.</w:t>
      </w:r>
    </w:p>
    <w:p w14:paraId="49120BB1" w14:textId="780E595B" w:rsidR="00D22450" w:rsidRPr="00EF25AE" w:rsidRDefault="00D22450" w:rsidP="00EF25AE">
      <w:pPr>
        <w:adjustRightInd w:val="0"/>
        <w:snapToGrid w:val="0"/>
        <w:spacing w:line="360" w:lineRule="auto"/>
        <w:jc w:val="both"/>
        <w:rPr>
          <w:rFonts w:ascii="Book Antiqua" w:eastAsia="Book Antiqua" w:hAnsi="Book Antiqua" w:cs="Book Antiqua"/>
          <w:b/>
          <w:bCs/>
          <w:color w:val="000000"/>
        </w:rPr>
      </w:pPr>
      <w:r w:rsidRPr="00D22450">
        <w:rPr>
          <w:rFonts w:ascii="Book Antiqua" w:eastAsia="Book Antiqua" w:hAnsi="Book Antiqua" w:cs="Book Antiqua"/>
          <w:color w:val="000000"/>
        </w:rPr>
        <w:br w:type="page"/>
      </w:r>
      <w:r w:rsidRPr="00EF25AE">
        <w:rPr>
          <w:rFonts w:ascii="Book Antiqua" w:eastAsia="Book Antiqua" w:hAnsi="Book Antiqua" w:cs="Book Antiqua"/>
          <w:b/>
          <w:bCs/>
          <w:color w:val="000000"/>
        </w:rPr>
        <w:lastRenderedPageBreak/>
        <w:t>Table 3 Spearman's correlation coefficients for all variables</w:t>
      </w:r>
    </w:p>
    <w:tbl>
      <w:tblPr>
        <w:tblW w:w="10388" w:type="dxa"/>
        <w:tblInd w:w="-289" w:type="dxa"/>
        <w:tblBorders>
          <w:top w:val="single" w:sz="4" w:space="0" w:color="auto"/>
          <w:bottom w:val="single" w:sz="4" w:space="0" w:color="auto"/>
        </w:tblBorders>
        <w:tblLayout w:type="fixed"/>
        <w:tblCellMar>
          <w:left w:w="0" w:type="dxa"/>
          <w:right w:w="0" w:type="dxa"/>
        </w:tblCellMar>
        <w:tblLook w:val="0600" w:firstRow="0" w:lastRow="0" w:firstColumn="0" w:lastColumn="0" w:noHBand="1" w:noVBand="1"/>
      </w:tblPr>
      <w:tblGrid>
        <w:gridCol w:w="1839"/>
        <w:gridCol w:w="1424"/>
        <w:gridCol w:w="1425"/>
        <w:gridCol w:w="1425"/>
        <w:gridCol w:w="1425"/>
        <w:gridCol w:w="1425"/>
        <w:gridCol w:w="1425"/>
      </w:tblGrid>
      <w:tr w:rsidR="00D22450" w:rsidRPr="00D22450" w14:paraId="38331934" w14:textId="77777777" w:rsidTr="000727C4">
        <w:trPr>
          <w:trHeight w:val="252"/>
        </w:trPr>
        <w:tc>
          <w:tcPr>
            <w:tcW w:w="1839" w:type="dxa"/>
            <w:tcBorders>
              <w:top w:val="single" w:sz="4" w:space="0" w:color="auto"/>
              <w:bottom w:val="single" w:sz="4" w:space="0" w:color="auto"/>
            </w:tcBorders>
            <w:shd w:val="clear" w:color="auto" w:fill="auto"/>
            <w:tcMar>
              <w:top w:w="8" w:type="dxa"/>
              <w:left w:w="8" w:type="dxa"/>
              <w:bottom w:w="0" w:type="dxa"/>
              <w:right w:w="8" w:type="dxa"/>
            </w:tcMar>
            <w:vAlign w:val="center"/>
            <w:hideMark/>
          </w:tcPr>
          <w:p w14:paraId="54575C5E" w14:textId="77777777" w:rsidR="00D22450" w:rsidRPr="00D22450" w:rsidRDefault="00D22450" w:rsidP="00D22450">
            <w:pPr>
              <w:snapToGrid w:val="0"/>
              <w:spacing w:line="360" w:lineRule="auto"/>
              <w:jc w:val="both"/>
              <w:rPr>
                <w:rFonts w:ascii="Book Antiqua" w:hAnsi="Book Antiqua" w:cs="Arial"/>
                <w:b/>
              </w:rPr>
            </w:pPr>
          </w:p>
        </w:tc>
        <w:tc>
          <w:tcPr>
            <w:tcW w:w="1424" w:type="dxa"/>
            <w:tcBorders>
              <w:top w:val="single" w:sz="4" w:space="0" w:color="auto"/>
              <w:bottom w:val="single" w:sz="4" w:space="0" w:color="auto"/>
            </w:tcBorders>
            <w:shd w:val="clear" w:color="auto" w:fill="auto"/>
            <w:tcMar>
              <w:top w:w="8" w:type="dxa"/>
              <w:left w:w="8" w:type="dxa"/>
              <w:bottom w:w="0" w:type="dxa"/>
              <w:right w:w="8" w:type="dxa"/>
            </w:tcMar>
            <w:hideMark/>
          </w:tcPr>
          <w:p w14:paraId="367F5E89" w14:textId="77777777" w:rsidR="00D22450" w:rsidRPr="00D22450" w:rsidRDefault="00D22450" w:rsidP="00D22450">
            <w:pPr>
              <w:snapToGrid w:val="0"/>
              <w:spacing w:line="360" w:lineRule="auto"/>
              <w:jc w:val="both"/>
              <w:rPr>
                <w:rFonts w:ascii="Book Antiqua" w:hAnsi="Book Antiqua" w:cs="Arial"/>
                <w:b/>
              </w:rPr>
            </w:pPr>
            <w:r w:rsidRPr="00D22450">
              <w:rPr>
                <w:rFonts w:ascii="Book Antiqua" w:hAnsi="Book Antiqua" w:cs="Arial"/>
                <w:b/>
              </w:rPr>
              <w:t>cT1</w:t>
            </w:r>
            <w:r w:rsidRPr="00D22450">
              <w:rPr>
                <w:rFonts w:ascii="Book Antiqua" w:hAnsi="Book Antiqua" w:cs="Arial"/>
                <w:b/>
                <w:lang w:eastAsia="zh-CN"/>
              </w:rPr>
              <w:t xml:space="preserve">, </w:t>
            </w:r>
            <w:r w:rsidRPr="00D22450">
              <w:rPr>
                <w:rFonts w:ascii="Book Antiqua" w:hAnsi="Book Antiqua" w:cs="Arial"/>
                <w:b/>
              </w:rPr>
              <w:t>(</w:t>
            </w:r>
            <w:r w:rsidRPr="00D22450">
              <w:rPr>
                <w:rFonts w:ascii="Book Antiqua" w:hAnsi="Book Antiqua" w:cs="Arial"/>
                <w:b/>
                <w:i/>
              </w:rPr>
              <w:t>n</w:t>
            </w:r>
            <w:r w:rsidRPr="00D22450">
              <w:rPr>
                <w:rFonts w:ascii="Book Antiqua" w:hAnsi="Book Antiqua" w:cs="Arial"/>
                <w:b/>
              </w:rPr>
              <w:t xml:space="preserve"> = 143)</w:t>
            </w:r>
          </w:p>
        </w:tc>
        <w:tc>
          <w:tcPr>
            <w:tcW w:w="1425" w:type="dxa"/>
            <w:tcBorders>
              <w:top w:val="single" w:sz="4" w:space="0" w:color="auto"/>
              <w:bottom w:val="single" w:sz="4" w:space="0" w:color="auto"/>
            </w:tcBorders>
            <w:shd w:val="clear" w:color="auto" w:fill="auto"/>
            <w:tcMar>
              <w:top w:w="8" w:type="dxa"/>
              <w:left w:w="8" w:type="dxa"/>
              <w:bottom w:w="0" w:type="dxa"/>
              <w:right w:w="8" w:type="dxa"/>
            </w:tcMar>
            <w:hideMark/>
          </w:tcPr>
          <w:p w14:paraId="4F5A862F" w14:textId="77777777" w:rsidR="00D22450" w:rsidRPr="00D22450" w:rsidRDefault="00D22450" w:rsidP="00D22450">
            <w:pPr>
              <w:snapToGrid w:val="0"/>
              <w:spacing w:line="360" w:lineRule="auto"/>
              <w:jc w:val="both"/>
              <w:rPr>
                <w:rFonts w:ascii="Book Antiqua" w:hAnsi="Book Antiqua" w:cs="Arial"/>
                <w:b/>
              </w:rPr>
            </w:pPr>
            <w:r w:rsidRPr="00D22450">
              <w:rPr>
                <w:rFonts w:ascii="Book Antiqua" w:hAnsi="Book Antiqua" w:cs="Arial"/>
                <w:b/>
              </w:rPr>
              <w:t>MR liver fat (</w:t>
            </w:r>
            <w:r w:rsidRPr="00D22450">
              <w:rPr>
                <w:rFonts w:ascii="Book Antiqua" w:hAnsi="Book Antiqua" w:cs="Arial"/>
                <w:b/>
                <w:i/>
              </w:rPr>
              <w:t xml:space="preserve">n </w:t>
            </w:r>
            <w:r w:rsidRPr="00D22450">
              <w:rPr>
                <w:rFonts w:ascii="Book Antiqua" w:hAnsi="Book Antiqua" w:cs="Arial"/>
                <w:b/>
              </w:rPr>
              <w:t>= 143)</w:t>
            </w:r>
          </w:p>
        </w:tc>
        <w:tc>
          <w:tcPr>
            <w:tcW w:w="1425" w:type="dxa"/>
            <w:tcBorders>
              <w:top w:val="single" w:sz="4" w:space="0" w:color="auto"/>
              <w:bottom w:val="single" w:sz="4" w:space="0" w:color="auto"/>
            </w:tcBorders>
            <w:shd w:val="clear" w:color="auto" w:fill="auto"/>
            <w:tcMar>
              <w:top w:w="8" w:type="dxa"/>
              <w:left w:w="8" w:type="dxa"/>
              <w:bottom w:w="0" w:type="dxa"/>
              <w:right w:w="8" w:type="dxa"/>
            </w:tcMar>
            <w:hideMark/>
          </w:tcPr>
          <w:p w14:paraId="5EDA9FCD" w14:textId="77777777" w:rsidR="00D22450" w:rsidRPr="00D22450" w:rsidRDefault="00D22450" w:rsidP="00D22450">
            <w:pPr>
              <w:snapToGrid w:val="0"/>
              <w:spacing w:line="360" w:lineRule="auto"/>
              <w:jc w:val="both"/>
              <w:rPr>
                <w:rFonts w:ascii="Book Antiqua" w:hAnsi="Book Antiqua" w:cs="Arial"/>
                <w:b/>
              </w:rPr>
            </w:pPr>
            <w:r w:rsidRPr="00D22450">
              <w:rPr>
                <w:rFonts w:ascii="Book Antiqua" w:hAnsi="Book Antiqua" w:cs="Arial"/>
                <w:b/>
              </w:rPr>
              <w:t>MRE</w:t>
            </w:r>
            <w:r w:rsidRPr="00D22450">
              <w:rPr>
                <w:rFonts w:ascii="Book Antiqua" w:hAnsi="Book Antiqua" w:cs="Arial"/>
                <w:b/>
                <w:lang w:eastAsia="zh-CN"/>
              </w:rPr>
              <w:t xml:space="preserve"> </w:t>
            </w:r>
            <w:r w:rsidRPr="00D22450">
              <w:rPr>
                <w:rFonts w:ascii="Book Antiqua" w:hAnsi="Book Antiqua" w:cs="Arial"/>
                <w:b/>
              </w:rPr>
              <w:t>(</w:t>
            </w:r>
            <w:r w:rsidRPr="00D22450">
              <w:rPr>
                <w:rFonts w:ascii="Book Antiqua" w:hAnsi="Book Antiqua" w:cs="Arial"/>
                <w:b/>
                <w:i/>
              </w:rPr>
              <w:t>n</w:t>
            </w:r>
            <w:r w:rsidRPr="00D22450">
              <w:rPr>
                <w:rFonts w:ascii="Book Antiqua" w:hAnsi="Book Antiqua" w:cs="Arial"/>
                <w:b/>
              </w:rPr>
              <w:t xml:space="preserve"> = 144)</w:t>
            </w:r>
          </w:p>
        </w:tc>
        <w:tc>
          <w:tcPr>
            <w:tcW w:w="1425" w:type="dxa"/>
            <w:tcBorders>
              <w:top w:val="single" w:sz="4" w:space="0" w:color="auto"/>
              <w:bottom w:val="single" w:sz="4" w:space="0" w:color="auto"/>
            </w:tcBorders>
            <w:shd w:val="clear" w:color="auto" w:fill="auto"/>
            <w:tcMar>
              <w:top w:w="8" w:type="dxa"/>
              <w:left w:w="8" w:type="dxa"/>
              <w:bottom w:w="0" w:type="dxa"/>
              <w:right w:w="8" w:type="dxa"/>
            </w:tcMar>
            <w:hideMark/>
          </w:tcPr>
          <w:p w14:paraId="04315671" w14:textId="77777777" w:rsidR="00D22450" w:rsidRPr="00D22450" w:rsidRDefault="00D22450" w:rsidP="00D22450">
            <w:pPr>
              <w:snapToGrid w:val="0"/>
              <w:spacing w:line="360" w:lineRule="auto"/>
              <w:jc w:val="both"/>
              <w:rPr>
                <w:rFonts w:ascii="Book Antiqua" w:hAnsi="Book Antiqua" w:cs="Arial"/>
                <w:b/>
              </w:rPr>
            </w:pPr>
            <w:r w:rsidRPr="00D22450">
              <w:rPr>
                <w:rFonts w:ascii="Book Antiqua" w:hAnsi="Book Antiqua" w:cs="Arial"/>
                <w:b/>
              </w:rPr>
              <w:t>VCTE-LSM (</w:t>
            </w:r>
            <w:r w:rsidRPr="00D22450">
              <w:rPr>
                <w:rFonts w:ascii="Book Antiqua" w:hAnsi="Book Antiqua" w:cs="Arial"/>
                <w:b/>
                <w:i/>
              </w:rPr>
              <w:t xml:space="preserve">n </w:t>
            </w:r>
            <w:r w:rsidRPr="00D22450">
              <w:rPr>
                <w:rFonts w:ascii="Book Antiqua" w:hAnsi="Book Antiqua" w:cs="Arial"/>
                <w:b/>
              </w:rPr>
              <w:t>= 117)</w:t>
            </w:r>
          </w:p>
        </w:tc>
        <w:tc>
          <w:tcPr>
            <w:tcW w:w="1425" w:type="dxa"/>
            <w:tcBorders>
              <w:top w:val="single" w:sz="4" w:space="0" w:color="auto"/>
              <w:bottom w:val="single" w:sz="4" w:space="0" w:color="auto"/>
            </w:tcBorders>
            <w:shd w:val="clear" w:color="auto" w:fill="auto"/>
            <w:tcMar>
              <w:top w:w="8" w:type="dxa"/>
              <w:left w:w="8" w:type="dxa"/>
              <w:bottom w:w="0" w:type="dxa"/>
              <w:right w:w="8" w:type="dxa"/>
            </w:tcMar>
            <w:hideMark/>
          </w:tcPr>
          <w:p w14:paraId="73CDCDCB" w14:textId="77777777" w:rsidR="00D22450" w:rsidRPr="00D22450" w:rsidRDefault="00D22450" w:rsidP="00D22450">
            <w:pPr>
              <w:snapToGrid w:val="0"/>
              <w:spacing w:line="360" w:lineRule="auto"/>
              <w:jc w:val="both"/>
              <w:rPr>
                <w:rFonts w:ascii="Book Antiqua" w:hAnsi="Book Antiqua" w:cs="Arial"/>
                <w:b/>
              </w:rPr>
            </w:pPr>
            <w:r w:rsidRPr="00D22450">
              <w:rPr>
                <w:rFonts w:ascii="Book Antiqua" w:hAnsi="Book Antiqua" w:cs="Arial"/>
                <w:b/>
              </w:rPr>
              <w:t>CAP (</w:t>
            </w:r>
            <w:r w:rsidRPr="00D22450">
              <w:rPr>
                <w:rFonts w:ascii="Book Antiqua" w:hAnsi="Book Antiqua" w:cs="Arial"/>
                <w:b/>
                <w:i/>
              </w:rPr>
              <w:t xml:space="preserve">n </w:t>
            </w:r>
            <w:r w:rsidRPr="00D22450">
              <w:rPr>
                <w:rFonts w:ascii="Book Antiqua" w:hAnsi="Book Antiqua" w:cs="Arial"/>
                <w:b/>
              </w:rPr>
              <w:t>= 117)</w:t>
            </w:r>
          </w:p>
        </w:tc>
        <w:tc>
          <w:tcPr>
            <w:tcW w:w="1425" w:type="dxa"/>
            <w:tcBorders>
              <w:top w:val="single" w:sz="4" w:space="0" w:color="auto"/>
              <w:bottom w:val="single" w:sz="4" w:space="0" w:color="auto"/>
            </w:tcBorders>
            <w:shd w:val="clear" w:color="auto" w:fill="auto"/>
            <w:tcMar>
              <w:top w:w="8" w:type="dxa"/>
              <w:left w:w="8" w:type="dxa"/>
              <w:bottom w:w="0" w:type="dxa"/>
              <w:right w:w="8" w:type="dxa"/>
            </w:tcMar>
            <w:hideMark/>
          </w:tcPr>
          <w:p w14:paraId="395CCD0C" w14:textId="77777777" w:rsidR="00D22450" w:rsidRPr="00D22450" w:rsidRDefault="00D22450" w:rsidP="00D22450">
            <w:pPr>
              <w:snapToGrid w:val="0"/>
              <w:spacing w:line="360" w:lineRule="auto"/>
              <w:jc w:val="both"/>
              <w:rPr>
                <w:rFonts w:ascii="Book Antiqua" w:hAnsi="Book Antiqua" w:cs="Arial"/>
                <w:b/>
              </w:rPr>
            </w:pPr>
            <w:r w:rsidRPr="00D22450">
              <w:rPr>
                <w:rFonts w:ascii="Book Antiqua" w:hAnsi="Book Antiqua" w:cs="Arial"/>
                <w:b/>
              </w:rPr>
              <w:t>2D SWE (</w:t>
            </w:r>
            <w:r w:rsidRPr="00D22450">
              <w:rPr>
                <w:rFonts w:ascii="Book Antiqua" w:hAnsi="Book Antiqua" w:cs="Arial"/>
                <w:b/>
                <w:i/>
              </w:rPr>
              <w:t xml:space="preserve">n </w:t>
            </w:r>
            <w:r w:rsidRPr="00D22450">
              <w:rPr>
                <w:rFonts w:ascii="Book Antiqua" w:hAnsi="Book Antiqua" w:cs="Arial"/>
                <w:b/>
              </w:rPr>
              <w:t>= 84)</w:t>
            </w:r>
          </w:p>
        </w:tc>
      </w:tr>
      <w:tr w:rsidR="00D22450" w:rsidRPr="00D22450" w14:paraId="5489AB9E" w14:textId="77777777" w:rsidTr="000727C4">
        <w:trPr>
          <w:trHeight w:val="470"/>
        </w:trPr>
        <w:tc>
          <w:tcPr>
            <w:tcW w:w="1839" w:type="dxa"/>
            <w:tcBorders>
              <w:top w:val="single" w:sz="4" w:space="0" w:color="auto"/>
            </w:tcBorders>
            <w:shd w:val="clear" w:color="auto" w:fill="auto"/>
            <w:tcMar>
              <w:top w:w="8" w:type="dxa"/>
              <w:left w:w="8" w:type="dxa"/>
              <w:bottom w:w="0" w:type="dxa"/>
              <w:right w:w="8" w:type="dxa"/>
            </w:tcMar>
            <w:vAlign w:val="center"/>
            <w:hideMark/>
          </w:tcPr>
          <w:p w14:paraId="1B5AC38C"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Fibrosis</w:t>
            </w:r>
          </w:p>
        </w:tc>
        <w:tc>
          <w:tcPr>
            <w:tcW w:w="1424" w:type="dxa"/>
            <w:tcBorders>
              <w:top w:val="single" w:sz="4" w:space="0" w:color="auto"/>
            </w:tcBorders>
            <w:shd w:val="clear" w:color="auto" w:fill="auto"/>
            <w:tcMar>
              <w:top w:w="8" w:type="dxa"/>
              <w:left w:w="8" w:type="dxa"/>
              <w:bottom w:w="0" w:type="dxa"/>
              <w:right w:w="8" w:type="dxa"/>
            </w:tcMar>
            <w:vAlign w:val="center"/>
            <w:hideMark/>
          </w:tcPr>
          <w:p w14:paraId="040C9BAB" w14:textId="77777777" w:rsidR="00D22450" w:rsidRPr="00D22450" w:rsidRDefault="00D22450" w:rsidP="00D22450">
            <w:pPr>
              <w:snapToGrid w:val="0"/>
              <w:spacing w:line="360" w:lineRule="auto"/>
              <w:jc w:val="both"/>
              <w:rPr>
                <w:rFonts w:ascii="Book Antiqua" w:hAnsi="Book Antiqua" w:cs="Arial"/>
                <w:bCs/>
              </w:rPr>
            </w:pPr>
            <w:r w:rsidRPr="00D22450">
              <w:rPr>
                <w:rFonts w:ascii="Book Antiqua" w:hAnsi="Book Antiqua" w:cs="Arial"/>
                <w:bCs/>
              </w:rPr>
              <w:t>0.24,</w:t>
            </w:r>
            <w:r w:rsidRPr="00D22450">
              <w:rPr>
                <w:rFonts w:ascii="Book Antiqua" w:hAnsi="Book Antiqua" w:cs="Arial"/>
                <w:bCs/>
                <w:lang w:eastAsia="zh-CN"/>
              </w:rPr>
              <w:t xml:space="preserve"> </w:t>
            </w:r>
            <w:r w:rsidRPr="00D22450">
              <w:rPr>
                <w:rFonts w:ascii="Book Antiqua" w:hAnsi="Book Antiqua" w:cs="Arial"/>
                <w:bCs/>
                <w:i/>
                <w:caps/>
              </w:rPr>
              <w:t>p</w:t>
            </w:r>
            <w:r w:rsidRPr="00D22450">
              <w:rPr>
                <w:rFonts w:ascii="Book Antiqua" w:hAnsi="Book Antiqua" w:cs="Arial"/>
                <w:bCs/>
              </w:rPr>
              <w:t xml:space="preserve"> &lt; 0.01</w:t>
            </w:r>
          </w:p>
        </w:tc>
        <w:tc>
          <w:tcPr>
            <w:tcW w:w="1425" w:type="dxa"/>
            <w:tcBorders>
              <w:top w:val="single" w:sz="4" w:space="0" w:color="auto"/>
            </w:tcBorders>
            <w:shd w:val="clear" w:color="auto" w:fill="auto"/>
            <w:tcMar>
              <w:top w:w="8" w:type="dxa"/>
              <w:left w:w="8" w:type="dxa"/>
              <w:bottom w:w="0" w:type="dxa"/>
              <w:right w:w="8" w:type="dxa"/>
            </w:tcMar>
            <w:vAlign w:val="center"/>
            <w:hideMark/>
          </w:tcPr>
          <w:p w14:paraId="72BC9F5F" w14:textId="77777777" w:rsidR="00D22450" w:rsidRPr="00D22450" w:rsidRDefault="00D22450" w:rsidP="00D22450">
            <w:pPr>
              <w:snapToGrid w:val="0"/>
              <w:spacing w:line="360" w:lineRule="auto"/>
              <w:jc w:val="both"/>
              <w:rPr>
                <w:rFonts w:ascii="Book Antiqua" w:hAnsi="Book Antiqua" w:cs="Arial"/>
                <w:bCs/>
              </w:rPr>
            </w:pPr>
            <w:r w:rsidRPr="00D22450">
              <w:rPr>
                <w:rFonts w:ascii="Book Antiqua" w:hAnsi="Book Antiqua" w:cs="Arial"/>
                <w:bCs/>
              </w:rPr>
              <w:t xml:space="preserve">-0.25, </w:t>
            </w:r>
            <w:r w:rsidRPr="00D22450">
              <w:rPr>
                <w:rFonts w:ascii="Book Antiqua" w:hAnsi="Book Antiqua" w:cs="Arial"/>
                <w:bCs/>
                <w:i/>
                <w:caps/>
              </w:rPr>
              <w:t>p</w:t>
            </w:r>
            <w:r w:rsidRPr="00D22450">
              <w:rPr>
                <w:rFonts w:ascii="Book Antiqua" w:hAnsi="Book Antiqua" w:cs="Arial"/>
                <w:bCs/>
              </w:rPr>
              <w:t xml:space="preserve"> &lt;0.01</w:t>
            </w:r>
          </w:p>
        </w:tc>
        <w:tc>
          <w:tcPr>
            <w:tcW w:w="1425" w:type="dxa"/>
            <w:tcBorders>
              <w:top w:val="single" w:sz="4" w:space="0" w:color="auto"/>
            </w:tcBorders>
            <w:shd w:val="clear" w:color="auto" w:fill="auto"/>
            <w:tcMar>
              <w:top w:w="8" w:type="dxa"/>
              <w:left w:w="8" w:type="dxa"/>
              <w:bottom w:w="0" w:type="dxa"/>
              <w:right w:w="8" w:type="dxa"/>
            </w:tcMar>
            <w:vAlign w:val="center"/>
            <w:hideMark/>
          </w:tcPr>
          <w:p w14:paraId="493AFED1" w14:textId="77777777" w:rsidR="00D22450" w:rsidRPr="00D22450" w:rsidRDefault="00D22450" w:rsidP="00D22450">
            <w:pPr>
              <w:snapToGrid w:val="0"/>
              <w:spacing w:line="360" w:lineRule="auto"/>
              <w:jc w:val="both"/>
              <w:rPr>
                <w:rFonts w:ascii="Book Antiqua" w:hAnsi="Book Antiqua" w:cs="Arial"/>
                <w:bCs/>
              </w:rPr>
            </w:pPr>
            <w:r w:rsidRPr="00D22450">
              <w:rPr>
                <w:rFonts w:ascii="Book Antiqua" w:hAnsi="Book Antiqua" w:cs="Arial"/>
                <w:bCs/>
              </w:rPr>
              <w:t xml:space="preserve">0.75, </w:t>
            </w:r>
            <w:r w:rsidRPr="00D22450">
              <w:rPr>
                <w:rFonts w:ascii="Book Antiqua" w:hAnsi="Book Antiqua" w:cs="Arial"/>
                <w:bCs/>
                <w:i/>
                <w:caps/>
              </w:rPr>
              <w:t>p</w:t>
            </w:r>
            <w:r w:rsidRPr="00D22450">
              <w:rPr>
                <w:rFonts w:ascii="Book Antiqua" w:hAnsi="Book Antiqua" w:cs="Arial"/>
                <w:bCs/>
              </w:rPr>
              <w:t xml:space="preserve"> &lt; 0.001</w:t>
            </w:r>
          </w:p>
        </w:tc>
        <w:tc>
          <w:tcPr>
            <w:tcW w:w="1425" w:type="dxa"/>
            <w:tcBorders>
              <w:top w:val="single" w:sz="4" w:space="0" w:color="auto"/>
            </w:tcBorders>
            <w:shd w:val="clear" w:color="auto" w:fill="auto"/>
            <w:tcMar>
              <w:top w:w="8" w:type="dxa"/>
              <w:left w:w="8" w:type="dxa"/>
              <w:bottom w:w="0" w:type="dxa"/>
              <w:right w:w="8" w:type="dxa"/>
            </w:tcMar>
            <w:vAlign w:val="center"/>
            <w:hideMark/>
          </w:tcPr>
          <w:p w14:paraId="774E62C7" w14:textId="77777777" w:rsidR="00D22450" w:rsidRPr="00D22450" w:rsidRDefault="00D22450" w:rsidP="00D22450">
            <w:pPr>
              <w:snapToGrid w:val="0"/>
              <w:spacing w:line="360" w:lineRule="auto"/>
              <w:jc w:val="both"/>
              <w:rPr>
                <w:rFonts w:ascii="Book Antiqua" w:hAnsi="Book Antiqua" w:cs="Arial"/>
                <w:bCs/>
              </w:rPr>
            </w:pPr>
            <w:r w:rsidRPr="00D22450">
              <w:rPr>
                <w:rFonts w:ascii="Book Antiqua" w:hAnsi="Book Antiqua" w:cs="Arial"/>
                <w:bCs/>
              </w:rPr>
              <w:t xml:space="preserve">0.69, </w:t>
            </w:r>
            <w:r w:rsidRPr="00D22450">
              <w:rPr>
                <w:rFonts w:ascii="Book Antiqua" w:hAnsi="Book Antiqua" w:cs="Arial"/>
                <w:bCs/>
                <w:i/>
                <w:caps/>
              </w:rPr>
              <w:t>p</w:t>
            </w:r>
            <w:r w:rsidRPr="00D22450">
              <w:rPr>
                <w:rFonts w:ascii="Book Antiqua" w:hAnsi="Book Antiqua" w:cs="Arial"/>
                <w:bCs/>
              </w:rPr>
              <w:t xml:space="preserve"> &lt; 0.001</w:t>
            </w:r>
          </w:p>
        </w:tc>
        <w:tc>
          <w:tcPr>
            <w:tcW w:w="1425" w:type="dxa"/>
            <w:tcBorders>
              <w:top w:val="single" w:sz="4" w:space="0" w:color="auto"/>
            </w:tcBorders>
            <w:shd w:val="clear" w:color="auto" w:fill="auto"/>
            <w:tcMar>
              <w:top w:w="8" w:type="dxa"/>
              <w:left w:w="8" w:type="dxa"/>
              <w:bottom w:w="0" w:type="dxa"/>
              <w:right w:w="8" w:type="dxa"/>
            </w:tcMar>
            <w:vAlign w:val="center"/>
            <w:hideMark/>
          </w:tcPr>
          <w:p w14:paraId="153057BE"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 xml:space="preserve">0.05, </w:t>
            </w:r>
            <w:r w:rsidRPr="00D22450">
              <w:rPr>
                <w:rFonts w:ascii="Book Antiqua" w:hAnsi="Book Antiqua" w:cs="Arial"/>
                <w:i/>
                <w:caps/>
              </w:rPr>
              <w:t>p</w:t>
            </w:r>
            <w:r w:rsidRPr="00D22450">
              <w:rPr>
                <w:rFonts w:ascii="Book Antiqua" w:hAnsi="Book Antiqua" w:cs="Arial"/>
              </w:rPr>
              <w:t xml:space="preserve"> = 0.58</w:t>
            </w:r>
          </w:p>
        </w:tc>
        <w:tc>
          <w:tcPr>
            <w:tcW w:w="1425" w:type="dxa"/>
            <w:tcBorders>
              <w:top w:val="single" w:sz="4" w:space="0" w:color="auto"/>
            </w:tcBorders>
            <w:shd w:val="clear" w:color="auto" w:fill="auto"/>
            <w:tcMar>
              <w:top w:w="8" w:type="dxa"/>
              <w:left w:w="8" w:type="dxa"/>
              <w:bottom w:w="0" w:type="dxa"/>
              <w:right w:w="8" w:type="dxa"/>
            </w:tcMar>
            <w:vAlign w:val="center"/>
            <w:hideMark/>
          </w:tcPr>
          <w:p w14:paraId="7AA2D9C7" w14:textId="77777777" w:rsidR="00D22450" w:rsidRPr="00D22450" w:rsidRDefault="00D22450" w:rsidP="00D22450">
            <w:pPr>
              <w:snapToGrid w:val="0"/>
              <w:spacing w:line="360" w:lineRule="auto"/>
              <w:jc w:val="both"/>
              <w:rPr>
                <w:rFonts w:ascii="Book Antiqua" w:hAnsi="Book Antiqua" w:cs="Arial"/>
                <w:bCs/>
              </w:rPr>
            </w:pPr>
            <w:r w:rsidRPr="00D22450">
              <w:rPr>
                <w:rFonts w:ascii="Book Antiqua" w:hAnsi="Book Antiqua" w:cs="Arial"/>
                <w:bCs/>
              </w:rPr>
              <w:t xml:space="preserve">0.72, </w:t>
            </w:r>
            <w:r w:rsidRPr="00D22450">
              <w:rPr>
                <w:rFonts w:ascii="Book Antiqua" w:hAnsi="Book Antiqua" w:cs="Arial"/>
                <w:bCs/>
                <w:i/>
                <w:caps/>
              </w:rPr>
              <w:t>p</w:t>
            </w:r>
            <w:r w:rsidRPr="00D22450">
              <w:rPr>
                <w:rFonts w:ascii="Book Antiqua" w:hAnsi="Book Antiqua" w:cs="Arial"/>
                <w:bCs/>
              </w:rPr>
              <w:t xml:space="preserve"> &lt; 0.001</w:t>
            </w:r>
          </w:p>
        </w:tc>
      </w:tr>
      <w:tr w:rsidR="00D22450" w:rsidRPr="00D22450" w14:paraId="32CCD38B" w14:textId="77777777" w:rsidTr="000727C4">
        <w:trPr>
          <w:trHeight w:val="470"/>
        </w:trPr>
        <w:tc>
          <w:tcPr>
            <w:tcW w:w="1839" w:type="dxa"/>
            <w:shd w:val="clear" w:color="auto" w:fill="auto"/>
            <w:tcMar>
              <w:top w:w="8" w:type="dxa"/>
              <w:left w:w="8" w:type="dxa"/>
              <w:bottom w:w="0" w:type="dxa"/>
              <w:right w:w="8" w:type="dxa"/>
            </w:tcMar>
            <w:vAlign w:val="center"/>
            <w:hideMark/>
          </w:tcPr>
          <w:p w14:paraId="40899DD9"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Steatosis</w:t>
            </w:r>
          </w:p>
        </w:tc>
        <w:tc>
          <w:tcPr>
            <w:tcW w:w="1424" w:type="dxa"/>
            <w:shd w:val="clear" w:color="auto" w:fill="auto"/>
            <w:tcMar>
              <w:top w:w="8" w:type="dxa"/>
              <w:left w:w="8" w:type="dxa"/>
              <w:bottom w:w="0" w:type="dxa"/>
              <w:right w:w="8" w:type="dxa"/>
            </w:tcMar>
            <w:vAlign w:val="center"/>
            <w:hideMark/>
          </w:tcPr>
          <w:p w14:paraId="7A795250"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0.29</w:t>
            </w:r>
            <w:r w:rsidRPr="00D22450">
              <w:rPr>
                <w:rFonts w:ascii="Book Antiqua" w:hAnsi="Book Antiqua" w:cs="Arial"/>
              </w:rPr>
              <w:t>,</w:t>
            </w:r>
            <w:r w:rsidRPr="00D22450">
              <w:rPr>
                <w:rFonts w:ascii="Book Antiqua" w:hAnsi="Book Antiqua" w:cs="Arial"/>
                <w:lang w:eastAsia="zh-CN"/>
              </w:rPr>
              <w:t xml:space="preserve"> </w:t>
            </w:r>
            <w:r w:rsidRPr="00D22450">
              <w:rPr>
                <w:rFonts w:ascii="Book Antiqua" w:hAnsi="Book Antiqua" w:cs="Arial"/>
                <w:bCs/>
                <w:i/>
                <w:caps/>
              </w:rPr>
              <w:t>p</w:t>
            </w:r>
            <w:r w:rsidRPr="00D22450">
              <w:rPr>
                <w:rFonts w:ascii="Book Antiqua" w:hAnsi="Book Antiqua" w:cs="Arial"/>
                <w:bCs/>
              </w:rPr>
              <w:t xml:space="preserve"> &lt; 0.001</w:t>
            </w:r>
          </w:p>
        </w:tc>
        <w:tc>
          <w:tcPr>
            <w:tcW w:w="1425" w:type="dxa"/>
            <w:shd w:val="clear" w:color="auto" w:fill="auto"/>
            <w:tcMar>
              <w:top w:w="8" w:type="dxa"/>
              <w:left w:w="8" w:type="dxa"/>
              <w:bottom w:w="0" w:type="dxa"/>
              <w:right w:w="8" w:type="dxa"/>
            </w:tcMar>
            <w:vAlign w:val="center"/>
            <w:hideMark/>
          </w:tcPr>
          <w:p w14:paraId="1B57C804"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0.70,</w:t>
            </w:r>
            <w:r w:rsidRPr="00D22450">
              <w:rPr>
                <w:rFonts w:ascii="Book Antiqua" w:hAnsi="Book Antiqua" w:cs="Arial"/>
              </w:rPr>
              <w:t xml:space="preserve"> </w:t>
            </w:r>
            <w:r w:rsidRPr="00D22450">
              <w:rPr>
                <w:rFonts w:ascii="Book Antiqua" w:hAnsi="Book Antiqua" w:cs="Arial"/>
                <w:bCs/>
                <w:i/>
                <w:caps/>
              </w:rPr>
              <w:t>p</w:t>
            </w:r>
            <w:r w:rsidRPr="00D22450">
              <w:rPr>
                <w:rFonts w:ascii="Book Antiqua" w:hAnsi="Book Antiqua" w:cs="Arial"/>
                <w:bCs/>
              </w:rPr>
              <w:t xml:space="preserve"> &lt; 0.001</w:t>
            </w:r>
          </w:p>
        </w:tc>
        <w:tc>
          <w:tcPr>
            <w:tcW w:w="1425" w:type="dxa"/>
            <w:shd w:val="clear" w:color="auto" w:fill="auto"/>
            <w:tcMar>
              <w:top w:w="8" w:type="dxa"/>
              <w:left w:w="8" w:type="dxa"/>
              <w:bottom w:w="0" w:type="dxa"/>
              <w:right w:w="8" w:type="dxa"/>
            </w:tcMar>
            <w:vAlign w:val="center"/>
            <w:hideMark/>
          </w:tcPr>
          <w:p w14:paraId="11A10C29" w14:textId="77777777" w:rsidR="00D22450" w:rsidRPr="00D22450" w:rsidRDefault="00D22450" w:rsidP="00D22450">
            <w:pPr>
              <w:snapToGrid w:val="0"/>
              <w:spacing w:line="360" w:lineRule="auto"/>
              <w:jc w:val="both"/>
              <w:rPr>
                <w:rFonts w:ascii="Book Antiqua" w:hAnsi="Book Antiqua" w:cs="Arial"/>
                <w:bCs/>
              </w:rPr>
            </w:pPr>
            <w:r w:rsidRPr="00D22450">
              <w:rPr>
                <w:rFonts w:ascii="Book Antiqua" w:hAnsi="Book Antiqua" w:cs="Arial"/>
                <w:bCs/>
              </w:rPr>
              <w:t xml:space="preserve">-0.23, </w:t>
            </w:r>
            <w:r w:rsidRPr="00D22450">
              <w:rPr>
                <w:rFonts w:ascii="Book Antiqua" w:hAnsi="Book Antiqua" w:cs="Arial"/>
                <w:bCs/>
                <w:i/>
                <w:caps/>
              </w:rPr>
              <w:t>p</w:t>
            </w:r>
            <w:r w:rsidRPr="00D22450">
              <w:rPr>
                <w:rFonts w:ascii="Book Antiqua" w:hAnsi="Book Antiqua" w:cs="Arial"/>
                <w:bCs/>
              </w:rPr>
              <w:t xml:space="preserve"> &lt; 0.01</w:t>
            </w:r>
          </w:p>
        </w:tc>
        <w:tc>
          <w:tcPr>
            <w:tcW w:w="1425" w:type="dxa"/>
            <w:shd w:val="clear" w:color="auto" w:fill="auto"/>
            <w:tcMar>
              <w:top w:w="8" w:type="dxa"/>
              <w:left w:w="8" w:type="dxa"/>
              <w:bottom w:w="0" w:type="dxa"/>
              <w:right w:w="8" w:type="dxa"/>
            </w:tcMar>
            <w:vAlign w:val="center"/>
            <w:hideMark/>
          </w:tcPr>
          <w:p w14:paraId="6A5C380A"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 xml:space="preserve">-0.09, </w:t>
            </w:r>
            <w:r w:rsidRPr="00D22450">
              <w:rPr>
                <w:rFonts w:ascii="Book Antiqua" w:hAnsi="Book Antiqua" w:cs="Arial"/>
                <w:i/>
                <w:caps/>
              </w:rPr>
              <w:t>p</w:t>
            </w:r>
            <w:r w:rsidRPr="00D22450">
              <w:rPr>
                <w:rFonts w:ascii="Book Antiqua" w:hAnsi="Book Antiqua" w:cs="Arial"/>
              </w:rPr>
              <w:t xml:space="preserve"> = 0.23</w:t>
            </w:r>
          </w:p>
        </w:tc>
        <w:tc>
          <w:tcPr>
            <w:tcW w:w="1425" w:type="dxa"/>
            <w:shd w:val="clear" w:color="auto" w:fill="auto"/>
            <w:tcMar>
              <w:top w:w="8" w:type="dxa"/>
              <w:left w:w="8" w:type="dxa"/>
              <w:bottom w:w="0" w:type="dxa"/>
              <w:right w:w="8" w:type="dxa"/>
            </w:tcMar>
            <w:vAlign w:val="center"/>
            <w:hideMark/>
          </w:tcPr>
          <w:p w14:paraId="6EDECBD8"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0.39,</w:t>
            </w:r>
            <w:r w:rsidRPr="00D22450">
              <w:rPr>
                <w:rFonts w:ascii="Book Antiqua" w:hAnsi="Book Antiqua" w:cs="Arial"/>
              </w:rPr>
              <w:t xml:space="preserve"> </w:t>
            </w:r>
            <w:r w:rsidRPr="00D22450">
              <w:rPr>
                <w:rFonts w:ascii="Book Antiqua" w:hAnsi="Book Antiqua" w:cs="Arial"/>
                <w:bCs/>
                <w:i/>
                <w:caps/>
              </w:rPr>
              <w:t>p</w:t>
            </w:r>
            <w:r w:rsidRPr="00D22450">
              <w:rPr>
                <w:rFonts w:ascii="Book Antiqua" w:hAnsi="Book Antiqua" w:cs="Arial"/>
                <w:bCs/>
              </w:rPr>
              <w:t xml:space="preserve"> &lt; 0.001</w:t>
            </w:r>
          </w:p>
        </w:tc>
        <w:tc>
          <w:tcPr>
            <w:tcW w:w="1425" w:type="dxa"/>
            <w:shd w:val="clear" w:color="auto" w:fill="auto"/>
            <w:tcMar>
              <w:top w:w="8" w:type="dxa"/>
              <w:left w:w="8" w:type="dxa"/>
              <w:bottom w:w="0" w:type="dxa"/>
              <w:right w:w="8" w:type="dxa"/>
            </w:tcMar>
            <w:vAlign w:val="center"/>
            <w:hideMark/>
          </w:tcPr>
          <w:p w14:paraId="743F131A"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 xml:space="preserve">-0.07, </w:t>
            </w:r>
            <w:r w:rsidRPr="00D22450">
              <w:rPr>
                <w:rFonts w:ascii="Book Antiqua" w:hAnsi="Book Antiqua" w:cs="Arial"/>
                <w:i/>
                <w:caps/>
              </w:rPr>
              <w:t>p</w:t>
            </w:r>
            <w:r w:rsidRPr="00D22450">
              <w:rPr>
                <w:rFonts w:ascii="Book Antiqua" w:hAnsi="Book Antiqua" w:cs="Arial"/>
              </w:rPr>
              <w:t xml:space="preserve"> = 0.53</w:t>
            </w:r>
          </w:p>
        </w:tc>
      </w:tr>
      <w:tr w:rsidR="00D22450" w:rsidRPr="00D22450" w14:paraId="111C0834" w14:textId="77777777" w:rsidTr="000727C4">
        <w:trPr>
          <w:trHeight w:val="470"/>
        </w:trPr>
        <w:tc>
          <w:tcPr>
            <w:tcW w:w="1839" w:type="dxa"/>
            <w:shd w:val="clear" w:color="auto" w:fill="auto"/>
            <w:tcMar>
              <w:top w:w="8" w:type="dxa"/>
              <w:left w:w="8" w:type="dxa"/>
              <w:bottom w:w="0" w:type="dxa"/>
              <w:right w:w="8" w:type="dxa"/>
            </w:tcMar>
            <w:vAlign w:val="center"/>
            <w:hideMark/>
          </w:tcPr>
          <w:p w14:paraId="76DC4227"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Lobular inflammation</w:t>
            </w:r>
          </w:p>
        </w:tc>
        <w:tc>
          <w:tcPr>
            <w:tcW w:w="1424" w:type="dxa"/>
            <w:shd w:val="clear" w:color="auto" w:fill="auto"/>
            <w:tcMar>
              <w:top w:w="8" w:type="dxa"/>
              <w:left w:w="8" w:type="dxa"/>
              <w:bottom w:w="0" w:type="dxa"/>
              <w:right w:w="8" w:type="dxa"/>
            </w:tcMar>
            <w:vAlign w:val="center"/>
            <w:hideMark/>
          </w:tcPr>
          <w:p w14:paraId="7AE2B705"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0.31</w:t>
            </w:r>
            <w:r w:rsidRPr="00D22450">
              <w:rPr>
                <w:rFonts w:ascii="Book Antiqua" w:hAnsi="Book Antiqua" w:cs="Arial"/>
                <w:lang w:eastAsia="zh-CN"/>
              </w:rPr>
              <w:t xml:space="preserve">, </w:t>
            </w:r>
            <w:r w:rsidRPr="00D22450">
              <w:rPr>
                <w:rFonts w:ascii="Book Antiqua" w:hAnsi="Book Antiqua" w:cs="Arial"/>
                <w:bCs/>
                <w:i/>
              </w:rPr>
              <w:t xml:space="preserve">P </w:t>
            </w:r>
            <w:r w:rsidRPr="00D22450">
              <w:rPr>
                <w:rFonts w:ascii="Book Antiqua" w:hAnsi="Book Antiqua" w:cs="Arial"/>
                <w:bCs/>
              </w:rPr>
              <w:t>&lt; 0.001</w:t>
            </w:r>
          </w:p>
        </w:tc>
        <w:tc>
          <w:tcPr>
            <w:tcW w:w="1425" w:type="dxa"/>
            <w:shd w:val="clear" w:color="auto" w:fill="auto"/>
            <w:tcMar>
              <w:top w:w="8" w:type="dxa"/>
              <w:left w:w="8" w:type="dxa"/>
              <w:bottom w:w="0" w:type="dxa"/>
              <w:right w:w="8" w:type="dxa"/>
            </w:tcMar>
            <w:vAlign w:val="center"/>
            <w:hideMark/>
          </w:tcPr>
          <w:p w14:paraId="66942789"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0.28,</w:t>
            </w:r>
            <w:r w:rsidRPr="00D22450">
              <w:rPr>
                <w:rFonts w:ascii="Book Antiqua" w:hAnsi="Book Antiqua" w:cs="Arial"/>
              </w:rPr>
              <w:t xml:space="preserve"> </w:t>
            </w:r>
            <w:r w:rsidRPr="00D22450">
              <w:rPr>
                <w:rFonts w:ascii="Book Antiqua" w:hAnsi="Book Antiqua" w:cs="Arial"/>
                <w:bCs/>
                <w:i/>
              </w:rPr>
              <w:t>P</w:t>
            </w:r>
            <w:r w:rsidRPr="00D22450">
              <w:rPr>
                <w:rFonts w:ascii="Book Antiqua" w:hAnsi="Book Antiqua" w:cs="Arial"/>
                <w:bCs/>
              </w:rPr>
              <w:t xml:space="preserve"> &lt; 0.001</w:t>
            </w:r>
          </w:p>
        </w:tc>
        <w:tc>
          <w:tcPr>
            <w:tcW w:w="1425" w:type="dxa"/>
            <w:shd w:val="clear" w:color="auto" w:fill="auto"/>
            <w:tcMar>
              <w:top w:w="8" w:type="dxa"/>
              <w:left w:w="8" w:type="dxa"/>
              <w:bottom w:w="0" w:type="dxa"/>
              <w:right w:w="8" w:type="dxa"/>
            </w:tcMar>
            <w:vAlign w:val="center"/>
            <w:hideMark/>
          </w:tcPr>
          <w:p w14:paraId="5CBDA230"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0.16,</w:t>
            </w:r>
            <w:r w:rsidRPr="00D22450">
              <w:rPr>
                <w:rFonts w:ascii="Book Antiqua" w:hAnsi="Book Antiqua" w:cs="Arial"/>
              </w:rPr>
              <w:t xml:space="preserve"> </w:t>
            </w:r>
            <w:r w:rsidRPr="00D22450">
              <w:rPr>
                <w:rFonts w:ascii="Book Antiqua" w:hAnsi="Book Antiqua" w:cs="Arial"/>
                <w:bCs/>
                <w:i/>
                <w:caps/>
              </w:rPr>
              <w:t>p</w:t>
            </w:r>
            <w:r w:rsidRPr="00D22450">
              <w:rPr>
                <w:rFonts w:ascii="Book Antiqua" w:hAnsi="Book Antiqua" w:cs="Arial"/>
                <w:bCs/>
              </w:rPr>
              <w:t xml:space="preserve"> &lt; 0.01</w:t>
            </w:r>
          </w:p>
        </w:tc>
        <w:tc>
          <w:tcPr>
            <w:tcW w:w="1425" w:type="dxa"/>
            <w:shd w:val="clear" w:color="auto" w:fill="auto"/>
            <w:tcMar>
              <w:top w:w="8" w:type="dxa"/>
              <w:left w:w="8" w:type="dxa"/>
              <w:bottom w:w="0" w:type="dxa"/>
              <w:right w:w="8" w:type="dxa"/>
            </w:tcMar>
            <w:vAlign w:val="center"/>
            <w:hideMark/>
          </w:tcPr>
          <w:p w14:paraId="7203E918"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 xml:space="preserve">0.15, </w:t>
            </w:r>
            <w:r w:rsidRPr="00D22450">
              <w:rPr>
                <w:rFonts w:ascii="Book Antiqua" w:hAnsi="Book Antiqua" w:cs="Arial"/>
                <w:i/>
                <w:caps/>
              </w:rPr>
              <w:t>p</w:t>
            </w:r>
            <w:r w:rsidRPr="00D22450">
              <w:rPr>
                <w:rFonts w:ascii="Book Antiqua" w:hAnsi="Book Antiqua" w:cs="Arial"/>
              </w:rPr>
              <w:t xml:space="preserve"> = 0.10</w:t>
            </w:r>
          </w:p>
        </w:tc>
        <w:tc>
          <w:tcPr>
            <w:tcW w:w="1425" w:type="dxa"/>
            <w:shd w:val="clear" w:color="auto" w:fill="auto"/>
            <w:tcMar>
              <w:top w:w="8" w:type="dxa"/>
              <w:left w:w="8" w:type="dxa"/>
              <w:bottom w:w="0" w:type="dxa"/>
              <w:right w:w="8" w:type="dxa"/>
            </w:tcMar>
            <w:vAlign w:val="center"/>
            <w:hideMark/>
          </w:tcPr>
          <w:p w14:paraId="1B123FDF"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0.26,</w:t>
            </w:r>
            <w:r w:rsidRPr="00D22450">
              <w:rPr>
                <w:rFonts w:ascii="Book Antiqua" w:hAnsi="Book Antiqua" w:cs="Arial"/>
              </w:rPr>
              <w:t xml:space="preserve"> </w:t>
            </w:r>
            <w:r w:rsidRPr="00D22450">
              <w:rPr>
                <w:rFonts w:ascii="Book Antiqua" w:hAnsi="Book Antiqua" w:cs="Arial"/>
                <w:bCs/>
                <w:i/>
                <w:caps/>
              </w:rPr>
              <w:t>p</w:t>
            </w:r>
            <w:r w:rsidRPr="00D22450">
              <w:rPr>
                <w:rFonts w:ascii="Book Antiqua" w:hAnsi="Book Antiqua" w:cs="Arial"/>
                <w:bCs/>
              </w:rPr>
              <w:t xml:space="preserve"> &lt; 0.01</w:t>
            </w:r>
          </w:p>
        </w:tc>
        <w:tc>
          <w:tcPr>
            <w:tcW w:w="1425" w:type="dxa"/>
            <w:shd w:val="clear" w:color="auto" w:fill="auto"/>
            <w:tcMar>
              <w:top w:w="8" w:type="dxa"/>
              <w:left w:w="8" w:type="dxa"/>
              <w:bottom w:w="0" w:type="dxa"/>
              <w:right w:w="8" w:type="dxa"/>
            </w:tcMar>
            <w:vAlign w:val="center"/>
            <w:hideMark/>
          </w:tcPr>
          <w:p w14:paraId="2629151F"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 xml:space="preserve">0.16, </w:t>
            </w:r>
            <w:r w:rsidRPr="00D22450">
              <w:rPr>
                <w:rFonts w:ascii="Book Antiqua" w:hAnsi="Book Antiqua" w:cs="Arial"/>
                <w:i/>
                <w:caps/>
              </w:rPr>
              <w:t>p</w:t>
            </w:r>
            <w:r w:rsidRPr="00D22450">
              <w:rPr>
                <w:rFonts w:ascii="Book Antiqua" w:hAnsi="Book Antiqua" w:cs="Arial"/>
              </w:rPr>
              <w:t xml:space="preserve"> = 0.15</w:t>
            </w:r>
          </w:p>
        </w:tc>
      </w:tr>
      <w:tr w:rsidR="00D22450" w:rsidRPr="00D22450" w14:paraId="6FE51114" w14:textId="77777777" w:rsidTr="000727C4">
        <w:trPr>
          <w:trHeight w:val="470"/>
        </w:trPr>
        <w:tc>
          <w:tcPr>
            <w:tcW w:w="1839" w:type="dxa"/>
            <w:shd w:val="clear" w:color="auto" w:fill="auto"/>
            <w:tcMar>
              <w:top w:w="8" w:type="dxa"/>
              <w:left w:w="8" w:type="dxa"/>
              <w:bottom w:w="0" w:type="dxa"/>
              <w:right w:w="8" w:type="dxa"/>
            </w:tcMar>
            <w:vAlign w:val="center"/>
            <w:hideMark/>
          </w:tcPr>
          <w:p w14:paraId="7B73605E"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Ballooning</w:t>
            </w:r>
          </w:p>
        </w:tc>
        <w:tc>
          <w:tcPr>
            <w:tcW w:w="1424" w:type="dxa"/>
            <w:shd w:val="clear" w:color="auto" w:fill="auto"/>
            <w:tcMar>
              <w:top w:w="8" w:type="dxa"/>
              <w:left w:w="8" w:type="dxa"/>
              <w:bottom w:w="0" w:type="dxa"/>
              <w:right w:w="8" w:type="dxa"/>
            </w:tcMar>
            <w:vAlign w:val="center"/>
            <w:hideMark/>
          </w:tcPr>
          <w:p w14:paraId="1445002B" w14:textId="77777777" w:rsidR="00D22450" w:rsidRPr="00D22450" w:rsidRDefault="00D22450" w:rsidP="00D22450">
            <w:pPr>
              <w:snapToGrid w:val="0"/>
              <w:spacing w:line="360" w:lineRule="auto"/>
              <w:jc w:val="both"/>
              <w:rPr>
                <w:rFonts w:ascii="Book Antiqua" w:hAnsi="Book Antiqua" w:cs="Arial"/>
                <w:bCs/>
              </w:rPr>
            </w:pPr>
            <w:r w:rsidRPr="00D22450">
              <w:rPr>
                <w:rFonts w:ascii="Book Antiqua" w:hAnsi="Book Antiqua" w:cs="Arial"/>
                <w:bCs/>
              </w:rPr>
              <w:t>0.39,</w:t>
            </w:r>
            <w:r w:rsidRPr="00D22450">
              <w:rPr>
                <w:rFonts w:ascii="Book Antiqua" w:hAnsi="Book Antiqua" w:cs="Arial"/>
                <w:bCs/>
                <w:lang w:eastAsia="zh-CN"/>
              </w:rPr>
              <w:t xml:space="preserve"> </w:t>
            </w:r>
            <w:r w:rsidRPr="00D22450">
              <w:rPr>
                <w:rFonts w:ascii="Book Antiqua" w:hAnsi="Book Antiqua" w:cs="Arial"/>
                <w:bCs/>
                <w:i/>
              </w:rPr>
              <w:t>P</w:t>
            </w:r>
            <w:r w:rsidRPr="00D22450">
              <w:rPr>
                <w:rFonts w:ascii="Book Antiqua" w:hAnsi="Book Antiqua" w:cs="Arial"/>
                <w:bCs/>
              </w:rPr>
              <w:t xml:space="preserve"> &lt; 0.001</w:t>
            </w:r>
          </w:p>
        </w:tc>
        <w:tc>
          <w:tcPr>
            <w:tcW w:w="1425" w:type="dxa"/>
            <w:shd w:val="clear" w:color="auto" w:fill="auto"/>
            <w:tcMar>
              <w:top w:w="8" w:type="dxa"/>
              <w:left w:w="8" w:type="dxa"/>
              <w:bottom w:w="0" w:type="dxa"/>
              <w:right w:w="8" w:type="dxa"/>
            </w:tcMar>
            <w:vAlign w:val="center"/>
            <w:hideMark/>
          </w:tcPr>
          <w:p w14:paraId="36243B94"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0.29,</w:t>
            </w:r>
            <w:r w:rsidRPr="00D22450">
              <w:rPr>
                <w:rFonts w:ascii="Book Antiqua" w:hAnsi="Book Antiqua" w:cs="Arial"/>
              </w:rPr>
              <w:t xml:space="preserve"> </w:t>
            </w:r>
            <w:r w:rsidRPr="00D22450">
              <w:rPr>
                <w:rFonts w:ascii="Book Antiqua" w:hAnsi="Book Antiqua" w:cs="Arial"/>
                <w:bCs/>
                <w:i/>
              </w:rPr>
              <w:t>P</w:t>
            </w:r>
            <w:r w:rsidRPr="00D22450">
              <w:rPr>
                <w:rFonts w:ascii="Book Antiqua" w:hAnsi="Book Antiqua" w:cs="Arial"/>
                <w:bCs/>
              </w:rPr>
              <w:t xml:space="preserve"> &lt; 0.001</w:t>
            </w:r>
          </w:p>
        </w:tc>
        <w:tc>
          <w:tcPr>
            <w:tcW w:w="1425" w:type="dxa"/>
            <w:shd w:val="clear" w:color="auto" w:fill="auto"/>
            <w:tcMar>
              <w:top w:w="8" w:type="dxa"/>
              <w:left w:w="8" w:type="dxa"/>
              <w:bottom w:w="0" w:type="dxa"/>
              <w:right w:w="8" w:type="dxa"/>
            </w:tcMar>
            <w:vAlign w:val="center"/>
            <w:hideMark/>
          </w:tcPr>
          <w:p w14:paraId="270E5AF5"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0.32,</w:t>
            </w:r>
            <w:r w:rsidRPr="00D22450">
              <w:rPr>
                <w:rFonts w:ascii="Book Antiqua" w:hAnsi="Book Antiqua" w:cs="Arial"/>
              </w:rPr>
              <w:t xml:space="preserve"> </w:t>
            </w:r>
            <w:r w:rsidRPr="00D22450">
              <w:rPr>
                <w:rFonts w:ascii="Book Antiqua" w:hAnsi="Book Antiqua" w:cs="Arial"/>
                <w:bCs/>
                <w:i/>
              </w:rPr>
              <w:t>P</w:t>
            </w:r>
            <w:r w:rsidRPr="00D22450">
              <w:rPr>
                <w:rFonts w:ascii="Book Antiqua" w:hAnsi="Book Antiqua" w:cs="Arial"/>
                <w:bCs/>
              </w:rPr>
              <w:t xml:space="preserve"> &lt; 0.01</w:t>
            </w:r>
          </w:p>
        </w:tc>
        <w:tc>
          <w:tcPr>
            <w:tcW w:w="1425" w:type="dxa"/>
            <w:shd w:val="clear" w:color="auto" w:fill="auto"/>
            <w:tcMar>
              <w:top w:w="8" w:type="dxa"/>
              <w:left w:w="8" w:type="dxa"/>
              <w:bottom w:w="0" w:type="dxa"/>
              <w:right w:w="8" w:type="dxa"/>
            </w:tcMar>
            <w:vAlign w:val="center"/>
            <w:hideMark/>
          </w:tcPr>
          <w:p w14:paraId="6CC439B3"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0.29,</w:t>
            </w:r>
            <w:r w:rsidRPr="00D22450">
              <w:rPr>
                <w:rFonts w:ascii="Book Antiqua" w:hAnsi="Book Antiqua" w:cs="Arial"/>
              </w:rPr>
              <w:t xml:space="preserve"> </w:t>
            </w:r>
            <w:r w:rsidRPr="00D22450">
              <w:rPr>
                <w:rFonts w:ascii="Book Antiqua" w:hAnsi="Book Antiqua" w:cs="Arial"/>
                <w:bCs/>
                <w:i/>
              </w:rPr>
              <w:t>P</w:t>
            </w:r>
            <w:r w:rsidRPr="00D22450">
              <w:rPr>
                <w:rFonts w:ascii="Book Antiqua" w:hAnsi="Book Antiqua" w:cs="Arial"/>
                <w:bCs/>
              </w:rPr>
              <w:t xml:space="preserve"> &lt; 0.01</w:t>
            </w:r>
          </w:p>
        </w:tc>
        <w:tc>
          <w:tcPr>
            <w:tcW w:w="1425" w:type="dxa"/>
            <w:shd w:val="clear" w:color="auto" w:fill="auto"/>
            <w:tcMar>
              <w:top w:w="8" w:type="dxa"/>
              <w:left w:w="8" w:type="dxa"/>
              <w:bottom w:w="0" w:type="dxa"/>
              <w:right w:w="8" w:type="dxa"/>
            </w:tcMar>
            <w:vAlign w:val="center"/>
            <w:hideMark/>
          </w:tcPr>
          <w:p w14:paraId="3EE679EB"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0.33,</w:t>
            </w:r>
            <w:r w:rsidRPr="00D22450">
              <w:rPr>
                <w:rFonts w:ascii="Book Antiqua" w:hAnsi="Book Antiqua" w:cs="Arial"/>
              </w:rPr>
              <w:t xml:space="preserve"> </w:t>
            </w:r>
            <w:r w:rsidRPr="00D22450">
              <w:rPr>
                <w:rFonts w:ascii="Book Antiqua" w:hAnsi="Book Antiqua" w:cs="Arial"/>
                <w:bCs/>
                <w:i/>
              </w:rPr>
              <w:t>P</w:t>
            </w:r>
            <w:r w:rsidRPr="00D22450">
              <w:rPr>
                <w:rFonts w:ascii="Book Antiqua" w:hAnsi="Book Antiqua" w:cs="Arial"/>
                <w:bCs/>
              </w:rPr>
              <w:t xml:space="preserve"> &lt; 0.001</w:t>
            </w:r>
          </w:p>
        </w:tc>
        <w:tc>
          <w:tcPr>
            <w:tcW w:w="1425" w:type="dxa"/>
            <w:shd w:val="clear" w:color="auto" w:fill="auto"/>
            <w:tcMar>
              <w:top w:w="8" w:type="dxa"/>
              <w:left w:w="8" w:type="dxa"/>
              <w:bottom w:w="0" w:type="dxa"/>
              <w:right w:w="8" w:type="dxa"/>
            </w:tcMar>
            <w:vAlign w:val="center"/>
            <w:hideMark/>
          </w:tcPr>
          <w:p w14:paraId="2AE009CF"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0.34,</w:t>
            </w:r>
            <w:r w:rsidRPr="00D22450">
              <w:rPr>
                <w:rFonts w:ascii="Book Antiqua" w:hAnsi="Book Antiqua" w:cs="Arial"/>
              </w:rPr>
              <w:t xml:space="preserve"> </w:t>
            </w:r>
            <w:r w:rsidRPr="00D22450">
              <w:rPr>
                <w:rFonts w:ascii="Book Antiqua" w:hAnsi="Book Antiqua" w:cs="Arial"/>
                <w:bCs/>
                <w:i/>
              </w:rPr>
              <w:t>P</w:t>
            </w:r>
            <w:r w:rsidRPr="00D22450">
              <w:rPr>
                <w:rFonts w:ascii="Book Antiqua" w:hAnsi="Book Antiqua" w:cs="Arial"/>
                <w:bCs/>
              </w:rPr>
              <w:t xml:space="preserve"> &lt; 0.001</w:t>
            </w:r>
          </w:p>
        </w:tc>
      </w:tr>
      <w:tr w:rsidR="00D22450" w:rsidRPr="00D22450" w14:paraId="4B9AD438" w14:textId="77777777" w:rsidTr="000727C4">
        <w:trPr>
          <w:trHeight w:val="470"/>
        </w:trPr>
        <w:tc>
          <w:tcPr>
            <w:tcW w:w="1839" w:type="dxa"/>
            <w:shd w:val="clear" w:color="auto" w:fill="auto"/>
            <w:tcMar>
              <w:top w:w="8" w:type="dxa"/>
              <w:left w:w="8" w:type="dxa"/>
              <w:bottom w:w="0" w:type="dxa"/>
              <w:right w:w="8" w:type="dxa"/>
            </w:tcMar>
            <w:vAlign w:val="center"/>
            <w:hideMark/>
          </w:tcPr>
          <w:p w14:paraId="41CD2606"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NAS</w:t>
            </w:r>
          </w:p>
        </w:tc>
        <w:tc>
          <w:tcPr>
            <w:tcW w:w="1424" w:type="dxa"/>
            <w:shd w:val="clear" w:color="auto" w:fill="auto"/>
            <w:tcMar>
              <w:top w:w="8" w:type="dxa"/>
              <w:left w:w="8" w:type="dxa"/>
              <w:bottom w:w="0" w:type="dxa"/>
              <w:right w:w="8" w:type="dxa"/>
            </w:tcMar>
            <w:vAlign w:val="center"/>
            <w:hideMark/>
          </w:tcPr>
          <w:p w14:paraId="76389476"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0.58,</w:t>
            </w:r>
            <w:r w:rsidRPr="00D22450">
              <w:rPr>
                <w:rFonts w:ascii="Book Antiqua" w:hAnsi="Book Antiqua" w:cs="Arial"/>
              </w:rPr>
              <w:t xml:space="preserve"> </w:t>
            </w:r>
            <w:r w:rsidRPr="00D22450">
              <w:rPr>
                <w:rFonts w:ascii="Book Antiqua" w:hAnsi="Book Antiqua" w:cs="Arial"/>
                <w:bCs/>
                <w:i/>
              </w:rPr>
              <w:t>P</w:t>
            </w:r>
            <w:r w:rsidRPr="00D22450">
              <w:rPr>
                <w:rFonts w:ascii="Book Antiqua" w:hAnsi="Book Antiqua" w:cs="Arial"/>
                <w:bCs/>
              </w:rPr>
              <w:t xml:space="preserve"> &lt; 0.001</w:t>
            </w:r>
          </w:p>
        </w:tc>
        <w:tc>
          <w:tcPr>
            <w:tcW w:w="1425" w:type="dxa"/>
            <w:shd w:val="clear" w:color="auto" w:fill="auto"/>
            <w:tcMar>
              <w:top w:w="8" w:type="dxa"/>
              <w:left w:w="8" w:type="dxa"/>
              <w:bottom w:w="0" w:type="dxa"/>
              <w:right w:w="8" w:type="dxa"/>
            </w:tcMar>
            <w:vAlign w:val="center"/>
            <w:hideMark/>
          </w:tcPr>
          <w:p w14:paraId="73A45C5D"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0.64,</w:t>
            </w:r>
            <w:r w:rsidRPr="00D22450">
              <w:rPr>
                <w:rFonts w:ascii="Book Antiqua" w:hAnsi="Book Antiqua" w:cs="Arial"/>
              </w:rPr>
              <w:t xml:space="preserve"> </w:t>
            </w:r>
            <w:r w:rsidRPr="00D22450">
              <w:rPr>
                <w:rFonts w:ascii="Book Antiqua" w:hAnsi="Book Antiqua" w:cs="Arial"/>
                <w:bCs/>
                <w:i/>
              </w:rPr>
              <w:t>P</w:t>
            </w:r>
            <w:r w:rsidRPr="00D22450">
              <w:rPr>
                <w:rFonts w:ascii="Book Antiqua" w:hAnsi="Book Antiqua" w:cs="Arial"/>
                <w:bCs/>
              </w:rPr>
              <w:t xml:space="preserve"> &lt; 0.001</w:t>
            </w:r>
          </w:p>
        </w:tc>
        <w:tc>
          <w:tcPr>
            <w:tcW w:w="1425" w:type="dxa"/>
            <w:shd w:val="clear" w:color="auto" w:fill="auto"/>
            <w:tcMar>
              <w:top w:w="8" w:type="dxa"/>
              <w:left w:w="8" w:type="dxa"/>
              <w:bottom w:w="0" w:type="dxa"/>
              <w:right w:w="8" w:type="dxa"/>
            </w:tcMar>
            <w:vAlign w:val="center"/>
            <w:hideMark/>
          </w:tcPr>
          <w:p w14:paraId="03785267"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 xml:space="preserve">0.06, </w:t>
            </w:r>
            <w:r w:rsidRPr="00D22450">
              <w:rPr>
                <w:rFonts w:ascii="Book Antiqua" w:hAnsi="Book Antiqua" w:cs="Arial"/>
                <w:i/>
              </w:rPr>
              <w:t>P</w:t>
            </w:r>
            <w:r w:rsidRPr="00D22450">
              <w:rPr>
                <w:rFonts w:ascii="Book Antiqua" w:hAnsi="Book Antiqua" w:cs="Arial"/>
              </w:rPr>
              <w:t xml:space="preserve"> = 0.44</w:t>
            </w:r>
          </w:p>
        </w:tc>
        <w:tc>
          <w:tcPr>
            <w:tcW w:w="1425" w:type="dxa"/>
            <w:shd w:val="clear" w:color="auto" w:fill="auto"/>
            <w:tcMar>
              <w:top w:w="8" w:type="dxa"/>
              <w:left w:w="8" w:type="dxa"/>
              <w:bottom w:w="0" w:type="dxa"/>
              <w:right w:w="8" w:type="dxa"/>
            </w:tcMar>
            <w:vAlign w:val="center"/>
            <w:hideMark/>
          </w:tcPr>
          <w:p w14:paraId="39FDDB36"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 xml:space="preserve">0.13, </w:t>
            </w:r>
            <w:r w:rsidRPr="00D22450">
              <w:rPr>
                <w:rFonts w:ascii="Book Antiqua" w:hAnsi="Book Antiqua" w:cs="Arial"/>
                <w:i/>
              </w:rPr>
              <w:t>P</w:t>
            </w:r>
            <w:r w:rsidRPr="00D22450">
              <w:rPr>
                <w:rFonts w:ascii="Book Antiqua" w:hAnsi="Book Antiqua" w:cs="Arial"/>
              </w:rPr>
              <w:t xml:space="preserve"> = 0.13</w:t>
            </w:r>
          </w:p>
        </w:tc>
        <w:tc>
          <w:tcPr>
            <w:tcW w:w="1425" w:type="dxa"/>
            <w:shd w:val="clear" w:color="auto" w:fill="auto"/>
            <w:tcMar>
              <w:top w:w="8" w:type="dxa"/>
              <w:left w:w="8" w:type="dxa"/>
              <w:bottom w:w="0" w:type="dxa"/>
              <w:right w:w="8" w:type="dxa"/>
            </w:tcMar>
            <w:vAlign w:val="center"/>
            <w:hideMark/>
          </w:tcPr>
          <w:p w14:paraId="5ACF7D62"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0.49,</w:t>
            </w:r>
            <w:r w:rsidRPr="00D22450">
              <w:rPr>
                <w:rFonts w:ascii="Book Antiqua" w:hAnsi="Book Antiqua" w:cs="Arial"/>
              </w:rPr>
              <w:t xml:space="preserve"> </w:t>
            </w:r>
            <w:r w:rsidRPr="00D22450">
              <w:rPr>
                <w:rFonts w:ascii="Book Antiqua" w:hAnsi="Book Antiqua" w:cs="Arial"/>
                <w:bCs/>
                <w:i/>
              </w:rPr>
              <w:t>P</w:t>
            </w:r>
            <w:r w:rsidRPr="00D22450">
              <w:rPr>
                <w:rFonts w:ascii="Book Antiqua" w:hAnsi="Book Antiqua" w:cs="Arial"/>
                <w:bCs/>
              </w:rPr>
              <w:t xml:space="preserve"> &lt; 0.001</w:t>
            </w:r>
          </w:p>
        </w:tc>
        <w:tc>
          <w:tcPr>
            <w:tcW w:w="1425" w:type="dxa"/>
            <w:shd w:val="clear" w:color="auto" w:fill="auto"/>
            <w:tcMar>
              <w:top w:w="8" w:type="dxa"/>
              <w:left w:w="8" w:type="dxa"/>
              <w:bottom w:w="0" w:type="dxa"/>
              <w:right w:w="8" w:type="dxa"/>
            </w:tcMar>
            <w:vAlign w:val="center"/>
            <w:hideMark/>
          </w:tcPr>
          <w:p w14:paraId="6509FF7A"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 xml:space="preserve">0.16, </w:t>
            </w:r>
            <w:r w:rsidRPr="00D22450">
              <w:rPr>
                <w:rFonts w:ascii="Book Antiqua" w:hAnsi="Book Antiqua" w:cs="Arial"/>
                <w:i/>
              </w:rPr>
              <w:t>P</w:t>
            </w:r>
            <w:r w:rsidRPr="00D22450">
              <w:rPr>
                <w:rFonts w:ascii="Book Antiqua" w:hAnsi="Book Antiqua" w:cs="Arial"/>
              </w:rPr>
              <w:t xml:space="preserve"> = 0.13</w:t>
            </w:r>
          </w:p>
        </w:tc>
      </w:tr>
    </w:tbl>
    <w:p w14:paraId="0DCC4D93" w14:textId="2EB9738E"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color w:val="000000" w:themeColor="text1"/>
        </w:rPr>
        <w:t xml:space="preserve">Correlations with statistical significance </w:t>
      </w:r>
      <w:r w:rsidRPr="00D22450">
        <w:rPr>
          <w:rFonts w:ascii="Book Antiqua" w:hAnsi="Book Antiqua" w:cs="Arial"/>
          <w:i/>
          <w:color w:val="000000" w:themeColor="text1"/>
        </w:rPr>
        <w:t>P</w:t>
      </w:r>
      <w:r w:rsidRPr="00D22450">
        <w:rPr>
          <w:rFonts w:ascii="Book Antiqua" w:hAnsi="Book Antiqua" w:cs="Arial"/>
          <w:color w:val="000000" w:themeColor="text1"/>
        </w:rPr>
        <w:t xml:space="preserve"> &lt; 0.05 are in bold. </w:t>
      </w:r>
      <w:r w:rsidRPr="00D22450">
        <w:rPr>
          <w:rFonts w:ascii="Book Antiqua" w:eastAsia="Book Antiqua" w:hAnsi="Book Antiqua" w:cs="Book Antiqua"/>
          <w:color w:val="000000"/>
        </w:rPr>
        <w:t>MRE: Magnetic resonance</w:t>
      </w:r>
      <w:r w:rsidRPr="00D22450">
        <w:rPr>
          <w:rFonts w:ascii="Book Antiqua" w:hAnsi="Book Antiqua"/>
        </w:rPr>
        <w:t xml:space="preserve"> </w:t>
      </w:r>
      <w:r w:rsidRPr="00D22450">
        <w:rPr>
          <w:rFonts w:ascii="Book Antiqua" w:eastAsia="Book Antiqua" w:hAnsi="Book Antiqua" w:cs="Book Antiqua"/>
          <w:color w:val="000000"/>
        </w:rPr>
        <w:t xml:space="preserve">elastography; </w:t>
      </w:r>
      <w:r w:rsidRPr="00D22450">
        <w:rPr>
          <w:rFonts w:ascii="Book Antiqua" w:hAnsi="Book Antiqua" w:cs="Arial"/>
        </w:rPr>
        <w:t xml:space="preserve">CAP: </w:t>
      </w:r>
      <w:r w:rsidRPr="00D22450">
        <w:rPr>
          <w:rFonts w:ascii="Book Antiqua" w:eastAsia="Book Antiqua" w:hAnsi="Book Antiqua" w:cs="Book Antiqua"/>
          <w:color w:val="000000"/>
        </w:rPr>
        <w:t>Controlled-attenuation parameter; VCTE: Vibration-controlled transient elastography; cT1: Corrected T1;</w:t>
      </w:r>
      <w:r w:rsidR="008266D7">
        <w:rPr>
          <w:rFonts w:ascii="Book Antiqua" w:hAnsi="Book Antiqua" w:cs="Book Antiqua" w:hint="eastAsia"/>
          <w:color w:val="000000"/>
          <w:lang w:eastAsia="zh-CN"/>
        </w:rPr>
        <w:t xml:space="preserve"> SWE:</w:t>
      </w:r>
      <w:r w:rsidR="008266D7" w:rsidRPr="008266D7">
        <w:rPr>
          <w:rFonts w:ascii="Book Antiqua" w:eastAsia="Book Antiqua" w:hAnsi="Book Antiqua" w:cs="Book Antiqua"/>
          <w:color w:val="000000"/>
        </w:rPr>
        <w:t xml:space="preserve"> </w:t>
      </w:r>
      <w:r w:rsidR="008266D7" w:rsidRPr="00D22450">
        <w:rPr>
          <w:rFonts w:ascii="Book Antiqua" w:eastAsia="Book Antiqua" w:hAnsi="Book Antiqua" w:cs="Book Antiqua"/>
          <w:color w:val="000000"/>
        </w:rPr>
        <w:t>Shear-Wave elastography</w:t>
      </w:r>
      <w:r w:rsidR="008266D7">
        <w:rPr>
          <w:rFonts w:ascii="Book Antiqua" w:hAnsi="Book Antiqua" w:cs="Book Antiqua" w:hint="eastAsia"/>
          <w:color w:val="000000"/>
          <w:lang w:eastAsia="zh-CN"/>
        </w:rPr>
        <w:t>;</w:t>
      </w:r>
      <w:r w:rsidRPr="00D22450">
        <w:rPr>
          <w:rFonts w:ascii="Book Antiqua" w:eastAsia="Book Antiqua" w:hAnsi="Book Antiqua" w:cs="Book Antiqua"/>
          <w:color w:val="000000"/>
        </w:rPr>
        <w:t xml:space="preserve"> NASH: Non-alcoholic steatohepatitis</w:t>
      </w:r>
      <w:r w:rsidR="008266D7">
        <w:rPr>
          <w:rFonts w:ascii="Book Antiqua" w:hAnsi="Book Antiqua" w:cs="Book Antiqua" w:hint="eastAsia"/>
          <w:color w:val="000000"/>
          <w:lang w:eastAsia="zh-CN"/>
        </w:rPr>
        <w:t>; LSM: L</w:t>
      </w:r>
      <w:r w:rsidR="008266D7" w:rsidRPr="00D22450">
        <w:rPr>
          <w:rFonts w:ascii="Book Antiqua" w:eastAsia="Book Antiqua" w:hAnsi="Book Antiqua" w:cs="Book Antiqua"/>
          <w:color w:val="000000"/>
        </w:rPr>
        <w:t>iver stiffness measure</w:t>
      </w:r>
      <w:r w:rsidRPr="00D22450">
        <w:rPr>
          <w:rFonts w:ascii="Book Antiqua" w:eastAsia="Book Antiqua" w:hAnsi="Book Antiqua" w:cs="Book Antiqua"/>
          <w:color w:val="000000"/>
        </w:rPr>
        <w:t>.</w:t>
      </w:r>
    </w:p>
    <w:p w14:paraId="11D8A3F6" w14:textId="77777777" w:rsidR="00E73426" w:rsidRPr="00D22450" w:rsidRDefault="00E73426" w:rsidP="00D22450">
      <w:pPr>
        <w:snapToGrid w:val="0"/>
        <w:spacing w:line="360" w:lineRule="auto"/>
        <w:jc w:val="both"/>
        <w:rPr>
          <w:rFonts w:ascii="Book Antiqua" w:eastAsia="Book Antiqua" w:hAnsi="Book Antiqua" w:cs="Book Antiqua"/>
          <w:color w:val="000000"/>
        </w:rPr>
      </w:pPr>
    </w:p>
    <w:p w14:paraId="14803B75" w14:textId="5986F304" w:rsidR="00B16D9B" w:rsidRPr="00EF25AE" w:rsidRDefault="00E73426" w:rsidP="00EF25AE">
      <w:pPr>
        <w:adjustRightInd w:val="0"/>
        <w:snapToGrid w:val="0"/>
        <w:spacing w:line="360" w:lineRule="auto"/>
        <w:jc w:val="both"/>
        <w:rPr>
          <w:rFonts w:ascii="Book Antiqua" w:eastAsia="Book Antiqua" w:hAnsi="Book Antiqua" w:cs="Book Antiqua"/>
          <w:b/>
          <w:bCs/>
          <w:color w:val="000000"/>
        </w:rPr>
      </w:pPr>
      <w:r w:rsidRPr="00D22450">
        <w:rPr>
          <w:rFonts w:ascii="Book Antiqua" w:eastAsia="Book Antiqua" w:hAnsi="Book Antiqua" w:cs="Book Antiqua"/>
          <w:color w:val="000000"/>
        </w:rPr>
        <w:br w:type="page"/>
      </w:r>
      <w:r w:rsidR="00B16D9B" w:rsidRPr="00EF25AE">
        <w:rPr>
          <w:rFonts w:ascii="Book Antiqua" w:eastAsia="Book Antiqua" w:hAnsi="Book Antiqua" w:cs="Book Antiqua"/>
          <w:b/>
          <w:bCs/>
          <w:color w:val="000000"/>
        </w:rPr>
        <w:lastRenderedPageBreak/>
        <w:t>Table 4 Inter-rater variability between the three patholo</w:t>
      </w:r>
      <w:r w:rsidR="000D3AF4" w:rsidRPr="00EF25AE">
        <w:rPr>
          <w:rFonts w:ascii="Book Antiqua" w:eastAsia="Book Antiqua" w:hAnsi="Book Antiqua" w:cs="Book Antiqua"/>
          <w:b/>
          <w:bCs/>
          <w:color w:val="000000"/>
        </w:rPr>
        <w:t>gists for each histology metric</w:t>
      </w:r>
    </w:p>
    <w:tbl>
      <w:tblPr>
        <w:tblW w:w="10677" w:type="dxa"/>
        <w:jc w:val="center"/>
        <w:tblBorders>
          <w:top w:val="single" w:sz="4" w:space="0" w:color="auto"/>
          <w:bottom w:val="single" w:sz="4" w:space="0" w:color="auto"/>
        </w:tblBorders>
        <w:tblLayout w:type="fixed"/>
        <w:tblCellMar>
          <w:left w:w="0" w:type="dxa"/>
          <w:right w:w="0" w:type="dxa"/>
        </w:tblCellMar>
        <w:tblLook w:val="0420" w:firstRow="1" w:lastRow="0" w:firstColumn="0" w:lastColumn="0" w:noHBand="0" w:noVBand="1"/>
      </w:tblPr>
      <w:tblGrid>
        <w:gridCol w:w="1608"/>
        <w:gridCol w:w="1811"/>
        <w:gridCol w:w="1457"/>
        <w:gridCol w:w="1183"/>
        <w:gridCol w:w="1088"/>
        <w:gridCol w:w="1050"/>
        <w:gridCol w:w="1050"/>
        <w:gridCol w:w="1430"/>
      </w:tblGrid>
      <w:tr w:rsidR="00B16D9B" w:rsidRPr="00D22450" w14:paraId="4FB40FA0" w14:textId="77777777" w:rsidTr="00DF7A67">
        <w:trPr>
          <w:trHeight w:val="379"/>
          <w:jc w:val="center"/>
        </w:trPr>
        <w:tc>
          <w:tcPr>
            <w:tcW w:w="1608" w:type="dxa"/>
            <w:tcBorders>
              <w:top w:val="single" w:sz="4" w:space="0" w:color="auto"/>
              <w:bottom w:val="single" w:sz="4" w:space="0" w:color="auto"/>
            </w:tcBorders>
          </w:tcPr>
          <w:p w14:paraId="1675BC97" w14:textId="77777777" w:rsidR="00B16D9B" w:rsidRPr="00D22450" w:rsidRDefault="00B16D9B" w:rsidP="00D22450">
            <w:pPr>
              <w:snapToGrid w:val="0"/>
              <w:spacing w:line="360" w:lineRule="auto"/>
              <w:jc w:val="both"/>
              <w:rPr>
                <w:rFonts w:ascii="Book Antiqua" w:hAnsi="Book Antiqua" w:cs="Arial"/>
                <w:b/>
              </w:rPr>
            </w:pPr>
            <w:r w:rsidRPr="00D22450">
              <w:rPr>
                <w:rFonts w:ascii="Book Antiqua" w:hAnsi="Book Antiqua" w:cs="Arial"/>
                <w:b/>
              </w:rPr>
              <w:t>Histological metric</w:t>
            </w:r>
          </w:p>
        </w:tc>
        <w:tc>
          <w:tcPr>
            <w:tcW w:w="1811" w:type="dxa"/>
            <w:tcBorders>
              <w:top w:val="single" w:sz="4" w:space="0" w:color="auto"/>
              <w:bottom w:val="single" w:sz="4" w:space="0" w:color="auto"/>
            </w:tcBorders>
            <w:shd w:val="clear" w:color="auto" w:fill="auto"/>
            <w:tcMar>
              <w:top w:w="72" w:type="dxa"/>
              <w:left w:w="144" w:type="dxa"/>
              <w:bottom w:w="72" w:type="dxa"/>
              <w:right w:w="144" w:type="dxa"/>
            </w:tcMar>
            <w:hideMark/>
          </w:tcPr>
          <w:p w14:paraId="3DD0B277" w14:textId="77777777" w:rsidR="00B16D9B" w:rsidRPr="00D22450" w:rsidRDefault="00B16D9B" w:rsidP="00D22450">
            <w:pPr>
              <w:snapToGrid w:val="0"/>
              <w:spacing w:line="360" w:lineRule="auto"/>
              <w:jc w:val="both"/>
              <w:rPr>
                <w:rFonts w:ascii="Book Antiqua" w:hAnsi="Book Antiqua" w:cs="Arial"/>
                <w:b/>
              </w:rPr>
            </w:pPr>
            <w:r w:rsidRPr="00D22450">
              <w:rPr>
                <w:rFonts w:ascii="Book Antiqua" w:hAnsi="Book Antiqua" w:cs="Arial"/>
                <w:b/>
              </w:rPr>
              <w:t>Pathologists</w:t>
            </w:r>
          </w:p>
        </w:tc>
        <w:tc>
          <w:tcPr>
            <w:tcW w:w="1457" w:type="dxa"/>
            <w:tcBorders>
              <w:top w:val="single" w:sz="4" w:space="0" w:color="auto"/>
              <w:bottom w:val="single" w:sz="4" w:space="0" w:color="auto"/>
            </w:tcBorders>
            <w:shd w:val="clear" w:color="auto" w:fill="auto"/>
            <w:tcMar>
              <w:top w:w="72" w:type="dxa"/>
              <w:left w:w="144" w:type="dxa"/>
              <w:bottom w:w="72" w:type="dxa"/>
              <w:right w:w="144" w:type="dxa"/>
            </w:tcMar>
            <w:hideMark/>
          </w:tcPr>
          <w:p w14:paraId="0A5B4F42" w14:textId="77777777" w:rsidR="00B16D9B" w:rsidRPr="00D22450" w:rsidRDefault="00B16D9B" w:rsidP="00D22450">
            <w:pPr>
              <w:snapToGrid w:val="0"/>
              <w:spacing w:line="360" w:lineRule="auto"/>
              <w:jc w:val="both"/>
              <w:rPr>
                <w:rFonts w:ascii="Book Antiqua" w:hAnsi="Book Antiqua" w:cs="Arial"/>
                <w:b/>
              </w:rPr>
            </w:pPr>
            <w:r w:rsidRPr="00D22450">
              <w:rPr>
                <w:rFonts w:ascii="Book Antiqua" w:hAnsi="Book Antiqua" w:cs="Arial"/>
                <w:b/>
              </w:rPr>
              <w:t>Kappa weighted</w:t>
            </w:r>
          </w:p>
        </w:tc>
        <w:tc>
          <w:tcPr>
            <w:tcW w:w="1183" w:type="dxa"/>
            <w:tcBorders>
              <w:top w:val="single" w:sz="4" w:space="0" w:color="auto"/>
              <w:bottom w:val="single" w:sz="4" w:space="0" w:color="auto"/>
            </w:tcBorders>
            <w:shd w:val="clear" w:color="auto" w:fill="auto"/>
            <w:tcMar>
              <w:top w:w="72" w:type="dxa"/>
              <w:left w:w="144" w:type="dxa"/>
              <w:bottom w:w="72" w:type="dxa"/>
              <w:right w:w="144" w:type="dxa"/>
            </w:tcMar>
            <w:hideMark/>
          </w:tcPr>
          <w:p w14:paraId="6BFC4A26" w14:textId="77777777" w:rsidR="00B16D9B" w:rsidRPr="00D22450" w:rsidRDefault="00B16D9B" w:rsidP="00D22450">
            <w:pPr>
              <w:snapToGrid w:val="0"/>
              <w:spacing w:line="360" w:lineRule="auto"/>
              <w:jc w:val="both"/>
              <w:rPr>
                <w:rFonts w:ascii="Book Antiqua" w:hAnsi="Book Antiqua" w:cs="Arial"/>
                <w:b/>
              </w:rPr>
            </w:pPr>
            <w:r w:rsidRPr="00D22450">
              <w:rPr>
                <w:rFonts w:ascii="Book Antiqua" w:hAnsi="Book Antiqua" w:cs="Arial"/>
                <w:b/>
              </w:rPr>
              <w:t>Lower CI</w:t>
            </w:r>
          </w:p>
        </w:tc>
        <w:tc>
          <w:tcPr>
            <w:tcW w:w="1088" w:type="dxa"/>
            <w:tcBorders>
              <w:top w:val="single" w:sz="4" w:space="0" w:color="auto"/>
              <w:bottom w:val="single" w:sz="4" w:space="0" w:color="auto"/>
            </w:tcBorders>
            <w:shd w:val="clear" w:color="auto" w:fill="auto"/>
            <w:tcMar>
              <w:top w:w="72" w:type="dxa"/>
              <w:left w:w="144" w:type="dxa"/>
              <w:bottom w:w="72" w:type="dxa"/>
              <w:right w:w="144" w:type="dxa"/>
            </w:tcMar>
            <w:hideMark/>
          </w:tcPr>
          <w:p w14:paraId="48B59654" w14:textId="77777777" w:rsidR="00B16D9B" w:rsidRPr="00D22450" w:rsidRDefault="00B16D9B" w:rsidP="00D22450">
            <w:pPr>
              <w:snapToGrid w:val="0"/>
              <w:spacing w:line="360" w:lineRule="auto"/>
              <w:jc w:val="both"/>
              <w:rPr>
                <w:rFonts w:ascii="Book Antiqua" w:hAnsi="Book Antiqua" w:cs="Arial"/>
                <w:b/>
              </w:rPr>
            </w:pPr>
            <w:r w:rsidRPr="00D22450">
              <w:rPr>
                <w:rFonts w:ascii="Book Antiqua" w:hAnsi="Book Antiqua" w:cs="Arial"/>
                <w:b/>
              </w:rPr>
              <w:t>Upper CI</w:t>
            </w:r>
          </w:p>
        </w:tc>
        <w:tc>
          <w:tcPr>
            <w:tcW w:w="1050" w:type="dxa"/>
            <w:tcBorders>
              <w:top w:val="single" w:sz="4" w:space="0" w:color="auto"/>
              <w:bottom w:val="single" w:sz="4" w:space="0" w:color="auto"/>
            </w:tcBorders>
            <w:shd w:val="clear" w:color="auto" w:fill="auto"/>
            <w:tcMar>
              <w:top w:w="72" w:type="dxa"/>
              <w:left w:w="144" w:type="dxa"/>
              <w:bottom w:w="72" w:type="dxa"/>
              <w:right w:w="144" w:type="dxa"/>
            </w:tcMar>
            <w:hideMark/>
          </w:tcPr>
          <w:p w14:paraId="7954FE89" w14:textId="77777777" w:rsidR="00B16D9B" w:rsidRPr="00D22450" w:rsidRDefault="00B16D9B" w:rsidP="00D22450">
            <w:pPr>
              <w:snapToGrid w:val="0"/>
              <w:spacing w:line="360" w:lineRule="auto"/>
              <w:jc w:val="both"/>
              <w:rPr>
                <w:rFonts w:ascii="Book Antiqua" w:hAnsi="Book Antiqua" w:cs="Arial"/>
                <w:b/>
              </w:rPr>
            </w:pPr>
            <w:r w:rsidRPr="00D22450">
              <w:rPr>
                <w:rFonts w:ascii="Book Antiqua" w:hAnsi="Book Antiqua" w:cs="Arial"/>
                <w:b/>
              </w:rPr>
              <w:t>ASE</w:t>
            </w:r>
          </w:p>
        </w:tc>
        <w:tc>
          <w:tcPr>
            <w:tcW w:w="1050" w:type="dxa"/>
            <w:tcBorders>
              <w:top w:val="single" w:sz="4" w:space="0" w:color="auto"/>
              <w:bottom w:val="single" w:sz="4" w:space="0" w:color="auto"/>
            </w:tcBorders>
            <w:shd w:val="clear" w:color="auto" w:fill="auto"/>
            <w:tcMar>
              <w:top w:w="72" w:type="dxa"/>
              <w:left w:w="144" w:type="dxa"/>
              <w:bottom w:w="72" w:type="dxa"/>
              <w:right w:w="144" w:type="dxa"/>
            </w:tcMar>
            <w:hideMark/>
          </w:tcPr>
          <w:p w14:paraId="4CB5CECC" w14:textId="3752E9D9" w:rsidR="00B16D9B" w:rsidRPr="00D22450" w:rsidRDefault="000D3AF4" w:rsidP="00D22450">
            <w:pPr>
              <w:snapToGrid w:val="0"/>
              <w:spacing w:line="360" w:lineRule="auto"/>
              <w:jc w:val="both"/>
              <w:rPr>
                <w:rFonts w:ascii="Book Antiqua" w:hAnsi="Book Antiqua" w:cs="Arial"/>
                <w:b/>
              </w:rPr>
            </w:pPr>
            <w:r w:rsidRPr="00D22450">
              <w:rPr>
                <w:rFonts w:ascii="Book Antiqua" w:hAnsi="Book Antiqua" w:cs="Arial"/>
                <w:b/>
                <w:i/>
              </w:rPr>
              <w:t xml:space="preserve">P </w:t>
            </w:r>
            <w:r w:rsidR="00B16D9B" w:rsidRPr="00D22450">
              <w:rPr>
                <w:rFonts w:ascii="Book Antiqua" w:hAnsi="Book Antiqua" w:cs="Arial"/>
                <w:b/>
              </w:rPr>
              <w:t>value</w:t>
            </w:r>
          </w:p>
        </w:tc>
        <w:tc>
          <w:tcPr>
            <w:tcW w:w="1430" w:type="dxa"/>
            <w:tcBorders>
              <w:top w:val="single" w:sz="4" w:space="0" w:color="auto"/>
              <w:bottom w:val="single" w:sz="4" w:space="0" w:color="auto"/>
            </w:tcBorders>
            <w:shd w:val="clear" w:color="auto" w:fill="auto"/>
            <w:tcMar>
              <w:top w:w="72" w:type="dxa"/>
              <w:left w:w="144" w:type="dxa"/>
              <w:bottom w:w="72" w:type="dxa"/>
              <w:right w:w="144" w:type="dxa"/>
            </w:tcMar>
            <w:hideMark/>
          </w:tcPr>
          <w:p w14:paraId="107766EB" w14:textId="3548FCEC" w:rsidR="00B16D9B" w:rsidRPr="00D22450" w:rsidRDefault="00B16D9B" w:rsidP="00D22450">
            <w:pPr>
              <w:snapToGrid w:val="0"/>
              <w:spacing w:line="360" w:lineRule="auto"/>
              <w:jc w:val="both"/>
              <w:rPr>
                <w:rFonts w:ascii="Book Antiqua" w:hAnsi="Book Antiqua" w:cs="Arial"/>
                <w:b/>
              </w:rPr>
            </w:pPr>
            <w:r w:rsidRPr="00D22450">
              <w:rPr>
                <w:rFonts w:ascii="Book Antiqua" w:hAnsi="Book Antiqua" w:cs="Arial"/>
                <w:b/>
              </w:rPr>
              <w:t>Overall inter-rater variability</w:t>
            </w:r>
            <w:r w:rsidR="000D3AF4" w:rsidRPr="00D22450">
              <w:rPr>
                <w:rFonts w:ascii="Book Antiqua" w:hAnsi="Book Antiqua" w:cs="Arial"/>
                <w:b/>
                <w:lang w:eastAsia="zh-CN"/>
              </w:rPr>
              <w:t xml:space="preserve"> </w:t>
            </w:r>
            <w:r w:rsidRPr="00D22450">
              <w:rPr>
                <w:rFonts w:ascii="Book Antiqua" w:hAnsi="Book Antiqua" w:cs="Arial"/>
                <w:b/>
              </w:rPr>
              <w:t>(Krippendorff’s alpha)</w:t>
            </w:r>
          </w:p>
        </w:tc>
      </w:tr>
      <w:tr w:rsidR="00B16D9B" w:rsidRPr="00D22450" w14:paraId="6466E629" w14:textId="77777777" w:rsidTr="00DF7A67">
        <w:trPr>
          <w:trHeight w:val="165"/>
          <w:jc w:val="center"/>
        </w:trPr>
        <w:tc>
          <w:tcPr>
            <w:tcW w:w="1608" w:type="dxa"/>
            <w:vMerge w:val="restart"/>
            <w:tcBorders>
              <w:top w:val="single" w:sz="4" w:space="0" w:color="auto"/>
            </w:tcBorders>
          </w:tcPr>
          <w:p w14:paraId="3094DD7B"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Steatosis</w:t>
            </w:r>
          </w:p>
        </w:tc>
        <w:tc>
          <w:tcPr>
            <w:tcW w:w="1811" w:type="dxa"/>
            <w:tcBorders>
              <w:top w:val="single" w:sz="4" w:space="0" w:color="auto"/>
            </w:tcBorders>
            <w:shd w:val="clear" w:color="auto" w:fill="auto"/>
            <w:tcMar>
              <w:top w:w="72" w:type="dxa"/>
              <w:left w:w="144" w:type="dxa"/>
              <w:bottom w:w="72" w:type="dxa"/>
              <w:right w:w="144" w:type="dxa"/>
            </w:tcMar>
            <w:hideMark/>
          </w:tcPr>
          <w:p w14:paraId="5A018708"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1 </w:t>
            </w:r>
            <w:r w:rsidRPr="00D22450">
              <w:rPr>
                <w:rFonts w:ascii="Book Antiqua" w:hAnsi="Book Antiqua" w:cs="Arial"/>
                <w:i/>
              </w:rPr>
              <w:t>vs</w:t>
            </w:r>
            <w:r w:rsidRPr="00D22450">
              <w:rPr>
                <w:rFonts w:ascii="Book Antiqua" w:hAnsi="Book Antiqua" w:cs="Arial"/>
              </w:rPr>
              <w:t xml:space="preserve"> 2</w:t>
            </w:r>
          </w:p>
        </w:tc>
        <w:tc>
          <w:tcPr>
            <w:tcW w:w="1457" w:type="dxa"/>
            <w:tcBorders>
              <w:top w:val="single" w:sz="4" w:space="0" w:color="auto"/>
            </w:tcBorders>
            <w:shd w:val="clear" w:color="auto" w:fill="auto"/>
            <w:tcMar>
              <w:top w:w="72" w:type="dxa"/>
              <w:left w:w="144" w:type="dxa"/>
              <w:bottom w:w="72" w:type="dxa"/>
              <w:right w:w="144" w:type="dxa"/>
            </w:tcMar>
            <w:hideMark/>
          </w:tcPr>
          <w:p w14:paraId="07A62576"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0.609</w:t>
            </w:r>
          </w:p>
        </w:tc>
        <w:tc>
          <w:tcPr>
            <w:tcW w:w="1183" w:type="dxa"/>
            <w:tcBorders>
              <w:top w:val="single" w:sz="4" w:space="0" w:color="auto"/>
            </w:tcBorders>
            <w:shd w:val="clear" w:color="auto" w:fill="auto"/>
            <w:tcMar>
              <w:top w:w="72" w:type="dxa"/>
              <w:left w:w="144" w:type="dxa"/>
              <w:bottom w:w="72" w:type="dxa"/>
              <w:right w:w="144" w:type="dxa"/>
            </w:tcMar>
            <w:hideMark/>
          </w:tcPr>
          <w:p w14:paraId="0BF7D465"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0.517</w:t>
            </w:r>
          </w:p>
        </w:tc>
        <w:tc>
          <w:tcPr>
            <w:tcW w:w="1088" w:type="dxa"/>
            <w:tcBorders>
              <w:top w:val="single" w:sz="4" w:space="0" w:color="auto"/>
            </w:tcBorders>
            <w:shd w:val="clear" w:color="auto" w:fill="auto"/>
            <w:tcMar>
              <w:top w:w="72" w:type="dxa"/>
              <w:left w:w="144" w:type="dxa"/>
              <w:bottom w:w="72" w:type="dxa"/>
              <w:right w:w="144" w:type="dxa"/>
            </w:tcMar>
            <w:hideMark/>
          </w:tcPr>
          <w:p w14:paraId="3D9BE6D5"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0.7</w:t>
            </w:r>
          </w:p>
        </w:tc>
        <w:tc>
          <w:tcPr>
            <w:tcW w:w="1050" w:type="dxa"/>
            <w:tcBorders>
              <w:top w:val="single" w:sz="4" w:space="0" w:color="auto"/>
            </w:tcBorders>
            <w:shd w:val="clear" w:color="auto" w:fill="auto"/>
            <w:tcMar>
              <w:top w:w="72" w:type="dxa"/>
              <w:left w:w="144" w:type="dxa"/>
              <w:bottom w:w="72" w:type="dxa"/>
              <w:right w:w="144" w:type="dxa"/>
            </w:tcMar>
            <w:hideMark/>
          </w:tcPr>
          <w:p w14:paraId="20F33F70"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0.0467</w:t>
            </w:r>
          </w:p>
        </w:tc>
        <w:tc>
          <w:tcPr>
            <w:tcW w:w="1050" w:type="dxa"/>
            <w:tcBorders>
              <w:top w:val="single" w:sz="4" w:space="0" w:color="auto"/>
            </w:tcBorders>
            <w:shd w:val="clear" w:color="auto" w:fill="auto"/>
            <w:tcMar>
              <w:top w:w="72" w:type="dxa"/>
              <w:left w:w="144" w:type="dxa"/>
              <w:bottom w:w="72" w:type="dxa"/>
              <w:right w:w="144" w:type="dxa"/>
            </w:tcMar>
            <w:hideMark/>
          </w:tcPr>
          <w:p w14:paraId="2ED57F29" w14:textId="5F41F18D"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val="restart"/>
            <w:tcBorders>
              <w:top w:val="single" w:sz="4" w:space="0" w:color="auto"/>
            </w:tcBorders>
            <w:shd w:val="clear" w:color="auto" w:fill="auto"/>
            <w:tcMar>
              <w:top w:w="72" w:type="dxa"/>
              <w:left w:w="144" w:type="dxa"/>
              <w:bottom w:w="72" w:type="dxa"/>
              <w:right w:w="144" w:type="dxa"/>
            </w:tcMar>
            <w:hideMark/>
          </w:tcPr>
          <w:p w14:paraId="4F7C08B5"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0.584</w:t>
            </w:r>
          </w:p>
        </w:tc>
      </w:tr>
      <w:tr w:rsidR="00B16D9B" w:rsidRPr="00D22450" w14:paraId="113474E6" w14:textId="77777777" w:rsidTr="00DF7A67">
        <w:trPr>
          <w:trHeight w:val="165"/>
          <w:jc w:val="center"/>
        </w:trPr>
        <w:tc>
          <w:tcPr>
            <w:tcW w:w="1608" w:type="dxa"/>
            <w:vMerge/>
          </w:tcPr>
          <w:p w14:paraId="5A98AE00" w14:textId="77777777" w:rsidR="00B16D9B" w:rsidRPr="00D22450" w:rsidRDefault="00B16D9B" w:rsidP="00D22450">
            <w:pPr>
              <w:snapToGrid w:val="0"/>
              <w:spacing w:line="360" w:lineRule="auto"/>
              <w:jc w:val="both"/>
              <w:rPr>
                <w:rFonts w:ascii="Book Antiqua" w:hAnsi="Book Antiqua" w:cs="Arial"/>
              </w:rPr>
            </w:pPr>
          </w:p>
        </w:tc>
        <w:tc>
          <w:tcPr>
            <w:tcW w:w="1811" w:type="dxa"/>
            <w:shd w:val="clear" w:color="auto" w:fill="auto"/>
            <w:tcMar>
              <w:top w:w="72" w:type="dxa"/>
              <w:left w:w="144" w:type="dxa"/>
              <w:bottom w:w="72" w:type="dxa"/>
              <w:right w:w="144" w:type="dxa"/>
            </w:tcMar>
            <w:hideMark/>
          </w:tcPr>
          <w:p w14:paraId="2E58208D"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1 </w:t>
            </w:r>
            <w:r w:rsidRPr="00D22450">
              <w:rPr>
                <w:rFonts w:ascii="Book Antiqua" w:hAnsi="Book Antiqua" w:cs="Arial"/>
                <w:i/>
              </w:rPr>
              <w:t>vs</w:t>
            </w:r>
            <w:r w:rsidRPr="00D22450">
              <w:rPr>
                <w:rFonts w:ascii="Book Antiqua" w:hAnsi="Book Antiqua" w:cs="Arial"/>
              </w:rPr>
              <w:t xml:space="preserve"> 3</w:t>
            </w:r>
          </w:p>
        </w:tc>
        <w:tc>
          <w:tcPr>
            <w:tcW w:w="1457" w:type="dxa"/>
            <w:shd w:val="clear" w:color="auto" w:fill="auto"/>
            <w:tcMar>
              <w:top w:w="72" w:type="dxa"/>
              <w:left w:w="144" w:type="dxa"/>
              <w:bottom w:w="72" w:type="dxa"/>
              <w:right w:w="144" w:type="dxa"/>
            </w:tcMar>
            <w:hideMark/>
          </w:tcPr>
          <w:p w14:paraId="05E57FF1"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0.483</w:t>
            </w:r>
          </w:p>
        </w:tc>
        <w:tc>
          <w:tcPr>
            <w:tcW w:w="1183" w:type="dxa"/>
            <w:shd w:val="clear" w:color="auto" w:fill="auto"/>
            <w:tcMar>
              <w:top w:w="72" w:type="dxa"/>
              <w:left w:w="144" w:type="dxa"/>
              <w:bottom w:w="72" w:type="dxa"/>
              <w:right w:w="144" w:type="dxa"/>
            </w:tcMar>
            <w:hideMark/>
          </w:tcPr>
          <w:p w14:paraId="5069F54D"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0.388</w:t>
            </w:r>
          </w:p>
        </w:tc>
        <w:tc>
          <w:tcPr>
            <w:tcW w:w="1088" w:type="dxa"/>
            <w:shd w:val="clear" w:color="auto" w:fill="auto"/>
            <w:tcMar>
              <w:top w:w="72" w:type="dxa"/>
              <w:left w:w="144" w:type="dxa"/>
              <w:bottom w:w="72" w:type="dxa"/>
              <w:right w:w="144" w:type="dxa"/>
            </w:tcMar>
            <w:hideMark/>
          </w:tcPr>
          <w:p w14:paraId="0BF46005"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0.579</w:t>
            </w:r>
          </w:p>
        </w:tc>
        <w:tc>
          <w:tcPr>
            <w:tcW w:w="1050" w:type="dxa"/>
            <w:shd w:val="clear" w:color="auto" w:fill="auto"/>
            <w:tcMar>
              <w:top w:w="72" w:type="dxa"/>
              <w:left w:w="144" w:type="dxa"/>
              <w:bottom w:w="72" w:type="dxa"/>
              <w:right w:w="144" w:type="dxa"/>
            </w:tcMar>
            <w:hideMark/>
          </w:tcPr>
          <w:p w14:paraId="39145983"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0.0489</w:t>
            </w:r>
          </w:p>
        </w:tc>
        <w:tc>
          <w:tcPr>
            <w:tcW w:w="1050" w:type="dxa"/>
            <w:shd w:val="clear" w:color="auto" w:fill="auto"/>
            <w:tcMar>
              <w:top w:w="72" w:type="dxa"/>
              <w:left w:w="144" w:type="dxa"/>
              <w:bottom w:w="72" w:type="dxa"/>
              <w:right w:w="144" w:type="dxa"/>
            </w:tcMar>
            <w:hideMark/>
          </w:tcPr>
          <w:p w14:paraId="5CBACB2F" w14:textId="4CF7817B"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hideMark/>
          </w:tcPr>
          <w:p w14:paraId="0511A6B1" w14:textId="77777777" w:rsidR="00B16D9B" w:rsidRPr="00D22450" w:rsidRDefault="00B16D9B" w:rsidP="00D22450">
            <w:pPr>
              <w:snapToGrid w:val="0"/>
              <w:spacing w:line="360" w:lineRule="auto"/>
              <w:jc w:val="both"/>
              <w:rPr>
                <w:rFonts w:ascii="Book Antiqua" w:hAnsi="Book Antiqua" w:cs="Arial"/>
              </w:rPr>
            </w:pPr>
          </w:p>
        </w:tc>
      </w:tr>
      <w:tr w:rsidR="00B16D9B" w:rsidRPr="00D22450" w14:paraId="72D2810A" w14:textId="77777777" w:rsidTr="00DF7A67">
        <w:trPr>
          <w:trHeight w:val="165"/>
          <w:jc w:val="center"/>
        </w:trPr>
        <w:tc>
          <w:tcPr>
            <w:tcW w:w="1608" w:type="dxa"/>
            <w:vMerge/>
          </w:tcPr>
          <w:p w14:paraId="24754F8F" w14:textId="77777777" w:rsidR="00B16D9B" w:rsidRPr="00D22450" w:rsidRDefault="00B16D9B" w:rsidP="00D22450">
            <w:pPr>
              <w:snapToGrid w:val="0"/>
              <w:spacing w:line="360" w:lineRule="auto"/>
              <w:jc w:val="both"/>
              <w:rPr>
                <w:rFonts w:ascii="Book Antiqua" w:hAnsi="Book Antiqua" w:cs="Arial"/>
              </w:rPr>
            </w:pPr>
          </w:p>
        </w:tc>
        <w:tc>
          <w:tcPr>
            <w:tcW w:w="1811" w:type="dxa"/>
            <w:shd w:val="clear" w:color="auto" w:fill="auto"/>
            <w:tcMar>
              <w:top w:w="72" w:type="dxa"/>
              <w:left w:w="144" w:type="dxa"/>
              <w:bottom w:w="72" w:type="dxa"/>
              <w:right w:w="144" w:type="dxa"/>
            </w:tcMar>
            <w:hideMark/>
          </w:tcPr>
          <w:p w14:paraId="4379D6AC"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2 </w:t>
            </w:r>
            <w:r w:rsidRPr="00D22450">
              <w:rPr>
                <w:rFonts w:ascii="Book Antiqua" w:hAnsi="Book Antiqua" w:cs="Arial"/>
                <w:i/>
              </w:rPr>
              <w:t>vs</w:t>
            </w:r>
            <w:r w:rsidRPr="00D22450">
              <w:rPr>
                <w:rFonts w:ascii="Book Antiqua" w:hAnsi="Book Antiqua" w:cs="Arial"/>
              </w:rPr>
              <w:t xml:space="preserve"> 3</w:t>
            </w:r>
          </w:p>
        </w:tc>
        <w:tc>
          <w:tcPr>
            <w:tcW w:w="1457" w:type="dxa"/>
            <w:shd w:val="clear" w:color="auto" w:fill="auto"/>
            <w:tcMar>
              <w:top w:w="72" w:type="dxa"/>
              <w:left w:w="144" w:type="dxa"/>
              <w:bottom w:w="72" w:type="dxa"/>
              <w:right w:w="144" w:type="dxa"/>
            </w:tcMar>
            <w:hideMark/>
          </w:tcPr>
          <w:p w14:paraId="342D6764"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0.585</w:t>
            </w:r>
          </w:p>
        </w:tc>
        <w:tc>
          <w:tcPr>
            <w:tcW w:w="1183" w:type="dxa"/>
            <w:shd w:val="clear" w:color="auto" w:fill="auto"/>
            <w:tcMar>
              <w:top w:w="72" w:type="dxa"/>
              <w:left w:w="144" w:type="dxa"/>
              <w:bottom w:w="72" w:type="dxa"/>
              <w:right w:w="144" w:type="dxa"/>
            </w:tcMar>
            <w:hideMark/>
          </w:tcPr>
          <w:p w14:paraId="4CE4382D"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0.485</w:t>
            </w:r>
          </w:p>
        </w:tc>
        <w:tc>
          <w:tcPr>
            <w:tcW w:w="1088" w:type="dxa"/>
            <w:shd w:val="clear" w:color="auto" w:fill="auto"/>
            <w:tcMar>
              <w:top w:w="72" w:type="dxa"/>
              <w:left w:w="144" w:type="dxa"/>
              <w:bottom w:w="72" w:type="dxa"/>
              <w:right w:w="144" w:type="dxa"/>
            </w:tcMar>
            <w:hideMark/>
          </w:tcPr>
          <w:p w14:paraId="6A4BEFCF"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0.686</w:t>
            </w:r>
          </w:p>
        </w:tc>
        <w:tc>
          <w:tcPr>
            <w:tcW w:w="1050" w:type="dxa"/>
            <w:shd w:val="clear" w:color="auto" w:fill="auto"/>
            <w:tcMar>
              <w:top w:w="72" w:type="dxa"/>
              <w:left w:w="144" w:type="dxa"/>
              <w:bottom w:w="72" w:type="dxa"/>
              <w:right w:w="144" w:type="dxa"/>
            </w:tcMar>
            <w:hideMark/>
          </w:tcPr>
          <w:p w14:paraId="7E3BD3C1"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0.0513</w:t>
            </w:r>
          </w:p>
        </w:tc>
        <w:tc>
          <w:tcPr>
            <w:tcW w:w="1050" w:type="dxa"/>
            <w:shd w:val="clear" w:color="auto" w:fill="auto"/>
            <w:tcMar>
              <w:top w:w="72" w:type="dxa"/>
              <w:left w:w="144" w:type="dxa"/>
              <w:bottom w:w="72" w:type="dxa"/>
              <w:right w:w="144" w:type="dxa"/>
            </w:tcMar>
            <w:hideMark/>
          </w:tcPr>
          <w:p w14:paraId="5837811B" w14:textId="7D232398"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hideMark/>
          </w:tcPr>
          <w:p w14:paraId="6460DB86" w14:textId="77777777" w:rsidR="00B16D9B" w:rsidRPr="00D22450" w:rsidRDefault="00B16D9B" w:rsidP="00D22450">
            <w:pPr>
              <w:snapToGrid w:val="0"/>
              <w:spacing w:line="360" w:lineRule="auto"/>
              <w:jc w:val="both"/>
              <w:rPr>
                <w:rFonts w:ascii="Book Antiqua" w:hAnsi="Book Antiqua" w:cs="Arial"/>
              </w:rPr>
            </w:pPr>
          </w:p>
        </w:tc>
      </w:tr>
      <w:tr w:rsidR="00B16D9B" w:rsidRPr="00D22450" w14:paraId="26E042A0" w14:textId="77777777" w:rsidTr="00DF7A67">
        <w:trPr>
          <w:trHeight w:val="165"/>
          <w:jc w:val="center"/>
        </w:trPr>
        <w:tc>
          <w:tcPr>
            <w:tcW w:w="1608" w:type="dxa"/>
            <w:vMerge w:val="restart"/>
          </w:tcPr>
          <w:p w14:paraId="61ECBC3C"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Lobular inflammation</w:t>
            </w:r>
          </w:p>
        </w:tc>
        <w:tc>
          <w:tcPr>
            <w:tcW w:w="1811" w:type="dxa"/>
            <w:shd w:val="clear" w:color="auto" w:fill="auto"/>
            <w:tcMar>
              <w:top w:w="72" w:type="dxa"/>
              <w:left w:w="144" w:type="dxa"/>
              <w:bottom w:w="72" w:type="dxa"/>
              <w:right w:w="144" w:type="dxa"/>
            </w:tcMar>
            <w:hideMark/>
          </w:tcPr>
          <w:p w14:paraId="51FE3099"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1 </w:t>
            </w:r>
            <w:r w:rsidRPr="00D22450">
              <w:rPr>
                <w:rFonts w:ascii="Book Antiqua" w:hAnsi="Book Antiqua" w:cs="Arial"/>
                <w:i/>
              </w:rPr>
              <w:t>vs</w:t>
            </w:r>
            <w:r w:rsidRPr="00D22450">
              <w:rPr>
                <w:rFonts w:ascii="Book Antiqua" w:hAnsi="Book Antiqua" w:cs="Arial"/>
              </w:rPr>
              <w:t xml:space="preserve"> 2</w:t>
            </w:r>
          </w:p>
        </w:tc>
        <w:tc>
          <w:tcPr>
            <w:tcW w:w="1457" w:type="dxa"/>
            <w:shd w:val="clear" w:color="auto" w:fill="auto"/>
            <w:tcMar>
              <w:top w:w="72" w:type="dxa"/>
              <w:left w:w="144" w:type="dxa"/>
              <w:bottom w:w="72" w:type="dxa"/>
              <w:right w:w="144" w:type="dxa"/>
            </w:tcMar>
            <w:hideMark/>
          </w:tcPr>
          <w:p w14:paraId="1F9B3F84"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0.118</w:t>
            </w:r>
          </w:p>
        </w:tc>
        <w:tc>
          <w:tcPr>
            <w:tcW w:w="1183" w:type="dxa"/>
            <w:shd w:val="clear" w:color="auto" w:fill="auto"/>
            <w:tcMar>
              <w:top w:w="72" w:type="dxa"/>
              <w:left w:w="144" w:type="dxa"/>
              <w:bottom w:w="72" w:type="dxa"/>
              <w:right w:w="144" w:type="dxa"/>
            </w:tcMar>
            <w:hideMark/>
          </w:tcPr>
          <w:p w14:paraId="21E06DF1"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0.0631</w:t>
            </w:r>
          </w:p>
        </w:tc>
        <w:tc>
          <w:tcPr>
            <w:tcW w:w="1088" w:type="dxa"/>
            <w:shd w:val="clear" w:color="auto" w:fill="auto"/>
            <w:tcMar>
              <w:top w:w="72" w:type="dxa"/>
              <w:left w:w="144" w:type="dxa"/>
              <w:bottom w:w="72" w:type="dxa"/>
              <w:right w:w="144" w:type="dxa"/>
            </w:tcMar>
            <w:hideMark/>
          </w:tcPr>
          <w:p w14:paraId="39E678DD"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0.173</w:t>
            </w:r>
          </w:p>
        </w:tc>
        <w:tc>
          <w:tcPr>
            <w:tcW w:w="1050" w:type="dxa"/>
            <w:shd w:val="clear" w:color="auto" w:fill="auto"/>
            <w:tcMar>
              <w:top w:w="72" w:type="dxa"/>
              <w:left w:w="144" w:type="dxa"/>
              <w:bottom w:w="72" w:type="dxa"/>
              <w:right w:w="144" w:type="dxa"/>
            </w:tcMar>
            <w:hideMark/>
          </w:tcPr>
          <w:p w14:paraId="59B7869B"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0.0281</w:t>
            </w:r>
          </w:p>
        </w:tc>
        <w:tc>
          <w:tcPr>
            <w:tcW w:w="1050" w:type="dxa"/>
            <w:shd w:val="clear" w:color="auto" w:fill="auto"/>
            <w:tcMar>
              <w:top w:w="72" w:type="dxa"/>
              <w:left w:w="144" w:type="dxa"/>
              <w:bottom w:w="72" w:type="dxa"/>
              <w:right w:w="144" w:type="dxa"/>
            </w:tcMar>
            <w:hideMark/>
          </w:tcPr>
          <w:p w14:paraId="70B3DDB8" w14:textId="4819840A"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val="restart"/>
            <w:shd w:val="clear" w:color="auto" w:fill="auto"/>
            <w:tcMar>
              <w:top w:w="72" w:type="dxa"/>
              <w:left w:w="144" w:type="dxa"/>
              <w:bottom w:w="72" w:type="dxa"/>
              <w:right w:w="144" w:type="dxa"/>
            </w:tcMar>
            <w:hideMark/>
          </w:tcPr>
          <w:p w14:paraId="3F4DCDE3"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0.109</w:t>
            </w:r>
          </w:p>
        </w:tc>
      </w:tr>
      <w:tr w:rsidR="00B16D9B" w:rsidRPr="00D22450" w14:paraId="5401A9EB" w14:textId="77777777" w:rsidTr="00DF7A67">
        <w:trPr>
          <w:trHeight w:val="165"/>
          <w:jc w:val="center"/>
        </w:trPr>
        <w:tc>
          <w:tcPr>
            <w:tcW w:w="1608" w:type="dxa"/>
            <w:vMerge/>
          </w:tcPr>
          <w:p w14:paraId="0468C0B5" w14:textId="77777777" w:rsidR="00B16D9B" w:rsidRPr="00D22450" w:rsidRDefault="00B16D9B" w:rsidP="00D22450">
            <w:pPr>
              <w:snapToGrid w:val="0"/>
              <w:spacing w:line="360" w:lineRule="auto"/>
              <w:jc w:val="both"/>
              <w:rPr>
                <w:rFonts w:ascii="Book Antiqua" w:hAnsi="Book Antiqua" w:cs="Arial"/>
              </w:rPr>
            </w:pPr>
          </w:p>
        </w:tc>
        <w:tc>
          <w:tcPr>
            <w:tcW w:w="1811" w:type="dxa"/>
            <w:shd w:val="clear" w:color="auto" w:fill="auto"/>
            <w:tcMar>
              <w:top w:w="72" w:type="dxa"/>
              <w:left w:w="144" w:type="dxa"/>
              <w:bottom w:w="72" w:type="dxa"/>
              <w:right w:w="144" w:type="dxa"/>
            </w:tcMar>
            <w:hideMark/>
          </w:tcPr>
          <w:p w14:paraId="41B5854B"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1 </w:t>
            </w:r>
            <w:r w:rsidRPr="00D22450">
              <w:rPr>
                <w:rFonts w:ascii="Book Antiqua" w:hAnsi="Book Antiqua" w:cs="Arial"/>
                <w:i/>
              </w:rPr>
              <w:t>vs</w:t>
            </w:r>
            <w:r w:rsidRPr="00D22450">
              <w:rPr>
                <w:rFonts w:ascii="Book Antiqua" w:hAnsi="Book Antiqua" w:cs="Arial"/>
              </w:rPr>
              <w:t xml:space="preserve"> 3</w:t>
            </w:r>
          </w:p>
        </w:tc>
        <w:tc>
          <w:tcPr>
            <w:tcW w:w="1457" w:type="dxa"/>
            <w:shd w:val="clear" w:color="auto" w:fill="auto"/>
            <w:tcMar>
              <w:top w:w="72" w:type="dxa"/>
              <w:left w:w="144" w:type="dxa"/>
              <w:bottom w:w="72" w:type="dxa"/>
              <w:right w:w="144" w:type="dxa"/>
            </w:tcMar>
            <w:hideMark/>
          </w:tcPr>
          <w:p w14:paraId="6BC76828"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0.0376</w:t>
            </w:r>
          </w:p>
        </w:tc>
        <w:tc>
          <w:tcPr>
            <w:tcW w:w="1183" w:type="dxa"/>
            <w:shd w:val="clear" w:color="auto" w:fill="auto"/>
            <w:tcMar>
              <w:top w:w="72" w:type="dxa"/>
              <w:left w:w="144" w:type="dxa"/>
              <w:bottom w:w="72" w:type="dxa"/>
              <w:right w:w="144" w:type="dxa"/>
            </w:tcMar>
            <w:hideMark/>
          </w:tcPr>
          <w:p w14:paraId="5BF3C589"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0.00574</w:t>
            </w:r>
          </w:p>
        </w:tc>
        <w:tc>
          <w:tcPr>
            <w:tcW w:w="1088" w:type="dxa"/>
            <w:shd w:val="clear" w:color="auto" w:fill="auto"/>
            <w:tcMar>
              <w:top w:w="72" w:type="dxa"/>
              <w:left w:w="144" w:type="dxa"/>
              <w:bottom w:w="72" w:type="dxa"/>
              <w:right w:w="144" w:type="dxa"/>
            </w:tcMar>
            <w:hideMark/>
          </w:tcPr>
          <w:p w14:paraId="31EDEE1D"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0.0695</w:t>
            </w:r>
          </w:p>
        </w:tc>
        <w:tc>
          <w:tcPr>
            <w:tcW w:w="1050" w:type="dxa"/>
            <w:shd w:val="clear" w:color="auto" w:fill="auto"/>
            <w:tcMar>
              <w:top w:w="72" w:type="dxa"/>
              <w:left w:w="144" w:type="dxa"/>
              <w:bottom w:w="72" w:type="dxa"/>
              <w:right w:w="144" w:type="dxa"/>
            </w:tcMar>
            <w:hideMark/>
          </w:tcPr>
          <w:p w14:paraId="0FD4A41B"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0.0163</w:t>
            </w:r>
          </w:p>
        </w:tc>
        <w:tc>
          <w:tcPr>
            <w:tcW w:w="1050" w:type="dxa"/>
            <w:shd w:val="clear" w:color="auto" w:fill="auto"/>
            <w:tcMar>
              <w:top w:w="72" w:type="dxa"/>
              <w:left w:w="144" w:type="dxa"/>
              <w:bottom w:w="72" w:type="dxa"/>
              <w:right w:w="144" w:type="dxa"/>
            </w:tcMar>
            <w:hideMark/>
          </w:tcPr>
          <w:p w14:paraId="6BA863EB" w14:textId="266DD527" w:rsidR="00B16D9B" w:rsidRPr="00D22450" w:rsidRDefault="000D3AF4" w:rsidP="00D22450">
            <w:pPr>
              <w:snapToGrid w:val="0"/>
              <w:spacing w:line="360" w:lineRule="auto"/>
              <w:jc w:val="both"/>
              <w:rPr>
                <w:rFonts w:ascii="Book Antiqua" w:hAnsi="Book Antiqua" w:cs="Arial"/>
                <w:bCs/>
              </w:rPr>
            </w:pPr>
            <w:r w:rsidRPr="00D22450">
              <w:rPr>
                <w:rFonts w:ascii="Book Antiqua" w:hAnsi="Book Antiqua" w:cs="Arial"/>
                <w:bCs/>
              </w:rPr>
              <w:t>0</w:t>
            </w:r>
            <w:r w:rsidR="00B16D9B" w:rsidRPr="00D22450">
              <w:rPr>
                <w:rFonts w:ascii="Book Antiqua" w:hAnsi="Book Antiqua" w:cs="Arial"/>
                <w:bCs/>
              </w:rPr>
              <w:t>.02</w:t>
            </w:r>
          </w:p>
        </w:tc>
        <w:tc>
          <w:tcPr>
            <w:tcW w:w="1430" w:type="dxa"/>
            <w:vMerge/>
            <w:hideMark/>
          </w:tcPr>
          <w:p w14:paraId="360E0C7B" w14:textId="77777777" w:rsidR="00B16D9B" w:rsidRPr="00D22450" w:rsidRDefault="00B16D9B" w:rsidP="00D22450">
            <w:pPr>
              <w:snapToGrid w:val="0"/>
              <w:spacing w:line="360" w:lineRule="auto"/>
              <w:jc w:val="both"/>
              <w:rPr>
                <w:rFonts w:ascii="Book Antiqua" w:hAnsi="Book Antiqua" w:cs="Arial"/>
              </w:rPr>
            </w:pPr>
          </w:p>
        </w:tc>
      </w:tr>
      <w:tr w:rsidR="00B16D9B" w:rsidRPr="00D22450" w14:paraId="0EAEBC57" w14:textId="77777777" w:rsidTr="00DF7A67">
        <w:trPr>
          <w:trHeight w:val="165"/>
          <w:jc w:val="center"/>
        </w:trPr>
        <w:tc>
          <w:tcPr>
            <w:tcW w:w="1608" w:type="dxa"/>
            <w:vMerge/>
          </w:tcPr>
          <w:p w14:paraId="5EE0710A" w14:textId="77777777" w:rsidR="00B16D9B" w:rsidRPr="00D22450" w:rsidRDefault="00B16D9B" w:rsidP="00D22450">
            <w:pPr>
              <w:snapToGrid w:val="0"/>
              <w:spacing w:line="360" w:lineRule="auto"/>
              <w:jc w:val="both"/>
              <w:rPr>
                <w:rFonts w:ascii="Book Antiqua" w:hAnsi="Book Antiqua" w:cs="Arial"/>
              </w:rPr>
            </w:pPr>
          </w:p>
        </w:tc>
        <w:tc>
          <w:tcPr>
            <w:tcW w:w="1811" w:type="dxa"/>
            <w:shd w:val="clear" w:color="auto" w:fill="auto"/>
            <w:tcMar>
              <w:top w:w="72" w:type="dxa"/>
              <w:left w:w="144" w:type="dxa"/>
              <w:bottom w:w="72" w:type="dxa"/>
              <w:right w:w="144" w:type="dxa"/>
            </w:tcMar>
            <w:hideMark/>
          </w:tcPr>
          <w:p w14:paraId="635D7036"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2 </w:t>
            </w:r>
            <w:r w:rsidRPr="00D22450">
              <w:rPr>
                <w:rFonts w:ascii="Book Antiqua" w:hAnsi="Book Antiqua" w:cs="Arial"/>
                <w:i/>
              </w:rPr>
              <w:t>vs</w:t>
            </w:r>
            <w:r w:rsidRPr="00D22450">
              <w:rPr>
                <w:rFonts w:ascii="Book Antiqua" w:hAnsi="Book Antiqua" w:cs="Arial"/>
              </w:rPr>
              <w:t xml:space="preserve"> 3</w:t>
            </w:r>
          </w:p>
        </w:tc>
        <w:tc>
          <w:tcPr>
            <w:tcW w:w="1457" w:type="dxa"/>
            <w:shd w:val="clear" w:color="auto" w:fill="auto"/>
            <w:tcMar>
              <w:top w:w="72" w:type="dxa"/>
              <w:left w:w="144" w:type="dxa"/>
              <w:bottom w:w="72" w:type="dxa"/>
              <w:right w:w="144" w:type="dxa"/>
            </w:tcMar>
            <w:hideMark/>
          </w:tcPr>
          <w:p w14:paraId="12A6B0D2"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0.179</w:t>
            </w:r>
          </w:p>
        </w:tc>
        <w:tc>
          <w:tcPr>
            <w:tcW w:w="1183" w:type="dxa"/>
            <w:shd w:val="clear" w:color="auto" w:fill="auto"/>
            <w:tcMar>
              <w:top w:w="72" w:type="dxa"/>
              <w:left w:w="144" w:type="dxa"/>
              <w:bottom w:w="72" w:type="dxa"/>
              <w:right w:w="144" w:type="dxa"/>
            </w:tcMar>
            <w:hideMark/>
          </w:tcPr>
          <w:p w14:paraId="1FDA1CAB"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0.0699</w:t>
            </w:r>
          </w:p>
        </w:tc>
        <w:tc>
          <w:tcPr>
            <w:tcW w:w="1088" w:type="dxa"/>
            <w:shd w:val="clear" w:color="auto" w:fill="auto"/>
            <w:tcMar>
              <w:top w:w="72" w:type="dxa"/>
              <w:left w:w="144" w:type="dxa"/>
              <w:bottom w:w="72" w:type="dxa"/>
              <w:right w:w="144" w:type="dxa"/>
            </w:tcMar>
            <w:hideMark/>
          </w:tcPr>
          <w:p w14:paraId="0D8A7E54"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0.288</w:t>
            </w:r>
          </w:p>
        </w:tc>
        <w:tc>
          <w:tcPr>
            <w:tcW w:w="1050" w:type="dxa"/>
            <w:shd w:val="clear" w:color="auto" w:fill="auto"/>
            <w:tcMar>
              <w:top w:w="72" w:type="dxa"/>
              <w:left w:w="144" w:type="dxa"/>
              <w:bottom w:w="72" w:type="dxa"/>
              <w:right w:w="144" w:type="dxa"/>
            </w:tcMar>
            <w:hideMark/>
          </w:tcPr>
          <w:p w14:paraId="151D0475"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0.0556</w:t>
            </w:r>
          </w:p>
        </w:tc>
        <w:tc>
          <w:tcPr>
            <w:tcW w:w="1050" w:type="dxa"/>
            <w:shd w:val="clear" w:color="auto" w:fill="auto"/>
            <w:tcMar>
              <w:top w:w="72" w:type="dxa"/>
              <w:left w:w="144" w:type="dxa"/>
              <w:bottom w:w="72" w:type="dxa"/>
              <w:right w:w="144" w:type="dxa"/>
            </w:tcMar>
            <w:hideMark/>
          </w:tcPr>
          <w:p w14:paraId="1540A8DD" w14:textId="5E96EE85" w:rsidR="00B16D9B" w:rsidRPr="00D22450" w:rsidRDefault="000D3AF4" w:rsidP="00D22450">
            <w:pPr>
              <w:snapToGrid w:val="0"/>
              <w:spacing w:line="360" w:lineRule="auto"/>
              <w:jc w:val="both"/>
              <w:rPr>
                <w:rFonts w:ascii="Book Antiqua" w:hAnsi="Book Antiqua" w:cs="Arial"/>
                <w:bCs/>
              </w:rPr>
            </w:pPr>
            <w:r w:rsidRPr="00D22450">
              <w:rPr>
                <w:rFonts w:ascii="Book Antiqua" w:hAnsi="Book Antiqua" w:cs="Arial"/>
                <w:bCs/>
              </w:rPr>
              <w:t>0</w:t>
            </w:r>
            <w:r w:rsidR="00B16D9B" w:rsidRPr="00D22450">
              <w:rPr>
                <w:rFonts w:ascii="Book Antiqua" w:hAnsi="Book Antiqua" w:cs="Arial"/>
                <w:bCs/>
              </w:rPr>
              <w:t>.001</w:t>
            </w:r>
          </w:p>
        </w:tc>
        <w:tc>
          <w:tcPr>
            <w:tcW w:w="1430" w:type="dxa"/>
            <w:vMerge/>
            <w:hideMark/>
          </w:tcPr>
          <w:p w14:paraId="6C9AEE24" w14:textId="77777777" w:rsidR="00B16D9B" w:rsidRPr="00D22450" w:rsidRDefault="00B16D9B" w:rsidP="00D22450">
            <w:pPr>
              <w:snapToGrid w:val="0"/>
              <w:spacing w:line="360" w:lineRule="auto"/>
              <w:jc w:val="both"/>
              <w:rPr>
                <w:rFonts w:ascii="Book Antiqua" w:hAnsi="Book Antiqua" w:cs="Arial"/>
              </w:rPr>
            </w:pPr>
          </w:p>
        </w:tc>
      </w:tr>
      <w:tr w:rsidR="00B16D9B" w:rsidRPr="00D22450" w14:paraId="60E95D6B" w14:textId="77777777" w:rsidTr="00DF7A67">
        <w:trPr>
          <w:trHeight w:val="165"/>
          <w:jc w:val="center"/>
        </w:trPr>
        <w:tc>
          <w:tcPr>
            <w:tcW w:w="1608" w:type="dxa"/>
            <w:vMerge w:val="restart"/>
          </w:tcPr>
          <w:p w14:paraId="61AF340B"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Ballooning</w:t>
            </w:r>
          </w:p>
        </w:tc>
        <w:tc>
          <w:tcPr>
            <w:tcW w:w="1811" w:type="dxa"/>
            <w:shd w:val="clear" w:color="auto" w:fill="auto"/>
            <w:tcMar>
              <w:top w:w="72" w:type="dxa"/>
              <w:left w:w="144" w:type="dxa"/>
              <w:bottom w:w="72" w:type="dxa"/>
              <w:right w:w="144" w:type="dxa"/>
            </w:tcMar>
            <w:hideMark/>
          </w:tcPr>
          <w:p w14:paraId="196C797E"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1 </w:t>
            </w:r>
            <w:r w:rsidRPr="00D22450">
              <w:rPr>
                <w:rFonts w:ascii="Book Antiqua" w:hAnsi="Book Antiqua" w:cs="Arial"/>
                <w:i/>
              </w:rPr>
              <w:t>vs</w:t>
            </w:r>
            <w:r w:rsidRPr="00D22450">
              <w:rPr>
                <w:rFonts w:ascii="Book Antiqua" w:hAnsi="Book Antiqua" w:cs="Arial"/>
              </w:rPr>
              <w:t xml:space="preserve"> 2</w:t>
            </w:r>
          </w:p>
        </w:tc>
        <w:tc>
          <w:tcPr>
            <w:tcW w:w="1457" w:type="dxa"/>
            <w:shd w:val="clear" w:color="auto" w:fill="auto"/>
            <w:tcMar>
              <w:top w:w="72" w:type="dxa"/>
              <w:left w:w="144" w:type="dxa"/>
              <w:bottom w:w="72" w:type="dxa"/>
              <w:right w:w="144" w:type="dxa"/>
            </w:tcMar>
            <w:hideMark/>
          </w:tcPr>
          <w:p w14:paraId="717D9509"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0.297</w:t>
            </w:r>
          </w:p>
        </w:tc>
        <w:tc>
          <w:tcPr>
            <w:tcW w:w="1183" w:type="dxa"/>
            <w:shd w:val="clear" w:color="auto" w:fill="auto"/>
            <w:tcMar>
              <w:top w:w="72" w:type="dxa"/>
              <w:left w:w="144" w:type="dxa"/>
              <w:bottom w:w="72" w:type="dxa"/>
              <w:right w:w="144" w:type="dxa"/>
            </w:tcMar>
            <w:hideMark/>
          </w:tcPr>
          <w:p w14:paraId="79CB784C"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0.205</w:t>
            </w:r>
          </w:p>
        </w:tc>
        <w:tc>
          <w:tcPr>
            <w:tcW w:w="1088" w:type="dxa"/>
            <w:shd w:val="clear" w:color="auto" w:fill="auto"/>
            <w:tcMar>
              <w:top w:w="72" w:type="dxa"/>
              <w:left w:w="144" w:type="dxa"/>
              <w:bottom w:w="72" w:type="dxa"/>
              <w:right w:w="144" w:type="dxa"/>
            </w:tcMar>
            <w:hideMark/>
          </w:tcPr>
          <w:p w14:paraId="0DD2E988"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0.389</w:t>
            </w:r>
          </w:p>
        </w:tc>
        <w:tc>
          <w:tcPr>
            <w:tcW w:w="1050" w:type="dxa"/>
            <w:shd w:val="clear" w:color="auto" w:fill="auto"/>
            <w:tcMar>
              <w:top w:w="72" w:type="dxa"/>
              <w:left w:w="144" w:type="dxa"/>
              <w:bottom w:w="72" w:type="dxa"/>
              <w:right w:w="144" w:type="dxa"/>
            </w:tcMar>
            <w:hideMark/>
          </w:tcPr>
          <w:p w14:paraId="6F55CBDD"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0..047</w:t>
            </w:r>
          </w:p>
        </w:tc>
        <w:tc>
          <w:tcPr>
            <w:tcW w:w="1050" w:type="dxa"/>
            <w:shd w:val="clear" w:color="auto" w:fill="auto"/>
            <w:tcMar>
              <w:top w:w="72" w:type="dxa"/>
              <w:left w:w="144" w:type="dxa"/>
              <w:bottom w:w="72" w:type="dxa"/>
              <w:right w:w="144" w:type="dxa"/>
            </w:tcMar>
            <w:hideMark/>
          </w:tcPr>
          <w:p w14:paraId="497AC5BC" w14:textId="15EB5D5C"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val="restart"/>
            <w:shd w:val="clear" w:color="auto" w:fill="auto"/>
            <w:tcMar>
              <w:top w:w="72" w:type="dxa"/>
              <w:left w:w="144" w:type="dxa"/>
              <w:bottom w:w="72" w:type="dxa"/>
              <w:right w:w="144" w:type="dxa"/>
            </w:tcMar>
            <w:hideMark/>
          </w:tcPr>
          <w:p w14:paraId="06009F3B"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0.398</w:t>
            </w:r>
          </w:p>
        </w:tc>
      </w:tr>
      <w:tr w:rsidR="00B16D9B" w:rsidRPr="00D22450" w14:paraId="6C3A0A49" w14:textId="77777777" w:rsidTr="00DF7A67">
        <w:trPr>
          <w:trHeight w:val="165"/>
          <w:jc w:val="center"/>
        </w:trPr>
        <w:tc>
          <w:tcPr>
            <w:tcW w:w="1608" w:type="dxa"/>
            <w:vMerge/>
          </w:tcPr>
          <w:p w14:paraId="73B1BA8B" w14:textId="77777777" w:rsidR="00B16D9B" w:rsidRPr="00D22450" w:rsidRDefault="00B16D9B" w:rsidP="00D22450">
            <w:pPr>
              <w:snapToGrid w:val="0"/>
              <w:spacing w:line="360" w:lineRule="auto"/>
              <w:jc w:val="both"/>
              <w:rPr>
                <w:rFonts w:ascii="Book Antiqua" w:hAnsi="Book Antiqua" w:cs="Arial"/>
              </w:rPr>
            </w:pPr>
          </w:p>
        </w:tc>
        <w:tc>
          <w:tcPr>
            <w:tcW w:w="1811" w:type="dxa"/>
            <w:shd w:val="clear" w:color="auto" w:fill="auto"/>
            <w:tcMar>
              <w:top w:w="72" w:type="dxa"/>
              <w:left w:w="144" w:type="dxa"/>
              <w:bottom w:w="72" w:type="dxa"/>
              <w:right w:w="144" w:type="dxa"/>
            </w:tcMar>
            <w:hideMark/>
          </w:tcPr>
          <w:p w14:paraId="044E5D30"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1 </w:t>
            </w:r>
            <w:r w:rsidRPr="00D22450">
              <w:rPr>
                <w:rFonts w:ascii="Book Antiqua" w:hAnsi="Book Antiqua" w:cs="Arial"/>
                <w:i/>
              </w:rPr>
              <w:t>vs</w:t>
            </w:r>
            <w:r w:rsidRPr="00D22450">
              <w:rPr>
                <w:rFonts w:ascii="Book Antiqua" w:hAnsi="Book Antiqua" w:cs="Arial"/>
              </w:rPr>
              <w:t xml:space="preserve"> 3</w:t>
            </w:r>
          </w:p>
        </w:tc>
        <w:tc>
          <w:tcPr>
            <w:tcW w:w="1457" w:type="dxa"/>
            <w:shd w:val="clear" w:color="auto" w:fill="auto"/>
            <w:tcMar>
              <w:top w:w="72" w:type="dxa"/>
              <w:left w:w="144" w:type="dxa"/>
              <w:bottom w:w="72" w:type="dxa"/>
              <w:right w:w="144" w:type="dxa"/>
            </w:tcMar>
            <w:hideMark/>
          </w:tcPr>
          <w:p w14:paraId="4D59A320"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0.459</w:t>
            </w:r>
          </w:p>
        </w:tc>
        <w:tc>
          <w:tcPr>
            <w:tcW w:w="1183" w:type="dxa"/>
            <w:shd w:val="clear" w:color="auto" w:fill="auto"/>
            <w:tcMar>
              <w:top w:w="72" w:type="dxa"/>
              <w:left w:w="144" w:type="dxa"/>
              <w:bottom w:w="72" w:type="dxa"/>
              <w:right w:w="144" w:type="dxa"/>
            </w:tcMar>
            <w:hideMark/>
          </w:tcPr>
          <w:p w14:paraId="02D3CE4E"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0.344</w:t>
            </w:r>
          </w:p>
        </w:tc>
        <w:tc>
          <w:tcPr>
            <w:tcW w:w="1088" w:type="dxa"/>
            <w:shd w:val="clear" w:color="auto" w:fill="auto"/>
            <w:tcMar>
              <w:top w:w="72" w:type="dxa"/>
              <w:left w:w="144" w:type="dxa"/>
              <w:bottom w:w="72" w:type="dxa"/>
              <w:right w:w="144" w:type="dxa"/>
            </w:tcMar>
            <w:hideMark/>
          </w:tcPr>
          <w:p w14:paraId="129E4B59"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0.573</w:t>
            </w:r>
          </w:p>
        </w:tc>
        <w:tc>
          <w:tcPr>
            <w:tcW w:w="1050" w:type="dxa"/>
            <w:shd w:val="clear" w:color="auto" w:fill="auto"/>
            <w:tcMar>
              <w:top w:w="72" w:type="dxa"/>
              <w:left w:w="144" w:type="dxa"/>
              <w:bottom w:w="72" w:type="dxa"/>
              <w:right w:w="144" w:type="dxa"/>
            </w:tcMar>
            <w:hideMark/>
          </w:tcPr>
          <w:p w14:paraId="5DBD53F9"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0.0583</w:t>
            </w:r>
          </w:p>
        </w:tc>
        <w:tc>
          <w:tcPr>
            <w:tcW w:w="1050" w:type="dxa"/>
            <w:shd w:val="clear" w:color="auto" w:fill="auto"/>
            <w:tcMar>
              <w:top w:w="72" w:type="dxa"/>
              <w:left w:w="144" w:type="dxa"/>
              <w:bottom w:w="72" w:type="dxa"/>
              <w:right w:w="144" w:type="dxa"/>
            </w:tcMar>
            <w:hideMark/>
          </w:tcPr>
          <w:p w14:paraId="434B629B" w14:textId="01695137"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hideMark/>
          </w:tcPr>
          <w:p w14:paraId="3E12A468" w14:textId="77777777" w:rsidR="00B16D9B" w:rsidRPr="00D22450" w:rsidRDefault="00B16D9B" w:rsidP="00D22450">
            <w:pPr>
              <w:snapToGrid w:val="0"/>
              <w:spacing w:line="360" w:lineRule="auto"/>
              <w:jc w:val="both"/>
              <w:rPr>
                <w:rFonts w:ascii="Book Antiqua" w:hAnsi="Book Antiqua" w:cs="Arial"/>
              </w:rPr>
            </w:pPr>
          </w:p>
        </w:tc>
      </w:tr>
      <w:tr w:rsidR="00B16D9B" w:rsidRPr="00D22450" w14:paraId="0127448D" w14:textId="77777777" w:rsidTr="00DF7A67">
        <w:trPr>
          <w:trHeight w:val="165"/>
          <w:jc w:val="center"/>
        </w:trPr>
        <w:tc>
          <w:tcPr>
            <w:tcW w:w="1608" w:type="dxa"/>
            <w:vMerge/>
          </w:tcPr>
          <w:p w14:paraId="09A990ED" w14:textId="77777777" w:rsidR="00B16D9B" w:rsidRPr="00D22450" w:rsidRDefault="00B16D9B" w:rsidP="00D22450">
            <w:pPr>
              <w:snapToGrid w:val="0"/>
              <w:spacing w:line="360" w:lineRule="auto"/>
              <w:jc w:val="both"/>
              <w:rPr>
                <w:rFonts w:ascii="Book Antiqua" w:hAnsi="Book Antiqua" w:cs="Arial"/>
              </w:rPr>
            </w:pPr>
          </w:p>
        </w:tc>
        <w:tc>
          <w:tcPr>
            <w:tcW w:w="1811" w:type="dxa"/>
            <w:shd w:val="clear" w:color="auto" w:fill="auto"/>
            <w:tcMar>
              <w:top w:w="72" w:type="dxa"/>
              <w:left w:w="144" w:type="dxa"/>
              <w:bottom w:w="72" w:type="dxa"/>
              <w:right w:w="144" w:type="dxa"/>
            </w:tcMar>
            <w:hideMark/>
          </w:tcPr>
          <w:p w14:paraId="4929980F"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2</w:t>
            </w:r>
            <w:r w:rsidRPr="00D22450">
              <w:rPr>
                <w:rFonts w:ascii="Book Antiqua" w:hAnsi="Book Antiqua" w:cs="Arial"/>
                <w:i/>
              </w:rPr>
              <w:t xml:space="preserve"> vs</w:t>
            </w:r>
            <w:r w:rsidRPr="00D22450">
              <w:rPr>
                <w:rFonts w:ascii="Book Antiqua" w:hAnsi="Book Antiqua" w:cs="Arial"/>
              </w:rPr>
              <w:t xml:space="preserve"> 3</w:t>
            </w:r>
          </w:p>
        </w:tc>
        <w:tc>
          <w:tcPr>
            <w:tcW w:w="1457" w:type="dxa"/>
            <w:shd w:val="clear" w:color="auto" w:fill="auto"/>
            <w:tcMar>
              <w:top w:w="72" w:type="dxa"/>
              <w:left w:w="144" w:type="dxa"/>
              <w:bottom w:w="72" w:type="dxa"/>
              <w:right w:w="144" w:type="dxa"/>
            </w:tcMar>
            <w:hideMark/>
          </w:tcPr>
          <w:p w14:paraId="5BBB479F"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0.27</w:t>
            </w:r>
          </w:p>
        </w:tc>
        <w:tc>
          <w:tcPr>
            <w:tcW w:w="1183" w:type="dxa"/>
            <w:shd w:val="clear" w:color="auto" w:fill="auto"/>
            <w:tcMar>
              <w:top w:w="72" w:type="dxa"/>
              <w:left w:w="144" w:type="dxa"/>
              <w:bottom w:w="72" w:type="dxa"/>
              <w:right w:w="144" w:type="dxa"/>
            </w:tcMar>
            <w:hideMark/>
          </w:tcPr>
          <w:p w14:paraId="3AB7863D"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0.18</w:t>
            </w:r>
          </w:p>
        </w:tc>
        <w:tc>
          <w:tcPr>
            <w:tcW w:w="1088" w:type="dxa"/>
            <w:shd w:val="clear" w:color="auto" w:fill="auto"/>
            <w:tcMar>
              <w:top w:w="72" w:type="dxa"/>
              <w:left w:w="144" w:type="dxa"/>
              <w:bottom w:w="72" w:type="dxa"/>
              <w:right w:w="144" w:type="dxa"/>
            </w:tcMar>
            <w:hideMark/>
          </w:tcPr>
          <w:p w14:paraId="2DA5A615"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0.36</w:t>
            </w:r>
          </w:p>
        </w:tc>
        <w:tc>
          <w:tcPr>
            <w:tcW w:w="1050" w:type="dxa"/>
            <w:shd w:val="clear" w:color="auto" w:fill="auto"/>
            <w:tcMar>
              <w:top w:w="72" w:type="dxa"/>
              <w:left w:w="144" w:type="dxa"/>
              <w:bottom w:w="72" w:type="dxa"/>
              <w:right w:w="144" w:type="dxa"/>
            </w:tcMar>
            <w:hideMark/>
          </w:tcPr>
          <w:p w14:paraId="46E137E3"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0.0453</w:t>
            </w:r>
          </w:p>
        </w:tc>
        <w:tc>
          <w:tcPr>
            <w:tcW w:w="1050" w:type="dxa"/>
            <w:shd w:val="clear" w:color="auto" w:fill="auto"/>
            <w:tcMar>
              <w:top w:w="72" w:type="dxa"/>
              <w:left w:w="144" w:type="dxa"/>
              <w:bottom w:w="72" w:type="dxa"/>
              <w:right w:w="144" w:type="dxa"/>
            </w:tcMar>
            <w:hideMark/>
          </w:tcPr>
          <w:p w14:paraId="4929EB83" w14:textId="405D66B3"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hideMark/>
          </w:tcPr>
          <w:p w14:paraId="683CD794" w14:textId="77777777" w:rsidR="00B16D9B" w:rsidRPr="00D22450" w:rsidRDefault="00B16D9B" w:rsidP="00D22450">
            <w:pPr>
              <w:snapToGrid w:val="0"/>
              <w:spacing w:line="360" w:lineRule="auto"/>
              <w:jc w:val="both"/>
              <w:rPr>
                <w:rFonts w:ascii="Book Antiqua" w:hAnsi="Book Antiqua" w:cs="Arial"/>
              </w:rPr>
            </w:pPr>
          </w:p>
        </w:tc>
      </w:tr>
      <w:tr w:rsidR="00B16D9B" w:rsidRPr="00D22450" w14:paraId="432E8A6F" w14:textId="77777777" w:rsidTr="00DF7A67">
        <w:trPr>
          <w:trHeight w:val="165"/>
          <w:jc w:val="center"/>
        </w:trPr>
        <w:tc>
          <w:tcPr>
            <w:tcW w:w="1608" w:type="dxa"/>
            <w:vMerge w:val="restart"/>
          </w:tcPr>
          <w:p w14:paraId="0EC4F7F3"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Fibrosis</w:t>
            </w:r>
          </w:p>
        </w:tc>
        <w:tc>
          <w:tcPr>
            <w:tcW w:w="1811" w:type="dxa"/>
            <w:shd w:val="clear" w:color="auto" w:fill="auto"/>
            <w:tcMar>
              <w:top w:w="72" w:type="dxa"/>
              <w:left w:w="144" w:type="dxa"/>
              <w:bottom w:w="72" w:type="dxa"/>
              <w:right w:w="144" w:type="dxa"/>
            </w:tcMar>
            <w:hideMark/>
          </w:tcPr>
          <w:p w14:paraId="3568D29C"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1 </w:t>
            </w:r>
            <w:r w:rsidRPr="00D22450">
              <w:rPr>
                <w:rFonts w:ascii="Book Antiqua" w:hAnsi="Book Antiqua" w:cs="Arial"/>
                <w:i/>
              </w:rPr>
              <w:t>vs</w:t>
            </w:r>
            <w:r w:rsidRPr="00D22450">
              <w:rPr>
                <w:rFonts w:ascii="Book Antiqua" w:hAnsi="Book Antiqua" w:cs="Arial"/>
              </w:rPr>
              <w:t xml:space="preserve"> 2</w:t>
            </w:r>
          </w:p>
        </w:tc>
        <w:tc>
          <w:tcPr>
            <w:tcW w:w="1457" w:type="dxa"/>
            <w:shd w:val="clear" w:color="auto" w:fill="auto"/>
            <w:tcMar>
              <w:top w:w="72" w:type="dxa"/>
              <w:left w:w="144" w:type="dxa"/>
              <w:bottom w:w="72" w:type="dxa"/>
              <w:right w:w="144" w:type="dxa"/>
            </w:tcMar>
            <w:hideMark/>
          </w:tcPr>
          <w:p w14:paraId="11648065"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0.719</w:t>
            </w:r>
          </w:p>
        </w:tc>
        <w:tc>
          <w:tcPr>
            <w:tcW w:w="1183" w:type="dxa"/>
            <w:shd w:val="clear" w:color="auto" w:fill="auto"/>
            <w:tcMar>
              <w:top w:w="72" w:type="dxa"/>
              <w:left w:w="144" w:type="dxa"/>
              <w:bottom w:w="72" w:type="dxa"/>
              <w:right w:w="144" w:type="dxa"/>
            </w:tcMar>
            <w:hideMark/>
          </w:tcPr>
          <w:p w14:paraId="579E4E60"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0.65</w:t>
            </w:r>
          </w:p>
        </w:tc>
        <w:tc>
          <w:tcPr>
            <w:tcW w:w="1088" w:type="dxa"/>
            <w:shd w:val="clear" w:color="auto" w:fill="auto"/>
            <w:tcMar>
              <w:top w:w="72" w:type="dxa"/>
              <w:left w:w="144" w:type="dxa"/>
              <w:bottom w:w="72" w:type="dxa"/>
              <w:right w:w="144" w:type="dxa"/>
            </w:tcMar>
            <w:hideMark/>
          </w:tcPr>
          <w:p w14:paraId="6F318EBE"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0.788</w:t>
            </w:r>
          </w:p>
        </w:tc>
        <w:tc>
          <w:tcPr>
            <w:tcW w:w="1050" w:type="dxa"/>
            <w:shd w:val="clear" w:color="auto" w:fill="auto"/>
            <w:tcMar>
              <w:top w:w="72" w:type="dxa"/>
              <w:left w:w="144" w:type="dxa"/>
              <w:bottom w:w="72" w:type="dxa"/>
              <w:right w:w="144" w:type="dxa"/>
            </w:tcMar>
            <w:hideMark/>
          </w:tcPr>
          <w:p w14:paraId="5B3DEF01"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0.0353</w:t>
            </w:r>
          </w:p>
        </w:tc>
        <w:tc>
          <w:tcPr>
            <w:tcW w:w="1050" w:type="dxa"/>
            <w:shd w:val="clear" w:color="auto" w:fill="auto"/>
            <w:tcMar>
              <w:top w:w="72" w:type="dxa"/>
              <w:left w:w="144" w:type="dxa"/>
              <w:bottom w:w="72" w:type="dxa"/>
              <w:right w:w="144" w:type="dxa"/>
            </w:tcMar>
            <w:hideMark/>
          </w:tcPr>
          <w:p w14:paraId="7206ED6D" w14:textId="5A39B1F3"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w:t>
            </w:r>
            <w:r w:rsidR="000D3AF4" w:rsidRPr="00D22450">
              <w:rPr>
                <w:rFonts w:ascii="Book Antiqua" w:hAnsi="Book Antiqua" w:cs="Arial"/>
                <w:bCs/>
              </w:rPr>
              <w:lastRenderedPageBreak/>
              <w:t>0</w:t>
            </w:r>
            <w:r w:rsidRPr="00D22450">
              <w:rPr>
                <w:rFonts w:ascii="Book Antiqua" w:hAnsi="Book Antiqua" w:cs="Arial"/>
                <w:bCs/>
              </w:rPr>
              <w:t>.0001</w:t>
            </w:r>
          </w:p>
        </w:tc>
        <w:tc>
          <w:tcPr>
            <w:tcW w:w="1430" w:type="dxa"/>
            <w:vMerge w:val="restart"/>
            <w:shd w:val="clear" w:color="auto" w:fill="auto"/>
            <w:tcMar>
              <w:top w:w="72" w:type="dxa"/>
              <w:left w:w="144" w:type="dxa"/>
              <w:bottom w:w="72" w:type="dxa"/>
              <w:right w:w="144" w:type="dxa"/>
            </w:tcMar>
            <w:hideMark/>
          </w:tcPr>
          <w:p w14:paraId="0ECF564D"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lastRenderedPageBreak/>
              <w:t>0.398</w:t>
            </w:r>
          </w:p>
        </w:tc>
      </w:tr>
      <w:tr w:rsidR="00B16D9B" w:rsidRPr="00D22450" w14:paraId="131D42F0" w14:textId="77777777" w:rsidTr="00DF7A67">
        <w:trPr>
          <w:trHeight w:val="165"/>
          <w:jc w:val="center"/>
        </w:trPr>
        <w:tc>
          <w:tcPr>
            <w:tcW w:w="1608" w:type="dxa"/>
            <w:vMerge/>
          </w:tcPr>
          <w:p w14:paraId="6B81A295" w14:textId="77777777" w:rsidR="00B16D9B" w:rsidRPr="00D22450" w:rsidRDefault="00B16D9B" w:rsidP="00D22450">
            <w:pPr>
              <w:snapToGrid w:val="0"/>
              <w:spacing w:line="360" w:lineRule="auto"/>
              <w:jc w:val="both"/>
              <w:rPr>
                <w:rFonts w:ascii="Book Antiqua" w:hAnsi="Book Antiqua" w:cs="Arial"/>
              </w:rPr>
            </w:pPr>
          </w:p>
        </w:tc>
        <w:tc>
          <w:tcPr>
            <w:tcW w:w="1811" w:type="dxa"/>
            <w:shd w:val="clear" w:color="auto" w:fill="auto"/>
            <w:tcMar>
              <w:top w:w="72" w:type="dxa"/>
              <w:left w:w="144" w:type="dxa"/>
              <w:bottom w:w="72" w:type="dxa"/>
              <w:right w:w="144" w:type="dxa"/>
            </w:tcMar>
            <w:hideMark/>
          </w:tcPr>
          <w:p w14:paraId="67471B4C"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1 </w:t>
            </w:r>
            <w:r w:rsidRPr="00D22450">
              <w:rPr>
                <w:rFonts w:ascii="Book Antiqua" w:hAnsi="Book Antiqua" w:cs="Arial"/>
                <w:i/>
              </w:rPr>
              <w:t>vs</w:t>
            </w:r>
            <w:r w:rsidRPr="00D22450">
              <w:rPr>
                <w:rFonts w:ascii="Book Antiqua" w:hAnsi="Book Antiqua" w:cs="Arial"/>
              </w:rPr>
              <w:t xml:space="preserve"> 3</w:t>
            </w:r>
          </w:p>
        </w:tc>
        <w:tc>
          <w:tcPr>
            <w:tcW w:w="1457" w:type="dxa"/>
            <w:shd w:val="clear" w:color="auto" w:fill="auto"/>
            <w:tcMar>
              <w:top w:w="72" w:type="dxa"/>
              <w:left w:w="144" w:type="dxa"/>
              <w:bottom w:w="72" w:type="dxa"/>
              <w:right w:w="144" w:type="dxa"/>
            </w:tcMar>
            <w:hideMark/>
          </w:tcPr>
          <w:p w14:paraId="2DEF257A"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0.571</w:t>
            </w:r>
          </w:p>
        </w:tc>
        <w:tc>
          <w:tcPr>
            <w:tcW w:w="1183" w:type="dxa"/>
            <w:shd w:val="clear" w:color="auto" w:fill="auto"/>
            <w:tcMar>
              <w:top w:w="72" w:type="dxa"/>
              <w:left w:w="144" w:type="dxa"/>
              <w:bottom w:w="72" w:type="dxa"/>
              <w:right w:w="144" w:type="dxa"/>
            </w:tcMar>
            <w:hideMark/>
          </w:tcPr>
          <w:p w14:paraId="4A7D7E41"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0.496</w:t>
            </w:r>
          </w:p>
        </w:tc>
        <w:tc>
          <w:tcPr>
            <w:tcW w:w="1088" w:type="dxa"/>
            <w:shd w:val="clear" w:color="auto" w:fill="auto"/>
            <w:tcMar>
              <w:top w:w="72" w:type="dxa"/>
              <w:left w:w="144" w:type="dxa"/>
              <w:bottom w:w="72" w:type="dxa"/>
              <w:right w:w="144" w:type="dxa"/>
            </w:tcMar>
            <w:hideMark/>
          </w:tcPr>
          <w:p w14:paraId="4B6161A6"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0.647</w:t>
            </w:r>
          </w:p>
        </w:tc>
        <w:tc>
          <w:tcPr>
            <w:tcW w:w="1050" w:type="dxa"/>
            <w:shd w:val="clear" w:color="auto" w:fill="auto"/>
            <w:tcMar>
              <w:top w:w="72" w:type="dxa"/>
              <w:left w:w="144" w:type="dxa"/>
              <w:bottom w:w="72" w:type="dxa"/>
              <w:right w:w="144" w:type="dxa"/>
            </w:tcMar>
            <w:hideMark/>
          </w:tcPr>
          <w:p w14:paraId="71EBF591"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0.0386</w:t>
            </w:r>
          </w:p>
        </w:tc>
        <w:tc>
          <w:tcPr>
            <w:tcW w:w="1050" w:type="dxa"/>
            <w:shd w:val="clear" w:color="auto" w:fill="auto"/>
            <w:tcMar>
              <w:top w:w="72" w:type="dxa"/>
              <w:left w:w="144" w:type="dxa"/>
              <w:bottom w:w="72" w:type="dxa"/>
              <w:right w:w="144" w:type="dxa"/>
            </w:tcMar>
            <w:hideMark/>
          </w:tcPr>
          <w:p w14:paraId="0438BAD5" w14:textId="726CA32C"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hideMark/>
          </w:tcPr>
          <w:p w14:paraId="0F643A4D" w14:textId="77777777" w:rsidR="00B16D9B" w:rsidRPr="00D22450" w:rsidRDefault="00B16D9B" w:rsidP="00D22450">
            <w:pPr>
              <w:snapToGrid w:val="0"/>
              <w:spacing w:line="360" w:lineRule="auto"/>
              <w:jc w:val="both"/>
              <w:rPr>
                <w:rFonts w:ascii="Book Antiqua" w:hAnsi="Book Antiqua" w:cs="Arial"/>
              </w:rPr>
            </w:pPr>
          </w:p>
        </w:tc>
      </w:tr>
      <w:tr w:rsidR="00B16D9B" w:rsidRPr="00D22450" w14:paraId="216BE44F" w14:textId="77777777" w:rsidTr="00DF7A67">
        <w:trPr>
          <w:trHeight w:val="165"/>
          <w:jc w:val="center"/>
        </w:trPr>
        <w:tc>
          <w:tcPr>
            <w:tcW w:w="1608" w:type="dxa"/>
            <w:vMerge/>
          </w:tcPr>
          <w:p w14:paraId="649DB60B" w14:textId="77777777" w:rsidR="00B16D9B" w:rsidRPr="00D22450" w:rsidRDefault="00B16D9B" w:rsidP="00D22450">
            <w:pPr>
              <w:snapToGrid w:val="0"/>
              <w:spacing w:line="360" w:lineRule="auto"/>
              <w:jc w:val="both"/>
              <w:rPr>
                <w:rFonts w:ascii="Book Antiqua" w:hAnsi="Book Antiqua" w:cs="Arial"/>
              </w:rPr>
            </w:pPr>
          </w:p>
        </w:tc>
        <w:tc>
          <w:tcPr>
            <w:tcW w:w="1811" w:type="dxa"/>
            <w:shd w:val="clear" w:color="auto" w:fill="auto"/>
            <w:tcMar>
              <w:top w:w="72" w:type="dxa"/>
              <w:left w:w="144" w:type="dxa"/>
              <w:bottom w:w="72" w:type="dxa"/>
              <w:right w:w="144" w:type="dxa"/>
            </w:tcMar>
            <w:hideMark/>
          </w:tcPr>
          <w:p w14:paraId="115DC16E"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2 </w:t>
            </w:r>
            <w:r w:rsidRPr="00D22450">
              <w:rPr>
                <w:rFonts w:ascii="Book Antiqua" w:hAnsi="Book Antiqua" w:cs="Arial"/>
                <w:i/>
              </w:rPr>
              <w:t>vs</w:t>
            </w:r>
            <w:r w:rsidRPr="00D22450">
              <w:rPr>
                <w:rFonts w:ascii="Book Antiqua" w:hAnsi="Book Antiqua" w:cs="Arial"/>
              </w:rPr>
              <w:t xml:space="preserve"> 3</w:t>
            </w:r>
          </w:p>
        </w:tc>
        <w:tc>
          <w:tcPr>
            <w:tcW w:w="1457" w:type="dxa"/>
            <w:shd w:val="clear" w:color="auto" w:fill="auto"/>
            <w:tcMar>
              <w:top w:w="72" w:type="dxa"/>
              <w:left w:w="144" w:type="dxa"/>
              <w:bottom w:w="72" w:type="dxa"/>
              <w:right w:w="144" w:type="dxa"/>
            </w:tcMar>
            <w:hideMark/>
          </w:tcPr>
          <w:p w14:paraId="54D24EFC"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0.597</w:t>
            </w:r>
          </w:p>
        </w:tc>
        <w:tc>
          <w:tcPr>
            <w:tcW w:w="1183" w:type="dxa"/>
            <w:shd w:val="clear" w:color="auto" w:fill="auto"/>
            <w:tcMar>
              <w:top w:w="72" w:type="dxa"/>
              <w:left w:w="144" w:type="dxa"/>
              <w:bottom w:w="72" w:type="dxa"/>
              <w:right w:w="144" w:type="dxa"/>
            </w:tcMar>
            <w:hideMark/>
          </w:tcPr>
          <w:p w14:paraId="232CF1F7"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0.521</w:t>
            </w:r>
          </w:p>
        </w:tc>
        <w:tc>
          <w:tcPr>
            <w:tcW w:w="1088" w:type="dxa"/>
            <w:shd w:val="clear" w:color="auto" w:fill="auto"/>
            <w:tcMar>
              <w:top w:w="72" w:type="dxa"/>
              <w:left w:w="144" w:type="dxa"/>
              <w:bottom w:w="72" w:type="dxa"/>
              <w:right w:w="144" w:type="dxa"/>
            </w:tcMar>
            <w:hideMark/>
          </w:tcPr>
          <w:p w14:paraId="0E4B5119"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0.672</w:t>
            </w:r>
          </w:p>
        </w:tc>
        <w:tc>
          <w:tcPr>
            <w:tcW w:w="1050" w:type="dxa"/>
            <w:shd w:val="clear" w:color="auto" w:fill="auto"/>
            <w:tcMar>
              <w:top w:w="72" w:type="dxa"/>
              <w:left w:w="144" w:type="dxa"/>
              <w:bottom w:w="72" w:type="dxa"/>
              <w:right w:w="144" w:type="dxa"/>
            </w:tcMar>
            <w:hideMark/>
          </w:tcPr>
          <w:p w14:paraId="7A72E0AE"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0.0385</w:t>
            </w:r>
          </w:p>
        </w:tc>
        <w:tc>
          <w:tcPr>
            <w:tcW w:w="1050" w:type="dxa"/>
            <w:shd w:val="clear" w:color="auto" w:fill="auto"/>
            <w:tcMar>
              <w:top w:w="72" w:type="dxa"/>
              <w:left w:w="144" w:type="dxa"/>
              <w:bottom w:w="72" w:type="dxa"/>
              <w:right w:w="144" w:type="dxa"/>
            </w:tcMar>
            <w:hideMark/>
          </w:tcPr>
          <w:p w14:paraId="242260AF" w14:textId="4CBCBE67"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hideMark/>
          </w:tcPr>
          <w:p w14:paraId="55E3DB96" w14:textId="77777777" w:rsidR="00B16D9B" w:rsidRPr="00D22450" w:rsidRDefault="00B16D9B" w:rsidP="00D22450">
            <w:pPr>
              <w:snapToGrid w:val="0"/>
              <w:spacing w:line="360" w:lineRule="auto"/>
              <w:jc w:val="both"/>
              <w:rPr>
                <w:rFonts w:ascii="Book Antiqua" w:hAnsi="Book Antiqua" w:cs="Arial"/>
              </w:rPr>
            </w:pPr>
          </w:p>
        </w:tc>
      </w:tr>
      <w:tr w:rsidR="00B16D9B" w:rsidRPr="00D22450" w14:paraId="3E170EC3" w14:textId="77777777" w:rsidTr="00DF7A67">
        <w:trPr>
          <w:trHeight w:val="165"/>
          <w:jc w:val="center"/>
        </w:trPr>
        <w:tc>
          <w:tcPr>
            <w:tcW w:w="1608" w:type="dxa"/>
            <w:vMerge w:val="restart"/>
          </w:tcPr>
          <w:p w14:paraId="4CD226E5"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NAS</w:t>
            </w:r>
          </w:p>
        </w:tc>
        <w:tc>
          <w:tcPr>
            <w:tcW w:w="1811" w:type="dxa"/>
            <w:shd w:val="clear" w:color="auto" w:fill="auto"/>
            <w:tcMar>
              <w:top w:w="72" w:type="dxa"/>
              <w:left w:w="144" w:type="dxa"/>
              <w:bottom w:w="72" w:type="dxa"/>
              <w:right w:w="144" w:type="dxa"/>
            </w:tcMar>
            <w:hideMark/>
          </w:tcPr>
          <w:p w14:paraId="352B09E4"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1 </w:t>
            </w:r>
            <w:r w:rsidRPr="00D22450">
              <w:rPr>
                <w:rFonts w:ascii="Book Antiqua" w:hAnsi="Book Antiqua" w:cs="Arial"/>
                <w:i/>
              </w:rPr>
              <w:t>vs</w:t>
            </w:r>
            <w:r w:rsidRPr="00D22450">
              <w:rPr>
                <w:rFonts w:ascii="Book Antiqua" w:hAnsi="Book Antiqua" w:cs="Arial"/>
              </w:rPr>
              <w:t xml:space="preserve"> 2</w:t>
            </w:r>
          </w:p>
        </w:tc>
        <w:tc>
          <w:tcPr>
            <w:tcW w:w="1457" w:type="dxa"/>
            <w:shd w:val="clear" w:color="auto" w:fill="auto"/>
            <w:tcMar>
              <w:top w:w="72" w:type="dxa"/>
              <w:left w:w="144" w:type="dxa"/>
              <w:bottom w:w="72" w:type="dxa"/>
              <w:right w:w="144" w:type="dxa"/>
            </w:tcMar>
            <w:hideMark/>
          </w:tcPr>
          <w:p w14:paraId="4F273C7B"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0.279</w:t>
            </w:r>
          </w:p>
        </w:tc>
        <w:tc>
          <w:tcPr>
            <w:tcW w:w="1183" w:type="dxa"/>
            <w:shd w:val="clear" w:color="auto" w:fill="auto"/>
            <w:tcMar>
              <w:top w:w="72" w:type="dxa"/>
              <w:left w:w="144" w:type="dxa"/>
              <w:bottom w:w="72" w:type="dxa"/>
              <w:right w:w="144" w:type="dxa"/>
            </w:tcMar>
            <w:hideMark/>
          </w:tcPr>
          <w:p w14:paraId="2F480D8E"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0.202</w:t>
            </w:r>
          </w:p>
        </w:tc>
        <w:tc>
          <w:tcPr>
            <w:tcW w:w="1088" w:type="dxa"/>
            <w:shd w:val="clear" w:color="auto" w:fill="auto"/>
            <w:tcMar>
              <w:top w:w="72" w:type="dxa"/>
              <w:left w:w="144" w:type="dxa"/>
              <w:bottom w:w="72" w:type="dxa"/>
              <w:right w:w="144" w:type="dxa"/>
            </w:tcMar>
            <w:hideMark/>
          </w:tcPr>
          <w:p w14:paraId="7A3CD660"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0.357</w:t>
            </w:r>
          </w:p>
        </w:tc>
        <w:tc>
          <w:tcPr>
            <w:tcW w:w="1050" w:type="dxa"/>
            <w:shd w:val="clear" w:color="auto" w:fill="auto"/>
            <w:tcMar>
              <w:top w:w="72" w:type="dxa"/>
              <w:left w:w="144" w:type="dxa"/>
              <w:bottom w:w="72" w:type="dxa"/>
              <w:right w:w="144" w:type="dxa"/>
            </w:tcMar>
            <w:hideMark/>
          </w:tcPr>
          <w:p w14:paraId="0AF92042"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0.0398</w:t>
            </w:r>
          </w:p>
        </w:tc>
        <w:tc>
          <w:tcPr>
            <w:tcW w:w="1050" w:type="dxa"/>
            <w:shd w:val="clear" w:color="auto" w:fill="auto"/>
            <w:tcMar>
              <w:top w:w="72" w:type="dxa"/>
              <w:left w:w="144" w:type="dxa"/>
              <w:bottom w:w="72" w:type="dxa"/>
              <w:right w:w="144" w:type="dxa"/>
            </w:tcMar>
            <w:hideMark/>
          </w:tcPr>
          <w:p w14:paraId="12572F5D" w14:textId="7FE15326"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val="restart"/>
            <w:shd w:val="clear" w:color="auto" w:fill="auto"/>
            <w:tcMar>
              <w:top w:w="72" w:type="dxa"/>
              <w:left w:w="144" w:type="dxa"/>
              <w:bottom w:w="72" w:type="dxa"/>
              <w:right w:w="144" w:type="dxa"/>
            </w:tcMar>
            <w:hideMark/>
          </w:tcPr>
          <w:p w14:paraId="35C0BCC8"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0.421</w:t>
            </w:r>
          </w:p>
        </w:tc>
      </w:tr>
      <w:tr w:rsidR="00B16D9B" w:rsidRPr="00D22450" w14:paraId="5C5B21E7" w14:textId="77777777" w:rsidTr="00DF7A67">
        <w:trPr>
          <w:trHeight w:val="165"/>
          <w:jc w:val="center"/>
        </w:trPr>
        <w:tc>
          <w:tcPr>
            <w:tcW w:w="1608" w:type="dxa"/>
            <w:vMerge/>
          </w:tcPr>
          <w:p w14:paraId="159E1AF8" w14:textId="77777777" w:rsidR="00B16D9B" w:rsidRPr="00D22450" w:rsidRDefault="00B16D9B" w:rsidP="00D22450">
            <w:pPr>
              <w:snapToGrid w:val="0"/>
              <w:spacing w:line="360" w:lineRule="auto"/>
              <w:jc w:val="both"/>
              <w:rPr>
                <w:rFonts w:ascii="Book Antiqua" w:hAnsi="Book Antiqua" w:cs="Arial"/>
              </w:rPr>
            </w:pPr>
          </w:p>
        </w:tc>
        <w:tc>
          <w:tcPr>
            <w:tcW w:w="1811" w:type="dxa"/>
            <w:shd w:val="clear" w:color="auto" w:fill="auto"/>
            <w:tcMar>
              <w:top w:w="72" w:type="dxa"/>
              <w:left w:w="144" w:type="dxa"/>
              <w:bottom w:w="72" w:type="dxa"/>
              <w:right w:w="144" w:type="dxa"/>
            </w:tcMar>
            <w:hideMark/>
          </w:tcPr>
          <w:p w14:paraId="6D7D648C"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1 </w:t>
            </w:r>
            <w:r w:rsidRPr="00D22450">
              <w:rPr>
                <w:rFonts w:ascii="Book Antiqua" w:hAnsi="Book Antiqua" w:cs="Arial"/>
                <w:i/>
              </w:rPr>
              <w:t xml:space="preserve">vs </w:t>
            </w:r>
            <w:r w:rsidRPr="00D22450">
              <w:rPr>
                <w:rFonts w:ascii="Book Antiqua" w:hAnsi="Book Antiqua" w:cs="Arial"/>
              </w:rPr>
              <w:t>3</w:t>
            </w:r>
          </w:p>
        </w:tc>
        <w:tc>
          <w:tcPr>
            <w:tcW w:w="1457" w:type="dxa"/>
            <w:shd w:val="clear" w:color="auto" w:fill="auto"/>
            <w:tcMar>
              <w:top w:w="72" w:type="dxa"/>
              <w:left w:w="144" w:type="dxa"/>
              <w:bottom w:w="72" w:type="dxa"/>
              <w:right w:w="144" w:type="dxa"/>
            </w:tcMar>
            <w:hideMark/>
          </w:tcPr>
          <w:p w14:paraId="7E87417F"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0.244</w:t>
            </w:r>
          </w:p>
        </w:tc>
        <w:tc>
          <w:tcPr>
            <w:tcW w:w="1183" w:type="dxa"/>
            <w:shd w:val="clear" w:color="auto" w:fill="auto"/>
            <w:tcMar>
              <w:top w:w="72" w:type="dxa"/>
              <w:left w:w="144" w:type="dxa"/>
              <w:bottom w:w="72" w:type="dxa"/>
              <w:right w:w="144" w:type="dxa"/>
            </w:tcMar>
            <w:hideMark/>
          </w:tcPr>
          <w:p w14:paraId="25E8A20B"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0.172</w:t>
            </w:r>
          </w:p>
        </w:tc>
        <w:tc>
          <w:tcPr>
            <w:tcW w:w="1088" w:type="dxa"/>
            <w:shd w:val="clear" w:color="auto" w:fill="auto"/>
            <w:tcMar>
              <w:top w:w="72" w:type="dxa"/>
              <w:left w:w="144" w:type="dxa"/>
              <w:bottom w:w="72" w:type="dxa"/>
              <w:right w:w="144" w:type="dxa"/>
            </w:tcMar>
            <w:hideMark/>
          </w:tcPr>
          <w:p w14:paraId="689D520A"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0.316</w:t>
            </w:r>
          </w:p>
        </w:tc>
        <w:tc>
          <w:tcPr>
            <w:tcW w:w="1050" w:type="dxa"/>
            <w:shd w:val="clear" w:color="auto" w:fill="auto"/>
            <w:tcMar>
              <w:top w:w="72" w:type="dxa"/>
              <w:left w:w="144" w:type="dxa"/>
              <w:bottom w:w="72" w:type="dxa"/>
              <w:right w:w="144" w:type="dxa"/>
            </w:tcMar>
            <w:hideMark/>
          </w:tcPr>
          <w:p w14:paraId="766145DC"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0.0366</w:t>
            </w:r>
          </w:p>
        </w:tc>
        <w:tc>
          <w:tcPr>
            <w:tcW w:w="1050" w:type="dxa"/>
            <w:shd w:val="clear" w:color="auto" w:fill="auto"/>
            <w:tcMar>
              <w:top w:w="72" w:type="dxa"/>
              <w:left w:w="144" w:type="dxa"/>
              <w:bottom w:w="72" w:type="dxa"/>
              <w:right w:w="144" w:type="dxa"/>
            </w:tcMar>
            <w:hideMark/>
          </w:tcPr>
          <w:p w14:paraId="0CC20F46" w14:textId="023FE1ED"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hideMark/>
          </w:tcPr>
          <w:p w14:paraId="0BD097C5" w14:textId="77777777" w:rsidR="00B16D9B" w:rsidRPr="00D22450" w:rsidRDefault="00B16D9B" w:rsidP="00D22450">
            <w:pPr>
              <w:snapToGrid w:val="0"/>
              <w:spacing w:line="360" w:lineRule="auto"/>
              <w:jc w:val="both"/>
              <w:rPr>
                <w:rFonts w:ascii="Book Antiqua" w:hAnsi="Book Antiqua" w:cs="Arial"/>
              </w:rPr>
            </w:pPr>
          </w:p>
        </w:tc>
      </w:tr>
      <w:tr w:rsidR="00B16D9B" w:rsidRPr="00D22450" w14:paraId="52BA16CB" w14:textId="77777777" w:rsidTr="00DF7A67">
        <w:trPr>
          <w:trHeight w:val="165"/>
          <w:jc w:val="center"/>
        </w:trPr>
        <w:tc>
          <w:tcPr>
            <w:tcW w:w="1608" w:type="dxa"/>
            <w:vMerge/>
          </w:tcPr>
          <w:p w14:paraId="2F3083BE" w14:textId="77777777" w:rsidR="00B16D9B" w:rsidRPr="00D22450" w:rsidRDefault="00B16D9B" w:rsidP="00D22450">
            <w:pPr>
              <w:snapToGrid w:val="0"/>
              <w:spacing w:line="360" w:lineRule="auto"/>
              <w:jc w:val="both"/>
              <w:rPr>
                <w:rFonts w:ascii="Book Antiqua" w:hAnsi="Book Antiqua" w:cs="Arial"/>
              </w:rPr>
            </w:pPr>
          </w:p>
        </w:tc>
        <w:tc>
          <w:tcPr>
            <w:tcW w:w="1811" w:type="dxa"/>
            <w:shd w:val="clear" w:color="auto" w:fill="auto"/>
            <w:tcMar>
              <w:top w:w="72" w:type="dxa"/>
              <w:left w:w="144" w:type="dxa"/>
              <w:bottom w:w="72" w:type="dxa"/>
              <w:right w:w="144" w:type="dxa"/>
            </w:tcMar>
            <w:hideMark/>
          </w:tcPr>
          <w:p w14:paraId="733AEE48"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2 </w:t>
            </w:r>
            <w:r w:rsidRPr="00D22450">
              <w:rPr>
                <w:rFonts w:ascii="Book Antiqua" w:hAnsi="Book Antiqua" w:cs="Arial"/>
                <w:i/>
              </w:rPr>
              <w:t>vs</w:t>
            </w:r>
            <w:r w:rsidRPr="00D22450">
              <w:rPr>
                <w:rFonts w:ascii="Book Antiqua" w:hAnsi="Book Antiqua" w:cs="Arial"/>
              </w:rPr>
              <w:t xml:space="preserve"> 3</w:t>
            </w:r>
          </w:p>
        </w:tc>
        <w:tc>
          <w:tcPr>
            <w:tcW w:w="1457" w:type="dxa"/>
            <w:shd w:val="clear" w:color="auto" w:fill="auto"/>
            <w:tcMar>
              <w:top w:w="72" w:type="dxa"/>
              <w:left w:w="144" w:type="dxa"/>
              <w:bottom w:w="72" w:type="dxa"/>
              <w:right w:w="144" w:type="dxa"/>
            </w:tcMar>
            <w:hideMark/>
          </w:tcPr>
          <w:p w14:paraId="36D42D54"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0.434</w:t>
            </w:r>
          </w:p>
        </w:tc>
        <w:tc>
          <w:tcPr>
            <w:tcW w:w="1183" w:type="dxa"/>
            <w:shd w:val="clear" w:color="auto" w:fill="auto"/>
            <w:tcMar>
              <w:top w:w="72" w:type="dxa"/>
              <w:left w:w="144" w:type="dxa"/>
              <w:bottom w:w="72" w:type="dxa"/>
              <w:right w:w="144" w:type="dxa"/>
            </w:tcMar>
            <w:hideMark/>
          </w:tcPr>
          <w:p w14:paraId="04DBBC05"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0.35</w:t>
            </w:r>
          </w:p>
        </w:tc>
        <w:tc>
          <w:tcPr>
            <w:tcW w:w="1088" w:type="dxa"/>
            <w:shd w:val="clear" w:color="auto" w:fill="auto"/>
            <w:tcMar>
              <w:top w:w="72" w:type="dxa"/>
              <w:left w:w="144" w:type="dxa"/>
              <w:bottom w:w="72" w:type="dxa"/>
              <w:right w:w="144" w:type="dxa"/>
            </w:tcMar>
            <w:hideMark/>
          </w:tcPr>
          <w:p w14:paraId="7CC8D0BF"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0.518</w:t>
            </w:r>
          </w:p>
        </w:tc>
        <w:tc>
          <w:tcPr>
            <w:tcW w:w="1050" w:type="dxa"/>
            <w:shd w:val="clear" w:color="auto" w:fill="auto"/>
            <w:tcMar>
              <w:top w:w="72" w:type="dxa"/>
              <w:left w:w="144" w:type="dxa"/>
              <w:bottom w:w="72" w:type="dxa"/>
              <w:right w:w="144" w:type="dxa"/>
            </w:tcMar>
            <w:hideMark/>
          </w:tcPr>
          <w:p w14:paraId="3EFD33C9"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0.043</w:t>
            </w:r>
          </w:p>
        </w:tc>
        <w:tc>
          <w:tcPr>
            <w:tcW w:w="1050" w:type="dxa"/>
            <w:shd w:val="clear" w:color="auto" w:fill="auto"/>
            <w:tcMar>
              <w:top w:w="72" w:type="dxa"/>
              <w:left w:w="144" w:type="dxa"/>
              <w:bottom w:w="72" w:type="dxa"/>
              <w:right w:w="144" w:type="dxa"/>
            </w:tcMar>
            <w:hideMark/>
          </w:tcPr>
          <w:p w14:paraId="12B87E5D" w14:textId="67CB0428"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hideMark/>
          </w:tcPr>
          <w:p w14:paraId="4AD46F2E" w14:textId="77777777" w:rsidR="00B16D9B" w:rsidRPr="00D22450" w:rsidRDefault="00B16D9B" w:rsidP="00D22450">
            <w:pPr>
              <w:snapToGrid w:val="0"/>
              <w:spacing w:line="360" w:lineRule="auto"/>
              <w:jc w:val="both"/>
              <w:rPr>
                <w:rFonts w:ascii="Book Antiqua" w:hAnsi="Book Antiqua" w:cs="Arial"/>
              </w:rPr>
            </w:pPr>
          </w:p>
        </w:tc>
      </w:tr>
    </w:tbl>
    <w:p w14:paraId="221A19C7" w14:textId="569F32C7" w:rsidR="00A77B3E" w:rsidRPr="00D22450" w:rsidRDefault="00A77B3E" w:rsidP="005F1ED3">
      <w:pPr>
        <w:snapToGrid w:val="0"/>
        <w:spacing w:line="360" w:lineRule="auto"/>
        <w:jc w:val="both"/>
        <w:rPr>
          <w:rFonts w:ascii="Book Antiqua" w:eastAsia="Book Antiqua" w:hAnsi="Book Antiqua" w:cs="Book Antiqua"/>
          <w:color w:val="000000"/>
        </w:rPr>
      </w:pPr>
    </w:p>
    <w:sectPr w:rsidR="00A77B3E" w:rsidRPr="00D22450" w:rsidSect="00EE5B7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4E7246" w14:textId="77777777" w:rsidR="00153B09" w:rsidRDefault="00153B09" w:rsidP="00765325">
      <w:r>
        <w:separator/>
      </w:r>
    </w:p>
  </w:endnote>
  <w:endnote w:type="continuationSeparator" w:id="0">
    <w:p w14:paraId="2705A34A" w14:textId="77777777" w:rsidR="00153B09" w:rsidRDefault="00153B09" w:rsidP="00765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7665188"/>
      <w:docPartObj>
        <w:docPartGallery w:val="Page Numbers (Bottom of Page)"/>
        <w:docPartUnique/>
      </w:docPartObj>
    </w:sdtPr>
    <w:sdtEndPr/>
    <w:sdtContent>
      <w:sdt>
        <w:sdtPr>
          <w:id w:val="-1769616900"/>
          <w:docPartObj>
            <w:docPartGallery w:val="Page Numbers (Top of Page)"/>
            <w:docPartUnique/>
          </w:docPartObj>
        </w:sdtPr>
        <w:sdtEndPr/>
        <w:sdtContent>
          <w:p w14:paraId="302971F7" w14:textId="19DCA209" w:rsidR="0061501D" w:rsidRDefault="0061501D">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266D7">
              <w:rPr>
                <w:b/>
                <w:bCs/>
                <w:noProof/>
              </w:rPr>
              <w:t>30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266D7">
              <w:rPr>
                <w:b/>
                <w:bCs/>
                <w:noProof/>
              </w:rPr>
              <w:t>38</w:t>
            </w:r>
            <w:r>
              <w:rPr>
                <w:b/>
                <w:bCs/>
                <w:sz w:val="24"/>
                <w:szCs w:val="24"/>
              </w:rPr>
              <w:fldChar w:fldCharType="end"/>
            </w:r>
          </w:p>
        </w:sdtContent>
      </w:sdt>
    </w:sdtContent>
  </w:sdt>
  <w:p w14:paraId="7548FD1D" w14:textId="77777777" w:rsidR="0061501D" w:rsidRDefault="006150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619960" w14:textId="77777777" w:rsidR="00153B09" w:rsidRDefault="00153B09" w:rsidP="00765325">
      <w:r>
        <w:separator/>
      </w:r>
    </w:p>
  </w:footnote>
  <w:footnote w:type="continuationSeparator" w:id="0">
    <w:p w14:paraId="79ABCEC9" w14:textId="77777777" w:rsidR="00153B09" w:rsidRDefault="00153B09" w:rsidP="007653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581AD1"/>
    <w:multiLevelType w:val="hybridMultilevel"/>
    <w:tmpl w:val="D67E303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B2B"/>
    <w:rsid w:val="000263C4"/>
    <w:rsid w:val="00031714"/>
    <w:rsid w:val="000727C4"/>
    <w:rsid w:val="0009756A"/>
    <w:rsid w:val="000A1414"/>
    <w:rsid w:val="000B135A"/>
    <w:rsid w:val="000D3AF4"/>
    <w:rsid w:val="000E5FB6"/>
    <w:rsid w:val="000F35AB"/>
    <w:rsid w:val="00150AB1"/>
    <w:rsid w:val="00153B09"/>
    <w:rsid w:val="001909FB"/>
    <w:rsid w:val="001A2543"/>
    <w:rsid w:val="001E4DE8"/>
    <w:rsid w:val="00232374"/>
    <w:rsid w:val="002647ED"/>
    <w:rsid w:val="00271140"/>
    <w:rsid w:val="002817C2"/>
    <w:rsid w:val="002837A4"/>
    <w:rsid w:val="00294622"/>
    <w:rsid w:val="00294647"/>
    <w:rsid w:val="002B32E3"/>
    <w:rsid w:val="002C44E0"/>
    <w:rsid w:val="003000C3"/>
    <w:rsid w:val="003018D4"/>
    <w:rsid w:val="00302514"/>
    <w:rsid w:val="00320E05"/>
    <w:rsid w:val="00331EDB"/>
    <w:rsid w:val="00334FB5"/>
    <w:rsid w:val="00357026"/>
    <w:rsid w:val="003A6093"/>
    <w:rsid w:val="003B57C7"/>
    <w:rsid w:val="003E3947"/>
    <w:rsid w:val="003F2606"/>
    <w:rsid w:val="00403662"/>
    <w:rsid w:val="00413A9D"/>
    <w:rsid w:val="00434F12"/>
    <w:rsid w:val="00460BE7"/>
    <w:rsid w:val="00496576"/>
    <w:rsid w:val="004A3C86"/>
    <w:rsid w:val="004B2678"/>
    <w:rsid w:val="004D62CF"/>
    <w:rsid w:val="004D74EC"/>
    <w:rsid w:val="004E5F4E"/>
    <w:rsid w:val="004F79A1"/>
    <w:rsid w:val="00530B38"/>
    <w:rsid w:val="00574D43"/>
    <w:rsid w:val="005B3275"/>
    <w:rsid w:val="005B4BE5"/>
    <w:rsid w:val="005E60DE"/>
    <w:rsid w:val="005F1ED3"/>
    <w:rsid w:val="0061501D"/>
    <w:rsid w:val="00616DC1"/>
    <w:rsid w:val="00626EB6"/>
    <w:rsid w:val="00630238"/>
    <w:rsid w:val="00636F4A"/>
    <w:rsid w:val="0067476F"/>
    <w:rsid w:val="00680F50"/>
    <w:rsid w:val="00693ECC"/>
    <w:rsid w:val="006B6353"/>
    <w:rsid w:val="0070064C"/>
    <w:rsid w:val="00716FE8"/>
    <w:rsid w:val="0073394A"/>
    <w:rsid w:val="0073489C"/>
    <w:rsid w:val="00753F0D"/>
    <w:rsid w:val="00761613"/>
    <w:rsid w:val="00763654"/>
    <w:rsid w:val="00765325"/>
    <w:rsid w:val="0076572F"/>
    <w:rsid w:val="00777482"/>
    <w:rsid w:val="00797CB9"/>
    <w:rsid w:val="007A29B0"/>
    <w:rsid w:val="008266D7"/>
    <w:rsid w:val="00881F90"/>
    <w:rsid w:val="00882C59"/>
    <w:rsid w:val="00887DCD"/>
    <w:rsid w:val="008B7FA5"/>
    <w:rsid w:val="008E516C"/>
    <w:rsid w:val="00913294"/>
    <w:rsid w:val="009617E8"/>
    <w:rsid w:val="00973D99"/>
    <w:rsid w:val="00985181"/>
    <w:rsid w:val="00997A4B"/>
    <w:rsid w:val="009B0E95"/>
    <w:rsid w:val="009D24D2"/>
    <w:rsid w:val="009D5818"/>
    <w:rsid w:val="009F2578"/>
    <w:rsid w:val="00A116B6"/>
    <w:rsid w:val="00A23A43"/>
    <w:rsid w:val="00A7592C"/>
    <w:rsid w:val="00A77B3E"/>
    <w:rsid w:val="00AB1A8A"/>
    <w:rsid w:val="00AB3840"/>
    <w:rsid w:val="00AD02E6"/>
    <w:rsid w:val="00AD16F0"/>
    <w:rsid w:val="00AE5E4E"/>
    <w:rsid w:val="00B0704E"/>
    <w:rsid w:val="00B15901"/>
    <w:rsid w:val="00B16D9B"/>
    <w:rsid w:val="00B708FF"/>
    <w:rsid w:val="00B70E52"/>
    <w:rsid w:val="00B87AEF"/>
    <w:rsid w:val="00BF4234"/>
    <w:rsid w:val="00C401D9"/>
    <w:rsid w:val="00C62324"/>
    <w:rsid w:val="00CA2A55"/>
    <w:rsid w:val="00CB6730"/>
    <w:rsid w:val="00CD6FCC"/>
    <w:rsid w:val="00CD70F3"/>
    <w:rsid w:val="00CF76CD"/>
    <w:rsid w:val="00D00C82"/>
    <w:rsid w:val="00D04302"/>
    <w:rsid w:val="00D1219F"/>
    <w:rsid w:val="00D156B2"/>
    <w:rsid w:val="00D22450"/>
    <w:rsid w:val="00D33E8A"/>
    <w:rsid w:val="00D40EF1"/>
    <w:rsid w:val="00D91F76"/>
    <w:rsid w:val="00D97224"/>
    <w:rsid w:val="00DA2D4D"/>
    <w:rsid w:val="00DA2F2A"/>
    <w:rsid w:val="00DB3294"/>
    <w:rsid w:val="00DF7A67"/>
    <w:rsid w:val="00E16DE5"/>
    <w:rsid w:val="00E17ABE"/>
    <w:rsid w:val="00E22B55"/>
    <w:rsid w:val="00E3527C"/>
    <w:rsid w:val="00E65A3B"/>
    <w:rsid w:val="00E65B6A"/>
    <w:rsid w:val="00E73426"/>
    <w:rsid w:val="00E866F8"/>
    <w:rsid w:val="00EA6059"/>
    <w:rsid w:val="00EE108D"/>
    <w:rsid w:val="00EE151D"/>
    <w:rsid w:val="00EE5B76"/>
    <w:rsid w:val="00EE70EE"/>
    <w:rsid w:val="00EF25AE"/>
    <w:rsid w:val="00F90708"/>
    <w:rsid w:val="00FD5C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7D78FF"/>
  <w15:docId w15:val="{9B3D395E-EF6E-9A40-849E-577FDCD4A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2Char"/>
    <w:basedOn w:val="DefaultParagraphFont"/>
  </w:style>
  <w:style w:type="character" w:customStyle="1" w:styleId="dxebaseoffice2010blue">
    <w:name w:val="dxebase_office2010blue"/>
    <w:basedOn w:val="DefaultParagraphFont"/>
    <w:rsid w:val="00626EB6"/>
  </w:style>
  <w:style w:type="character" w:customStyle="1" w:styleId="apple-converted-space">
    <w:name w:val="apple-converted-space"/>
    <w:basedOn w:val="DefaultParagraphFont"/>
    <w:rsid w:val="00997A4B"/>
  </w:style>
  <w:style w:type="paragraph" w:styleId="Header">
    <w:name w:val="header"/>
    <w:basedOn w:val="Normal"/>
    <w:link w:val="HeaderChar"/>
    <w:unhideWhenUsed/>
    <w:rsid w:val="0076532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65325"/>
    <w:rPr>
      <w:sz w:val="18"/>
      <w:szCs w:val="18"/>
    </w:rPr>
  </w:style>
  <w:style w:type="paragraph" w:styleId="Footer">
    <w:name w:val="footer"/>
    <w:basedOn w:val="Normal"/>
    <w:link w:val="FooterChar"/>
    <w:uiPriority w:val="99"/>
    <w:unhideWhenUsed/>
    <w:rsid w:val="0076532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65325"/>
    <w:rPr>
      <w:sz w:val="18"/>
      <w:szCs w:val="18"/>
    </w:rPr>
  </w:style>
  <w:style w:type="paragraph" w:styleId="Caption">
    <w:name w:val="caption"/>
    <w:basedOn w:val="Normal"/>
    <w:next w:val="Normal"/>
    <w:uiPriority w:val="35"/>
    <w:unhideWhenUsed/>
    <w:qFormat/>
    <w:rsid w:val="00B16D9B"/>
    <w:pPr>
      <w:spacing w:after="200"/>
    </w:pPr>
    <w:rPr>
      <w:rFonts w:eastAsia="Times New Roman"/>
      <w:i/>
      <w:iCs/>
      <w:color w:val="1F497D" w:themeColor="text2"/>
      <w:sz w:val="18"/>
      <w:szCs w:val="18"/>
      <w:lang w:val="en-GB" w:eastAsia="en-GB"/>
    </w:rPr>
  </w:style>
  <w:style w:type="character" w:styleId="Hyperlink">
    <w:name w:val="Hyperlink"/>
    <w:basedOn w:val="DefaultParagraphFont"/>
    <w:unhideWhenUsed/>
    <w:rsid w:val="003A6093"/>
    <w:rPr>
      <w:color w:val="0000FF" w:themeColor="hyperlink"/>
      <w:u w:val="single"/>
    </w:rPr>
  </w:style>
  <w:style w:type="paragraph" w:styleId="BalloonText">
    <w:name w:val="Balloon Text"/>
    <w:basedOn w:val="Normal"/>
    <w:link w:val="BalloonTextChar"/>
    <w:semiHidden/>
    <w:unhideWhenUsed/>
    <w:rsid w:val="009F2578"/>
    <w:rPr>
      <w:sz w:val="18"/>
      <w:szCs w:val="18"/>
    </w:rPr>
  </w:style>
  <w:style w:type="character" w:customStyle="1" w:styleId="BalloonTextChar">
    <w:name w:val="Balloon Text Char"/>
    <w:basedOn w:val="DefaultParagraphFont"/>
    <w:link w:val="BalloonText"/>
    <w:semiHidden/>
    <w:rsid w:val="009F2578"/>
    <w:rPr>
      <w:sz w:val="18"/>
      <w:szCs w:val="18"/>
    </w:rPr>
  </w:style>
  <w:style w:type="character" w:styleId="CommentReference">
    <w:name w:val="annotation reference"/>
    <w:basedOn w:val="DefaultParagraphFont"/>
    <w:semiHidden/>
    <w:unhideWhenUsed/>
    <w:rsid w:val="00693ECC"/>
    <w:rPr>
      <w:sz w:val="16"/>
      <w:szCs w:val="16"/>
    </w:rPr>
  </w:style>
  <w:style w:type="paragraph" w:styleId="CommentText">
    <w:name w:val="annotation text"/>
    <w:basedOn w:val="Normal"/>
    <w:link w:val="CommentTextChar"/>
    <w:semiHidden/>
    <w:unhideWhenUsed/>
    <w:rsid w:val="00693ECC"/>
    <w:rPr>
      <w:sz w:val="20"/>
      <w:szCs w:val="20"/>
    </w:rPr>
  </w:style>
  <w:style w:type="character" w:customStyle="1" w:styleId="CommentTextChar">
    <w:name w:val="Comment Text Char"/>
    <w:basedOn w:val="DefaultParagraphFont"/>
    <w:link w:val="CommentText"/>
    <w:semiHidden/>
    <w:rsid w:val="00693ECC"/>
  </w:style>
  <w:style w:type="paragraph" w:styleId="CommentSubject">
    <w:name w:val="annotation subject"/>
    <w:basedOn w:val="CommentText"/>
    <w:next w:val="CommentText"/>
    <w:link w:val="CommentSubjectChar"/>
    <w:semiHidden/>
    <w:unhideWhenUsed/>
    <w:rsid w:val="00693ECC"/>
    <w:rPr>
      <w:b/>
      <w:bCs/>
    </w:rPr>
  </w:style>
  <w:style w:type="character" w:customStyle="1" w:styleId="CommentSubjectChar">
    <w:name w:val="Comment Subject Char"/>
    <w:basedOn w:val="CommentTextChar"/>
    <w:link w:val="CommentSubject"/>
    <w:semiHidden/>
    <w:rsid w:val="00693ECC"/>
    <w:rPr>
      <w:b/>
      <w:bCs/>
    </w:rPr>
  </w:style>
  <w:style w:type="paragraph" w:styleId="Revision">
    <w:name w:val="Revision"/>
    <w:hidden/>
    <w:uiPriority w:val="99"/>
    <w:semiHidden/>
    <w:rsid w:val="00693EC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7846</Words>
  <Characters>44726</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Li Ma</cp:lastModifiedBy>
  <cp:revision>2</cp:revision>
  <dcterms:created xsi:type="dcterms:W3CDTF">2021-02-01T17:55:00Z</dcterms:created>
  <dcterms:modified xsi:type="dcterms:W3CDTF">2021-02-01T17:55:00Z</dcterms:modified>
</cp:coreProperties>
</file>